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510F" w:rsidRPr="003A2B63" w:rsidRDefault="00E8510F" w:rsidP="00E8510F">
      <w:bookmarkStart w:id="0" w:name="_Toc222585327"/>
      <w:bookmarkStart w:id="1" w:name="_Toc222585795"/>
      <w:r w:rsidRPr="003A2B63">
        <w:rPr>
          <w:noProof/>
          <w:lang w:eastAsia="en-GB"/>
        </w:rPr>
        <w:drawing>
          <wp:inline distT="0" distB="0" distL="0" distR="0" wp14:anchorId="28BFE19A" wp14:editId="643EA4CA">
            <wp:extent cx="233172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32264" cy="1295702"/>
                    </a:xfrm>
                    <a:prstGeom prst="rect">
                      <a:avLst/>
                    </a:prstGeom>
                  </pic:spPr>
                </pic:pic>
              </a:graphicData>
            </a:graphic>
          </wp:inline>
        </w:drawing>
      </w:r>
      <w:bookmarkEnd w:id="0"/>
      <w:bookmarkEnd w:id="1"/>
    </w:p>
    <w:p w:rsidR="00E8510F" w:rsidRPr="003A2B63" w:rsidRDefault="00E8510F" w:rsidP="00E8510F">
      <w:pPr>
        <w:spacing w:line="360" w:lineRule="auto"/>
        <w:ind w:left="360"/>
        <w:rPr>
          <w:sz w:val="32"/>
          <w:szCs w:val="32"/>
        </w:rPr>
      </w:pPr>
      <w:r w:rsidRPr="003A2B63">
        <w:rPr>
          <w:sz w:val="32"/>
          <w:szCs w:val="32"/>
        </w:rPr>
        <w:t xml:space="preserve">Report title: </w:t>
      </w:r>
      <w:r w:rsidRPr="003A2B63">
        <w:rPr>
          <w:sz w:val="32"/>
          <w:szCs w:val="32"/>
        </w:rPr>
        <w:tab/>
      </w:r>
      <w:r w:rsidRPr="003A2B63">
        <w:rPr>
          <w:sz w:val="32"/>
          <w:szCs w:val="32"/>
        </w:rPr>
        <w:tab/>
        <w:t>Reflective report</w:t>
      </w:r>
      <w:r w:rsidRPr="003A2B63">
        <w:rPr>
          <w:sz w:val="32"/>
          <w:szCs w:val="32"/>
        </w:rPr>
        <w:br/>
        <w:t xml:space="preserve">Student name: </w:t>
      </w:r>
      <w:r w:rsidRPr="003A2B63">
        <w:rPr>
          <w:sz w:val="32"/>
          <w:szCs w:val="32"/>
        </w:rPr>
        <w:tab/>
      </w:r>
      <w:proofErr w:type="spellStart"/>
      <w:r w:rsidRPr="003A2B63">
        <w:rPr>
          <w:sz w:val="32"/>
          <w:szCs w:val="32"/>
        </w:rPr>
        <w:t>Zoya</w:t>
      </w:r>
      <w:proofErr w:type="spellEnd"/>
      <w:r w:rsidRPr="003A2B63">
        <w:rPr>
          <w:sz w:val="32"/>
          <w:szCs w:val="32"/>
        </w:rPr>
        <w:t xml:space="preserve"> </w:t>
      </w:r>
      <w:proofErr w:type="spellStart"/>
      <w:r w:rsidRPr="003A2B63">
        <w:rPr>
          <w:sz w:val="32"/>
          <w:szCs w:val="32"/>
        </w:rPr>
        <w:t>Muzzafar</w:t>
      </w:r>
      <w:proofErr w:type="spellEnd"/>
    </w:p>
    <w:p w:rsidR="00E8510F" w:rsidRPr="003A2B63" w:rsidRDefault="00E8510F" w:rsidP="00E8510F">
      <w:pPr>
        <w:spacing w:line="360" w:lineRule="auto"/>
        <w:ind w:left="360"/>
        <w:rPr>
          <w:sz w:val="32"/>
          <w:szCs w:val="32"/>
        </w:rPr>
      </w:pPr>
      <w:r w:rsidRPr="003A2B63">
        <w:rPr>
          <w:sz w:val="32"/>
          <w:szCs w:val="32"/>
        </w:rPr>
        <w:t xml:space="preserve">Student ID: </w:t>
      </w:r>
      <w:r w:rsidRPr="003A2B63">
        <w:rPr>
          <w:sz w:val="32"/>
          <w:szCs w:val="32"/>
        </w:rPr>
        <w:tab/>
      </w:r>
      <w:r w:rsidRPr="003A2B63">
        <w:rPr>
          <w:sz w:val="32"/>
          <w:szCs w:val="32"/>
        </w:rPr>
        <w:tab/>
        <w:t>2435513</w:t>
      </w:r>
      <w:r w:rsidRPr="003A2B63">
        <w:rPr>
          <w:sz w:val="32"/>
          <w:szCs w:val="32"/>
        </w:rPr>
        <w:br/>
        <w:t xml:space="preserve">Module Name: </w:t>
      </w:r>
      <w:r w:rsidRPr="003A2B63">
        <w:rPr>
          <w:sz w:val="32"/>
          <w:szCs w:val="32"/>
        </w:rPr>
        <w:tab/>
        <w:t>Principles of Health and Social Care Practice</w:t>
      </w:r>
    </w:p>
    <w:p w:rsidR="00E8510F" w:rsidRPr="003A2B63" w:rsidRDefault="00E8510F" w:rsidP="00E8510F">
      <w:pPr>
        <w:spacing w:line="360" w:lineRule="auto"/>
        <w:ind w:left="360"/>
        <w:rPr>
          <w:sz w:val="32"/>
          <w:szCs w:val="32"/>
        </w:rPr>
      </w:pPr>
      <w:r w:rsidRPr="003A2B63">
        <w:rPr>
          <w:sz w:val="32"/>
          <w:szCs w:val="32"/>
        </w:rPr>
        <w:t xml:space="preserve">Module Code: </w:t>
      </w:r>
      <w:r w:rsidRPr="003A2B63">
        <w:rPr>
          <w:sz w:val="32"/>
          <w:szCs w:val="32"/>
        </w:rPr>
        <w:tab/>
        <w:t>BMHP5016</w:t>
      </w:r>
      <w:r w:rsidRPr="003A2B63">
        <w:rPr>
          <w:sz w:val="32"/>
          <w:szCs w:val="32"/>
        </w:rPr>
        <w:br/>
        <w:t xml:space="preserve">Assignment title: </w:t>
      </w:r>
      <w:r w:rsidRPr="003A2B63">
        <w:rPr>
          <w:sz w:val="32"/>
          <w:szCs w:val="32"/>
        </w:rPr>
        <w:tab/>
        <w:t xml:space="preserve">Component </w:t>
      </w:r>
      <w:r>
        <w:rPr>
          <w:sz w:val="32"/>
          <w:szCs w:val="32"/>
        </w:rPr>
        <w:t>2</w:t>
      </w:r>
      <w:r w:rsidRPr="003A2B63">
        <w:rPr>
          <w:sz w:val="32"/>
          <w:szCs w:val="32"/>
        </w:rPr>
        <w:t>: Report</w:t>
      </w:r>
      <w:r>
        <w:rPr>
          <w:sz w:val="32"/>
          <w:szCs w:val="32"/>
        </w:rPr>
        <w:t xml:space="preserve"> (</w:t>
      </w:r>
      <w:r w:rsidRPr="00942C8B">
        <w:rPr>
          <w:sz w:val="32"/>
          <w:szCs w:val="32"/>
        </w:rPr>
        <w:t>Evaluation of Person-Centred Care (PCC) and Partnership Working (PW) in a Mental Health Setting</w:t>
      </w:r>
      <w:r>
        <w:rPr>
          <w:sz w:val="32"/>
          <w:szCs w:val="32"/>
        </w:rPr>
        <w:t>)</w:t>
      </w:r>
      <w:r w:rsidR="00B938B6">
        <w:rPr>
          <w:sz w:val="32"/>
          <w:szCs w:val="32"/>
        </w:rPr>
        <w:br/>
      </w:r>
      <w:bookmarkStart w:id="2" w:name="_GoBack"/>
      <w:bookmarkEnd w:id="2"/>
    </w:p>
    <w:p w:rsidR="00A34D25" w:rsidRPr="00911014" w:rsidRDefault="00A34D25" w:rsidP="00911014">
      <w:pPr>
        <w:spacing w:line="360" w:lineRule="auto"/>
        <w:jc w:val="both"/>
        <w:rPr>
          <w:rFonts w:ascii="Arial" w:eastAsia="Times New Roman" w:hAnsi="Arial" w:cs="Arial"/>
          <w:b/>
          <w:bCs/>
          <w:szCs w:val="24"/>
        </w:rPr>
      </w:pPr>
      <w:r w:rsidRPr="00911014">
        <w:rPr>
          <w:rFonts w:ascii="Arial" w:eastAsia="Times New Roman" w:hAnsi="Arial" w:cs="Arial"/>
          <w:b/>
          <w:bCs/>
          <w:szCs w:val="24"/>
        </w:rPr>
        <w:br w:type="page"/>
      </w:r>
    </w:p>
    <w:p w:rsidR="00A34D25" w:rsidRPr="00911014" w:rsidRDefault="00A34D25" w:rsidP="00E8510F">
      <w:pPr>
        <w:pStyle w:val="Heading1"/>
      </w:pPr>
      <w:bookmarkStart w:id="3" w:name="_Toc235821119"/>
      <w:bookmarkStart w:id="4" w:name="_Toc235823949"/>
      <w:bookmarkStart w:id="5" w:name="_Toc235823985"/>
      <w:r w:rsidRPr="00911014">
        <w:lastRenderedPageBreak/>
        <w:t>Introduction</w:t>
      </w:r>
      <w:bookmarkEnd w:id="3"/>
      <w:bookmarkEnd w:id="4"/>
      <w:bookmarkEnd w:id="5"/>
    </w:p>
    <w:p w:rsidR="001002F1" w:rsidRDefault="00A34D25" w:rsidP="00911014">
      <w:pPr>
        <w:pStyle w:val="NormalWeb"/>
        <w:spacing w:line="360" w:lineRule="auto"/>
        <w:jc w:val="both"/>
        <w:rPr>
          <w:rFonts w:ascii="Arial" w:hAnsi="Arial" w:cs="Arial"/>
          <w:sz w:val="22"/>
        </w:rPr>
      </w:pPr>
      <w:r w:rsidRPr="00911014">
        <w:rPr>
          <w:rFonts w:ascii="Arial" w:hAnsi="Arial" w:cs="Arial"/>
          <w:sz w:val="22"/>
        </w:rPr>
        <w:t>Person-centred care (PCC) and partnership working (PW) are fundamental principles that underpin contemporary health and social care practice across the United Kingdom. These approaches are central to improving the quality, safety and effectiveness of healthcare services by ensuring that individuals are actively involved in decisions about their treatment while promoting collaboration among healthcare professionals, social care providers, families and voluntary organisations</w:t>
      </w:r>
      <w:r w:rsidR="00B03854">
        <w:rPr>
          <w:rFonts w:ascii="Arial" w:hAnsi="Arial" w:cs="Arial"/>
          <w:sz w:val="22"/>
        </w:rPr>
        <w:t xml:space="preserve"> (</w:t>
      </w:r>
      <w:r w:rsidR="00B03854" w:rsidRPr="00B03854">
        <w:rPr>
          <w:rFonts w:ascii="Arial" w:hAnsi="Arial" w:cs="Arial"/>
          <w:sz w:val="22"/>
        </w:rPr>
        <w:t>Manley et al., 2014</w:t>
      </w:r>
      <w:r w:rsidR="00B03854">
        <w:rPr>
          <w:rFonts w:ascii="Arial" w:hAnsi="Arial" w:cs="Arial"/>
          <w:sz w:val="22"/>
        </w:rPr>
        <w:t>)</w:t>
      </w:r>
      <w:r w:rsidRPr="00911014">
        <w:rPr>
          <w:rFonts w:ascii="Arial" w:hAnsi="Arial" w:cs="Arial"/>
          <w:sz w:val="22"/>
        </w:rPr>
        <w:t xml:space="preserve">. </w:t>
      </w:r>
    </w:p>
    <w:p w:rsidR="00EB1C19" w:rsidRDefault="00A34D25" w:rsidP="00911014">
      <w:pPr>
        <w:pStyle w:val="NormalWeb"/>
        <w:spacing w:line="360" w:lineRule="auto"/>
        <w:jc w:val="both"/>
        <w:rPr>
          <w:rFonts w:ascii="Arial" w:hAnsi="Arial" w:cs="Arial"/>
          <w:sz w:val="22"/>
        </w:rPr>
      </w:pPr>
      <w:r w:rsidRPr="00911014">
        <w:rPr>
          <w:rFonts w:ascii="Arial" w:hAnsi="Arial" w:cs="Arial"/>
          <w:sz w:val="22"/>
        </w:rPr>
        <w:t xml:space="preserve">Person-centred care recognises each individual as unique, respecting their values, preferences, </w:t>
      </w:r>
      <w:r w:rsidR="00911014" w:rsidRPr="00911014">
        <w:rPr>
          <w:rFonts w:ascii="Arial" w:hAnsi="Arial" w:cs="Arial"/>
          <w:sz w:val="22"/>
        </w:rPr>
        <w:t>and beliefs</w:t>
      </w:r>
      <w:r w:rsidRPr="00911014">
        <w:rPr>
          <w:rFonts w:ascii="Arial" w:hAnsi="Arial" w:cs="Arial"/>
          <w:sz w:val="22"/>
        </w:rPr>
        <w:t xml:space="preserve"> and personal goals, whereas partnership working focuses on integrated, coordinated care through multidisciplinary teamwork. Within mental health services, these approaches are particularly significant because individuals often experience complex physical, psychological and social needs that require support from multiple agencies. Effective collaboration enables professionals to deliver holistic, recovery-focused care that promotes independence, improves wellbeing and enhances long-term outcomes for service users. </w:t>
      </w:r>
    </w:p>
    <w:p w:rsidR="00A34D25" w:rsidRPr="00911014" w:rsidRDefault="00A34D25" w:rsidP="00911014">
      <w:pPr>
        <w:pStyle w:val="NormalWeb"/>
        <w:spacing w:line="360" w:lineRule="auto"/>
        <w:jc w:val="both"/>
        <w:rPr>
          <w:rFonts w:ascii="Arial" w:hAnsi="Arial" w:cs="Arial"/>
          <w:sz w:val="22"/>
        </w:rPr>
      </w:pPr>
      <w:r w:rsidRPr="00911014">
        <w:rPr>
          <w:rFonts w:ascii="Arial" w:hAnsi="Arial" w:cs="Arial"/>
          <w:sz w:val="22"/>
        </w:rPr>
        <w:t>This report evaluates the principles of person-centred care and partnership working within a UK mental health setting, critically examines theories underpinning these approaches, analyses key ethical principles, explores relevant UK legislation and policy, and provides recommendations for strengthening future practice and service delivery.</w:t>
      </w:r>
      <w:r w:rsidR="00911014" w:rsidRPr="00911014">
        <w:rPr>
          <w:rFonts w:ascii="Arial" w:hAnsi="Arial" w:cs="Arial"/>
          <w:sz w:val="22"/>
        </w:rPr>
        <w:t xml:space="preserve"> </w:t>
      </w:r>
    </w:p>
    <w:p w:rsidR="00A34D25" w:rsidRPr="00911014" w:rsidRDefault="00A34D25" w:rsidP="00911014">
      <w:pPr>
        <w:pStyle w:val="Heading1"/>
      </w:pPr>
      <w:bookmarkStart w:id="6" w:name="_Toc235821120"/>
      <w:bookmarkStart w:id="7" w:name="_Toc235823950"/>
      <w:bookmarkStart w:id="8" w:name="_Toc235823986"/>
      <w:r w:rsidRPr="00911014">
        <w:t>Person-Centred Care: Definition, Benefits and Limitations</w:t>
      </w:r>
      <w:bookmarkEnd w:id="6"/>
      <w:bookmarkEnd w:id="7"/>
      <w:bookmarkEnd w:id="8"/>
    </w:p>
    <w:p w:rsidR="00A34D25" w:rsidRPr="00911014" w:rsidRDefault="00A34D25" w:rsidP="00911014">
      <w:pPr>
        <w:spacing w:before="100" w:beforeAutospacing="1" w:after="100" w:afterAutospacing="1" w:line="360" w:lineRule="auto"/>
        <w:jc w:val="both"/>
        <w:rPr>
          <w:rFonts w:ascii="Arial" w:eastAsia="Times New Roman" w:hAnsi="Arial" w:cs="Arial"/>
          <w:szCs w:val="24"/>
        </w:rPr>
      </w:pPr>
      <w:r w:rsidRPr="00911014">
        <w:rPr>
          <w:rFonts w:ascii="Arial" w:eastAsia="Times New Roman" w:hAnsi="Arial" w:cs="Arial"/>
          <w:szCs w:val="24"/>
        </w:rPr>
        <w:t>Person-centred care refers to an approach that places individuals at the centre of care planning and decision-making, recognising their values, preferences, experiences and personal goals. Rather than focusing solely on illness, PCC considers the whole person, including emotional, psychological, socia</w:t>
      </w:r>
      <w:r w:rsidR="00560680">
        <w:rPr>
          <w:rFonts w:ascii="Arial" w:eastAsia="Times New Roman" w:hAnsi="Arial" w:cs="Arial"/>
          <w:szCs w:val="24"/>
        </w:rPr>
        <w:t>l and cultural needs (NICE, 2021</w:t>
      </w:r>
      <w:r w:rsidRPr="00911014">
        <w:rPr>
          <w:rFonts w:ascii="Arial" w:eastAsia="Times New Roman" w:hAnsi="Arial" w:cs="Arial"/>
          <w:szCs w:val="24"/>
        </w:rPr>
        <w:t>). In UK mental health services, person-centred care encourages shared decision-making, recovery-focused practice and respect for service users' autonomy.</w:t>
      </w:r>
    </w:p>
    <w:p w:rsidR="00A34D25" w:rsidRPr="00911014" w:rsidRDefault="00A34D25" w:rsidP="00911014">
      <w:pPr>
        <w:spacing w:before="100" w:beforeAutospacing="1" w:after="100" w:afterAutospacing="1" w:line="360" w:lineRule="auto"/>
        <w:jc w:val="both"/>
        <w:rPr>
          <w:rFonts w:ascii="Arial" w:eastAsia="Times New Roman" w:hAnsi="Arial" w:cs="Arial"/>
          <w:szCs w:val="24"/>
        </w:rPr>
      </w:pPr>
      <w:r w:rsidRPr="00911014">
        <w:rPr>
          <w:rFonts w:ascii="Arial" w:eastAsia="Times New Roman" w:hAnsi="Arial" w:cs="Arial"/>
          <w:szCs w:val="24"/>
        </w:rPr>
        <w:t>One of the major benefits of PCC is improved patient satisfaction because individuals feel respected and actively involved in decisions affecting their health. It also promotes better treatment adherence, enhances trust between professionals and patients, improves recovery outcomes and supports independence (NHS England, 202</w:t>
      </w:r>
      <w:r w:rsidR="00B03854">
        <w:rPr>
          <w:rFonts w:ascii="Arial" w:eastAsia="Times New Roman" w:hAnsi="Arial" w:cs="Arial"/>
          <w:szCs w:val="24"/>
        </w:rPr>
        <w:t>6</w:t>
      </w:r>
      <w:r w:rsidRPr="00911014">
        <w:rPr>
          <w:rFonts w:ascii="Arial" w:eastAsia="Times New Roman" w:hAnsi="Arial" w:cs="Arial"/>
          <w:szCs w:val="24"/>
        </w:rPr>
        <w:t xml:space="preserve">). For people with mental health </w:t>
      </w:r>
      <w:r w:rsidRPr="00911014">
        <w:rPr>
          <w:rFonts w:ascii="Arial" w:eastAsia="Times New Roman" w:hAnsi="Arial" w:cs="Arial"/>
          <w:szCs w:val="24"/>
        </w:rPr>
        <w:lastRenderedPageBreak/>
        <w:t>conditions, personalised care plans increase confidence and encourage long-term engagement with services.</w:t>
      </w:r>
    </w:p>
    <w:p w:rsidR="00A34D25" w:rsidRPr="00911014" w:rsidRDefault="00A34D25" w:rsidP="00911014">
      <w:pPr>
        <w:spacing w:before="100" w:beforeAutospacing="1" w:after="100" w:afterAutospacing="1" w:line="360" w:lineRule="auto"/>
        <w:jc w:val="both"/>
        <w:rPr>
          <w:rFonts w:ascii="Arial" w:eastAsia="Times New Roman" w:hAnsi="Arial" w:cs="Arial"/>
          <w:szCs w:val="24"/>
        </w:rPr>
      </w:pPr>
      <w:r w:rsidRPr="00911014">
        <w:rPr>
          <w:rFonts w:ascii="Arial" w:eastAsia="Times New Roman" w:hAnsi="Arial" w:cs="Arial"/>
          <w:szCs w:val="24"/>
        </w:rPr>
        <w:t>However, PCC also has limitations. Time pressures, staff shortages and increasing demand within the NHS may restrict professionals' ability to provide fully personalised care</w:t>
      </w:r>
      <w:r w:rsidR="00B14139">
        <w:rPr>
          <w:rFonts w:ascii="Arial" w:eastAsia="Times New Roman" w:hAnsi="Arial" w:cs="Arial"/>
          <w:szCs w:val="24"/>
        </w:rPr>
        <w:t xml:space="preserve"> (Moore </w:t>
      </w:r>
      <w:r w:rsidR="00B14139" w:rsidRPr="00B14139">
        <w:rPr>
          <w:rFonts w:ascii="Arial" w:eastAsia="Times New Roman" w:hAnsi="Arial" w:cs="Arial"/>
          <w:i/>
          <w:szCs w:val="24"/>
        </w:rPr>
        <w:t>et al</w:t>
      </w:r>
      <w:r w:rsidR="00B14139">
        <w:rPr>
          <w:rFonts w:ascii="Arial" w:eastAsia="Times New Roman" w:hAnsi="Arial" w:cs="Arial"/>
          <w:i/>
          <w:szCs w:val="24"/>
        </w:rPr>
        <w:t>.</w:t>
      </w:r>
      <w:r w:rsidR="00B14139">
        <w:rPr>
          <w:rFonts w:ascii="Arial" w:eastAsia="Times New Roman" w:hAnsi="Arial" w:cs="Arial"/>
          <w:szCs w:val="24"/>
        </w:rPr>
        <w:t>, 2017)</w:t>
      </w:r>
      <w:r w:rsidRPr="00911014">
        <w:rPr>
          <w:rFonts w:ascii="Arial" w:eastAsia="Times New Roman" w:hAnsi="Arial" w:cs="Arial"/>
          <w:szCs w:val="24"/>
        </w:rPr>
        <w:t>. Some service users experiencing severe mental illness or cognitive impairment may have limited capacity to participate in decision-making, requiring professionals to balance autonomy with safety</w:t>
      </w:r>
      <w:r w:rsidR="00B14139">
        <w:rPr>
          <w:rFonts w:ascii="Arial" w:eastAsia="Times New Roman" w:hAnsi="Arial" w:cs="Arial"/>
          <w:szCs w:val="24"/>
        </w:rPr>
        <w:t xml:space="preserve"> (Moore </w:t>
      </w:r>
      <w:r w:rsidR="00B14139" w:rsidRPr="00B14139">
        <w:rPr>
          <w:rFonts w:ascii="Arial" w:eastAsia="Times New Roman" w:hAnsi="Arial" w:cs="Arial"/>
          <w:i/>
          <w:szCs w:val="24"/>
        </w:rPr>
        <w:t>et al.,</w:t>
      </w:r>
      <w:r w:rsidR="00B14139">
        <w:rPr>
          <w:rFonts w:ascii="Arial" w:eastAsia="Times New Roman" w:hAnsi="Arial" w:cs="Arial"/>
          <w:szCs w:val="24"/>
        </w:rPr>
        <w:t xml:space="preserve"> 2017)</w:t>
      </w:r>
      <w:r w:rsidRPr="00911014">
        <w:rPr>
          <w:rFonts w:ascii="Arial" w:eastAsia="Times New Roman" w:hAnsi="Arial" w:cs="Arial"/>
          <w:szCs w:val="24"/>
        </w:rPr>
        <w:t>. Furthermore, organisational constraints and limited community resources may reduce opportunities to deliver genuinely personalised services.</w:t>
      </w:r>
    </w:p>
    <w:p w:rsidR="00A34D25" w:rsidRDefault="00A34D25" w:rsidP="00911014">
      <w:pPr>
        <w:pStyle w:val="Heading1"/>
      </w:pPr>
      <w:bookmarkStart w:id="9" w:name="_Toc235821121"/>
      <w:bookmarkStart w:id="10" w:name="_Toc235823951"/>
      <w:bookmarkStart w:id="11" w:name="_Toc235823987"/>
      <w:r w:rsidRPr="00911014">
        <w:t>Theory Underpinning Person-Centred Care</w:t>
      </w:r>
      <w:bookmarkEnd w:id="9"/>
      <w:bookmarkEnd w:id="10"/>
      <w:bookmarkEnd w:id="11"/>
    </w:p>
    <w:p w:rsidR="00911014" w:rsidRPr="00911014" w:rsidRDefault="000E564B" w:rsidP="00911014">
      <w:pPr>
        <w:pStyle w:val="Heading1"/>
        <w:rPr>
          <w:rStyle w:val="Strong"/>
          <w:b/>
          <w:bCs/>
        </w:rPr>
      </w:pPr>
      <w:bookmarkStart w:id="12" w:name="_Toc235821122"/>
      <w:bookmarkStart w:id="13" w:name="_Toc235823952"/>
      <w:bookmarkStart w:id="14" w:name="_Toc235823988"/>
      <w:r w:rsidRPr="00911014">
        <w:rPr>
          <w:rStyle w:val="Strong"/>
          <w:b/>
          <w:bCs/>
        </w:rPr>
        <w:t>Maslow's Hierarchy of Needs</w:t>
      </w:r>
      <w:bookmarkEnd w:id="12"/>
      <w:bookmarkEnd w:id="13"/>
      <w:bookmarkEnd w:id="14"/>
    </w:p>
    <w:p w:rsidR="00EB1C19" w:rsidRDefault="000E564B" w:rsidP="00911014">
      <w:pPr>
        <w:pStyle w:val="NormalWeb"/>
        <w:spacing w:line="360" w:lineRule="auto"/>
        <w:jc w:val="both"/>
        <w:rPr>
          <w:rFonts w:ascii="Arial" w:hAnsi="Arial" w:cs="Arial"/>
          <w:sz w:val="22"/>
        </w:rPr>
      </w:pPr>
      <w:r w:rsidRPr="00911014">
        <w:rPr>
          <w:rFonts w:ascii="Arial" w:hAnsi="Arial" w:cs="Arial"/>
          <w:sz w:val="22"/>
        </w:rPr>
        <w:t xml:space="preserve">Several theories provide a strong theoretical foundation for </w:t>
      </w:r>
      <w:r w:rsidR="00EB1C19">
        <w:rPr>
          <w:rFonts w:ascii="Arial" w:hAnsi="Arial" w:cs="Arial"/>
          <w:sz w:val="22"/>
        </w:rPr>
        <w:t>implementing</w:t>
      </w:r>
      <w:r w:rsidRPr="00911014">
        <w:rPr>
          <w:rFonts w:ascii="Arial" w:hAnsi="Arial" w:cs="Arial"/>
          <w:sz w:val="22"/>
        </w:rPr>
        <w:t xml:space="preserve"> person-centred care (PCC) within UK mental health services by emphasising the importance of addressing individuals' holistic needs rather than focusing solely on clinical symptoms. </w:t>
      </w:r>
      <w:r w:rsidRPr="00911014">
        <w:rPr>
          <w:rStyle w:val="Strong"/>
          <w:rFonts w:ascii="Arial" w:hAnsi="Arial" w:cs="Arial"/>
          <w:b w:val="0"/>
          <w:sz w:val="22"/>
        </w:rPr>
        <w:t>Maslow's Hierarchy of Needs</w:t>
      </w:r>
      <w:r w:rsidRPr="00911014">
        <w:rPr>
          <w:rFonts w:ascii="Arial" w:hAnsi="Arial" w:cs="Arial"/>
          <w:sz w:val="22"/>
        </w:rPr>
        <w:t xml:space="preserve"> is one of the most influential motivational theories underpinning PCC. Maslow (1943) proposed that human needs are arranged in a hierarchy, beginning with physiological needs such as food, water, sleep and shelter, followed by safety, belongingness, esteem and finally self-actualisation. </w:t>
      </w:r>
    </w:p>
    <w:p w:rsidR="000E564B" w:rsidRPr="00911014" w:rsidRDefault="000E564B" w:rsidP="00911014">
      <w:pPr>
        <w:pStyle w:val="NormalWeb"/>
        <w:spacing w:line="360" w:lineRule="auto"/>
        <w:jc w:val="both"/>
        <w:rPr>
          <w:rFonts w:ascii="Arial" w:hAnsi="Arial" w:cs="Arial"/>
          <w:sz w:val="22"/>
        </w:rPr>
      </w:pPr>
      <w:r w:rsidRPr="00911014">
        <w:rPr>
          <w:rFonts w:ascii="Arial" w:hAnsi="Arial" w:cs="Arial"/>
          <w:sz w:val="22"/>
        </w:rPr>
        <w:t>In mental health settings, professionals must first ensure that service users have access to safe accommodation, medication, nutrition and protection from harm before they can effectively engage in psychological therapies or recovery programmes. Once these fundamental needs are met, practitioners can support individuals in developing self-confidence, building positive relationships and achieving personal recovery goals. The theory therefore encourages holistic assessment and personalised care planning that considers physical, emotional, psychological and social wellbeing.</w:t>
      </w:r>
    </w:p>
    <w:p w:rsidR="00A34D25" w:rsidRPr="00911014" w:rsidRDefault="000E564B" w:rsidP="00911014">
      <w:pPr>
        <w:pStyle w:val="NormalWeb"/>
        <w:spacing w:line="360" w:lineRule="auto"/>
        <w:jc w:val="both"/>
        <w:rPr>
          <w:rFonts w:ascii="Arial" w:hAnsi="Arial" w:cs="Arial"/>
          <w:sz w:val="22"/>
        </w:rPr>
      </w:pPr>
      <w:r w:rsidRPr="00911014">
        <w:rPr>
          <w:rFonts w:ascii="Arial" w:hAnsi="Arial" w:cs="Arial"/>
          <w:sz w:val="22"/>
        </w:rPr>
        <w:t xml:space="preserve">Within UK mental health services, professionals should not rely exclusively on normative assessments but should also value service users' own experiences, preferences and expectations when planning care. This approach encourages shared decision-making, reduces inequalities in service provision and ensures that interventions are tailored to the unique circumstances of each individual. </w:t>
      </w:r>
      <w:r w:rsidR="001002F1">
        <w:rPr>
          <w:rFonts w:ascii="Arial" w:hAnsi="Arial" w:cs="Arial"/>
          <w:sz w:val="22"/>
        </w:rPr>
        <w:t>The theory</w:t>
      </w:r>
      <w:r w:rsidRPr="00911014">
        <w:rPr>
          <w:rFonts w:ascii="Arial" w:hAnsi="Arial" w:cs="Arial"/>
          <w:sz w:val="22"/>
        </w:rPr>
        <w:t xml:space="preserve"> </w:t>
      </w:r>
      <w:r w:rsidR="001002F1">
        <w:rPr>
          <w:rFonts w:ascii="Arial" w:hAnsi="Arial" w:cs="Arial"/>
          <w:sz w:val="22"/>
        </w:rPr>
        <w:t>reinforces</w:t>
      </w:r>
      <w:r w:rsidRPr="00911014">
        <w:rPr>
          <w:rFonts w:ascii="Arial" w:hAnsi="Arial" w:cs="Arial"/>
          <w:sz w:val="22"/>
        </w:rPr>
        <w:t xml:space="preserve"> the principles of person-centred care by promoting holistic assessment, personalised interventions and collaborative partnerships between professionals and service users</w:t>
      </w:r>
      <w:r w:rsidR="00A34D25" w:rsidRPr="00911014">
        <w:rPr>
          <w:rFonts w:ascii="Arial" w:hAnsi="Arial" w:cs="Arial"/>
          <w:sz w:val="22"/>
        </w:rPr>
        <w:t>.</w:t>
      </w:r>
    </w:p>
    <w:p w:rsidR="00A34D25" w:rsidRPr="00911014" w:rsidRDefault="00A34D25" w:rsidP="00911014">
      <w:pPr>
        <w:pStyle w:val="Heading1"/>
      </w:pPr>
      <w:bookmarkStart w:id="15" w:name="_Toc235821125"/>
      <w:bookmarkStart w:id="16" w:name="_Toc235823955"/>
      <w:bookmarkStart w:id="17" w:name="_Toc235823991"/>
      <w:r w:rsidRPr="00911014">
        <w:lastRenderedPageBreak/>
        <w:t>Ethical Fundamentals of Health and Social Care</w:t>
      </w:r>
      <w:bookmarkEnd w:id="15"/>
      <w:bookmarkEnd w:id="16"/>
      <w:bookmarkEnd w:id="17"/>
    </w:p>
    <w:p w:rsidR="004C115A" w:rsidRPr="00911014" w:rsidRDefault="004C115A" w:rsidP="00911014">
      <w:pPr>
        <w:pStyle w:val="NormalWeb"/>
        <w:spacing w:line="360" w:lineRule="auto"/>
        <w:jc w:val="both"/>
        <w:rPr>
          <w:rFonts w:ascii="Arial" w:hAnsi="Arial" w:cs="Arial"/>
          <w:sz w:val="22"/>
        </w:rPr>
      </w:pPr>
      <w:r w:rsidRPr="00911014">
        <w:rPr>
          <w:rFonts w:ascii="Arial" w:hAnsi="Arial" w:cs="Arial"/>
          <w:sz w:val="22"/>
        </w:rPr>
        <w:t>Ethical principles form the foundation of effective health and social care practice by guiding professionals to deliver safe, respectful and high-quality care while protecting the rights and dignity of individuals</w:t>
      </w:r>
      <w:r w:rsidR="00FE6205">
        <w:rPr>
          <w:rFonts w:ascii="Arial" w:hAnsi="Arial" w:cs="Arial"/>
          <w:sz w:val="22"/>
        </w:rPr>
        <w:t xml:space="preserve"> (HCPC, 2024)</w:t>
      </w:r>
      <w:r w:rsidR="001002F1">
        <w:rPr>
          <w:rFonts w:ascii="Arial" w:hAnsi="Arial" w:cs="Arial"/>
          <w:sz w:val="22"/>
        </w:rPr>
        <w:t xml:space="preserve">. Four core ethical principles, </w:t>
      </w:r>
      <w:r w:rsidRPr="00911014">
        <w:rPr>
          <w:rStyle w:val="Strong"/>
          <w:rFonts w:ascii="Arial" w:hAnsi="Arial" w:cs="Arial"/>
          <w:b w:val="0"/>
          <w:sz w:val="22"/>
        </w:rPr>
        <w:t>autonomy, beneficence, non-maleficence and justice</w:t>
      </w:r>
      <w:r w:rsidR="00FE6205">
        <w:rPr>
          <w:rFonts w:ascii="Arial" w:hAnsi="Arial" w:cs="Arial"/>
          <w:sz w:val="22"/>
        </w:rPr>
        <w:t xml:space="preserve"> </w:t>
      </w:r>
      <w:r w:rsidRPr="00911014">
        <w:rPr>
          <w:rFonts w:ascii="Arial" w:hAnsi="Arial" w:cs="Arial"/>
          <w:sz w:val="22"/>
        </w:rPr>
        <w:t xml:space="preserve">are central to decision-making in UK health and social care settings (Beauchamp and Childress, 2019). </w:t>
      </w:r>
      <w:r w:rsidRPr="00911014">
        <w:rPr>
          <w:rStyle w:val="Strong"/>
          <w:rFonts w:ascii="Arial" w:hAnsi="Arial" w:cs="Arial"/>
          <w:b w:val="0"/>
          <w:sz w:val="22"/>
        </w:rPr>
        <w:t>Autonomy</w:t>
      </w:r>
      <w:r w:rsidRPr="00911014">
        <w:rPr>
          <w:rFonts w:ascii="Arial" w:hAnsi="Arial" w:cs="Arial"/>
          <w:sz w:val="22"/>
        </w:rPr>
        <w:t xml:space="preserve"> requires healthcare professionals to respect an individual's right to make informed decisions about their own care and treatment, provided they have the mental capacity to do so. In mental health services, this involves encouraging service users to participate actively in care planning, express their preferences and make choices about treatment wherever possible. This principle aligns with person-centred care by promoting independence, dignity and empowerment.</w:t>
      </w:r>
    </w:p>
    <w:p w:rsidR="004C115A" w:rsidRPr="00911014" w:rsidRDefault="004C115A" w:rsidP="00911014">
      <w:pPr>
        <w:pStyle w:val="NormalWeb"/>
        <w:spacing w:line="360" w:lineRule="auto"/>
        <w:jc w:val="both"/>
        <w:rPr>
          <w:rFonts w:ascii="Arial" w:hAnsi="Arial" w:cs="Arial"/>
          <w:sz w:val="22"/>
        </w:rPr>
      </w:pPr>
      <w:r w:rsidRPr="00911014">
        <w:rPr>
          <w:rStyle w:val="Strong"/>
          <w:rFonts w:ascii="Arial" w:hAnsi="Arial" w:cs="Arial"/>
          <w:b w:val="0"/>
          <w:sz w:val="22"/>
        </w:rPr>
        <w:t>Beneficence</w:t>
      </w:r>
      <w:r w:rsidRPr="00911014">
        <w:rPr>
          <w:rFonts w:ascii="Arial" w:hAnsi="Arial" w:cs="Arial"/>
          <w:sz w:val="22"/>
        </w:rPr>
        <w:t xml:space="preserve"> obliges practitioners to act in the best interests of patients by promoting wellbeing, supporting recovery and providing interventions that improve physical, emotional and psychological health. Closely linked to this is </w:t>
      </w:r>
      <w:r w:rsidRPr="00911014">
        <w:rPr>
          <w:rStyle w:val="Strong"/>
          <w:rFonts w:ascii="Arial" w:hAnsi="Arial" w:cs="Arial"/>
          <w:b w:val="0"/>
          <w:sz w:val="22"/>
        </w:rPr>
        <w:t>non-maleficence</w:t>
      </w:r>
      <w:r w:rsidRPr="00911014">
        <w:rPr>
          <w:rFonts w:ascii="Arial" w:hAnsi="Arial" w:cs="Arial"/>
          <w:sz w:val="22"/>
        </w:rPr>
        <w:t xml:space="preserve">, which requires professionals to avoid causing harm through unsafe, negligent or unnecessary interventions. Healthcare staff must therefore deliver evidence-based care, regularly assess risks and ensure that treatment decisions maximise benefits while minimising potential harm. </w:t>
      </w:r>
      <w:r w:rsidRPr="00911014">
        <w:rPr>
          <w:rStyle w:val="Strong"/>
          <w:rFonts w:ascii="Arial" w:hAnsi="Arial" w:cs="Arial"/>
          <w:sz w:val="22"/>
        </w:rPr>
        <w:t>Justice</w:t>
      </w:r>
      <w:r w:rsidRPr="00911014">
        <w:rPr>
          <w:rFonts w:ascii="Arial" w:hAnsi="Arial" w:cs="Arial"/>
          <w:sz w:val="22"/>
        </w:rPr>
        <w:t xml:space="preserve"> emphasises fairness, equality and non-discrimination by ensuring that all individuals have equitable access to health and social care services regardless of age, gender, ethnicity, disability or socioeconomic status.</w:t>
      </w:r>
    </w:p>
    <w:p w:rsidR="004C115A" w:rsidRPr="00911014" w:rsidRDefault="004C115A" w:rsidP="00911014">
      <w:pPr>
        <w:pStyle w:val="NormalWeb"/>
        <w:spacing w:line="360" w:lineRule="auto"/>
        <w:jc w:val="both"/>
        <w:rPr>
          <w:rFonts w:ascii="Arial" w:hAnsi="Arial" w:cs="Arial"/>
          <w:sz w:val="22"/>
        </w:rPr>
      </w:pPr>
      <w:r w:rsidRPr="00911014">
        <w:rPr>
          <w:rFonts w:ascii="Arial" w:hAnsi="Arial" w:cs="Arial"/>
          <w:sz w:val="22"/>
        </w:rPr>
        <w:t xml:space="preserve">Within UK mental health services, ethical decision-making can be particularly challenging because professionals must balance respect for patient autonomy with their legal duty to protect individuals and the wider public from harm. For example, under the </w:t>
      </w:r>
      <w:r w:rsidRPr="00736F0F">
        <w:rPr>
          <w:rStyle w:val="Strong"/>
          <w:rFonts w:ascii="Arial" w:hAnsi="Arial" w:cs="Arial"/>
          <w:b w:val="0"/>
          <w:i/>
          <w:sz w:val="22"/>
        </w:rPr>
        <w:t>Mental Health Act 1983</w:t>
      </w:r>
      <w:r w:rsidRPr="00911014">
        <w:rPr>
          <w:rStyle w:val="Strong"/>
          <w:rFonts w:ascii="Arial" w:hAnsi="Arial" w:cs="Arial"/>
          <w:b w:val="0"/>
          <w:sz w:val="22"/>
        </w:rPr>
        <w:t xml:space="preserve"> </w:t>
      </w:r>
      <w:r w:rsidRPr="00736F0F">
        <w:rPr>
          <w:rStyle w:val="Strong"/>
          <w:rFonts w:ascii="Arial" w:hAnsi="Arial" w:cs="Arial"/>
          <w:b w:val="0"/>
          <w:i/>
          <w:sz w:val="22"/>
        </w:rPr>
        <w:t>(amended 2007)</w:t>
      </w:r>
      <w:r w:rsidRPr="00736F0F">
        <w:rPr>
          <w:rFonts w:ascii="Arial" w:hAnsi="Arial" w:cs="Arial"/>
          <w:i/>
          <w:sz w:val="22"/>
        </w:rPr>
        <w:t>,</w:t>
      </w:r>
      <w:r w:rsidRPr="00911014">
        <w:rPr>
          <w:rFonts w:ascii="Arial" w:hAnsi="Arial" w:cs="Arial"/>
          <w:sz w:val="22"/>
        </w:rPr>
        <w:t xml:space="preserve"> compulsory assessment or treatment may be necessary when an individual presents a significant risk to themselves or others. Although this temporarily limits autonomy, it reflects the ethical principles of beneficence and non-maleficence by prioritising safety and recovery. (NMC, 2018; NICE, 202</w:t>
      </w:r>
      <w:r w:rsidR="00560680">
        <w:rPr>
          <w:rFonts w:ascii="Arial" w:hAnsi="Arial" w:cs="Arial"/>
          <w:sz w:val="22"/>
        </w:rPr>
        <w:t>1</w:t>
      </w:r>
      <w:r w:rsidRPr="00911014">
        <w:rPr>
          <w:rFonts w:ascii="Arial" w:hAnsi="Arial" w:cs="Arial"/>
          <w:sz w:val="22"/>
        </w:rPr>
        <w:t>).</w:t>
      </w:r>
    </w:p>
    <w:p w:rsidR="00A34D25" w:rsidRPr="00911014" w:rsidRDefault="00A34D25" w:rsidP="00911014">
      <w:pPr>
        <w:pStyle w:val="Heading1"/>
      </w:pPr>
      <w:bookmarkStart w:id="18" w:name="_Toc235821126"/>
      <w:bookmarkStart w:id="19" w:name="_Toc235823956"/>
      <w:bookmarkStart w:id="20" w:name="_Toc235823992"/>
      <w:r w:rsidRPr="00911014">
        <w:t>Evaluation of Partnership Working in Health and Social Care</w:t>
      </w:r>
      <w:bookmarkEnd w:id="18"/>
      <w:bookmarkEnd w:id="19"/>
      <w:bookmarkEnd w:id="20"/>
    </w:p>
    <w:p w:rsidR="00911014" w:rsidRPr="00911014" w:rsidRDefault="00911014" w:rsidP="00911014">
      <w:pPr>
        <w:pStyle w:val="NormalWeb"/>
        <w:spacing w:line="360" w:lineRule="auto"/>
        <w:jc w:val="both"/>
        <w:rPr>
          <w:rFonts w:ascii="Arial" w:hAnsi="Arial" w:cs="Arial"/>
          <w:sz w:val="22"/>
        </w:rPr>
      </w:pPr>
      <w:r w:rsidRPr="00911014">
        <w:rPr>
          <w:rFonts w:ascii="Arial" w:hAnsi="Arial" w:cs="Arial"/>
          <w:sz w:val="22"/>
        </w:rPr>
        <w:t xml:space="preserve">Partnership working refers to </w:t>
      </w:r>
      <w:r w:rsidR="00B03854">
        <w:rPr>
          <w:rFonts w:ascii="Arial" w:hAnsi="Arial" w:cs="Arial"/>
          <w:sz w:val="22"/>
        </w:rPr>
        <w:t>a collaborative approach in which health professionals, social workers, local authorities, voluntary organisations, carers, families, and service users work together to plan, deliver, and evaluate care that meets an individual's physical, psychological,</w:t>
      </w:r>
      <w:r w:rsidRPr="00911014">
        <w:rPr>
          <w:rFonts w:ascii="Arial" w:hAnsi="Arial" w:cs="Arial"/>
          <w:sz w:val="22"/>
        </w:rPr>
        <w:t xml:space="preserve"> and social needs. Within the UK health and social care system, partnership working is considered </w:t>
      </w:r>
      <w:r w:rsidRPr="00911014">
        <w:rPr>
          <w:rFonts w:ascii="Arial" w:hAnsi="Arial" w:cs="Arial"/>
          <w:sz w:val="22"/>
        </w:rPr>
        <w:lastRenderedPageBreak/>
        <w:t xml:space="preserve">essential for providing integrated and coordinated services, particularly for individuals with complex mental health conditions who often require support from multiple agencies. Effective collaboration enables professionals to share expertise, improve communication, reduce duplication of services and ensure continuity of care, ultimately leading to improved health outcomes and a better patient experience. </w:t>
      </w:r>
      <w:r w:rsidR="00736F0F">
        <w:rPr>
          <w:rFonts w:ascii="Arial" w:hAnsi="Arial" w:cs="Arial"/>
          <w:sz w:val="22"/>
        </w:rPr>
        <w:t xml:space="preserve">According to </w:t>
      </w:r>
      <w:r w:rsidR="00736F0F">
        <w:rPr>
          <w:rFonts w:ascii="Arial" w:hAnsi="Arial" w:cs="Arial"/>
          <w:i/>
          <w:sz w:val="22"/>
        </w:rPr>
        <w:t>Mental Health Act</w:t>
      </w:r>
      <w:r w:rsidR="00736F0F" w:rsidRPr="00736F0F">
        <w:rPr>
          <w:rFonts w:ascii="Arial" w:hAnsi="Arial" w:cs="Arial"/>
          <w:i/>
          <w:sz w:val="22"/>
        </w:rPr>
        <w:t xml:space="preserve"> 1983</w:t>
      </w:r>
      <w:r w:rsidR="00736F0F">
        <w:rPr>
          <w:rFonts w:ascii="Arial" w:hAnsi="Arial" w:cs="Arial"/>
          <w:sz w:val="22"/>
        </w:rPr>
        <w:t xml:space="preserve">, </w:t>
      </w:r>
      <w:r w:rsidRPr="00911014">
        <w:rPr>
          <w:rFonts w:ascii="Arial" w:hAnsi="Arial" w:cs="Arial"/>
          <w:sz w:val="22"/>
        </w:rPr>
        <w:t>It also promotes shared decision-making, allowing service users to participate actively in developing personalised care plans that reflect their</w:t>
      </w:r>
      <w:r w:rsidR="00736F0F">
        <w:rPr>
          <w:rFonts w:ascii="Arial" w:hAnsi="Arial" w:cs="Arial"/>
          <w:sz w:val="22"/>
        </w:rPr>
        <w:t xml:space="preserve"> preferences and recovery goals.</w:t>
      </w:r>
    </w:p>
    <w:p w:rsidR="00911014" w:rsidRPr="00911014" w:rsidRDefault="00911014" w:rsidP="00911014">
      <w:pPr>
        <w:pStyle w:val="NormalWeb"/>
        <w:spacing w:line="360" w:lineRule="auto"/>
        <w:jc w:val="both"/>
        <w:rPr>
          <w:rFonts w:ascii="Arial" w:hAnsi="Arial" w:cs="Arial"/>
          <w:sz w:val="22"/>
        </w:rPr>
      </w:pPr>
      <w:r w:rsidRPr="00911014">
        <w:rPr>
          <w:rFonts w:ascii="Arial" w:hAnsi="Arial" w:cs="Arial"/>
          <w:sz w:val="22"/>
        </w:rPr>
        <w:t xml:space="preserve">The </w:t>
      </w:r>
      <w:r w:rsidRPr="00B610CB">
        <w:rPr>
          <w:rStyle w:val="Strong"/>
          <w:rFonts w:ascii="Arial" w:hAnsi="Arial" w:cs="Arial"/>
          <w:b w:val="0"/>
          <w:sz w:val="22"/>
        </w:rPr>
        <w:t>Social Model of Health</w:t>
      </w:r>
      <w:r w:rsidRPr="00911014">
        <w:rPr>
          <w:rFonts w:ascii="Arial" w:hAnsi="Arial" w:cs="Arial"/>
          <w:sz w:val="22"/>
        </w:rPr>
        <w:t xml:space="preserve"> strongly underpins partnership working by recognising that health and wellbeing are influenced not only by medical conditions but also by wider social determinants such as housing, employment, education, financial security, social inclusion and community support</w:t>
      </w:r>
      <w:r w:rsidR="004F5A64">
        <w:rPr>
          <w:rFonts w:ascii="Arial" w:hAnsi="Arial" w:cs="Arial"/>
          <w:sz w:val="22"/>
        </w:rPr>
        <w:t xml:space="preserve"> (Rahman </w:t>
      </w:r>
      <w:r w:rsidR="004F5A64" w:rsidRPr="004F5A64">
        <w:rPr>
          <w:rFonts w:ascii="Arial" w:hAnsi="Arial" w:cs="Arial"/>
          <w:i/>
          <w:sz w:val="22"/>
        </w:rPr>
        <w:t>et al</w:t>
      </w:r>
      <w:r w:rsidR="004F5A64">
        <w:rPr>
          <w:rFonts w:ascii="Arial" w:hAnsi="Arial" w:cs="Arial"/>
          <w:sz w:val="22"/>
        </w:rPr>
        <w:t>., 2024)</w:t>
      </w:r>
      <w:r w:rsidRPr="00911014">
        <w:rPr>
          <w:rFonts w:ascii="Arial" w:hAnsi="Arial" w:cs="Arial"/>
          <w:sz w:val="22"/>
        </w:rPr>
        <w:t>. For individuals experiencing mental health difficulties, addressing these broader factors is often as important as clinical treatment. Consequently, successful mental health care requires collaboration between healthcare providers, housing services, employment agencies, educational institutions and voluntary organisations to support long-term recovery and independence.</w:t>
      </w:r>
    </w:p>
    <w:p w:rsidR="00911014" w:rsidRPr="00911014" w:rsidRDefault="00911014" w:rsidP="00911014">
      <w:pPr>
        <w:pStyle w:val="NormalWeb"/>
        <w:spacing w:line="360" w:lineRule="auto"/>
        <w:jc w:val="both"/>
        <w:rPr>
          <w:rFonts w:ascii="Arial" w:hAnsi="Arial" w:cs="Arial"/>
          <w:sz w:val="22"/>
        </w:rPr>
      </w:pPr>
      <w:r w:rsidRPr="00911014">
        <w:rPr>
          <w:rFonts w:ascii="Arial" w:hAnsi="Arial" w:cs="Arial"/>
          <w:sz w:val="22"/>
        </w:rPr>
        <w:t xml:space="preserve">In contrast, the </w:t>
      </w:r>
      <w:r w:rsidRPr="00B610CB">
        <w:rPr>
          <w:rStyle w:val="Strong"/>
          <w:rFonts w:ascii="Arial" w:hAnsi="Arial" w:cs="Arial"/>
          <w:b w:val="0"/>
          <w:sz w:val="22"/>
        </w:rPr>
        <w:t>Medical Model of Health</w:t>
      </w:r>
      <w:r w:rsidRPr="00911014">
        <w:rPr>
          <w:rFonts w:ascii="Arial" w:hAnsi="Arial" w:cs="Arial"/>
          <w:sz w:val="22"/>
        </w:rPr>
        <w:t xml:space="preserve"> focuses primarily on the diagnosis, treatment and management of mental illness through clinical interventions, including medication, psychiatric assessment and psychological therapies</w:t>
      </w:r>
      <w:r w:rsidR="00017CDC">
        <w:rPr>
          <w:rFonts w:ascii="Arial" w:hAnsi="Arial" w:cs="Arial"/>
          <w:sz w:val="22"/>
        </w:rPr>
        <w:t xml:space="preserve"> (Huda </w:t>
      </w:r>
      <w:r w:rsidR="00017CDC" w:rsidRPr="00017CDC">
        <w:rPr>
          <w:rFonts w:ascii="Arial" w:hAnsi="Arial" w:cs="Arial"/>
          <w:i/>
          <w:sz w:val="22"/>
        </w:rPr>
        <w:t>et al.,</w:t>
      </w:r>
      <w:r w:rsidR="00017CDC">
        <w:rPr>
          <w:rFonts w:ascii="Arial" w:hAnsi="Arial" w:cs="Arial"/>
          <w:sz w:val="22"/>
        </w:rPr>
        <w:t xml:space="preserve"> 2021)</w:t>
      </w:r>
      <w:r w:rsidRPr="00911014">
        <w:rPr>
          <w:rFonts w:ascii="Arial" w:hAnsi="Arial" w:cs="Arial"/>
          <w:sz w:val="22"/>
        </w:rPr>
        <w:t>. While this model remains fundamental for managing symptoms and ensuring patient safety, it has been criticised for concentrating mainly on illness rather than considering the wider personal and social circumstances affecting an individual's wellbeing. Contemporary UK mental health services therefore integrate both the Medical and Social Models to provide holistic, person-centred and recovery-focused care that addresses both clinical needs and the broader factors influencing health (NHS England, 2019)</w:t>
      </w:r>
      <w:r w:rsidR="00736F0F">
        <w:rPr>
          <w:rFonts w:ascii="Arial" w:hAnsi="Arial" w:cs="Arial"/>
          <w:sz w:val="22"/>
        </w:rPr>
        <w:t>.</w:t>
      </w:r>
    </w:p>
    <w:p w:rsidR="00911014" w:rsidRPr="00911014" w:rsidRDefault="00911014" w:rsidP="00911014">
      <w:pPr>
        <w:pStyle w:val="NormalWeb"/>
        <w:spacing w:line="360" w:lineRule="auto"/>
        <w:jc w:val="both"/>
        <w:rPr>
          <w:rFonts w:ascii="Arial" w:hAnsi="Arial" w:cs="Arial"/>
          <w:sz w:val="22"/>
        </w:rPr>
      </w:pPr>
      <w:r w:rsidRPr="00911014">
        <w:rPr>
          <w:rFonts w:ascii="Arial" w:hAnsi="Arial" w:cs="Arial"/>
          <w:sz w:val="22"/>
        </w:rPr>
        <w:t xml:space="preserve">Despite its many advantages, partnership working also presents several challenges. Differences in organisational cultures, professional priorities and responsibilities can create barriers to effective collaboration. Communication problems, incompatible electronic information systems, concerns regarding confidentiality and data sharing, and limited financial and workforce resources may all reduce the efficiency of coordinated care. Additionally, unclear roles and responsibilities among professionals can lead to delays in decision-making and fragmented service delivery. Overcoming these challenges requires strong leadership, clear communication, shared goals and </w:t>
      </w:r>
      <w:r w:rsidRPr="00911014">
        <w:rPr>
          <w:rFonts w:ascii="Arial" w:hAnsi="Arial" w:cs="Arial"/>
          <w:sz w:val="22"/>
        </w:rPr>
        <w:lastRenderedPageBreak/>
        <w:t xml:space="preserve">effective </w:t>
      </w:r>
      <w:proofErr w:type="spellStart"/>
      <w:r w:rsidRPr="00911014">
        <w:rPr>
          <w:rFonts w:ascii="Arial" w:hAnsi="Arial" w:cs="Arial"/>
          <w:sz w:val="22"/>
        </w:rPr>
        <w:t>interprofessional</w:t>
      </w:r>
      <w:proofErr w:type="spellEnd"/>
      <w:r w:rsidRPr="00911014">
        <w:rPr>
          <w:rFonts w:ascii="Arial" w:hAnsi="Arial" w:cs="Arial"/>
          <w:sz w:val="22"/>
        </w:rPr>
        <w:t xml:space="preserve"> relationships to ensure that partnership working delivers safe, high-quality and person-centred care within UK mental health services.</w:t>
      </w:r>
    </w:p>
    <w:p w:rsidR="00A34D25" w:rsidRPr="00911014" w:rsidRDefault="00A34D25" w:rsidP="00911014">
      <w:pPr>
        <w:pStyle w:val="Heading1"/>
      </w:pPr>
      <w:bookmarkStart w:id="21" w:name="_Toc235821127"/>
      <w:bookmarkStart w:id="22" w:name="_Toc235823957"/>
      <w:bookmarkStart w:id="23" w:name="_Toc235823993"/>
      <w:r w:rsidRPr="00911014">
        <w:t>Application of Partnership Working in UK Mental Health Practice</w:t>
      </w:r>
      <w:bookmarkEnd w:id="21"/>
      <w:bookmarkEnd w:id="22"/>
      <w:bookmarkEnd w:id="23"/>
    </w:p>
    <w:p w:rsidR="00EB1C19" w:rsidRDefault="00911014" w:rsidP="00911014">
      <w:pPr>
        <w:pStyle w:val="NormalWeb"/>
        <w:spacing w:line="360" w:lineRule="auto"/>
        <w:jc w:val="both"/>
        <w:rPr>
          <w:rFonts w:ascii="Arial" w:hAnsi="Arial" w:cs="Arial"/>
          <w:sz w:val="22"/>
        </w:rPr>
      </w:pPr>
      <w:r w:rsidRPr="00911014">
        <w:rPr>
          <w:rFonts w:ascii="Arial" w:hAnsi="Arial" w:cs="Arial"/>
          <w:sz w:val="22"/>
        </w:rPr>
        <w:t>Within UK Community Mental Health Teams (CMHTs), partnership working is a multidisciplinary approach that brings together psychiatrists, mental health nurses, clinical psychologists, occupational therapists, social workers, general practitioners (GPs), pharmacists, housing providers and voluntary sector organisations to deliver coordinated, person-centred care. Each professional contributes specialised knowledge and skills while working towards shared goals identified in collaboration with the service user. This integrated approach ensures that individuals receive holistic support addressing not only their mental health condition but also their physical health, emotional wellbeing, social relationships and practical needs (NICE, 202</w:t>
      </w:r>
      <w:r w:rsidR="00FE6205">
        <w:rPr>
          <w:rFonts w:ascii="Arial" w:hAnsi="Arial" w:cs="Arial"/>
          <w:sz w:val="22"/>
        </w:rPr>
        <w:t>1</w:t>
      </w:r>
      <w:r w:rsidRPr="00911014">
        <w:rPr>
          <w:rFonts w:ascii="Arial" w:hAnsi="Arial" w:cs="Arial"/>
          <w:sz w:val="22"/>
        </w:rPr>
        <w:t xml:space="preserve">). </w:t>
      </w:r>
    </w:p>
    <w:p w:rsidR="00EB1C19" w:rsidRDefault="00911014" w:rsidP="00911014">
      <w:pPr>
        <w:pStyle w:val="NormalWeb"/>
        <w:spacing w:line="360" w:lineRule="auto"/>
        <w:jc w:val="both"/>
        <w:rPr>
          <w:rFonts w:ascii="Arial" w:hAnsi="Arial" w:cs="Arial"/>
          <w:sz w:val="22"/>
        </w:rPr>
      </w:pPr>
      <w:r w:rsidRPr="00911014">
        <w:rPr>
          <w:rFonts w:ascii="Arial" w:hAnsi="Arial" w:cs="Arial"/>
          <w:sz w:val="22"/>
        </w:rPr>
        <w:t xml:space="preserve">Service users are actively involved in developing personalised recovery plans, enabling them to express their preferences, priorities and long-term goals. Where appropriate and with consent, family members and carers also participate in care planning, providing valuable insights and ongoing support. Regular multidisciplinary meetings allow professionals to share assessments, discuss risks, monitor progress, evaluate treatment outcomes and adjust interventions according to changing needs. Effective communication between agencies reduces duplication of services, promotes continuity of care and ensures timely referrals to specialist services. </w:t>
      </w:r>
    </w:p>
    <w:p w:rsidR="00911014" w:rsidRPr="00911014" w:rsidRDefault="00911014" w:rsidP="00911014">
      <w:pPr>
        <w:pStyle w:val="NormalWeb"/>
        <w:spacing w:line="360" w:lineRule="auto"/>
        <w:jc w:val="both"/>
        <w:rPr>
          <w:rFonts w:ascii="Arial" w:hAnsi="Arial" w:cs="Arial"/>
          <w:sz w:val="22"/>
        </w:rPr>
      </w:pPr>
      <w:r w:rsidRPr="00911014">
        <w:rPr>
          <w:rFonts w:ascii="Arial" w:hAnsi="Arial" w:cs="Arial"/>
          <w:sz w:val="22"/>
        </w:rPr>
        <w:t>Through partnership working, individuals can simultaneously access medication management, psychological therapies, crisis intervention, housing assistance, employment support, welfare advice and community-based social care services. This coordinated model promotes recovery, enhances patient safety, reduces avoidable hospital admissions and relapse rates, encourages social inclusion and independence, and ultimately improves long-term health outcomes and quality of life for individuals living with mental health conditions with</w:t>
      </w:r>
      <w:r w:rsidR="00736F0F">
        <w:rPr>
          <w:rFonts w:ascii="Arial" w:hAnsi="Arial" w:cs="Arial"/>
          <w:sz w:val="22"/>
        </w:rPr>
        <w:t>in the UK community</w:t>
      </w:r>
      <w:r w:rsidR="00FE6205">
        <w:rPr>
          <w:rFonts w:ascii="Arial" w:hAnsi="Arial" w:cs="Arial"/>
          <w:sz w:val="22"/>
        </w:rPr>
        <w:t xml:space="preserve"> (NICE, 2021</w:t>
      </w:r>
      <w:r w:rsidRPr="00911014">
        <w:rPr>
          <w:rFonts w:ascii="Arial" w:hAnsi="Arial" w:cs="Arial"/>
          <w:sz w:val="22"/>
        </w:rPr>
        <w:t>)</w:t>
      </w:r>
      <w:r w:rsidR="00736F0F">
        <w:rPr>
          <w:rFonts w:ascii="Arial" w:hAnsi="Arial" w:cs="Arial"/>
          <w:sz w:val="22"/>
        </w:rPr>
        <w:t>.</w:t>
      </w:r>
    </w:p>
    <w:p w:rsidR="00A34D25" w:rsidRPr="00911014" w:rsidRDefault="00A34D25" w:rsidP="00911014">
      <w:pPr>
        <w:pStyle w:val="Heading1"/>
      </w:pPr>
      <w:bookmarkStart w:id="24" w:name="_Toc235821128"/>
      <w:bookmarkStart w:id="25" w:name="_Toc235823958"/>
      <w:bookmarkStart w:id="26" w:name="_Toc235823994"/>
      <w:r w:rsidRPr="00911014">
        <w:t>Policy and Legislation Supporting PCC and Partnership Working</w:t>
      </w:r>
      <w:bookmarkEnd w:id="24"/>
      <w:bookmarkEnd w:id="25"/>
      <w:bookmarkEnd w:id="26"/>
    </w:p>
    <w:p w:rsidR="00EB1C19" w:rsidRDefault="00A34D25" w:rsidP="00911014">
      <w:pPr>
        <w:spacing w:before="100" w:beforeAutospacing="1" w:after="100" w:afterAutospacing="1" w:line="360" w:lineRule="auto"/>
        <w:jc w:val="both"/>
        <w:rPr>
          <w:rFonts w:ascii="Arial" w:eastAsia="Times New Roman" w:hAnsi="Arial" w:cs="Arial"/>
          <w:szCs w:val="24"/>
        </w:rPr>
      </w:pPr>
      <w:r w:rsidRPr="00B610CB">
        <w:rPr>
          <w:rFonts w:ascii="Arial" w:eastAsia="Times New Roman" w:hAnsi="Arial" w:cs="Arial"/>
          <w:szCs w:val="24"/>
        </w:rPr>
        <w:t xml:space="preserve">Several UK policies and legislative frameworks support person-centred care and partnership working. The </w:t>
      </w:r>
      <w:r w:rsidRPr="00B610CB">
        <w:rPr>
          <w:rFonts w:ascii="Arial" w:eastAsia="Times New Roman" w:hAnsi="Arial" w:cs="Arial"/>
          <w:bCs/>
          <w:szCs w:val="24"/>
        </w:rPr>
        <w:t xml:space="preserve">Health and </w:t>
      </w:r>
      <w:r w:rsidRPr="00EB1C19">
        <w:rPr>
          <w:rFonts w:ascii="Arial" w:eastAsia="Times New Roman" w:hAnsi="Arial" w:cs="Arial"/>
          <w:bCs/>
          <w:i/>
          <w:szCs w:val="24"/>
        </w:rPr>
        <w:t>Social Care Act 2022</w:t>
      </w:r>
      <w:r w:rsidRPr="00B610CB">
        <w:rPr>
          <w:rFonts w:ascii="Arial" w:eastAsia="Times New Roman" w:hAnsi="Arial" w:cs="Arial"/>
          <w:szCs w:val="24"/>
        </w:rPr>
        <w:t xml:space="preserve"> promotes integrated care through Integrated Care Systems, encouraging collaboration between NHS organisations, local authorities and community services. The </w:t>
      </w:r>
      <w:r w:rsidRPr="00EB1C19">
        <w:rPr>
          <w:rFonts w:ascii="Arial" w:eastAsia="Times New Roman" w:hAnsi="Arial" w:cs="Arial"/>
          <w:bCs/>
          <w:i/>
          <w:szCs w:val="24"/>
        </w:rPr>
        <w:t>Care Act 2014</w:t>
      </w:r>
      <w:r w:rsidRPr="00B610CB">
        <w:rPr>
          <w:rFonts w:ascii="Arial" w:eastAsia="Times New Roman" w:hAnsi="Arial" w:cs="Arial"/>
          <w:szCs w:val="24"/>
        </w:rPr>
        <w:t xml:space="preserve"> places wellbeing, personalised care and prevention at the centre of </w:t>
      </w:r>
      <w:r w:rsidRPr="00B610CB">
        <w:rPr>
          <w:rFonts w:ascii="Arial" w:eastAsia="Times New Roman" w:hAnsi="Arial" w:cs="Arial"/>
          <w:szCs w:val="24"/>
        </w:rPr>
        <w:lastRenderedPageBreak/>
        <w:t xml:space="preserve">adult social care while requiring cooperation between agencies. The </w:t>
      </w:r>
      <w:r w:rsidRPr="00EB1C19">
        <w:rPr>
          <w:rFonts w:ascii="Arial" w:eastAsia="Times New Roman" w:hAnsi="Arial" w:cs="Arial"/>
          <w:bCs/>
          <w:i/>
          <w:szCs w:val="24"/>
        </w:rPr>
        <w:t>Mental Health Act 1983</w:t>
      </w:r>
      <w:r w:rsidRPr="00B610CB">
        <w:rPr>
          <w:rFonts w:ascii="Arial" w:eastAsia="Times New Roman" w:hAnsi="Arial" w:cs="Arial"/>
          <w:bCs/>
          <w:szCs w:val="24"/>
        </w:rPr>
        <w:t xml:space="preserve"> (as amended 2007)</w:t>
      </w:r>
      <w:r w:rsidRPr="00B610CB">
        <w:rPr>
          <w:rFonts w:ascii="Arial" w:eastAsia="Times New Roman" w:hAnsi="Arial" w:cs="Arial"/>
          <w:szCs w:val="24"/>
        </w:rPr>
        <w:t xml:space="preserve"> governs compulsory assessment and treatment while safeguarding individuals' rights. The </w:t>
      </w:r>
      <w:r w:rsidRPr="00EB1C19">
        <w:rPr>
          <w:rFonts w:ascii="Arial" w:eastAsia="Times New Roman" w:hAnsi="Arial" w:cs="Arial"/>
          <w:bCs/>
          <w:i/>
          <w:szCs w:val="24"/>
        </w:rPr>
        <w:t>Mental Capacity Act 2005</w:t>
      </w:r>
      <w:r w:rsidRPr="00B610CB">
        <w:rPr>
          <w:rFonts w:ascii="Arial" w:eastAsia="Times New Roman" w:hAnsi="Arial" w:cs="Arial"/>
          <w:szCs w:val="24"/>
        </w:rPr>
        <w:t xml:space="preserve"> supports decision-making and protects individuals lacking capacity through best-interest principles. </w:t>
      </w:r>
    </w:p>
    <w:p w:rsidR="00A34D25" w:rsidRPr="00B610CB" w:rsidRDefault="00A34D25" w:rsidP="00911014">
      <w:pPr>
        <w:spacing w:before="100" w:beforeAutospacing="1" w:after="100" w:afterAutospacing="1" w:line="360" w:lineRule="auto"/>
        <w:jc w:val="both"/>
        <w:rPr>
          <w:rFonts w:ascii="Arial" w:eastAsia="Times New Roman" w:hAnsi="Arial" w:cs="Arial"/>
          <w:szCs w:val="24"/>
        </w:rPr>
      </w:pPr>
      <w:r w:rsidRPr="00B610CB">
        <w:rPr>
          <w:rFonts w:ascii="Arial" w:eastAsia="Times New Roman" w:hAnsi="Arial" w:cs="Arial"/>
          <w:szCs w:val="24"/>
        </w:rPr>
        <w:t xml:space="preserve">The </w:t>
      </w:r>
      <w:r w:rsidRPr="00B610CB">
        <w:rPr>
          <w:rFonts w:ascii="Arial" w:eastAsia="Times New Roman" w:hAnsi="Arial" w:cs="Arial"/>
          <w:bCs/>
          <w:szCs w:val="24"/>
        </w:rPr>
        <w:t>NHS Long Term Plan (2019)</w:t>
      </w:r>
      <w:r w:rsidRPr="00B610CB">
        <w:rPr>
          <w:rFonts w:ascii="Arial" w:eastAsia="Times New Roman" w:hAnsi="Arial" w:cs="Arial"/>
          <w:szCs w:val="24"/>
        </w:rPr>
        <w:t xml:space="preserve"> further strengthens personalised care, integrated community services and improved mental health provision across England.</w:t>
      </w:r>
      <w:r w:rsidR="005400F6" w:rsidRPr="00B610CB">
        <w:rPr>
          <w:rFonts w:ascii="Arial" w:eastAsia="Times New Roman" w:hAnsi="Arial" w:cs="Arial"/>
          <w:szCs w:val="24"/>
        </w:rPr>
        <w:t xml:space="preserve"> </w:t>
      </w:r>
      <w:r w:rsidRPr="00B610CB">
        <w:rPr>
          <w:rFonts w:ascii="Arial" w:eastAsia="Times New Roman" w:hAnsi="Arial" w:cs="Arial"/>
          <w:szCs w:val="24"/>
        </w:rPr>
        <w:t>Together, these legislative frameworks reinforce shared decision-making, multidisciplinary collaboration, safeguarding responsibilities and improved patient outcomes within UK mental health services.</w:t>
      </w:r>
    </w:p>
    <w:p w:rsidR="00A34D25" w:rsidRPr="00911014" w:rsidRDefault="00A34D25" w:rsidP="005400F6">
      <w:pPr>
        <w:pStyle w:val="Heading1"/>
      </w:pPr>
      <w:bookmarkStart w:id="27" w:name="_Toc235821129"/>
      <w:bookmarkStart w:id="28" w:name="_Toc235823959"/>
      <w:bookmarkStart w:id="29" w:name="_Toc235823995"/>
      <w:r w:rsidRPr="00911014">
        <w:t>Recommendations for Future Development</w:t>
      </w:r>
      <w:bookmarkEnd w:id="27"/>
      <w:bookmarkEnd w:id="28"/>
      <w:bookmarkEnd w:id="29"/>
    </w:p>
    <w:p w:rsidR="00A34D25" w:rsidRPr="00911014" w:rsidRDefault="00A34D25" w:rsidP="00911014">
      <w:pPr>
        <w:spacing w:before="100" w:beforeAutospacing="1" w:after="100" w:afterAutospacing="1" w:line="360" w:lineRule="auto"/>
        <w:jc w:val="both"/>
        <w:rPr>
          <w:rFonts w:ascii="Arial" w:eastAsia="Times New Roman" w:hAnsi="Arial" w:cs="Arial"/>
          <w:szCs w:val="24"/>
        </w:rPr>
      </w:pPr>
      <w:r w:rsidRPr="00911014">
        <w:rPr>
          <w:rFonts w:ascii="Arial" w:eastAsia="Times New Roman" w:hAnsi="Arial" w:cs="Arial"/>
          <w:szCs w:val="24"/>
        </w:rPr>
        <w:t>Future development of person-centred care and partnership working should focus on increasing workforce capacity through continued professional education and training in communication, shared decision-making and collaborative practice. Greater investment in digital health technologies and interoperable electronic health records would improve information sharing across organisations while maintaining confidentiality. Expanding community-based mental health services would reduce pressure on hospitals and support early intervention. Finally, involving service users and carers more consistently in service planning and policy development would strengthen personalised care and ensure services better reflect the needs of local communities.</w:t>
      </w:r>
      <w:r w:rsidR="00911014" w:rsidRPr="00911014">
        <w:rPr>
          <w:rFonts w:ascii="Arial" w:eastAsia="Times New Roman" w:hAnsi="Arial" w:cs="Arial"/>
          <w:szCs w:val="24"/>
        </w:rPr>
        <w:t xml:space="preserve"> </w:t>
      </w:r>
      <w:r w:rsidR="00911014" w:rsidRPr="00911014">
        <w:rPr>
          <w:rFonts w:ascii="Arial" w:hAnsi="Arial" w:cs="Arial"/>
          <w:szCs w:val="24"/>
        </w:rPr>
        <w:t>(NHS England, 2023)</w:t>
      </w:r>
    </w:p>
    <w:p w:rsidR="00A34D25" w:rsidRPr="00911014" w:rsidRDefault="00A34D25" w:rsidP="005400F6">
      <w:pPr>
        <w:pStyle w:val="Heading1"/>
      </w:pPr>
      <w:bookmarkStart w:id="30" w:name="_Toc235821130"/>
      <w:bookmarkStart w:id="31" w:name="_Toc235823960"/>
      <w:bookmarkStart w:id="32" w:name="_Toc235823996"/>
      <w:r w:rsidRPr="00911014">
        <w:t>Conclusion</w:t>
      </w:r>
      <w:bookmarkEnd w:id="30"/>
      <w:bookmarkEnd w:id="31"/>
      <w:bookmarkEnd w:id="32"/>
    </w:p>
    <w:p w:rsidR="00A34D25" w:rsidRPr="00911014" w:rsidRDefault="00A34D25" w:rsidP="00911014">
      <w:pPr>
        <w:spacing w:before="100" w:beforeAutospacing="1" w:after="100" w:afterAutospacing="1" w:line="360" w:lineRule="auto"/>
        <w:jc w:val="both"/>
        <w:rPr>
          <w:rFonts w:ascii="Arial" w:eastAsia="Times New Roman" w:hAnsi="Arial" w:cs="Arial"/>
          <w:szCs w:val="24"/>
        </w:rPr>
      </w:pPr>
      <w:r w:rsidRPr="00911014">
        <w:rPr>
          <w:rFonts w:ascii="Arial" w:eastAsia="Times New Roman" w:hAnsi="Arial" w:cs="Arial"/>
          <w:szCs w:val="24"/>
        </w:rPr>
        <w:t xml:space="preserve">Person-centred care and partnership working are essential components of high-quality mental health care within the UK. Person-centred approaches promote dignity, autonomy and recovery by recognising the unique needs of each individual, while partnership working ensures coordinated support across health and social care organisations. The application of Maslow's Hierarchy of Needs, and both the Medical and Social Models of Health demonstrates the importance of holistic and collaborative practice. Although challenges remain, current UK legislation and policy continue to strengthen integrated, person-centred mental health services. </w:t>
      </w:r>
      <w:r w:rsidR="00B03854">
        <w:rPr>
          <w:rFonts w:ascii="Arial" w:eastAsia="Times New Roman" w:hAnsi="Arial" w:cs="Arial"/>
          <w:szCs w:val="24"/>
        </w:rPr>
        <w:t xml:space="preserve">According to the </w:t>
      </w:r>
      <w:r w:rsidR="00B03854">
        <w:rPr>
          <w:rFonts w:ascii="Arial" w:eastAsia="Times New Roman" w:hAnsi="Arial" w:cs="Arial"/>
          <w:i/>
          <w:szCs w:val="24"/>
        </w:rPr>
        <w:t>Health and Social Care Act</w:t>
      </w:r>
      <w:r w:rsidR="00B03854" w:rsidRPr="00B03854">
        <w:rPr>
          <w:rFonts w:ascii="Arial" w:eastAsia="Times New Roman" w:hAnsi="Arial" w:cs="Arial"/>
          <w:i/>
          <w:szCs w:val="24"/>
        </w:rPr>
        <w:t xml:space="preserve"> 2022</w:t>
      </w:r>
      <w:r w:rsidR="00B03854">
        <w:rPr>
          <w:rFonts w:ascii="Arial" w:eastAsia="Times New Roman" w:hAnsi="Arial" w:cs="Arial"/>
          <w:i/>
          <w:szCs w:val="24"/>
        </w:rPr>
        <w:t>,</w:t>
      </w:r>
      <w:r w:rsidR="00B03854">
        <w:rPr>
          <w:rFonts w:ascii="Arial" w:eastAsia="Times New Roman" w:hAnsi="Arial" w:cs="Arial"/>
          <w:szCs w:val="24"/>
        </w:rPr>
        <w:t xml:space="preserve"> o</w:t>
      </w:r>
      <w:r w:rsidRPr="00911014">
        <w:rPr>
          <w:rFonts w:ascii="Arial" w:eastAsia="Times New Roman" w:hAnsi="Arial" w:cs="Arial"/>
          <w:szCs w:val="24"/>
        </w:rPr>
        <w:t>ngoing investment in workforce development, digital integration and service-user involvement will further improve outcomes and enhance the quality of care</w:t>
      </w:r>
      <w:r w:rsidRPr="00911014">
        <w:rPr>
          <w:rFonts w:ascii="Arial" w:eastAsia="Times New Roman" w:hAnsi="Arial" w:cs="Arial"/>
          <w:b/>
          <w:szCs w:val="24"/>
        </w:rPr>
        <w:t>.</w:t>
      </w:r>
    </w:p>
    <w:p w:rsidR="00A34D25" w:rsidRPr="00911014" w:rsidRDefault="00A34D25" w:rsidP="00911014">
      <w:pPr>
        <w:spacing w:after="0" w:line="360" w:lineRule="auto"/>
        <w:jc w:val="both"/>
        <w:rPr>
          <w:rFonts w:ascii="Arial" w:eastAsia="Times New Roman" w:hAnsi="Arial" w:cs="Arial"/>
          <w:szCs w:val="24"/>
        </w:rPr>
      </w:pPr>
    </w:p>
    <w:p w:rsidR="00A34D25" w:rsidRPr="00911014" w:rsidRDefault="00A34D25" w:rsidP="005400F6">
      <w:pPr>
        <w:pStyle w:val="Heading1"/>
      </w:pPr>
      <w:bookmarkStart w:id="33" w:name="_Toc235821131"/>
      <w:bookmarkStart w:id="34" w:name="_Toc235823961"/>
      <w:bookmarkStart w:id="35" w:name="_Toc235823997"/>
      <w:r w:rsidRPr="00911014">
        <w:lastRenderedPageBreak/>
        <w:t>References</w:t>
      </w:r>
      <w:bookmarkEnd w:id="33"/>
      <w:bookmarkEnd w:id="34"/>
      <w:bookmarkEnd w:id="35"/>
    </w:p>
    <w:p w:rsidR="00B03854" w:rsidRPr="00B03854" w:rsidRDefault="00B03854" w:rsidP="00B03854">
      <w:pPr>
        <w:pStyle w:val="ListParagraph"/>
        <w:numPr>
          <w:ilvl w:val="0"/>
          <w:numId w:val="1"/>
        </w:numPr>
        <w:spacing w:before="100" w:beforeAutospacing="1" w:after="100" w:afterAutospacing="1" w:line="360" w:lineRule="auto"/>
        <w:jc w:val="both"/>
        <w:rPr>
          <w:rFonts w:ascii="Arial" w:eastAsia="Times New Roman" w:hAnsi="Arial" w:cs="Arial"/>
        </w:rPr>
      </w:pPr>
      <w:r w:rsidRPr="00B03854">
        <w:rPr>
          <w:rFonts w:ascii="Arial" w:hAnsi="Arial" w:cs="Arial"/>
          <w:color w:val="212121"/>
          <w:shd w:val="clear" w:color="auto" w:fill="FFFFFF"/>
        </w:rPr>
        <w:t>Beauch</w:t>
      </w:r>
      <w:r w:rsidR="008C7CD0">
        <w:rPr>
          <w:rFonts w:ascii="Arial" w:hAnsi="Arial" w:cs="Arial"/>
          <w:color w:val="212121"/>
          <w:shd w:val="clear" w:color="auto" w:fill="FFFFFF"/>
        </w:rPr>
        <w:t>amp, T., and</w:t>
      </w:r>
      <w:r>
        <w:rPr>
          <w:rFonts w:ascii="Arial" w:hAnsi="Arial" w:cs="Arial"/>
          <w:color w:val="212121"/>
          <w:shd w:val="clear" w:color="auto" w:fill="FFFFFF"/>
        </w:rPr>
        <w:t xml:space="preserve"> Childress, J. (2019)</w:t>
      </w:r>
      <w:r w:rsidRPr="00B03854">
        <w:rPr>
          <w:rFonts w:ascii="Arial" w:hAnsi="Arial" w:cs="Arial"/>
          <w:color w:val="212121"/>
          <w:shd w:val="clear" w:color="auto" w:fill="FFFFFF"/>
        </w:rPr>
        <w:t> </w:t>
      </w:r>
      <w:r w:rsidR="008C7CD0">
        <w:rPr>
          <w:rFonts w:ascii="Arial" w:hAnsi="Arial" w:cs="Arial"/>
          <w:color w:val="212121"/>
          <w:shd w:val="clear" w:color="auto" w:fill="FFFFFF"/>
        </w:rPr>
        <w:t>‘</w:t>
      </w:r>
      <w:r w:rsidRPr="008C7CD0">
        <w:rPr>
          <w:rFonts w:ascii="Arial" w:hAnsi="Arial" w:cs="Arial"/>
          <w:iCs/>
          <w:color w:val="212121"/>
          <w:shd w:val="clear" w:color="auto" w:fill="FFFFFF"/>
        </w:rPr>
        <w:t>Principles of Biomedical Ethics</w:t>
      </w:r>
      <w:r w:rsidRPr="008C7CD0">
        <w:rPr>
          <w:rFonts w:ascii="Arial" w:hAnsi="Arial" w:cs="Arial"/>
          <w:color w:val="212121"/>
          <w:shd w:val="clear" w:color="auto" w:fill="FFFFFF"/>
        </w:rPr>
        <w:t>: Marking Its Fortieth Anniversary</w:t>
      </w:r>
      <w:r w:rsidR="008C7CD0">
        <w:rPr>
          <w:rFonts w:ascii="Arial" w:hAnsi="Arial" w:cs="Arial"/>
          <w:color w:val="212121"/>
          <w:shd w:val="clear" w:color="auto" w:fill="FFFFFF"/>
        </w:rPr>
        <w:t>’,</w:t>
      </w:r>
      <w:r w:rsidRPr="00B03854">
        <w:rPr>
          <w:rFonts w:ascii="Arial" w:hAnsi="Arial" w:cs="Arial"/>
          <w:color w:val="212121"/>
          <w:shd w:val="clear" w:color="auto" w:fill="FFFFFF"/>
        </w:rPr>
        <w:t> </w:t>
      </w:r>
      <w:r w:rsidRPr="00B03854">
        <w:rPr>
          <w:rFonts w:ascii="Arial" w:hAnsi="Arial" w:cs="Arial"/>
          <w:i/>
          <w:iCs/>
          <w:color w:val="212121"/>
          <w:shd w:val="clear" w:color="auto" w:fill="FFFFFF"/>
        </w:rPr>
        <w:t>The American journal of bioethics: AJOB</w:t>
      </w:r>
      <w:r w:rsidRPr="00B03854">
        <w:rPr>
          <w:rFonts w:ascii="Arial" w:hAnsi="Arial" w:cs="Arial"/>
          <w:color w:val="212121"/>
          <w:shd w:val="clear" w:color="auto" w:fill="FFFFFF"/>
        </w:rPr>
        <w:t>, </w:t>
      </w:r>
      <w:r w:rsidRPr="00B03854">
        <w:rPr>
          <w:rFonts w:ascii="Arial" w:hAnsi="Arial" w:cs="Arial"/>
          <w:i/>
          <w:iCs/>
          <w:color w:val="212121"/>
          <w:shd w:val="clear" w:color="auto" w:fill="FFFFFF"/>
        </w:rPr>
        <w:t>19</w:t>
      </w:r>
      <w:r w:rsidRPr="00B03854">
        <w:rPr>
          <w:rFonts w:ascii="Arial" w:hAnsi="Arial" w:cs="Arial"/>
          <w:color w:val="212121"/>
          <w:shd w:val="clear" w:color="auto" w:fill="FFFFFF"/>
        </w:rPr>
        <w:t xml:space="preserve">(11), 9–12. </w:t>
      </w:r>
      <w:hyperlink r:id="rId7" w:history="1">
        <w:r w:rsidR="008C7CD0" w:rsidRPr="00D819A8">
          <w:rPr>
            <w:rStyle w:val="Hyperlink"/>
            <w:rFonts w:ascii="Arial" w:hAnsi="Arial" w:cs="Arial"/>
            <w:shd w:val="clear" w:color="auto" w:fill="FFFFFF"/>
          </w:rPr>
          <w:t>https://doi.org/10.1080/15265161.2019.1665402</w:t>
        </w:r>
      </w:hyperlink>
      <w:r w:rsidR="008C7CD0">
        <w:rPr>
          <w:rFonts w:ascii="Arial" w:hAnsi="Arial" w:cs="Arial"/>
          <w:color w:val="212121"/>
          <w:shd w:val="clear" w:color="auto" w:fill="FFFFFF"/>
        </w:rPr>
        <w:t xml:space="preserve"> </w:t>
      </w:r>
    </w:p>
    <w:p w:rsidR="00EB1C19" w:rsidRPr="008C07EF" w:rsidRDefault="00EB1C19" w:rsidP="00B03854">
      <w:pPr>
        <w:pStyle w:val="NormalWeb"/>
        <w:numPr>
          <w:ilvl w:val="0"/>
          <w:numId w:val="1"/>
        </w:numPr>
        <w:spacing w:line="360" w:lineRule="auto"/>
        <w:jc w:val="both"/>
        <w:rPr>
          <w:rFonts w:ascii="Arial" w:hAnsi="Arial" w:cs="Arial"/>
          <w:sz w:val="22"/>
          <w:szCs w:val="22"/>
        </w:rPr>
      </w:pPr>
      <w:r w:rsidRPr="008C07EF">
        <w:rPr>
          <w:rStyle w:val="Emphasis"/>
          <w:rFonts w:ascii="Arial" w:eastAsiaTheme="majorEastAsia" w:hAnsi="Arial" w:cs="Arial"/>
          <w:sz w:val="22"/>
          <w:szCs w:val="22"/>
        </w:rPr>
        <w:t>Care Act 2014, C.23</w:t>
      </w:r>
      <w:r w:rsidRPr="008C07EF">
        <w:rPr>
          <w:rFonts w:ascii="Arial" w:hAnsi="Arial" w:cs="Arial"/>
          <w:sz w:val="22"/>
          <w:szCs w:val="22"/>
        </w:rPr>
        <w:t xml:space="preserve">. Available at: </w:t>
      </w:r>
      <w:hyperlink r:id="rId8" w:history="1">
        <w:r w:rsidRPr="008C07EF">
          <w:rPr>
            <w:rStyle w:val="Hyperlink"/>
            <w:rFonts w:ascii="Arial" w:hAnsi="Arial" w:cs="Arial"/>
            <w:sz w:val="22"/>
            <w:szCs w:val="22"/>
          </w:rPr>
          <w:t>https://www.legislation.gov.uk/ukpga/2014/23/contents</w:t>
        </w:r>
      </w:hyperlink>
      <w:r w:rsidRPr="008C07EF">
        <w:rPr>
          <w:rStyle w:val="Hyperlink"/>
          <w:rFonts w:ascii="Arial" w:hAnsi="Arial" w:cs="Arial"/>
          <w:sz w:val="22"/>
          <w:szCs w:val="22"/>
        </w:rPr>
        <w:t xml:space="preserve"> </w:t>
      </w:r>
      <w:r w:rsidRPr="008C07EF">
        <w:rPr>
          <w:rStyle w:val="Emphasis"/>
          <w:rFonts w:ascii="Arial" w:eastAsiaTheme="majorEastAsia" w:hAnsi="Arial" w:cs="Arial"/>
          <w:i w:val="0"/>
          <w:sz w:val="22"/>
          <w:szCs w:val="22"/>
        </w:rPr>
        <w:t>(Accessed: 21 July 2026)</w:t>
      </w:r>
    </w:p>
    <w:p w:rsidR="00A34D25" w:rsidRDefault="00A34D25" w:rsidP="00B03854">
      <w:pPr>
        <w:pStyle w:val="ListParagraph"/>
        <w:numPr>
          <w:ilvl w:val="0"/>
          <w:numId w:val="1"/>
        </w:numPr>
        <w:spacing w:before="100" w:beforeAutospacing="1" w:after="100" w:afterAutospacing="1" w:line="360" w:lineRule="auto"/>
        <w:jc w:val="both"/>
        <w:rPr>
          <w:rFonts w:ascii="Arial" w:eastAsia="Times New Roman" w:hAnsi="Arial" w:cs="Arial"/>
        </w:rPr>
      </w:pPr>
      <w:r w:rsidRPr="00B03854">
        <w:rPr>
          <w:rFonts w:ascii="Arial" w:eastAsia="Times New Roman" w:hAnsi="Arial" w:cs="Arial"/>
          <w:i/>
        </w:rPr>
        <w:t>H</w:t>
      </w:r>
      <w:r w:rsidR="00652585" w:rsidRPr="00B03854">
        <w:rPr>
          <w:rFonts w:ascii="Arial" w:eastAsia="Times New Roman" w:hAnsi="Arial" w:cs="Arial"/>
          <w:i/>
        </w:rPr>
        <w:t>ealth and Social Care Act 2022, C.31.</w:t>
      </w:r>
      <w:r w:rsidR="00652585" w:rsidRPr="00B03854">
        <w:rPr>
          <w:rFonts w:ascii="Arial" w:eastAsia="Times New Roman" w:hAnsi="Arial" w:cs="Arial"/>
        </w:rPr>
        <w:t xml:space="preserve"> Available at: </w:t>
      </w:r>
      <w:hyperlink r:id="rId9" w:history="1">
        <w:r w:rsidR="00652585" w:rsidRPr="00B03854">
          <w:rPr>
            <w:rStyle w:val="Hyperlink"/>
            <w:rFonts w:ascii="Arial" w:eastAsia="Times New Roman" w:hAnsi="Arial" w:cs="Arial"/>
          </w:rPr>
          <w:t>https://www.legislation.gov.uk/ukpga/2022/31/contents</w:t>
        </w:r>
      </w:hyperlink>
      <w:r w:rsidR="00652585" w:rsidRPr="00B03854">
        <w:rPr>
          <w:rFonts w:ascii="Arial" w:eastAsia="Times New Roman" w:hAnsi="Arial" w:cs="Arial"/>
        </w:rPr>
        <w:t xml:space="preserve"> (Accessed: 22 July 2026).</w:t>
      </w:r>
    </w:p>
    <w:p w:rsidR="00FE6205" w:rsidRDefault="00FE6205" w:rsidP="00FE6205">
      <w:pPr>
        <w:pStyle w:val="NormalWeb"/>
        <w:numPr>
          <w:ilvl w:val="0"/>
          <w:numId w:val="1"/>
        </w:numPr>
        <w:spacing w:line="360" w:lineRule="auto"/>
        <w:jc w:val="both"/>
        <w:rPr>
          <w:rFonts w:ascii="Arial" w:hAnsi="Arial" w:cs="Arial"/>
          <w:sz w:val="22"/>
          <w:szCs w:val="22"/>
        </w:rPr>
      </w:pPr>
      <w:r w:rsidRPr="00C8705A">
        <w:rPr>
          <w:rFonts w:ascii="Arial" w:hAnsi="Arial" w:cs="Arial"/>
          <w:sz w:val="22"/>
          <w:szCs w:val="22"/>
        </w:rPr>
        <w:t xml:space="preserve">Health and Care Professions Council (2024) </w:t>
      </w:r>
      <w:r w:rsidRPr="00C8705A">
        <w:rPr>
          <w:rStyle w:val="Emphasis"/>
          <w:rFonts w:ascii="Arial" w:eastAsiaTheme="majorEastAsia" w:hAnsi="Arial" w:cs="Arial"/>
          <w:sz w:val="22"/>
          <w:szCs w:val="22"/>
        </w:rPr>
        <w:t>Standards of Conduct, Performance and Ethics</w:t>
      </w:r>
      <w:r w:rsidRPr="00C8705A">
        <w:rPr>
          <w:rFonts w:ascii="Arial" w:hAnsi="Arial" w:cs="Arial"/>
          <w:sz w:val="22"/>
          <w:szCs w:val="22"/>
        </w:rPr>
        <w:t xml:space="preserve">. Available at: </w:t>
      </w:r>
      <w:hyperlink r:id="rId10" w:history="1">
        <w:r w:rsidRPr="00C8705A">
          <w:rPr>
            <w:rStyle w:val="Hyperlink"/>
            <w:rFonts w:ascii="Arial" w:hAnsi="Arial" w:cs="Arial"/>
            <w:sz w:val="22"/>
            <w:szCs w:val="22"/>
          </w:rPr>
          <w:t>https://www.hcpc-uk.org/standards/standards-of-conduct-performance-and-ethics/</w:t>
        </w:r>
      </w:hyperlink>
      <w:r w:rsidRPr="00C8705A">
        <w:rPr>
          <w:rFonts w:ascii="Arial" w:hAnsi="Arial" w:cs="Arial"/>
          <w:sz w:val="22"/>
          <w:szCs w:val="22"/>
        </w:rPr>
        <w:t xml:space="preserve"> (Accessed: 20 July 2026).</w:t>
      </w:r>
    </w:p>
    <w:p w:rsidR="008370CC" w:rsidRPr="00C8705A" w:rsidRDefault="008370CC" w:rsidP="008370CC">
      <w:pPr>
        <w:pStyle w:val="NormalWeb"/>
        <w:numPr>
          <w:ilvl w:val="0"/>
          <w:numId w:val="1"/>
        </w:numPr>
        <w:spacing w:line="360" w:lineRule="auto"/>
        <w:jc w:val="both"/>
        <w:rPr>
          <w:rFonts w:ascii="Arial" w:hAnsi="Arial" w:cs="Arial"/>
          <w:sz w:val="22"/>
          <w:szCs w:val="22"/>
        </w:rPr>
      </w:pPr>
      <w:r>
        <w:rPr>
          <w:rFonts w:ascii="Arial" w:hAnsi="Arial" w:cs="Arial"/>
          <w:sz w:val="22"/>
          <w:szCs w:val="22"/>
        </w:rPr>
        <w:t>Huda A. S. (2021)</w:t>
      </w:r>
      <w:r w:rsidRPr="008370CC">
        <w:rPr>
          <w:rFonts w:ascii="Arial" w:hAnsi="Arial" w:cs="Arial"/>
          <w:sz w:val="22"/>
          <w:szCs w:val="22"/>
        </w:rPr>
        <w:t xml:space="preserve"> </w:t>
      </w:r>
      <w:r>
        <w:rPr>
          <w:rFonts w:ascii="Arial" w:hAnsi="Arial" w:cs="Arial"/>
          <w:sz w:val="22"/>
          <w:szCs w:val="22"/>
        </w:rPr>
        <w:t>‘</w:t>
      </w:r>
      <w:r w:rsidRPr="008370CC">
        <w:rPr>
          <w:rFonts w:ascii="Arial" w:hAnsi="Arial" w:cs="Arial"/>
          <w:sz w:val="22"/>
          <w:szCs w:val="22"/>
        </w:rPr>
        <w:t>The medical model and its application in mental health</w:t>
      </w:r>
      <w:r>
        <w:rPr>
          <w:rFonts w:ascii="Arial" w:hAnsi="Arial" w:cs="Arial"/>
          <w:sz w:val="22"/>
          <w:szCs w:val="22"/>
        </w:rPr>
        <w:t>’,</w:t>
      </w:r>
      <w:r w:rsidRPr="008370CC">
        <w:rPr>
          <w:rFonts w:ascii="Arial" w:hAnsi="Arial" w:cs="Arial"/>
          <w:sz w:val="22"/>
          <w:szCs w:val="22"/>
        </w:rPr>
        <w:t xml:space="preserve"> </w:t>
      </w:r>
      <w:r w:rsidRPr="008370CC">
        <w:rPr>
          <w:rFonts w:ascii="Arial" w:hAnsi="Arial" w:cs="Arial"/>
          <w:i/>
          <w:sz w:val="22"/>
          <w:szCs w:val="22"/>
        </w:rPr>
        <w:t>International review of psychiatry (Abingdon, England)</w:t>
      </w:r>
      <w:r w:rsidRPr="008370CC">
        <w:rPr>
          <w:rFonts w:ascii="Arial" w:hAnsi="Arial" w:cs="Arial"/>
          <w:sz w:val="22"/>
          <w:szCs w:val="22"/>
        </w:rPr>
        <w:t xml:space="preserve">, 33(5), 463–470. </w:t>
      </w:r>
      <w:hyperlink r:id="rId11" w:history="1">
        <w:r w:rsidRPr="00BB7A99">
          <w:rPr>
            <w:rStyle w:val="Hyperlink"/>
            <w:rFonts w:ascii="Arial" w:hAnsi="Arial" w:cs="Arial"/>
            <w:sz w:val="22"/>
            <w:szCs w:val="22"/>
          </w:rPr>
          <w:t>https://doi.org/10.1080/09540261.2020.1845125</w:t>
        </w:r>
      </w:hyperlink>
      <w:r>
        <w:rPr>
          <w:rFonts w:ascii="Arial" w:hAnsi="Arial" w:cs="Arial"/>
          <w:sz w:val="22"/>
          <w:szCs w:val="22"/>
        </w:rPr>
        <w:t xml:space="preserve"> </w:t>
      </w:r>
    </w:p>
    <w:p w:rsidR="00B03854" w:rsidRPr="00C8705A" w:rsidRDefault="00B03854" w:rsidP="00B03854">
      <w:pPr>
        <w:pStyle w:val="NormalWeb"/>
        <w:numPr>
          <w:ilvl w:val="0"/>
          <w:numId w:val="1"/>
        </w:numPr>
        <w:spacing w:line="360" w:lineRule="auto"/>
        <w:jc w:val="both"/>
        <w:rPr>
          <w:rFonts w:ascii="Arial" w:hAnsi="Arial" w:cs="Arial"/>
          <w:sz w:val="22"/>
          <w:szCs w:val="22"/>
        </w:rPr>
      </w:pPr>
      <w:r w:rsidRPr="00C8705A">
        <w:rPr>
          <w:rFonts w:ascii="Arial" w:hAnsi="Arial" w:cs="Arial"/>
          <w:sz w:val="22"/>
          <w:szCs w:val="22"/>
        </w:rPr>
        <w:t xml:space="preserve">Manley, K. et al. (2014) ‘A shared purpose framework to deliver person-centred, safe and effective care: organisational transformation using practice development methodology’, </w:t>
      </w:r>
      <w:r w:rsidRPr="00C8705A">
        <w:rPr>
          <w:rFonts w:ascii="Arial" w:hAnsi="Arial" w:cs="Arial"/>
          <w:i/>
          <w:sz w:val="22"/>
          <w:szCs w:val="22"/>
        </w:rPr>
        <w:t>International Practice Development Journal</w:t>
      </w:r>
      <w:r w:rsidRPr="00C8705A">
        <w:rPr>
          <w:rFonts w:ascii="Arial" w:hAnsi="Arial" w:cs="Arial"/>
          <w:sz w:val="22"/>
          <w:szCs w:val="22"/>
        </w:rPr>
        <w:t xml:space="preserve">, 4. 1-31. 10.19043/ipdj.41.002  </w:t>
      </w:r>
    </w:p>
    <w:p w:rsidR="00A34D25" w:rsidRPr="00B03854" w:rsidRDefault="008C07EF" w:rsidP="00B03854">
      <w:pPr>
        <w:pStyle w:val="ListParagraph"/>
        <w:numPr>
          <w:ilvl w:val="0"/>
          <w:numId w:val="1"/>
        </w:numPr>
        <w:spacing w:before="100" w:beforeAutospacing="1" w:after="100" w:afterAutospacing="1" w:line="360" w:lineRule="auto"/>
        <w:jc w:val="both"/>
        <w:rPr>
          <w:rFonts w:ascii="Arial" w:eastAsia="Times New Roman" w:hAnsi="Arial" w:cs="Arial"/>
        </w:rPr>
      </w:pPr>
      <w:r w:rsidRPr="00B03854">
        <w:rPr>
          <w:rFonts w:ascii="Arial" w:hAnsi="Arial" w:cs="Arial"/>
          <w:color w:val="333333"/>
          <w:shd w:val="clear" w:color="auto" w:fill="FFFFFF"/>
        </w:rPr>
        <w:t>Maslow, A. H. (1943) ‘A theory of human motivation’. </w:t>
      </w:r>
      <w:r w:rsidRPr="00B03854">
        <w:rPr>
          <w:rStyle w:val="Emphasis"/>
          <w:rFonts w:ascii="Arial" w:hAnsi="Arial" w:cs="Arial"/>
          <w:color w:val="333333"/>
          <w:shd w:val="clear" w:color="auto" w:fill="FFFFFF"/>
        </w:rPr>
        <w:t>Psychological Review, 50</w:t>
      </w:r>
      <w:r w:rsidRPr="00B03854">
        <w:rPr>
          <w:rFonts w:ascii="Arial" w:hAnsi="Arial" w:cs="Arial"/>
          <w:color w:val="333333"/>
          <w:shd w:val="clear" w:color="auto" w:fill="FFFFFF"/>
        </w:rPr>
        <w:t>(4), 370–396. </w:t>
      </w:r>
      <w:hyperlink r:id="rId12" w:tgtFrame="_blank" w:history="1">
        <w:r w:rsidRPr="00B03854">
          <w:rPr>
            <w:rStyle w:val="Hyperlink"/>
            <w:rFonts w:ascii="Arial" w:hAnsi="Arial" w:cs="Arial"/>
            <w:color w:val="2C72B7"/>
            <w:shd w:val="clear" w:color="auto" w:fill="FFFFFF"/>
          </w:rPr>
          <w:t>https://doi.org/10.1037/h0054346</w:t>
        </w:r>
      </w:hyperlink>
      <w:r w:rsidRPr="00B03854">
        <w:rPr>
          <w:rFonts w:ascii="Arial" w:hAnsi="Arial" w:cs="Arial"/>
        </w:rPr>
        <w:t xml:space="preserve"> </w:t>
      </w:r>
      <w:r w:rsidR="00734ADF" w:rsidRPr="00B03854">
        <w:rPr>
          <w:rFonts w:ascii="Arial" w:eastAsia="Times New Roman" w:hAnsi="Arial" w:cs="Arial"/>
        </w:rPr>
        <w:t>(Accessed: 21 July 2026).</w:t>
      </w:r>
    </w:p>
    <w:p w:rsidR="00A34D25" w:rsidRPr="00B03854" w:rsidRDefault="00A34D25" w:rsidP="00B03854">
      <w:pPr>
        <w:pStyle w:val="ListParagraph"/>
        <w:numPr>
          <w:ilvl w:val="0"/>
          <w:numId w:val="1"/>
        </w:numPr>
        <w:spacing w:before="100" w:beforeAutospacing="1" w:after="100" w:afterAutospacing="1" w:line="360" w:lineRule="auto"/>
        <w:jc w:val="both"/>
        <w:rPr>
          <w:rFonts w:ascii="Arial" w:eastAsia="Times New Roman" w:hAnsi="Arial" w:cs="Arial"/>
          <w:szCs w:val="24"/>
        </w:rPr>
      </w:pPr>
      <w:r w:rsidRPr="00B03854">
        <w:rPr>
          <w:rFonts w:ascii="Arial" w:eastAsia="Times New Roman" w:hAnsi="Arial" w:cs="Arial"/>
          <w:i/>
          <w:szCs w:val="24"/>
        </w:rPr>
        <w:t>Me</w:t>
      </w:r>
      <w:r w:rsidR="003F3627" w:rsidRPr="00B03854">
        <w:rPr>
          <w:rFonts w:ascii="Arial" w:eastAsia="Times New Roman" w:hAnsi="Arial" w:cs="Arial"/>
          <w:i/>
          <w:szCs w:val="24"/>
        </w:rPr>
        <w:t>ntal Capacity Act 2005, C.9.</w:t>
      </w:r>
      <w:r w:rsidR="003F3627" w:rsidRPr="00B03854">
        <w:rPr>
          <w:rFonts w:ascii="Arial" w:eastAsia="Times New Roman" w:hAnsi="Arial" w:cs="Arial"/>
          <w:szCs w:val="24"/>
        </w:rPr>
        <w:t xml:space="preserve"> Available at: </w:t>
      </w:r>
      <w:hyperlink r:id="rId13" w:history="1">
        <w:r w:rsidR="003F3627" w:rsidRPr="00B03854">
          <w:rPr>
            <w:rStyle w:val="Hyperlink"/>
            <w:rFonts w:ascii="Arial" w:eastAsia="Times New Roman" w:hAnsi="Arial" w:cs="Arial"/>
            <w:szCs w:val="24"/>
          </w:rPr>
          <w:t>https://www.legislation.gov.uk/ukpga/2005/9/contents</w:t>
        </w:r>
      </w:hyperlink>
      <w:r w:rsidR="003F3627" w:rsidRPr="00B03854">
        <w:rPr>
          <w:rFonts w:ascii="Arial" w:eastAsia="Times New Roman" w:hAnsi="Arial" w:cs="Arial"/>
          <w:szCs w:val="24"/>
        </w:rPr>
        <w:t xml:space="preserve"> </w:t>
      </w:r>
      <w:r w:rsidR="00734ADF" w:rsidRPr="00B03854">
        <w:rPr>
          <w:rFonts w:ascii="Arial" w:eastAsia="Times New Roman" w:hAnsi="Arial" w:cs="Arial"/>
        </w:rPr>
        <w:t>(Accessed: 21 July 2026).</w:t>
      </w:r>
    </w:p>
    <w:p w:rsidR="00A34D25" w:rsidRDefault="00A34D25" w:rsidP="00B03854">
      <w:pPr>
        <w:pStyle w:val="ListParagraph"/>
        <w:numPr>
          <w:ilvl w:val="0"/>
          <w:numId w:val="1"/>
        </w:numPr>
        <w:spacing w:before="100" w:beforeAutospacing="1" w:after="100" w:afterAutospacing="1" w:line="360" w:lineRule="auto"/>
        <w:jc w:val="both"/>
        <w:rPr>
          <w:rFonts w:ascii="Arial" w:eastAsia="Times New Roman" w:hAnsi="Arial" w:cs="Arial"/>
          <w:i/>
          <w:szCs w:val="24"/>
        </w:rPr>
      </w:pPr>
      <w:r w:rsidRPr="00B03854">
        <w:rPr>
          <w:rFonts w:ascii="Arial" w:eastAsia="Times New Roman" w:hAnsi="Arial" w:cs="Arial"/>
          <w:i/>
          <w:szCs w:val="24"/>
        </w:rPr>
        <w:t>Mental He</w:t>
      </w:r>
      <w:r w:rsidR="00311D6F" w:rsidRPr="00B03854">
        <w:rPr>
          <w:rFonts w:ascii="Arial" w:eastAsia="Times New Roman" w:hAnsi="Arial" w:cs="Arial"/>
          <w:i/>
          <w:szCs w:val="24"/>
        </w:rPr>
        <w:t xml:space="preserve">alth Act 1983 (as amended 2007), C.12. </w:t>
      </w:r>
      <w:r w:rsidR="00311D6F" w:rsidRPr="00B03854">
        <w:rPr>
          <w:rFonts w:ascii="Arial" w:eastAsia="Times New Roman" w:hAnsi="Arial" w:cs="Arial"/>
          <w:szCs w:val="24"/>
        </w:rPr>
        <w:t xml:space="preserve">Available at: </w:t>
      </w:r>
      <w:hyperlink r:id="rId14" w:history="1">
        <w:r w:rsidR="00311D6F" w:rsidRPr="00B03854">
          <w:rPr>
            <w:rStyle w:val="Hyperlink"/>
            <w:rFonts w:ascii="Arial" w:eastAsia="Times New Roman" w:hAnsi="Arial" w:cs="Arial"/>
            <w:szCs w:val="24"/>
          </w:rPr>
          <w:t>https://www.legislation.gov.uk/ukpga/2007/12/contents</w:t>
        </w:r>
      </w:hyperlink>
      <w:r w:rsidR="00311D6F" w:rsidRPr="00B03854">
        <w:rPr>
          <w:rFonts w:ascii="Arial" w:eastAsia="Times New Roman" w:hAnsi="Arial" w:cs="Arial"/>
          <w:szCs w:val="24"/>
        </w:rPr>
        <w:t xml:space="preserve"> (Accessed: 20 July 2026).</w:t>
      </w:r>
      <w:r w:rsidRPr="00B03854">
        <w:rPr>
          <w:rFonts w:ascii="Arial" w:eastAsia="Times New Roman" w:hAnsi="Arial" w:cs="Arial"/>
          <w:i/>
          <w:szCs w:val="24"/>
        </w:rPr>
        <w:t xml:space="preserve"> </w:t>
      </w:r>
    </w:p>
    <w:p w:rsidR="00260183" w:rsidRPr="00260183" w:rsidRDefault="00260183" w:rsidP="00260183">
      <w:pPr>
        <w:pStyle w:val="ListParagraph"/>
        <w:numPr>
          <w:ilvl w:val="0"/>
          <w:numId w:val="1"/>
        </w:numPr>
        <w:spacing w:before="100" w:beforeAutospacing="1" w:after="100" w:afterAutospacing="1" w:line="360" w:lineRule="auto"/>
        <w:jc w:val="both"/>
        <w:rPr>
          <w:rFonts w:ascii="Arial" w:eastAsia="Times New Roman" w:hAnsi="Arial" w:cs="Arial"/>
          <w:szCs w:val="24"/>
        </w:rPr>
      </w:pPr>
      <w:r>
        <w:rPr>
          <w:rFonts w:ascii="Arial" w:eastAsia="Times New Roman" w:hAnsi="Arial" w:cs="Arial"/>
          <w:szCs w:val="24"/>
        </w:rPr>
        <w:t>Moore, L.</w:t>
      </w:r>
      <w:r w:rsidRPr="00260183">
        <w:rPr>
          <w:rFonts w:ascii="Arial" w:eastAsia="Times New Roman" w:hAnsi="Arial" w:cs="Arial"/>
          <w:szCs w:val="24"/>
        </w:rPr>
        <w:t xml:space="preserve"> </w:t>
      </w:r>
      <w:r>
        <w:rPr>
          <w:rFonts w:ascii="Arial" w:eastAsia="Times New Roman" w:hAnsi="Arial" w:cs="Arial"/>
          <w:szCs w:val="24"/>
        </w:rPr>
        <w:t>et al. (2017)</w:t>
      </w:r>
      <w:r w:rsidRPr="00260183">
        <w:rPr>
          <w:rFonts w:ascii="Arial" w:eastAsia="Times New Roman" w:hAnsi="Arial" w:cs="Arial"/>
          <w:szCs w:val="24"/>
        </w:rPr>
        <w:t xml:space="preserve"> </w:t>
      </w:r>
      <w:r>
        <w:rPr>
          <w:rFonts w:ascii="Arial" w:eastAsia="Times New Roman" w:hAnsi="Arial" w:cs="Arial"/>
          <w:szCs w:val="24"/>
        </w:rPr>
        <w:t>‘</w:t>
      </w:r>
      <w:r w:rsidRPr="00260183">
        <w:rPr>
          <w:rFonts w:ascii="Arial" w:eastAsia="Times New Roman" w:hAnsi="Arial" w:cs="Arial"/>
          <w:szCs w:val="24"/>
        </w:rPr>
        <w:t>Barriers and facilitators to the implementation of person-centred care in different healthcare contexts</w:t>
      </w:r>
      <w:r>
        <w:rPr>
          <w:rFonts w:ascii="Arial" w:eastAsia="Times New Roman" w:hAnsi="Arial" w:cs="Arial"/>
          <w:szCs w:val="24"/>
        </w:rPr>
        <w:t>’,</w:t>
      </w:r>
      <w:r w:rsidRPr="00260183">
        <w:rPr>
          <w:rFonts w:ascii="Arial" w:eastAsia="Times New Roman" w:hAnsi="Arial" w:cs="Arial"/>
          <w:szCs w:val="24"/>
        </w:rPr>
        <w:t xml:space="preserve"> </w:t>
      </w:r>
      <w:r w:rsidRPr="00260183">
        <w:rPr>
          <w:rFonts w:ascii="Arial" w:eastAsia="Times New Roman" w:hAnsi="Arial" w:cs="Arial"/>
          <w:i/>
          <w:szCs w:val="24"/>
        </w:rPr>
        <w:t>Scandinavian journal of caring sciences</w:t>
      </w:r>
      <w:r w:rsidRPr="00260183">
        <w:rPr>
          <w:rFonts w:ascii="Arial" w:eastAsia="Times New Roman" w:hAnsi="Arial" w:cs="Arial"/>
          <w:szCs w:val="24"/>
        </w:rPr>
        <w:t xml:space="preserve">, 31(4), 662–673. </w:t>
      </w:r>
      <w:hyperlink r:id="rId15" w:history="1">
        <w:r w:rsidRPr="00260183">
          <w:rPr>
            <w:rStyle w:val="Hyperlink"/>
            <w:rFonts w:ascii="Arial" w:eastAsia="Times New Roman" w:hAnsi="Arial" w:cs="Arial"/>
            <w:szCs w:val="24"/>
          </w:rPr>
          <w:t>https://doi.org/10.1111/scs.12376</w:t>
        </w:r>
      </w:hyperlink>
      <w:r w:rsidRPr="00260183">
        <w:rPr>
          <w:rFonts w:ascii="Arial" w:eastAsia="Times New Roman" w:hAnsi="Arial" w:cs="Arial"/>
          <w:szCs w:val="24"/>
        </w:rPr>
        <w:t xml:space="preserve"> </w:t>
      </w:r>
    </w:p>
    <w:p w:rsidR="00B03854" w:rsidRPr="00C8705A" w:rsidRDefault="00B03854" w:rsidP="00B03854">
      <w:pPr>
        <w:pStyle w:val="NormalWeb"/>
        <w:numPr>
          <w:ilvl w:val="0"/>
          <w:numId w:val="1"/>
        </w:numPr>
        <w:spacing w:line="360" w:lineRule="auto"/>
        <w:jc w:val="both"/>
        <w:rPr>
          <w:rFonts w:ascii="Arial" w:hAnsi="Arial" w:cs="Arial"/>
          <w:sz w:val="22"/>
          <w:szCs w:val="22"/>
        </w:rPr>
      </w:pPr>
      <w:r w:rsidRPr="00C8705A">
        <w:rPr>
          <w:rFonts w:ascii="Arial" w:hAnsi="Arial" w:cs="Arial"/>
          <w:sz w:val="22"/>
          <w:szCs w:val="22"/>
        </w:rPr>
        <w:t>Morgan, S., and Yoder, L. H. (2012) ‘A concept analysis of person-</w:t>
      </w:r>
      <w:proofErr w:type="spellStart"/>
      <w:r w:rsidRPr="00C8705A">
        <w:rPr>
          <w:rFonts w:ascii="Arial" w:hAnsi="Arial" w:cs="Arial"/>
          <w:sz w:val="22"/>
          <w:szCs w:val="22"/>
        </w:rPr>
        <w:t>centered</w:t>
      </w:r>
      <w:proofErr w:type="spellEnd"/>
      <w:r w:rsidRPr="00C8705A">
        <w:rPr>
          <w:rFonts w:ascii="Arial" w:hAnsi="Arial" w:cs="Arial"/>
          <w:sz w:val="22"/>
          <w:szCs w:val="22"/>
        </w:rPr>
        <w:t xml:space="preserve"> care’, </w:t>
      </w:r>
      <w:r w:rsidRPr="00C8705A">
        <w:rPr>
          <w:rFonts w:ascii="Arial" w:hAnsi="Arial" w:cs="Arial"/>
          <w:i/>
          <w:sz w:val="22"/>
          <w:szCs w:val="22"/>
        </w:rPr>
        <w:t>Journal of holistic nursing: official journal of the American Holistic Nurses' Association</w:t>
      </w:r>
      <w:r w:rsidRPr="00C8705A">
        <w:rPr>
          <w:rFonts w:ascii="Arial" w:hAnsi="Arial" w:cs="Arial"/>
          <w:sz w:val="22"/>
          <w:szCs w:val="22"/>
        </w:rPr>
        <w:t xml:space="preserve">, 30(1), 6–15. </w:t>
      </w:r>
      <w:hyperlink r:id="rId16" w:history="1">
        <w:r w:rsidRPr="00C8705A">
          <w:rPr>
            <w:rStyle w:val="Hyperlink"/>
            <w:rFonts w:ascii="Arial" w:hAnsi="Arial" w:cs="Arial"/>
            <w:sz w:val="22"/>
            <w:szCs w:val="22"/>
          </w:rPr>
          <w:t>https://doi.org/10.1177/0898010111412189</w:t>
        </w:r>
      </w:hyperlink>
      <w:r w:rsidRPr="00C8705A">
        <w:rPr>
          <w:rFonts w:ascii="Arial" w:hAnsi="Arial" w:cs="Arial"/>
          <w:sz w:val="22"/>
          <w:szCs w:val="22"/>
        </w:rPr>
        <w:t xml:space="preserve"> </w:t>
      </w:r>
    </w:p>
    <w:p w:rsidR="00EB1C19" w:rsidRPr="00C8705A" w:rsidRDefault="00EB1C19" w:rsidP="00B03854">
      <w:pPr>
        <w:pStyle w:val="NormalWeb"/>
        <w:numPr>
          <w:ilvl w:val="0"/>
          <w:numId w:val="1"/>
        </w:numPr>
        <w:spacing w:line="360" w:lineRule="auto"/>
        <w:jc w:val="both"/>
        <w:rPr>
          <w:rFonts w:ascii="Arial" w:hAnsi="Arial" w:cs="Arial"/>
          <w:sz w:val="22"/>
          <w:szCs w:val="22"/>
        </w:rPr>
      </w:pPr>
      <w:r w:rsidRPr="00C8705A">
        <w:rPr>
          <w:rFonts w:ascii="Arial" w:hAnsi="Arial" w:cs="Arial"/>
          <w:sz w:val="22"/>
          <w:szCs w:val="22"/>
        </w:rPr>
        <w:t xml:space="preserve">NHS England (2019) </w:t>
      </w:r>
      <w:r w:rsidRPr="00C8705A">
        <w:rPr>
          <w:rStyle w:val="Emphasis"/>
          <w:rFonts w:ascii="Arial" w:eastAsiaTheme="majorEastAsia" w:hAnsi="Arial" w:cs="Arial"/>
          <w:sz w:val="22"/>
          <w:szCs w:val="22"/>
        </w:rPr>
        <w:t>The NHS Long Term Plan</w:t>
      </w:r>
      <w:r w:rsidRPr="00C8705A">
        <w:rPr>
          <w:rFonts w:ascii="Arial" w:hAnsi="Arial" w:cs="Arial"/>
          <w:sz w:val="22"/>
          <w:szCs w:val="22"/>
        </w:rPr>
        <w:t xml:space="preserve">. Available at: </w:t>
      </w:r>
      <w:hyperlink r:id="rId17" w:history="1">
        <w:r w:rsidRPr="00C8705A">
          <w:rPr>
            <w:rStyle w:val="Hyperlink"/>
            <w:rFonts w:ascii="Arial" w:hAnsi="Arial" w:cs="Arial"/>
            <w:sz w:val="22"/>
            <w:szCs w:val="22"/>
          </w:rPr>
          <w:t>https://extranet.who.int/countryplanningcycles/sites/default/files/public_file_rep/GBR_United-Kingdom_NHS-Long-term-plan_2019.pdf</w:t>
        </w:r>
      </w:hyperlink>
      <w:r w:rsidRPr="00C8705A">
        <w:rPr>
          <w:rFonts w:ascii="Arial" w:hAnsi="Arial" w:cs="Arial"/>
          <w:sz w:val="22"/>
          <w:szCs w:val="22"/>
        </w:rPr>
        <w:t xml:space="preserve"> (Accessed: 21 July 2026). </w:t>
      </w:r>
    </w:p>
    <w:p w:rsidR="00A34D25" w:rsidRPr="00B03854" w:rsidRDefault="00B03854" w:rsidP="00B03854">
      <w:pPr>
        <w:pStyle w:val="ListParagraph"/>
        <w:numPr>
          <w:ilvl w:val="0"/>
          <w:numId w:val="1"/>
        </w:numPr>
        <w:spacing w:before="100" w:beforeAutospacing="1" w:after="100" w:afterAutospacing="1" w:line="360" w:lineRule="auto"/>
        <w:jc w:val="both"/>
        <w:rPr>
          <w:rFonts w:ascii="Arial" w:eastAsia="Times New Roman" w:hAnsi="Arial" w:cs="Arial"/>
          <w:szCs w:val="24"/>
        </w:rPr>
      </w:pPr>
      <w:r w:rsidRPr="00B03854">
        <w:rPr>
          <w:rFonts w:ascii="Arial" w:eastAsia="Times New Roman" w:hAnsi="Arial" w:cs="Arial"/>
          <w:szCs w:val="24"/>
        </w:rPr>
        <w:lastRenderedPageBreak/>
        <w:t>NHS England (2026</w:t>
      </w:r>
      <w:r w:rsidR="00A34D25" w:rsidRPr="00B03854">
        <w:rPr>
          <w:rFonts w:ascii="Arial" w:eastAsia="Times New Roman" w:hAnsi="Arial" w:cs="Arial"/>
          <w:szCs w:val="24"/>
        </w:rPr>
        <w:t xml:space="preserve">) </w:t>
      </w:r>
      <w:r w:rsidR="00A34D25" w:rsidRPr="00B03854">
        <w:rPr>
          <w:rFonts w:ascii="Arial" w:eastAsia="Times New Roman" w:hAnsi="Arial" w:cs="Arial"/>
          <w:i/>
          <w:iCs/>
          <w:szCs w:val="24"/>
        </w:rPr>
        <w:t xml:space="preserve">Comprehensive Model for </w:t>
      </w:r>
      <w:proofErr w:type="spellStart"/>
      <w:r w:rsidR="00A34D25" w:rsidRPr="00B03854">
        <w:rPr>
          <w:rFonts w:ascii="Arial" w:eastAsia="Times New Roman" w:hAnsi="Arial" w:cs="Arial"/>
          <w:i/>
          <w:iCs/>
          <w:szCs w:val="24"/>
        </w:rPr>
        <w:t>Personalis</w:t>
      </w:r>
      <w:proofErr w:type="spellEnd"/>
      <w:r w:rsidRPr="00B03854">
        <w:rPr>
          <w:rFonts w:ascii="Arial" w:eastAsia="Times New Roman" w:hAnsi="Arial" w:cs="Arial"/>
          <w:i/>
          <w:iCs/>
          <w:szCs w:val="24"/>
        </w:rPr>
        <w:t xml:space="preserve"> </w:t>
      </w:r>
      <w:proofErr w:type="spellStart"/>
      <w:r w:rsidR="00A34D25" w:rsidRPr="00B03854">
        <w:rPr>
          <w:rFonts w:ascii="Arial" w:eastAsia="Times New Roman" w:hAnsi="Arial" w:cs="Arial"/>
          <w:i/>
          <w:iCs/>
          <w:szCs w:val="24"/>
        </w:rPr>
        <w:t>ed</w:t>
      </w:r>
      <w:proofErr w:type="spellEnd"/>
      <w:r w:rsidR="00A34D25" w:rsidRPr="00B03854">
        <w:rPr>
          <w:rFonts w:ascii="Arial" w:eastAsia="Times New Roman" w:hAnsi="Arial" w:cs="Arial"/>
          <w:i/>
          <w:iCs/>
          <w:szCs w:val="24"/>
        </w:rPr>
        <w:t xml:space="preserve"> Care</w:t>
      </w:r>
      <w:r w:rsidR="00A34D25" w:rsidRPr="00B03854">
        <w:rPr>
          <w:rFonts w:ascii="Arial" w:eastAsia="Times New Roman" w:hAnsi="Arial" w:cs="Arial"/>
          <w:szCs w:val="24"/>
        </w:rPr>
        <w:t>.</w:t>
      </w:r>
      <w:r w:rsidRPr="00B03854">
        <w:rPr>
          <w:rFonts w:ascii="Arial" w:eastAsia="Times New Roman" w:hAnsi="Arial" w:cs="Arial"/>
          <w:szCs w:val="24"/>
        </w:rPr>
        <w:t xml:space="preserve"> Available at: </w:t>
      </w:r>
      <w:hyperlink r:id="rId18" w:history="1">
        <w:r w:rsidRPr="00B03854">
          <w:rPr>
            <w:rStyle w:val="Hyperlink"/>
            <w:rFonts w:ascii="Arial" w:eastAsia="Times New Roman" w:hAnsi="Arial" w:cs="Arial"/>
            <w:szCs w:val="24"/>
          </w:rPr>
          <w:t>https://www.england.nhs.uk/personalisedcare/comprehensive-model-of-personalised-care/</w:t>
        </w:r>
      </w:hyperlink>
      <w:r w:rsidRPr="00B03854">
        <w:rPr>
          <w:rFonts w:ascii="Arial" w:eastAsia="Times New Roman" w:hAnsi="Arial" w:cs="Arial"/>
          <w:szCs w:val="24"/>
        </w:rPr>
        <w:t xml:space="preserve"> (Accessed: 20 July 2026).</w:t>
      </w:r>
    </w:p>
    <w:p w:rsidR="00A34D25" w:rsidRPr="00B03854" w:rsidRDefault="00560680" w:rsidP="00560680">
      <w:pPr>
        <w:pStyle w:val="ListParagraph"/>
        <w:numPr>
          <w:ilvl w:val="0"/>
          <w:numId w:val="1"/>
        </w:numPr>
        <w:spacing w:before="100" w:beforeAutospacing="1" w:after="100" w:afterAutospacing="1" w:line="360" w:lineRule="auto"/>
        <w:jc w:val="both"/>
        <w:rPr>
          <w:rFonts w:ascii="Arial" w:eastAsia="Times New Roman" w:hAnsi="Arial" w:cs="Arial"/>
          <w:szCs w:val="24"/>
        </w:rPr>
      </w:pPr>
      <w:r w:rsidRPr="00560680">
        <w:rPr>
          <w:rFonts w:ascii="Arial" w:eastAsia="Times New Roman" w:hAnsi="Arial" w:cs="Arial"/>
          <w:szCs w:val="24"/>
        </w:rPr>
        <w:t>National Institute for Health and Care Excellence (NICE)</w:t>
      </w:r>
      <w:r>
        <w:rPr>
          <w:rFonts w:ascii="Arial" w:eastAsia="Times New Roman" w:hAnsi="Arial" w:cs="Arial"/>
          <w:szCs w:val="24"/>
        </w:rPr>
        <w:t xml:space="preserve"> (2021)</w:t>
      </w:r>
      <w:r w:rsidRPr="00560680">
        <w:rPr>
          <w:rFonts w:ascii="Arial" w:eastAsia="Times New Roman" w:hAnsi="Arial" w:cs="Arial"/>
          <w:szCs w:val="24"/>
        </w:rPr>
        <w:t xml:space="preserve">. </w:t>
      </w:r>
      <w:r w:rsidRPr="00560680">
        <w:rPr>
          <w:rFonts w:ascii="Arial" w:eastAsia="Times New Roman" w:hAnsi="Arial" w:cs="Arial"/>
          <w:i/>
          <w:szCs w:val="24"/>
        </w:rPr>
        <w:t>Shared Decision Making NICE Guideline [NG197] Evidence</w:t>
      </w:r>
      <w:r>
        <w:rPr>
          <w:rFonts w:ascii="Arial" w:eastAsia="Times New Roman" w:hAnsi="Arial" w:cs="Arial"/>
          <w:szCs w:val="24"/>
        </w:rPr>
        <w:t>. NICE</w:t>
      </w:r>
      <w:r w:rsidRPr="00560680">
        <w:rPr>
          <w:rFonts w:ascii="Arial" w:eastAsia="Times New Roman" w:hAnsi="Arial" w:cs="Arial"/>
          <w:szCs w:val="24"/>
        </w:rPr>
        <w:t xml:space="preserve">. </w:t>
      </w:r>
      <w:hyperlink r:id="rId19" w:history="1">
        <w:r w:rsidRPr="00EC3E1A">
          <w:rPr>
            <w:rStyle w:val="Hyperlink"/>
            <w:rFonts w:ascii="Arial" w:eastAsia="Times New Roman" w:hAnsi="Arial" w:cs="Arial"/>
            <w:szCs w:val="24"/>
          </w:rPr>
          <w:t>https://www.nice.org.uk/guidance/ng197/evidence</w:t>
        </w:r>
      </w:hyperlink>
      <w:r>
        <w:rPr>
          <w:rFonts w:ascii="Arial" w:eastAsia="Times New Roman" w:hAnsi="Arial" w:cs="Arial"/>
          <w:szCs w:val="24"/>
        </w:rPr>
        <w:t xml:space="preserve"> (Accessed: 20 July 2026).</w:t>
      </w:r>
    </w:p>
    <w:p w:rsidR="008C7CD0" w:rsidRDefault="008C7CD0" w:rsidP="008C7CD0">
      <w:pPr>
        <w:pStyle w:val="NormalWeb"/>
        <w:numPr>
          <w:ilvl w:val="0"/>
          <w:numId w:val="1"/>
        </w:numPr>
        <w:spacing w:line="360" w:lineRule="auto"/>
        <w:jc w:val="both"/>
        <w:rPr>
          <w:rFonts w:ascii="Arial" w:hAnsi="Arial" w:cs="Arial"/>
          <w:sz w:val="22"/>
          <w:szCs w:val="22"/>
        </w:rPr>
      </w:pPr>
      <w:r w:rsidRPr="00C8705A">
        <w:rPr>
          <w:rFonts w:ascii="Arial" w:hAnsi="Arial" w:cs="Arial"/>
          <w:sz w:val="22"/>
          <w:szCs w:val="22"/>
        </w:rPr>
        <w:t xml:space="preserve">Nursing and Midwifery Council (2018) </w:t>
      </w:r>
      <w:r w:rsidRPr="00C8705A">
        <w:rPr>
          <w:rStyle w:val="Emphasis"/>
          <w:rFonts w:ascii="Arial" w:eastAsiaTheme="majorEastAsia" w:hAnsi="Arial" w:cs="Arial"/>
          <w:sz w:val="22"/>
          <w:szCs w:val="22"/>
        </w:rPr>
        <w:t>The Code: Professional Standards of Practice and Behaviour for Nurses, Midwives and Nursing Associates</w:t>
      </w:r>
      <w:r w:rsidRPr="00C8705A">
        <w:rPr>
          <w:rFonts w:ascii="Arial" w:hAnsi="Arial" w:cs="Arial"/>
          <w:sz w:val="22"/>
          <w:szCs w:val="22"/>
        </w:rPr>
        <w:t xml:space="preserve">. Available at: </w:t>
      </w:r>
      <w:hyperlink r:id="rId20" w:history="1">
        <w:r w:rsidRPr="00C8705A">
          <w:rPr>
            <w:rStyle w:val="Hyperlink"/>
            <w:rFonts w:ascii="Arial" w:hAnsi="Arial" w:cs="Arial"/>
            <w:sz w:val="22"/>
            <w:szCs w:val="22"/>
          </w:rPr>
          <w:t>https://www.nmc.org.uk/globalassets/sitedocuments/nmc-publications/nmc-code.pdf</w:t>
        </w:r>
      </w:hyperlink>
      <w:r w:rsidRPr="00C8705A">
        <w:rPr>
          <w:rFonts w:ascii="Arial" w:hAnsi="Arial" w:cs="Arial"/>
          <w:sz w:val="22"/>
          <w:szCs w:val="22"/>
        </w:rPr>
        <w:t xml:space="preserve"> (Accessed: 20 July 2026).</w:t>
      </w:r>
    </w:p>
    <w:p w:rsidR="00585D6A" w:rsidRPr="00C8705A" w:rsidRDefault="00585D6A" w:rsidP="00585D6A">
      <w:pPr>
        <w:pStyle w:val="NormalWeb"/>
        <w:numPr>
          <w:ilvl w:val="0"/>
          <w:numId w:val="1"/>
        </w:numPr>
        <w:spacing w:line="360" w:lineRule="auto"/>
        <w:jc w:val="both"/>
        <w:rPr>
          <w:rFonts w:ascii="Arial" w:hAnsi="Arial" w:cs="Arial"/>
          <w:sz w:val="22"/>
          <w:szCs w:val="22"/>
        </w:rPr>
      </w:pPr>
      <w:r>
        <w:rPr>
          <w:rFonts w:ascii="Arial" w:hAnsi="Arial" w:cs="Arial"/>
          <w:sz w:val="22"/>
          <w:szCs w:val="22"/>
        </w:rPr>
        <w:t>Rahman, R. et al. (2024)</w:t>
      </w:r>
      <w:r w:rsidRPr="00585D6A">
        <w:rPr>
          <w:rFonts w:ascii="Arial" w:hAnsi="Arial" w:cs="Arial"/>
          <w:sz w:val="22"/>
          <w:szCs w:val="22"/>
        </w:rPr>
        <w:t xml:space="preserve"> </w:t>
      </w:r>
      <w:r>
        <w:rPr>
          <w:rFonts w:ascii="Arial" w:hAnsi="Arial" w:cs="Arial"/>
          <w:sz w:val="22"/>
          <w:szCs w:val="22"/>
        </w:rPr>
        <w:t>‘</w:t>
      </w:r>
      <w:r w:rsidRPr="00585D6A">
        <w:rPr>
          <w:rFonts w:ascii="Arial" w:hAnsi="Arial" w:cs="Arial"/>
          <w:sz w:val="22"/>
          <w:szCs w:val="22"/>
        </w:rPr>
        <w:t>A systematic review of literature examining the application of a social model of health and wellbeing</w:t>
      </w:r>
      <w:r>
        <w:rPr>
          <w:rFonts w:ascii="Arial" w:hAnsi="Arial" w:cs="Arial"/>
          <w:sz w:val="22"/>
          <w:szCs w:val="22"/>
        </w:rPr>
        <w:t>’,</w:t>
      </w:r>
      <w:r w:rsidRPr="00585D6A">
        <w:rPr>
          <w:rFonts w:ascii="Arial" w:hAnsi="Arial" w:cs="Arial"/>
          <w:sz w:val="22"/>
          <w:szCs w:val="22"/>
        </w:rPr>
        <w:t xml:space="preserve"> </w:t>
      </w:r>
      <w:r w:rsidRPr="00585D6A">
        <w:rPr>
          <w:rFonts w:ascii="Arial" w:hAnsi="Arial" w:cs="Arial"/>
          <w:i/>
          <w:sz w:val="22"/>
          <w:szCs w:val="22"/>
        </w:rPr>
        <w:t>European journal of public health</w:t>
      </w:r>
      <w:r w:rsidRPr="00585D6A">
        <w:rPr>
          <w:rFonts w:ascii="Arial" w:hAnsi="Arial" w:cs="Arial"/>
          <w:sz w:val="22"/>
          <w:szCs w:val="22"/>
        </w:rPr>
        <w:t xml:space="preserve">, 34(3), 467–472. </w:t>
      </w:r>
      <w:hyperlink r:id="rId21" w:history="1">
        <w:r w:rsidRPr="00BB7A99">
          <w:rPr>
            <w:rStyle w:val="Hyperlink"/>
            <w:rFonts w:ascii="Arial" w:hAnsi="Arial" w:cs="Arial"/>
            <w:sz w:val="22"/>
            <w:szCs w:val="22"/>
          </w:rPr>
          <w:t>https://doi.org/10.1093/eurpub/ckae008</w:t>
        </w:r>
      </w:hyperlink>
      <w:r>
        <w:rPr>
          <w:rFonts w:ascii="Arial" w:hAnsi="Arial" w:cs="Arial"/>
          <w:sz w:val="22"/>
          <w:szCs w:val="22"/>
        </w:rPr>
        <w:t xml:space="preserve"> </w:t>
      </w:r>
    </w:p>
    <w:p w:rsidR="004C115A" w:rsidRPr="00911014" w:rsidRDefault="004C115A" w:rsidP="00911014">
      <w:pPr>
        <w:spacing w:line="360" w:lineRule="auto"/>
        <w:jc w:val="both"/>
        <w:rPr>
          <w:rFonts w:ascii="Arial" w:hAnsi="Arial" w:cs="Arial"/>
          <w:szCs w:val="24"/>
        </w:rPr>
      </w:pPr>
    </w:p>
    <w:sectPr w:rsidR="004C115A" w:rsidRPr="009110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081E03"/>
    <w:multiLevelType w:val="hybridMultilevel"/>
    <w:tmpl w:val="15189B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4D25"/>
    <w:rsid w:val="00000FD1"/>
    <w:rsid w:val="00017CDC"/>
    <w:rsid w:val="000E564B"/>
    <w:rsid w:val="001002F1"/>
    <w:rsid w:val="00260183"/>
    <w:rsid w:val="00311D6F"/>
    <w:rsid w:val="003F3627"/>
    <w:rsid w:val="004C115A"/>
    <w:rsid w:val="004F0846"/>
    <w:rsid w:val="004F5A64"/>
    <w:rsid w:val="005400F6"/>
    <w:rsid w:val="00550F00"/>
    <w:rsid w:val="00560680"/>
    <w:rsid w:val="00585D6A"/>
    <w:rsid w:val="00652585"/>
    <w:rsid w:val="007165A1"/>
    <w:rsid w:val="00734ADF"/>
    <w:rsid w:val="00736F0F"/>
    <w:rsid w:val="008370CC"/>
    <w:rsid w:val="0085107D"/>
    <w:rsid w:val="008C07EF"/>
    <w:rsid w:val="008C7CD0"/>
    <w:rsid w:val="00911014"/>
    <w:rsid w:val="00911AC2"/>
    <w:rsid w:val="009D1D93"/>
    <w:rsid w:val="00A34D25"/>
    <w:rsid w:val="00AD5615"/>
    <w:rsid w:val="00B03854"/>
    <w:rsid w:val="00B14139"/>
    <w:rsid w:val="00B174DA"/>
    <w:rsid w:val="00B610CB"/>
    <w:rsid w:val="00B938B6"/>
    <w:rsid w:val="00DD0397"/>
    <w:rsid w:val="00E8510F"/>
    <w:rsid w:val="00EB1C19"/>
    <w:rsid w:val="00EF1D7E"/>
    <w:rsid w:val="00FE5AC7"/>
    <w:rsid w:val="00FE62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D90AD7-F0E0-4D05-9198-E163A2979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911014"/>
    <w:pPr>
      <w:spacing w:before="100" w:beforeAutospacing="1" w:after="100" w:afterAutospacing="1" w:line="240" w:lineRule="auto"/>
      <w:outlineLvl w:val="0"/>
    </w:pPr>
    <w:rPr>
      <w:rFonts w:ascii="Arial" w:eastAsia="Times New Roman" w:hAnsi="Arial" w:cs="Times New Roman"/>
      <w:b/>
      <w:bCs/>
      <w:kern w:val="36"/>
      <w:sz w:val="24"/>
      <w:szCs w:val="48"/>
    </w:rPr>
  </w:style>
  <w:style w:type="paragraph" w:styleId="Heading2">
    <w:name w:val="heading 2"/>
    <w:basedOn w:val="Normal"/>
    <w:link w:val="Heading2Char"/>
    <w:uiPriority w:val="9"/>
    <w:qFormat/>
    <w:rsid w:val="00911014"/>
    <w:pPr>
      <w:spacing w:before="100" w:beforeAutospacing="1" w:after="100" w:afterAutospacing="1" w:line="240" w:lineRule="auto"/>
      <w:outlineLvl w:val="1"/>
    </w:pPr>
    <w:rPr>
      <w:rFonts w:ascii="Arial" w:eastAsia="Times New Roman" w:hAnsi="Arial" w:cs="Times New Roman"/>
      <w:b/>
      <w:bCs/>
      <w:szCs w:val="36"/>
    </w:rPr>
  </w:style>
  <w:style w:type="paragraph" w:styleId="Heading3">
    <w:name w:val="heading 3"/>
    <w:basedOn w:val="Normal"/>
    <w:next w:val="Normal"/>
    <w:link w:val="Heading3Char"/>
    <w:uiPriority w:val="9"/>
    <w:semiHidden/>
    <w:unhideWhenUsed/>
    <w:qFormat/>
    <w:rsid w:val="004C115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014"/>
    <w:rPr>
      <w:rFonts w:ascii="Arial" w:eastAsia="Times New Roman" w:hAnsi="Arial" w:cs="Times New Roman"/>
      <w:b/>
      <w:bCs/>
      <w:kern w:val="36"/>
      <w:sz w:val="24"/>
      <w:szCs w:val="48"/>
    </w:rPr>
  </w:style>
  <w:style w:type="character" w:customStyle="1" w:styleId="Heading2Char">
    <w:name w:val="Heading 2 Char"/>
    <w:basedOn w:val="DefaultParagraphFont"/>
    <w:link w:val="Heading2"/>
    <w:uiPriority w:val="9"/>
    <w:rsid w:val="00911014"/>
    <w:rPr>
      <w:rFonts w:ascii="Arial" w:eastAsia="Times New Roman" w:hAnsi="Arial" w:cs="Times New Roman"/>
      <w:b/>
      <w:bCs/>
      <w:szCs w:val="36"/>
    </w:rPr>
  </w:style>
  <w:style w:type="character" w:styleId="Strong">
    <w:name w:val="Strong"/>
    <w:basedOn w:val="DefaultParagraphFont"/>
    <w:uiPriority w:val="22"/>
    <w:qFormat/>
    <w:rsid w:val="00A34D25"/>
    <w:rPr>
      <w:b/>
      <w:bCs/>
    </w:rPr>
  </w:style>
  <w:style w:type="paragraph" w:styleId="NormalWeb">
    <w:name w:val="Normal (Web)"/>
    <w:basedOn w:val="Normal"/>
    <w:uiPriority w:val="99"/>
    <w:unhideWhenUsed/>
    <w:rsid w:val="00A34D2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34D25"/>
    <w:rPr>
      <w:i/>
      <w:iCs/>
    </w:rPr>
  </w:style>
  <w:style w:type="character" w:customStyle="1" w:styleId="Heading3Char">
    <w:name w:val="Heading 3 Char"/>
    <w:basedOn w:val="DefaultParagraphFont"/>
    <w:link w:val="Heading3"/>
    <w:uiPriority w:val="9"/>
    <w:semiHidden/>
    <w:rsid w:val="004C115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5400F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5400F6"/>
    <w:pPr>
      <w:spacing w:after="100"/>
    </w:pPr>
  </w:style>
  <w:style w:type="paragraph" w:styleId="TOC2">
    <w:name w:val="toc 2"/>
    <w:basedOn w:val="Normal"/>
    <w:next w:val="Normal"/>
    <w:autoRedefine/>
    <w:uiPriority w:val="39"/>
    <w:unhideWhenUsed/>
    <w:rsid w:val="005400F6"/>
    <w:pPr>
      <w:spacing w:after="100"/>
      <w:ind w:left="220"/>
    </w:pPr>
  </w:style>
  <w:style w:type="character" w:styleId="Hyperlink">
    <w:name w:val="Hyperlink"/>
    <w:basedOn w:val="DefaultParagraphFont"/>
    <w:uiPriority w:val="99"/>
    <w:unhideWhenUsed/>
    <w:rsid w:val="005400F6"/>
    <w:rPr>
      <w:color w:val="0563C1" w:themeColor="hyperlink"/>
      <w:u w:val="single"/>
    </w:rPr>
  </w:style>
  <w:style w:type="paragraph" w:styleId="ListParagraph">
    <w:name w:val="List Paragraph"/>
    <w:basedOn w:val="Normal"/>
    <w:uiPriority w:val="34"/>
    <w:qFormat/>
    <w:rsid w:val="00B038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0839395">
      <w:bodyDiv w:val="1"/>
      <w:marLeft w:val="0"/>
      <w:marRight w:val="0"/>
      <w:marTop w:val="0"/>
      <w:marBottom w:val="0"/>
      <w:divBdr>
        <w:top w:val="none" w:sz="0" w:space="0" w:color="auto"/>
        <w:left w:val="none" w:sz="0" w:space="0" w:color="auto"/>
        <w:bottom w:val="none" w:sz="0" w:space="0" w:color="auto"/>
        <w:right w:val="none" w:sz="0" w:space="0" w:color="auto"/>
      </w:divBdr>
    </w:div>
    <w:div w:id="705954659">
      <w:bodyDiv w:val="1"/>
      <w:marLeft w:val="0"/>
      <w:marRight w:val="0"/>
      <w:marTop w:val="0"/>
      <w:marBottom w:val="0"/>
      <w:divBdr>
        <w:top w:val="none" w:sz="0" w:space="0" w:color="auto"/>
        <w:left w:val="none" w:sz="0" w:space="0" w:color="auto"/>
        <w:bottom w:val="none" w:sz="0" w:space="0" w:color="auto"/>
        <w:right w:val="none" w:sz="0" w:space="0" w:color="auto"/>
      </w:divBdr>
    </w:div>
    <w:div w:id="810559416">
      <w:bodyDiv w:val="1"/>
      <w:marLeft w:val="0"/>
      <w:marRight w:val="0"/>
      <w:marTop w:val="0"/>
      <w:marBottom w:val="0"/>
      <w:divBdr>
        <w:top w:val="none" w:sz="0" w:space="0" w:color="auto"/>
        <w:left w:val="none" w:sz="0" w:space="0" w:color="auto"/>
        <w:bottom w:val="none" w:sz="0" w:space="0" w:color="auto"/>
        <w:right w:val="none" w:sz="0" w:space="0" w:color="auto"/>
      </w:divBdr>
    </w:div>
    <w:div w:id="912349555">
      <w:bodyDiv w:val="1"/>
      <w:marLeft w:val="0"/>
      <w:marRight w:val="0"/>
      <w:marTop w:val="0"/>
      <w:marBottom w:val="0"/>
      <w:divBdr>
        <w:top w:val="none" w:sz="0" w:space="0" w:color="auto"/>
        <w:left w:val="none" w:sz="0" w:space="0" w:color="auto"/>
        <w:bottom w:val="none" w:sz="0" w:space="0" w:color="auto"/>
        <w:right w:val="none" w:sz="0" w:space="0" w:color="auto"/>
      </w:divBdr>
    </w:div>
    <w:div w:id="1101603175">
      <w:bodyDiv w:val="1"/>
      <w:marLeft w:val="0"/>
      <w:marRight w:val="0"/>
      <w:marTop w:val="0"/>
      <w:marBottom w:val="0"/>
      <w:divBdr>
        <w:top w:val="none" w:sz="0" w:space="0" w:color="auto"/>
        <w:left w:val="none" w:sz="0" w:space="0" w:color="auto"/>
        <w:bottom w:val="none" w:sz="0" w:space="0" w:color="auto"/>
        <w:right w:val="none" w:sz="0" w:space="0" w:color="auto"/>
      </w:divBdr>
    </w:div>
    <w:div w:id="154055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legislation.gov.uk/ukpga/2005/9/contents" TargetMode="External"/><Relationship Id="rId18" Type="http://schemas.openxmlformats.org/officeDocument/2006/relationships/hyperlink" Target="https://www.england.nhs.uk/personalisedcare/comprehensive-model-of-personalised-care/" TargetMode="External"/><Relationship Id="rId3" Type="http://schemas.openxmlformats.org/officeDocument/2006/relationships/styles" Target="styles.xml"/><Relationship Id="rId21" Type="http://schemas.openxmlformats.org/officeDocument/2006/relationships/hyperlink" Target="https://doi.org/10.1093/eurpub/ckae008" TargetMode="External"/><Relationship Id="rId7" Type="http://schemas.openxmlformats.org/officeDocument/2006/relationships/hyperlink" Target="https://doi.org/10.1080/15265161.2019.1665402" TargetMode="External"/><Relationship Id="rId12" Type="http://schemas.openxmlformats.org/officeDocument/2006/relationships/hyperlink" Target="https://psycnet.apa.org/doi/10.1037/h0054346" TargetMode="External"/><Relationship Id="rId17" Type="http://schemas.openxmlformats.org/officeDocument/2006/relationships/hyperlink" Target="https://extranet.who.int/countryplanningcycles/sites/default/files/public_file_rep/GBR_United-Kingdom_NHS-Long-term-plan_2019.pdf" TargetMode="External"/><Relationship Id="rId2" Type="http://schemas.openxmlformats.org/officeDocument/2006/relationships/numbering" Target="numbering.xml"/><Relationship Id="rId16" Type="http://schemas.openxmlformats.org/officeDocument/2006/relationships/hyperlink" Target="https://doi.org/10.1177/0898010111412189" TargetMode="External"/><Relationship Id="rId20" Type="http://schemas.openxmlformats.org/officeDocument/2006/relationships/hyperlink" Target="https://www.nmc.org.uk/globalassets/sitedocuments/nmc-publications/nmc-code.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80/09540261.2020.1845125" TargetMode="External"/><Relationship Id="rId5" Type="http://schemas.openxmlformats.org/officeDocument/2006/relationships/webSettings" Target="webSettings.xml"/><Relationship Id="rId15" Type="http://schemas.openxmlformats.org/officeDocument/2006/relationships/hyperlink" Target="https://doi.org/10.1111/scs.12376" TargetMode="External"/><Relationship Id="rId23" Type="http://schemas.openxmlformats.org/officeDocument/2006/relationships/theme" Target="theme/theme1.xml"/><Relationship Id="rId10" Type="http://schemas.openxmlformats.org/officeDocument/2006/relationships/hyperlink" Target="https://www.hcpc-uk.org/standards/standards-of-conduct-performance-and-ethics/" TargetMode="External"/><Relationship Id="rId19" Type="http://schemas.openxmlformats.org/officeDocument/2006/relationships/hyperlink" Target="https://www.nice.org.uk/guidance/ng197/evidence" TargetMode="External"/><Relationship Id="rId4" Type="http://schemas.openxmlformats.org/officeDocument/2006/relationships/settings" Target="settings.xml"/><Relationship Id="rId9" Type="http://schemas.openxmlformats.org/officeDocument/2006/relationships/hyperlink" Target="https://www.legislation.gov.uk/ukpga/2022/31/contents" TargetMode="External"/><Relationship Id="rId14" Type="http://schemas.openxmlformats.org/officeDocument/2006/relationships/hyperlink" Target="https://www.legislation.gov.uk/ukpga/2007/12/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5D7EB7-F7B2-45CA-B893-EADB960EE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9</Pages>
  <Words>2953</Words>
  <Characters>16836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Zoya</dc:creator>
  <cp:keywords/>
  <dc:description/>
  <cp:lastModifiedBy>Dell</cp:lastModifiedBy>
  <cp:revision>29</cp:revision>
  <dcterms:created xsi:type="dcterms:W3CDTF">2026-07-24T15:19:00Z</dcterms:created>
  <dcterms:modified xsi:type="dcterms:W3CDTF">2026-07-25T16:38:00Z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d60cb1cc-92ee-447f-afed-1481286800d8</vt:lpwstr>
  </property>
</Properties>
</file>