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42E4CE36" w:rsidR="00C558B0" w:rsidRPr="00637ECF" w:rsidRDefault="00C558B0" w:rsidP="00C558B0">
      <w:pPr>
        <w:tabs>
          <w:tab w:val="left" w:pos="6540"/>
        </w:tabs>
        <w:spacing w:line="360" w:lineRule="auto"/>
        <w:rPr>
          <w:rFonts w:ascii="Arial" w:hAnsi="Arial" w:cs="Arial"/>
          <w:b/>
          <w:bCs/>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637ECF">
        <w:rPr>
          <w:rFonts w:ascii="Arial" w:hAnsi="Arial" w:cs="Arial"/>
          <w:sz w:val="28"/>
          <w:szCs w:val="28"/>
          <w:lang w:val="nl-NL"/>
        </w:rPr>
        <w:t xml:space="preserve"> </w:t>
      </w:r>
      <w:r w:rsidR="00637ECF" w:rsidRPr="00637ECF">
        <w:rPr>
          <w:rFonts w:ascii="Arial" w:hAnsi="Arial" w:cs="Arial"/>
          <w:b/>
          <w:bCs/>
          <w:sz w:val="28"/>
          <w:szCs w:val="28"/>
          <w:lang w:val="nl-NL"/>
        </w:rPr>
        <w:t>Najma Khalid Adam</w:t>
      </w:r>
    </w:p>
    <w:p w14:paraId="18D88AE2" w14:textId="341FBEE1" w:rsidR="00C558B0" w:rsidRDefault="00C558B0" w:rsidP="00C558B0">
      <w:pPr>
        <w:tabs>
          <w:tab w:val="left" w:pos="6540"/>
        </w:tabs>
        <w:spacing w:line="360" w:lineRule="auto"/>
        <w:rPr>
          <w:rFonts w:ascii="Arial" w:hAnsi="Arial" w:cs="Arial"/>
          <w:b/>
          <w:bCs/>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637ECF">
        <w:rPr>
          <w:rFonts w:ascii="Arial" w:hAnsi="Arial" w:cs="Arial"/>
          <w:sz w:val="28"/>
          <w:szCs w:val="28"/>
          <w:lang w:val="nl-NL"/>
        </w:rPr>
        <w:t xml:space="preserve"> </w:t>
      </w:r>
      <w:r w:rsidR="00637ECF" w:rsidRPr="00637ECF">
        <w:rPr>
          <w:rFonts w:ascii="Arial" w:hAnsi="Arial" w:cs="Arial"/>
          <w:b/>
          <w:bCs/>
          <w:sz w:val="28"/>
          <w:szCs w:val="28"/>
          <w:lang w:val="nl-NL"/>
        </w:rPr>
        <w:t>2442092</w:t>
      </w:r>
    </w:p>
    <w:p w14:paraId="0BEABB22" w14:textId="2024677C" w:rsidR="00AA3512" w:rsidRPr="00637ECF" w:rsidRDefault="00AA3512" w:rsidP="00C558B0">
      <w:pPr>
        <w:tabs>
          <w:tab w:val="left" w:pos="6540"/>
        </w:tabs>
        <w:spacing w:line="360" w:lineRule="auto"/>
        <w:rPr>
          <w:rFonts w:ascii="Arial" w:hAnsi="Arial" w:cs="Arial"/>
          <w:b/>
          <w:bCs/>
          <w:sz w:val="28"/>
          <w:szCs w:val="28"/>
          <w:lang w:val="nl-NL"/>
        </w:rPr>
      </w:pPr>
      <w:r>
        <w:rPr>
          <w:rFonts w:ascii="Arial" w:hAnsi="Arial" w:cs="Arial"/>
          <w:b/>
          <w:bCs/>
          <w:sz w:val="28"/>
          <w:szCs w:val="28"/>
          <w:lang w:val="nl-NL"/>
        </w:rPr>
        <w:t>Component 2: Essay</w:t>
      </w:r>
    </w:p>
    <w:p w14:paraId="3D8DA301" w14:textId="3B0012B4" w:rsidR="00C558B0" w:rsidRPr="00AA3512" w:rsidRDefault="00C558B0" w:rsidP="00C558B0">
      <w:pPr>
        <w:tabs>
          <w:tab w:val="left" w:pos="6540"/>
        </w:tabs>
        <w:spacing w:line="360" w:lineRule="auto"/>
        <w:rPr>
          <w:rFonts w:ascii="Arial" w:hAnsi="Arial" w:cs="Arial"/>
          <w:b/>
          <w:bCs/>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proofErr w:type="spellStart"/>
      <w:r w:rsidR="00AA3512">
        <w:rPr>
          <w:rFonts w:ascii="Arial" w:hAnsi="Arial" w:cs="Arial"/>
          <w:b/>
          <w:bCs/>
          <w:sz w:val="28"/>
          <w:szCs w:val="28"/>
          <w:lang w:val="nl-NL"/>
        </w:rPr>
        <w:t>Principles</w:t>
      </w:r>
      <w:proofErr w:type="spellEnd"/>
      <w:r w:rsidR="00AA3512">
        <w:rPr>
          <w:rFonts w:ascii="Arial" w:hAnsi="Arial" w:cs="Arial"/>
          <w:b/>
          <w:bCs/>
          <w:sz w:val="28"/>
          <w:szCs w:val="28"/>
          <w:lang w:val="nl-NL"/>
        </w:rPr>
        <w:t xml:space="preserve"> of Health </w:t>
      </w:r>
      <w:proofErr w:type="spellStart"/>
      <w:r w:rsidR="00AA3512">
        <w:rPr>
          <w:rFonts w:ascii="Arial" w:hAnsi="Arial" w:cs="Arial"/>
          <w:b/>
          <w:bCs/>
          <w:sz w:val="28"/>
          <w:szCs w:val="28"/>
          <w:lang w:val="nl-NL"/>
        </w:rPr>
        <w:t>and</w:t>
      </w:r>
      <w:proofErr w:type="spellEnd"/>
      <w:r w:rsidR="00AA3512">
        <w:rPr>
          <w:rFonts w:ascii="Arial" w:hAnsi="Arial" w:cs="Arial"/>
          <w:b/>
          <w:bCs/>
          <w:sz w:val="28"/>
          <w:szCs w:val="28"/>
          <w:lang w:val="nl-NL"/>
        </w:rPr>
        <w:t xml:space="preserve"> </w:t>
      </w:r>
      <w:proofErr w:type="spellStart"/>
      <w:r w:rsidR="00AA3512">
        <w:rPr>
          <w:rFonts w:ascii="Arial" w:hAnsi="Arial" w:cs="Arial"/>
          <w:b/>
          <w:bCs/>
          <w:sz w:val="28"/>
          <w:szCs w:val="28"/>
          <w:lang w:val="nl-NL"/>
        </w:rPr>
        <w:t>Social</w:t>
      </w:r>
      <w:proofErr w:type="spellEnd"/>
      <w:r w:rsidR="00AA3512">
        <w:rPr>
          <w:rFonts w:ascii="Arial" w:hAnsi="Arial" w:cs="Arial"/>
          <w:b/>
          <w:bCs/>
          <w:sz w:val="28"/>
          <w:szCs w:val="28"/>
          <w:lang w:val="nl-NL"/>
        </w:rPr>
        <w:t xml:space="preserve"> care </w:t>
      </w:r>
      <w:proofErr w:type="spellStart"/>
      <w:r w:rsidR="00AA3512">
        <w:rPr>
          <w:rFonts w:ascii="Arial" w:hAnsi="Arial" w:cs="Arial"/>
          <w:b/>
          <w:bCs/>
          <w:sz w:val="28"/>
          <w:szCs w:val="28"/>
          <w:lang w:val="nl-NL"/>
        </w:rPr>
        <w:t>Practise</w:t>
      </w:r>
      <w:proofErr w:type="spellEnd"/>
    </w:p>
    <w:p w14:paraId="7DB3261D" w14:textId="59080D3E" w:rsidR="00C558B0" w:rsidRPr="00AA3512" w:rsidRDefault="00C558B0" w:rsidP="00C558B0">
      <w:pPr>
        <w:tabs>
          <w:tab w:val="left" w:pos="6540"/>
        </w:tabs>
        <w:spacing w:line="360" w:lineRule="auto"/>
        <w:rPr>
          <w:rFonts w:ascii="Arial" w:hAnsi="Arial" w:cs="Arial"/>
          <w:b/>
          <w:bCs/>
          <w:sz w:val="28"/>
          <w:szCs w:val="28"/>
        </w:rPr>
      </w:pPr>
      <w:r>
        <w:rPr>
          <w:rFonts w:ascii="Arial" w:hAnsi="Arial" w:cs="Arial"/>
          <w:b/>
          <w:bCs/>
          <w:sz w:val="28"/>
          <w:szCs w:val="28"/>
        </w:rPr>
        <w:t>Module code</w:t>
      </w:r>
      <w:r>
        <w:rPr>
          <w:rFonts w:ascii="Arial" w:hAnsi="Arial" w:cs="Arial"/>
          <w:sz w:val="28"/>
          <w:szCs w:val="28"/>
        </w:rPr>
        <w:t>:</w:t>
      </w:r>
      <w:r w:rsidR="00AA3512">
        <w:rPr>
          <w:rFonts w:ascii="Arial" w:hAnsi="Arial" w:cs="Arial"/>
          <w:b/>
          <w:bCs/>
          <w:sz w:val="28"/>
          <w:szCs w:val="28"/>
        </w:rPr>
        <w:t xml:space="preserve"> BMHP5016</w:t>
      </w:r>
    </w:p>
    <w:p w14:paraId="5CCA350C" w14:textId="4BD522B0" w:rsidR="00C558B0" w:rsidRPr="00AA3512" w:rsidRDefault="00C558B0" w:rsidP="00C558B0">
      <w:pPr>
        <w:tabs>
          <w:tab w:val="left" w:pos="6540"/>
        </w:tabs>
        <w:spacing w:line="360" w:lineRule="auto"/>
        <w:rPr>
          <w:rFonts w:ascii="Arial" w:hAnsi="Arial" w:cs="Arial"/>
          <w:b/>
          <w:bCs/>
          <w:sz w:val="28"/>
          <w:szCs w:val="28"/>
        </w:rPr>
      </w:pPr>
      <w:r>
        <w:rPr>
          <w:rFonts w:ascii="Arial" w:hAnsi="Arial" w:cs="Arial"/>
          <w:b/>
          <w:bCs/>
          <w:sz w:val="28"/>
          <w:szCs w:val="28"/>
        </w:rPr>
        <w:t>Lecturer name</w:t>
      </w:r>
      <w:r>
        <w:rPr>
          <w:rFonts w:ascii="Arial" w:hAnsi="Arial" w:cs="Arial"/>
          <w:sz w:val="28"/>
          <w:szCs w:val="28"/>
        </w:rPr>
        <w:t>:</w:t>
      </w:r>
      <w:r w:rsidR="00AA3512">
        <w:rPr>
          <w:rFonts w:ascii="Arial" w:hAnsi="Arial" w:cs="Arial"/>
          <w:sz w:val="28"/>
          <w:szCs w:val="28"/>
        </w:rPr>
        <w:t xml:space="preserve"> </w:t>
      </w:r>
      <w:r w:rsidR="00AA3512">
        <w:rPr>
          <w:rFonts w:ascii="Arial" w:hAnsi="Arial" w:cs="Arial"/>
          <w:b/>
          <w:bCs/>
          <w:sz w:val="28"/>
          <w:szCs w:val="28"/>
        </w:rPr>
        <w:t>Sam Parker</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Default="006D2F2D">
      <w:pPr>
        <w:spacing w:line="259" w:lineRule="auto"/>
      </w:pPr>
      <w:r>
        <w:br w:type="page"/>
      </w:r>
    </w:p>
    <w:p w14:paraId="3E8E48F4" w14:textId="77777777" w:rsidR="007E1BC8" w:rsidRPr="00AC1A87" w:rsidRDefault="007E1BC8" w:rsidP="007E1BC8">
      <w:pPr>
        <w:spacing w:line="360" w:lineRule="auto"/>
        <w:rPr>
          <w:rFonts w:ascii="Arial" w:hAnsi="Arial" w:cs="Arial"/>
          <w:b/>
          <w:bCs/>
          <w:sz w:val="32"/>
        </w:rPr>
      </w:pPr>
      <w:r w:rsidRPr="00AC1A87">
        <w:rPr>
          <w:rFonts w:ascii="Arial" w:hAnsi="Arial" w:cs="Arial"/>
          <w:b/>
          <w:bCs/>
          <w:sz w:val="32"/>
        </w:rPr>
        <w:lastRenderedPageBreak/>
        <w:t>Essay</w:t>
      </w:r>
    </w:p>
    <w:p w14:paraId="73917CE6" w14:textId="5C6B32E1" w:rsidR="007E1BC8" w:rsidRPr="002A5223" w:rsidRDefault="007E1BC8" w:rsidP="007E1BC8">
      <w:pPr>
        <w:spacing w:line="360" w:lineRule="auto"/>
        <w:rPr>
          <w:rFonts w:ascii="Arial" w:hAnsi="Arial" w:cs="Arial"/>
        </w:rPr>
      </w:pPr>
      <w:r w:rsidRPr="002A5223">
        <w:rPr>
          <w:rFonts w:ascii="Arial" w:hAnsi="Arial" w:cs="Arial"/>
        </w:rPr>
        <w:t>Ethics of care provides framework in understanding person-centred practice in health and social care as it concentrates on the relationships, vulnerability, responsibility and attentiveness. This essay looks critically at the ethics of care and how it underpins person-centred care and the implications for its use in assessments, shared decision making, partnership working and service delivery. It also assesses major constraints such as the potential for paternalism, differing expectations around caring, organisational constraints and balancing relational caring with autonomy, justice, evidence-based practice and legal accountability. The discussion suggests that ethics of care works best in the context of having resources, safeguards and meaningful involvement of service users and carers.</w:t>
      </w:r>
    </w:p>
    <w:p w14:paraId="2F716F9A" w14:textId="178BCB9D" w:rsidR="007E1BC8" w:rsidRPr="002A5223" w:rsidRDefault="007E1BC8" w:rsidP="007E1BC8">
      <w:pPr>
        <w:spacing w:line="360" w:lineRule="auto"/>
        <w:rPr>
          <w:rFonts w:ascii="Arial" w:hAnsi="Arial" w:cs="Arial"/>
        </w:rPr>
      </w:pPr>
      <w:r w:rsidRPr="002A5223">
        <w:rPr>
          <w:rFonts w:ascii="Arial" w:hAnsi="Arial" w:cs="Arial"/>
        </w:rPr>
        <w:t xml:space="preserve">Ethics of care is an ethical perspective that highlights the importance of relationships, interdependence, empathy, responsibility and attentiveness in ethics decisions. It questions the notion that people make decisions independently and recognizes that decisions may be influenced by family relationships, professional advice, culture, finances, disability, illness and access to services. Ethics of care is closely linked to person-centred care as both approaches involve practitioners seeing the person </w:t>
      </w:r>
      <w:proofErr w:type="gramStart"/>
      <w:r w:rsidRPr="002A5223">
        <w:rPr>
          <w:rFonts w:ascii="Arial" w:hAnsi="Arial" w:cs="Arial"/>
        </w:rPr>
        <w:t>as a whole rather</w:t>
      </w:r>
      <w:proofErr w:type="gramEnd"/>
      <w:r w:rsidRPr="002A5223">
        <w:rPr>
          <w:rFonts w:ascii="Arial" w:hAnsi="Arial" w:cs="Arial"/>
        </w:rPr>
        <w:t xml:space="preserve"> than as a diagnosis, symptom or a target of an organisation (Tieu et al., 2024).</w:t>
      </w:r>
    </w:p>
    <w:p w14:paraId="2DD33DF0" w14:textId="6B6F5A21" w:rsidR="007E1BC8" w:rsidRPr="002A5223" w:rsidRDefault="00676FC9" w:rsidP="007E1BC8">
      <w:pPr>
        <w:spacing w:line="360" w:lineRule="auto"/>
        <w:rPr>
          <w:rFonts w:ascii="Arial" w:hAnsi="Arial" w:cs="Arial"/>
        </w:rPr>
      </w:pPr>
      <w:r>
        <w:rPr>
          <w:rFonts w:ascii="Arial" w:hAnsi="Arial" w:cs="Arial"/>
        </w:rPr>
        <w:t>C</w:t>
      </w:r>
      <w:r w:rsidR="007E1BC8" w:rsidRPr="002A5223">
        <w:rPr>
          <w:rFonts w:ascii="Arial" w:hAnsi="Arial" w:cs="Arial"/>
        </w:rPr>
        <w:t xml:space="preserve">are biography is helpful since it motivates professionals to the history of a person, his/her values, relationships and past experiences of being cared (Tieu et al., 2024). The users of health and social care services might be vulnerable or dependent on </w:t>
      </w:r>
      <w:proofErr w:type="gramStart"/>
      <w:r w:rsidR="007E1BC8" w:rsidRPr="002A5223">
        <w:rPr>
          <w:rFonts w:ascii="Arial" w:hAnsi="Arial" w:cs="Arial"/>
        </w:rPr>
        <w:t>others</w:t>
      </w:r>
      <w:proofErr w:type="gramEnd"/>
      <w:r w:rsidR="007E1BC8" w:rsidRPr="002A5223">
        <w:rPr>
          <w:rFonts w:ascii="Arial" w:hAnsi="Arial" w:cs="Arial"/>
        </w:rPr>
        <w:t xml:space="preserve"> yet they desire to be treated with dignity, control and meaningful contribution in the decision-making process. This essay holds that the idea of person-</w:t>
      </w:r>
      <w:proofErr w:type="spellStart"/>
      <w:r w:rsidR="007E1BC8" w:rsidRPr="002A5223">
        <w:rPr>
          <w:rFonts w:ascii="Arial" w:hAnsi="Arial" w:cs="Arial"/>
        </w:rPr>
        <w:t>centered</w:t>
      </w:r>
      <w:proofErr w:type="spellEnd"/>
      <w:r w:rsidR="007E1BC8" w:rsidRPr="002A5223">
        <w:rPr>
          <w:rFonts w:ascii="Arial" w:hAnsi="Arial" w:cs="Arial"/>
        </w:rPr>
        <w:t xml:space="preserve"> care is founded on ethics of care, yet the value of such care lies in how well the organisations abide by relationships, safeguarding individual rights and minimizing inequalities that plague service users and carers. Person centred care is more than a communication approach. It is an ethical necessity to listen to the voice of the individual, relations and circumstances in the evaluation, planning, provision and assessment. The strategy is  convincing where personal need is coupled with professionalism, and equal access to services and accountability of the decision making.</w:t>
      </w:r>
    </w:p>
    <w:p w14:paraId="1BFBF59C" w14:textId="77777777" w:rsidR="007E1BC8" w:rsidRPr="002A5223" w:rsidRDefault="007E1BC8" w:rsidP="007E1BC8">
      <w:pPr>
        <w:spacing w:line="360" w:lineRule="auto"/>
        <w:rPr>
          <w:rFonts w:ascii="Arial" w:hAnsi="Arial" w:cs="Arial"/>
        </w:rPr>
      </w:pPr>
    </w:p>
    <w:p w14:paraId="2C0A17D9" w14:textId="355D0DEA" w:rsidR="007E1BC8" w:rsidRPr="002A5223" w:rsidRDefault="007E1BC8" w:rsidP="007E1BC8">
      <w:pPr>
        <w:spacing w:line="360" w:lineRule="auto"/>
        <w:rPr>
          <w:rFonts w:ascii="Arial" w:hAnsi="Arial" w:cs="Arial"/>
        </w:rPr>
      </w:pPr>
      <w:r w:rsidRPr="002A5223">
        <w:rPr>
          <w:rFonts w:ascii="Arial" w:hAnsi="Arial" w:cs="Arial"/>
        </w:rPr>
        <w:t>Moral theories that emphasized on abstract principles, universal rules and individual rights over relationships and lived experience contributed to the creation of the ethics of care. This does not mean that there are no rules and rights, care ethics is an ethical approach that doesn't acknowledge them, but rather that one cannot decide on an ethical way without knowing the other person and the situation. It inquires who requires attention, what is the response to be made, who is in charge and the individual feel listened to. In health and social care this is true as people use services based on communication, trust, continuity and privacy of the staff and their behaviour.</w:t>
      </w:r>
    </w:p>
    <w:p w14:paraId="1A419FD3" w14:textId="2119EF74" w:rsidR="007E1BC8" w:rsidRPr="002A5223" w:rsidRDefault="007E1BC8" w:rsidP="007E1BC8">
      <w:pPr>
        <w:spacing w:line="360" w:lineRule="auto"/>
        <w:rPr>
          <w:rFonts w:ascii="Arial" w:hAnsi="Arial" w:cs="Arial"/>
        </w:rPr>
      </w:pPr>
      <w:r w:rsidRPr="002A5223">
        <w:rPr>
          <w:rFonts w:ascii="Arial" w:hAnsi="Arial" w:cs="Arial"/>
        </w:rPr>
        <w:t>Benevolence is not the only aspect of caring. It also demands professional skills, skills of practice, understanding of emotion and responsibility. A practitioner might be friendly, but not really respond to needs, and therefore provide poor quality care. Care biography proves helpful as the person's present behaviour could relate to past experiences, cultural beliefs, loss, trauma or fear. An awareness of this context can assist practitioners in to respond sensitively and prevent them from reducing the person to a task or a diagnosis (Tieu et al., 2024).</w:t>
      </w:r>
    </w:p>
    <w:p w14:paraId="629D19C6" w14:textId="5B22E5FD" w:rsidR="007E1BC8" w:rsidRPr="002A5223" w:rsidRDefault="007E1BC8" w:rsidP="007E1BC8">
      <w:pPr>
        <w:spacing w:line="360" w:lineRule="auto"/>
        <w:rPr>
          <w:rFonts w:ascii="Arial" w:hAnsi="Arial" w:cs="Arial"/>
        </w:rPr>
      </w:pPr>
      <w:r w:rsidRPr="002A5223">
        <w:rPr>
          <w:rFonts w:ascii="Arial" w:hAnsi="Arial" w:cs="Arial"/>
        </w:rPr>
        <w:t>Challenge is ethics of care has a narrow perspective of autonomy. Autonomy in other models is viewed in terms of the ability of a person to make an independent decision, exposed to information. Care ethics inhabits relational autonomy which takes relationships, trust, communication and support seriously in the process of decision-making. Isolating the context in which a health care decision is made is not simple, (Debrabander, 2022) argues. Technically a patient can be provided with a choice, but that choice should not be made when it is unclear, the individual may feel compelled by family members or have no options on. Person-</w:t>
      </w:r>
      <w:proofErr w:type="spellStart"/>
      <w:r w:rsidRPr="002A5223">
        <w:rPr>
          <w:rFonts w:ascii="Arial" w:hAnsi="Arial" w:cs="Arial"/>
        </w:rPr>
        <w:t>centered</w:t>
      </w:r>
      <w:proofErr w:type="spellEnd"/>
      <w:r w:rsidRPr="002A5223">
        <w:rPr>
          <w:rFonts w:ascii="Arial" w:hAnsi="Arial" w:cs="Arial"/>
        </w:rPr>
        <w:t xml:space="preserve"> care must establish the atmosphere where individuals are able to comprehend choices, pose inquiries and engage at their own speed.</w:t>
      </w:r>
    </w:p>
    <w:p w14:paraId="3FF29CA4" w14:textId="1BBCDEB5" w:rsidR="007E1BC8" w:rsidRPr="002A5223" w:rsidRDefault="007E1BC8" w:rsidP="007E1BC8">
      <w:pPr>
        <w:spacing w:line="360" w:lineRule="auto"/>
        <w:rPr>
          <w:rFonts w:ascii="Arial" w:hAnsi="Arial" w:cs="Arial"/>
        </w:rPr>
      </w:pPr>
      <w:r w:rsidRPr="002A5223">
        <w:rPr>
          <w:rFonts w:ascii="Arial" w:hAnsi="Arial" w:cs="Arial"/>
        </w:rPr>
        <w:t xml:space="preserve">Such a relational approach is important to older people care. </w:t>
      </w:r>
      <w:r w:rsidR="00572FA0">
        <w:rPr>
          <w:rFonts w:ascii="Arial" w:hAnsi="Arial" w:cs="Arial"/>
        </w:rPr>
        <w:t>S</w:t>
      </w:r>
      <w:r w:rsidRPr="002A5223">
        <w:rPr>
          <w:rFonts w:ascii="Arial" w:hAnsi="Arial" w:cs="Arial"/>
        </w:rPr>
        <w:t xml:space="preserve">tudy with older adults receiving home-care services found that older adults enjoyed being treated as a person and were dependent on and trusted to care for them (Olsen et al., 2022). These results indicate that good care does not  entail accomplishing washing, dressing or medication activities. Continuity, dignity and human contact are important </w:t>
      </w:r>
      <w:r w:rsidRPr="002A5223">
        <w:rPr>
          <w:rFonts w:ascii="Arial" w:hAnsi="Arial" w:cs="Arial"/>
        </w:rPr>
        <w:lastRenderedPageBreak/>
        <w:t>outcomes. Nursing research also proposes that care can be attentiveness, presence and responsiveness to vulnerability, not necessarily in technical performance (</w:t>
      </w:r>
      <w:proofErr w:type="spellStart"/>
      <w:r w:rsidRPr="002A5223">
        <w:rPr>
          <w:rFonts w:ascii="Arial" w:hAnsi="Arial" w:cs="Arial"/>
        </w:rPr>
        <w:t>Lekens</w:t>
      </w:r>
      <w:proofErr w:type="spellEnd"/>
      <w:r w:rsidRPr="002A5223">
        <w:rPr>
          <w:rFonts w:ascii="Arial" w:hAnsi="Arial" w:cs="Arial"/>
        </w:rPr>
        <w:t>, Drageset and Austrheim, 2023). Typically, once a worker completes the job(s) they were assigned to do, they may also experience sense of helplessness or un-noticed.</w:t>
      </w:r>
    </w:p>
    <w:p w14:paraId="59702601" w14:textId="63C66A47" w:rsidR="007E1BC8" w:rsidRPr="002A5223" w:rsidRDefault="007E1BC8" w:rsidP="007E1BC8">
      <w:pPr>
        <w:spacing w:line="360" w:lineRule="auto"/>
        <w:rPr>
          <w:rFonts w:ascii="Arial" w:hAnsi="Arial" w:cs="Arial"/>
        </w:rPr>
      </w:pPr>
      <w:r w:rsidRPr="002A5223">
        <w:rPr>
          <w:rFonts w:ascii="Arial" w:hAnsi="Arial" w:cs="Arial"/>
        </w:rPr>
        <w:t xml:space="preserve">Despite these advantages, there are shortcomings in care ethics. An emphasis on relations, can </w:t>
      </w:r>
      <w:proofErr w:type="gramStart"/>
      <w:r w:rsidRPr="002A5223">
        <w:rPr>
          <w:rFonts w:ascii="Arial" w:hAnsi="Arial" w:cs="Arial"/>
        </w:rPr>
        <w:t>actually undermine</w:t>
      </w:r>
      <w:proofErr w:type="gramEnd"/>
      <w:r w:rsidRPr="002A5223">
        <w:rPr>
          <w:rFonts w:ascii="Arial" w:hAnsi="Arial" w:cs="Arial"/>
        </w:rPr>
        <w:t xml:space="preserve"> individual rights. </w:t>
      </w:r>
      <w:r w:rsidR="00A778BD">
        <w:rPr>
          <w:rFonts w:ascii="Arial" w:hAnsi="Arial" w:cs="Arial"/>
        </w:rPr>
        <w:t>T</w:t>
      </w:r>
      <w:r w:rsidRPr="002A5223">
        <w:rPr>
          <w:rFonts w:ascii="Arial" w:hAnsi="Arial" w:cs="Arial"/>
        </w:rPr>
        <w:t xml:space="preserve">hat a professional can say that he/she is merely being nice and putting aside the desires of a patient. (Hansson and </w:t>
      </w:r>
      <w:proofErr w:type="spellStart"/>
      <w:r w:rsidRPr="002A5223">
        <w:rPr>
          <w:rFonts w:ascii="Arial" w:hAnsi="Arial" w:cs="Arial"/>
        </w:rPr>
        <w:t>Fröding</w:t>
      </w:r>
      <w:proofErr w:type="spellEnd"/>
      <w:r w:rsidRPr="002A5223">
        <w:rPr>
          <w:rFonts w:ascii="Arial" w:hAnsi="Arial" w:cs="Arial"/>
        </w:rPr>
        <w:t>, 2021) emphasise the antagonism in person-</w:t>
      </w:r>
      <w:proofErr w:type="spellStart"/>
      <w:r w:rsidRPr="002A5223">
        <w:rPr>
          <w:rFonts w:ascii="Arial" w:hAnsi="Arial" w:cs="Arial"/>
        </w:rPr>
        <w:t>centered</w:t>
      </w:r>
      <w:proofErr w:type="spellEnd"/>
      <w:r w:rsidRPr="002A5223">
        <w:rPr>
          <w:rFonts w:ascii="Arial" w:hAnsi="Arial" w:cs="Arial"/>
        </w:rPr>
        <w:t xml:space="preserve"> care between individual choice and professional discretion, security and fair use of resources. Good intentions to care are not sufficient. Respect consent, dignity, legal rights and evidence-based practice should also be considered in decisions. As an example, the immobilization of an elderly person can be offered in the cause of security, although overprotection can rob a person of his free will and turn into paternalism. Care ethics should thus be in collaboration with rights-based protection.</w:t>
      </w:r>
    </w:p>
    <w:p w14:paraId="3E6ED9D1" w14:textId="4BDCE9D7" w:rsidR="007E1BC8" w:rsidRPr="002A5223" w:rsidRDefault="007E1BC8" w:rsidP="007E1BC8">
      <w:pPr>
        <w:spacing w:line="360" w:lineRule="auto"/>
        <w:rPr>
          <w:rFonts w:ascii="Arial" w:hAnsi="Arial" w:cs="Arial"/>
        </w:rPr>
      </w:pPr>
      <w:r w:rsidRPr="002A5223">
        <w:rPr>
          <w:rFonts w:ascii="Arial" w:hAnsi="Arial" w:cs="Arial"/>
        </w:rPr>
        <w:t>Another critique on care ethics is that it can idealize caring relationships. Caring may be emotionally demanding, be done without pay, lead to conflict and exhaustion, and may be the responsibility of women, relatives, migrant workers and low paid care workers. In this context, care ethics can re-legitimise inequitable expectations if it's not scrutinised for working conditions and structural inequalities. Fair remuneration, manageable workloads, rest, supervision and access to emotional support must be provided as part of an ethical system, the recipient of the support and the carer (Harcourt, 2023).</w:t>
      </w:r>
    </w:p>
    <w:p w14:paraId="3DA6FE84" w14:textId="5B2771C1" w:rsidR="007E1BC8" w:rsidRPr="002A5223" w:rsidRDefault="007E1BC8" w:rsidP="007E1BC8">
      <w:pPr>
        <w:spacing w:line="360" w:lineRule="auto"/>
        <w:rPr>
          <w:rFonts w:ascii="Arial" w:hAnsi="Arial" w:cs="Arial"/>
        </w:rPr>
      </w:pPr>
      <w:r w:rsidRPr="002A5223">
        <w:rPr>
          <w:rFonts w:ascii="Arial" w:hAnsi="Arial" w:cs="Arial"/>
        </w:rPr>
        <w:t>The third challenge is to actualise the ideals of relationships in the organisational practice. Services are personal, budget, targets, documentation and standard procedure and relationships are context specific. This may result in a conflict of responsiveness and steadiness. Care ethics, , is not a problem for inapplicable. Rather, it is revealed that the environment in which relational care is possible must be created by organisations. Workers must be given time to listen; uniformity with the customer and management who cares more about the quality of communication than work done.</w:t>
      </w:r>
    </w:p>
    <w:p w14:paraId="4A7EF4C1" w14:textId="2DDDD6D9" w:rsidR="007E1BC8" w:rsidRPr="002A5223" w:rsidRDefault="007E1BC8" w:rsidP="007E1BC8">
      <w:pPr>
        <w:spacing w:line="360" w:lineRule="auto"/>
        <w:rPr>
          <w:rFonts w:ascii="Arial" w:hAnsi="Arial" w:cs="Arial"/>
        </w:rPr>
      </w:pPr>
      <w:r w:rsidRPr="002A5223">
        <w:rPr>
          <w:rFonts w:ascii="Arial" w:hAnsi="Arial" w:cs="Arial"/>
        </w:rPr>
        <w:lastRenderedPageBreak/>
        <w:t>The practical dimensions are that care ethics can improve assessment because care workers listen to the narratives of needs. The evaluation should be conducted considering individual objectives, cultural affiliations, communication patterns, family relations and experiences, instead of symptoms and risks. Within the provision of services, the need for culturally responsive and woman-</w:t>
      </w:r>
      <w:proofErr w:type="spellStart"/>
      <w:r w:rsidRPr="002A5223">
        <w:rPr>
          <w:rFonts w:ascii="Arial" w:hAnsi="Arial" w:cs="Arial"/>
        </w:rPr>
        <w:t>centered</w:t>
      </w:r>
      <w:proofErr w:type="spellEnd"/>
      <w:r w:rsidRPr="002A5223">
        <w:rPr>
          <w:rFonts w:ascii="Arial" w:hAnsi="Arial" w:cs="Arial"/>
        </w:rPr>
        <w:t xml:space="preserve"> care is illustrated by Dawson, </w:t>
      </w:r>
      <w:proofErr w:type="spellStart"/>
      <w:r w:rsidRPr="002A5223">
        <w:rPr>
          <w:rFonts w:ascii="Arial" w:hAnsi="Arial" w:cs="Arial"/>
        </w:rPr>
        <w:t>Assifi</w:t>
      </w:r>
      <w:proofErr w:type="spellEnd"/>
      <w:r w:rsidRPr="002A5223">
        <w:rPr>
          <w:rFonts w:ascii="Arial" w:hAnsi="Arial" w:cs="Arial"/>
        </w:rPr>
        <w:t xml:space="preserve"> and Turkman (2022) who discuss the sensitive health needs. This is reflected in their work where standardised responses do not work since they do not </w:t>
      </w:r>
      <w:proofErr w:type="gramStart"/>
      <w:r w:rsidRPr="002A5223">
        <w:rPr>
          <w:rFonts w:ascii="Arial" w:hAnsi="Arial" w:cs="Arial"/>
        </w:rPr>
        <w:t>take into account</w:t>
      </w:r>
      <w:proofErr w:type="gramEnd"/>
      <w:r w:rsidRPr="002A5223">
        <w:rPr>
          <w:rFonts w:ascii="Arial" w:hAnsi="Arial" w:cs="Arial"/>
        </w:rPr>
        <w:t xml:space="preserve"> dignity, safety, culture and individual meaning.</w:t>
      </w:r>
    </w:p>
    <w:p w14:paraId="0380720C" w14:textId="4A38D35D" w:rsidR="007E1BC8" w:rsidRPr="002A5223" w:rsidRDefault="007E1BC8" w:rsidP="007E1BC8">
      <w:pPr>
        <w:spacing w:line="360" w:lineRule="auto"/>
        <w:rPr>
          <w:rFonts w:ascii="Arial" w:hAnsi="Arial" w:cs="Arial"/>
        </w:rPr>
      </w:pPr>
      <w:r w:rsidRPr="002A5223">
        <w:rPr>
          <w:rFonts w:ascii="Arial" w:hAnsi="Arial" w:cs="Arial"/>
        </w:rPr>
        <w:t>Another approach to shared decision making is through care ethics, if there is cognitive impairment or distress. Ethical issues related to truth, deception and diversion in dementia care are raised by (Tieu, 2021) there may be a conflict between practitioners to alleviate suffering and respect for agency. Relational approach can help the staff consider emotional aspects and quality of rapport, but that doesn't excuse. Decisions made should be proportionate, written and discussed with the individual. There can be a family involvement but, the role of a person cannot be substituted with the role of the family members.</w:t>
      </w:r>
    </w:p>
    <w:p w14:paraId="71A3F958" w14:textId="5AEF5A54" w:rsidR="007E1BC8" w:rsidRPr="002A5223" w:rsidRDefault="007E1BC8" w:rsidP="007E1BC8">
      <w:pPr>
        <w:spacing w:line="360" w:lineRule="auto"/>
        <w:rPr>
          <w:rFonts w:ascii="Arial" w:hAnsi="Arial" w:cs="Arial"/>
        </w:rPr>
      </w:pPr>
      <w:r w:rsidRPr="002A5223">
        <w:rPr>
          <w:rFonts w:ascii="Arial" w:hAnsi="Arial" w:cs="Arial"/>
        </w:rPr>
        <w:t>This is useful technique for use in palliative care and end-of-life care. Nurses can provide clinical interventions, communication, coordination and emotional support (Moran, Bailey and Doody, 2024). An ill man might have to be taken care of regarding the pain, yet might also require plain conversation, spiritual assistance, family collaboration and assurance that desires, will not be covered up under the carpet. Care ethics helps professionals to see these needs as interrelated. It also fosters collaboration in the workplace as palliative care is often linked to various professionals, family members and community services. Partnership is done via information sharing, respect of different kinds of expertise and shared objectives with the individual.</w:t>
      </w:r>
    </w:p>
    <w:p w14:paraId="3AA18DA5" w14:textId="77777777" w:rsidR="007E1BC8" w:rsidRPr="002A5223" w:rsidRDefault="007E1BC8" w:rsidP="007E1BC8">
      <w:pPr>
        <w:spacing w:line="360" w:lineRule="auto"/>
        <w:rPr>
          <w:rFonts w:ascii="Arial" w:hAnsi="Arial" w:cs="Arial"/>
        </w:rPr>
      </w:pPr>
      <w:r w:rsidRPr="002A5223">
        <w:rPr>
          <w:rFonts w:ascii="Arial" w:hAnsi="Arial" w:cs="Arial"/>
        </w:rPr>
        <w:t xml:space="preserve">Partnership working is also a basis for person centred care. Each service user, unpaid carers, nurses, doctors, social workers, therapists and voluntary organisations bring in their own knowledge. Professionals are encouraged to value lived experience with care ethics, in addition to clinical expertise. But “consultation” is not partnership. When involvement is tokenistic, the professionals make the decisions and then ask the individual to approve later, involvement is tokenistic. </w:t>
      </w:r>
      <w:r w:rsidRPr="002A5223">
        <w:rPr>
          <w:rFonts w:ascii="Arial" w:hAnsi="Arial" w:cs="Arial"/>
        </w:rPr>
        <w:lastRenderedPageBreak/>
        <w:t>Service users are a key part of the collaborative care planning process by helping to identify problems, influence the choices available, and determine the outcomes that are important to them. This can help to increase trust and enhance care plans.</w:t>
      </w:r>
    </w:p>
    <w:p w14:paraId="62C3C356" w14:textId="07FFA739" w:rsidR="007E1BC8" w:rsidRPr="002A5223" w:rsidRDefault="007E1BC8" w:rsidP="007E1BC8">
      <w:pPr>
        <w:spacing w:line="360" w:lineRule="auto"/>
        <w:rPr>
          <w:rFonts w:ascii="Arial" w:hAnsi="Arial" w:cs="Arial"/>
        </w:rPr>
      </w:pPr>
      <w:r w:rsidRPr="002A5223">
        <w:rPr>
          <w:rFonts w:ascii="Arial" w:hAnsi="Arial" w:cs="Arial"/>
        </w:rPr>
        <w:t xml:space="preserve">Relationship-based care requires </w:t>
      </w:r>
      <w:proofErr w:type="gramStart"/>
      <w:r w:rsidRPr="002A5223">
        <w:rPr>
          <w:rFonts w:ascii="Arial" w:hAnsi="Arial" w:cs="Arial"/>
        </w:rPr>
        <w:t>time</w:t>
      </w:r>
      <w:proofErr w:type="gramEnd"/>
      <w:r w:rsidRPr="002A5223">
        <w:rPr>
          <w:rFonts w:ascii="Arial" w:hAnsi="Arial" w:cs="Arial"/>
        </w:rPr>
        <w:t xml:space="preserve"> and most services are based on brief appointments, high caseloads and task-driven schedules. The work force may be considered as unstable thereby undermining trust since no one can establish  due to staff turnover. Performance systems are easy to measure dignity, involvement or emotional security waiting times and completed visits. More tensions are created using digital care. </w:t>
      </w:r>
      <w:r w:rsidR="00293EE0">
        <w:rPr>
          <w:rFonts w:ascii="Arial" w:hAnsi="Arial" w:cs="Arial"/>
        </w:rPr>
        <w:t>T</w:t>
      </w:r>
      <w:r w:rsidRPr="002A5223">
        <w:rPr>
          <w:rFonts w:ascii="Arial" w:hAnsi="Arial" w:cs="Arial"/>
        </w:rPr>
        <w:t xml:space="preserve">here are individuals for whom remote consultations would be beneficial, while it would hurt those who are not as technologically advanced, privatized and/or communication and/or confidence impaired. The continuity and relationship proved to be significant even in digital practices, integrated palliative care (Ladds et al., 2025). Technology should not substitute face-to-face </w:t>
      </w:r>
      <w:proofErr w:type="gramStart"/>
      <w:r w:rsidRPr="002A5223">
        <w:rPr>
          <w:rFonts w:ascii="Arial" w:hAnsi="Arial" w:cs="Arial"/>
        </w:rPr>
        <w:t>care,</w:t>
      </w:r>
      <w:proofErr w:type="gramEnd"/>
      <w:r w:rsidRPr="002A5223">
        <w:rPr>
          <w:rFonts w:ascii="Arial" w:hAnsi="Arial" w:cs="Arial"/>
        </w:rPr>
        <w:t xml:space="preserve"> it should be assisted with the use of technology.</w:t>
      </w:r>
    </w:p>
    <w:p w14:paraId="0B29B6A0" w14:textId="303C2DCA" w:rsidR="007E1BC8" w:rsidRPr="002A5223" w:rsidRDefault="007E1BC8" w:rsidP="007E1BC8">
      <w:pPr>
        <w:spacing w:line="360" w:lineRule="auto"/>
        <w:rPr>
          <w:rFonts w:ascii="Arial" w:hAnsi="Arial" w:cs="Arial"/>
        </w:rPr>
      </w:pPr>
      <w:r w:rsidRPr="002A5223">
        <w:rPr>
          <w:rFonts w:ascii="Arial" w:hAnsi="Arial" w:cs="Arial"/>
        </w:rPr>
        <w:t xml:space="preserve">In addition to fairness, care ethics should be included. Close contact with a person might lead to individualised support; but the professionals </w:t>
      </w:r>
      <w:proofErr w:type="gramStart"/>
      <w:r w:rsidRPr="002A5223">
        <w:rPr>
          <w:rFonts w:ascii="Arial" w:hAnsi="Arial" w:cs="Arial"/>
        </w:rPr>
        <w:t>have to</w:t>
      </w:r>
      <w:proofErr w:type="gramEnd"/>
      <w:r w:rsidRPr="002A5223">
        <w:rPr>
          <w:rFonts w:ascii="Arial" w:hAnsi="Arial" w:cs="Arial"/>
        </w:rPr>
        <w:t xml:space="preserve"> spend time and resources with all service users. The ageism and other prejudice may lead to the needs being taken seriously. If the determination of the person based on age affects ability, risk and quality of life, then there is a risk of </w:t>
      </w:r>
      <w:proofErr w:type="gramStart"/>
      <w:r w:rsidRPr="002A5223">
        <w:rPr>
          <w:rFonts w:ascii="Arial" w:hAnsi="Arial" w:cs="Arial"/>
        </w:rPr>
        <w:t>person centred</w:t>
      </w:r>
      <w:proofErr w:type="gramEnd"/>
      <w:r w:rsidRPr="002A5223">
        <w:rPr>
          <w:rFonts w:ascii="Arial" w:hAnsi="Arial" w:cs="Arial"/>
        </w:rPr>
        <w:t xml:space="preserve"> care being compromised, (Buetow, 2024). Both the disabled, migrants and people who are poor may suffer the same issues. The aspect of care ethics is applicable to the exploration of power and inequality, but not benevolence amongst human beings.</w:t>
      </w:r>
    </w:p>
    <w:p w14:paraId="5A4FDFAE" w14:textId="30776DAC" w:rsidR="007E1BC8" w:rsidRPr="002A5223" w:rsidRDefault="007E1BC8" w:rsidP="007E1BC8">
      <w:pPr>
        <w:spacing w:line="360" w:lineRule="auto"/>
        <w:rPr>
          <w:rFonts w:ascii="Arial" w:hAnsi="Arial" w:cs="Arial"/>
        </w:rPr>
      </w:pPr>
      <w:r w:rsidRPr="002A5223">
        <w:rPr>
          <w:rFonts w:ascii="Arial" w:hAnsi="Arial" w:cs="Arial"/>
        </w:rPr>
        <w:t>This is the reason why time must be conserved in health and social care organisations to allow them to build relationships during the assessment, planning and reviewing process of care. There needs to be an assessment of relational work and this needs to be included in the measures of quality. The services would promote co-production where individuals who receive the services and unpaid carers would be involved in policy making, staff and service analysis training. This engagement ought to be an early stage to influence decisions and not giving a nod to the plans made by professionals.</w:t>
      </w:r>
    </w:p>
    <w:p w14:paraId="454501F5" w14:textId="708074A9" w:rsidR="007E1BC8" w:rsidRPr="002A5223" w:rsidRDefault="007E1BC8" w:rsidP="007E1BC8">
      <w:pPr>
        <w:spacing w:line="360" w:lineRule="auto"/>
        <w:rPr>
          <w:rFonts w:ascii="Arial" w:hAnsi="Arial" w:cs="Arial"/>
        </w:rPr>
      </w:pPr>
      <w:r w:rsidRPr="002A5223">
        <w:rPr>
          <w:rFonts w:ascii="Arial" w:hAnsi="Arial" w:cs="Arial"/>
        </w:rPr>
        <w:t xml:space="preserve">Education of staff in relational autonomy, cultural responsiveness, ethically communicating and professional power is needed. The training should be practical, </w:t>
      </w:r>
      <w:r w:rsidRPr="002A5223">
        <w:rPr>
          <w:rFonts w:ascii="Arial" w:hAnsi="Arial" w:cs="Arial"/>
        </w:rPr>
        <w:lastRenderedPageBreak/>
        <w:t xml:space="preserve">including situations that could occur in </w:t>
      </w:r>
      <w:proofErr w:type="spellStart"/>
      <w:r w:rsidRPr="002A5223">
        <w:rPr>
          <w:rFonts w:ascii="Arial" w:hAnsi="Arial" w:cs="Arial"/>
        </w:rPr>
        <w:t>ife</w:t>
      </w:r>
      <w:proofErr w:type="spellEnd"/>
      <w:r w:rsidRPr="002A5223">
        <w:rPr>
          <w:rFonts w:ascii="Arial" w:hAnsi="Arial" w:cs="Arial"/>
        </w:rPr>
        <w:t>, and should cover safeguarding, dementia, family disagreement and resource shortage and end-of-life decisions. Reflective supervision ought to be in place to make sure that workers are able to discuss uncertainty and moral distress without the fear of condemnation. This would assist practitioners in understanding when a caring response that appears caring, becomes paternalistic or against the rights of individual.</w:t>
      </w:r>
    </w:p>
    <w:p w14:paraId="0368F57D" w14:textId="77777777" w:rsidR="007E1BC8" w:rsidRPr="002A5223" w:rsidRDefault="007E1BC8" w:rsidP="007E1BC8">
      <w:pPr>
        <w:spacing w:line="360" w:lineRule="auto"/>
        <w:rPr>
          <w:rFonts w:ascii="Arial" w:hAnsi="Arial" w:cs="Arial"/>
        </w:rPr>
      </w:pPr>
      <w:r w:rsidRPr="002A5223">
        <w:rPr>
          <w:rFonts w:ascii="Arial" w:hAnsi="Arial" w:cs="Arial"/>
        </w:rPr>
        <w:t>There should also be continuity via consistent teams, scheduling and information sharing. Individuals on supported living and home care should not have to repeat their history and preferences to all new staff. Digital systems can facilitate continuity by providing access to relevant information to authorised personnel, but confidentiality and data protection and informed consent need to be dealt with. Technology should be chosen based on individuals' needs, not as a method for cost reduction as continuity and relational contact are fundamental to person-centred care (Ladds et al., 2025).</w:t>
      </w:r>
    </w:p>
    <w:p w14:paraId="6C9E7BF2" w14:textId="77777777" w:rsidR="007E1BC8" w:rsidRPr="002A5223" w:rsidRDefault="007E1BC8" w:rsidP="007E1BC8">
      <w:pPr>
        <w:spacing w:line="360" w:lineRule="auto"/>
        <w:rPr>
          <w:rFonts w:ascii="Arial" w:hAnsi="Arial" w:cs="Arial"/>
        </w:rPr>
      </w:pPr>
      <w:r w:rsidRPr="002A5223">
        <w:rPr>
          <w:rFonts w:ascii="Arial" w:hAnsi="Arial" w:cs="Arial"/>
        </w:rPr>
        <w:t>Lastly, the policy should target the situations of both paid and unpaid carers. Person-</w:t>
      </w:r>
      <w:proofErr w:type="spellStart"/>
      <w:r w:rsidRPr="002A5223">
        <w:rPr>
          <w:rFonts w:ascii="Arial" w:hAnsi="Arial" w:cs="Arial"/>
        </w:rPr>
        <w:t>centered</w:t>
      </w:r>
      <w:proofErr w:type="spellEnd"/>
      <w:r w:rsidRPr="002A5223">
        <w:rPr>
          <w:rFonts w:ascii="Arial" w:hAnsi="Arial" w:cs="Arial"/>
        </w:rPr>
        <w:t xml:space="preserve"> care does not come along with good wages, workable schedules, rest, emotional support and safe working environment. The worn-out carers and overworked staff may not be </w:t>
      </w:r>
      <w:proofErr w:type="gramStart"/>
      <w:r w:rsidRPr="002A5223">
        <w:rPr>
          <w:rFonts w:ascii="Arial" w:hAnsi="Arial" w:cs="Arial"/>
        </w:rPr>
        <w:t>in a position</w:t>
      </w:r>
      <w:proofErr w:type="gramEnd"/>
      <w:r w:rsidRPr="002A5223">
        <w:rPr>
          <w:rFonts w:ascii="Arial" w:hAnsi="Arial" w:cs="Arial"/>
        </w:rPr>
        <w:t xml:space="preserve"> to provide caring and responsive services even when they themselves are ready to provide such services. The problem of investing into the </w:t>
      </w:r>
      <w:proofErr w:type="spellStart"/>
      <w:r w:rsidRPr="002A5223">
        <w:rPr>
          <w:rFonts w:ascii="Arial" w:hAnsi="Arial" w:cs="Arial"/>
        </w:rPr>
        <w:t>labor</w:t>
      </w:r>
      <w:proofErr w:type="spellEnd"/>
      <w:r w:rsidRPr="002A5223">
        <w:rPr>
          <w:rFonts w:ascii="Arial" w:hAnsi="Arial" w:cs="Arial"/>
        </w:rPr>
        <w:t xml:space="preserve"> force of care cannot be considered as the employment problem but as the ethical one.</w:t>
      </w:r>
    </w:p>
    <w:p w14:paraId="1705F451" w14:textId="77777777" w:rsidR="007E1BC8" w:rsidRPr="002A5223" w:rsidRDefault="007E1BC8" w:rsidP="007E1BC8">
      <w:pPr>
        <w:spacing w:line="360" w:lineRule="auto"/>
        <w:rPr>
          <w:rFonts w:ascii="Arial" w:hAnsi="Arial" w:cs="Arial"/>
        </w:rPr>
      </w:pPr>
      <w:r w:rsidRPr="002A5223">
        <w:rPr>
          <w:rFonts w:ascii="Arial" w:hAnsi="Arial" w:cs="Arial"/>
        </w:rPr>
        <w:t xml:space="preserve">To conclude, ethics of care provides an excellent starting point in developing a person-centred health and social care as it acknowledges that people are relational, sometimes vulnerable. It fosters focus, continuity, mutual responsibility and respect for personal experiences. This can be paternalistic where relationships are more important than rights and can exacerbate inequality if the needs of paid and unpaid carers are not recognised. The implementation is also limited due to lack of workforce and disconnection of services and target oriented systems. Ethics of care therefore must be considered in conjunction with and as part of autonomy, justice, evidence-based practice, and legal accountability. When organizations </w:t>
      </w:r>
      <w:proofErr w:type="gramStart"/>
      <w:r w:rsidRPr="002A5223">
        <w:rPr>
          <w:rFonts w:ascii="Arial" w:hAnsi="Arial" w:cs="Arial"/>
        </w:rPr>
        <w:t>are able to</w:t>
      </w:r>
      <w:proofErr w:type="gramEnd"/>
      <w:r w:rsidRPr="002A5223">
        <w:rPr>
          <w:rFonts w:ascii="Arial" w:hAnsi="Arial" w:cs="Arial"/>
        </w:rPr>
        <w:t xml:space="preserve"> offer adequate time, staffing and resources for collaborative care planning, services </w:t>
      </w:r>
      <w:proofErr w:type="gramStart"/>
      <w:r w:rsidRPr="002A5223">
        <w:rPr>
          <w:rFonts w:ascii="Arial" w:hAnsi="Arial" w:cs="Arial"/>
        </w:rPr>
        <w:t>are able to</w:t>
      </w:r>
      <w:proofErr w:type="gramEnd"/>
      <w:r w:rsidRPr="002A5223">
        <w:rPr>
          <w:rFonts w:ascii="Arial" w:hAnsi="Arial" w:cs="Arial"/>
        </w:rPr>
        <w:t xml:space="preserve"> transcend task-based delivery and to see people as whole human beings.</w:t>
      </w:r>
    </w:p>
    <w:p w14:paraId="5A7A9593" w14:textId="77777777" w:rsidR="007E1BC8" w:rsidRPr="00AC1A87" w:rsidRDefault="007E1BC8" w:rsidP="007E1BC8">
      <w:pPr>
        <w:spacing w:line="360" w:lineRule="auto"/>
        <w:rPr>
          <w:rFonts w:ascii="Arial" w:hAnsi="Arial" w:cs="Arial"/>
          <w:b/>
          <w:bCs/>
          <w:sz w:val="32"/>
        </w:rPr>
      </w:pPr>
      <w:r w:rsidRPr="00AC1A87">
        <w:rPr>
          <w:rFonts w:ascii="Arial" w:hAnsi="Arial" w:cs="Arial"/>
          <w:b/>
          <w:bCs/>
          <w:sz w:val="32"/>
        </w:rPr>
        <w:lastRenderedPageBreak/>
        <w:t>References:</w:t>
      </w:r>
    </w:p>
    <w:p w14:paraId="2BC9138D"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Buetow, S. (2024) </w:t>
      </w:r>
      <w:r w:rsidRPr="00AC1A87">
        <w:rPr>
          <w:rFonts w:ascii="Arial" w:hAnsi="Arial" w:cs="Arial"/>
          <w:i/>
          <w:iCs/>
          <w:color w:val="000000"/>
        </w:rPr>
        <w:t>Ageism and person-</w:t>
      </w:r>
      <w:proofErr w:type="spellStart"/>
      <w:r w:rsidRPr="00AC1A87">
        <w:rPr>
          <w:rFonts w:ascii="Arial" w:hAnsi="Arial" w:cs="Arial"/>
          <w:i/>
          <w:iCs/>
          <w:color w:val="000000"/>
        </w:rPr>
        <w:t>centred</w:t>
      </w:r>
      <w:proofErr w:type="spellEnd"/>
      <w:r w:rsidRPr="00AC1A87">
        <w:rPr>
          <w:rFonts w:ascii="Arial" w:hAnsi="Arial" w:cs="Arial"/>
          <w:i/>
          <w:iCs/>
          <w:color w:val="000000"/>
        </w:rPr>
        <w:t xml:space="preserve"> care: Rehabilitating bias for age-friendly practice</w:t>
      </w:r>
      <w:r w:rsidRPr="00AC1A87">
        <w:rPr>
          <w:rFonts w:ascii="Arial" w:hAnsi="Arial" w:cs="Arial"/>
          <w:color w:val="000000"/>
        </w:rPr>
        <w:t xml:space="preserve">. Abingdon: Routledge. Available at: </w:t>
      </w:r>
      <w:hyperlink r:id="rId9" w:history="1">
        <w:r w:rsidRPr="00ED5F8E">
          <w:rPr>
            <w:rStyle w:val="Hyperlink"/>
            <w:rFonts w:ascii="Arial" w:hAnsi="Arial" w:cs="Arial"/>
          </w:rPr>
          <w:t>https://doi.org/10.4324/9781003334125</w:t>
        </w:r>
      </w:hyperlink>
    </w:p>
    <w:p w14:paraId="5BFFD852"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011AA24D"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Dawson, A., </w:t>
      </w:r>
      <w:proofErr w:type="spellStart"/>
      <w:r w:rsidRPr="00AC1A87">
        <w:rPr>
          <w:rFonts w:ascii="Arial" w:hAnsi="Arial" w:cs="Arial"/>
          <w:color w:val="000000"/>
        </w:rPr>
        <w:t>Assifi</w:t>
      </w:r>
      <w:proofErr w:type="spellEnd"/>
      <w:r w:rsidRPr="00AC1A87">
        <w:rPr>
          <w:rFonts w:ascii="Arial" w:hAnsi="Arial" w:cs="Arial"/>
          <w:color w:val="000000"/>
        </w:rPr>
        <w:t>, A. and Turkmani, S. (2022) ‘Woman and girl-</w:t>
      </w:r>
      <w:proofErr w:type="spellStart"/>
      <w:r w:rsidRPr="00AC1A87">
        <w:rPr>
          <w:rFonts w:ascii="Arial" w:hAnsi="Arial" w:cs="Arial"/>
          <w:color w:val="000000"/>
        </w:rPr>
        <w:t>centred</w:t>
      </w:r>
      <w:proofErr w:type="spellEnd"/>
      <w:r w:rsidRPr="00AC1A87">
        <w:rPr>
          <w:rFonts w:ascii="Arial" w:hAnsi="Arial" w:cs="Arial"/>
          <w:color w:val="000000"/>
        </w:rPr>
        <w:t xml:space="preserve"> care for those affected by female genital mutilation: a scoping review of provider tools and guidelines’, </w:t>
      </w:r>
      <w:r w:rsidRPr="00AC1A87">
        <w:rPr>
          <w:rFonts w:ascii="Arial" w:hAnsi="Arial" w:cs="Arial"/>
          <w:i/>
          <w:iCs/>
          <w:color w:val="000000"/>
        </w:rPr>
        <w:t>Reproductive Health</w:t>
      </w:r>
      <w:r w:rsidRPr="00AC1A87">
        <w:rPr>
          <w:rFonts w:ascii="Arial" w:hAnsi="Arial" w:cs="Arial"/>
          <w:color w:val="000000"/>
        </w:rPr>
        <w:t xml:space="preserve">, 19. Available at: </w:t>
      </w:r>
      <w:hyperlink r:id="rId10" w:history="1">
        <w:r w:rsidRPr="00ED5F8E">
          <w:rPr>
            <w:rStyle w:val="Hyperlink"/>
            <w:rFonts w:ascii="Arial" w:hAnsi="Arial" w:cs="Arial"/>
          </w:rPr>
          <w:t>https://doi.org/10.1186/s12978-022-01356-3</w:t>
        </w:r>
      </w:hyperlink>
    </w:p>
    <w:p w14:paraId="75D115A6"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71386B8D"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Debrabander, J. (2022) ‘On the relation between decision quality and autonomy in times of patient-centered care: a case study’, </w:t>
      </w:r>
      <w:r w:rsidRPr="00AC1A87">
        <w:rPr>
          <w:rFonts w:ascii="Arial" w:hAnsi="Arial" w:cs="Arial"/>
          <w:i/>
          <w:iCs/>
          <w:color w:val="000000"/>
        </w:rPr>
        <w:t>Medicine, Health Care and Philosophy</w:t>
      </w:r>
      <w:r w:rsidRPr="00AC1A87">
        <w:rPr>
          <w:rFonts w:ascii="Arial" w:hAnsi="Arial" w:cs="Arial"/>
          <w:color w:val="000000"/>
        </w:rPr>
        <w:t>. Available at: https://doi.org/10.1007/s11019-022-10108-w</w:t>
      </w:r>
    </w:p>
    <w:p w14:paraId="1C82FB55"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Hansson, S.O. and </w:t>
      </w:r>
      <w:proofErr w:type="spellStart"/>
      <w:r w:rsidRPr="00AC1A87">
        <w:rPr>
          <w:rFonts w:ascii="Arial" w:hAnsi="Arial" w:cs="Arial"/>
          <w:color w:val="000000"/>
        </w:rPr>
        <w:t>Fröding</w:t>
      </w:r>
      <w:proofErr w:type="spellEnd"/>
      <w:r w:rsidRPr="00AC1A87">
        <w:rPr>
          <w:rFonts w:ascii="Arial" w:hAnsi="Arial" w:cs="Arial"/>
          <w:color w:val="000000"/>
        </w:rPr>
        <w:t>, B. (2021) ‘Ethical conflicts in patient-</w:t>
      </w:r>
      <w:proofErr w:type="spellStart"/>
      <w:r w:rsidRPr="00AC1A87">
        <w:rPr>
          <w:rFonts w:ascii="Arial" w:hAnsi="Arial" w:cs="Arial"/>
          <w:color w:val="000000"/>
        </w:rPr>
        <w:t>centred</w:t>
      </w:r>
      <w:proofErr w:type="spellEnd"/>
      <w:r w:rsidRPr="00AC1A87">
        <w:rPr>
          <w:rFonts w:ascii="Arial" w:hAnsi="Arial" w:cs="Arial"/>
          <w:color w:val="000000"/>
        </w:rPr>
        <w:t xml:space="preserve"> care’, </w:t>
      </w:r>
      <w:r w:rsidRPr="00AC1A87">
        <w:rPr>
          <w:rFonts w:ascii="Arial" w:hAnsi="Arial" w:cs="Arial"/>
          <w:i/>
          <w:iCs/>
          <w:color w:val="000000"/>
        </w:rPr>
        <w:t>Clinical Ethics</w:t>
      </w:r>
      <w:r w:rsidRPr="00AC1A87">
        <w:rPr>
          <w:rFonts w:ascii="Arial" w:hAnsi="Arial" w:cs="Arial"/>
          <w:color w:val="000000"/>
        </w:rPr>
        <w:t xml:space="preserve">. Available at: </w:t>
      </w:r>
      <w:hyperlink r:id="rId11" w:history="1">
        <w:r w:rsidRPr="00AC1A87">
          <w:rPr>
            <w:rStyle w:val="artifact-docx-previewhyperlink"/>
            <w:rFonts w:ascii="Arial" w:hAnsi="Arial" w:cs="Arial"/>
            <w:color w:val="0563C1"/>
            <w:u w:val="single"/>
          </w:rPr>
          <w:t>https://doi.org/10.1177/1477750920962356</w:t>
        </w:r>
      </w:hyperlink>
    </w:p>
    <w:p w14:paraId="67F0B023"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17A21AC4"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Ladds, E., Ivey, M., Gadsby, K., </w:t>
      </w:r>
      <w:proofErr w:type="spellStart"/>
      <w:r w:rsidRPr="00AC1A87">
        <w:rPr>
          <w:rFonts w:ascii="Arial" w:hAnsi="Arial" w:cs="Arial"/>
          <w:color w:val="000000"/>
        </w:rPr>
        <w:t>Preest</w:t>
      </w:r>
      <w:proofErr w:type="spellEnd"/>
      <w:r w:rsidRPr="00AC1A87">
        <w:rPr>
          <w:rFonts w:ascii="Arial" w:hAnsi="Arial" w:cs="Arial"/>
          <w:color w:val="000000"/>
        </w:rPr>
        <w:t xml:space="preserve">, E. and Samuels, F. (2025) ‘Continuity within a community integrated palliative care model and the influence of remote and digital approaches to care: a qualitative interview study’, </w:t>
      </w:r>
      <w:r w:rsidRPr="00AC1A87">
        <w:rPr>
          <w:rFonts w:ascii="Arial" w:hAnsi="Arial" w:cs="Arial"/>
          <w:i/>
          <w:iCs/>
          <w:color w:val="000000"/>
        </w:rPr>
        <w:t>BJGP Open</w:t>
      </w:r>
      <w:r w:rsidRPr="00AC1A87">
        <w:rPr>
          <w:rFonts w:ascii="Arial" w:hAnsi="Arial" w:cs="Arial"/>
          <w:color w:val="000000"/>
        </w:rPr>
        <w:t xml:space="preserve">, 9(1). Available at: </w:t>
      </w:r>
      <w:hyperlink r:id="rId12" w:history="1">
        <w:r w:rsidRPr="00ED5F8E">
          <w:rPr>
            <w:rStyle w:val="Hyperlink"/>
            <w:rFonts w:ascii="Arial" w:hAnsi="Arial" w:cs="Arial"/>
          </w:rPr>
          <w:t>https://doi.org/10.3399/BJGPO.2024.0126</w:t>
        </w:r>
      </w:hyperlink>
    </w:p>
    <w:p w14:paraId="40E981D5"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59269DCC"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proofErr w:type="spellStart"/>
      <w:r w:rsidRPr="00AC1A87">
        <w:rPr>
          <w:rFonts w:ascii="Arial" w:hAnsi="Arial" w:cs="Arial"/>
          <w:color w:val="000000"/>
        </w:rPr>
        <w:t>Lekens</w:t>
      </w:r>
      <w:proofErr w:type="spellEnd"/>
      <w:r w:rsidRPr="00AC1A87">
        <w:rPr>
          <w:rFonts w:ascii="Arial" w:hAnsi="Arial" w:cs="Arial"/>
          <w:color w:val="000000"/>
        </w:rPr>
        <w:t xml:space="preserve">, A.L.B., Drageset, S. and Austrheim, G. (2023) ‘How nursing care is expressed among nurse </w:t>
      </w:r>
      <w:proofErr w:type="spellStart"/>
      <w:r w:rsidRPr="00AC1A87">
        <w:rPr>
          <w:rFonts w:ascii="Arial" w:hAnsi="Arial" w:cs="Arial"/>
          <w:color w:val="000000"/>
        </w:rPr>
        <w:t>anaesthetists</w:t>
      </w:r>
      <w:proofErr w:type="spellEnd"/>
      <w:r w:rsidRPr="00AC1A87">
        <w:rPr>
          <w:rFonts w:ascii="Arial" w:hAnsi="Arial" w:cs="Arial"/>
          <w:color w:val="000000"/>
        </w:rPr>
        <w:t xml:space="preserve"> in the perioperative context: a meta-ethnographic synthesis’, </w:t>
      </w:r>
      <w:r w:rsidRPr="00AC1A87">
        <w:rPr>
          <w:rFonts w:ascii="Arial" w:hAnsi="Arial" w:cs="Arial"/>
          <w:i/>
          <w:iCs/>
          <w:color w:val="000000"/>
        </w:rPr>
        <w:t>Journal of Clinical Nursing</w:t>
      </w:r>
      <w:r w:rsidRPr="00AC1A87">
        <w:rPr>
          <w:rFonts w:ascii="Arial" w:hAnsi="Arial" w:cs="Arial"/>
          <w:color w:val="000000"/>
        </w:rPr>
        <w:t xml:space="preserve">. Available at: </w:t>
      </w:r>
      <w:hyperlink r:id="rId13" w:history="1">
        <w:r w:rsidRPr="00AC1A87">
          <w:rPr>
            <w:rStyle w:val="artifact-docx-previewhyperlink"/>
            <w:rFonts w:ascii="Arial" w:hAnsi="Arial" w:cs="Arial"/>
            <w:color w:val="0563C1"/>
            <w:u w:val="single"/>
          </w:rPr>
          <w:t>https://doi.org/10.1111/jocn.16700</w:t>
        </w:r>
      </w:hyperlink>
    </w:p>
    <w:p w14:paraId="398077A6"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107ADB4C"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Moran, S., Bailey, M.E. and Doody, O. (2024) ‘Role and contribution of the nurse in caring for patients with palliative care needs: a scoping review’, </w:t>
      </w:r>
      <w:r w:rsidRPr="00AC1A87">
        <w:rPr>
          <w:rFonts w:ascii="Arial" w:hAnsi="Arial" w:cs="Arial"/>
          <w:i/>
          <w:iCs/>
          <w:color w:val="000000"/>
        </w:rPr>
        <w:t>PLOS ONE</w:t>
      </w:r>
      <w:r w:rsidRPr="00AC1A87">
        <w:rPr>
          <w:rFonts w:ascii="Arial" w:hAnsi="Arial" w:cs="Arial"/>
          <w:color w:val="000000"/>
        </w:rPr>
        <w:t xml:space="preserve">, 19, e0307188. Available at: </w:t>
      </w:r>
      <w:hyperlink r:id="rId14" w:history="1">
        <w:r w:rsidRPr="00AC1A87">
          <w:rPr>
            <w:rStyle w:val="artifact-docx-previewhyperlink"/>
            <w:rFonts w:ascii="Arial" w:hAnsi="Arial" w:cs="Arial"/>
            <w:color w:val="0563C1"/>
            <w:u w:val="single"/>
          </w:rPr>
          <w:t>https://doi.org/10.1371/journal.pone.0307188</w:t>
        </w:r>
      </w:hyperlink>
    </w:p>
    <w:p w14:paraId="543BAABB"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1011A3A6"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Olsen, M., Udo, C., Dahlberg, L. et al. (2022) ‘Older persons’ views on important values in Swedish home care service: a semi-structured interview study’, </w:t>
      </w:r>
      <w:r w:rsidRPr="00AC1A87">
        <w:rPr>
          <w:rFonts w:ascii="Arial" w:hAnsi="Arial" w:cs="Arial"/>
          <w:i/>
          <w:iCs/>
          <w:color w:val="000000"/>
        </w:rPr>
        <w:t>Journal of Multidisciplinary Healthcare</w:t>
      </w:r>
      <w:r w:rsidRPr="00AC1A87">
        <w:rPr>
          <w:rFonts w:ascii="Arial" w:hAnsi="Arial" w:cs="Arial"/>
          <w:color w:val="000000"/>
        </w:rPr>
        <w:t>. Available at: https://doi.org/10.2147/JMDH.S347886</w:t>
      </w:r>
    </w:p>
    <w:p w14:paraId="0FBFD75F"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lastRenderedPageBreak/>
        <w:t xml:space="preserve">Tieu, M. (2021) ‘Truth and diversion: self- and other-regarding lies in dementia care’, </w:t>
      </w:r>
      <w:r w:rsidRPr="00AC1A87">
        <w:rPr>
          <w:rFonts w:ascii="Arial" w:hAnsi="Arial" w:cs="Arial"/>
          <w:i/>
          <w:iCs/>
          <w:color w:val="000000"/>
        </w:rPr>
        <w:t>Bioethics</w:t>
      </w:r>
      <w:r w:rsidRPr="00AC1A87">
        <w:rPr>
          <w:rFonts w:ascii="Arial" w:hAnsi="Arial" w:cs="Arial"/>
          <w:color w:val="000000"/>
        </w:rPr>
        <w:t xml:space="preserve">. Available at: </w:t>
      </w:r>
      <w:hyperlink r:id="rId15" w:history="1">
        <w:r w:rsidRPr="00ED5F8E">
          <w:rPr>
            <w:rStyle w:val="Hyperlink"/>
            <w:rFonts w:ascii="Arial" w:hAnsi="Arial" w:cs="Arial"/>
          </w:rPr>
          <w:t>https://doi.org/10.1111/bioe.12951</w:t>
        </w:r>
      </w:hyperlink>
    </w:p>
    <w:p w14:paraId="4DB6169A"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5D8DE989" w14:textId="77777777" w:rsidR="007E1BC8"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 xml:space="preserve">Tieu, M., </w:t>
      </w:r>
      <w:proofErr w:type="spellStart"/>
      <w:r w:rsidRPr="00AC1A87">
        <w:rPr>
          <w:rFonts w:ascii="Arial" w:hAnsi="Arial" w:cs="Arial"/>
          <w:color w:val="000000"/>
        </w:rPr>
        <w:t>Allande-Cussó</w:t>
      </w:r>
      <w:proofErr w:type="spellEnd"/>
      <w:r w:rsidRPr="00AC1A87">
        <w:rPr>
          <w:rFonts w:ascii="Arial" w:hAnsi="Arial" w:cs="Arial"/>
          <w:color w:val="000000"/>
        </w:rPr>
        <w:t xml:space="preserve">, R., Collier, A. et al. (2024) ‘Care biography: a concept analysis’, </w:t>
      </w:r>
      <w:r w:rsidRPr="00AC1A87">
        <w:rPr>
          <w:rFonts w:ascii="Arial" w:hAnsi="Arial" w:cs="Arial"/>
          <w:i/>
          <w:iCs/>
          <w:color w:val="000000"/>
        </w:rPr>
        <w:t>Nursing Philosophy</w:t>
      </w:r>
      <w:r w:rsidRPr="00AC1A87">
        <w:rPr>
          <w:rFonts w:ascii="Arial" w:hAnsi="Arial" w:cs="Arial"/>
          <w:color w:val="000000"/>
        </w:rPr>
        <w:t xml:space="preserve">, 25, e12489. Available at: </w:t>
      </w:r>
      <w:hyperlink r:id="rId16" w:history="1">
        <w:r w:rsidRPr="00ED5F8E">
          <w:rPr>
            <w:rStyle w:val="Hyperlink"/>
            <w:rFonts w:ascii="Arial" w:hAnsi="Arial" w:cs="Arial"/>
          </w:rPr>
          <w:t>https://doi.org/10.1111/nup.12489</w:t>
        </w:r>
      </w:hyperlink>
    </w:p>
    <w:p w14:paraId="28451393"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p>
    <w:p w14:paraId="7D0CA9F8" w14:textId="77777777" w:rsidR="007E1BC8" w:rsidRPr="00AC1A87" w:rsidRDefault="007E1BC8" w:rsidP="007E1BC8">
      <w:pPr>
        <w:pStyle w:val="NormalWeb"/>
        <w:shd w:val="clear" w:color="auto" w:fill="FFFFFF"/>
        <w:spacing w:before="0" w:beforeAutospacing="0" w:after="0" w:afterAutospacing="0" w:line="360" w:lineRule="auto"/>
        <w:rPr>
          <w:rFonts w:ascii="Arial" w:hAnsi="Arial" w:cs="Arial"/>
          <w:color w:val="000000"/>
        </w:rPr>
      </w:pPr>
      <w:r w:rsidRPr="00AC1A87">
        <w:rPr>
          <w:rFonts w:ascii="Arial" w:hAnsi="Arial" w:cs="Arial"/>
          <w:color w:val="000000"/>
        </w:rPr>
        <w:t>Harcourt, W. (2023) ‘The ethics and politics of care: reshaping economic thinking and practice’, Review of Political Economy, 35(4), pp. 999–1018. Available at: https://doi.org/10.1080/09538259.2023.2241395</w:t>
      </w:r>
    </w:p>
    <w:p w14:paraId="69E17871" w14:textId="77777777" w:rsidR="007E1BC8" w:rsidRPr="00AC1A87" w:rsidRDefault="007E1BC8" w:rsidP="007E1BC8">
      <w:pPr>
        <w:spacing w:line="360" w:lineRule="auto"/>
        <w:rPr>
          <w:rFonts w:ascii="Arial" w:hAnsi="Arial" w:cs="Arial"/>
          <w:color w:val="0070C0"/>
          <w:szCs w:val="24"/>
        </w:rPr>
      </w:pPr>
    </w:p>
    <w:p w14:paraId="0C970D00" w14:textId="7E728613" w:rsidR="006D2F2D" w:rsidRPr="003E4ED4" w:rsidRDefault="006D2F2D">
      <w:pPr>
        <w:rPr>
          <w:rFonts w:ascii="Arial" w:hAnsi="Arial" w:cs="Arial"/>
          <w:color w:val="0070C0"/>
        </w:rPr>
      </w:pPr>
    </w:p>
    <w:sectPr w:rsidR="006D2F2D" w:rsidRPr="003E4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91666" w14:textId="77777777" w:rsidR="00357BF4" w:rsidRDefault="00357BF4" w:rsidP="00032A5B">
      <w:pPr>
        <w:spacing w:after="0" w:line="240" w:lineRule="auto"/>
      </w:pPr>
      <w:r>
        <w:separator/>
      </w:r>
    </w:p>
  </w:endnote>
  <w:endnote w:type="continuationSeparator" w:id="0">
    <w:p w14:paraId="2687CB54" w14:textId="77777777" w:rsidR="00357BF4" w:rsidRDefault="00357BF4"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A584A" w14:textId="77777777" w:rsidR="00357BF4" w:rsidRDefault="00357BF4" w:rsidP="00032A5B">
      <w:pPr>
        <w:spacing w:after="0" w:line="240" w:lineRule="auto"/>
      </w:pPr>
      <w:r>
        <w:separator/>
      </w:r>
    </w:p>
  </w:footnote>
  <w:footnote w:type="continuationSeparator" w:id="0">
    <w:p w14:paraId="5296CB86" w14:textId="77777777" w:rsidR="00357BF4" w:rsidRDefault="00357BF4"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60AC0"/>
    <w:rsid w:val="001333C2"/>
    <w:rsid w:val="00151FB8"/>
    <w:rsid w:val="001A7441"/>
    <w:rsid w:val="00276DCA"/>
    <w:rsid w:val="00293EE0"/>
    <w:rsid w:val="00293EF9"/>
    <w:rsid w:val="00317E3D"/>
    <w:rsid w:val="00357BF4"/>
    <w:rsid w:val="003E4ED4"/>
    <w:rsid w:val="004B6CEA"/>
    <w:rsid w:val="004C0F1F"/>
    <w:rsid w:val="005113FA"/>
    <w:rsid w:val="00572FA0"/>
    <w:rsid w:val="0058218C"/>
    <w:rsid w:val="005C0EFA"/>
    <w:rsid w:val="00637ECF"/>
    <w:rsid w:val="006524ED"/>
    <w:rsid w:val="00676FC9"/>
    <w:rsid w:val="006D2F2D"/>
    <w:rsid w:val="006E1FF9"/>
    <w:rsid w:val="00785886"/>
    <w:rsid w:val="007E1BC8"/>
    <w:rsid w:val="007F3A6A"/>
    <w:rsid w:val="00802EDA"/>
    <w:rsid w:val="00915D9C"/>
    <w:rsid w:val="00942633"/>
    <w:rsid w:val="00957102"/>
    <w:rsid w:val="009C70ED"/>
    <w:rsid w:val="00A14675"/>
    <w:rsid w:val="00A746A0"/>
    <w:rsid w:val="00A778BD"/>
    <w:rsid w:val="00AA3512"/>
    <w:rsid w:val="00B2710B"/>
    <w:rsid w:val="00BC79FE"/>
    <w:rsid w:val="00C12F12"/>
    <w:rsid w:val="00C558B0"/>
    <w:rsid w:val="00C74CCC"/>
    <w:rsid w:val="00CF2A26"/>
    <w:rsid w:val="00D545BA"/>
    <w:rsid w:val="00E303CD"/>
    <w:rsid w:val="00E81204"/>
    <w:rsid w:val="00EC0224"/>
    <w:rsid w:val="00F81510"/>
    <w:rsid w:val="00F87152"/>
    <w:rsid w:val="00FA1054"/>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Hyperlink">
    <w:name w:val="Hyperlink"/>
    <w:basedOn w:val="DefaultParagraphFont"/>
    <w:uiPriority w:val="99"/>
    <w:unhideWhenUsed/>
    <w:rsid w:val="004C0F1F"/>
    <w:rPr>
      <w:color w:val="0563C1" w:themeColor="hyperlink"/>
      <w:u w:val="single"/>
    </w:rPr>
  </w:style>
  <w:style w:type="character" w:styleId="FollowedHyperlink">
    <w:name w:val="FollowedHyperlink"/>
    <w:basedOn w:val="DefaultParagraphFont"/>
    <w:uiPriority w:val="99"/>
    <w:semiHidden/>
    <w:unhideWhenUsed/>
    <w:rsid w:val="004C0F1F"/>
    <w:rPr>
      <w:color w:val="954F72" w:themeColor="followedHyperlink"/>
      <w:u w:val="single"/>
    </w:rPr>
  </w:style>
  <w:style w:type="paragraph" w:styleId="NormalWeb">
    <w:name w:val="Normal (Web)"/>
    <w:basedOn w:val="Normal"/>
    <w:uiPriority w:val="99"/>
    <w:semiHidden/>
    <w:unhideWhenUsed/>
    <w:rsid w:val="007E1BC8"/>
    <w:pPr>
      <w:spacing w:before="100" w:beforeAutospacing="1" w:after="100" w:afterAutospacing="1" w:line="240" w:lineRule="auto"/>
    </w:pPr>
    <w:rPr>
      <w:rFonts w:eastAsia="Times New Roman" w:cs="Times New Roman"/>
      <w:szCs w:val="24"/>
      <w:lang w:val="en-US"/>
    </w:rPr>
  </w:style>
  <w:style w:type="character" w:customStyle="1" w:styleId="artifact-docx-previewhyperlink">
    <w:name w:val="artifact-docx-preview_hyperlink"/>
    <w:basedOn w:val="DefaultParagraphFont"/>
    <w:rsid w:val="007E1B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11/jocn.1670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399/BJGPO.2024.012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11/nup.124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477750920962356" TargetMode="External"/><Relationship Id="rId5" Type="http://schemas.openxmlformats.org/officeDocument/2006/relationships/footnotes" Target="footnotes.xml"/><Relationship Id="rId15" Type="http://schemas.openxmlformats.org/officeDocument/2006/relationships/hyperlink" Target="https://doi.org/10.1111/bioe.12951" TargetMode="External"/><Relationship Id="rId10" Type="http://schemas.openxmlformats.org/officeDocument/2006/relationships/hyperlink" Target="https://doi.org/10.1186/s12978-022-01356-3" TargetMode="External"/><Relationship Id="rId4" Type="http://schemas.openxmlformats.org/officeDocument/2006/relationships/webSettings" Target="webSettings.xml"/><Relationship Id="rId9" Type="http://schemas.openxmlformats.org/officeDocument/2006/relationships/hyperlink" Target="https://doi.org/10.4324/9781003334125" TargetMode="External"/><Relationship Id="rId14" Type="http://schemas.openxmlformats.org/officeDocument/2006/relationships/hyperlink" Target="https://doi.org/10.1371/journal.pone.03071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2641</Words>
  <Characters>15060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Farhiya Adam</cp:lastModifiedBy>
  <cp:revision>2</cp:revision>
  <dcterms:created xsi:type="dcterms:W3CDTF">2026-07-27T00:18:00Z</dcterms:created>
  <dcterms:modified xsi:type="dcterms:W3CDTF">2026-07-27T00:18:00Z</dcterms:modified>
</cp:coreProperties>
</file>