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5C1F3" w14:textId="3D0B042C" w:rsidR="005C517F" w:rsidRPr="00233D15" w:rsidRDefault="007073FD" w:rsidP="00233D15">
      <w:pPr>
        <w:rPr>
          <w:lang w:val="en-US"/>
        </w:rPr>
      </w:pPr>
      <w:bookmarkStart w:id="0" w:name="_Toc102161765"/>
      <w:bookmarkStart w:id="1" w:name="_Toc102161825"/>
      <w:r w:rsidRPr="00B23C37">
        <w:rPr>
          <w:noProof/>
          <w:lang w:val="en-US"/>
        </w:rPr>
        <w:drawing>
          <wp:anchor distT="0" distB="0" distL="114300" distR="114300" simplePos="0" relativeHeight="251658240" behindDoc="0" locked="0" layoutInCell="1" allowOverlap="1" wp14:anchorId="0ECA8D24" wp14:editId="33753B6F">
            <wp:simplePos x="0" y="0"/>
            <wp:positionH relativeFrom="column">
              <wp:posOffset>-95885</wp:posOffset>
            </wp:positionH>
            <wp:positionV relativeFrom="paragraph">
              <wp:posOffset>0</wp:posOffset>
            </wp:positionV>
            <wp:extent cx="1286510" cy="838200"/>
            <wp:effectExtent l="0" t="0" r="8890" b="0"/>
            <wp:wrapTopAndBottom/>
            <wp:docPr id="3"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86510" cy="838200"/>
                    </a:xfrm>
                    <a:prstGeom prst="rect">
                      <a:avLst/>
                    </a:prstGeom>
                    <a:noFill/>
                    <a:ln w="9525">
                      <a:noFill/>
                      <a:miter lim="800000"/>
                      <a:headEnd/>
                      <a:tailEnd/>
                    </a:ln>
                  </pic:spPr>
                </pic:pic>
              </a:graphicData>
            </a:graphic>
            <wp14:sizeRelV relativeFrom="margin">
              <wp14:pctHeight>0</wp14:pctHeight>
            </wp14:sizeRelV>
          </wp:anchor>
        </w:drawing>
      </w:r>
      <w:r w:rsidR="001F4388" w:rsidRPr="00233D15">
        <w:rPr>
          <w:rFonts w:cstheme="minorHAnsi"/>
          <w:b/>
          <w:bCs/>
          <w:sz w:val="28"/>
          <w:szCs w:val="28"/>
        </w:rPr>
        <w:t xml:space="preserve">Programme: </w:t>
      </w:r>
      <w:r w:rsidR="005C517F" w:rsidRPr="00233D15">
        <w:rPr>
          <w:rFonts w:cstheme="minorHAnsi"/>
          <w:b/>
          <w:bCs/>
          <w:sz w:val="28"/>
          <w:szCs w:val="28"/>
        </w:rPr>
        <w:t>BA – Business Management</w:t>
      </w:r>
    </w:p>
    <w:p w14:paraId="78DB26AB" w14:textId="1E4CC3DC" w:rsidR="005C517F" w:rsidRPr="00233D15" w:rsidRDefault="001F4388" w:rsidP="005C517F">
      <w:pPr>
        <w:rPr>
          <w:rFonts w:cstheme="minorHAnsi"/>
          <w:sz w:val="28"/>
          <w:szCs w:val="28"/>
        </w:rPr>
      </w:pPr>
      <w:r w:rsidRPr="00233D15">
        <w:rPr>
          <w:rFonts w:cstheme="minorHAnsi"/>
          <w:sz w:val="28"/>
          <w:szCs w:val="28"/>
        </w:rPr>
        <w:t>Module: Management Accounting</w:t>
      </w:r>
      <w:r w:rsidRPr="00233D15">
        <w:rPr>
          <w:rFonts w:cstheme="minorHAnsi"/>
          <w:sz w:val="28"/>
          <w:szCs w:val="28"/>
        </w:rPr>
        <w:t xml:space="preserve"> </w:t>
      </w:r>
    </w:p>
    <w:p w14:paraId="007D0681" w14:textId="7DEC66DF" w:rsidR="001F4388" w:rsidRPr="00233D15" w:rsidRDefault="001F4388" w:rsidP="005C517F">
      <w:pPr>
        <w:rPr>
          <w:rFonts w:cstheme="minorHAnsi"/>
          <w:sz w:val="28"/>
          <w:szCs w:val="28"/>
        </w:rPr>
      </w:pPr>
      <w:r w:rsidRPr="00233D15">
        <w:rPr>
          <w:rFonts w:cstheme="minorHAnsi"/>
          <w:sz w:val="28"/>
          <w:szCs w:val="28"/>
        </w:rPr>
        <w:t>Module code: LCBB5002</w:t>
      </w:r>
    </w:p>
    <w:p w14:paraId="28742F24" w14:textId="104D2F09" w:rsidR="001737D7" w:rsidRPr="00233D15" w:rsidRDefault="001F4388" w:rsidP="001737D7">
      <w:pPr>
        <w:rPr>
          <w:rFonts w:cstheme="minorHAnsi"/>
          <w:sz w:val="28"/>
          <w:szCs w:val="28"/>
        </w:rPr>
      </w:pPr>
      <w:r w:rsidRPr="00233D15">
        <w:rPr>
          <w:rFonts w:cstheme="minorHAnsi"/>
          <w:sz w:val="28"/>
          <w:szCs w:val="28"/>
        </w:rPr>
        <w:t xml:space="preserve">Lecturer: Winifred </w:t>
      </w:r>
      <w:proofErr w:type="spellStart"/>
      <w:r w:rsidRPr="00233D15">
        <w:rPr>
          <w:rFonts w:cstheme="minorHAnsi"/>
          <w:sz w:val="28"/>
          <w:szCs w:val="28"/>
        </w:rPr>
        <w:t>Soribe</w:t>
      </w:r>
      <w:proofErr w:type="spellEnd"/>
    </w:p>
    <w:p w14:paraId="5C9E38DC" w14:textId="289894D1" w:rsidR="001F4388" w:rsidRPr="00233D15" w:rsidRDefault="001F4388" w:rsidP="001737D7">
      <w:pPr>
        <w:rPr>
          <w:rFonts w:cstheme="minorHAnsi"/>
          <w:sz w:val="28"/>
          <w:szCs w:val="28"/>
        </w:rPr>
      </w:pPr>
      <w:r w:rsidRPr="00233D15">
        <w:rPr>
          <w:rFonts w:cstheme="minorHAnsi"/>
          <w:sz w:val="28"/>
          <w:szCs w:val="28"/>
        </w:rPr>
        <w:t>Student name: Valentina Georgieva Pencheva</w:t>
      </w:r>
    </w:p>
    <w:p w14:paraId="4796D14C" w14:textId="23841CAC" w:rsidR="001F4388" w:rsidRPr="00233D15" w:rsidRDefault="001F4388" w:rsidP="001737D7">
      <w:pPr>
        <w:rPr>
          <w:rFonts w:cstheme="minorHAnsi"/>
          <w:sz w:val="28"/>
          <w:szCs w:val="28"/>
        </w:rPr>
      </w:pPr>
      <w:r w:rsidRPr="00233D15">
        <w:rPr>
          <w:rFonts w:cstheme="minorHAnsi"/>
          <w:sz w:val="28"/>
          <w:szCs w:val="28"/>
        </w:rPr>
        <w:t>Studen</w:t>
      </w:r>
      <w:r w:rsidR="007B2BD7" w:rsidRPr="00233D15">
        <w:rPr>
          <w:rFonts w:cstheme="minorHAnsi"/>
          <w:sz w:val="28"/>
          <w:szCs w:val="28"/>
        </w:rPr>
        <w:t>t</w:t>
      </w:r>
      <w:r w:rsidRPr="00233D15">
        <w:rPr>
          <w:rFonts w:cstheme="minorHAnsi"/>
          <w:sz w:val="28"/>
          <w:szCs w:val="28"/>
        </w:rPr>
        <w:t xml:space="preserve"> ID: 2023164</w:t>
      </w:r>
    </w:p>
    <w:p w14:paraId="26D6EE88" w14:textId="7EE2C1F5" w:rsidR="001F4388" w:rsidRPr="00233D15" w:rsidRDefault="001F4388" w:rsidP="001737D7">
      <w:pPr>
        <w:rPr>
          <w:sz w:val="28"/>
          <w:szCs w:val="28"/>
        </w:rPr>
      </w:pPr>
      <w:r w:rsidRPr="00233D15">
        <w:rPr>
          <w:sz w:val="28"/>
          <w:szCs w:val="28"/>
        </w:rPr>
        <w:t>Level 5/Term1/Group 2</w:t>
      </w:r>
    </w:p>
    <w:p w14:paraId="18A786D2" w14:textId="79C7238D" w:rsidR="001F4388" w:rsidRPr="00233D15" w:rsidRDefault="001F4388" w:rsidP="001737D7">
      <w:pPr>
        <w:rPr>
          <w:sz w:val="28"/>
          <w:szCs w:val="28"/>
        </w:rPr>
      </w:pPr>
      <w:r w:rsidRPr="00233D15">
        <w:rPr>
          <w:sz w:val="28"/>
          <w:szCs w:val="28"/>
        </w:rPr>
        <w:t>Assignment Title: Assignment 2 Report</w:t>
      </w:r>
    </w:p>
    <w:p w14:paraId="0C413825" w14:textId="77777777" w:rsidR="001737D7" w:rsidRDefault="001737D7" w:rsidP="001737D7">
      <w:pPr>
        <w:rPr>
          <w:lang w:val="en-US"/>
        </w:rPr>
      </w:pPr>
    </w:p>
    <w:p w14:paraId="3D13A288" w14:textId="77777777" w:rsidR="001737D7" w:rsidRDefault="001737D7" w:rsidP="001737D7">
      <w:pPr>
        <w:rPr>
          <w:lang w:val="en-US"/>
        </w:rPr>
      </w:pPr>
    </w:p>
    <w:p w14:paraId="354F1300" w14:textId="77777777" w:rsidR="001737D7" w:rsidRDefault="001737D7" w:rsidP="001737D7">
      <w:pPr>
        <w:rPr>
          <w:lang w:val="en-US"/>
        </w:rPr>
      </w:pPr>
    </w:p>
    <w:p w14:paraId="3598A770" w14:textId="77777777" w:rsidR="001737D7" w:rsidRDefault="001737D7" w:rsidP="001737D7">
      <w:pPr>
        <w:rPr>
          <w:lang w:val="en-US"/>
        </w:rPr>
      </w:pPr>
    </w:p>
    <w:p w14:paraId="3C5C559F" w14:textId="77777777" w:rsidR="001737D7" w:rsidRDefault="001737D7" w:rsidP="001737D7">
      <w:pPr>
        <w:rPr>
          <w:lang w:val="en-US"/>
        </w:rPr>
      </w:pPr>
    </w:p>
    <w:p w14:paraId="3D4D77C0" w14:textId="77777777" w:rsidR="001737D7" w:rsidRDefault="001737D7" w:rsidP="001737D7">
      <w:pPr>
        <w:rPr>
          <w:lang w:val="en-US"/>
        </w:rPr>
      </w:pPr>
    </w:p>
    <w:p w14:paraId="5FF7C30F" w14:textId="77777777" w:rsidR="001737D7" w:rsidRDefault="001737D7" w:rsidP="001737D7">
      <w:pPr>
        <w:rPr>
          <w:lang w:val="en-US"/>
        </w:rPr>
      </w:pPr>
    </w:p>
    <w:p w14:paraId="3F030D23" w14:textId="77777777" w:rsidR="001737D7" w:rsidRDefault="001737D7" w:rsidP="001737D7">
      <w:pPr>
        <w:rPr>
          <w:lang w:val="en-US"/>
        </w:rPr>
      </w:pPr>
    </w:p>
    <w:p w14:paraId="731BC6C3" w14:textId="77777777" w:rsidR="001737D7" w:rsidRDefault="001737D7" w:rsidP="001737D7">
      <w:pPr>
        <w:rPr>
          <w:lang w:val="en-US"/>
        </w:rPr>
      </w:pPr>
    </w:p>
    <w:p w14:paraId="0BA518E2" w14:textId="77777777" w:rsidR="001737D7" w:rsidRDefault="001737D7" w:rsidP="001737D7">
      <w:pPr>
        <w:rPr>
          <w:lang w:val="en-US"/>
        </w:rPr>
      </w:pPr>
    </w:p>
    <w:p w14:paraId="57B85B42" w14:textId="77777777" w:rsidR="001737D7" w:rsidRDefault="001737D7" w:rsidP="001737D7">
      <w:pPr>
        <w:rPr>
          <w:lang w:val="en-US"/>
        </w:rPr>
      </w:pPr>
    </w:p>
    <w:p w14:paraId="5691E5EA" w14:textId="77777777" w:rsidR="001737D7" w:rsidRDefault="001737D7" w:rsidP="001737D7">
      <w:pPr>
        <w:rPr>
          <w:lang w:val="en-US"/>
        </w:rPr>
      </w:pPr>
    </w:p>
    <w:p w14:paraId="362E3446" w14:textId="77777777" w:rsidR="001737D7" w:rsidRDefault="001737D7" w:rsidP="001737D7">
      <w:pPr>
        <w:rPr>
          <w:lang w:val="en-US"/>
        </w:rPr>
      </w:pPr>
    </w:p>
    <w:p w14:paraId="25983B58" w14:textId="77777777" w:rsidR="001737D7" w:rsidRDefault="00B23C37" w:rsidP="001737D7">
      <w:pPr>
        <w:rPr>
          <w:lang w:val="en-US"/>
        </w:rPr>
      </w:pPr>
      <w:r>
        <w:rPr>
          <w:lang w:val="en-US"/>
        </w:rPr>
        <w:t>Word Count: 2,536</w:t>
      </w:r>
    </w:p>
    <w:p w14:paraId="5C29779C" w14:textId="77777777" w:rsidR="001737D7" w:rsidRDefault="001737D7" w:rsidP="001737D7">
      <w:pPr>
        <w:rPr>
          <w:lang w:val="en-US"/>
        </w:rPr>
      </w:pPr>
    </w:p>
    <w:p w14:paraId="3DDE70F1" w14:textId="77777777" w:rsidR="001737D7" w:rsidRDefault="001737D7" w:rsidP="001737D7">
      <w:pPr>
        <w:rPr>
          <w:lang w:val="en-US"/>
        </w:rPr>
      </w:pPr>
    </w:p>
    <w:p w14:paraId="199F9C27" w14:textId="77777777" w:rsidR="001737D7" w:rsidRDefault="001737D7" w:rsidP="001737D7">
      <w:pPr>
        <w:rPr>
          <w:lang w:val="en-US"/>
        </w:rPr>
      </w:pPr>
    </w:p>
    <w:p w14:paraId="1B364C67" w14:textId="77777777" w:rsidR="001737D7" w:rsidRDefault="001737D7" w:rsidP="001737D7">
      <w:pPr>
        <w:rPr>
          <w:lang w:val="en-US"/>
        </w:rPr>
      </w:pPr>
    </w:p>
    <w:p w14:paraId="0D1DC2CB" w14:textId="77777777" w:rsidR="001737D7" w:rsidRDefault="001737D7" w:rsidP="001737D7">
      <w:pPr>
        <w:rPr>
          <w:lang w:val="en-US"/>
        </w:rPr>
      </w:pPr>
    </w:p>
    <w:p w14:paraId="49C6A223" w14:textId="77777777" w:rsidR="001737D7" w:rsidRDefault="001737D7" w:rsidP="001737D7">
      <w:pPr>
        <w:rPr>
          <w:lang w:val="en-US"/>
        </w:rPr>
      </w:pPr>
    </w:p>
    <w:p w14:paraId="644701FD" w14:textId="77777777" w:rsidR="001737D7" w:rsidRDefault="001737D7" w:rsidP="001737D7">
      <w:pPr>
        <w:rPr>
          <w:lang w:val="en-US"/>
        </w:rPr>
      </w:pPr>
    </w:p>
    <w:p w14:paraId="1324289F" w14:textId="77777777" w:rsidR="001737D7" w:rsidRDefault="001737D7" w:rsidP="001737D7">
      <w:pPr>
        <w:rPr>
          <w:lang w:val="en-US"/>
        </w:rPr>
      </w:pPr>
    </w:p>
    <w:p w14:paraId="6D3709D7" w14:textId="77777777" w:rsidR="001737D7" w:rsidRDefault="001737D7" w:rsidP="001737D7">
      <w:pPr>
        <w:rPr>
          <w:lang w:val="en-US"/>
        </w:rPr>
      </w:pPr>
    </w:p>
    <w:sdt>
      <w:sdtPr>
        <w:rPr>
          <w:rFonts w:asciiTheme="minorHAnsi" w:eastAsiaTheme="minorHAnsi" w:hAnsiTheme="minorHAnsi" w:cstheme="minorBidi"/>
          <w:b w:val="0"/>
          <w:bCs w:val="0"/>
          <w:color w:val="auto"/>
          <w:sz w:val="22"/>
          <w:szCs w:val="22"/>
          <w:lang w:val="en-GB"/>
        </w:rPr>
        <w:id w:val="1549331063"/>
        <w:docPartObj>
          <w:docPartGallery w:val="Table of Contents"/>
          <w:docPartUnique/>
        </w:docPartObj>
      </w:sdtPr>
      <w:sdtEndPr/>
      <w:sdtContent>
        <w:p w14:paraId="73817224" w14:textId="77777777" w:rsidR="00783C3E" w:rsidRPr="00783C3E" w:rsidRDefault="00783C3E" w:rsidP="00783C3E">
          <w:pPr>
            <w:pStyle w:val="TOCHeading"/>
            <w:spacing w:after="240" w:line="480" w:lineRule="auto"/>
            <w:jc w:val="both"/>
            <w:rPr>
              <w:rFonts w:ascii="Times New Roman" w:hAnsi="Times New Roman" w:cs="Times New Roman"/>
              <w:sz w:val="24"/>
              <w:szCs w:val="24"/>
            </w:rPr>
          </w:pPr>
          <w:r w:rsidRPr="00783C3E">
            <w:rPr>
              <w:rFonts w:ascii="Times New Roman" w:hAnsi="Times New Roman" w:cs="Times New Roman"/>
            </w:rPr>
            <w:t>Table of Contents</w:t>
          </w:r>
        </w:p>
        <w:p w14:paraId="4804C4CA" w14:textId="77777777" w:rsidR="00783C3E" w:rsidRPr="00783C3E" w:rsidRDefault="00783C3E" w:rsidP="00783C3E">
          <w:pPr>
            <w:pStyle w:val="TOC1"/>
            <w:tabs>
              <w:tab w:val="right" w:leader="dot" w:pos="9408"/>
            </w:tabs>
            <w:spacing w:after="240" w:line="480" w:lineRule="auto"/>
            <w:jc w:val="both"/>
            <w:rPr>
              <w:rFonts w:ascii="Times New Roman" w:hAnsi="Times New Roman" w:cs="Times New Roman"/>
              <w:noProof/>
              <w:sz w:val="24"/>
              <w:szCs w:val="24"/>
            </w:rPr>
          </w:pPr>
          <w:r w:rsidRPr="00783C3E">
            <w:rPr>
              <w:rFonts w:ascii="Times New Roman" w:hAnsi="Times New Roman" w:cs="Times New Roman"/>
              <w:sz w:val="24"/>
              <w:szCs w:val="24"/>
            </w:rPr>
            <w:fldChar w:fldCharType="begin"/>
          </w:r>
          <w:r w:rsidRPr="00783C3E">
            <w:rPr>
              <w:rFonts w:ascii="Times New Roman" w:hAnsi="Times New Roman" w:cs="Times New Roman"/>
              <w:sz w:val="24"/>
              <w:szCs w:val="24"/>
            </w:rPr>
            <w:instrText xml:space="preserve"> TOC \o "1-3" \h \z \u </w:instrText>
          </w:r>
          <w:r w:rsidRPr="00783C3E">
            <w:rPr>
              <w:rFonts w:ascii="Times New Roman" w:hAnsi="Times New Roman" w:cs="Times New Roman"/>
              <w:sz w:val="24"/>
              <w:szCs w:val="24"/>
            </w:rPr>
            <w:fldChar w:fldCharType="separate"/>
          </w:r>
          <w:hyperlink w:anchor="_Toc102469517" w:history="1">
            <w:r w:rsidRPr="00783C3E">
              <w:rPr>
                <w:rStyle w:val="Hyperlink"/>
                <w:rFonts w:ascii="Times New Roman" w:hAnsi="Times New Roman" w:cs="Times New Roman"/>
                <w:noProof/>
                <w:sz w:val="24"/>
                <w:szCs w:val="24"/>
              </w:rPr>
              <w:t>1 Introduction</w:t>
            </w:r>
            <w:r w:rsidRPr="00783C3E">
              <w:rPr>
                <w:rFonts w:ascii="Times New Roman" w:hAnsi="Times New Roman" w:cs="Times New Roman"/>
                <w:noProof/>
                <w:webHidden/>
                <w:sz w:val="24"/>
                <w:szCs w:val="24"/>
              </w:rPr>
              <w:tab/>
            </w:r>
            <w:r w:rsidRPr="00783C3E">
              <w:rPr>
                <w:rFonts w:ascii="Times New Roman" w:hAnsi="Times New Roman" w:cs="Times New Roman"/>
                <w:noProof/>
                <w:webHidden/>
                <w:sz w:val="24"/>
                <w:szCs w:val="24"/>
              </w:rPr>
              <w:fldChar w:fldCharType="begin"/>
            </w:r>
            <w:r w:rsidRPr="00783C3E">
              <w:rPr>
                <w:rFonts w:ascii="Times New Roman" w:hAnsi="Times New Roman" w:cs="Times New Roman"/>
                <w:noProof/>
                <w:webHidden/>
                <w:sz w:val="24"/>
                <w:szCs w:val="24"/>
              </w:rPr>
              <w:instrText xml:space="preserve"> PAGEREF _Toc102469517 \h </w:instrText>
            </w:r>
            <w:r w:rsidRPr="00783C3E">
              <w:rPr>
                <w:rFonts w:ascii="Times New Roman" w:hAnsi="Times New Roman" w:cs="Times New Roman"/>
                <w:noProof/>
                <w:webHidden/>
                <w:sz w:val="24"/>
                <w:szCs w:val="24"/>
              </w:rPr>
            </w:r>
            <w:r w:rsidRPr="00783C3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83C3E">
              <w:rPr>
                <w:rFonts w:ascii="Times New Roman" w:hAnsi="Times New Roman" w:cs="Times New Roman"/>
                <w:noProof/>
                <w:webHidden/>
                <w:sz w:val="24"/>
                <w:szCs w:val="24"/>
              </w:rPr>
              <w:fldChar w:fldCharType="end"/>
            </w:r>
          </w:hyperlink>
        </w:p>
        <w:p w14:paraId="79FE6101" w14:textId="77777777" w:rsidR="00783C3E" w:rsidRPr="00783C3E" w:rsidRDefault="0031726C" w:rsidP="00783C3E">
          <w:pPr>
            <w:pStyle w:val="TOC1"/>
            <w:tabs>
              <w:tab w:val="right" w:leader="dot" w:pos="9408"/>
            </w:tabs>
            <w:spacing w:after="240" w:line="480" w:lineRule="auto"/>
            <w:jc w:val="both"/>
            <w:rPr>
              <w:rFonts w:ascii="Times New Roman" w:hAnsi="Times New Roman" w:cs="Times New Roman"/>
              <w:noProof/>
              <w:sz w:val="24"/>
              <w:szCs w:val="24"/>
            </w:rPr>
          </w:pPr>
          <w:hyperlink w:anchor="_Toc102469518" w:history="1">
            <w:r w:rsidR="00783C3E" w:rsidRPr="00783C3E">
              <w:rPr>
                <w:rStyle w:val="Hyperlink"/>
                <w:rFonts w:ascii="Times New Roman" w:hAnsi="Times New Roman" w:cs="Times New Roman"/>
                <w:noProof/>
                <w:sz w:val="24"/>
                <w:szCs w:val="24"/>
              </w:rPr>
              <w:t>2 Main body</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_Toc102469518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3</w:t>
            </w:r>
            <w:r w:rsidR="00783C3E" w:rsidRPr="00783C3E">
              <w:rPr>
                <w:rFonts w:ascii="Times New Roman" w:hAnsi="Times New Roman" w:cs="Times New Roman"/>
                <w:noProof/>
                <w:webHidden/>
                <w:sz w:val="24"/>
                <w:szCs w:val="24"/>
              </w:rPr>
              <w:fldChar w:fldCharType="end"/>
            </w:r>
          </w:hyperlink>
        </w:p>
        <w:p w14:paraId="2EDC6B96" w14:textId="77777777" w:rsidR="00783C3E" w:rsidRPr="00783C3E" w:rsidRDefault="0031726C" w:rsidP="00783C3E">
          <w:pPr>
            <w:pStyle w:val="TOC2"/>
            <w:tabs>
              <w:tab w:val="right" w:leader="dot" w:pos="9408"/>
            </w:tabs>
            <w:spacing w:after="240" w:line="480" w:lineRule="auto"/>
            <w:jc w:val="both"/>
            <w:rPr>
              <w:rFonts w:ascii="Times New Roman" w:hAnsi="Times New Roman" w:cs="Times New Roman"/>
              <w:noProof/>
              <w:sz w:val="24"/>
              <w:szCs w:val="24"/>
            </w:rPr>
          </w:pPr>
          <w:hyperlink w:anchor="_Toc102469519" w:history="1">
            <w:r w:rsidR="00783C3E" w:rsidRPr="00783C3E">
              <w:rPr>
                <w:rStyle w:val="Hyperlink"/>
                <w:rFonts w:ascii="Times New Roman" w:hAnsi="Times New Roman" w:cs="Times New Roman"/>
                <w:noProof/>
                <w:sz w:val="24"/>
                <w:szCs w:val="24"/>
              </w:rPr>
              <w:t>2.1 Part A</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_Toc102469519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3</w:t>
            </w:r>
            <w:r w:rsidR="00783C3E" w:rsidRPr="00783C3E">
              <w:rPr>
                <w:rFonts w:ascii="Times New Roman" w:hAnsi="Times New Roman" w:cs="Times New Roman"/>
                <w:noProof/>
                <w:webHidden/>
                <w:sz w:val="24"/>
                <w:szCs w:val="24"/>
              </w:rPr>
              <w:fldChar w:fldCharType="end"/>
            </w:r>
          </w:hyperlink>
        </w:p>
        <w:p w14:paraId="591815A9" w14:textId="77777777" w:rsidR="00783C3E" w:rsidRPr="00783C3E" w:rsidRDefault="0031726C" w:rsidP="00783C3E">
          <w:pPr>
            <w:pStyle w:val="TOC3"/>
            <w:tabs>
              <w:tab w:val="right" w:leader="dot" w:pos="9408"/>
            </w:tabs>
            <w:spacing w:after="240" w:line="480" w:lineRule="auto"/>
            <w:jc w:val="both"/>
            <w:rPr>
              <w:rFonts w:ascii="Times New Roman" w:hAnsi="Times New Roman" w:cs="Times New Roman"/>
              <w:noProof/>
              <w:sz w:val="24"/>
              <w:szCs w:val="24"/>
            </w:rPr>
          </w:pPr>
          <w:hyperlink w:anchor="_Toc102469520" w:history="1">
            <w:r w:rsidR="00783C3E" w:rsidRPr="00783C3E">
              <w:rPr>
                <w:rStyle w:val="Hyperlink"/>
                <w:rFonts w:ascii="Times New Roman" w:hAnsi="Times New Roman" w:cs="Times New Roman"/>
                <w:noProof/>
                <w:sz w:val="24"/>
                <w:szCs w:val="24"/>
              </w:rPr>
              <w:t>2.1.1 Question 1 – Flexed budget</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_Toc102469520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3</w:t>
            </w:r>
            <w:r w:rsidR="00783C3E" w:rsidRPr="00783C3E">
              <w:rPr>
                <w:rFonts w:ascii="Times New Roman" w:hAnsi="Times New Roman" w:cs="Times New Roman"/>
                <w:noProof/>
                <w:webHidden/>
                <w:sz w:val="24"/>
                <w:szCs w:val="24"/>
              </w:rPr>
              <w:fldChar w:fldCharType="end"/>
            </w:r>
          </w:hyperlink>
        </w:p>
        <w:p w14:paraId="0C03C8C4" w14:textId="77777777" w:rsidR="00783C3E" w:rsidRPr="00783C3E" w:rsidRDefault="0031726C" w:rsidP="00783C3E">
          <w:pPr>
            <w:pStyle w:val="TOC3"/>
            <w:tabs>
              <w:tab w:val="right" w:leader="dot" w:pos="9408"/>
            </w:tabs>
            <w:spacing w:after="240" w:line="480" w:lineRule="auto"/>
            <w:jc w:val="both"/>
            <w:rPr>
              <w:rFonts w:ascii="Times New Roman" w:hAnsi="Times New Roman" w:cs="Times New Roman"/>
              <w:noProof/>
              <w:sz w:val="24"/>
              <w:szCs w:val="24"/>
            </w:rPr>
          </w:pPr>
          <w:hyperlink w:anchor="_Toc102469521" w:history="1">
            <w:r w:rsidR="00783C3E" w:rsidRPr="00783C3E">
              <w:rPr>
                <w:rStyle w:val="Hyperlink"/>
                <w:rFonts w:ascii="Times New Roman" w:hAnsi="Times New Roman" w:cs="Times New Roman"/>
                <w:noProof/>
                <w:sz w:val="24"/>
                <w:szCs w:val="24"/>
              </w:rPr>
              <w:t>2.1.2 Question 2 – Analysis of performance</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_Toc102469521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4</w:t>
            </w:r>
            <w:r w:rsidR="00783C3E" w:rsidRPr="00783C3E">
              <w:rPr>
                <w:rFonts w:ascii="Times New Roman" w:hAnsi="Times New Roman" w:cs="Times New Roman"/>
                <w:noProof/>
                <w:webHidden/>
                <w:sz w:val="24"/>
                <w:szCs w:val="24"/>
              </w:rPr>
              <w:fldChar w:fldCharType="end"/>
            </w:r>
          </w:hyperlink>
        </w:p>
        <w:p w14:paraId="0839CEEA" w14:textId="77777777" w:rsidR="00783C3E" w:rsidRPr="00783C3E" w:rsidRDefault="0031726C" w:rsidP="00783C3E">
          <w:pPr>
            <w:pStyle w:val="TOC3"/>
            <w:tabs>
              <w:tab w:val="right" w:leader="dot" w:pos="9408"/>
            </w:tabs>
            <w:spacing w:after="240" w:line="480" w:lineRule="auto"/>
            <w:jc w:val="both"/>
            <w:rPr>
              <w:rFonts w:ascii="Times New Roman" w:hAnsi="Times New Roman" w:cs="Times New Roman"/>
              <w:noProof/>
              <w:sz w:val="24"/>
              <w:szCs w:val="24"/>
            </w:rPr>
          </w:pPr>
          <w:hyperlink w:anchor="_Toc102469522" w:history="1">
            <w:r w:rsidR="00783C3E" w:rsidRPr="00783C3E">
              <w:rPr>
                <w:rStyle w:val="Hyperlink"/>
                <w:rFonts w:ascii="Times New Roman" w:hAnsi="Times New Roman" w:cs="Times New Roman"/>
                <w:noProof/>
                <w:sz w:val="24"/>
                <w:szCs w:val="24"/>
              </w:rPr>
              <w:t>2.1.3 Question 3 – Recommendations</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_Toc102469522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7</w:t>
            </w:r>
            <w:r w:rsidR="00783C3E" w:rsidRPr="00783C3E">
              <w:rPr>
                <w:rFonts w:ascii="Times New Roman" w:hAnsi="Times New Roman" w:cs="Times New Roman"/>
                <w:noProof/>
                <w:webHidden/>
                <w:sz w:val="24"/>
                <w:szCs w:val="24"/>
              </w:rPr>
              <w:fldChar w:fldCharType="end"/>
            </w:r>
          </w:hyperlink>
        </w:p>
        <w:p w14:paraId="2CC393F7" w14:textId="77777777" w:rsidR="00783C3E" w:rsidRPr="00783C3E" w:rsidRDefault="0031726C" w:rsidP="00783C3E">
          <w:pPr>
            <w:pStyle w:val="TOC2"/>
            <w:tabs>
              <w:tab w:val="right" w:leader="dot" w:pos="9408"/>
            </w:tabs>
            <w:spacing w:after="240" w:line="480" w:lineRule="auto"/>
            <w:jc w:val="both"/>
            <w:rPr>
              <w:rFonts w:ascii="Times New Roman" w:hAnsi="Times New Roman" w:cs="Times New Roman"/>
              <w:noProof/>
              <w:sz w:val="24"/>
              <w:szCs w:val="24"/>
            </w:rPr>
          </w:pPr>
          <w:hyperlink w:anchor="_Toc102469523" w:history="1">
            <w:r w:rsidR="00783C3E" w:rsidRPr="00783C3E">
              <w:rPr>
                <w:rStyle w:val="Hyperlink"/>
                <w:rFonts w:ascii="Times New Roman" w:hAnsi="Times New Roman" w:cs="Times New Roman"/>
                <w:noProof/>
                <w:sz w:val="24"/>
                <w:szCs w:val="24"/>
              </w:rPr>
              <w:t>2.2 Part B</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_Toc102469523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8</w:t>
            </w:r>
            <w:r w:rsidR="00783C3E" w:rsidRPr="00783C3E">
              <w:rPr>
                <w:rFonts w:ascii="Times New Roman" w:hAnsi="Times New Roman" w:cs="Times New Roman"/>
                <w:noProof/>
                <w:webHidden/>
                <w:sz w:val="24"/>
                <w:szCs w:val="24"/>
              </w:rPr>
              <w:fldChar w:fldCharType="end"/>
            </w:r>
          </w:hyperlink>
        </w:p>
        <w:p w14:paraId="661043F8" w14:textId="77777777" w:rsidR="00783C3E" w:rsidRPr="00783C3E" w:rsidRDefault="0031726C" w:rsidP="00783C3E">
          <w:pPr>
            <w:pStyle w:val="TOC3"/>
            <w:tabs>
              <w:tab w:val="right" w:leader="dot" w:pos="9408"/>
            </w:tabs>
            <w:spacing w:after="240" w:line="480" w:lineRule="auto"/>
            <w:jc w:val="both"/>
            <w:rPr>
              <w:rFonts w:ascii="Times New Roman" w:hAnsi="Times New Roman" w:cs="Times New Roman"/>
              <w:noProof/>
              <w:sz w:val="24"/>
              <w:szCs w:val="24"/>
            </w:rPr>
          </w:pPr>
          <w:hyperlink w:anchor="_Toc102469524" w:history="1">
            <w:r w:rsidR="00783C3E" w:rsidRPr="00783C3E">
              <w:rPr>
                <w:rStyle w:val="Hyperlink"/>
                <w:rFonts w:ascii="Times New Roman" w:hAnsi="Times New Roman" w:cs="Times New Roman"/>
                <w:noProof/>
                <w:sz w:val="24"/>
                <w:szCs w:val="24"/>
                <w:lang w:val="en-US"/>
              </w:rPr>
              <w:t>2.2.1 Introduction</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_Toc102469524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8</w:t>
            </w:r>
            <w:r w:rsidR="00783C3E" w:rsidRPr="00783C3E">
              <w:rPr>
                <w:rFonts w:ascii="Times New Roman" w:hAnsi="Times New Roman" w:cs="Times New Roman"/>
                <w:noProof/>
                <w:webHidden/>
                <w:sz w:val="24"/>
                <w:szCs w:val="24"/>
              </w:rPr>
              <w:fldChar w:fldCharType="end"/>
            </w:r>
          </w:hyperlink>
        </w:p>
        <w:p w14:paraId="190C67C0" w14:textId="77777777" w:rsidR="00783C3E" w:rsidRPr="00783C3E" w:rsidRDefault="0031726C" w:rsidP="00783C3E">
          <w:pPr>
            <w:pStyle w:val="TOC3"/>
            <w:tabs>
              <w:tab w:val="right" w:leader="dot" w:pos="9408"/>
            </w:tabs>
            <w:spacing w:after="240" w:line="480" w:lineRule="auto"/>
            <w:jc w:val="both"/>
            <w:rPr>
              <w:rFonts w:ascii="Times New Roman" w:hAnsi="Times New Roman" w:cs="Times New Roman"/>
              <w:noProof/>
              <w:sz w:val="24"/>
              <w:szCs w:val="24"/>
            </w:rPr>
          </w:pPr>
          <w:hyperlink w:anchor="_Toc102469525" w:history="1">
            <w:r w:rsidR="00783C3E" w:rsidRPr="00783C3E">
              <w:rPr>
                <w:rStyle w:val="Hyperlink"/>
                <w:rFonts w:ascii="Times New Roman" w:hAnsi="Times New Roman" w:cs="Times New Roman"/>
                <w:noProof/>
                <w:sz w:val="24"/>
                <w:szCs w:val="24"/>
                <w:lang w:val="en-US"/>
              </w:rPr>
              <w:t>2.2.2 Cost assessment</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_Toc102469525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9</w:t>
            </w:r>
            <w:r w:rsidR="00783C3E" w:rsidRPr="00783C3E">
              <w:rPr>
                <w:rFonts w:ascii="Times New Roman" w:hAnsi="Times New Roman" w:cs="Times New Roman"/>
                <w:noProof/>
                <w:webHidden/>
                <w:sz w:val="24"/>
                <w:szCs w:val="24"/>
              </w:rPr>
              <w:fldChar w:fldCharType="end"/>
            </w:r>
          </w:hyperlink>
        </w:p>
        <w:p w14:paraId="0BF4DE63" w14:textId="77777777" w:rsidR="00783C3E" w:rsidRPr="00783C3E" w:rsidRDefault="0031726C" w:rsidP="00783C3E">
          <w:pPr>
            <w:pStyle w:val="TOC3"/>
            <w:tabs>
              <w:tab w:val="right" w:leader="dot" w:pos="9408"/>
            </w:tabs>
            <w:spacing w:after="240" w:line="480" w:lineRule="auto"/>
            <w:jc w:val="both"/>
            <w:rPr>
              <w:rFonts w:ascii="Times New Roman" w:hAnsi="Times New Roman" w:cs="Times New Roman"/>
              <w:noProof/>
              <w:sz w:val="24"/>
              <w:szCs w:val="24"/>
            </w:rPr>
          </w:pPr>
          <w:hyperlink w:anchor="_Toc102469526" w:history="1">
            <w:r w:rsidR="00783C3E" w:rsidRPr="00783C3E">
              <w:rPr>
                <w:rStyle w:val="Hyperlink"/>
                <w:rFonts w:ascii="Times New Roman" w:hAnsi="Times New Roman" w:cs="Times New Roman"/>
                <w:noProof/>
                <w:sz w:val="24"/>
                <w:szCs w:val="24"/>
                <w:lang w:val="en-US"/>
              </w:rPr>
              <w:t>2.2.3 Critical analysis of alternatives</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_Toc102469526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11</w:t>
            </w:r>
            <w:r w:rsidR="00783C3E" w:rsidRPr="00783C3E">
              <w:rPr>
                <w:rFonts w:ascii="Times New Roman" w:hAnsi="Times New Roman" w:cs="Times New Roman"/>
                <w:noProof/>
                <w:webHidden/>
                <w:sz w:val="24"/>
                <w:szCs w:val="24"/>
              </w:rPr>
              <w:fldChar w:fldCharType="end"/>
            </w:r>
          </w:hyperlink>
        </w:p>
        <w:p w14:paraId="4C0420D4" w14:textId="77777777" w:rsidR="00783C3E" w:rsidRPr="00783C3E" w:rsidRDefault="0031726C" w:rsidP="00783C3E">
          <w:pPr>
            <w:pStyle w:val="TOC1"/>
            <w:tabs>
              <w:tab w:val="right" w:leader="dot" w:pos="9408"/>
            </w:tabs>
            <w:spacing w:after="240" w:line="480" w:lineRule="auto"/>
            <w:jc w:val="both"/>
            <w:rPr>
              <w:rFonts w:ascii="Times New Roman" w:hAnsi="Times New Roman" w:cs="Times New Roman"/>
              <w:noProof/>
              <w:sz w:val="24"/>
              <w:szCs w:val="24"/>
            </w:rPr>
          </w:pPr>
          <w:hyperlink w:anchor="_Toc102469527" w:history="1">
            <w:r w:rsidR="00783C3E" w:rsidRPr="00783C3E">
              <w:rPr>
                <w:rStyle w:val="Hyperlink"/>
                <w:rFonts w:ascii="Times New Roman" w:hAnsi="Times New Roman" w:cs="Times New Roman"/>
                <w:noProof/>
                <w:sz w:val="24"/>
                <w:szCs w:val="24"/>
              </w:rPr>
              <w:t>3 Conclusion</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_Toc102469527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12</w:t>
            </w:r>
            <w:r w:rsidR="00783C3E" w:rsidRPr="00783C3E">
              <w:rPr>
                <w:rFonts w:ascii="Times New Roman" w:hAnsi="Times New Roman" w:cs="Times New Roman"/>
                <w:noProof/>
                <w:webHidden/>
                <w:sz w:val="24"/>
                <w:szCs w:val="24"/>
              </w:rPr>
              <w:fldChar w:fldCharType="end"/>
            </w:r>
          </w:hyperlink>
        </w:p>
        <w:p w14:paraId="556C4CF1" w14:textId="77777777" w:rsidR="00783C3E" w:rsidRPr="00783C3E" w:rsidRDefault="0031726C" w:rsidP="00783C3E">
          <w:pPr>
            <w:pStyle w:val="TOC1"/>
            <w:tabs>
              <w:tab w:val="right" w:leader="dot" w:pos="9408"/>
            </w:tabs>
            <w:spacing w:after="240" w:line="480" w:lineRule="auto"/>
            <w:jc w:val="both"/>
            <w:rPr>
              <w:rFonts w:ascii="Times New Roman" w:hAnsi="Times New Roman" w:cs="Times New Roman"/>
              <w:noProof/>
              <w:sz w:val="24"/>
              <w:szCs w:val="24"/>
            </w:rPr>
          </w:pPr>
          <w:hyperlink w:anchor="_Toc102469528" w:history="1">
            <w:r w:rsidR="00783C3E" w:rsidRPr="00783C3E">
              <w:rPr>
                <w:rStyle w:val="Hyperlink"/>
                <w:rFonts w:ascii="Times New Roman" w:hAnsi="Times New Roman" w:cs="Times New Roman"/>
                <w:noProof/>
                <w:sz w:val="24"/>
                <w:szCs w:val="24"/>
              </w:rPr>
              <w:t>References</w:t>
            </w:r>
            <w:r w:rsidR="00783C3E" w:rsidRPr="00783C3E">
              <w:rPr>
                <w:rFonts w:ascii="Times New Roman" w:hAnsi="Times New Roman" w:cs="Times New Roman"/>
                <w:noProof/>
                <w:webHidden/>
                <w:sz w:val="24"/>
                <w:szCs w:val="24"/>
              </w:rPr>
              <w:tab/>
            </w:r>
            <w:r w:rsidR="00783C3E" w:rsidRPr="00783C3E">
              <w:rPr>
                <w:rFonts w:ascii="Times New Roman" w:hAnsi="Times New Roman" w:cs="Times New Roman"/>
                <w:noProof/>
                <w:webHidden/>
                <w:sz w:val="24"/>
                <w:szCs w:val="24"/>
              </w:rPr>
              <w:fldChar w:fldCharType="begin"/>
            </w:r>
            <w:r w:rsidR="00783C3E" w:rsidRPr="00783C3E">
              <w:rPr>
                <w:rFonts w:ascii="Times New Roman" w:hAnsi="Times New Roman" w:cs="Times New Roman"/>
                <w:noProof/>
                <w:webHidden/>
                <w:sz w:val="24"/>
                <w:szCs w:val="24"/>
              </w:rPr>
              <w:instrText xml:space="preserve"> PAGEREF _Toc102469528 \h </w:instrText>
            </w:r>
            <w:r w:rsidR="00783C3E" w:rsidRPr="00783C3E">
              <w:rPr>
                <w:rFonts w:ascii="Times New Roman" w:hAnsi="Times New Roman" w:cs="Times New Roman"/>
                <w:noProof/>
                <w:webHidden/>
                <w:sz w:val="24"/>
                <w:szCs w:val="24"/>
              </w:rPr>
            </w:r>
            <w:r w:rsidR="00783C3E" w:rsidRPr="00783C3E">
              <w:rPr>
                <w:rFonts w:ascii="Times New Roman" w:hAnsi="Times New Roman" w:cs="Times New Roman"/>
                <w:noProof/>
                <w:webHidden/>
                <w:sz w:val="24"/>
                <w:szCs w:val="24"/>
              </w:rPr>
              <w:fldChar w:fldCharType="separate"/>
            </w:r>
            <w:r w:rsidR="00783C3E">
              <w:rPr>
                <w:rFonts w:ascii="Times New Roman" w:hAnsi="Times New Roman" w:cs="Times New Roman"/>
                <w:noProof/>
                <w:webHidden/>
                <w:sz w:val="24"/>
                <w:szCs w:val="24"/>
              </w:rPr>
              <w:t>13</w:t>
            </w:r>
            <w:r w:rsidR="00783C3E" w:rsidRPr="00783C3E">
              <w:rPr>
                <w:rFonts w:ascii="Times New Roman" w:hAnsi="Times New Roman" w:cs="Times New Roman"/>
                <w:noProof/>
                <w:webHidden/>
                <w:sz w:val="24"/>
                <w:szCs w:val="24"/>
              </w:rPr>
              <w:fldChar w:fldCharType="end"/>
            </w:r>
          </w:hyperlink>
        </w:p>
        <w:p w14:paraId="36D090EB" w14:textId="77777777" w:rsidR="00783C3E" w:rsidRDefault="00783C3E" w:rsidP="00783C3E">
          <w:pPr>
            <w:spacing w:after="240" w:line="480" w:lineRule="auto"/>
            <w:jc w:val="both"/>
          </w:pPr>
          <w:r w:rsidRPr="00783C3E">
            <w:rPr>
              <w:rFonts w:ascii="Times New Roman" w:hAnsi="Times New Roman" w:cs="Times New Roman"/>
              <w:sz w:val="24"/>
              <w:szCs w:val="24"/>
            </w:rPr>
            <w:fldChar w:fldCharType="end"/>
          </w:r>
        </w:p>
      </w:sdtContent>
    </w:sdt>
    <w:p w14:paraId="7A545944" w14:textId="77777777" w:rsidR="001737D7" w:rsidRDefault="001737D7" w:rsidP="001737D7">
      <w:pPr>
        <w:rPr>
          <w:lang w:val="en-US"/>
        </w:rPr>
      </w:pPr>
    </w:p>
    <w:p w14:paraId="10F17400" w14:textId="77777777" w:rsidR="001737D7" w:rsidRDefault="001737D7" w:rsidP="001737D7">
      <w:pPr>
        <w:rPr>
          <w:lang w:val="en-US"/>
        </w:rPr>
      </w:pPr>
    </w:p>
    <w:p w14:paraId="19FBE5DD" w14:textId="77777777" w:rsidR="001737D7" w:rsidRDefault="001737D7" w:rsidP="001737D7">
      <w:pPr>
        <w:rPr>
          <w:lang w:val="en-US"/>
        </w:rPr>
      </w:pPr>
    </w:p>
    <w:p w14:paraId="6FAE1C29" w14:textId="77777777" w:rsidR="001737D7" w:rsidRDefault="001737D7" w:rsidP="001737D7">
      <w:pPr>
        <w:rPr>
          <w:lang w:val="en-US"/>
        </w:rPr>
      </w:pPr>
    </w:p>
    <w:p w14:paraId="057B38AD" w14:textId="77777777" w:rsidR="001737D7" w:rsidRDefault="001737D7" w:rsidP="001737D7">
      <w:pPr>
        <w:rPr>
          <w:lang w:val="en-US"/>
        </w:rPr>
      </w:pPr>
    </w:p>
    <w:p w14:paraId="6339E7FD" w14:textId="77777777" w:rsidR="00856D33" w:rsidRPr="00A401E8" w:rsidRDefault="00856D33" w:rsidP="00856D33">
      <w:pPr>
        <w:pStyle w:val="Heading1"/>
        <w:spacing w:before="0"/>
        <w:rPr>
          <w:rFonts w:cs="Times New Roman"/>
        </w:rPr>
      </w:pPr>
      <w:bookmarkStart w:id="2" w:name="_Toc102469517"/>
      <w:r w:rsidRPr="00A401E8">
        <w:rPr>
          <w:rFonts w:cs="Times New Roman"/>
        </w:rPr>
        <w:t>1 Introduction</w:t>
      </w:r>
      <w:bookmarkEnd w:id="0"/>
      <w:bookmarkEnd w:id="1"/>
      <w:bookmarkEnd w:id="2"/>
      <w:r w:rsidRPr="00A401E8">
        <w:rPr>
          <w:rFonts w:cs="Times New Roman"/>
        </w:rPr>
        <w:t xml:space="preserve"> </w:t>
      </w:r>
    </w:p>
    <w:p w14:paraId="3F85B604" w14:textId="77777777" w:rsidR="00856D33" w:rsidRDefault="00E4106A" w:rsidP="00856D33">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case of Amana is investigated from a management accounting point of view. Considering the key role of management accounting in investigating various performance issues and informing the decision-making process, the findings from the report could potentially improve the strategic development of the organisation </w:t>
      </w:r>
      <w:r w:rsidR="001737D7" w:rsidRPr="00A401E8">
        <w:rPr>
          <w:rFonts w:ascii="Times New Roman" w:hAnsi="Times New Roman" w:cs="Times New Roman"/>
          <w:sz w:val="24"/>
          <w:szCs w:val="24"/>
        </w:rPr>
        <w:t>(Rhode and Garrison, 2019).</w:t>
      </w:r>
      <w:r w:rsidR="001737D7">
        <w:rPr>
          <w:rFonts w:ascii="Times New Roman" w:hAnsi="Times New Roman" w:cs="Times New Roman"/>
          <w:sz w:val="24"/>
          <w:szCs w:val="24"/>
        </w:rPr>
        <w:t xml:space="preserve"> </w:t>
      </w:r>
      <w:r w:rsidRPr="00E4106A">
        <w:rPr>
          <w:rFonts w:ascii="Times New Roman" w:hAnsi="Times New Roman" w:cs="Times New Roman"/>
          <w:color w:val="FF0000"/>
          <w:sz w:val="24"/>
          <w:szCs w:val="24"/>
        </w:rPr>
        <w:t xml:space="preserve"> </w:t>
      </w:r>
      <w:r>
        <w:rPr>
          <w:rFonts w:ascii="Times New Roman" w:hAnsi="Times New Roman" w:cs="Times New Roman"/>
          <w:sz w:val="24"/>
          <w:szCs w:val="24"/>
        </w:rPr>
        <w:t xml:space="preserve">This is quite important in the light of the performance turbulences during the pandemic and continuous uncertainty. Therefore, information for better cost management, </w:t>
      </w:r>
      <w:proofErr w:type="gramStart"/>
      <w:r>
        <w:rPr>
          <w:rFonts w:ascii="Times New Roman" w:hAnsi="Times New Roman" w:cs="Times New Roman"/>
          <w:sz w:val="24"/>
          <w:szCs w:val="24"/>
        </w:rPr>
        <w:t>pricing</w:t>
      </w:r>
      <w:proofErr w:type="gramEnd"/>
      <w:r>
        <w:rPr>
          <w:rFonts w:ascii="Times New Roman" w:hAnsi="Times New Roman" w:cs="Times New Roman"/>
          <w:sz w:val="24"/>
          <w:szCs w:val="24"/>
        </w:rPr>
        <w:t xml:space="preserve"> and investment decisions – key areas of analysis in the report – could be of relevance for the organisation. </w:t>
      </w:r>
    </w:p>
    <w:p w14:paraId="07A4A0E2" w14:textId="77777777" w:rsidR="00856D33" w:rsidRPr="00A401E8" w:rsidRDefault="00856D33" w:rsidP="00856D33">
      <w:pPr>
        <w:pStyle w:val="Heading1"/>
        <w:spacing w:before="0" w:after="240"/>
        <w:rPr>
          <w:rFonts w:cs="Times New Roman"/>
        </w:rPr>
      </w:pPr>
      <w:bookmarkStart w:id="3" w:name="_Toc102161766"/>
      <w:bookmarkStart w:id="4" w:name="_Toc102161826"/>
      <w:bookmarkStart w:id="5" w:name="_Toc102469518"/>
      <w:r w:rsidRPr="00A401E8">
        <w:rPr>
          <w:rFonts w:cs="Times New Roman"/>
        </w:rPr>
        <w:t>2 Main body</w:t>
      </w:r>
      <w:bookmarkEnd w:id="3"/>
      <w:bookmarkEnd w:id="4"/>
      <w:bookmarkEnd w:id="5"/>
      <w:r w:rsidRPr="00A401E8">
        <w:rPr>
          <w:rFonts w:cs="Times New Roman"/>
        </w:rPr>
        <w:t xml:space="preserve"> </w:t>
      </w:r>
    </w:p>
    <w:p w14:paraId="51BCA104" w14:textId="77777777" w:rsidR="00856D33" w:rsidRPr="00A401E8" w:rsidRDefault="00856D33" w:rsidP="00856D33">
      <w:pPr>
        <w:pStyle w:val="Heading2"/>
        <w:rPr>
          <w:rFonts w:cs="Times New Roman"/>
        </w:rPr>
      </w:pPr>
      <w:bookmarkStart w:id="6" w:name="_Toc102161767"/>
      <w:bookmarkStart w:id="7" w:name="_Toc102161827"/>
      <w:bookmarkStart w:id="8" w:name="_Toc102469519"/>
      <w:r w:rsidRPr="00A401E8">
        <w:rPr>
          <w:rFonts w:cs="Times New Roman"/>
        </w:rPr>
        <w:t>2.1 Part A</w:t>
      </w:r>
      <w:bookmarkEnd w:id="6"/>
      <w:bookmarkEnd w:id="7"/>
      <w:bookmarkEnd w:id="8"/>
    </w:p>
    <w:p w14:paraId="4C7A0905" w14:textId="77777777" w:rsidR="00856D33" w:rsidRPr="00A401E8" w:rsidRDefault="00856D33" w:rsidP="00856D33">
      <w:pPr>
        <w:pStyle w:val="Heading3"/>
        <w:rPr>
          <w:rFonts w:cs="Times New Roman"/>
        </w:rPr>
      </w:pPr>
      <w:bookmarkStart w:id="9" w:name="_Toc102161768"/>
      <w:bookmarkStart w:id="10" w:name="_Toc102161828"/>
      <w:bookmarkStart w:id="11" w:name="_Toc102469520"/>
      <w:r w:rsidRPr="00A401E8">
        <w:rPr>
          <w:rFonts w:cs="Times New Roman"/>
        </w:rPr>
        <w:t>2.1.1 Question 1</w:t>
      </w:r>
      <w:bookmarkEnd w:id="9"/>
      <w:bookmarkEnd w:id="10"/>
      <w:r w:rsidRPr="00A401E8">
        <w:rPr>
          <w:rFonts w:cs="Times New Roman"/>
        </w:rPr>
        <w:t xml:space="preserve"> </w:t>
      </w:r>
      <w:r w:rsidR="00E4106A">
        <w:rPr>
          <w:rFonts w:cs="Times New Roman"/>
        </w:rPr>
        <w:t>– Flexed budget</w:t>
      </w:r>
      <w:bookmarkEnd w:id="11"/>
      <w:r w:rsidR="00E4106A">
        <w:rPr>
          <w:rFonts w:cs="Times New Roman"/>
        </w:rPr>
        <w:t xml:space="preserve"> </w:t>
      </w:r>
    </w:p>
    <w:p w14:paraId="4DB316AE" w14:textId="302272BD" w:rsidR="00856D33" w:rsidRPr="00A401E8" w:rsidRDefault="00E4106A"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purpose of a flexed budget is to identify performance strengths and weaknesses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comparing planned and actual organisational performance on the basis of financial data </w:t>
      </w:r>
      <w:r w:rsidRPr="00A401E8">
        <w:rPr>
          <w:rFonts w:ascii="Times New Roman" w:hAnsi="Times New Roman" w:cs="Times New Roman"/>
          <w:sz w:val="24"/>
          <w:szCs w:val="24"/>
        </w:rPr>
        <w:t>(Rhode and Garrison, 2019).</w:t>
      </w:r>
      <w:r>
        <w:rPr>
          <w:rFonts w:ascii="Times New Roman" w:hAnsi="Times New Roman" w:cs="Times New Roman"/>
          <w:sz w:val="24"/>
          <w:szCs w:val="24"/>
        </w:rPr>
        <w:t xml:space="preserve"> The flexed budget takes into consideration the size of actual sales, as reported in the income statement </w:t>
      </w:r>
      <w:r w:rsidRPr="00A401E8">
        <w:rPr>
          <w:rFonts w:ascii="Times New Roman" w:hAnsi="Times New Roman" w:cs="Times New Roman"/>
          <w:sz w:val="24"/>
          <w:szCs w:val="24"/>
        </w:rPr>
        <w:t>(Rhode and Garrison, 2019).</w:t>
      </w:r>
      <w:r>
        <w:rPr>
          <w:rFonts w:ascii="Times New Roman" w:hAnsi="Times New Roman" w:cs="Times New Roman"/>
          <w:sz w:val="24"/>
          <w:szCs w:val="24"/>
        </w:rPr>
        <w:t xml:space="preserve"> Then, all types of costs</w:t>
      </w:r>
      <w:r w:rsidR="004F783E">
        <w:rPr>
          <w:rFonts w:ascii="Times New Roman" w:hAnsi="Times New Roman" w:cs="Times New Roman"/>
          <w:sz w:val="24"/>
          <w:szCs w:val="24"/>
        </w:rPr>
        <w:t>, which are related to the performance of Amana,</w:t>
      </w:r>
      <w:r>
        <w:rPr>
          <w:rFonts w:ascii="Times New Roman" w:hAnsi="Times New Roman" w:cs="Times New Roman"/>
          <w:sz w:val="24"/>
          <w:szCs w:val="24"/>
        </w:rPr>
        <w:t xml:space="preserve"> are derived from the planned budget for the respective period. This approach of preparing a flexed budget is clearly seen in the information from table 1 below.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the information from the flexed budget and actual performance, variances are also calculated; thereby, producing favourable and unfavourable outcomes </w:t>
      </w:r>
      <w:r w:rsidRPr="00A401E8">
        <w:rPr>
          <w:rFonts w:ascii="Times New Roman" w:hAnsi="Times New Roman" w:cs="Times New Roman"/>
          <w:sz w:val="24"/>
          <w:szCs w:val="24"/>
        </w:rPr>
        <w:t>(Rhode and Garrison, 2019).</w:t>
      </w:r>
      <w:r>
        <w:rPr>
          <w:rFonts w:ascii="Times New Roman" w:hAnsi="Times New Roman" w:cs="Times New Roman"/>
          <w:sz w:val="24"/>
          <w:szCs w:val="24"/>
        </w:rPr>
        <w:t xml:space="preserve"> Naturally, the favourable variances occur when the flexed budget performance is better than the expectations set in the original budget, whereas unfavourable variances are related with worse-than-expected performance </w:t>
      </w:r>
      <w:r w:rsidRPr="00A401E8">
        <w:rPr>
          <w:rFonts w:ascii="Times New Roman" w:hAnsi="Times New Roman" w:cs="Times New Roman"/>
          <w:sz w:val="24"/>
          <w:szCs w:val="24"/>
        </w:rPr>
        <w:t>(Rhode and Garrison, 2019</w:t>
      </w:r>
      <w:proofErr w:type="gramStart"/>
      <w:r w:rsidRPr="00A401E8">
        <w:rPr>
          <w:rFonts w:ascii="Times New Roman" w:hAnsi="Times New Roman" w:cs="Times New Roman"/>
          <w:sz w:val="24"/>
          <w:szCs w:val="24"/>
        </w:rPr>
        <w:t>).</w:t>
      </w:r>
      <w:r>
        <w:rPr>
          <w:rFonts w:ascii="Times New Roman" w:hAnsi="Times New Roman" w:cs="Times New Roman"/>
          <w:sz w:val="24"/>
          <w:szCs w:val="24"/>
        </w:rPr>
        <w:t>The</w:t>
      </w:r>
      <w:proofErr w:type="gramEnd"/>
      <w:r>
        <w:rPr>
          <w:rFonts w:ascii="Times New Roman" w:hAnsi="Times New Roman" w:cs="Times New Roman"/>
          <w:sz w:val="24"/>
          <w:szCs w:val="24"/>
        </w:rPr>
        <w:t xml:space="preserve"> full analysis of Amana is shown in table 1. The information is then used for analytical purposes and recommendations for potential improvements. </w:t>
      </w:r>
    </w:p>
    <w:p w14:paraId="6A79E7FA" w14:textId="77777777" w:rsidR="00856D33" w:rsidRDefault="00856D33" w:rsidP="00856D33">
      <w:pPr>
        <w:spacing w:before="240"/>
        <w:jc w:val="both"/>
        <w:rPr>
          <w:rFonts w:ascii="Times New Roman" w:hAnsi="Times New Roman" w:cs="Times New Roman"/>
          <w:sz w:val="24"/>
          <w:szCs w:val="24"/>
        </w:rPr>
      </w:pPr>
    </w:p>
    <w:p w14:paraId="61C55429" w14:textId="77777777" w:rsidR="00E4106A" w:rsidRPr="00A401E8" w:rsidRDefault="00E4106A" w:rsidP="00856D33">
      <w:pPr>
        <w:spacing w:before="240"/>
        <w:jc w:val="both"/>
        <w:rPr>
          <w:rFonts w:ascii="Times New Roman" w:hAnsi="Times New Roman" w:cs="Times New Roman"/>
          <w:sz w:val="24"/>
          <w:szCs w:val="24"/>
        </w:rPr>
      </w:pPr>
    </w:p>
    <w:p w14:paraId="6A3A89C6" w14:textId="77777777" w:rsidR="00856D33" w:rsidRPr="00A401E8" w:rsidRDefault="00856D33" w:rsidP="00856D33">
      <w:pPr>
        <w:spacing w:before="240" w:after="240"/>
        <w:jc w:val="both"/>
        <w:rPr>
          <w:rFonts w:ascii="Times New Roman" w:hAnsi="Times New Roman" w:cs="Times New Roman"/>
          <w:b/>
          <w:sz w:val="24"/>
          <w:szCs w:val="24"/>
        </w:rPr>
      </w:pPr>
      <w:r w:rsidRPr="00A401E8">
        <w:rPr>
          <w:rFonts w:ascii="Times New Roman" w:hAnsi="Times New Roman" w:cs="Times New Roman"/>
          <w:b/>
          <w:sz w:val="24"/>
          <w:szCs w:val="24"/>
        </w:rPr>
        <w:t xml:space="preserve">Table 1 – Monthly control report </w:t>
      </w:r>
      <w:r w:rsidR="000C72DD">
        <w:rPr>
          <w:rFonts w:ascii="Times New Roman" w:hAnsi="Times New Roman" w:cs="Times New Roman"/>
          <w:b/>
          <w:sz w:val="24"/>
          <w:szCs w:val="24"/>
        </w:rPr>
        <w:t>(£)</w:t>
      </w:r>
    </w:p>
    <w:tbl>
      <w:tblPr>
        <w:tblStyle w:val="TableGrid"/>
        <w:tblW w:w="9356" w:type="dxa"/>
        <w:tblInd w:w="108"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shd w:val="clear" w:color="auto" w:fill="D6E3BC" w:themeFill="accent3" w:themeFillTint="66"/>
        <w:tblLook w:val="04A0" w:firstRow="1" w:lastRow="0" w:firstColumn="1" w:lastColumn="0" w:noHBand="0" w:noVBand="1"/>
      </w:tblPr>
      <w:tblGrid>
        <w:gridCol w:w="1985"/>
        <w:gridCol w:w="1134"/>
        <w:gridCol w:w="1417"/>
        <w:gridCol w:w="1560"/>
        <w:gridCol w:w="1559"/>
        <w:gridCol w:w="1701"/>
      </w:tblGrid>
      <w:tr w:rsidR="000C72DD" w:rsidRPr="00A401E8" w14:paraId="28D6699A" w14:textId="77777777" w:rsidTr="000C72DD">
        <w:tc>
          <w:tcPr>
            <w:tcW w:w="1985" w:type="dxa"/>
            <w:shd w:val="clear" w:color="auto" w:fill="D6E3BC" w:themeFill="accent3" w:themeFillTint="66"/>
          </w:tcPr>
          <w:p w14:paraId="62C46BCF" w14:textId="77777777" w:rsidR="00856D33" w:rsidRPr="00A401E8" w:rsidRDefault="00856D33" w:rsidP="004F783E">
            <w:pPr>
              <w:spacing w:after="240"/>
              <w:jc w:val="center"/>
              <w:rPr>
                <w:rFonts w:ascii="Times New Roman" w:hAnsi="Times New Roman" w:cs="Times New Roman"/>
                <w:b/>
                <w:sz w:val="24"/>
                <w:szCs w:val="24"/>
              </w:rPr>
            </w:pPr>
            <w:r w:rsidRPr="00A401E8">
              <w:rPr>
                <w:rFonts w:ascii="Times New Roman" w:hAnsi="Times New Roman" w:cs="Times New Roman"/>
                <w:b/>
                <w:sz w:val="24"/>
                <w:szCs w:val="24"/>
              </w:rPr>
              <w:t>Item</w:t>
            </w:r>
          </w:p>
        </w:tc>
        <w:tc>
          <w:tcPr>
            <w:tcW w:w="1134" w:type="dxa"/>
            <w:shd w:val="clear" w:color="auto" w:fill="D6E3BC" w:themeFill="accent3" w:themeFillTint="66"/>
          </w:tcPr>
          <w:p w14:paraId="2468E035"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Cost per unit</w:t>
            </w:r>
          </w:p>
        </w:tc>
        <w:tc>
          <w:tcPr>
            <w:tcW w:w="1417" w:type="dxa"/>
            <w:shd w:val="clear" w:color="auto" w:fill="D6E3BC" w:themeFill="accent3" w:themeFillTint="66"/>
          </w:tcPr>
          <w:p w14:paraId="666E1C54"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Original budget</w:t>
            </w:r>
          </w:p>
        </w:tc>
        <w:tc>
          <w:tcPr>
            <w:tcW w:w="1560" w:type="dxa"/>
            <w:shd w:val="clear" w:color="auto" w:fill="D6E3BC" w:themeFill="accent3" w:themeFillTint="66"/>
          </w:tcPr>
          <w:p w14:paraId="2941C2DF"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Flexed budget</w:t>
            </w:r>
          </w:p>
        </w:tc>
        <w:tc>
          <w:tcPr>
            <w:tcW w:w="1559" w:type="dxa"/>
            <w:shd w:val="clear" w:color="auto" w:fill="D6E3BC" w:themeFill="accent3" w:themeFillTint="66"/>
          </w:tcPr>
          <w:p w14:paraId="5ADD9E41"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Actual</w:t>
            </w:r>
          </w:p>
        </w:tc>
        <w:tc>
          <w:tcPr>
            <w:tcW w:w="1701" w:type="dxa"/>
            <w:shd w:val="clear" w:color="auto" w:fill="D6E3BC" w:themeFill="accent3" w:themeFillTint="66"/>
          </w:tcPr>
          <w:p w14:paraId="030D1B21"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Variance</w:t>
            </w:r>
          </w:p>
        </w:tc>
      </w:tr>
      <w:tr w:rsidR="000C72DD" w:rsidRPr="00A401E8" w14:paraId="01525F14" w14:textId="77777777" w:rsidTr="000C72DD">
        <w:tc>
          <w:tcPr>
            <w:tcW w:w="1985" w:type="dxa"/>
            <w:shd w:val="clear" w:color="auto" w:fill="D6E3BC" w:themeFill="accent3" w:themeFillTint="66"/>
          </w:tcPr>
          <w:p w14:paraId="449DFDA8"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Units </w:t>
            </w:r>
          </w:p>
        </w:tc>
        <w:tc>
          <w:tcPr>
            <w:tcW w:w="1134" w:type="dxa"/>
            <w:shd w:val="clear" w:color="auto" w:fill="D6E3BC" w:themeFill="accent3" w:themeFillTint="66"/>
          </w:tcPr>
          <w:p w14:paraId="7C18F629"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64A884D1"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100,000</w:t>
            </w:r>
          </w:p>
        </w:tc>
        <w:tc>
          <w:tcPr>
            <w:tcW w:w="1560" w:type="dxa"/>
            <w:shd w:val="clear" w:color="auto" w:fill="D6E3BC" w:themeFill="accent3" w:themeFillTint="66"/>
          </w:tcPr>
          <w:p w14:paraId="2FFC44EE"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80,000</w:t>
            </w:r>
          </w:p>
        </w:tc>
        <w:tc>
          <w:tcPr>
            <w:tcW w:w="1559" w:type="dxa"/>
            <w:shd w:val="clear" w:color="auto" w:fill="D6E3BC" w:themeFill="accent3" w:themeFillTint="66"/>
          </w:tcPr>
          <w:p w14:paraId="7BED33BA"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80,000</w:t>
            </w:r>
          </w:p>
        </w:tc>
        <w:tc>
          <w:tcPr>
            <w:tcW w:w="1701" w:type="dxa"/>
            <w:shd w:val="clear" w:color="auto" w:fill="D6E3BC" w:themeFill="accent3" w:themeFillTint="66"/>
          </w:tcPr>
          <w:p w14:paraId="55E65B88" w14:textId="77777777" w:rsidR="00856D33" w:rsidRPr="00A401E8" w:rsidRDefault="00856D33" w:rsidP="004F783E">
            <w:pPr>
              <w:jc w:val="center"/>
              <w:rPr>
                <w:rFonts w:ascii="Times New Roman" w:hAnsi="Times New Roman" w:cs="Times New Roman"/>
                <w:sz w:val="24"/>
                <w:szCs w:val="24"/>
              </w:rPr>
            </w:pPr>
          </w:p>
        </w:tc>
      </w:tr>
      <w:tr w:rsidR="000C72DD" w:rsidRPr="00A401E8" w14:paraId="72557EED" w14:textId="77777777" w:rsidTr="000C72DD">
        <w:tc>
          <w:tcPr>
            <w:tcW w:w="1985" w:type="dxa"/>
            <w:shd w:val="clear" w:color="auto" w:fill="D6E3BC" w:themeFill="accent3" w:themeFillTint="66"/>
          </w:tcPr>
          <w:p w14:paraId="5016409B"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Selling price </w:t>
            </w:r>
          </w:p>
        </w:tc>
        <w:tc>
          <w:tcPr>
            <w:tcW w:w="1134" w:type="dxa"/>
            <w:shd w:val="clear" w:color="auto" w:fill="D6E3BC" w:themeFill="accent3" w:themeFillTint="66"/>
          </w:tcPr>
          <w:p w14:paraId="00B958F3"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25</w:t>
            </w:r>
          </w:p>
        </w:tc>
        <w:tc>
          <w:tcPr>
            <w:tcW w:w="1417" w:type="dxa"/>
            <w:shd w:val="clear" w:color="auto" w:fill="D6E3BC" w:themeFill="accent3" w:themeFillTint="66"/>
          </w:tcPr>
          <w:p w14:paraId="61960AA9"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25</w:t>
            </w:r>
          </w:p>
        </w:tc>
        <w:tc>
          <w:tcPr>
            <w:tcW w:w="1560" w:type="dxa"/>
            <w:shd w:val="clear" w:color="auto" w:fill="D6E3BC" w:themeFill="accent3" w:themeFillTint="66"/>
          </w:tcPr>
          <w:p w14:paraId="5423F1ED"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25</w:t>
            </w:r>
          </w:p>
        </w:tc>
        <w:tc>
          <w:tcPr>
            <w:tcW w:w="1559" w:type="dxa"/>
            <w:shd w:val="clear" w:color="auto" w:fill="D6E3BC" w:themeFill="accent3" w:themeFillTint="66"/>
          </w:tcPr>
          <w:p w14:paraId="0204F20F"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20</w:t>
            </w:r>
          </w:p>
        </w:tc>
        <w:tc>
          <w:tcPr>
            <w:tcW w:w="1701" w:type="dxa"/>
            <w:shd w:val="clear" w:color="auto" w:fill="D6E3BC" w:themeFill="accent3" w:themeFillTint="66"/>
          </w:tcPr>
          <w:p w14:paraId="12C6DE94"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5 UF</w:t>
            </w:r>
          </w:p>
        </w:tc>
      </w:tr>
      <w:tr w:rsidR="000C72DD" w:rsidRPr="00A401E8" w14:paraId="4B936242" w14:textId="77777777" w:rsidTr="000C72DD">
        <w:tc>
          <w:tcPr>
            <w:tcW w:w="1985" w:type="dxa"/>
            <w:shd w:val="clear" w:color="auto" w:fill="D6E3BC" w:themeFill="accent3" w:themeFillTint="66"/>
          </w:tcPr>
          <w:p w14:paraId="54F32C8D"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Revenue </w:t>
            </w:r>
          </w:p>
        </w:tc>
        <w:tc>
          <w:tcPr>
            <w:tcW w:w="1134" w:type="dxa"/>
            <w:shd w:val="clear" w:color="auto" w:fill="D6E3BC" w:themeFill="accent3" w:themeFillTint="66"/>
          </w:tcPr>
          <w:p w14:paraId="10011124"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13FB457B"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2,500,000</w:t>
            </w:r>
          </w:p>
        </w:tc>
        <w:tc>
          <w:tcPr>
            <w:tcW w:w="1560" w:type="dxa"/>
            <w:shd w:val="clear" w:color="auto" w:fill="D6E3BC" w:themeFill="accent3" w:themeFillTint="66"/>
          </w:tcPr>
          <w:p w14:paraId="29A54A64"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2,000,000</w:t>
            </w:r>
          </w:p>
        </w:tc>
        <w:tc>
          <w:tcPr>
            <w:tcW w:w="1559" w:type="dxa"/>
            <w:shd w:val="clear" w:color="auto" w:fill="D6E3BC" w:themeFill="accent3" w:themeFillTint="66"/>
          </w:tcPr>
          <w:p w14:paraId="4523957A"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1,600,000</w:t>
            </w:r>
          </w:p>
        </w:tc>
        <w:tc>
          <w:tcPr>
            <w:tcW w:w="1701" w:type="dxa"/>
            <w:shd w:val="clear" w:color="auto" w:fill="D6E3BC" w:themeFill="accent3" w:themeFillTint="66"/>
          </w:tcPr>
          <w:p w14:paraId="012A372D"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(400,000) UF</w:t>
            </w:r>
          </w:p>
        </w:tc>
      </w:tr>
      <w:tr w:rsidR="000C72DD" w:rsidRPr="00A401E8" w14:paraId="3439CD9D" w14:textId="77777777" w:rsidTr="000C72DD">
        <w:tc>
          <w:tcPr>
            <w:tcW w:w="1985" w:type="dxa"/>
            <w:shd w:val="clear" w:color="auto" w:fill="D6E3BC" w:themeFill="accent3" w:themeFillTint="66"/>
          </w:tcPr>
          <w:p w14:paraId="702D5E8F" w14:textId="77777777" w:rsidR="00856D33" w:rsidRPr="00A401E8" w:rsidRDefault="00856D33" w:rsidP="004F783E">
            <w:pPr>
              <w:rPr>
                <w:rFonts w:ascii="Times New Roman" w:hAnsi="Times New Roman" w:cs="Times New Roman"/>
                <w:b/>
                <w:sz w:val="24"/>
                <w:szCs w:val="24"/>
              </w:rPr>
            </w:pPr>
            <w:r w:rsidRPr="00A401E8">
              <w:rPr>
                <w:rFonts w:ascii="Times New Roman" w:hAnsi="Times New Roman" w:cs="Times New Roman"/>
                <w:b/>
                <w:sz w:val="24"/>
                <w:szCs w:val="24"/>
              </w:rPr>
              <w:t xml:space="preserve">Variable costs: </w:t>
            </w:r>
          </w:p>
        </w:tc>
        <w:tc>
          <w:tcPr>
            <w:tcW w:w="1134" w:type="dxa"/>
            <w:shd w:val="clear" w:color="auto" w:fill="D6E3BC" w:themeFill="accent3" w:themeFillTint="66"/>
          </w:tcPr>
          <w:p w14:paraId="17917E6D"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43ABD36B" w14:textId="77777777" w:rsidR="00856D33" w:rsidRPr="00A401E8" w:rsidRDefault="00856D33" w:rsidP="004F783E">
            <w:pPr>
              <w:jc w:val="center"/>
              <w:rPr>
                <w:rFonts w:ascii="Times New Roman" w:hAnsi="Times New Roman" w:cs="Times New Roman"/>
                <w:sz w:val="24"/>
                <w:szCs w:val="24"/>
              </w:rPr>
            </w:pPr>
          </w:p>
        </w:tc>
        <w:tc>
          <w:tcPr>
            <w:tcW w:w="1560" w:type="dxa"/>
            <w:shd w:val="clear" w:color="auto" w:fill="D6E3BC" w:themeFill="accent3" w:themeFillTint="66"/>
          </w:tcPr>
          <w:p w14:paraId="31DA9613" w14:textId="77777777" w:rsidR="00856D33" w:rsidRPr="00A401E8" w:rsidRDefault="00856D33" w:rsidP="004F783E">
            <w:pPr>
              <w:jc w:val="center"/>
              <w:rPr>
                <w:rFonts w:ascii="Times New Roman" w:hAnsi="Times New Roman" w:cs="Times New Roman"/>
                <w:sz w:val="24"/>
                <w:szCs w:val="24"/>
              </w:rPr>
            </w:pPr>
          </w:p>
        </w:tc>
        <w:tc>
          <w:tcPr>
            <w:tcW w:w="1559" w:type="dxa"/>
            <w:shd w:val="clear" w:color="auto" w:fill="D6E3BC" w:themeFill="accent3" w:themeFillTint="66"/>
          </w:tcPr>
          <w:p w14:paraId="29BC2774" w14:textId="77777777" w:rsidR="00856D33" w:rsidRPr="00A401E8" w:rsidRDefault="00856D33" w:rsidP="004F783E">
            <w:pPr>
              <w:jc w:val="center"/>
              <w:rPr>
                <w:rFonts w:ascii="Times New Roman" w:hAnsi="Times New Roman" w:cs="Times New Roman"/>
                <w:sz w:val="24"/>
                <w:szCs w:val="24"/>
              </w:rPr>
            </w:pPr>
          </w:p>
        </w:tc>
        <w:tc>
          <w:tcPr>
            <w:tcW w:w="1701" w:type="dxa"/>
            <w:shd w:val="clear" w:color="auto" w:fill="D6E3BC" w:themeFill="accent3" w:themeFillTint="66"/>
          </w:tcPr>
          <w:p w14:paraId="32424ABC" w14:textId="77777777" w:rsidR="00856D33" w:rsidRPr="00A401E8" w:rsidRDefault="00856D33" w:rsidP="004F783E">
            <w:pPr>
              <w:jc w:val="center"/>
              <w:rPr>
                <w:rFonts w:ascii="Times New Roman" w:hAnsi="Times New Roman" w:cs="Times New Roman"/>
                <w:sz w:val="24"/>
                <w:szCs w:val="24"/>
              </w:rPr>
            </w:pPr>
          </w:p>
        </w:tc>
      </w:tr>
      <w:tr w:rsidR="000C72DD" w:rsidRPr="00A401E8" w14:paraId="6C30FF33" w14:textId="77777777" w:rsidTr="000C72DD">
        <w:tc>
          <w:tcPr>
            <w:tcW w:w="1985" w:type="dxa"/>
            <w:shd w:val="clear" w:color="auto" w:fill="D6E3BC" w:themeFill="accent3" w:themeFillTint="66"/>
          </w:tcPr>
          <w:p w14:paraId="2891C62B"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Materials </w:t>
            </w:r>
          </w:p>
        </w:tc>
        <w:tc>
          <w:tcPr>
            <w:tcW w:w="1134" w:type="dxa"/>
            <w:shd w:val="clear" w:color="auto" w:fill="D6E3BC" w:themeFill="accent3" w:themeFillTint="66"/>
          </w:tcPr>
          <w:p w14:paraId="7B6C3A0E"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2.50</w:t>
            </w:r>
          </w:p>
        </w:tc>
        <w:tc>
          <w:tcPr>
            <w:tcW w:w="1417" w:type="dxa"/>
            <w:shd w:val="clear" w:color="auto" w:fill="D6E3BC" w:themeFill="accent3" w:themeFillTint="66"/>
          </w:tcPr>
          <w:p w14:paraId="01FC3482"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250,000</w:t>
            </w:r>
          </w:p>
        </w:tc>
        <w:tc>
          <w:tcPr>
            <w:tcW w:w="1560" w:type="dxa"/>
            <w:shd w:val="clear" w:color="auto" w:fill="D6E3BC" w:themeFill="accent3" w:themeFillTint="66"/>
          </w:tcPr>
          <w:p w14:paraId="437717CC"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200,000</w:t>
            </w:r>
          </w:p>
        </w:tc>
        <w:tc>
          <w:tcPr>
            <w:tcW w:w="1559" w:type="dxa"/>
            <w:shd w:val="clear" w:color="auto" w:fill="D6E3BC" w:themeFill="accent3" w:themeFillTint="66"/>
          </w:tcPr>
          <w:p w14:paraId="4AD8CC45"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280,000</w:t>
            </w:r>
          </w:p>
        </w:tc>
        <w:tc>
          <w:tcPr>
            <w:tcW w:w="1701" w:type="dxa"/>
            <w:shd w:val="clear" w:color="auto" w:fill="D6E3BC" w:themeFill="accent3" w:themeFillTint="66"/>
          </w:tcPr>
          <w:p w14:paraId="7A2157C4"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(80,000) UF</w:t>
            </w:r>
          </w:p>
        </w:tc>
      </w:tr>
      <w:tr w:rsidR="000C72DD" w:rsidRPr="00A401E8" w14:paraId="3AA10E14" w14:textId="77777777" w:rsidTr="000C72DD">
        <w:tc>
          <w:tcPr>
            <w:tcW w:w="1985" w:type="dxa"/>
            <w:shd w:val="clear" w:color="auto" w:fill="D6E3BC" w:themeFill="accent3" w:themeFillTint="66"/>
          </w:tcPr>
          <w:p w14:paraId="2EBB3141"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Labour cost </w:t>
            </w:r>
          </w:p>
        </w:tc>
        <w:tc>
          <w:tcPr>
            <w:tcW w:w="1134" w:type="dxa"/>
            <w:shd w:val="clear" w:color="auto" w:fill="D6E3BC" w:themeFill="accent3" w:themeFillTint="66"/>
          </w:tcPr>
          <w:p w14:paraId="5E5D497A"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4</w:t>
            </w:r>
          </w:p>
        </w:tc>
        <w:tc>
          <w:tcPr>
            <w:tcW w:w="1417" w:type="dxa"/>
            <w:shd w:val="clear" w:color="auto" w:fill="D6E3BC" w:themeFill="accent3" w:themeFillTint="66"/>
          </w:tcPr>
          <w:p w14:paraId="3BD8B65F"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400,000</w:t>
            </w:r>
          </w:p>
        </w:tc>
        <w:tc>
          <w:tcPr>
            <w:tcW w:w="1560" w:type="dxa"/>
            <w:shd w:val="clear" w:color="auto" w:fill="D6E3BC" w:themeFill="accent3" w:themeFillTint="66"/>
          </w:tcPr>
          <w:p w14:paraId="03D92751"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320,000</w:t>
            </w:r>
          </w:p>
        </w:tc>
        <w:tc>
          <w:tcPr>
            <w:tcW w:w="1559" w:type="dxa"/>
            <w:shd w:val="clear" w:color="auto" w:fill="D6E3BC" w:themeFill="accent3" w:themeFillTint="66"/>
          </w:tcPr>
          <w:p w14:paraId="3CC608DF"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440,000</w:t>
            </w:r>
          </w:p>
        </w:tc>
        <w:tc>
          <w:tcPr>
            <w:tcW w:w="1701" w:type="dxa"/>
            <w:shd w:val="clear" w:color="auto" w:fill="D6E3BC" w:themeFill="accent3" w:themeFillTint="66"/>
          </w:tcPr>
          <w:p w14:paraId="144F2091"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(120,000) UF</w:t>
            </w:r>
          </w:p>
        </w:tc>
      </w:tr>
      <w:tr w:rsidR="000C72DD" w:rsidRPr="00A401E8" w14:paraId="63F4B2AE" w14:textId="77777777" w:rsidTr="000C72DD">
        <w:tc>
          <w:tcPr>
            <w:tcW w:w="1985" w:type="dxa"/>
            <w:shd w:val="clear" w:color="auto" w:fill="D6E3BC" w:themeFill="accent3" w:themeFillTint="66"/>
          </w:tcPr>
          <w:p w14:paraId="4FA5DFF8"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Overhead </w:t>
            </w:r>
          </w:p>
        </w:tc>
        <w:tc>
          <w:tcPr>
            <w:tcW w:w="1134" w:type="dxa"/>
            <w:shd w:val="clear" w:color="auto" w:fill="D6E3BC" w:themeFill="accent3" w:themeFillTint="66"/>
          </w:tcPr>
          <w:p w14:paraId="298E0A9B"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1.50</w:t>
            </w:r>
          </w:p>
        </w:tc>
        <w:tc>
          <w:tcPr>
            <w:tcW w:w="1417" w:type="dxa"/>
            <w:shd w:val="clear" w:color="auto" w:fill="D6E3BC" w:themeFill="accent3" w:themeFillTint="66"/>
          </w:tcPr>
          <w:p w14:paraId="4939AA29"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150,000</w:t>
            </w:r>
          </w:p>
        </w:tc>
        <w:tc>
          <w:tcPr>
            <w:tcW w:w="1560" w:type="dxa"/>
            <w:shd w:val="clear" w:color="auto" w:fill="D6E3BC" w:themeFill="accent3" w:themeFillTint="66"/>
          </w:tcPr>
          <w:p w14:paraId="4441B62B"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120,000</w:t>
            </w:r>
          </w:p>
        </w:tc>
        <w:tc>
          <w:tcPr>
            <w:tcW w:w="1559" w:type="dxa"/>
            <w:shd w:val="clear" w:color="auto" w:fill="D6E3BC" w:themeFill="accent3" w:themeFillTint="66"/>
          </w:tcPr>
          <w:p w14:paraId="27F67035"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120,000</w:t>
            </w:r>
          </w:p>
        </w:tc>
        <w:tc>
          <w:tcPr>
            <w:tcW w:w="1701" w:type="dxa"/>
            <w:shd w:val="clear" w:color="auto" w:fill="D6E3BC" w:themeFill="accent3" w:themeFillTint="66"/>
          </w:tcPr>
          <w:p w14:paraId="343B59E7"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0</w:t>
            </w:r>
          </w:p>
        </w:tc>
      </w:tr>
      <w:tr w:rsidR="000C72DD" w:rsidRPr="00A401E8" w14:paraId="01E5C616" w14:textId="77777777" w:rsidTr="000C72DD">
        <w:tc>
          <w:tcPr>
            <w:tcW w:w="1985" w:type="dxa"/>
            <w:shd w:val="clear" w:color="auto" w:fill="D6E3BC" w:themeFill="accent3" w:themeFillTint="66"/>
          </w:tcPr>
          <w:p w14:paraId="3D77AD27"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Contribution </w:t>
            </w:r>
          </w:p>
        </w:tc>
        <w:tc>
          <w:tcPr>
            <w:tcW w:w="1134" w:type="dxa"/>
            <w:shd w:val="clear" w:color="auto" w:fill="D6E3BC" w:themeFill="accent3" w:themeFillTint="66"/>
          </w:tcPr>
          <w:p w14:paraId="333A993F"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17</w:t>
            </w:r>
          </w:p>
        </w:tc>
        <w:tc>
          <w:tcPr>
            <w:tcW w:w="1417" w:type="dxa"/>
            <w:shd w:val="clear" w:color="auto" w:fill="D6E3BC" w:themeFill="accent3" w:themeFillTint="66"/>
          </w:tcPr>
          <w:p w14:paraId="6A15C4D3"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1,700,000</w:t>
            </w:r>
          </w:p>
        </w:tc>
        <w:tc>
          <w:tcPr>
            <w:tcW w:w="1560" w:type="dxa"/>
            <w:shd w:val="clear" w:color="auto" w:fill="D6E3BC" w:themeFill="accent3" w:themeFillTint="66"/>
          </w:tcPr>
          <w:p w14:paraId="602CC2AB"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1,360,000</w:t>
            </w:r>
          </w:p>
        </w:tc>
        <w:tc>
          <w:tcPr>
            <w:tcW w:w="1559" w:type="dxa"/>
            <w:shd w:val="clear" w:color="auto" w:fill="D6E3BC" w:themeFill="accent3" w:themeFillTint="66"/>
          </w:tcPr>
          <w:p w14:paraId="3035092B"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760,000</w:t>
            </w:r>
          </w:p>
        </w:tc>
        <w:tc>
          <w:tcPr>
            <w:tcW w:w="1701" w:type="dxa"/>
            <w:shd w:val="clear" w:color="auto" w:fill="D6E3BC" w:themeFill="accent3" w:themeFillTint="66"/>
          </w:tcPr>
          <w:p w14:paraId="7DAD7170"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600,000 UF</w:t>
            </w:r>
          </w:p>
        </w:tc>
      </w:tr>
      <w:tr w:rsidR="000C72DD" w:rsidRPr="00A401E8" w14:paraId="79C2D49D" w14:textId="77777777" w:rsidTr="000C72DD">
        <w:tc>
          <w:tcPr>
            <w:tcW w:w="1985" w:type="dxa"/>
            <w:shd w:val="clear" w:color="auto" w:fill="D6E3BC" w:themeFill="accent3" w:themeFillTint="66"/>
          </w:tcPr>
          <w:p w14:paraId="66ECD8C9" w14:textId="77777777" w:rsidR="00856D33" w:rsidRPr="00A401E8" w:rsidRDefault="00856D33" w:rsidP="004F783E">
            <w:pPr>
              <w:rPr>
                <w:rFonts w:ascii="Times New Roman" w:hAnsi="Times New Roman" w:cs="Times New Roman"/>
                <w:b/>
                <w:sz w:val="24"/>
                <w:szCs w:val="24"/>
              </w:rPr>
            </w:pPr>
            <w:r w:rsidRPr="00A401E8">
              <w:rPr>
                <w:rFonts w:ascii="Times New Roman" w:hAnsi="Times New Roman" w:cs="Times New Roman"/>
                <w:b/>
                <w:sz w:val="24"/>
                <w:szCs w:val="24"/>
              </w:rPr>
              <w:t>Fixed overheads:</w:t>
            </w:r>
          </w:p>
        </w:tc>
        <w:tc>
          <w:tcPr>
            <w:tcW w:w="1134" w:type="dxa"/>
            <w:shd w:val="clear" w:color="auto" w:fill="D6E3BC" w:themeFill="accent3" w:themeFillTint="66"/>
          </w:tcPr>
          <w:p w14:paraId="274589F7"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31CA8546" w14:textId="77777777" w:rsidR="00856D33" w:rsidRPr="00A401E8" w:rsidRDefault="00856D33" w:rsidP="004F783E">
            <w:pPr>
              <w:jc w:val="center"/>
              <w:rPr>
                <w:rFonts w:ascii="Times New Roman" w:hAnsi="Times New Roman" w:cs="Times New Roman"/>
                <w:sz w:val="24"/>
                <w:szCs w:val="24"/>
              </w:rPr>
            </w:pPr>
          </w:p>
        </w:tc>
        <w:tc>
          <w:tcPr>
            <w:tcW w:w="1560" w:type="dxa"/>
            <w:shd w:val="clear" w:color="auto" w:fill="D6E3BC" w:themeFill="accent3" w:themeFillTint="66"/>
          </w:tcPr>
          <w:p w14:paraId="41679F47" w14:textId="77777777" w:rsidR="00856D33" w:rsidRPr="00A401E8" w:rsidRDefault="00856D33" w:rsidP="004F783E">
            <w:pPr>
              <w:jc w:val="center"/>
              <w:rPr>
                <w:rFonts w:ascii="Times New Roman" w:hAnsi="Times New Roman" w:cs="Times New Roman"/>
                <w:sz w:val="24"/>
                <w:szCs w:val="24"/>
              </w:rPr>
            </w:pPr>
          </w:p>
        </w:tc>
        <w:tc>
          <w:tcPr>
            <w:tcW w:w="1559" w:type="dxa"/>
            <w:shd w:val="clear" w:color="auto" w:fill="D6E3BC" w:themeFill="accent3" w:themeFillTint="66"/>
          </w:tcPr>
          <w:p w14:paraId="3F564042" w14:textId="77777777" w:rsidR="00856D33" w:rsidRPr="00A401E8" w:rsidRDefault="00856D33" w:rsidP="004F783E">
            <w:pPr>
              <w:jc w:val="center"/>
              <w:rPr>
                <w:rFonts w:ascii="Times New Roman" w:hAnsi="Times New Roman" w:cs="Times New Roman"/>
                <w:sz w:val="24"/>
                <w:szCs w:val="24"/>
              </w:rPr>
            </w:pPr>
          </w:p>
        </w:tc>
        <w:tc>
          <w:tcPr>
            <w:tcW w:w="1701" w:type="dxa"/>
            <w:shd w:val="clear" w:color="auto" w:fill="D6E3BC" w:themeFill="accent3" w:themeFillTint="66"/>
          </w:tcPr>
          <w:p w14:paraId="6AEBF92B" w14:textId="77777777" w:rsidR="00856D33" w:rsidRPr="00A401E8" w:rsidRDefault="00856D33" w:rsidP="004F783E">
            <w:pPr>
              <w:jc w:val="center"/>
              <w:rPr>
                <w:rFonts w:ascii="Times New Roman" w:hAnsi="Times New Roman" w:cs="Times New Roman"/>
                <w:sz w:val="24"/>
                <w:szCs w:val="24"/>
              </w:rPr>
            </w:pPr>
          </w:p>
        </w:tc>
      </w:tr>
      <w:tr w:rsidR="000C72DD" w:rsidRPr="00A401E8" w14:paraId="2E0C62C1" w14:textId="77777777" w:rsidTr="000C72DD">
        <w:tc>
          <w:tcPr>
            <w:tcW w:w="1985" w:type="dxa"/>
            <w:shd w:val="clear" w:color="auto" w:fill="D6E3BC" w:themeFill="accent3" w:themeFillTint="66"/>
          </w:tcPr>
          <w:p w14:paraId="42637DC0" w14:textId="77777777" w:rsidR="00856D33" w:rsidRPr="00A401E8" w:rsidRDefault="000C72DD" w:rsidP="004F783E">
            <w:pPr>
              <w:rPr>
                <w:rFonts w:ascii="Times New Roman" w:hAnsi="Times New Roman" w:cs="Times New Roman"/>
                <w:sz w:val="24"/>
                <w:szCs w:val="24"/>
              </w:rPr>
            </w:pPr>
            <w:r>
              <w:rPr>
                <w:rFonts w:ascii="Times New Roman" w:hAnsi="Times New Roman" w:cs="Times New Roman"/>
                <w:sz w:val="24"/>
                <w:szCs w:val="24"/>
              </w:rPr>
              <w:t>Rent</w:t>
            </w:r>
            <w:r w:rsidR="00856D33" w:rsidRPr="00A401E8">
              <w:rPr>
                <w:rFonts w:ascii="Times New Roman" w:hAnsi="Times New Roman" w:cs="Times New Roman"/>
                <w:sz w:val="24"/>
                <w:szCs w:val="24"/>
              </w:rPr>
              <w:t xml:space="preserve"> </w:t>
            </w:r>
          </w:p>
        </w:tc>
        <w:tc>
          <w:tcPr>
            <w:tcW w:w="1134" w:type="dxa"/>
            <w:shd w:val="clear" w:color="auto" w:fill="D6E3BC" w:themeFill="accent3" w:themeFillTint="66"/>
          </w:tcPr>
          <w:p w14:paraId="7DDC0C2F"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7DCC5451"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200,000</w:t>
            </w:r>
          </w:p>
        </w:tc>
        <w:tc>
          <w:tcPr>
            <w:tcW w:w="1560" w:type="dxa"/>
            <w:shd w:val="clear" w:color="auto" w:fill="D6E3BC" w:themeFill="accent3" w:themeFillTint="66"/>
          </w:tcPr>
          <w:p w14:paraId="22CBA156"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200,000</w:t>
            </w:r>
          </w:p>
        </w:tc>
        <w:tc>
          <w:tcPr>
            <w:tcW w:w="1559" w:type="dxa"/>
            <w:shd w:val="clear" w:color="auto" w:fill="D6E3BC" w:themeFill="accent3" w:themeFillTint="66"/>
          </w:tcPr>
          <w:p w14:paraId="78F92818"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170,000</w:t>
            </w:r>
          </w:p>
        </w:tc>
        <w:tc>
          <w:tcPr>
            <w:tcW w:w="1701" w:type="dxa"/>
            <w:shd w:val="clear" w:color="auto" w:fill="D6E3BC" w:themeFill="accent3" w:themeFillTint="66"/>
          </w:tcPr>
          <w:p w14:paraId="09842858"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30,000 F</w:t>
            </w:r>
          </w:p>
        </w:tc>
      </w:tr>
      <w:tr w:rsidR="000C72DD" w:rsidRPr="00A401E8" w14:paraId="6E02D0AD" w14:textId="77777777" w:rsidTr="000C72DD">
        <w:tc>
          <w:tcPr>
            <w:tcW w:w="1985" w:type="dxa"/>
            <w:shd w:val="clear" w:color="auto" w:fill="D6E3BC" w:themeFill="accent3" w:themeFillTint="66"/>
          </w:tcPr>
          <w:p w14:paraId="2C355517" w14:textId="77777777" w:rsidR="00856D33" w:rsidRPr="00A401E8" w:rsidRDefault="00856D33" w:rsidP="004F783E">
            <w:pPr>
              <w:rPr>
                <w:rFonts w:ascii="Times New Roman" w:hAnsi="Times New Roman" w:cs="Times New Roman"/>
                <w:sz w:val="24"/>
                <w:szCs w:val="24"/>
              </w:rPr>
            </w:pPr>
            <w:r w:rsidRPr="00A401E8">
              <w:rPr>
                <w:rFonts w:ascii="Times New Roman" w:hAnsi="Times New Roman" w:cs="Times New Roman"/>
                <w:sz w:val="24"/>
                <w:szCs w:val="24"/>
              </w:rPr>
              <w:t xml:space="preserve">Insurance </w:t>
            </w:r>
          </w:p>
        </w:tc>
        <w:tc>
          <w:tcPr>
            <w:tcW w:w="1134" w:type="dxa"/>
            <w:shd w:val="clear" w:color="auto" w:fill="D6E3BC" w:themeFill="accent3" w:themeFillTint="66"/>
          </w:tcPr>
          <w:p w14:paraId="150E1811"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58BE0D4E"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100,000</w:t>
            </w:r>
          </w:p>
        </w:tc>
        <w:tc>
          <w:tcPr>
            <w:tcW w:w="1560" w:type="dxa"/>
            <w:shd w:val="clear" w:color="auto" w:fill="D6E3BC" w:themeFill="accent3" w:themeFillTint="66"/>
          </w:tcPr>
          <w:p w14:paraId="0E114DF8"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100,000</w:t>
            </w:r>
          </w:p>
        </w:tc>
        <w:tc>
          <w:tcPr>
            <w:tcW w:w="1559" w:type="dxa"/>
            <w:shd w:val="clear" w:color="auto" w:fill="D6E3BC" w:themeFill="accent3" w:themeFillTint="66"/>
          </w:tcPr>
          <w:p w14:paraId="48E8D465"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100,000</w:t>
            </w:r>
          </w:p>
        </w:tc>
        <w:tc>
          <w:tcPr>
            <w:tcW w:w="1701" w:type="dxa"/>
            <w:shd w:val="clear" w:color="auto" w:fill="D6E3BC" w:themeFill="accent3" w:themeFillTint="66"/>
          </w:tcPr>
          <w:p w14:paraId="27291477"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0</w:t>
            </w:r>
          </w:p>
        </w:tc>
      </w:tr>
      <w:tr w:rsidR="000C72DD" w:rsidRPr="00A401E8" w14:paraId="6E1CBA73" w14:textId="77777777" w:rsidTr="000C72DD">
        <w:tc>
          <w:tcPr>
            <w:tcW w:w="1985" w:type="dxa"/>
            <w:shd w:val="clear" w:color="auto" w:fill="D6E3BC" w:themeFill="accent3" w:themeFillTint="66"/>
          </w:tcPr>
          <w:p w14:paraId="7D0C6691" w14:textId="77777777" w:rsidR="00856D33" w:rsidRPr="00A401E8" w:rsidRDefault="000C72DD" w:rsidP="004F783E">
            <w:pPr>
              <w:rPr>
                <w:rFonts w:ascii="Times New Roman" w:hAnsi="Times New Roman" w:cs="Times New Roman"/>
                <w:sz w:val="24"/>
                <w:szCs w:val="24"/>
              </w:rPr>
            </w:pPr>
            <w:r>
              <w:rPr>
                <w:rFonts w:ascii="Times New Roman" w:hAnsi="Times New Roman" w:cs="Times New Roman"/>
                <w:sz w:val="24"/>
                <w:szCs w:val="24"/>
              </w:rPr>
              <w:t>S</w:t>
            </w:r>
            <w:r w:rsidR="00856D33" w:rsidRPr="00A401E8">
              <w:rPr>
                <w:rFonts w:ascii="Times New Roman" w:hAnsi="Times New Roman" w:cs="Times New Roman"/>
                <w:sz w:val="24"/>
                <w:szCs w:val="24"/>
              </w:rPr>
              <w:t xml:space="preserve">upervisor salary </w:t>
            </w:r>
          </w:p>
        </w:tc>
        <w:tc>
          <w:tcPr>
            <w:tcW w:w="1134" w:type="dxa"/>
            <w:shd w:val="clear" w:color="auto" w:fill="D6E3BC" w:themeFill="accent3" w:themeFillTint="66"/>
          </w:tcPr>
          <w:p w14:paraId="5FC7D444"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10271DD5"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50,000</w:t>
            </w:r>
          </w:p>
        </w:tc>
        <w:tc>
          <w:tcPr>
            <w:tcW w:w="1560" w:type="dxa"/>
            <w:shd w:val="clear" w:color="auto" w:fill="D6E3BC" w:themeFill="accent3" w:themeFillTint="66"/>
          </w:tcPr>
          <w:p w14:paraId="47B021C9"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50,000</w:t>
            </w:r>
          </w:p>
        </w:tc>
        <w:tc>
          <w:tcPr>
            <w:tcW w:w="1559" w:type="dxa"/>
            <w:shd w:val="clear" w:color="auto" w:fill="D6E3BC" w:themeFill="accent3" w:themeFillTint="66"/>
          </w:tcPr>
          <w:p w14:paraId="4B0CF8B5"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35,000</w:t>
            </w:r>
          </w:p>
        </w:tc>
        <w:tc>
          <w:tcPr>
            <w:tcW w:w="1701" w:type="dxa"/>
            <w:shd w:val="clear" w:color="auto" w:fill="D6E3BC" w:themeFill="accent3" w:themeFillTint="66"/>
          </w:tcPr>
          <w:p w14:paraId="4BAE05AE" w14:textId="77777777" w:rsidR="00856D33" w:rsidRPr="00A401E8" w:rsidRDefault="00856D33" w:rsidP="004F783E">
            <w:pPr>
              <w:jc w:val="center"/>
              <w:rPr>
                <w:rFonts w:ascii="Times New Roman" w:hAnsi="Times New Roman" w:cs="Times New Roman"/>
                <w:sz w:val="24"/>
                <w:szCs w:val="24"/>
              </w:rPr>
            </w:pPr>
            <w:r w:rsidRPr="00A401E8">
              <w:rPr>
                <w:rFonts w:ascii="Times New Roman" w:hAnsi="Times New Roman" w:cs="Times New Roman"/>
                <w:sz w:val="24"/>
                <w:szCs w:val="24"/>
              </w:rPr>
              <w:t>15,000 F</w:t>
            </w:r>
          </w:p>
        </w:tc>
      </w:tr>
      <w:tr w:rsidR="000C72DD" w:rsidRPr="00A401E8" w14:paraId="5A4DE0FA" w14:textId="77777777" w:rsidTr="000C72DD">
        <w:tc>
          <w:tcPr>
            <w:tcW w:w="1985" w:type="dxa"/>
            <w:shd w:val="clear" w:color="auto" w:fill="D6E3BC" w:themeFill="accent3" w:themeFillTint="66"/>
          </w:tcPr>
          <w:p w14:paraId="5F29D09A" w14:textId="77777777" w:rsidR="00856D33" w:rsidRPr="00A401E8" w:rsidRDefault="00856D33" w:rsidP="004F783E">
            <w:pPr>
              <w:rPr>
                <w:rFonts w:ascii="Times New Roman" w:hAnsi="Times New Roman" w:cs="Times New Roman"/>
                <w:b/>
                <w:sz w:val="24"/>
                <w:szCs w:val="24"/>
              </w:rPr>
            </w:pPr>
            <w:r w:rsidRPr="00A401E8">
              <w:rPr>
                <w:rFonts w:ascii="Times New Roman" w:hAnsi="Times New Roman" w:cs="Times New Roman"/>
                <w:b/>
                <w:sz w:val="24"/>
                <w:szCs w:val="24"/>
              </w:rPr>
              <w:t xml:space="preserve">Profit </w:t>
            </w:r>
          </w:p>
        </w:tc>
        <w:tc>
          <w:tcPr>
            <w:tcW w:w="1134" w:type="dxa"/>
            <w:shd w:val="clear" w:color="auto" w:fill="D6E3BC" w:themeFill="accent3" w:themeFillTint="66"/>
          </w:tcPr>
          <w:p w14:paraId="6234837A" w14:textId="77777777" w:rsidR="00856D33" w:rsidRPr="00A401E8" w:rsidRDefault="00856D33" w:rsidP="004F783E">
            <w:pPr>
              <w:jc w:val="center"/>
              <w:rPr>
                <w:rFonts w:ascii="Times New Roman" w:hAnsi="Times New Roman" w:cs="Times New Roman"/>
                <w:sz w:val="24"/>
                <w:szCs w:val="24"/>
              </w:rPr>
            </w:pPr>
          </w:p>
        </w:tc>
        <w:tc>
          <w:tcPr>
            <w:tcW w:w="1417" w:type="dxa"/>
            <w:shd w:val="clear" w:color="auto" w:fill="D6E3BC" w:themeFill="accent3" w:themeFillTint="66"/>
          </w:tcPr>
          <w:p w14:paraId="13A4CFDE"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1,350,000</w:t>
            </w:r>
          </w:p>
        </w:tc>
        <w:tc>
          <w:tcPr>
            <w:tcW w:w="1560" w:type="dxa"/>
            <w:shd w:val="clear" w:color="auto" w:fill="D6E3BC" w:themeFill="accent3" w:themeFillTint="66"/>
          </w:tcPr>
          <w:p w14:paraId="34C72462"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1,010,000</w:t>
            </w:r>
          </w:p>
        </w:tc>
        <w:tc>
          <w:tcPr>
            <w:tcW w:w="1559" w:type="dxa"/>
            <w:shd w:val="clear" w:color="auto" w:fill="D6E3BC" w:themeFill="accent3" w:themeFillTint="66"/>
          </w:tcPr>
          <w:p w14:paraId="56CB87EF"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455,000</w:t>
            </w:r>
          </w:p>
        </w:tc>
        <w:tc>
          <w:tcPr>
            <w:tcW w:w="1701" w:type="dxa"/>
            <w:shd w:val="clear" w:color="auto" w:fill="D6E3BC" w:themeFill="accent3" w:themeFillTint="66"/>
          </w:tcPr>
          <w:p w14:paraId="592ACED7" w14:textId="77777777" w:rsidR="00856D33" w:rsidRPr="00A401E8" w:rsidRDefault="00856D33" w:rsidP="004F783E">
            <w:pPr>
              <w:jc w:val="center"/>
              <w:rPr>
                <w:rFonts w:ascii="Times New Roman" w:hAnsi="Times New Roman" w:cs="Times New Roman"/>
                <w:b/>
                <w:sz w:val="24"/>
                <w:szCs w:val="24"/>
              </w:rPr>
            </w:pPr>
            <w:r w:rsidRPr="00A401E8">
              <w:rPr>
                <w:rFonts w:ascii="Times New Roman" w:hAnsi="Times New Roman" w:cs="Times New Roman"/>
                <w:b/>
                <w:sz w:val="24"/>
                <w:szCs w:val="24"/>
              </w:rPr>
              <w:t>555,000 UF</w:t>
            </w:r>
          </w:p>
        </w:tc>
      </w:tr>
    </w:tbl>
    <w:p w14:paraId="78BCAC9C" w14:textId="77777777" w:rsidR="00856D33" w:rsidRPr="00A401E8" w:rsidRDefault="00856D33" w:rsidP="00E4106A">
      <w:pPr>
        <w:pStyle w:val="Heading3"/>
        <w:rPr>
          <w:rFonts w:cs="Times New Roman"/>
        </w:rPr>
      </w:pPr>
      <w:bookmarkStart w:id="12" w:name="_Toc102161769"/>
      <w:bookmarkStart w:id="13" w:name="_Toc102161829"/>
      <w:bookmarkStart w:id="14" w:name="_Toc102469521"/>
      <w:r w:rsidRPr="00A401E8">
        <w:rPr>
          <w:rFonts w:cs="Times New Roman"/>
        </w:rPr>
        <w:t>2.1.2 Question 2</w:t>
      </w:r>
      <w:bookmarkEnd w:id="12"/>
      <w:bookmarkEnd w:id="13"/>
      <w:r w:rsidRPr="00A401E8">
        <w:rPr>
          <w:rFonts w:cs="Times New Roman"/>
        </w:rPr>
        <w:t xml:space="preserve"> </w:t>
      </w:r>
      <w:r w:rsidR="00E4106A">
        <w:rPr>
          <w:rFonts w:cs="Times New Roman"/>
        </w:rPr>
        <w:t>– Analysis of performance</w:t>
      </w:r>
      <w:bookmarkEnd w:id="14"/>
      <w:r w:rsidR="00E4106A">
        <w:rPr>
          <w:rFonts w:cs="Times New Roman"/>
        </w:rPr>
        <w:t xml:space="preserve"> </w:t>
      </w:r>
    </w:p>
    <w:p w14:paraId="7936DC0C" w14:textId="77777777" w:rsidR="00E4106A" w:rsidRPr="00E4106A" w:rsidRDefault="00E4106A" w:rsidP="00856D33">
      <w:pPr>
        <w:spacing w:before="240"/>
        <w:jc w:val="both"/>
        <w:rPr>
          <w:rFonts w:ascii="Times New Roman" w:hAnsi="Times New Roman" w:cs="Times New Roman"/>
          <w:sz w:val="24"/>
          <w:szCs w:val="24"/>
          <w:u w:val="single"/>
        </w:rPr>
      </w:pPr>
      <w:r w:rsidRPr="00E4106A">
        <w:rPr>
          <w:rFonts w:ascii="Times New Roman" w:hAnsi="Times New Roman" w:cs="Times New Roman"/>
          <w:sz w:val="24"/>
          <w:szCs w:val="24"/>
          <w:u w:val="single"/>
        </w:rPr>
        <w:t xml:space="preserve">General findings </w:t>
      </w:r>
    </w:p>
    <w:p w14:paraId="48A4B078" w14:textId="77777777" w:rsidR="00E4106A" w:rsidRDefault="004F783E"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analysis is performed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the observed variances. Amana’s performance is clearly worse than expectations. In terms of profitability, which is one of the key performance metrics, the company has unfavourable variance of £555,000. Similarly, the unfavourable variance in terms of revenue amount is £400,000 which is mainly driven by lower selling price. The widening of the unfavourable variance between revenue and profitability is caused by the excessive costs during the period with exception of rent and overhead. The performance </w:t>
      </w:r>
      <w:proofErr w:type="gramStart"/>
      <w:r>
        <w:rPr>
          <w:rFonts w:ascii="Times New Roman" w:hAnsi="Times New Roman" w:cs="Times New Roman"/>
          <w:sz w:val="24"/>
          <w:szCs w:val="24"/>
        </w:rPr>
        <w:t>as a whole is</w:t>
      </w:r>
      <w:proofErr w:type="gramEnd"/>
      <w:r>
        <w:rPr>
          <w:rFonts w:ascii="Times New Roman" w:hAnsi="Times New Roman" w:cs="Times New Roman"/>
          <w:sz w:val="24"/>
          <w:szCs w:val="24"/>
        </w:rPr>
        <w:t xml:space="preserve"> unsustainable and there is need for a more detailed analysis of results. </w:t>
      </w:r>
    </w:p>
    <w:p w14:paraId="7112CC06" w14:textId="77777777" w:rsidR="00783C3E" w:rsidRDefault="00783C3E" w:rsidP="00856D33">
      <w:pPr>
        <w:spacing w:before="240"/>
        <w:jc w:val="both"/>
        <w:rPr>
          <w:rFonts w:ascii="Times New Roman" w:hAnsi="Times New Roman" w:cs="Times New Roman"/>
          <w:sz w:val="24"/>
          <w:szCs w:val="24"/>
        </w:rPr>
      </w:pPr>
    </w:p>
    <w:p w14:paraId="7929F99D" w14:textId="77777777" w:rsidR="00783C3E" w:rsidRDefault="00783C3E" w:rsidP="00856D33">
      <w:pPr>
        <w:spacing w:before="240"/>
        <w:jc w:val="both"/>
        <w:rPr>
          <w:rFonts w:ascii="Times New Roman" w:hAnsi="Times New Roman" w:cs="Times New Roman"/>
          <w:sz w:val="24"/>
          <w:szCs w:val="24"/>
        </w:rPr>
      </w:pPr>
    </w:p>
    <w:p w14:paraId="5A59EA8E" w14:textId="77777777" w:rsidR="004F783E" w:rsidRPr="004F783E" w:rsidRDefault="004F783E" w:rsidP="00856D33">
      <w:pPr>
        <w:spacing w:before="240"/>
        <w:jc w:val="both"/>
        <w:rPr>
          <w:rFonts w:ascii="Times New Roman" w:hAnsi="Times New Roman" w:cs="Times New Roman"/>
          <w:sz w:val="24"/>
          <w:szCs w:val="24"/>
          <w:u w:val="single"/>
        </w:rPr>
      </w:pPr>
      <w:r w:rsidRPr="004F783E">
        <w:rPr>
          <w:rFonts w:ascii="Times New Roman" w:hAnsi="Times New Roman" w:cs="Times New Roman"/>
          <w:sz w:val="24"/>
          <w:szCs w:val="24"/>
          <w:u w:val="single"/>
        </w:rPr>
        <w:t>Revenue decline</w:t>
      </w:r>
    </w:p>
    <w:p w14:paraId="4688206E" w14:textId="77777777" w:rsidR="004F783E" w:rsidRDefault="004F783E"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philosophy behind the creation of a flexed budget is to equal the amount of sold items between actual performance and flexed budget </w:t>
      </w:r>
      <w:r w:rsidRPr="00A401E8">
        <w:rPr>
          <w:rFonts w:ascii="Times New Roman" w:hAnsi="Times New Roman" w:cs="Times New Roman"/>
          <w:sz w:val="24"/>
          <w:szCs w:val="24"/>
        </w:rPr>
        <w:t>(Rhode and Garrison, 2019).</w:t>
      </w:r>
      <w:r>
        <w:rPr>
          <w:rFonts w:ascii="Times New Roman" w:hAnsi="Times New Roman" w:cs="Times New Roman"/>
          <w:sz w:val="24"/>
          <w:szCs w:val="24"/>
        </w:rPr>
        <w:t xml:space="preserve"> In this light, the revenue decline in terms of sold volume is not considered as a reason for the worsening performance. Instead, the focus is placed on the reduced selling price from </w:t>
      </w:r>
      <w:r w:rsidRPr="00A401E8">
        <w:rPr>
          <w:rFonts w:ascii="Times New Roman" w:hAnsi="Times New Roman" w:cs="Times New Roman"/>
          <w:sz w:val="24"/>
          <w:szCs w:val="24"/>
        </w:rPr>
        <w:t>£25 to £20</w:t>
      </w:r>
      <w:r>
        <w:rPr>
          <w:rFonts w:ascii="Times New Roman" w:hAnsi="Times New Roman" w:cs="Times New Roman"/>
          <w:sz w:val="24"/>
          <w:szCs w:val="24"/>
        </w:rPr>
        <w:t xml:space="preserve">. The decline in price is not compensated by higher consumer demand which leads to lower revenue. Thus, the traditional concept of elasticity of demand is not observed in the current case, as lower prices do not cause higher demand (Krugman and Wells, 2017). The analysis thus identifies the pandemic as a </w:t>
      </w:r>
      <w:proofErr w:type="gramStart"/>
      <w:r>
        <w:rPr>
          <w:rFonts w:ascii="Times New Roman" w:hAnsi="Times New Roman" w:cs="Times New Roman"/>
          <w:sz w:val="24"/>
          <w:szCs w:val="24"/>
        </w:rPr>
        <w:t>major external factors</w:t>
      </w:r>
      <w:proofErr w:type="gramEnd"/>
      <w:r>
        <w:rPr>
          <w:rFonts w:ascii="Times New Roman" w:hAnsi="Times New Roman" w:cs="Times New Roman"/>
          <w:sz w:val="24"/>
          <w:szCs w:val="24"/>
        </w:rPr>
        <w:t xml:space="preserve"> leading to this rare and quite negative development in the case of Amana. </w:t>
      </w:r>
      <w:r w:rsidR="00C75910">
        <w:rPr>
          <w:rFonts w:ascii="Times New Roman" w:hAnsi="Times New Roman" w:cs="Times New Roman"/>
          <w:sz w:val="24"/>
          <w:szCs w:val="24"/>
        </w:rPr>
        <w:t xml:space="preserve">Considering unfavourable variances of revenue (£400,000) and profitability (£555,000), it is also seen that more than 72% of the observed performance deterioration, as measured by profitability metrics, is caused by the decline in revenue. Therefore, improving revenue in the future should be seen as a major priority for Amana. </w:t>
      </w:r>
    </w:p>
    <w:p w14:paraId="6F50E371" w14:textId="77777777" w:rsidR="004F783E" w:rsidRPr="00C75910" w:rsidRDefault="004F783E" w:rsidP="00856D33">
      <w:pPr>
        <w:spacing w:before="240"/>
        <w:jc w:val="both"/>
        <w:rPr>
          <w:rFonts w:ascii="Times New Roman" w:hAnsi="Times New Roman" w:cs="Times New Roman"/>
          <w:sz w:val="24"/>
          <w:szCs w:val="24"/>
          <w:u w:val="single"/>
        </w:rPr>
      </w:pPr>
      <w:r w:rsidRPr="00C75910">
        <w:rPr>
          <w:rFonts w:ascii="Times New Roman" w:hAnsi="Times New Roman" w:cs="Times New Roman"/>
          <w:sz w:val="24"/>
          <w:szCs w:val="24"/>
          <w:u w:val="single"/>
        </w:rPr>
        <w:t xml:space="preserve">Increased costs </w:t>
      </w:r>
    </w:p>
    <w:p w14:paraId="0D324AD5" w14:textId="77777777" w:rsidR="004F783E" w:rsidRDefault="0020133A"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This is the second major factor for performance deterioration during the period. Material costs have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unfavourable variance equal to £80,000. Escalating material costs may be explained by the existing supply chain disruptions from the manufacturing base in China which has caused extra transportation costs and </w:t>
      </w:r>
      <w:r w:rsidRPr="001737D7">
        <w:rPr>
          <w:rFonts w:ascii="Times New Roman" w:hAnsi="Times New Roman" w:cs="Times New Roman"/>
          <w:sz w:val="24"/>
          <w:szCs w:val="24"/>
        </w:rPr>
        <w:t xml:space="preserve">delays </w:t>
      </w:r>
      <w:r w:rsidR="001737D7" w:rsidRPr="001737D7">
        <w:rPr>
          <w:rFonts w:ascii="Times New Roman" w:hAnsi="Times New Roman" w:cs="Times New Roman"/>
          <w:sz w:val="24"/>
          <w:szCs w:val="24"/>
        </w:rPr>
        <w:t>(Reuters, 2022</w:t>
      </w:r>
      <w:r w:rsidRPr="001737D7">
        <w:rPr>
          <w:rFonts w:ascii="Times New Roman" w:hAnsi="Times New Roman" w:cs="Times New Roman"/>
          <w:sz w:val="24"/>
          <w:szCs w:val="24"/>
        </w:rPr>
        <w:t>). In addition</w:t>
      </w:r>
      <w:r>
        <w:rPr>
          <w:rFonts w:ascii="Times New Roman" w:hAnsi="Times New Roman" w:cs="Times New Roman"/>
          <w:sz w:val="24"/>
          <w:szCs w:val="24"/>
        </w:rPr>
        <w:t xml:space="preserve">, it is important to note that global inflation has been quite significant recently (Trading Economics, 2022). The prices of many raw materials and commodities have led to sharp increases in production costs which is reflected by the higher-than-expected material costs in the case of Amana, as well. </w:t>
      </w:r>
    </w:p>
    <w:p w14:paraId="5D6D8CB1" w14:textId="77777777" w:rsidR="0020133A" w:rsidRDefault="0020133A"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unfavourable variance of labour costs is larger than the one of materials - £120,000. Nevertheless, labour costs are generally higher than material costs, as suggested by the original budget: £400,000 versus £250,000. Thus, the unfavourable variance of labour expenses is 30% of the planned labour cost amount in the original budget. The respective </w:t>
      </w:r>
      <w:r w:rsidR="00E55577">
        <w:rPr>
          <w:rFonts w:ascii="Times New Roman" w:hAnsi="Times New Roman" w:cs="Times New Roman"/>
          <w:sz w:val="24"/>
          <w:szCs w:val="24"/>
        </w:rPr>
        <w:t xml:space="preserve">discrepancy in the case of material costs reaches 32%. Considering this, the deteriorating performance </w:t>
      </w:r>
      <w:proofErr w:type="gramStart"/>
      <w:r w:rsidR="00E55577">
        <w:rPr>
          <w:rFonts w:ascii="Times New Roman" w:hAnsi="Times New Roman" w:cs="Times New Roman"/>
          <w:sz w:val="24"/>
          <w:szCs w:val="24"/>
        </w:rPr>
        <w:t>in the area of</w:t>
      </w:r>
      <w:proofErr w:type="gramEnd"/>
      <w:r w:rsidR="00E55577">
        <w:rPr>
          <w:rFonts w:ascii="Times New Roman" w:hAnsi="Times New Roman" w:cs="Times New Roman"/>
          <w:sz w:val="24"/>
          <w:szCs w:val="24"/>
        </w:rPr>
        <w:t xml:space="preserve"> labour </w:t>
      </w:r>
      <w:r w:rsidR="00E55577">
        <w:rPr>
          <w:rFonts w:ascii="Times New Roman" w:hAnsi="Times New Roman" w:cs="Times New Roman"/>
          <w:sz w:val="24"/>
          <w:szCs w:val="24"/>
        </w:rPr>
        <w:lastRenderedPageBreak/>
        <w:t xml:space="preserve">expenses is proportional to the one observed in relation to material costs regardless of the higher absolute amount, as suggested by the size of the unfavourable variance. Labour shortages amid the pandemic may be a key factor for the higher labour costs. </w:t>
      </w:r>
      <w:r w:rsidR="001737D7">
        <w:rPr>
          <w:rFonts w:ascii="Times New Roman" w:hAnsi="Times New Roman" w:cs="Times New Roman"/>
          <w:sz w:val="24"/>
          <w:szCs w:val="24"/>
        </w:rPr>
        <w:t>Fear from the virus has increased the size of economically inactive people (Clark, 2022). The outflow of migrant workers has also contributed to labour shortages (Clark, 2022).</w:t>
      </w:r>
      <w:r w:rsidR="00E55577">
        <w:rPr>
          <w:rFonts w:ascii="Times New Roman" w:hAnsi="Times New Roman" w:cs="Times New Roman"/>
          <w:sz w:val="24"/>
          <w:szCs w:val="24"/>
        </w:rPr>
        <w:t xml:space="preserve"> Hence, being unable to secure, plan and manage sufficient labour resources stems in the core of the decreased managerial efficiency in this area leading to higher costs. </w:t>
      </w:r>
    </w:p>
    <w:p w14:paraId="4EBB4ECC" w14:textId="77777777" w:rsidR="00E55577" w:rsidRPr="00E55577" w:rsidRDefault="00E55577" w:rsidP="00856D33">
      <w:pPr>
        <w:spacing w:before="240"/>
        <w:jc w:val="both"/>
        <w:rPr>
          <w:rFonts w:ascii="Times New Roman" w:hAnsi="Times New Roman" w:cs="Times New Roman"/>
          <w:sz w:val="24"/>
          <w:szCs w:val="24"/>
          <w:u w:val="single"/>
        </w:rPr>
      </w:pPr>
      <w:r w:rsidRPr="00E55577">
        <w:rPr>
          <w:rFonts w:ascii="Times New Roman" w:hAnsi="Times New Roman" w:cs="Times New Roman"/>
          <w:sz w:val="24"/>
          <w:szCs w:val="24"/>
          <w:u w:val="single"/>
        </w:rPr>
        <w:t>Areas of improvement</w:t>
      </w:r>
    </w:p>
    <w:p w14:paraId="02CAC28D" w14:textId="77777777" w:rsidR="001737D7" w:rsidRDefault="00E55577"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Despite the general deterioration of performance, Amana managed to reduce its rent costs, as reported by the favourable variance of £30,000. In addition, the pandemic uncertainty also led to a reduction in the salary of the supervisor equal to £15,000. These improvements partially compensated for the solid increase in other costs. Their </w:t>
      </w:r>
      <w:proofErr w:type="gramStart"/>
      <w:r>
        <w:rPr>
          <w:rFonts w:ascii="Times New Roman" w:hAnsi="Times New Roman" w:cs="Times New Roman"/>
          <w:sz w:val="24"/>
          <w:szCs w:val="24"/>
        </w:rPr>
        <w:t>effect;</w:t>
      </w:r>
      <w:proofErr w:type="gramEnd"/>
      <w:r>
        <w:rPr>
          <w:rFonts w:ascii="Times New Roman" w:hAnsi="Times New Roman" w:cs="Times New Roman"/>
          <w:sz w:val="24"/>
          <w:szCs w:val="24"/>
        </w:rPr>
        <w:t xml:space="preserve"> however, is suggested to be temporary only, as the economic recovery would most likely lead to renewed </w:t>
      </w:r>
      <w:r w:rsidR="00B52729">
        <w:rPr>
          <w:rFonts w:ascii="Times New Roman" w:hAnsi="Times New Roman" w:cs="Times New Roman"/>
          <w:sz w:val="24"/>
          <w:szCs w:val="24"/>
        </w:rPr>
        <w:t>demand for rent and wage increase. This is supported by the evidence from the UK where the post-pandemic nominal salary growth has been quite significant</w:t>
      </w:r>
      <w:r w:rsidR="001737D7">
        <w:rPr>
          <w:rFonts w:ascii="Times New Roman" w:hAnsi="Times New Roman" w:cs="Times New Roman"/>
          <w:sz w:val="24"/>
          <w:szCs w:val="24"/>
        </w:rPr>
        <w:t xml:space="preserve"> in the period after mid-2020 (ONS, 2022). </w:t>
      </w:r>
    </w:p>
    <w:p w14:paraId="255475F9" w14:textId="7C724B55" w:rsidR="001737D7" w:rsidRPr="00AA0B22" w:rsidRDefault="001737D7" w:rsidP="00856D33">
      <w:pPr>
        <w:spacing w:before="240"/>
        <w:jc w:val="both"/>
        <w:rPr>
          <w:rFonts w:ascii="Times New Roman" w:hAnsi="Times New Roman" w:cs="Times New Roman"/>
          <w:b/>
          <w:sz w:val="24"/>
          <w:szCs w:val="24"/>
        </w:rPr>
      </w:pPr>
      <w:r w:rsidRPr="001737D7">
        <w:rPr>
          <w:rFonts w:ascii="Times New Roman" w:hAnsi="Times New Roman" w:cs="Times New Roman"/>
          <w:b/>
          <w:sz w:val="24"/>
          <w:szCs w:val="24"/>
        </w:rPr>
        <w:t xml:space="preserve">Figure </w:t>
      </w:r>
      <w:r>
        <w:rPr>
          <w:rFonts w:ascii="Times New Roman" w:hAnsi="Times New Roman" w:cs="Times New Roman"/>
          <w:b/>
          <w:sz w:val="24"/>
          <w:szCs w:val="24"/>
        </w:rPr>
        <w:t>1</w:t>
      </w:r>
      <w:r w:rsidRPr="001737D7">
        <w:rPr>
          <w:rFonts w:ascii="Times New Roman" w:hAnsi="Times New Roman" w:cs="Times New Roman"/>
          <w:b/>
          <w:sz w:val="24"/>
          <w:szCs w:val="24"/>
        </w:rPr>
        <w:t xml:space="preserve"> – Percentage share in salary growth across sectors</w:t>
      </w:r>
      <w:r w:rsidR="00B52729" w:rsidRPr="00B52729">
        <w:rPr>
          <w:rFonts w:ascii="Times New Roman" w:hAnsi="Times New Roman" w:cs="Times New Roman"/>
          <w:color w:val="FF0000"/>
          <w:sz w:val="24"/>
          <w:szCs w:val="24"/>
        </w:rPr>
        <w:t xml:space="preserve"> </w:t>
      </w:r>
      <w:r>
        <w:rPr>
          <w:rFonts w:ascii="Times New Roman" w:hAnsi="Times New Roman" w:cs="Times New Roman"/>
          <w:noProof/>
          <w:color w:val="FF0000"/>
          <w:sz w:val="24"/>
          <w:szCs w:val="24"/>
          <w:lang w:val="en-US"/>
        </w:rPr>
        <w:drawing>
          <wp:inline distT="0" distB="0" distL="0" distR="0" wp14:anchorId="69F17080" wp14:editId="6E75C047">
            <wp:extent cx="5786755" cy="3329940"/>
            <wp:effectExtent l="19050" t="0" r="444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86755" cy="3329940"/>
                    </a:xfrm>
                    <a:prstGeom prst="rect">
                      <a:avLst/>
                    </a:prstGeom>
                    <a:noFill/>
                    <a:ln w="9525">
                      <a:noFill/>
                      <a:miter lim="800000"/>
                      <a:headEnd/>
                      <a:tailEnd/>
                    </a:ln>
                  </pic:spPr>
                </pic:pic>
              </a:graphicData>
            </a:graphic>
          </wp:inline>
        </w:drawing>
      </w:r>
      <w:r w:rsidR="00AA0B22">
        <w:rPr>
          <w:rFonts w:ascii="Times New Roman" w:hAnsi="Times New Roman" w:cs="Times New Roman"/>
          <w:color w:val="FF0000"/>
          <w:sz w:val="24"/>
          <w:szCs w:val="24"/>
        </w:rPr>
        <w:t xml:space="preserve">  </w:t>
      </w:r>
      <w:r w:rsidRPr="00783C3E">
        <w:rPr>
          <w:rFonts w:ascii="Times New Roman" w:hAnsi="Times New Roman" w:cs="Times New Roman"/>
          <w:i/>
          <w:sz w:val="24"/>
          <w:szCs w:val="24"/>
        </w:rPr>
        <w:t>Source: ONS (2022)</w:t>
      </w:r>
    </w:p>
    <w:p w14:paraId="343E9E56" w14:textId="77777777" w:rsidR="00B52729" w:rsidRDefault="00B52729" w:rsidP="00856D33">
      <w:pPr>
        <w:spacing w:before="240"/>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findings clearly show the temporary nature of the realised rent and salary savings. Hence, these benefits cannot be considered as having long-term consequences for Amana. </w:t>
      </w:r>
    </w:p>
    <w:p w14:paraId="614D0AA7" w14:textId="77777777" w:rsidR="00856D33" w:rsidRPr="00A401E8" w:rsidRDefault="00856D33" w:rsidP="00856D33">
      <w:pPr>
        <w:pStyle w:val="Heading3"/>
        <w:rPr>
          <w:rFonts w:cs="Times New Roman"/>
        </w:rPr>
      </w:pPr>
      <w:bookmarkStart w:id="15" w:name="_Toc102161770"/>
      <w:bookmarkStart w:id="16" w:name="_Toc102161830"/>
      <w:bookmarkStart w:id="17" w:name="_Toc102469522"/>
      <w:r w:rsidRPr="00A401E8">
        <w:rPr>
          <w:rFonts w:cs="Times New Roman"/>
        </w:rPr>
        <w:t>2.1.3 Question 3</w:t>
      </w:r>
      <w:bookmarkEnd w:id="15"/>
      <w:bookmarkEnd w:id="16"/>
      <w:r w:rsidRPr="00A401E8">
        <w:rPr>
          <w:rFonts w:cs="Times New Roman"/>
        </w:rPr>
        <w:t xml:space="preserve"> </w:t>
      </w:r>
      <w:r w:rsidR="00D323E2">
        <w:rPr>
          <w:rFonts w:cs="Times New Roman"/>
        </w:rPr>
        <w:t>– Recommendations</w:t>
      </w:r>
      <w:bookmarkEnd w:id="17"/>
      <w:r w:rsidR="00D323E2">
        <w:rPr>
          <w:rFonts w:cs="Times New Roman"/>
        </w:rPr>
        <w:t xml:space="preserve"> </w:t>
      </w:r>
    </w:p>
    <w:p w14:paraId="639E9876" w14:textId="77777777" w:rsidR="00D323E2" w:rsidRDefault="00D323E2"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analysis of organisational performance supports a set of performance recommendations aiming at financial stabilisation in the case of Amana. </w:t>
      </w:r>
    </w:p>
    <w:p w14:paraId="564BC101" w14:textId="77777777" w:rsidR="00D323E2" w:rsidRPr="00D323E2" w:rsidRDefault="00D323E2" w:rsidP="00856D33">
      <w:pPr>
        <w:spacing w:before="240"/>
        <w:jc w:val="both"/>
        <w:rPr>
          <w:rFonts w:ascii="Times New Roman" w:hAnsi="Times New Roman" w:cs="Times New Roman"/>
          <w:sz w:val="24"/>
          <w:szCs w:val="24"/>
          <w:u w:val="single"/>
        </w:rPr>
      </w:pPr>
      <w:r w:rsidRPr="00D323E2">
        <w:rPr>
          <w:rFonts w:ascii="Times New Roman" w:hAnsi="Times New Roman" w:cs="Times New Roman"/>
          <w:sz w:val="24"/>
          <w:szCs w:val="24"/>
          <w:u w:val="single"/>
        </w:rPr>
        <w:t xml:space="preserve">Shortening of the supply chain </w:t>
      </w:r>
    </w:p>
    <w:p w14:paraId="333830E9" w14:textId="77777777" w:rsidR="00D323E2" w:rsidRDefault="00D323E2"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This is the first recommendation justified by the pandemic-related delays and increasing transportation costs. Amana is advised to do two things. First, the company should diversify its manufacturing base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eliminate the dependence of its Chinese provider. This approach could minimise the risk of delays and product </w:t>
      </w:r>
      <w:proofErr w:type="gramStart"/>
      <w:r>
        <w:rPr>
          <w:rFonts w:ascii="Times New Roman" w:hAnsi="Times New Roman" w:cs="Times New Roman"/>
          <w:sz w:val="24"/>
          <w:szCs w:val="24"/>
        </w:rPr>
        <w:t>shortages, since</w:t>
      </w:r>
      <w:proofErr w:type="gramEnd"/>
      <w:r>
        <w:rPr>
          <w:rFonts w:ascii="Times New Roman" w:hAnsi="Times New Roman" w:cs="Times New Roman"/>
          <w:sz w:val="24"/>
          <w:szCs w:val="24"/>
        </w:rPr>
        <w:t xml:space="preserve"> the production process will be conducted by numerous providers. Second, outsourcing process should take into consideration geographically closer destinations as a way of reducing transportation costs and time delays. In this relation, Amana should consider Morocco, Algeria, </w:t>
      </w:r>
      <w:proofErr w:type="gramStart"/>
      <w:r>
        <w:rPr>
          <w:rFonts w:ascii="Times New Roman" w:hAnsi="Times New Roman" w:cs="Times New Roman"/>
          <w:sz w:val="24"/>
          <w:szCs w:val="24"/>
        </w:rPr>
        <w:t>Egypt</w:t>
      </w:r>
      <w:proofErr w:type="gramEnd"/>
      <w:r>
        <w:rPr>
          <w:rFonts w:ascii="Times New Roman" w:hAnsi="Times New Roman" w:cs="Times New Roman"/>
          <w:sz w:val="24"/>
          <w:szCs w:val="24"/>
        </w:rPr>
        <w:t xml:space="preserve"> and some low-cost European countries, including Albania and Bosnia and Herzegovina as attractive </w:t>
      </w:r>
      <w:r w:rsidR="00F44421">
        <w:rPr>
          <w:rFonts w:ascii="Times New Roman" w:hAnsi="Times New Roman" w:cs="Times New Roman"/>
          <w:sz w:val="24"/>
          <w:szCs w:val="24"/>
        </w:rPr>
        <w:t xml:space="preserve">manufacturing destinations located closer to the home UK market. </w:t>
      </w:r>
    </w:p>
    <w:p w14:paraId="0DB9238E" w14:textId="77777777" w:rsidR="00F44421" w:rsidRPr="00F44421" w:rsidRDefault="00F44421" w:rsidP="00856D33">
      <w:pPr>
        <w:spacing w:before="240"/>
        <w:jc w:val="both"/>
        <w:rPr>
          <w:rFonts w:ascii="Times New Roman" w:hAnsi="Times New Roman" w:cs="Times New Roman"/>
          <w:sz w:val="24"/>
          <w:szCs w:val="24"/>
          <w:u w:val="single"/>
        </w:rPr>
      </w:pPr>
      <w:r w:rsidRPr="00F44421">
        <w:rPr>
          <w:rFonts w:ascii="Times New Roman" w:hAnsi="Times New Roman" w:cs="Times New Roman"/>
          <w:sz w:val="24"/>
          <w:szCs w:val="24"/>
          <w:u w:val="single"/>
        </w:rPr>
        <w:t xml:space="preserve">Capital investments </w:t>
      </w:r>
    </w:p>
    <w:p w14:paraId="1295A7F3" w14:textId="77777777" w:rsidR="00F44421" w:rsidRDefault="00F44421"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This recommendation emphasises on the role of capital as a production factor. Capital may effectively replace labour as a part of the production process; hence, reducing labour expenses in the future (Krugman and Wells, 2017). Amana has to consider the role of automation by conducting solid capital investments in new machines, automation of processes and other </w:t>
      </w:r>
      <w:proofErr w:type="gramStart"/>
      <w:r>
        <w:rPr>
          <w:rFonts w:ascii="Times New Roman" w:hAnsi="Times New Roman" w:cs="Times New Roman"/>
          <w:sz w:val="24"/>
          <w:szCs w:val="24"/>
        </w:rPr>
        <w:t>technologically-related</w:t>
      </w:r>
      <w:proofErr w:type="gramEnd"/>
      <w:r>
        <w:rPr>
          <w:rFonts w:ascii="Times New Roman" w:hAnsi="Times New Roman" w:cs="Times New Roman"/>
          <w:sz w:val="24"/>
          <w:szCs w:val="24"/>
        </w:rPr>
        <w:t xml:space="preserve"> improvements. This recommendation requires consistent efforts over a long period of time, as well as financial resources. Despite these requirements, the long-term consequences on productivity and decreased labour costs could be quite significant; hence, supporting the strategic development of the organisation. </w:t>
      </w:r>
    </w:p>
    <w:p w14:paraId="59828452" w14:textId="77777777" w:rsidR="00B93A56" w:rsidRDefault="00B93A56" w:rsidP="00856D33">
      <w:pPr>
        <w:spacing w:before="240"/>
        <w:jc w:val="both"/>
        <w:rPr>
          <w:rFonts w:ascii="Times New Roman" w:hAnsi="Times New Roman" w:cs="Times New Roman"/>
          <w:sz w:val="24"/>
          <w:szCs w:val="24"/>
          <w:u w:val="single"/>
        </w:rPr>
      </w:pPr>
    </w:p>
    <w:p w14:paraId="52A1B738" w14:textId="77777777" w:rsidR="00AA0B22" w:rsidRDefault="00AA0B22" w:rsidP="00856D33">
      <w:pPr>
        <w:spacing w:before="240"/>
        <w:jc w:val="both"/>
        <w:rPr>
          <w:rFonts w:ascii="Times New Roman" w:hAnsi="Times New Roman" w:cs="Times New Roman"/>
          <w:sz w:val="24"/>
          <w:szCs w:val="24"/>
          <w:u w:val="single"/>
        </w:rPr>
      </w:pPr>
    </w:p>
    <w:p w14:paraId="1258D2F2" w14:textId="47C10320" w:rsidR="00F44421" w:rsidRPr="00F44421" w:rsidRDefault="00F44421" w:rsidP="00856D33">
      <w:pPr>
        <w:spacing w:before="240"/>
        <w:jc w:val="both"/>
        <w:rPr>
          <w:rFonts w:ascii="Times New Roman" w:hAnsi="Times New Roman" w:cs="Times New Roman"/>
          <w:sz w:val="24"/>
          <w:szCs w:val="24"/>
          <w:u w:val="single"/>
        </w:rPr>
      </w:pPr>
      <w:r w:rsidRPr="00F44421">
        <w:rPr>
          <w:rFonts w:ascii="Times New Roman" w:hAnsi="Times New Roman" w:cs="Times New Roman"/>
          <w:sz w:val="24"/>
          <w:szCs w:val="24"/>
          <w:u w:val="single"/>
        </w:rPr>
        <w:lastRenderedPageBreak/>
        <w:t>Fixing the rent</w:t>
      </w:r>
      <w:r w:rsidR="00350663">
        <w:rPr>
          <w:rFonts w:ascii="Times New Roman" w:hAnsi="Times New Roman" w:cs="Times New Roman"/>
          <w:sz w:val="24"/>
          <w:szCs w:val="24"/>
          <w:u w:val="single"/>
        </w:rPr>
        <w:t xml:space="preserve"> </w:t>
      </w:r>
    </w:p>
    <w:p w14:paraId="74A15432" w14:textId="77777777" w:rsidR="00F44421" w:rsidRDefault="00F44421"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Amana may benefit from the temporary lower levels of rent. The company should </w:t>
      </w:r>
      <w:proofErr w:type="gramStart"/>
      <w:r>
        <w:rPr>
          <w:rFonts w:ascii="Times New Roman" w:hAnsi="Times New Roman" w:cs="Times New Roman"/>
          <w:sz w:val="24"/>
          <w:szCs w:val="24"/>
        </w:rPr>
        <w:t>make an attempt</w:t>
      </w:r>
      <w:proofErr w:type="gramEnd"/>
      <w:r>
        <w:rPr>
          <w:rFonts w:ascii="Times New Roman" w:hAnsi="Times New Roman" w:cs="Times New Roman"/>
          <w:sz w:val="24"/>
          <w:szCs w:val="24"/>
        </w:rPr>
        <w:t xml:space="preserve"> to renew its rental contract by entering into a long-term arrangement at the current low price. If accomplished, this suggestion could lower rent expenses in the future, whereas the long-term fixed amount contributes to the elimination of rent uncertainty in the current highly inflationary environment. </w:t>
      </w:r>
    </w:p>
    <w:p w14:paraId="6C27EA89" w14:textId="77777777" w:rsidR="00F44421" w:rsidRPr="00F44421" w:rsidRDefault="00F44421" w:rsidP="00856D33">
      <w:pPr>
        <w:spacing w:before="240"/>
        <w:jc w:val="both"/>
        <w:rPr>
          <w:rFonts w:ascii="Times New Roman" w:hAnsi="Times New Roman" w:cs="Times New Roman"/>
          <w:sz w:val="24"/>
          <w:szCs w:val="24"/>
          <w:u w:val="single"/>
        </w:rPr>
      </w:pPr>
      <w:r w:rsidRPr="00F44421">
        <w:rPr>
          <w:rFonts w:ascii="Times New Roman" w:hAnsi="Times New Roman" w:cs="Times New Roman"/>
          <w:sz w:val="24"/>
          <w:szCs w:val="24"/>
          <w:u w:val="single"/>
        </w:rPr>
        <w:t>Price adjustments</w:t>
      </w:r>
    </w:p>
    <w:p w14:paraId="525D8B05" w14:textId="77777777" w:rsidR="00F44421" w:rsidRDefault="00F44421"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final recommendation considers an increase in the product prices at least to the level before the pandemic. There are two main factors supporting the decision. The first one is related to the high level of inflation which already reaches 7% in the UK (Trading Economics, 2022). </w:t>
      </w:r>
      <w:r w:rsidR="006E35D7">
        <w:rPr>
          <w:rFonts w:ascii="Times New Roman" w:hAnsi="Times New Roman" w:cs="Times New Roman"/>
          <w:sz w:val="24"/>
          <w:szCs w:val="24"/>
        </w:rPr>
        <w:t xml:space="preserve">The general price increase justifies product price increases in the case of Amana. The second reason refers to the observed post-pandemic economic recovery, as reported by Harari (2022). The increasing incomes of UK households, as seen by the higher levels of national gross domestic product, also mean an increased </w:t>
      </w:r>
      <w:r w:rsidR="006E35D7" w:rsidRPr="00097615">
        <w:rPr>
          <w:rFonts w:ascii="Times New Roman" w:hAnsi="Times New Roman" w:cs="Times New Roman"/>
          <w:sz w:val="24"/>
          <w:szCs w:val="24"/>
        </w:rPr>
        <w:t>purchasing power (Harari, 2022). Therefore</w:t>
      </w:r>
      <w:r w:rsidR="006E35D7">
        <w:rPr>
          <w:rFonts w:ascii="Times New Roman" w:hAnsi="Times New Roman" w:cs="Times New Roman"/>
          <w:sz w:val="24"/>
          <w:szCs w:val="24"/>
        </w:rPr>
        <w:t xml:space="preserve">, the demand for the Amana’s products should be </w:t>
      </w:r>
      <w:proofErr w:type="gramStart"/>
      <w:r w:rsidR="006E35D7">
        <w:rPr>
          <w:rFonts w:ascii="Times New Roman" w:hAnsi="Times New Roman" w:cs="Times New Roman"/>
          <w:sz w:val="24"/>
          <w:szCs w:val="24"/>
        </w:rPr>
        <w:t>similar to</w:t>
      </w:r>
      <w:proofErr w:type="gramEnd"/>
      <w:r w:rsidR="006E35D7">
        <w:rPr>
          <w:rFonts w:ascii="Times New Roman" w:hAnsi="Times New Roman" w:cs="Times New Roman"/>
          <w:sz w:val="24"/>
          <w:szCs w:val="24"/>
        </w:rPr>
        <w:t xml:space="preserve"> the pre-pandemic levels given the general conditions in the UK economy. The higher demand thus justifies the decision to restore the higher prices from the pre-pandemic period. </w:t>
      </w:r>
    </w:p>
    <w:p w14:paraId="69AB2564" w14:textId="77777777" w:rsidR="00F44421" w:rsidRDefault="006E35D7" w:rsidP="00856D33">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combination of recommendations is expected to adjust the Amana’s performance according to the results from the performance analysis and relevant external trends. </w:t>
      </w:r>
    </w:p>
    <w:p w14:paraId="65C660B7" w14:textId="77777777" w:rsidR="00856D33" w:rsidRPr="00A401E8" w:rsidRDefault="00856D33" w:rsidP="00856D33">
      <w:pPr>
        <w:pStyle w:val="Heading2"/>
        <w:rPr>
          <w:rFonts w:cs="Times New Roman"/>
        </w:rPr>
      </w:pPr>
      <w:bookmarkStart w:id="18" w:name="_Toc102161771"/>
      <w:bookmarkStart w:id="19" w:name="_Toc102161831"/>
      <w:bookmarkStart w:id="20" w:name="_Toc102469523"/>
      <w:r w:rsidRPr="00A401E8">
        <w:rPr>
          <w:rFonts w:cs="Times New Roman"/>
        </w:rPr>
        <w:t>2.2 Part B</w:t>
      </w:r>
      <w:bookmarkEnd w:id="18"/>
      <w:bookmarkEnd w:id="19"/>
      <w:bookmarkEnd w:id="20"/>
      <w:r w:rsidRPr="00A401E8">
        <w:rPr>
          <w:rFonts w:cs="Times New Roman"/>
        </w:rPr>
        <w:t xml:space="preserve"> </w:t>
      </w:r>
    </w:p>
    <w:p w14:paraId="06794232" w14:textId="77777777" w:rsidR="00856D33" w:rsidRPr="00A401E8" w:rsidRDefault="00856D33" w:rsidP="00856D33">
      <w:pPr>
        <w:pStyle w:val="Heading3"/>
        <w:rPr>
          <w:rFonts w:cs="Times New Roman"/>
          <w:lang w:val="en-US"/>
        </w:rPr>
      </w:pPr>
      <w:bookmarkStart w:id="21" w:name="_Toc102161772"/>
      <w:bookmarkStart w:id="22" w:name="_Toc102161832"/>
      <w:bookmarkStart w:id="23" w:name="_Toc102469524"/>
      <w:r w:rsidRPr="00A401E8">
        <w:rPr>
          <w:rFonts w:cs="Times New Roman"/>
          <w:lang w:val="en-US"/>
        </w:rPr>
        <w:t xml:space="preserve">2.2.1 </w:t>
      </w:r>
      <w:bookmarkEnd w:id="21"/>
      <w:bookmarkEnd w:id="22"/>
      <w:r w:rsidR="001F479A">
        <w:rPr>
          <w:rFonts w:cs="Times New Roman"/>
          <w:lang w:val="en-US"/>
        </w:rPr>
        <w:t>Introduction</w:t>
      </w:r>
      <w:bookmarkEnd w:id="23"/>
      <w:r w:rsidR="001F479A">
        <w:rPr>
          <w:rFonts w:cs="Times New Roman"/>
          <w:lang w:val="en-US"/>
        </w:rPr>
        <w:t xml:space="preserve"> </w:t>
      </w:r>
    </w:p>
    <w:p w14:paraId="74ED3959" w14:textId="77777777" w:rsidR="001F479A" w:rsidRDefault="00C047EB" w:rsidP="00856D33">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involvement in e-commerce is largely justified by the significant increase of online retailing. During the pandemic, consumers shifted towards e-commerce, as its size in the UK increased from approximately £105 billion in 2019 to more than £141 billion, or 34.7% of annual growth (Abbas, 2021). In the following years, the size of the e-commerce is expected to grow more gradually at a rate of 4% per annum on average (Abbas, 2021). Thus, the growth during the pandemic will be sustained; thereby, showing the increased role of e-commerce for the success of UK retailers. </w:t>
      </w:r>
    </w:p>
    <w:p w14:paraId="54F596B4" w14:textId="77777777" w:rsidR="00C047EB" w:rsidRPr="00C047EB" w:rsidRDefault="00C047EB" w:rsidP="00856D33">
      <w:pPr>
        <w:spacing w:before="240"/>
        <w:jc w:val="both"/>
        <w:rPr>
          <w:rFonts w:ascii="Times New Roman" w:hAnsi="Times New Roman" w:cs="Times New Roman"/>
          <w:b/>
          <w:sz w:val="24"/>
          <w:szCs w:val="24"/>
          <w:lang w:val="en-US"/>
        </w:rPr>
      </w:pPr>
      <w:r w:rsidRPr="00C047EB">
        <w:rPr>
          <w:rFonts w:ascii="Times New Roman" w:hAnsi="Times New Roman" w:cs="Times New Roman"/>
          <w:b/>
          <w:sz w:val="24"/>
          <w:szCs w:val="24"/>
          <w:lang w:val="en-US"/>
        </w:rPr>
        <w:lastRenderedPageBreak/>
        <w:t xml:space="preserve">Figure </w:t>
      </w:r>
      <w:r w:rsidR="001737D7">
        <w:rPr>
          <w:rFonts w:ascii="Times New Roman" w:hAnsi="Times New Roman" w:cs="Times New Roman"/>
          <w:b/>
          <w:sz w:val="24"/>
          <w:szCs w:val="24"/>
          <w:lang w:val="en-US"/>
        </w:rPr>
        <w:t>2</w:t>
      </w:r>
      <w:r w:rsidRPr="00C047EB">
        <w:rPr>
          <w:rFonts w:ascii="Times New Roman" w:hAnsi="Times New Roman" w:cs="Times New Roman"/>
          <w:b/>
          <w:sz w:val="24"/>
          <w:szCs w:val="24"/>
          <w:lang w:val="en-US"/>
        </w:rPr>
        <w:t xml:space="preserve"> – Key developments in the e-commerce segment in the UK </w:t>
      </w:r>
    </w:p>
    <w:p w14:paraId="6CA36AC7" w14:textId="77777777" w:rsidR="00C047EB" w:rsidRPr="00C047EB" w:rsidRDefault="00C047EB" w:rsidP="00856D33">
      <w:pPr>
        <w:spacing w:before="240"/>
        <w:jc w:val="both"/>
        <w:rPr>
          <w:rFonts w:ascii="Times New Roman" w:hAnsi="Times New Roman" w:cs="Times New Roman"/>
          <w:sz w:val="24"/>
          <w:szCs w:val="24"/>
          <w:lang w:val="en-US"/>
        </w:rPr>
      </w:pPr>
      <w:r w:rsidRPr="00C047EB">
        <w:rPr>
          <w:rFonts w:ascii="Times New Roman" w:hAnsi="Times New Roman" w:cs="Times New Roman"/>
          <w:noProof/>
          <w:sz w:val="24"/>
          <w:szCs w:val="24"/>
          <w:lang w:val="en-US"/>
        </w:rPr>
        <w:drawing>
          <wp:inline distT="0" distB="0" distL="0" distR="0" wp14:anchorId="365E6592" wp14:editId="5E6B5C97">
            <wp:extent cx="5980430" cy="4505052"/>
            <wp:effectExtent l="1905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980430" cy="4505052"/>
                    </a:xfrm>
                    <a:prstGeom prst="rect">
                      <a:avLst/>
                    </a:prstGeom>
                    <a:noFill/>
                    <a:ln w="9525">
                      <a:noFill/>
                      <a:miter lim="800000"/>
                      <a:headEnd/>
                      <a:tailEnd/>
                    </a:ln>
                  </pic:spPr>
                </pic:pic>
              </a:graphicData>
            </a:graphic>
          </wp:inline>
        </w:drawing>
      </w:r>
    </w:p>
    <w:p w14:paraId="54444A01" w14:textId="77777777" w:rsidR="001F479A" w:rsidRPr="00C047EB" w:rsidRDefault="00C047EB" w:rsidP="00856D33">
      <w:pPr>
        <w:jc w:val="both"/>
        <w:rPr>
          <w:rFonts w:ascii="Times New Roman" w:hAnsi="Times New Roman" w:cs="Times New Roman"/>
          <w:i/>
          <w:sz w:val="24"/>
          <w:szCs w:val="24"/>
          <w:lang w:val="en-US"/>
        </w:rPr>
      </w:pPr>
      <w:r w:rsidRPr="00C047EB">
        <w:rPr>
          <w:rFonts w:ascii="Times New Roman" w:hAnsi="Times New Roman" w:cs="Times New Roman"/>
          <w:i/>
          <w:sz w:val="24"/>
          <w:szCs w:val="24"/>
          <w:lang w:val="en-US"/>
        </w:rPr>
        <w:t>Source: Abbas (2021)</w:t>
      </w:r>
    </w:p>
    <w:p w14:paraId="5AD7EFFD" w14:textId="77777777" w:rsidR="00C047EB" w:rsidRDefault="00C047EB" w:rsidP="00856D33">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These industry trends demonstrate the relevance of developing online-based sales channels as a potential growth driver of Amana, rather than relying on the traditional brick-and-mortar infrastructure. </w:t>
      </w:r>
    </w:p>
    <w:p w14:paraId="291E9EC5" w14:textId="77777777" w:rsidR="00856D33" w:rsidRPr="00A401E8" w:rsidRDefault="00856D33" w:rsidP="00856D33">
      <w:pPr>
        <w:pStyle w:val="Heading3"/>
        <w:rPr>
          <w:rFonts w:cs="Times New Roman"/>
          <w:lang w:val="en-US"/>
        </w:rPr>
      </w:pPr>
      <w:bookmarkStart w:id="24" w:name="_Toc102161773"/>
      <w:bookmarkStart w:id="25" w:name="_Toc102161833"/>
      <w:bookmarkStart w:id="26" w:name="_Toc102469525"/>
      <w:r w:rsidRPr="00A401E8">
        <w:rPr>
          <w:rFonts w:cs="Times New Roman"/>
          <w:lang w:val="en-US"/>
        </w:rPr>
        <w:t xml:space="preserve">2.2.2 </w:t>
      </w:r>
      <w:bookmarkEnd w:id="24"/>
      <w:bookmarkEnd w:id="25"/>
      <w:r w:rsidR="00C047EB">
        <w:rPr>
          <w:rFonts w:cs="Times New Roman"/>
          <w:lang w:val="en-US"/>
        </w:rPr>
        <w:t>Cost assessment</w:t>
      </w:r>
      <w:bookmarkEnd w:id="26"/>
      <w:r w:rsidR="00C047EB">
        <w:rPr>
          <w:rFonts w:cs="Times New Roman"/>
          <w:lang w:val="en-US"/>
        </w:rPr>
        <w:t xml:space="preserve"> </w:t>
      </w:r>
      <w:r w:rsidRPr="00A401E8">
        <w:rPr>
          <w:rFonts w:cs="Times New Roman"/>
          <w:lang w:val="en-US"/>
        </w:rPr>
        <w:t xml:space="preserve"> </w:t>
      </w:r>
    </w:p>
    <w:p w14:paraId="16BDA796" w14:textId="3CBE90B2" w:rsidR="00C047EB" w:rsidRDefault="0046786D" w:rsidP="00856D33">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Amana faces two alternatives when entering the e-commerce segment. One of the options is to perform own (in-house) activities by </w:t>
      </w:r>
      <w:proofErr w:type="spellStart"/>
      <w:r>
        <w:rPr>
          <w:rFonts w:ascii="Times New Roman" w:hAnsi="Times New Roman" w:cs="Times New Roman"/>
          <w:sz w:val="24"/>
          <w:szCs w:val="24"/>
          <w:lang w:val="en-US"/>
        </w:rPr>
        <w:t>prioritising</w:t>
      </w:r>
      <w:proofErr w:type="spellEnd"/>
      <w:r>
        <w:rPr>
          <w:rFonts w:ascii="Times New Roman" w:hAnsi="Times New Roman" w:cs="Times New Roman"/>
          <w:sz w:val="24"/>
          <w:szCs w:val="24"/>
          <w:lang w:val="en-US"/>
        </w:rPr>
        <w:t xml:space="preserve"> the development of an online store. The second option is to outsource the activity to the popular retailer Amazon and benefitting from t</w:t>
      </w:r>
      <w:r w:rsidR="00B93A56">
        <w:rPr>
          <w:rFonts w:ascii="Times New Roman" w:hAnsi="Times New Roman" w:cs="Times New Roman"/>
          <w:sz w:val="24"/>
          <w:szCs w:val="24"/>
          <w:lang w:val="en-US"/>
        </w:rPr>
        <w:t xml:space="preserve">he </w:t>
      </w:r>
      <w:r>
        <w:rPr>
          <w:rFonts w:ascii="Times New Roman" w:hAnsi="Times New Roman" w:cs="Times New Roman"/>
          <w:sz w:val="24"/>
          <w:szCs w:val="24"/>
          <w:lang w:val="en-US"/>
        </w:rPr>
        <w:t xml:space="preserve">established infrastructure and brand of Amazon. Both options are associated with different costs which are discussed in the analysis below. </w:t>
      </w:r>
    </w:p>
    <w:p w14:paraId="04D2EBEE" w14:textId="77777777" w:rsidR="0046786D" w:rsidRDefault="0046786D" w:rsidP="00856D33">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development of own online store requires solid initial costs. These include delivery network development costs equal to </w:t>
      </w:r>
      <w:r w:rsidRPr="00A401E8">
        <w:rPr>
          <w:rFonts w:ascii="Times New Roman" w:hAnsi="Times New Roman" w:cs="Times New Roman"/>
          <w:sz w:val="24"/>
          <w:szCs w:val="24"/>
          <w:lang w:val="en-US"/>
        </w:rPr>
        <w:t>£150,000</w:t>
      </w:r>
      <w:r>
        <w:rPr>
          <w:rFonts w:ascii="Times New Roman" w:hAnsi="Times New Roman" w:cs="Times New Roman"/>
          <w:sz w:val="24"/>
          <w:szCs w:val="24"/>
          <w:lang w:val="en-US"/>
        </w:rPr>
        <w:t xml:space="preserve">, as well as a software upgrade cost of </w:t>
      </w:r>
      <w:r w:rsidRPr="00A401E8">
        <w:rPr>
          <w:rFonts w:ascii="Times New Roman" w:hAnsi="Times New Roman" w:cs="Times New Roman"/>
          <w:sz w:val="24"/>
          <w:szCs w:val="24"/>
          <w:lang w:val="en-US"/>
        </w:rPr>
        <w:t>£50,000</w:t>
      </w:r>
      <w:r>
        <w:rPr>
          <w:rFonts w:ascii="Times New Roman" w:hAnsi="Times New Roman" w:cs="Times New Roman"/>
          <w:sz w:val="24"/>
          <w:szCs w:val="24"/>
          <w:lang w:val="en-US"/>
        </w:rPr>
        <w:t xml:space="preserve">. These are direct costs, which cannot be recovered by Amana, but the positive aspect of the costs stays in the fact that they occur only once. </w:t>
      </w:r>
      <w:r w:rsidR="00B5174F">
        <w:rPr>
          <w:rFonts w:ascii="Times New Roman" w:hAnsi="Times New Roman" w:cs="Times New Roman"/>
          <w:sz w:val="24"/>
          <w:szCs w:val="24"/>
          <w:lang w:val="en-US"/>
        </w:rPr>
        <w:t>Thus</w:t>
      </w:r>
      <w:r>
        <w:rPr>
          <w:rFonts w:ascii="Times New Roman" w:hAnsi="Times New Roman" w:cs="Times New Roman"/>
          <w:sz w:val="24"/>
          <w:szCs w:val="24"/>
          <w:lang w:val="en-US"/>
        </w:rPr>
        <w:t>, they are initial costs</w:t>
      </w:r>
      <w:r w:rsidR="00B5174F">
        <w:rPr>
          <w:rFonts w:ascii="Times New Roman" w:hAnsi="Times New Roman" w:cs="Times New Roman"/>
          <w:sz w:val="24"/>
          <w:szCs w:val="24"/>
          <w:lang w:val="en-US"/>
        </w:rPr>
        <w:t xml:space="preserve"> to start the online platform. Amana also has </w:t>
      </w:r>
      <w:r w:rsidR="00B5174F" w:rsidRPr="00A401E8">
        <w:rPr>
          <w:rFonts w:ascii="Times New Roman" w:hAnsi="Times New Roman" w:cs="Times New Roman"/>
          <w:sz w:val="24"/>
          <w:szCs w:val="24"/>
          <w:lang w:val="en-US"/>
        </w:rPr>
        <w:t>£35,000</w:t>
      </w:r>
      <w:r w:rsidR="00B5174F">
        <w:rPr>
          <w:rFonts w:ascii="Times New Roman" w:hAnsi="Times New Roman" w:cs="Times New Roman"/>
          <w:sz w:val="24"/>
          <w:szCs w:val="24"/>
          <w:lang w:val="en-US"/>
        </w:rPr>
        <w:t xml:space="preserve"> in annual salary costs to an IT specialist who would be responsible for the maintenance of the online store. These costs would repetitively take place by reducing the profitability of the </w:t>
      </w:r>
      <w:proofErr w:type="spellStart"/>
      <w:r w:rsidR="00B5174F">
        <w:rPr>
          <w:rFonts w:ascii="Times New Roman" w:hAnsi="Times New Roman" w:cs="Times New Roman"/>
          <w:sz w:val="24"/>
          <w:szCs w:val="24"/>
          <w:lang w:val="en-US"/>
        </w:rPr>
        <w:t>organisation</w:t>
      </w:r>
      <w:proofErr w:type="spellEnd"/>
      <w:r w:rsidR="00B5174F">
        <w:rPr>
          <w:rFonts w:ascii="Times New Roman" w:hAnsi="Times New Roman" w:cs="Times New Roman"/>
          <w:sz w:val="24"/>
          <w:szCs w:val="24"/>
          <w:lang w:val="en-US"/>
        </w:rPr>
        <w:t>.</w:t>
      </w:r>
    </w:p>
    <w:p w14:paraId="2AB1B30C" w14:textId="77777777" w:rsidR="00783C3E" w:rsidRDefault="00263E39" w:rsidP="00856D33">
      <w:pPr>
        <w:spacing w:before="240"/>
        <w:jc w:val="both"/>
        <w:rPr>
          <w:rFonts w:ascii="Times New Roman" w:hAnsi="Times New Roman" w:cs="Times New Roman"/>
          <w:sz w:val="24"/>
          <w:szCs w:val="24"/>
        </w:rPr>
      </w:pPr>
      <w:r>
        <w:rPr>
          <w:rFonts w:ascii="Times New Roman" w:hAnsi="Times New Roman" w:cs="Times New Roman"/>
          <w:sz w:val="24"/>
          <w:szCs w:val="24"/>
          <w:lang w:val="en-US"/>
        </w:rPr>
        <w:t xml:space="preserve">The Amazon option requires considerably lower initial investments of just </w:t>
      </w:r>
      <w:r w:rsidRPr="00A401E8">
        <w:rPr>
          <w:rFonts w:ascii="Times New Roman" w:hAnsi="Times New Roman" w:cs="Times New Roman"/>
          <w:sz w:val="24"/>
          <w:szCs w:val="24"/>
        </w:rPr>
        <w:t>£50,000</w:t>
      </w:r>
      <w:r>
        <w:rPr>
          <w:rFonts w:ascii="Times New Roman" w:hAnsi="Times New Roman" w:cs="Times New Roman"/>
          <w:sz w:val="24"/>
          <w:szCs w:val="24"/>
        </w:rPr>
        <w:t xml:space="preserve">. This is the fulfilment fee to start using the Amazon infrastructure. These are considerably lower investment costs in comparison to developing own online store. Nevertheless, the Amazon option delivers significant opportunity costs for Amana. Opportunity costs reflect the missed revenues from choosing Amazon, rather than performing own online store. Opportunity costs are not included in the financial statements of the organisation; however, they significantly influence the performance of the company by determining its revenues and profitability. In this case, the opportunity costs are found by subtracting the difference between the revenue from operating own online store and the Amazon alternative. The guaranteed sales are 100,000 units with own online store and 65,000 units by using Amazon. The difference of 35,000 units leads to an opportunity cost, or missed revenue, equal to £700,000 for Amana. Moreover, Amana is expected to lose its control over pricing in the case of using the Amazon infrastructure; hence, the projected opportunity cost may further increase, if Amana fails to achieve the current price of £20. Considering these expectations, the following cost structure is identified in both cases. </w:t>
      </w:r>
    </w:p>
    <w:p w14:paraId="7E2EA5ED" w14:textId="77777777" w:rsidR="003252D2" w:rsidRPr="003252D2" w:rsidRDefault="003252D2" w:rsidP="003252D2">
      <w:pPr>
        <w:spacing w:before="240" w:after="240"/>
        <w:jc w:val="both"/>
        <w:rPr>
          <w:rFonts w:ascii="Times New Roman" w:hAnsi="Times New Roman" w:cs="Times New Roman"/>
          <w:b/>
          <w:sz w:val="24"/>
          <w:szCs w:val="24"/>
        </w:rPr>
      </w:pPr>
      <w:r w:rsidRPr="003252D2">
        <w:rPr>
          <w:rFonts w:ascii="Times New Roman" w:hAnsi="Times New Roman" w:cs="Times New Roman"/>
          <w:b/>
          <w:sz w:val="24"/>
          <w:szCs w:val="24"/>
        </w:rPr>
        <w:t>Table 2 – Costs in both investment alternatives</w:t>
      </w:r>
      <w:r>
        <w:rPr>
          <w:rFonts w:ascii="Times New Roman" w:hAnsi="Times New Roman" w:cs="Times New Roman"/>
          <w:b/>
          <w:sz w:val="24"/>
          <w:szCs w:val="24"/>
        </w:rPr>
        <w:t xml:space="preserve"> in Year 1</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shd w:val="clear" w:color="auto" w:fill="D6E3BC" w:themeFill="accent3" w:themeFillTint="66"/>
        <w:tblLook w:val="04A0" w:firstRow="1" w:lastRow="0" w:firstColumn="1" w:lastColumn="0" w:noHBand="0" w:noVBand="1"/>
      </w:tblPr>
      <w:tblGrid>
        <w:gridCol w:w="4707"/>
        <w:gridCol w:w="4701"/>
      </w:tblGrid>
      <w:tr w:rsidR="003252D2" w14:paraId="2987F1CD" w14:textId="77777777" w:rsidTr="00B23C37">
        <w:tc>
          <w:tcPr>
            <w:tcW w:w="4817" w:type="dxa"/>
            <w:shd w:val="clear" w:color="auto" w:fill="D6E3BC" w:themeFill="accent3" w:themeFillTint="66"/>
          </w:tcPr>
          <w:p w14:paraId="5EA07BBE" w14:textId="77777777" w:rsidR="003252D2" w:rsidRPr="003252D2" w:rsidRDefault="003252D2" w:rsidP="003252D2">
            <w:pPr>
              <w:spacing w:after="240"/>
              <w:jc w:val="center"/>
              <w:rPr>
                <w:rFonts w:ascii="Times New Roman" w:hAnsi="Times New Roman" w:cs="Times New Roman"/>
                <w:b/>
                <w:sz w:val="24"/>
                <w:szCs w:val="24"/>
              </w:rPr>
            </w:pPr>
            <w:r w:rsidRPr="003252D2">
              <w:rPr>
                <w:rFonts w:ascii="Times New Roman" w:hAnsi="Times New Roman" w:cs="Times New Roman"/>
                <w:b/>
                <w:sz w:val="24"/>
                <w:szCs w:val="24"/>
              </w:rPr>
              <w:t>Own online store</w:t>
            </w:r>
          </w:p>
        </w:tc>
        <w:tc>
          <w:tcPr>
            <w:tcW w:w="4817" w:type="dxa"/>
            <w:shd w:val="clear" w:color="auto" w:fill="D6E3BC" w:themeFill="accent3" w:themeFillTint="66"/>
          </w:tcPr>
          <w:p w14:paraId="4DB81199" w14:textId="77777777" w:rsidR="003252D2" w:rsidRPr="003252D2" w:rsidRDefault="003252D2" w:rsidP="003252D2">
            <w:pPr>
              <w:spacing w:after="240"/>
              <w:jc w:val="center"/>
              <w:rPr>
                <w:rFonts w:ascii="Times New Roman" w:hAnsi="Times New Roman" w:cs="Times New Roman"/>
                <w:b/>
                <w:sz w:val="24"/>
                <w:szCs w:val="24"/>
              </w:rPr>
            </w:pPr>
            <w:r>
              <w:rPr>
                <w:rFonts w:ascii="Times New Roman" w:hAnsi="Times New Roman" w:cs="Times New Roman"/>
                <w:b/>
                <w:sz w:val="24"/>
                <w:szCs w:val="24"/>
              </w:rPr>
              <w:t>Collaboration with A</w:t>
            </w:r>
            <w:r w:rsidRPr="003252D2">
              <w:rPr>
                <w:rFonts w:ascii="Times New Roman" w:hAnsi="Times New Roman" w:cs="Times New Roman"/>
                <w:b/>
                <w:sz w:val="24"/>
                <w:szCs w:val="24"/>
              </w:rPr>
              <w:t>mazon</w:t>
            </w:r>
          </w:p>
        </w:tc>
      </w:tr>
      <w:tr w:rsidR="003252D2" w14:paraId="68F76162" w14:textId="77777777" w:rsidTr="00B23C37">
        <w:tc>
          <w:tcPr>
            <w:tcW w:w="4817" w:type="dxa"/>
            <w:shd w:val="clear" w:color="auto" w:fill="D6E3BC" w:themeFill="accent3" w:themeFillTint="66"/>
          </w:tcPr>
          <w:p w14:paraId="5F54096E" w14:textId="77777777" w:rsidR="003252D2" w:rsidRDefault="003252D2" w:rsidP="003252D2">
            <w:pPr>
              <w:pStyle w:val="ListParagraph"/>
              <w:numPr>
                <w:ilvl w:val="0"/>
                <w:numId w:val="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Development cost - £150,000</w:t>
            </w:r>
          </w:p>
          <w:p w14:paraId="35FAB780" w14:textId="77777777" w:rsidR="003252D2" w:rsidRDefault="003252D2" w:rsidP="003252D2">
            <w:pPr>
              <w:pStyle w:val="ListParagraph"/>
              <w:numPr>
                <w:ilvl w:val="0"/>
                <w:numId w:val="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Upgrade expenses - £50,000</w:t>
            </w:r>
          </w:p>
          <w:p w14:paraId="6E5E6A9C" w14:textId="77777777" w:rsidR="003252D2" w:rsidRPr="003252D2" w:rsidRDefault="003252D2" w:rsidP="003252D2">
            <w:pPr>
              <w:pStyle w:val="ListParagraph"/>
              <w:numPr>
                <w:ilvl w:val="0"/>
                <w:numId w:val="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Salary expenses - £35,000  </w:t>
            </w:r>
          </w:p>
        </w:tc>
        <w:tc>
          <w:tcPr>
            <w:tcW w:w="4817" w:type="dxa"/>
            <w:shd w:val="clear" w:color="auto" w:fill="D6E3BC" w:themeFill="accent3" w:themeFillTint="66"/>
          </w:tcPr>
          <w:p w14:paraId="372CDCF5" w14:textId="77777777" w:rsidR="003252D2" w:rsidRDefault="003252D2" w:rsidP="003252D2">
            <w:pPr>
              <w:pStyle w:val="ListParagraph"/>
              <w:numPr>
                <w:ilvl w:val="0"/>
                <w:numId w:val="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Fulfilment fee - £50,000</w:t>
            </w:r>
          </w:p>
          <w:p w14:paraId="4F256743" w14:textId="77777777" w:rsidR="003252D2" w:rsidRPr="003252D2" w:rsidRDefault="003252D2" w:rsidP="003252D2">
            <w:pPr>
              <w:pStyle w:val="ListParagraph"/>
              <w:numPr>
                <w:ilvl w:val="0"/>
                <w:numId w:val="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Opportunity costs - £700,000</w:t>
            </w:r>
          </w:p>
        </w:tc>
      </w:tr>
    </w:tbl>
    <w:p w14:paraId="755FE9F4" w14:textId="25F05FD3" w:rsidR="003252D2" w:rsidRDefault="003252D2" w:rsidP="003252D2">
      <w:pPr>
        <w:spacing w:before="240" w:after="240"/>
        <w:jc w:val="both"/>
        <w:rPr>
          <w:rFonts w:ascii="Times New Roman" w:hAnsi="Times New Roman" w:cs="Times New Roman"/>
          <w:sz w:val="24"/>
          <w:szCs w:val="24"/>
        </w:rPr>
      </w:pPr>
      <w:r>
        <w:rPr>
          <w:rFonts w:ascii="Times New Roman" w:hAnsi="Times New Roman" w:cs="Times New Roman"/>
          <w:sz w:val="24"/>
          <w:szCs w:val="24"/>
        </w:rPr>
        <w:t>Investing in own e-commerce infrastructure would lead to investment costs equal to £235,000. The Amazon option requires significantly lower initial costs of just £50,000; however, it could lead to</w:t>
      </w:r>
      <w:r w:rsidR="00B93A56">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significant decline in future revenue, as suggested by the opportunity cost of £700,000. Thus, Amana should invest in own online store, despite the considerable initial investments at the beginning of the process. </w:t>
      </w:r>
    </w:p>
    <w:p w14:paraId="7B9F316B" w14:textId="77777777" w:rsidR="00856D33" w:rsidRPr="00A401E8" w:rsidRDefault="00856D33" w:rsidP="00856D33">
      <w:pPr>
        <w:pStyle w:val="Heading3"/>
        <w:rPr>
          <w:rFonts w:cs="Times New Roman"/>
          <w:lang w:val="en-US"/>
        </w:rPr>
      </w:pPr>
      <w:bookmarkStart w:id="27" w:name="_Toc102161774"/>
      <w:bookmarkStart w:id="28" w:name="_Toc102161834"/>
      <w:bookmarkStart w:id="29" w:name="_Toc102469526"/>
      <w:r w:rsidRPr="00A401E8">
        <w:rPr>
          <w:rFonts w:cs="Times New Roman"/>
          <w:lang w:val="en-US"/>
        </w:rPr>
        <w:t xml:space="preserve">2.2.3 </w:t>
      </w:r>
      <w:bookmarkEnd w:id="27"/>
      <w:bookmarkEnd w:id="28"/>
      <w:r w:rsidR="003252D2">
        <w:rPr>
          <w:rFonts w:cs="Times New Roman"/>
          <w:lang w:val="en-US"/>
        </w:rPr>
        <w:t>Critical analysis of alternatives</w:t>
      </w:r>
      <w:bookmarkEnd w:id="29"/>
      <w:r w:rsidR="003252D2">
        <w:rPr>
          <w:rFonts w:cs="Times New Roman"/>
          <w:lang w:val="en-US"/>
        </w:rPr>
        <w:t xml:space="preserve"> </w:t>
      </w:r>
      <w:r w:rsidRPr="00A401E8">
        <w:rPr>
          <w:rFonts w:cs="Times New Roman"/>
          <w:lang w:val="en-US"/>
        </w:rPr>
        <w:t xml:space="preserve"> </w:t>
      </w:r>
    </w:p>
    <w:p w14:paraId="2537D8C6" w14:textId="77777777" w:rsidR="005919FA" w:rsidRDefault="0095255A" w:rsidP="00856D33">
      <w:pPr>
        <w:spacing w:before="240"/>
        <w:jc w:val="both"/>
        <w:rPr>
          <w:rFonts w:ascii="Times New Roman" w:hAnsi="Times New Roman" w:cs="Times New Roman"/>
          <w:sz w:val="24"/>
          <w:szCs w:val="24"/>
        </w:rPr>
      </w:pPr>
      <w:r>
        <w:rPr>
          <w:rFonts w:ascii="Times New Roman" w:hAnsi="Times New Roman" w:cs="Times New Roman"/>
          <w:sz w:val="24"/>
          <w:szCs w:val="24"/>
          <w:lang w:val="en-US"/>
        </w:rPr>
        <w:t xml:space="preserve">One of the key purposes of management accounting is to understand and incorporate various contextual factors which influence the process of decision-making by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w:t>
      </w:r>
      <w:r w:rsidRPr="00A401E8">
        <w:rPr>
          <w:rFonts w:ascii="Times New Roman" w:hAnsi="Times New Roman" w:cs="Times New Roman"/>
          <w:sz w:val="24"/>
          <w:szCs w:val="24"/>
        </w:rPr>
        <w:t>(Rhode and Garrison, 2019).</w:t>
      </w:r>
      <w:r>
        <w:rPr>
          <w:rFonts w:ascii="Times New Roman" w:hAnsi="Times New Roman" w:cs="Times New Roman"/>
          <w:sz w:val="24"/>
          <w:szCs w:val="24"/>
        </w:rPr>
        <w:t xml:space="preserve"> Hence, the sole focus on costs could be misleading, as there are additional specifics affecting the decision-making from a strategic point of view. For instance, the Amazon option may lead to high opportunity costs at the initial stages of development; however, it may contribute to better visibility and long-term brand and international market development for Amana. A wide of advantages and disadvantages is identified for both alternatives which include not only financial performance aspects.</w:t>
      </w:r>
    </w:p>
    <w:p w14:paraId="6A83E3FE" w14:textId="77777777" w:rsidR="0095255A" w:rsidRPr="00A401E8" w:rsidRDefault="0095255A" w:rsidP="005919FA">
      <w:pPr>
        <w:spacing w:before="240" w:after="240"/>
        <w:jc w:val="both"/>
        <w:rPr>
          <w:rFonts w:ascii="Times New Roman" w:hAnsi="Times New Roman" w:cs="Times New Roman"/>
          <w:b/>
          <w:sz w:val="24"/>
          <w:szCs w:val="24"/>
          <w:lang w:val="en-US"/>
        </w:rPr>
      </w:pPr>
      <w:r w:rsidRPr="0095255A">
        <w:rPr>
          <w:rFonts w:ascii="Times New Roman" w:hAnsi="Times New Roman" w:cs="Times New Roman"/>
          <w:b/>
          <w:sz w:val="24"/>
          <w:szCs w:val="24"/>
        </w:rPr>
        <w:t xml:space="preserve">Table 3 – A critical evaluation of the benefits and drawbacks of both alternatives </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shd w:val="clear" w:color="auto" w:fill="D6E3BC" w:themeFill="accent3" w:themeFillTint="66"/>
        <w:tblLook w:val="04A0" w:firstRow="1" w:lastRow="0" w:firstColumn="1" w:lastColumn="0" w:noHBand="0" w:noVBand="1"/>
      </w:tblPr>
      <w:tblGrid>
        <w:gridCol w:w="1667"/>
        <w:gridCol w:w="4007"/>
        <w:gridCol w:w="3734"/>
      </w:tblGrid>
      <w:tr w:rsidR="00856D33" w:rsidRPr="00A401E8" w14:paraId="5C2F5898" w14:textId="77777777" w:rsidTr="00B23C37">
        <w:tc>
          <w:tcPr>
            <w:tcW w:w="1668" w:type="dxa"/>
            <w:shd w:val="clear" w:color="auto" w:fill="D6E3BC" w:themeFill="accent3" w:themeFillTint="66"/>
          </w:tcPr>
          <w:p w14:paraId="60CE6CBA" w14:textId="77777777" w:rsidR="00856D33" w:rsidRPr="00A401E8" w:rsidRDefault="00856D33" w:rsidP="004F783E">
            <w:pPr>
              <w:spacing w:after="240"/>
              <w:jc w:val="both"/>
              <w:rPr>
                <w:rFonts w:ascii="Times New Roman" w:hAnsi="Times New Roman" w:cs="Times New Roman"/>
                <w:sz w:val="24"/>
                <w:szCs w:val="24"/>
                <w:lang w:val="en-US"/>
              </w:rPr>
            </w:pPr>
          </w:p>
        </w:tc>
        <w:tc>
          <w:tcPr>
            <w:tcW w:w="4124" w:type="dxa"/>
            <w:shd w:val="clear" w:color="auto" w:fill="D6E3BC" w:themeFill="accent3" w:themeFillTint="66"/>
          </w:tcPr>
          <w:p w14:paraId="6A2DF329" w14:textId="77777777" w:rsidR="00856D33" w:rsidRPr="00A401E8" w:rsidRDefault="0095255A" w:rsidP="004F783E">
            <w:pPr>
              <w:spacing w:after="240"/>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Benefits </w:t>
            </w:r>
          </w:p>
        </w:tc>
        <w:tc>
          <w:tcPr>
            <w:tcW w:w="3842" w:type="dxa"/>
            <w:shd w:val="clear" w:color="auto" w:fill="D6E3BC" w:themeFill="accent3" w:themeFillTint="66"/>
          </w:tcPr>
          <w:p w14:paraId="7FD652B1" w14:textId="77777777" w:rsidR="00856D33" w:rsidRPr="00A401E8" w:rsidRDefault="0095255A" w:rsidP="004F783E">
            <w:pPr>
              <w:spacing w:after="240"/>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Drawbacks </w:t>
            </w:r>
          </w:p>
        </w:tc>
      </w:tr>
      <w:tr w:rsidR="00856D33" w:rsidRPr="00A401E8" w14:paraId="01D89C76" w14:textId="77777777" w:rsidTr="00B23C37">
        <w:tc>
          <w:tcPr>
            <w:tcW w:w="1668" w:type="dxa"/>
            <w:shd w:val="clear" w:color="auto" w:fill="D6E3BC" w:themeFill="accent3" w:themeFillTint="66"/>
          </w:tcPr>
          <w:p w14:paraId="1F66A8A5" w14:textId="77777777" w:rsidR="00856D33" w:rsidRPr="00A401E8" w:rsidRDefault="0095255A" w:rsidP="004F783E">
            <w:pPr>
              <w:rPr>
                <w:rFonts w:ascii="Times New Roman" w:hAnsi="Times New Roman" w:cs="Times New Roman"/>
                <w:b/>
                <w:sz w:val="24"/>
                <w:szCs w:val="24"/>
                <w:lang w:val="en-US"/>
              </w:rPr>
            </w:pPr>
            <w:r>
              <w:rPr>
                <w:rFonts w:ascii="Times New Roman" w:hAnsi="Times New Roman" w:cs="Times New Roman"/>
                <w:b/>
                <w:sz w:val="24"/>
                <w:szCs w:val="24"/>
                <w:lang w:val="en-US"/>
              </w:rPr>
              <w:t>Own sales platform</w:t>
            </w:r>
          </w:p>
        </w:tc>
        <w:tc>
          <w:tcPr>
            <w:tcW w:w="4124" w:type="dxa"/>
            <w:shd w:val="clear" w:color="auto" w:fill="D6E3BC" w:themeFill="accent3" w:themeFillTint="66"/>
          </w:tcPr>
          <w:p w14:paraId="40608B39" w14:textId="77777777" w:rsidR="0095255A" w:rsidRDefault="0095255A" w:rsidP="005919FA">
            <w:pPr>
              <w:pStyle w:val="ListParagraph"/>
              <w:numPr>
                <w:ilvl w:val="0"/>
                <w:numId w:val="2"/>
              </w:numPr>
              <w:ind w:left="317"/>
              <w:rPr>
                <w:rFonts w:ascii="Times New Roman" w:hAnsi="Times New Roman" w:cs="Times New Roman"/>
                <w:sz w:val="24"/>
                <w:szCs w:val="24"/>
                <w:lang w:val="en-US"/>
              </w:rPr>
            </w:pPr>
            <w:r>
              <w:rPr>
                <w:rFonts w:ascii="Times New Roman" w:hAnsi="Times New Roman" w:cs="Times New Roman"/>
                <w:sz w:val="24"/>
                <w:szCs w:val="24"/>
                <w:lang w:val="en-US"/>
              </w:rPr>
              <w:t xml:space="preserve">Ability to achieve a guaranteed increase in sales revenue. </w:t>
            </w:r>
          </w:p>
          <w:p w14:paraId="52C9D5E9" w14:textId="77777777" w:rsidR="00856D33" w:rsidRDefault="0095255A" w:rsidP="005919FA">
            <w:pPr>
              <w:pStyle w:val="ListParagraph"/>
              <w:numPr>
                <w:ilvl w:val="0"/>
                <w:numId w:val="2"/>
              </w:numPr>
              <w:ind w:left="317"/>
              <w:rPr>
                <w:rFonts w:ascii="Times New Roman" w:hAnsi="Times New Roman" w:cs="Times New Roman"/>
                <w:sz w:val="24"/>
                <w:szCs w:val="24"/>
                <w:lang w:val="en-US"/>
              </w:rPr>
            </w:pPr>
            <w:r>
              <w:rPr>
                <w:rFonts w:ascii="Times New Roman" w:hAnsi="Times New Roman" w:cs="Times New Roman"/>
                <w:sz w:val="24"/>
                <w:szCs w:val="24"/>
                <w:lang w:val="en-US"/>
              </w:rPr>
              <w:t xml:space="preserve">A high level of control over all online-based operations. </w:t>
            </w:r>
            <w:r w:rsidR="00856D33" w:rsidRPr="0095255A">
              <w:rPr>
                <w:rFonts w:ascii="Times New Roman" w:hAnsi="Times New Roman" w:cs="Times New Roman"/>
                <w:sz w:val="24"/>
                <w:szCs w:val="24"/>
                <w:lang w:val="en-US"/>
              </w:rPr>
              <w:t xml:space="preserve"> </w:t>
            </w:r>
          </w:p>
          <w:p w14:paraId="24201B12" w14:textId="77777777" w:rsidR="00AF4B54" w:rsidRPr="0095255A" w:rsidRDefault="00AF4B54" w:rsidP="005919FA">
            <w:pPr>
              <w:pStyle w:val="ListParagraph"/>
              <w:numPr>
                <w:ilvl w:val="0"/>
                <w:numId w:val="2"/>
              </w:numPr>
              <w:ind w:left="317"/>
              <w:rPr>
                <w:rFonts w:ascii="Times New Roman" w:hAnsi="Times New Roman" w:cs="Times New Roman"/>
                <w:sz w:val="24"/>
                <w:szCs w:val="24"/>
                <w:lang w:val="en-US"/>
              </w:rPr>
            </w:pPr>
            <w:r>
              <w:rPr>
                <w:rFonts w:ascii="Times New Roman" w:hAnsi="Times New Roman" w:cs="Times New Roman"/>
                <w:sz w:val="24"/>
                <w:szCs w:val="24"/>
                <w:lang w:val="en-US"/>
              </w:rPr>
              <w:t xml:space="preserve">Enhanced flexibility in the decision-making process. </w:t>
            </w:r>
          </w:p>
        </w:tc>
        <w:tc>
          <w:tcPr>
            <w:tcW w:w="3842" w:type="dxa"/>
            <w:shd w:val="clear" w:color="auto" w:fill="D6E3BC" w:themeFill="accent3" w:themeFillTint="66"/>
          </w:tcPr>
          <w:p w14:paraId="7EBB49B1" w14:textId="77777777" w:rsidR="0095255A" w:rsidRDefault="0095255A" w:rsidP="005919FA">
            <w:pPr>
              <w:pStyle w:val="ListParagraph"/>
              <w:numPr>
                <w:ilvl w:val="0"/>
                <w:numId w:val="2"/>
              </w:numPr>
              <w:ind w:left="304"/>
              <w:rPr>
                <w:rFonts w:ascii="Times New Roman" w:hAnsi="Times New Roman" w:cs="Times New Roman"/>
                <w:sz w:val="24"/>
                <w:szCs w:val="24"/>
                <w:lang w:val="en-US"/>
              </w:rPr>
            </w:pPr>
            <w:r>
              <w:rPr>
                <w:rFonts w:ascii="Times New Roman" w:hAnsi="Times New Roman" w:cs="Times New Roman"/>
                <w:sz w:val="24"/>
                <w:szCs w:val="24"/>
                <w:lang w:val="en-US"/>
              </w:rPr>
              <w:t xml:space="preserve">Higher investment and maintenance costs. </w:t>
            </w:r>
          </w:p>
          <w:p w14:paraId="7207086E" w14:textId="77777777" w:rsidR="0095255A" w:rsidRDefault="0095255A" w:rsidP="005919FA">
            <w:pPr>
              <w:pStyle w:val="ListParagraph"/>
              <w:numPr>
                <w:ilvl w:val="0"/>
                <w:numId w:val="2"/>
              </w:numPr>
              <w:ind w:left="304"/>
              <w:rPr>
                <w:rFonts w:ascii="Times New Roman" w:hAnsi="Times New Roman" w:cs="Times New Roman"/>
                <w:sz w:val="24"/>
                <w:szCs w:val="24"/>
                <w:lang w:val="en-US"/>
              </w:rPr>
            </w:pPr>
            <w:r>
              <w:rPr>
                <w:rFonts w:ascii="Times New Roman" w:hAnsi="Times New Roman" w:cs="Times New Roman"/>
                <w:sz w:val="24"/>
                <w:szCs w:val="24"/>
                <w:lang w:val="en-US"/>
              </w:rPr>
              <w:t xml:space="preserve">A more limited growth potential in the </w:t>
            </w:r>
            <w:proofErr w:type="gramStart"/>
            <w:r>
              <w:rPr>
                <w:rFonts w:ascii="Times New Roman" w:hAnsi="Times New Roman" w:cs="Times New Roman"/>
                <w:sz w:val="24"/>
                <w:szCs w:val="24"/>
                <w:lang w:val="en-US"/>
              </w:rPr>
              <w:t>long-run</w:t>
            </w:r>
            <w:proofErr w:type="gramEnd"/>
            <w:r>
              <w:rPr>
                <w:rFonts w:ascii="Times New Roman" w:hAnsi="Times New Roman" w:cs="Times New Roman"/>
                <w:sz w:val="24"/>
                <w:szCs w:val="24"/>
                <w:lang w:val="en-US"/>
              </w:rPr>
              <w:t>.</w:t>
            </w:r>
          </w:p>
          <w:p w14:paraId="12DB4AFE" w14:textId="77777777" w:rsidR="00856D33" w:rsidRPr="0095255A" w:rsidRDefault="0095255A" w:rsidP="005919FA">
            <w:pPr>
              <w:pStyle w:val="ListParagraph"/>
              <w:numPr>
                <w:ilvl w:val="0"/>
                <w:numId w:val="2"/>
              </w:numPr>
              <w:ind w:left="304"/>
              <w:rPr>
                <w:rFonts w:ascii="Times New Roman" w:hAnsi="Times New Roman" w:cs="Times New Roman"/>
                <w:sz w:val="24"/>
                <w:szCs w:val="24"/>
                <w:lang w:val="en-US"/>
              </w:rPr>
            </w:pPr>
            <w:r>
              <w:rPr>
                <w:rFonts w:ascii="Times New Roman" w:hAnsi="Times New Roman" w:cs="Times New Roman"/>
                <w:sz w:val="24"/>
                <w:szCs w:val="24"/>
                <w:lang w:val="en-US"/>
              </w:rPr>
              <w:t xml:space="preserve">Holding the cyber security risks when managing own platform. </w:t>
            </w:r>
          </w:p>
        </w:tc>
      </w:tr>
      <w:tr w:rsidR="00856D33" w:rsidRPr="00A401E8" w14:paraId="4887EF85" w14:textId="77777777" w:rsidTr="00B23C37">
        <w:tc>
          <w:tcPr>
            <w:tcW w:w="1668" w:type="dxa"/>
            <w:shd w:val="clear" w:color="auto" w:fill="D6E3BC" w:themeFill="accent3" w:themeFillTint="66"/>
          </w:tcPr>
          <w:p w14:paraId="6DF71875" w14:textId="77777777" w:rsidR="00856D33" w:rsidRPr="00A401E8" w:rsidRDefault="0095255A" w:rsidP="004F783E">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Collaboration with Amazon </w:t>
            </w:r>
            <w:r w:rsidR="00856D33" w:rsidRPr="00A401E8">
              <w:rPr>
                <w:rFonts w:ascii="Times New Roman" w:hAnsi="Times New Roman" w:cs="Times New Roman"/>
                <w:b/>
                <w:sz w:val="24"/>
                <w:szCs w:val="24"/>
                <w:lang w:val="en-US"/>
              </w:rPr>
              <w:t xml:space="preserve"> </w:t>
            </w:r>
          </w:p>
        </w:tc>
        <w:tc>
          <w:tcPr>
            <w:tcW w:w="4124" w:type="dxa"/>
            <w:shd w:val="clear" w:color="auto" w:fill="D6E3BC" w:themeFill="accent3" w:themeFillTint="66"/>
          </w:tcPr>
          <w:p w14:paraId="3B72262F" w14:textId="77777777" w:rsidR="0095255A" w:rsidRDefault="0095255A" w:rsidP="005919FA">
            <w:pPr>
              <w:pStyle w:val="ListParagraph"/>
              <w:numPr>
                <w:ilvl w:val="0"/>
                <w:numId w:val="3"/>
              </w:numPr>
              <w:ind w:left="317"/>
              <w:rPr>
                <w:rFonts w:ascii="Times New Roman" w:hAnsi="Times New Roman" w:cs="Times New Roman"/>
                <w:sz w:val="24"/>
                <w:szCs w:val="24"/>
                <w:lang w:val="en-US"/>
              </w:rPr>
            </w:pPr>
            <w:r>
              <w:rPr>
                <w:rFonts w:ascii="Times New Roman" w:hAnsi="Times New Roman" w:cs="Times New Roman"/>
                <w:sz w:val="24"/>
                <w:szCs w:val="24"/>
                <w:lang w:val="en-US"/>
              </w:rPr>
              <w:t>Lower direct initial costs.</w:t>
            </w:r>
          </w:p>
          <w:p w14:paraId="252FB636" w14:textId="77777777" w:rsidR="0095255A" w:rsidRDefault="0095255A" w:rsidP="005919FA">
            <w:pPr>
              <w:pStyle w:val="ListParagraph"/>
              <w:numPr>
                <w:ilvl w:val="0"/>
                <w:numId w:val="3"/>
              </w:numPr>
              <w:ind w:left="317"/>
              <w:rPr>
                <w:rFonts w:ascii="Times New Roman" w:hAnsi="Times New Roman" w:cs="Times New Roman"/>
                <w:sz w:val="24"/>
                <w:szCs w:val="24"/>
                <w:lang w:val="en-US"/>
              </w:rPr>
            </w:pPr>
            <w:r>
              <w:rPr>
                <w:rFonts w:ascii="Times New Roman" w:hAnsi="Times New Roman" w:cs="Times New Roman"/>
                <w:sz w:val="24"/>
                <w:szCs w:val="24"/>
                <w:lang w:val="en-US"/>
              </w:rPr>
              <w:t xml:space="preserve">Receiving technical support by Amazon and benefitting from its security features. </w:t>
            </w:r>
          </w:p>
          <w:p w14:paraId="326E06FE" w14:textId="77777777" w:rsidR="00856D33" w:rsidRPr="0095255A" w:rsidRDefault="0095255A" w:rsidP="005919FA">
            <w:pPr>
              <w:pStyle w:val="ListParagraph"/>
              <w:numPr>
                <w:ilvl w:val="0"/>
                <w:numId w:val="3"/>
              </w:numPr>
              <w:ind w:left="317"/>
              <w:rPr>
                <w:rFonts w:ascii="Times New Roman" w:hAnsi="Times New Roman" w:cs="Times New Roman"/>
                <w:sz w:val="24"/>
                <w:szCs w:val="24"/>
                <w:lang w:val="en-US"/>
              </w:rPr>
            </w:pPr>
            <w:r>
              <w:rPr>
                <w:rFonts w:ascii="Times New Roman" w:hAnsi="Times New Roman" w:cs="Times New Roman"/>
                <w:sz w:val="24"/>
                <w:szCs w:val="24"/>
                <w:lang w:val="en-US"/>
              </w:rPr>
              <w:t xml:space="preserve">Strong growth prospects for international expansion and brand development. </w:t>
            </w:r>
            <w:r w:rsidR="00856D33" w:rsidRPr="0095255A">
              <w:rPr>
                <w:rFonts w:ascii="Times New Roman" w:hAnsi="Times New Roman" w:cs="Times New Roman"/>
                <w:sz w:val="24"/>
                <w:szCs w:val="24"/>
                <w:lang w:val="en-US"/>
              </w:rPr>
              <w:t xml:space="preserve"> </w:t>
            </w:r>
          </w:p>
        </w:tc>
        <w:tc>
          <w:tcPr>
            <w:tcW w:w="3842" w:type="dxa"/>
            <w:shd w:val="clear" w:color="auto" w:fill="D6E3BC" w:themeFill="accent3" w:themeFillTint="66"/>
          </w:tcPr>
          <w:p w14:paraId="420EFBCA" w14:textId="77777777" w:rsidR="00AF4B54" w:rsidRDefault="00AF4B54" w:rsidP="005919FA">
            <w:pPr>
              <w:pStyle w:val="ListParagraph"/>
              <w:numPr>
                <w:ilvl w:val="0"/>
                <w:numId w:val="4"/>
              </w:numPr>
              <w:ind w:left="304"/>
              <w:rPr>
                <w:rFonts w:ascii="Times New Roman" w:hAnsi="Times New Roman" w:cs="Times New Roman"/>
                <w:sz w:val="24"/>
                <w:szCs w:val="24"/>
                <w:lang w:val="en-US"/>
              </w:rPr>
            </w:pPr>
            <w:r>
              <w:rPr>
                <w:rFonts w:ascii="Times New Roman" w:hAnsi="Times New Roman" w:cs="Times New Roman"/>
                <w:sz w:val="24"/>
                <w:szCs w:val="24"/>
                <w:lang w:val="en-US"/>
              </w:rPr>
              <w:t>Lack of control over prices due to the exposure to high competition.</w:t>
            </w:r>
          </w:p>
          <w:p w14:paraId="53DE5317" w14:textId="77777777" w:rsidR="00AF4B54" w:rsidRDefault="00AF4B54" w:rsidP="005919FA">
            <w:pPr>
              <w:pStyle w:val="ListParagraph"/>
              <w:numPr>
                <w:ilvl w:val="0"/>
                <w:numId w:val="4"/>
              </w:numPr>
              <w:ind w:left="304"/>
              <w:rPr>
                <w:rFonts w:ascii="Times New Roman" w:hAnsi="Times New Roman" w:cs="Times New Roman"/>
                <w:sz w:val="24"/>
                <w:szCs w:val="24"/>
                <w:lang w:val="en-US"/>
              </w:rPr>
            </w:pPr>
            <w:r>
              <w:rPr>
                <w:rFonts w:ascii="Times New Roman" w:hAnsi="Times New Roman" w:cs="Times New Roman"/>
                <w:sz w:val="24"/>
                <w:szCs w:val="24"/>
                <w:lang w:val="en-US"/>
              </w:rPr>
              <w:t xml:space="preserve">Quite high opportunity costs at the beginning. </w:t>
            </w:r>
          </w:p>
          <w:p w14:paraId="132689FA" w14:textId="77777777" w:rsidR="00856D33" w:rsidRPr="00AF4B54" w:rsidRDefault="00AF4B54" w:rsidP="005919FA">
            <w:pPr>
              <w:pStyle w:val="ListParagraph"/>
              <w:numPr>
                <w:ilvl w:val="0"/>
                <w:numId w:val="4"/>
              </w:numPr>
              <w:ind w:left="304"/>
              <w:rPr>
                <w:rFonts w:ascii="Times New Roman" w:hAnsi="Times New Roman" w:cs="Times New Roman"/>
                <w:sz w:val="24"/>
                <w:szCs w:val="24"/>
                <w:lang w:val="en-US"/>
              </w:rPr>
            </w:pPr>
            <w:r>
              <w:rPr>
                <w:rFonts w:ascii="Times New Roman" w:hAnsi="Times New Roman" w:cs="Times New Roman"/>
                <w:sz w:val="24"/>
                <w:szCs w:val="24"/>
                <w:lang w:val="en-US"/>
              </w:rPr>
              <w:t xml:space="preserve">Necessity to comply with the terms and conditions determined by Amazon. </w:t>
            </w:r>
            <w:r w:rsidR="00856D33" w:rsidRPr="00AF4B54">
              <w:rPr>
                <w:rFonts w:ascii="Times New Roman" w:hAnsi="Times New Roman" w:cs="Times New Roman"/>
                <w:sz w:val="24"/>
                <w:szCs w:val="24"/>
                <w:lang w:val="en-US"/>
              </w:rPr>
              <w:t xml:space="preserve"> </w:t>
            </w:r>
          </w:p>
        </w:tc>
      </w:tr>
    </w:tbl>
    <w:p w14:paraId="21FCA7E5" w14:textId="77777777" w:rsidR="00AC6146" w:rsidRDefault="005919FA" w:rsidP="00856D33">
      <w:pPr>
        <w:spacing w:before="240"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information from the table shows the existence of three main points in each area. This parity among alternatives makes the decision-making process quite complex. Despite the uncertainty, it is important for Amana to be informed regarding the advantages and disadvantages of each </w:t>
      </w:r>
      <w:r>
        <w:rPr>
          <w:rFonts w:ascii="Times New Roman" w:hAnsi="Times New Roman" w:cs="Times New Roman"/>
          <w:sz w:val="24"/>
          <w:szCs w:val="24"/>
          <w:lang w:val="en-US"/>
        </w:rPr>
        <w:lastRenderedPageBreak/>
        <w:t xml:space="preserve">alternative </w:t>
      </w:r>
      <w:proofErr w:type="gramStart"/>
      <w:r>
        <w:rPr>
          <w:rFonts w:ascii="Times New Roman" w:hAnsi="Times New Roman" w:cs="Times New Roman"/>
          <w:sz w:val="24"/>
          <w:szCs w:val="24"/>
          <w:lang w:val="en-US"/>
        </w:rPr>
        <w:t>in order to</w:t>
      </w:r>
      <w:proofErr w:type="gramEnd"/>
      <w:r>
        <w:rPr>
          <w:rFonts w:ascii="Times New Roman" w:hAnsi="Times New Roman" w:cs="Times New Roman"/>
          <w:sz w:val="24"/>
          <w:szCs w:val="24"/>
          <w:lang w:val="en-US"/>
        </w:rPr>
        <w:t xml:space="preserve"> be prepared to cope with expected risks in the future. The eventual choice could largely depend on the Amana’s appetite to risk and long-term strategic goals. The commitment to strategic decisions would also require from the company to periodically update the analysis of its performance and future expectations, since the developing trends in e-commerce are dynamic and lead to many changes. </w:t>
      </w:r>
    </w:p>
    <w:p w14:paraId="74C1C937" w14:textId="77777777" w:rsidR="00856D33" w:rsidRPr="00A401E8" w:rsidRDefault="00856D33" w:rsidP="00856D33">
      <w:pPr>
        <w:pStyle w:val="Heading1"/>
        <w:spacing w:before="0" w:after="240"/>
        <w:rPr>
          <w:rFonts w:cs="Times New Roman"/>
        </w:rPr>
      </w:pPr>
      <w:bookmarkStart w:id="30" w:name="_Toc102161775"/>
      <w:bookmarkStart w:id="31" w:name="_Toc102161835"/>
      <w:bookmarkStart w:id="32" w:name="_Toc102469527"/>
      <w:r w:rsidRPr="00A401E8">
        <w:rPr>
          <w:rFonts w:cs="Times New Roman"/>
        </w:rPr>
        <w:t>3 Conclusion</w:t>
      </w:r>
      <w:bookmarkEnd w:id="30"/>
      <w:bookmarkEnd w:id="31"/>
      <w:bookmarkEnd w:id="32"/>
      <w:r w:rsidRPr="00A401E8">
        <w:rPr>
          <w:rFonts w:cs="Times New Roman"/>
        </w:rPr>
        <w:t xml:space="preserve"> </w:t>
      </w:r>
    </w:p>
    <w:p w14:paraId="495138B1" w14:textId="77777777" w:rsidR="00AA7E8A" w:rsidRDefault="005919FA" w:rsidP="00856D33">
      <w:pPr>
        <w:spacing w:after="240"/>
        <w:jc w:val="both"/>
        <w:rPr>
          <w:rFonts w:ascii="Times New Roman" w:hAnsi="Times New Roman" w:cs="Times New Roman"/>
          <w:sz w:val="24"/>
          <w:szCs w:val="24"/>
        </w:rPr>
      </w:pPr>
      <w:r>
        <w:rPr>
          <w:rFonts w:ascii="Times New Roman" w:hAnsi="Times New Roman" w:cs="Times New Roman"/>
          <w:sz w:val="24"/>
          <w:szCs w:val="24"/>
        </w:rPr>
        <w:t xml:space="preserve">To sum up, the management accounting report investigated relevant contextual and organisational factors affecting the performance of Amana at the current stage of development and in the future. Thus, the key findings could be of help in making more informed decisions as a part of the future strategy of the manufacturer. </w:t>
      </w:r>
    </w:p>
    <w:p w14:paraId="4BF8C5ED" w14:textId="77777777" w:rsidR="005919FA" w:rsidRDefault="005919FA" w:rsidP="00856D33">
      <w:pPr>
        <w:spacing w:after="240"/>
        <w:jc w:val="both"/>
        <w:rPr>
          <w:rFonts w:ascii="Times New Roman" w:hAnsi="Times New Roman" w:cs="Times New Roman"/>
          <w:sz w:val="24"/>
          <w:szCs w:val="24"/>
        </w:rPr>
      </w:pPr>
    </w:p>
    <w:p w14:paraId="21CDF6F5" w14:textId="77777777" w:rsidR="001737D7" w:rsidRDefault="001737D7" w:rsidP="00856D33">
      <w:pPr>
        <w:spacing w:after="240"/>
        <w:jc w:val="both"/>
        <w:rPr>
          <w:rFonts w:ascii="Times New Roman" w:hAnsi="Times New Roman" w:cs="Times New Roman"/>
          <w:sz w:val="24"/>
          <w:szCs w:val="24"/>
        </w:rPr>
      </w:pPr>
    </w:p>
    <w:p w14:paraId="7587D105" w14:textId="77777777" w:rsidR="001737D7" w:rsidRDefault="001737D7" w:rsidP="00856D33">
      <w:pPr>
        <w:spacing w:after="240"/>
        <w:jc w:val="both"/>
        <w:rPr>
          <w:rFonts w:ascii="Times New Roman" w:hAnsi="Times New Roman" w:cs="Times New Roman"/>
          <w:sz w:val="24"/>
          <w:szCs w:val="24"/>
        </w:rPr>
      </w:pPr>
    </w:p>
    <w:p w14:paraId="766A999C" w14:textId="77777777" w:rsidR="001737D7" w:rsidRDefault="001737D7" w:rsidP="00856D33">
      <w:pPr>
        <w:spacing w:after="240"/>
        <w:jc w:val="both"/>
        <w:rPr>
          <w:rFonts w:ascii="Times New Roman" w:hAnsi="Times New Roman" w:cs="Times New Roman"/>
          <w:sz w:val="24"/>
          <w:szCs w:val="24"/>
        </w:rPr>
      </w:pPr>
    </w:p>
    <w:p w14:paraId="7293EBFB" w14:textId="77777777" w:rsidR="001737D7" w:rsidRDefault="001737D7" w:rsidP="00856D33">
      <w:pPr>
        <w:spacing w:after="240"/>
        <w:jc w:val="both"/>
        <w:rPr>
          <w:rFonts w:ascii="Times New Roman" w:hAnsi="Times New Roman" w:cs="Times New Roman"/>
          <w:sz w:val="24"/>
          <w:szCs w:val="24"/>
        </w:rPr>
      </w:pPr>
    </w:p>
    <w:p w14:paraId="2FD0F532" w14:textId="77777777" w:rsidR="001737D7" w:rsidRDefault="001737D7" w:rsidP="00856D33">
      <w:pPr>
        <w:spacing w:after="240"/>
        <w:jc w:val="both"/>
        <w:rPr>
          <w:rFonts w:ascii="Times New Roman" w:hAnsi="Times New Roman" w:cs="Times New Roman"/>
          <w:sz w:val="24"/>
          <w:szCs w:val="24"/>
        </w:rPr>
      </w:pPr>
    </w:p>
    <w:p w14:paraId="7E5B4020" w14:textId="77777777" w:rsidR="001737D7" w:rsidRDefault="001737D7" w:rsidP="00856D33">
      <w:pPr>
        <w:spacing w:after="240"/>
        <w:jc w:val="both"/>
        <w:rPr>
          <w:rFonts w:ascii="Times New Roman" w:hAnsi="Times New Roman" w:cs="Times New Roman"/>
          <w:sz w:val="24"/>
          <w:szCs w:val="24"/>
        </w:rPr>
      </w:pPr>
    </w:p>
    <w:p w14:paraId="0DB7F7FA" w14:textId="77777777" w:rsidR="001737D7" w:rsidRDefault="001737D7" w:rsidP="00856D33">
      <w:pPr>
        <w:spacing w:after="240"/>
        <w:jc w:val="both"/>
        <w:rPr>
          <w:rFonts w:ascii="Times New Roman" w:hAnsi="Times New Roman" w:cs="Times New Roman"/>
          <w:sz w:val="24"/>
          <w:szCs w:val="24"/>
        </w:rPr>
      </w:pPr>
    </w:p>
    <w:p w14:paraId="65B0D81B" w14:textId="77777777" w:rsidR="001737D7" w:rsidRDefault="001737D7" w:rsidP="00856D33">
      <w:pPr>
        <w:spacing w:after="240"/>
        <w:jc w:val="both"/>
        <w:rPr>
          <w:rFonts w:ascii="Times New Roman" w:hAnsi="Times New Roman" w:cs="Times New Roman"/>
          <w:sz w:val="24"/>
          <w:szCs w:val="24"/>
        </w:rPr>
      </w:pPr>
    </w:p>
    <w:p w14:paraId="4C5F7D0B" w14:textId="77777777" w:rsidR="001737D7" w:rsidRDefault="001737D7" w:rsidP="00856D33">
      <w:pPr>
        <w:spacing w:after="240"/>
        <w:jc w:val="both"/>
        <w:rPr>
          <w:rFonts w:ascii="Times New Roman" w:hAnsi="Times New Roman" w:cs="Times New Roman"/>
          <w:sz w:val="24"/>
          <w:szCs w:val="24"/>
        </w:rPr>
      </w:pPr>
    </w:p>
    <w:p w14:paraId="064CE4CB" w14:textId="77777777" w:rsidR="00783C3E" w:rsidRPr="005919FA" w:rsidRDefault="00783C3E" w:rsidP="00856D33">
      <w:pPr>
        <w:spacing w:after="240"/>
        <w:jc w:val="both"/>
        <w:rPr>
          <w:rFonts w:ascii="Times New Roman" w:hAnsi="Times New Roman" w:cs="Times New Roman"/>
          <w:sz w:val="24"/>
          <w:szCs w:val="24"/>
        </w:rPr>
      </w:pPr>
    </w:p>
    <w:p w14:paraId="4EF1F266" w14:textId="77777777" w:rsidR="00856D33" w:rsidRPr="00A04555" w:rsidRDefault="00856D33" w:rsidP="00856D33">
      <w:pPr>
        <w:pStyle w:val="Heading1"/>
        <w:spacing w:before="0" w:after="240"/>
      </w:pPr>
      <w:bookmarkStart w:id="33" w:name="_Toc102161776"/>
      <w:bookmarkStart w:id="34" w:name="_Toc102161836"/>
      <w:bookmarkStart w:id="35" w:name="_Toc102469528"/>
      <w:r w:rsidRPr="00A04555">
        <w:lastRenderedPageBreak/>
        <w:t>References</w:t>
      </w:r>
      <w:bookmarkEnd w:id="33"/>
      <w:bookmarkEnd w:id="34"/>
      <w:bookmarkEnd w:id="35"/>
    </w:p>
    <w:p w14:paraId="32ED04CD" w14:textId="77777777" w:rsidR="001737D7" w:rsidRDefault="001737D7" w:rsidP="00097615">
      <w:pPr>
        <w:spacing w:before="240"/>
        <w:rPr>
          <w:iCs/>
          <w:sz w:val="24"/>
          <w:szCs w:val="24"/>
          <w:lang w:val="en-US"/>
        </w:rPr>
      </w:pPr>
      <w:r w:rsidRPr="00097615">
        <w:rPr>
          <w:bCs/>
          <w:iCs/>
          <w:sz w:val="24"/>
          <w:szCs w:val="24"/>
        </w:rPr>
        <w:t xml:space="preserve">Abbas, S. (2021) </w:t>
      </w:r>
      <w:r w:rsidRPr="00097615">
        <w:rPr>
          <w:bCs/>
          <w:i/>
          <w:iCs/>
          <w:sz w:val="24"/>
          <w:szCs w:val="24"/>
          <w:lang w:val="en-US"/>
        </w:rPr>
        <w:t>Statistics on E-commerce in the United Kingdom in 2021</w:t>
      </w:r>
      <w:r w:rsidRPr="00097615">
        <w:rPr>
          <w:bCs/>
          <w:iCs/>
          <w:sz w:val="24"/>
          <w:szCs w:val="24"/>
          <w:lang w:val="en-US"/>
        </w:rPr>
        <w:t xml:space="preserve">, [online] Available: </w:t>
      </w:r>
      <w:hyperlink r:id="rId11" w:history="1">
        <w:r w:rsidRPr="00097615">
          <w:rPr>
            <w:rStyle w:val="Hyperlink"/>
            <w:bCs/>
            <w:iCs/>
            <w:sz w:val="24"/>
            <w:szCs w:val="24"/>
            <w:lang w:val="en-US"/>
          </w:rPr>
          <w:t>https://osome.com/uk/blog/2021-ecommerce-trends/</w:t>
        </w:r>
      </w:hyperlink>
      <w:r w:rsidRPr="00097615">
        <w:rPr>
          <w:bCs/>
          <w:iCs/>
          <w:sz w:val="24"/>
          <w:szCs w:val="24"/>
          <w:lang w:val="en-US"/>
        </w:rPr>
        <w:t xml:space="preserve"> </w:t>
      </w:r>
      <w:r w:rsidRPr="00097615">
        <w:rPr>
          <w:iCs/>
          <w:sz w:val="24"/>
          <w:szCs w:val="24"/>
          <w:lang w:val="en-US"/>
        </w:rPr>
        <w:t xml:space="preserve">[Accessed: </w:t>
      </w:r>
      <w:r>
        <w:rPr>
          <w:iCs/>
          <w:sz w:val="24"/>
          <w:szCs w:val="24"/>
          <w:lang w:val="en-US"/>
        </w:rPr>
        <w:t>27 April 2022]</w:t>
      </w:r>
    </w:p>
    <w:p w14:paraId="49DE0CD5" w14:textId="77777777" w:rsidR="001737D7" w:rsidRDefault="001737D7" w:rsidP="001737D7">
      <w:pPr>
        <w:spacing w:before="240"/>
        <w:rPr>
          <w:sz w:val="24"/>
          <w:szCs w:val="24"/>
          <w:lang w:val="en-US"/>
        </w:rPr>
      </w:pPr>
      <w:r>
        <w:rPr>
          <w:sz w:val="24"/>
          <w:szCs w:val="24"/>
          <w:lang w:val="en-US"/>
        </w:rPr>
        <w:t xml:space="preserve">Clark, H. (2022) </w:t>
      </w:r>
      <w:r w:rsidRPr="001737D7">
        <w:rPr>
          <w:i/>
          <w:sz w:val="24"/>
          <w:szCs w:val="24"/>
          <w:lang w:val="en-US"/>
        </w:rPr>
        <w:t xml:space="preserve">How has the pandemic affected industries and </w:t>
      </w:r>
      <w:proofErr w:type="spellStart"/>
      <w:r w:rsidRPr="001737D7">
        <w:rPr>
          <w:i/>
          <w:sz w:val="24"/>
          <w:szCs w:val="24"/>
          <w:lang w:val="en-US"/>
        </w:rPr>
        <w:t>labour</w:t>
      </w:r>
      <w:proofErr w:type="spellEnd"/>
      <w:r w:rsidRPr="001737D7">
        <w:rPr>
          <w:i/>
          <w:sz w:val="24"/>
          <w:szCs w:val="24"/>
          <w:lang w:val="en-US"/>
        </w:rPr>
        <w:t xml:space="preserve"> in the UK?</w:t>
      </w:r>
      <w:r>
        <w:rPr>
          <w:sz w:val="24"/>
          <w:szCs w:val="24"/>
          <w:lang w:val="en-US"/>
        </w:rPr>
        <w:t xml:space="preserve"> [online] Available: </w:t>
      </w:r>
      <w:hyperlink r:id="rId12" w:history="1">
        <w:r w:rsidRPr="004A5253">
          <w:rPr>
            <w:rStyle w:val="Hyperlink"/>
            <w:sz w:val="24"/>
            <w:szCs w:val="24"/>
            <w:lang w:val="en-US"/>
          </w:rPr>
          <w:t>https://commonslibrary.parliament.uk/how-has-the-pandemic-affected-industries-and-labour-in-the-uk/</w:t>
        </w:r>
      </w:hyperlink>
      <w:r>
        <w:rPr>
          <w:sz w:val="24"/>
          <w:szCs w:val="24"/>
          <w:lang w:val="en-US"/>
        </w:rPr>
        <w:t xml:space="preserve"> [Accessed: 29 April 2022]</w:t>
      </w:r>
    </w:p>
    <w:p w14:paraId="669F117B" w14:textId="77777777" w:rsidR="001737D7" w:rsidRPr="00097615" w:rsidRDefault="001737D7" w:rsidP="00097615">
      <w:pPr>
        <w:spacing w:before="240"/>
        <w:rPr>
          <w:bCs/>
          <w:iCs/>
          <w:sz w:val="24"/>
          <w:szCs w:val="24"/>
          <w:lang w:val="en-US"/>
        </w:rPr>
      </w:pPr>
      <w:r w:rsidRPr="00097615">
        <w:rPr>
          <w:bCs/>
          <w:iCs/>
          <w:sz w:val="24"/>
          <w:szCs w:val="24"/>
          <w:lang w:val="en-US"/>
        </w:rPr>
        <w:t xml:space="preserve">Harari, D. (2022) GDP – International Comparisons: Key Economic Indicators, </w:t>
      </w:r>
      <w:r w:rsidRPr="00097615">
        <w:rPr>
          <w:bCs/>
          <w:i/>
          <w:iCs/>
          <w:sz w:val="24"/>
          <w:szCs w:val="24"/>
          <w:lang w:val="en-US"/>
        </w:rPr>
        <w:t>House of Commons</w:t>
      </w:r>
      <w:r w:rsidRPr="00097615">
        <w:rPr>
          <w:bCs/>
          <w:iCs/>
          <w:sz w:val="24"/>
          <w:szCs w:val="24"/>
          <w:lang w:val="en-US"/>
        </w:rPr>
        <w:t xml:space="preserve">, [online] Available: </w:t>
      </w:r>
      <w:hyperlink r:id="rId13" w:history="1">
        <w:r w:rsidRPr="00097615">
          <w:rPr>
            <w:rStyle w:val="Hyperlink"/>
            <w:bCs/>
            <w:iCs/>
            <w:sz w:val="24"/>
            <w:szCs w:val="24"/>
            <w:lang w:val="en-US"/>
          </w:rPr>
          <w:t>https://commonslibrary.parliament.uk/research-briefings/sn02784/</w:t>
        </w:r>
      </w:hyperlink>
      <w:r w:rsidRPr="00097615">
        <w:rPr>
          <w:bCs/>
          <w:iCs/>
          <w:sz w:val="24"/>
          <w:szCs w:val="24"/>
          <w:lang w:val="en-US"/>
        </w:rPr>
        <w:t xml:space="preserve"> </w:t>
      </w:r>
      <w:r w:rsidRPr="00097615">
        <w:rPr>
          <w:iCs/>
          <w:sz w:val="24"/>
          <w:szCs w:val="24"/>
          <w:lang w:val="en-US"/>
        </w:rPr>
        <w:t xml:space="preserve">[Accessed: </w:t>
      </w:r>
      <w:r>
        <w:rPr>
          <w:iCs/>
          <w:sz w:val="24"/>
          <w:szCs w:val="24"/>
          <w:lang w:val="en-US"/>
        </w:rPr>
        <w:t>30 April 2022]</w:t>
      </w:r>
    </w:p>
    <w:p w14:paraId="7F6E8E2C" w14:textId="77777777" w:rsidR="001737D7" w:rsidRPr="001737D7" w:rsidRDefault="001737D7" w:rsidP="001737D7">
      <w:pPr>
        <w:spacing w:before="240"/>
        <w:rPr>
          <w:sz w:val="24"/>
          <w:szCs w:val="24"/>
          <w:lang w:val="en-US"/>
        </w:rPr>
      </w:pPr>
      <w:r w:rsidRPr="001737D7">
        <w:rPr>
          <w:sz w:val="24"/>
          <w:szCs w:val="24"/>
          <w:lang w:val="en-US"/>
        </w:rPr>
        <w:t xml:space="preserve">Krugman, P. and Wells, R. (2017) </w:t>
      </w:r>
      <w:r w:rsidRPr="001737D7">
        <w:rPr>
          <w:i/>
          <w:sz w:val="24"/>
          <w:szCs w:val="24"/>
          <w:lang w:val="en-US"/>
        </w:rPr>
        <w:t>Essentials of Economics</w:t>
      </w:r>
      <w:r w:rsidRPr="001737D7">
        <w:rPr>
          <w:sz w:val="24"/>
          <w:szCs w:val="24"/>
          <w:lang w:val="en-US"/>
        </w:rPr>
        <w:t>. 4</w:t>
      </w:r>
      <w:r w:rsidRPr="001737D7">
        <w:rPr>
          <w:sz w:val="24"/>
          <w:szCs w:val="24"/>
          <w:vertAlign w:val="superscript"/>
          <w:lang w:val="en-US"/>
        </w:rPr>
        <w:t>th</w:t>
      </w:r>
      <w:r w:rsidRPr="001737D7">
        <w:rPr>
          <w:sz w:val="24"/>
          <w:szCs w:val="24"/>
          <w:lang w:val="en-US"/>
        </w:rPr>
        <w:t xml:space="preserve"> edition, New York Worth Publishers, Macmillan Learning</w:t>
      </w:r>
    </w:p>
    <w:p w14:paraId="4F511CCD" w14:textId="77777777" w:rsidR="001737D7" w:rsidRDefault="001737D7" w:rsidP="001737D7">
      <w:pPr>
        <w:spacing w:before="240"/>
        <w:rPr>
          <w:bCs/>
          <w:sz w:val="24"/>
          <w:szCs w:val="24"/>
          <w:lang w:val="en-US"/>
        </w:rPr>
      </w:pPr>
      <w:r w:rsidRPr="001737D7">
        <w:rPr>
          <w:sz w:val="24"/>
          <w:szCs w:val="24"/>
          <w:lang w:val="en-US"/>
        </w:rPr>
        <w:t xml:space="preserve">Office for National Statistics (ONS) (2022) </w:t>
      </w:r>
      <w:r w:rsidRPr="001737D7">
        <w:rPr>
          <w:bCs/>
          <w:i/>
          <w:sz w:val="24"/>
          <w:szCs w:val="24"/>
          <w:lang w:val="en-US"/>
        </w:rPr>
        <w:t>Average weekly earnings in Great Britain: March 2022</w:t>
      </w:r>
      <w:r>
        <w:rPr>
          <w:bCs/>
          <w:sz w:val="24"/>
          <w:szCs w:val="24"/>
          <w:lang w:val="en-US"/>
        </w:rPr>
        <w:t xml:space="preserve">, [online] Available: </w:t>
      </w:r>
      <w:hyperlink r:id="rId14" w:anchor=":~:text=The%20rate%20of%20annual%20pay,finance%20and%20business%20services%20sector" w:history="1">
        <w:r w:rsidRPr="004A5253">
          <w:rPr>
            <w:rStyle w:val="Hyperlink"/>
            <w:bCs/>
            <w:sz w:val="24"/>
            <w:szCs w:val="24"/>
            <w:lang w:val="en-US"/>
          </w:rPr>
          <w:t>https://www.ons.gov.uk/employmentandlabourmarket/peopleinwork/employmentandemployeetypes/bulletins/averageweeklyearningsingreatbritain/march2022#:~:text=The%20rate%20of%20annual%20pay,finance%20and%20business%20services%20sector</w:t>
        </w:r>
      </w:hyperlink>
      <w:r>
        <w:rPr>
          <w:bCs/>
          <w:sz w:val="24"/>
          <w:szCs w:val="24"/>
          <w:lang w:val="en-US"/>
        </w:rPr>
        <w:t xml:space="preserve"> [Accessed: 1 May 2022]</w:t>
      </w:r>
    </w:p>
    <w:p w14:paraId="75CAD72F" w14:textId="77777777" w:rsidR="001737D7" w:rsidRDefault="001737D7" w:rsidP="001737D7">
      <w:pPr>
        <w:spacing w:before="240"/>
        <w:rPr>
          <w:sz w:val="24"/>
          <w:szCs w:val="24"/>
          <w:lang w:val="en-US"/>
        </w:rPr>
      </w:pPr>
      <w:r>
        <w:rPr>
          <w:sz w:val="24"/>
          <w:szCs w:val="24"/>
          <w:lang w:val="en-US"/>
        </w:rPr>
        <w:t xml:space="preserve">Reuters (2022) </w:t>
      </w:r>
      <w:r w:rsidRPr="001737D7">
        <w:rPr>
          <w:i/>
          <w:sz w:val="24"/>
          <w:szCs w:val="24"/>
          <w:lang w:val="en-US"/>
        </w:rPr>
        <w:t>Analysis: China's widening COVID curbs threaten global supply chain paralysis</w:t>
      </w:r>
      <w:r>
        <w:rPr>
          <w:sz w:val="24"/>
          <w:szCs w:val="24"/>
          <w:lang w:val="en-US"/>
        </w:rPr>
        <w:t xml:space="preserve">, [online] Available: </w:t>
      </w:r>
      <w:hyperlink r:id="rId15" w:history="1">
        <w:r w:rsidRPr="004A5253">
          <w:rPr>
            <w:rStyle w:val="Hyperlink"/>
            <w:sz w:val="24"/>
            <w:szCs w:val="24"/>
            <w:lang w:val="en-US"/>
          </w:rPr>
          <w:t>https://www.reuters.com/world/china/chinas-widening-covid-curbs-threaten-global-supply-chain-paralysis-2022-04-13/</w:t>
        </w:r>
      </w:hyperlink>
      <w:r>
        <w:rPr>
          <w:sz w:val="24"/>
          <w:szCs w:val="24"/>
          <w:lang w:val="en-US"/>
        </w:rPr>
        <w:t xml:space="preserve"> [Accessed: 28 April 2022]</w:t>
      </w:r>
    </w:p>
    <w:p w14:paraId="01AE29CD" w14:textId="77777777" w:rsidR="001737D7" w:rsidRPr="00A04555" w:rsidRDefault="001737D7" w:rsidP="00856D33">
      <w:pPr>
        <w:spacing w:before="240"/>
        <w:rPr>
          <w:sz w:val="24"/>
          <w:szCs w:val="24"/>
          <w:lang w:val="en-US"/>
        </w:rPr>
      </w:pPr>
      <w:r>
        <w:rPr>
          <w:sz w:val="24"/>
          <w:szCs w:val="24"/>
          <w:lang w:val="en-US"/>
        </w:rPr>
        <w:t xml:space="preserve">Rhode, S. and Garrison, N. (2019) </w:t>
      </w:r>
      <w:r w:rsidRPr="00895230">
        <w:rPr>
          <w:i/>
          <w:sz w:val="24"/>
          <w:szCs w:val="24"/>
          <w:lang w:val="en-US"/>
        </w:rPr>
        <w:t>Management Accounting</w:t>
      </w:r>
      <w:r>
        <w:rPr>
          <w:sz w:val="24"/>
          <w:szCs w:val="24"/>
          <w:lang w:val="en-US"/>
        </w:rPr>
        <w:t>. 6</w:t>
      </w:r>
      <w:r w:rsidRPr="00895230">
        <w:rPr>
          <w:sz w:val="24"/>
          <w:szCs w:val="24"/>
          <w:vertAlign w:val="superscript"/>
          <w:lang w:val="en-US"/>
        </w:rPr>
        <w:t>th</w:t>
      </w:r>
      <w:r>
        <w:rPr>
          <w:sz w:val="24"/>
          <w:szCs w:val="24"/>
          <w:lang w:val="en-US"/>
        </w:rPr>
        <w:t xml:space="preserve"> edition, England: McGraw Hill</w:t>
      </w:r>
    </w:p>
    <w:p w14:paraId="11865D8A" w14:textId="77777777" w:rsidR="001737D7" w:rsidRPr="00097615" w:rsidRDefault="001737D7" w:rsidP="00097615">
      <w:pPr>
        <w:spacing w:before="240"/>
        <w:rPr>
          <w:bCs/>
          <w:iCs/>
          <w:sz w:val="24"/>
          <w:szCs w:val="24"/>
          <w:lang w:val="en-US"/>
        </w:rPr>
      </w:pPr>
      <w:r>
        <w:rPr>
          <w:bCs/>
          <w:iCs/>
          <w:sz w:val="24"/>
          <w:szCs w:val="24"/>
          <w:lang w:val="en-US"/>
        </w:rPr>
        <w:t xml:space="preserve">Trading Economics (2022) </w:t>
      </w:r>
      <w:r w:rsidRPr="00097615">
        <w:rPr>
          <w:bCs/>
          <w:i/>
          <w:iCs/>
          <w:sz w:val="24"/>
          <w:szCs w:val="24"/>
          <w:lang w:val="en-US"/>
        </w:rPr>
        <w:t>Inflation rate</w:t>
      </w:r>
      <w:r>
        <w:rPr>
          <w:bCs/>
          <w:iCs/>
          <w:sz w:val="24"/>
          <w:szCs w:val="24"/>
          <w:lang w:val="en-US"/>
        </w:rPr>
        <w:t xml:space="preserve">, [online] Available: </w:t>
      </w:r>
      <w:hyperlink r:id="rId16" w:history="1">
        <w:r w:rsidRPr="004A5253">
          <w:rPr>
            <w:rStyle w:val="Hyperlink"/>
            <w:bCs/>
            <w:iCs/>
            <w:sz w:val="24"/>
            <w:szCs w:val="24"/>
            <w:lang w:val="en-US"/>
          </w:rPr>
          <w:t>https://tradingeconomics.com/country-list/inflation-rate</w:t>
        </w:r>
      </w:hyperlink>
      <w:r>
        <w:rPr>
          <w:bCs/>
          <w:iCs/>
          <w:sz w:val="24"/>
          <w:szCs w:val="24"/>
          <w:lang w:val="en-US"/>
        </w:rPr>
        <w:t xml:space="preserve"> </w:t>
      </w:r>
      <w:r w:rsidRPr="00097615">
        <w:rPr>
          <w:iCs/>
          <w:sz w:val="24"/>
          <w:szCs w:val="24"/>
          <w:lang w:val="en-US"/>
        </w:rPr>
        <w:t xml:space="preserve">[Accessed: </w:t>
      </w:r>
      <w:r>
        <w:rPr>
          <w:iCs/>
          <w:sz w:val="24"/>
          <w:szCs w:val="24"/>
          <w:lang w:val="en-US"/>
        </w:rPr>
        <w:t>30 April 2022]</w:t>
      </w:r>
    </w:p>
    <w:p w14:paraId="6ABF3639" w14:textId="77777777" w:rsidR="00856D33" w:rsidRPr="0069727F" w:rsidRDefault="00856D33" w:rsidP="00856D33">
      <w:pPr>
        <w:spacing w:before="240"/>
        <w:rPr>
          <w:sz w:val="24"/>
          <w:szCs w:val="24"/>
        </w:rPr>
      </w:pPr>
    </w:p>
    <w:p w14:paraId="4490174D" w14:textId="77777777" w:rsidR="00856D33" w:rsidRPr="00856D33" w:rsidRDefault="00856D33">
      <w:pPr>
        <w:rPr>
          <w:lang w:val="en-US"/>
        </w:rPr>
      </w:pPr>
    </w:p>
    <w:sectPr w:rsidR="00856D33" w:rsidRPr="00856D33" w:rsidSect="001472F4">
      <w:footerReference w:type="default" r:id="rId17"/>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20F75" w14:textId="77777777" w:rsidR="0031726C" w:rsidRDefault="0031726C" w:rsidP="00856D33">
      <w:pPr>
        <w:spacing w:line="240" w:lineRule="auto"/>
      </w:pPr>
      <w:r>
        <w:separator/>
      </w:r>
    </w:p>
  </w:endnote>
  <w:endnote w:type="continuationSeparator" w:id="0">
    <w:p w14:paraId="2DB57131" w14:textId="77777777" w:rsidR="0031726C" w:rsidRDefault="0031726C" w:rsidP="00856D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roman"/>
    <w:pitch w:val="variable"/>
  </w:font>
  <w:font w:name="Noto Sans CJK SC">
    <w:charset w:val="80"/>
    <w:family w:val="swiss"/>
    <w:pitch w:val="variable"/>
    <w:sig w:usb0="30000083" w:usb1="2BDF3C10" w:usb2="00000016" w:usb3="00000000" w:csb0="002E01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457147"/>
      <w:docPartObj>
        <w:docPartGallery w:val="Page Numbers (Bottom of Page)"/>
        <w:docPartUnique/>
      </w:docPartObj>
    </w:sdtPr>
    <w:sdtEndPr/>
    <w:sdtContent>
      <w:p w14:paraId="730B7D12" w14:textId="77777777" w:rsidR="001737D7" w:rsidRDefault="00F75518">
        <w:pPr>
          <w:pStyle w:val="Footer"/>
          <w:jc w:val="right"/>
        </w:pPr>
        <w:r>
          <w:fldChar w:fldCharType="begin"/>
        </w:r>
        <w:r>
          <w:instrText xml:space="preserve"> PAGE   \* MERGEFORMAT </w:instrText>
        </w:r>
        <w:r>
          <w:fldChar w:fldCharType="separate"/>
        </w:r>
        <w:r w:rsidR="00B23C37">
          <w:rPr>
            <w:noProof/>
          </w:rPr>
          <w:t>10</w:t>
        </w:r>
        <w:r>
          <w:rPr>
            <w:noProof/>
          </w:rPr>
          <w:fldChar w:fldCharType="end"/>
        </w:r>
      </w:p>
    </w:sdtContent>
  </w:sdt>
  <w:p w14:paraId="1ACA003F" w14:textId="77777777" w:rsidR="001737D7" w:rsidRDefault="00173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FC78F" w14:textId="77777777" w:rsidR="0031726C" w:rsidRDefault="0031726C" w:rsidP="00856D33">
      <w:pPr>
        <w:spacing w:line="240" w:lineRule="auto"/>
      </w:pPr>
      <w:r>
        <w:separator/>
      </w:r>
    </w:p>
  </w:footnote>
  <w:footnote w:type="continuationSeparator" w:id="0">
    <w:p w14:paraId="1049FADA" w14:textId="77777777" w:rsidR="0031726C" w:rsidRDefault="0031726C" w:rsidP="00856D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B0C3D"/>
    <w:multiLevelType w:val="hybridMultilevel"/>
    <w:tmpl w:val="FCAACCE0"/>
    <w:lvl w:ilvl="0" w:tplc="04090005">
      <w:start w:val="1"/>
      <w:numFmt w:val="bullet"/>
      <w:lvlText w:val=""/>
      <w:lvlJc w:val="left"/>
      <w:pPr>
        <w:ind w:left="720" w:hanging="360"/>
      </w:pPr>
      <w:rPr>
        <w:rFonts w:ascii="Wingdings" w:hAnsi="Wingdings" w:hint="default"/>
      </w:rPr>
    </w:lvl>
    <w:lvl w:ilvl="1" w:tplc="4F1C42EC">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8D1FBE"/>
    <w:multiLevelType w:val="hybridMultilevel"/>
    <w:tmpl w:val="551EED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4D0D5C"/>
    <w:multiLevelType w:val="hybridMultilevel"/>
    <w:tmpl w:val="D41CC3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346FD4"/>
    <w:multiLevelType w:val="hybridMultilevel"/>
    <w:tmpl w:val="D3E6A5D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0489608">
    <w:abstractNumId w:val="1"/>
  </w:num>
  <w:num w:numId="2" w16cid:durableId="751397308">
    <w:abstractNumId w:val="2"/>
  </w:num>
  <w:num w:numId="3" w16cid:durableId="551505373">
    <w:abstractNumId w:val="0"/>
  </w:num>
  <w:num w:numId="4" w16cid:durableId="17618291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930"/>
    <w:rsid w:val="00097615"/>
    <w:rsid w:val="000C72DD"/>
    <w:rsid w:val="000D0023"/>
    <w:rsid w:val="001472F4"/>
    <w:rsid w:val="0015043E"/>
    <w:rsid w:val="001737D7"/>
    <w:rsid w:val="001B2F1E"/>
    <w:rsid w:val="001F4388"/>
    <w:rsid w:val="001F479A"/>
    <w:rsid w:val="0020133A"/>
    <w:rsid w:val="00233D15"/>
    <w:rsid w:val="0025630F"/>
    <w:rsid w:val="00263E39"/>
    <w:rsid w:val="002C4F74"/>
    <w:rsid w:val="0031726C"/>
    <w:rsid w:val="003252D2"/>
    <w:rsid w:val="00350663"/>
    <w:rsid w:val="0037790D"/>
    <w:rsid w:val="00426023"/>
    <w:rsid w:val="0046786D"/>
    <w:rsid w:val="004A5687"/>
    <w:rsid w:val="004F783E"/>
    <w:rsid w:val="00541247"/>
    <w:rsid w:val="0057560F"/>
    <w:rsid w:val="005919FA"/>
    <w:rsid w:val="005C517F"/>
    <w:rsid w:val="006E35D7"/>
    <w:rsid w:val="007073FD"/>
    <w:rsid w:val="00776253"/>
    <w:rsid w:val="00783C3E"/>
    <w:rsid w:val="007B2BD7"/>
    <w:rsid w:val="00811005"/>
    <w:rsid w:val="00856D33"/>
    <w:rsid w:val="0087341B"/>
    <w:rsid w:val="00893847"/>
    <w:rsid w:val="008C3EE1"/>
    <w:rsid w:val="0095255A"/>
    <w:rsid w:val="009C0014"/>
    <w:rsid w:val="00A95A32"/>
    <w:rsid w:val="00AA0B22"/>
    <w:rsid w:val="00AA4A7A"/>
    <w:rsid w:val="00AA7E8A"/>
    <w:rsid w:val="00AC6146"/>
    <w:rsid w:val="00AF4B54"/>
    <w:rsid w:val="00B23C37"/>
    <w:rsid w:val="00B5174F"/>
    <w:rsid w:val="00B52729"/>
    <w:rsid w:val="00B72D10"/>
    <w:rsid w:val="00B93A56"/>
    <w:rsid w:val="00BA5930"/>
    <w:rsid w:val="00C047EB"/>
    <w:rsid w:val="00C75910"/>
    <w:rsid w:val="00D323E2"/>
    <w:rsid w:val="00D37767"/>
    <w:rsid w:val="00DC20DD"/>
    <w:rsid w:val="00DD465F"/>
    <w:rsid w:val="00E17E69"/>
    <w:rsid w:val="00E4106A"/>
    <w:rsid w:val="00E55577"/>
    <w:rsid w:val="00EE2DCE"/>
    <w:rsid w:val="00F44421"/>
    <w:rsid w:val="00F62F09"/>
    <w:rsid w:val="00F755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9A664"/>
  <w15:docId w15:val="{198FF11A-2241-414D-86D0-12356B32D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D33"/>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3">
    <w:name w:val="heading 3"/>
    <w:basedOn w:val="Normal"/>
    <w:next w:val="Normal"/>
    <w:link w:val="Heading3Char"/>
    <w:uiPriority w:val="9"/>
    <w:unhideWhenUsed/>
    <w:qFormat/>
    <w:rsid w:val="00856D33"/>
    <w:pPr>
      <w:keepNext/>
      <w:keepLines/>
      <w:spacing w:before="320" w:after="120"/>
      <w:jc w:val="both"/>
      <w:outlineLvl w:val="2"/>
    </w:pPr>
    <w:rPr>
      <w:rFonts w:ascii="Times New Roman" w:eastAsiaTheme="majorEastAsia" w:hAnsi="Times New Roman" w:cstheme="majorBidi"/>
      <w:b/>
      <w:bCs/>
      <w:color w:val="000000" w:themeColor="text1"/>
    </w:rPr>
  </w:style>
  <w:style w:type="paragraph" w:styleId="Heading4">
    <w:name w:val="heading 4"/>
    <w:basedOn w:val="Normal"/>
    <w:next w:val="Normal"/>
    <w:link w:val="Heading4Char"/>
    <w:uiPriority w:val="9"/>
    <w:unhideWhenUsed/>
    <w:qFormat/>
    <w:rsid w:val="00856D33"/>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856D33"/>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856D33"/>
    <w:rPr>
      <w:lang w:val="en-GB"/>
    </w:rPr>
  </w:style>
  <w:style w:type="paragraph" w:styleId="Footer">
    <w:name w:val="footer"/>
    <w:basedOn w:val="Normal"/>
    <w:link w:val="FooterChar"/>
    <w:uiPriority w:val="99"/>
    <w:unhideWhenUsed/>
    <w:rsid w:val="00856D33"/>
    <w:pPr>
      <w:tabs>
        <w:tab w:val="center" w:pos="4703"/>
        <w:tab w:val="right" w:pos="9406"/>
      </w:tabs>
      <w:spacing w:line="240" w:lineRule="auto"/>
    </w:pPr>
  </w:style>
  <w:style w:type="character" w:customStyle="1" w:styleId="FooterChar">
    <w:name w:val="Footer Char"/>
    <w:basedOn w:val="DefaultParagraphFont"/>
    <w:link w:val="Footer"/>
    <w:uiPriority w:val="99"/>
    <w:rsid w:val="00856D33"/>
    <w:rPr>
      <w:lang w:val="en-GB"/>
    </w:rPr>
  </w:style>
  <w:style w:type="character" w:customStyle="1" w:styleId="Heading3Char">
    <w:name w:val="Heading 3 Char"/>
    <w:basedOn w:val="DefaultParagraphFont"/>
    <w:link w:val="Heading3"/>
    <w:uiPriority w:val="9"/>
    <w:rsid w:val="00856D33"/>
    <w:rPr>
      <w:rFonts w:ascii="Times New Roman" w:eastAsiaTheme="majorEastAsia" w:hAnsi="Times New Roman" w:cstheme="majorBidi"/>
      <w:b/>
      <w:bCs/>
      <w:color w:val="000000" w:themeColor="text1"/>
      <w:lang w:val="en-GB"/>
    </w:rPr>
  </w:style>
  <w:style w:type="character" w:customStyle="1" w:styleId="Heading4Char">
    <w:name w:val="Heading 4 Char"/>
    <w:basedOn w:val="DefaultParagraphFont"/>
    <w:link w:val="Heading4"/>
    <w:uiPriority w:val="9"/>
    <w:rsid w:val="00856D33"/>
    <w:rPr>
      <w:rFonts w:asciiTheme="majorHAnsi" w:eastAsiaTheme="majorEastAsia" w:hAnsiTheme="majorHAnsi" w:cstheme="majorBidi"/>
      <w:b/>
      <w:bCs/>
      <w:i/>
      <w:iCs/>
      <w:color w:val="4F81BD" w:themeColor="accent1"/>
      <w:lang w:val="en-GB"/>
    </w:rPr>
  </w:style>
  <w:style w:type="table" w:styleId="TableGrid">
    <w:name w:val="Table Grid"/>
    <w:basedOn w:val="TableNormal"/>
    <w:uiPriority w:val="59"/>
    <w:rsid w:val="00856D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6D33"/>
    <w:rPr>
      <w:color w:val="0000FF" w:themeColor="hyperlink"/>
      <w:u w:val="single"/>
    </w:rPr>
  </w:style>
  <w:style w:type="paragraph" w:styleId="TOC1">
    <w:name w:val="toc 1"/>
    <w:basedOn w:val="Normal"/>
    <w:next w:val="Normal"/>
    <w:autoRedefine/>
    <w:uiPriority w:val="39"/>
    <w:unhideWhenUsed/>
    <w:rsid w:val="00783C3E"/>
    <w:pPr>
      <w:spacing w:after="100"/>
    </w:pPr>
  </w:style>
  <w:style w:type="paragraph" w:styleId="TOC2">
    <w:name w:val="toc 2"/>
    <w:basedOn w:val="Normal"/>
    <w:next w:val="Normal"/>
    <w:autoRedefine/>
    <w:uiPriority w:val="39"/>
    <w:unhideWhenUsed/>
    <w:rsid w:val="00783C3E"/>
    <w:pPr>
      <w:spacing w:after="100"/>
      <w:ind w:left="220"/>
    </w:pPr>
  </w:style>
  <w:style w:type="paragraph" w:styleId="TOC3">
    <w:name w:val="toc 3"/>
    <w:basedOn w:val="Normal"/>
    <w:next w:val="Normal"/>
    <w:autoRedefine/>
    <w:uiPriority w:val="39"/>
    <w:unhideWhenUsed/>
    <w:rsid w:val="00783C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174427">
      <w:bodyDiv w:val="1"/>
      <w:marLeft w:val="0"/>
      <w:marRight w:val="0"/>
      <w:marTop w:val="0"/>
      <w:marBottom w:val="0"/>
      <w:divBdr>
        <w:top w:val="none" w:sz="0" w:space="0" w:color="auto"/>
        <w:left w:val="none" w:sz="0" w:space="0" w:color="auto"/>
        <w:bottom w:val="none" w:sz="0" w:space="0" w:color="auto"/>
        <w:right w:val="none" w:sz="0" w:space="0" w:color="auto"/>
      </w:divBdr>
    </w:div>
    <w:div w:id="1305545867">
      <w:bodyDiv w:val="1"/>
      <w:marLeft w:val="0"/>
      <w:marRight w:val="0"/>
      <w:marTop w:val="0"/>
      <w:marBottom w:val="0"/>
      <w:divBdr>
        <w:top w:val="none" w:sz="0" w:space="0" w:color="auto"/>
        <w:left w:val="none" w:sz="0" w:space="0" w:color="auto"/>
        <w:bottom w:val="none" w:sz="0" w:space="0" w:color="auto"/>
        <w:right w:val="none" w:sz="0" w:space="0" w:color="auto"/>
      </w:divBdr>
    </w:div>
    <w:div w:id="1356078010">
      <w:bodyDiv w:val="1"/>
      <w:marLeft w:val="0"/>
      <w:marRight w:val="0"/>
      <w:marTop w:val="0"/>
      <w:marBottom w:val="0"/>
      <w:divBdr>
        <w:top w:val="none" w:sz="0" w:space="0" w:color="auto"/>
        <w:left w:val="none" w:sz="0" w:space="0" w:color="auto"/>
        <w:bottom w:val="none" w:sz="0" w:space="0" w:color="auto"/>
        <w:right w:val="none" w:sz="0" w:space="0" w:color="auto"/>
      </w:divBdr>
    </w:div>
    <w:div w:id="1408378775">
      <w:bodyDiv w:val="1"/>
      <w:marLeft w:val="0"/>
      <w:marRight w:val="0"/>
      <w:marTop w:val="0"/>
      <w:marBottom w:val="0"/>
      <w:divBdr>
        <w:top w:val="none" w:sz="0" w:space="0" w:color="auto"/>
        <w:left w:val="none" w:sz="0" w:space="0" w:color="auto"/>
        <w:bottom w:val="none" w:sz="0" w:space="0" w:color="auto"/>
        <w:right w:val="none" w:sz="0" w:space="0" w:color="auto"/>
      </w:divBdr>
    </w:div>
    <w:div w:id="1588877100">
      <w:bodyDiv w:val="1"/>
      <w:marLeft w:val="0"/>
      <w:marRight w:val="0"/>
      <w:marTop w:val="0"/>
      <w:marBottom w:val="0"/>
      <w:divBdr>
        <w:top w:val="none" w:sz="0" w:space="0" w:color="auto"/>
        <w:left w:val="none" w:sz="0" w:space="0" w:color="auto"/>
        <w:bottom w:val="none" w:sz="0" w:space="0" w:color="auto"/>
        <w:right w:val="none" w:sz="0" w:space="0" w:color="auto"/>
      </w:divBdr>
      <w:divsChild>
        <w:div w:id="702562411">
          <w:marLeft w:val="0"/>
          <w:marRight w:val="0"/>
          <w:marTop w:val="0"/>
          <w:marBottom w:val="0"/>
          <w:divBdr>
            <w:top w:val="none" w:sz="0" w:space="0" w:color="auto"/>
            <w:left w:val="none" w:sz="0" w:space="0" w:color="auto"/>
            <w:bottom w:val="none" w:sz="0" w:space="0" w:color="auto"/>
            <w:right w:val="none" w:sz="0" w:space="0" w:color="auto"/>
          </w:divBdr>
          <w:divsChild>
            <w:div w:id="35095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88827">
      <w:bodyDiv w:val="1"/>
      <w:marLeft w:val="0"/>
      <w:marRight w:val="0"/>
      <w:marTop w:val="0"/>
      <w:marBottom w:val="0"/>
      <w:divBdr>
        <w:top w:val="none" w:sz="0" w:space="0" w:color="auto"/>
        <w:left w:val="none" w:sz="0" w:space="0" w:color="auto"/>
        <w:bottom w:val="none" w:sz="0" w:space="0" w:color="auto"/>
        <w:right w:val="none" w:sz="0" w:space="0" w:color="auto"/>
      </w:divBdr>
    </w:div>
    <w:div w:id="190487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onslibrary.parliament.uk/research-briefings/sn0278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library.parliament.uk/how-has-the-pandemic-affected-industries-and-labour-in-the-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radingeconomics.com/country-list/inflation-r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some.com/uk/blog/2021-ecommerce-trends/" TargetMode="External"/><Relationship Id="rId5" Type="http://schemas.openxmlformats.org/officeDocument/2006/relationships/webSettings" Target="webSettings.xml"/><Relationship Id="rId15" Type="http://schemas.openxmlformats.org/officeDocument/2006/relationships/hyperlink" Target="https://www.reuters.com/world/china/chinas-widening-covid-curbs-threaten-global-supply-chain-paralysis-2022-04-13/"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employmentandlabourmarket/peopleinwork/employmentandemployeetypes/bulletins/averageweeklyearningsingreatbritain/march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DE1FF05-4877-4CBB-9CAC-7004EE6E3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3053</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 (2023164)</cp:lastModifiedBy>
  <cp:revision>2</cp:revision>
  <dcterms:created xsi:type="dcterms:W3CDTF">2022-05-03T18:39:00Z</dcterms:created>
  <dcterms:modified xsi:type="dcterms:W3CDTF">2022-05-03T18:39:00Z</dcterms:modified>
</cp:coreProperties>
</file>