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39A1C8" w14:textId="0416E869" w:rsidR="00DF1561" w:rsidRPr="00C24648" w:rsidRDefault="00DF1561" w:rsidP="00C24648">
      <w:pPr>
        <w:spacing w:after="0" w:line="360" w:lineRule="auto"/>
        <w:contextualSpacing/>
        <w:jc w:val="center"/>
        <w:rPr>
          <w:rFonts w:ascii="Arial" w:hAnsi="Arial" w:cs="Arial"/>
          <w:sz w:val="24"/>
          <w:szCs w:val="24"/>
        </w:rPr>
      </w:pPr>
      <w:r w:rsidRPr="00C24648">
        <w:rPr>
          <w:rFonts w:ascii="Arial" w:hAnsi="Arial" w:cs="Arial"/>
          <w:noProof/>
          <w:sz w:val="24"/>
          <w:szCs w:val="24"/>
        </w:rPr>
        <w:drawing>
          <wp:inline distT="0" distB="0" distL="0" distR="0" wp14:anchorId="3C8A311A" wp14:editId="29FA5836">
            <wp:extent cx="2143125" cy="13716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43125" cy="1371600"/>
                    </a:xfrm>
                    <a:prstGeom prst="rect">
                      <a:avLst/>
                    </a:prstGeom>
                    <a:noFill/>
                  </pic:spPr>
                </pic:pic>
              </a:graphicData>
            </a:graphic>
          </wp:inline>
        </w:drawing>
      </w:r>
    </w:p>
    <w:p w14:paraId="5DDA393F" w14:textId="77777777" w:rsidR="00C24648" w:rsidRDefault="00C24648" w:rsidP="00C24648">
      <w:pPr>
        <w:spacing w:after="0" w:line="360" w:lineRule="auto"/>
        <w:contextualSpacing/>
        <w:jc w:val="center"/>
        <w:rPr>
          <w:rFonts w:ascii="Arial" w:hAnsi="Arial" w:cs="Arial"/>
          <w:sz w:val="24"/>
          <w:szCs w:val="24"/>
        </w:rPr>
      </w:pPr>
    </w:p>
    <w:p w14:paraId="17A0321A" w14:textId="77777777" w:rsidR="00C24648" w:rsidRDefault="00C24648" w:rsidP="00C24648">
      <w:pPr>
        <w:spacing w:after="0" w:line="360" w:lineRule="auto"/>
        <w:contextualSpacing/>
        <w:jc w:val="center"/>
        <w:rPr>
          <w:rFonts w:ascii="Arial" w:hAnsi="Arial" w:cs="Arial"/>
          <w:sz w:val="24"/>
          <w:szCs w:val="24"/>
        </w:rPr>
      </w:pPr>
    </w:p>
    <w:p w14:paraId="0A163FC4" w14:textId="77777777" w:rsidR="00C24648" w:rsidRDefault="00C24648" w:rsidP="00C24648">
      <w:pPr>
        <w:spacing w:after="0" w:line="360" w:lineRule="auto"/>
        <w:contextualSpacing/>
        <w:jc w:val="center"/>
        <w:rPr>
          <w:rFonts w:ascii="Arial" w:hAnsi="Arial" w:cs="Arial"/>
          <w:sz w:val="24"/>
          <w:szCs w:val="24"/>
        </w:rPr>
      </w:pPr>
    </w:p>
    <w:p w14:paraId="02411348" w14:textId="77AEDB0B" w:rsidR="00DF1561" w:rsidRPr="00C24648" w:rsidRDefault="00DF1561" w:rsidP="00C24648">
      <w:pPr>
        <w:spacing w:after="0" w:line="360" w:lineRule="auto"/>
        <w:contextualSpacing/>
        <w:jc w:val="center"/>
        <w:rPr>
          <w:rFonts w:ascii="Arial" w:hAnsi="Arial" w:cs="Arial"/>
          <w:sz w:val="24"/>
          <w:szCs w:val="24"/>
        </w:rPr>
      </w:pPr>
      <w:r w:rsidRPr="00C24648">
        <w:rPr>
          <w:rFonts w:ascii="Arial" w:hAnsi="Arial" w:cs="Arial"/>
          <w:sz w:val="24"/>
          <w:szCs w:val="24"/>
        </w:rPr>
        <w:t>Programme: Master of Business Administration</w:t>
      </w:r>
    </w:p>
    <w:p w14:paraId="158D5C2B" w14:textId="77777777" w:rsidR="00DF1561" w:rsidRPr="00C24648" w:rsidRDefault="00DF1561" w:rsidP="00C24648">
      <w:pPr>
        <w:spacing w:after="0" w:line="360" w:lineRule="auto"/>
        <w:contextualSpacing/>
        <w:jc w:val="center"/>
        <w:rPr>
          <w:rFonts w:ascii="Arial" w:hAnsi="Arial" w:cs="Arial"/>
          <w:sz w:val="24"/>
          <w:szCs w:val="24"/>
        </w:rPr>
      </w:pPr>
      <w:r w:rsidRPr="00C24648">
        <w:rPr>
          <w:rFonts w:ascii="Arial" w:hAnsi="Arial" w:cs="Arial"/>
          <w:sz w:val="24"/>
          <w:szCs w:val="24"/>
        </w:rPr>
        <w:t>Module: Financial Management</w:t>
      </w:r>
    </w:p>
    <w:p w14:paraId="4F814F74" w14:textId="6B159B23" w:rsidR="00DF1561" w:rsidRPr="00C24648" w:rsidRDefault="00DF1561" w:rsidP="00C24648">
      <w:pPr>
        <w:spacing w:after="0" w:line="360" w:lineRule="auto"/>
        <w:contextualSpacing/>
        <w:jc w:val="center"/>
        <w:rPr>
          <w:rFonts w:ascii="Arial" w:hAnsi="Arial" w:cs="Arial"/>
          <w:sz w:val="24"/>
          <w:szCs w:val="24"/>
        </w:rPr>
      </w:pPr>
      <w:r w:rsidRPr="00C24648">
        <w:rPr>
          <w:rFonts w:ascii="Arial" w:hAnsi="Arial" w:cs="Arial"/>
          <w:sz w:val="24"/>
          <w:szCs w:val="24"/>
        </w:rPr>
        <w:t>Module code: LCMB7002</w:t>
      </w:r>
    </w:p>
    <w:p w14:paraId="3AEF4309" w14:textId="281DEC47" w:rsidR="00DF1561" w:rsidRPr="00C24648" w:rsidRDefault="00DF1561" w:rsidP="00C24648">
      <w:pPr>
        <w:spacing w:after="0" w:line="360" w:lineRule="auto"/>
        <w:contextualSpacing/>
        <w:jc w:val="center"/>
        <w:rPr>
          <w:rFonts w:ascii="Arial" w:hAnsi="Arial" w:cs="Arial"/>
          <w:sz w:val="24"/>
          <w:szCs w:val="24"/>
        </w:rPr>
      </w:pPr>
      <w:r w:rsidRPr="00C24648">
        <w:rPr>
          <w:rFonts w:ascii="Arial" w:hAnsi="Arial" w:cs="Arial"/>
          <w:sz w:val="24"/>
          <w:szCs w:val="24"/>
        </w:rPr>
        <w:t>Assignment Title: Financial performance and management (company: Volkswagen)</w:t>
      </w:r>
    </w:p>
    <w:p w14:paraId="61385826" w14:textId="346839FB" w:rsidR="00DF1561" w:rsidRPr="00C24648" w:rsidRDefault="00DF1561" w:rsidP="00C24648">
      <w:pPr>
        <w:spacing w:after="0" w:line="360" w:lineRule="auto"/>
        <w:contextualSpacing/>
        <w:jc w:val="center"/>
        <w:rPr>
          <w:rFonts w:ascii="Arial" w:hAnsi="Arial" w:cs="Arial"/>
          <w:sz w:val="24"/>
          <w:szCs w:val="24"/>
        </w:rPr>
      </w:pPr>
      <w:r w:rsidRPr="00C24648">
        <w:rPr>
          <w:rFonts w:ascii="Arial" w:hAnsi="Arial" w:cs="Arial"/>
          <w:sz w:val="24"/>
          <w:szCs w:val="24"/>
        </w:rPr>
        <w:t>lecturer’s name: Shengfeng Mei</w:t>
      </w:r>
    </w:p>
    <w:p w14:paraId="29D55CBC" w14:textId="3FC7C6E8" w:rsidR="00DF1561" w:rsidRPr="00C24648" w:rsidRDefault="00DF1561" w:rsidP="00C24648">
      <w:pPr>
        <w:spacing w:after="0" w:line="360" w:lineRule="auto"/>
        <w:contextualSpacing/>
        <w:jc w:val="center"/>
        <w:rPr>
          <w:rFonts w:ascii="Arial" w:hAnsi="Arial" w:cs="Arial"/>
          <w:sz w:val="24"/>
          <w:szCs w:val="24"/>
        </w:rPr>
      </w:pPr>
      <w:r w:rsidRPr="00C24648">
        <w:rPr>
          <w:rFonts w:ascii="Arial" w:hAnsi="Arial" w:cs="Arial"/>
          <w:sz w:val="24"/>
          <w:szCs w:val="24"/>
        </w:rPr>
        <w:t>Student name</w:t>
      </w:r>
      <w:r w:rsidR="00847879">
        <w:rPr>
          <w:rFonts w:ascii="Arial" w:hAnsi="Arial" w:cs="Arial"/>
          <w:sz w:val="24"/>
          <w:szCs w:val="24"/>
        </w:rPr>
        <w:t>: Shrutik Jayeshbhai Sanghani</w:t>
      </w:r>
    </w:p>
    <w:p w14:paraId="1398D4A5" w14:textId="0D314CC0" w:rsidR="00DF1561" w:rsidRPr="00C24648" w:rsidRDefault="00DF1561" w:rsidP="00C24648">
      <w:pPr>
        <w:spacing w:after="0" w:line="360" w:lineRule="auto"/>
        <w:contextualSpacing/>
        <w:jc w:val="center"/>
        <w:rPr>
          <w:rFonts w:ascii="Arial" w:hAnsi="Arial" w:cs="Arial"/>
          <w:sz w:val="24"/>
          <w:szCs w:val="24"/>
        </w:rPr>
      </w:pPr>
      <w:r w:rsidRPr="00C24648">
        <w:rPr>
          <w:rFonts w:ascii="Arial" w:hAnsi="Arial" w:cs="Arial"/>
          <w:sz w:val="24"/>
          <w:szCs w:val="24"/>
        </w:rPr>
        <w:t>ID of the student</w:t>
      </w:r>
      <w:r w:rsidR="00847879">
        <w:rPr>
          <w:rFonts w:ascii="Arial" w:hAnsi="Arial" w:cs="Arial"/>
          <w:sz w:val="24"/>
          <w:szCs w:val="24"/>
        </w:rPr>
        <w:t>: 2532586</w:t>
      </w:r>
    </w:p>
    <w:p w14:paraId="417A45AB" w14:textId="2C144D50" w:rsidR="00DF1561" w:rsidRPr="00C24648" w:rsidRDefault="00DF1561" w:rsidP="00C24648">
      <w:pPr>
        <w:spacing w:after="0" w:line="360" w:lineRule="auto"/>
        <w:contextualSpacing/>
        <w:jc w:val="center"/>
        <w:rPr>
          <w:rFonts w:ascii="Arial" w:hAnsi="Arial" w:cs="Arial"/>
          <w:sz w:val="24"/>
          <w:szCs w:val="24"/>
        </w:rPr>
      </w:pPr>
      <w:r w:rsidRPr="00C24648">
        <w:rPr>
          <w:rFonts w:ascii="Arial" w:hAnsi="Arial" w:cs="Arial"/>
          <w:sz w:val="24"/>
          <w:szCs w:val="24"/>
        </w:rPr>
        <w:t>Word count:</w:t>
      </w:r>
      <w:r w:rsidR="00847879">
        <w:rPr>
          <w:rFonts w:ascii="Arial" w:hAnsi="Arial" w:cs="Arial"/>
          <w:sz w:val="24"/>
          <w:szCs w:val="24"/>
        </w:rPr>
        <w:t xml:space="preserve"> </w:t>
      </w:r>
      <w:r w:rsidR="00C71DD1">
        <w:rPr>
          <w:rFonts w:ascii="Arial" w:hAnsi="Arial" w:cs="Arial"/>
          <w:sz w:val="24"/>
          <w:szCs w:val="24"/>
        </w:rPr>
        <w:t>52</w:t>
      </w:r>
      <w:r w:rsidR="00BF5AB1">
        <w:rPr>
          <w:rFonts w:ascii="Arial" w:hAnsi="Arial" w:cs="Arial"/>
          <w:sz w:val="24"/>
          <w:szCs w:val="24"/>
        </w:rPr>
        <w:t>64</w:t>
      </w:r>
    </w:p>
    <w:p w14:paraId="7C451884" w14:textId="4B2C956C" w:rsidR="00DF1561" w:rsidRPr="00C24648" w:rsidRDefault="00DF1561" w:rsidP="00C24648">
      <w:pPr>
        <w:spacing w:after="0" w:line="360" w:lineRule="auto"/>
        <w:contextualSpacing/>
        <w:jc w:val="center"/>
        <w:rPr>
          <w:rFonts w:ascii="Arial" w:hAnsi="Arial" w:cs="Arial"/>
          <w:sz w:val="24"/>
          <w:szCs w:val="24"/>
        </w:rPr>
      </w:pPr>
      <w:r w:rsidRPr="00C24648">
        <w:rPr>
          <w:rFonts w:ascii="Arial" w:hAnsi="Arial" w:cs="Arial"/>
          <w:sz w:val="24"/>
          <w:szCs w:val="24"/>
        </w:rPr>
        <w:t>Submission date: 24th April 2026</w:t>
      </w:r>
    </w:p>
    <w:p w14:paraId="521EBF35" w14:textId="77777777" w:rsidR="00DF1561" w:rsidRPr="00C24648" w:rsidRDefault="00DF1561" w:rsidP="00C24648">
      <w:pPr>
        <w:spacing w:after="0" w:line="360" w:lineRule="auto"/>
        <w:contextualSpacing/>
        <w:jc w:val="both"/>
        <w:outlineLvl w:val="0"/>
        <w:rPr>
          <w:rFonts w:ascii="Arial" w:eastAsia="Times New Roman" w:hAnsi="Arial" w:cs="Arial"/>
          <w:b/>
          <w:bCs/>
          <w:kern w:val="36"/>
          <w:sz w:val="24"/>
          <w:szCs w:val="24"/>
          <w14:ligatures w14:val="none"/>
        </w:rPr>
      </w:pPr>
    </w:p>
    <w:p w14:paraId="35D8D80B" w14:textId="77777777" w:rsidR="00DF1561" w:rsidRPr="00C24648" w:rsidRDefault="00DF1561" w:rsidP="00C24648">
      <w:pPr>
        <w:spacing w:after="0" w:line="360" w:lineRule="auto"/>
        <w:contextualSpacing/>
        <w:jc w:val="both"/>
        <w:outlineLvl w:val="0"/>
        <w:rPr>
          <w:rFonts w:ascii="Arial" w:eastAsia="Times New Roman" w:hAnsi="Arial" w:cs="Arial"/>
          <w:b/>
          <w:bCs/>
          <w:kern w:val="36"/>
          <w:sz w:val="24"/>
          <w:szCs w:val="24"/>
          <w14:ligatures w14:val="none"/>
        </w:rPr>
      </w:pPr>
    </w:p>
    <w:p w14:paraId="18EE58F5" w14:textId="77777777" w:rsidR="00DF1561" w:rsidRPr="00C24648" w:rsidRDefault="00DF1561" w:rsidP="00C24648">
      <w:pPr>
        <w:spacing w:after="0" w:line="360" w:lineRule="auto"/>
        <w:contextualSpacing/>
        <w:jc w:val="both"/>
        <w:outlineLvl w:val="0"/>
        <w:rPr>
          <w:rFonts w:ascii="Arial" w:eastAsia="Times New Roman" w:hAnsi="Arial" w:cs="Arial"/>
          <w:b/>
          <w:bCs/>
          <w:kern w:val="36"/>
          <w:sz w:val="24"/>
          <w:szCs w:val="24"/>
          <w14:ligatures w14:val="none"/>
        </w:rPr>
      </w:pPr>
    </w:p>
    <w:p w14:paraId="033A8240" w14:textId="77777777" w:rsidR="00DF1561" w:rsidRPr="00C24648" w:rsidRDefault="00DF1561" w:rsidP="00C24648">
      <w:pPr>
        <w:spacing w:after="0" w:line="360" w:lineRule="auto"/>
        <w:contextualSpacing/>
        <w:jc w:val="both"/>
        <w:outlineLvl w:val="0"/>
        <w:rPr>
          <w:rFonts w:ascii="Arial" w:eastAsia="Times New Roman" w:hAnsi="Arial" w:cs="Arial"/>
          <w:b/>
          <w:bCs/>
          <w:kern w:val="36"/>
          <w:sz w:val="24"/>
          <w:szCs w:val="24"/>
          <w14:ligatures w14:val="none"/>
        </w:rPr>
      </w:pPr>
    </w:p>
    <w:p w14:paraId="25515CC0" w14:textId="77777777" w:rsidR="00DF1561" w:rsidRPr="00C24648" w:rsidRDefault="00DF1561" w:rsidP="00C24648">
      <w:pPr>
        <w:spacing w:after="0" w:line="360" w:lineRule="auto"/>
        <w:contextualSpacing/>
        <w:jc w:val="both"/>
        <w:outlineLvl w:val="0"/>
        <w:rPr>
          <w:rFonts w:ascii="Arial" w:eastAsia="Times New Roman" w:hAnsi="Arial" w:cs="Arial"/>
          <w:b/>
          <w:bCs/>
          <w:kern w:val="36"/>
          <w:sz w:val="24"/>
          <w:szCs w:val="24"/>
          <w14:ligatures w14:val="none"/>
        </w:rPr>
      </w:pPr>
    </w:p>
    <w:p w14:paraId="244B43D6" w14:textId="77777777" w:rsidR="00DF1561" w:rsidRDefault="00DF1561" w:rsidP="00C24648">
      <w:pPr>
        <w:spacing w:after="0" w:line="360" w:lineRule="auto"/>
        <w:contextualSpacing/>
        <w:jc w:val="both"/>
        <w:outlineLvl w:val="0"/>
        <w:rPr>
          <w:rFonts w:ascii="Arial" w:eastAsia="Times New Roman" w:hAnsi="Arial" w:cs="Arial"/>
          <w:b/>
          <w:bCs/>
          <w:kern w:val="36"/>
          <w:sz w:val="24"/>
          <w:szCs w:val="24"/>
          <w14:ligatures w14:val="none"/>
        </w:rPr>
      </w:pPr>
    </w:p>
    <w:p w14:paraId="13604B81" w14:textId="77777777" w:rsidR="00C24648" w:rsidRDefault="00C24648" w:rsidP="00C24648">
      <w:pPr>
        <w:spacing w:after="0" w:line="360" w:lineRule="auto"/>
        <w:contextualSpacing/>
        <w:jc w:val="both"/>
        <w:outlineLvl w:val="0"/>
        <w:rPr>
          <w:rFonts w:ascii="Arial" w:eastAsia="Times New Roman" w:hAnsi="Arial" w:cs="Arial"/>
          <w:b/>
          <w:bCs/>
          <w:kern w:val="36"/>
          <w:sz w:val="24"/>
          <w:szCs w:val="24"/>
          <w14:ligatures w14:val="none"/>
        </w:rPr>
      </w:pPr>
    </w:p>
    <w:p w14:paraId="7A53E15C" w14:textId="77777777" w:rsidR="00C24648" w:rsidRDefault="00C24648" w:rsidP="00C24648">
      <w:pPr>
        <w:spacing w:after="0" w:line="360" w:lineRule="auto"/>
        <w:contextualSpacing/>
        <w:jc w:val="both"/>
        <w:outlineLvl w:val="0"/>
        <w:rPr>
          <w:rFonts w:ascii="Arial" w:eastAsia="Times New Roman" w:hAnsi="Arial" w:cs="Arial"/>
          <w:b/>
          <w:bCs/>
          <w:kern w:val="36"/>
          <w:sz w:val="24"/>
          <w:szCs w:val="24"/>
          <w14:ligatures w14:val="none"/>
        </w:rPr>
      </w:pPr>
    </w:p>
    <w:p w14:paraId="45248014" w14:textId="77777777" w:rsidR="00C24648" w:rsidRDefault="00C24648" w:rsidP="00C24648">
      <w:pPr>
        <w:spacing w:after="0" w:line="360" w:lineRule="auto"/>
        <w:contextualSpacing/>
        <w:jc w:val="both"/>
        <w:outlineLvl w:val="0"/>
        <w:rPr>
          <w:rFonts w:ascii="Arial" w:eastAsia="Times New Roman" w:hAnsi="Arial" w:cs="Arial"/>
          <w:b/>
          <w:bCs/>
          <w:kern w:val="36"/>
          <w:sz w:val="24"/>
          <w:szCs w:val="24"/>
          <w14:ligatures w14:val="none"/>
        </w:rPr>
      </w:pPr>
    </w:p>
    <w:p w14:paraId="08141CC2" w14:textId="77777777" w:rsidR="00C24648" w:rsidRDefault="00C24648" w:rsidP="00C24648">
      <w:pPr>
        <w:spacing w:after="0" w:line="360" w:lineRule="auto"/>
        <w:contextualSpacing/>
        <w:jc w:val="both"/>
        <w:outlineLvl w:val="0"/>
        <w:rPr>
          <w:rFonts w:ascii="Arial" w:eastAsia="Times New Roman" w:hAnsi="Arial" w:cs="Arial"/>
          <w:b/>
          <w:bCs/>
          <w:kern w:val="36"/>
          <w:sz w:val="24"/>
          <w:szCs w:val="24"/>
          <w14:ligatures w14:val="none"/>
        </w:rPr>
      </w:pPr>
    </w:p>
    <w:p w14:paraId="40BBB331" w14:textId="77777777" w:rsidR="00C24648" w:rsidRDefault="00C24648" w:rsidP="00C24648">
      <w:pPr>
        <w:spacing w:after="0" w:line="360" w:lineRule="auto"/>
        <w:contextualSpacing/>
        <w:jc w:val="both"/>
        <w:outlineLvl w:val="0"/>
        <w:rPr>
          <w:rFonts w:ascii="Arial" w:eastAsia="Times New Roman" w:hAnsi="Arial" w:cs="Arial"/>
          <w:b/>
          <w:bCs/>
          <w:kern w:val="36"/>
          <w:sz w:val="24"/>
          <w:szCs w:val="24"/>
          <w14:ligatures w14:val="none"/>
        </w:rPr>
      </w:pPr>
    </w:p>
    <w:p w14:paraId="657E2F48" w14:textId="77777777" w:rsidR="00C24648" w:rsidRDefault="00C24648" w:rsidP="00C24648">
      <w:pPr>
        <w:spacing w:after="0" w:line="360" w:lineRule="auto"/>
        <w:contextualSpacing/>
        <w:jc w:val="both"/>
        <w:outlineLvl w:val="0"/>
        <w:rPr>
          <w:rFonts w:ascii="Arial" w:eastAsia="Times New Roman" w:hAnsi="Arial" w:cs="Arial"/>
          <w:b/>
          <w:bCs/>
          <w:kern w:val="36"/>
          <w:sz w:val="24"/>
          <w:szCs w:val="24"/>
          <w14:ligatures w14:val="none"/>
        </w:rPr>
      </w:pPr>
    </w:p>
    <w:p w14:paraId="61000C71" w14:textId="77777777" w:rsidR="00C24648" w:rsidRPr="00C24648" w:rsidRDefault="00C24648" w:rsidP="00C24648">
      <w:pPr>
        <w:spacing w:after="0" w:line="360" w:lineRule="auto"/>
        <w:contextualSpacing/>
        <w:jc w:val="both"/>
        <w:outlineLvl w:val="0"/>
        <w:rPr>
          <w:rFonts w:ascii="Arial" w:eastAsia="Times New Roman" w:hAnsi="Arial" w:cs="Arial"/>
          <w:b/>
          <w:bCs/>
          <w:kern w:val="36"/>
          <w:sz w:val="24"/>
          <w:szCs w:val="24"/>
          <w14:ligatures w14:val="none"/>
        </w:rPr>
      </w:pPr>
    </w:p>
    <w:p w14:paraId="19F755AC" w14:textId="77777777" w:rsidR="00DF1561" w:rsidRPr="00C24648" w:rsidRDefault="00DF1561" w:rsidP="00C24648">
      <w:pPr>
        <w:spacing w:after="0" w:line="360" w:lineRule="auto"/>
        <w:contextualSpacing/>
        <w:jc w:val="both"/>
        <w:outlineLvl w:val="0"/>
        <w:rPr>
          <w:rFonts w:ascii="Arial" w:eastAsia="Times New Roman" w:hAnsi="Arial" w:cs="Arial"/>
          <w:b/>
          <w:bCs/>
          <w:kern w:val="36"/>
          <w:sz w:val="24"/>
          <w:szCs w:val="24"/>
          <w14:ligatures w14:val="none"/>
        </w:rPr>
      </w:pPr>
    </w:p>
    <w:sdt>
      <w:sdtPr>
        <w:rPr>
          <w:rFonts w:ascii="Arial" w:eastAsiaTheme="minorHAnsi" w:hAnsi="Arial" w:cs="Arial"/>
          <w:color w:val="auto"/>
          <w:kern w:val="2"/>
          <w:sz w:val="24"/>
          <w:szCs w:val="24"/>
          <w14:ligatures w14:val="standardContextual"/>
        </w:rPr>
        <w:id w:val="358938675"/>
        <w:docPartObj>
          <w:docPartGallery w:val="Table of Contents"/>
          <w:docPartUnique/>
        </w:docPartObj>
      </w:sdtPr>
      <w:sdtEndPr>
        <w:rPr>
          <w:b/>
          <w:bCs/>
          <w:noProof/>
        </w:rPr>
      </w:sdtEndPr>
      <w:sdtContent>
        <w:p w14:paraId="08D43302" w14:textId="520E53D2" w:rsidR="00DF1561" w:rsidRPr="00C24648" w:rsidRDefault="00DF1561" w:rsidP="00C24648">
          <w:pPr>
            <w:pStyle w:val="TOCHeading"/>
            <w:spacing w:before="0" w:line="360" w:lineRule="auto"/>
            <w:contextualSpacing/>
            <w:jc w:val="both"/>
            <w:rPr>
              <w:rFonts w:ascii="Arial" w:hAnsi="Arial" w:cs="Arial"/>
              <w:sz w:val="24"/>
              <w:szCs w:val="24"/>
            </w:rPr>
          </w:pPr>
          <w:r w:rsidRPr="00C24648">
            <w:rPr>
              <w:rFonts w:ascii="Arial" w:hAnsi="Arial" w:cs="Arial"/>
              <w:sz w:val="24"/>
              <w:szCs w:val="24"/>
            </w:rPr>
            <w:t>Table of Contents</w:t>
          </w:r>
        </w:p>
        <w:p w14:paraId="06967095" w14:textId="1677F4B7" w:rsidR="00C62BC2" w:rsidRPr="00C24648" w:rsidRDefault="00DF1561" w:rsidP="00C24648">
          <w:pPr>
            <w:pStyle w:val="TOC1"/>
            <w:tabs>
              <w:tab w:val="right" w:leader="dot" w:pos="9350"/>
            </w:tabs>
            <w:spacing w:after="0" w:line="360" w:lineRule="auto"/>
            <w:contextualSpacing/>
            <w:jc w:val="both"/>
            <w:rPr>
              <w:rFonts w:ascii="Arial" w:eastAsiaTheme="minorEastAsia" w:hAnsi="Arial" w:cs="Arial"/>
              <w:noProof/>
              <w:sz w:val="24"/>
              <w:szCs w:val="24"/>
            </w:rPr>
          </w:pPr>
          <w:r w:rsidRPr="00C24648">
            <w:rPr>
              <w:rFonts w:ascii="Arial" w:hAnsi="Arial" w:cs="Arial"/>
              <w:sz w:val="24"/>
              <w:szCs w:val="24"/>
            </w:rPr>
            <w:fldChar w:fldCharType="begin"/>
          </w:r>
          <w:r w:rsidRPr="00C24648">
            <w:rPr>
              <w:rFonts w:ascii="Arial" w:hAnsi="Arial" w:cs="Arial"/>
              <w:sz w:val="24"/>
              <w:szCs w:val="24"/>
            </w:rPr>
            <w:instrText xml:space="preserve"> TOC \o "1-3" \h \z \u </w:instrText>
          </w:r>
          <w:r w:rsidRPr="00C24648">
            <w:rPr>
              <w:rFonts w:ascii="Arial" w:hAnsi="Arial" w:cs="Arial"/>
              <w:sz w:val="24"/>
              <w:szCs w:val="24"/>
            </w:rPr>
            <w:fldChar w:fldCharType="separate"/>
          </w:r>
          <w:hyperlink w:anchor="_Toc227347018" w:history="1">
            <w:r w:rsidR="00C62BC2" w:rsidRPr="00C24648">
              <w:rPr>
                <w:rStyle w:val="Hyperlink"/>
                <w:rFonts w:ascii="Arial" w:hAnsi="Arial" w:cs="Arial"/>
                <w:noProof/>
                <w:sz w:val="24"/>
                <w:szCs w:val="24"/>
              </w:rPr>
              <w:t>1. Introduction</w:t>
            </w:r>
            <w:r w:rsidR="00C62BC2" w:rsidRPr="00C24648">
              <w:rPr>
                <w:rFonts w:ascii="Arial" w:hAnsi="Arial" w:cs="Arial"/>
                <w:noProof/>
                <w:webHidden/>
                <w:sz w:val="24"/>
                <w:szCs w:val="24"/>
              </w:rPr>
              <w:tab/>
            </w:r>
            <w:r w:rsidR="00C62BC2" w:rsidRPr="00C24648">
              <w:rPr>
                <w:rFonts w:ascii="Arial" w:hAnsi="Arial" w:cs="Arial"/>
                <w:noProof/>
                <w:webHidden/>
                <w:sz w:val="24"/>
                <w:szCs w:val="24"/>
              </w:rPr>
              <w:fldChar w:fldCharType="begin"/>
            </w:r>
            <w:r w:rsidR="00C62BC2" w:rsidRPr="00C24648">
              <w:rPr>
                <w:rFonts w:ascii="Arial" w:hAnsi="Arial" w:cs="Arial"/>
                <w:noProof/>
                <w:webHidden/>
                <w:sz w:val="24"/>
                <w:szCs w:val="24"/>
              </w:rPr>
              <w:instrText xml:space="preserve"> PAGEREF _Toc227347018 \h </w:instrText>
            </w:r>
            <w:r w:rsidR="00C62BC2" w:rsidRPr="00C24648">
              <w:rPr>
                <w:rFonts w:ascii="Arial" w:hAnsi="Arial" w:cs="Arial"/>
                <w:noProof/>
                <w:webHidden/>
                <w:sz w:val="24"/>
                <w:szCs w:val="24"/>
              </w:rPr>
            </w:r>
            <w:r w:rsidR="00C62BC2" w:rsidRPr="00C24648">
              <w:rPr>
                <w:rFonts w:ascii="Arial" w:hAnsi="Arial" w:cs="Arial"/>
                <w:noProof/>
                <w:webHidden/>
                <w:sz w:val="24"/>
                <w:szCs w:val="24"/>
              </w:rPr>
              <w:fldChar w:fldCharType="separate"/>
            </w:r>
            <w:r w:rsidR="00B20877">
              <w:rPr>
                <w:rFonts w:ascii="Arial" w:hAnsi="Arial" w:cs="Arial"/>
                <w:noProof/>
                <w:webHidden/>
                <w:sz w:val="24"/>
                <w:szCs w:val="24"/>
              </w:rPr>
              <w:t>3</w:t>
            </w:r>
            <w:r w:rsidR="00C62BC2" w:rsidRPr="00C24648">
              <w:rPr>
                <w:rFonts w:ascii="Arial" w:hAnsi="Arial" w:cs="Arial"/>
                <w:noProof/>
                <w:webHidden/>
                <w:sz w:val="24"/>
                <w:szCs w:val="24"/>
              </w:rPr>
              <w:fldChar w:fldCharType="end"/>
            </w:r>
          </w:hyperlink>
        </w:p>
        <w:p w14:paraId="5469BE0C" w14:textId="09284D4A" w:rsidR="00C62BC2" w:rsidRPr="00C24648" w:rsidRDefault="00C62BC2" w:rsidP="00C24648">
          <w:pPr>
            <w:pStyle w:val="TOC1"/>
            <w:tabs>
              <w:tab w:val="right" w:leader="dot" w:pos="9350"/>
            </w:tabs>
            <w:spacing w:after="0" w:line="360" w:lineRule="auto"/>
            <w:contextualSpacing/>
            <w:jc w:val="both"/>
            <w:rPr>
              <w:rFonts w:ascii="Arial" w:eastAsiaTheme="minorEastAsia" w:hAnsi="Arial" w:cs="Arial"/>
              <w:noProof/>
              <w:sz w:val="24"/>
              <w:szCs w:val="24"/>
            </w:rPr>
          </w:pPr>
          <w:hyperlink w:anchor="_Toc227347019" w:history="1">
            <w:r w:rsidRPr="00C24648">
              <w:rPr>
                <w:rStyle w:val="Hyperlink"/>
                <w:rFonts w:ascii="Arial" w:hAnsi="Arial" w:cs="Arial"/>
                <w:noProof/>
                <w:sz w:val="24"/>
                <w:szCs w:val="24"/>
              </w:rPr>
              <w:t>2. Financial Health Check (2021–2025)</w:t>
            </w:r>
            <w:r w:rsidRPr="00C24648">
              <w:rPr>
                <w:rFonts w:ascii="Arial" w:hAnsi="Arial" w:cs="Arial"/>
                <w:noProof/>
                <w:webHidden/>
                <w:sz w:val="24"/>
                <w:szCs w:val="24"/>
              </w:rPr>
              <w:tab/>
            </w:r>
            <w:r w:rsidRPr="00C24648">
              <w:rPr>
                <w:rFonts w:ascii="Arial" w:hAnsi="Arial" w:cs="Arial"/>
                <w:noProof/>
                <w:webHidden/>
                <w:sz w:val="24"/>
                <w:szCs w:val="24"/>
              </w:rPr>
              <w:fldChar w:fldCharType="begin"/>
            </w:r>
            <w:r w:rsidRPr="00C24648">
              <w:rPr>
                <w:rFonts w:ascii="Arial" w:hAnsi="Arial" w:cs="Arial"/>
                <w:noProof/>
                <w:webHidden/>
                <w:sz w:val="24"/>
                <w:szCs w:val="24"/>
              </w:rPr>
              <w:instrText xml:space="preserve"> PAGEREF _Toc227347019 \h </w:instrText>
            </w:r>
            <w:r w:rsidRPr="00C24648">
              <w:rPr>
                <w:rFonts w:ascii="Arial" w:hAnsi="Arial" w:cs="Arial"/>
                <w:noProof/>
                <w:webHidden/>
                <w:sz w:val="24"/>
                <w:szCs w:val="24"/>
              </w:rPr>
            </w:r>
            <w:r w:rsidRPr="00C24648">
              <w:rPr>
                <w:rFonts w:ascii="Arial" w:hAnsi="Arial" w:cs="Arial"/>
                <w:noProof/>
                <w:webHidden/>
                <w:sz w:val="24"/>
                <w:szCs w:val="24"/>
              </w:rPr>
              <w:fldChar w:fldCharType="separate"/>
            </w:r>
            <w:r w:rsidR="00B20877">
              <w:rPr>
                <w:rFonts w:ascii="Arial" w:hAnsi="Arial" w:cs="Arial"/>
                <w:noProof/>
                <w:webHidden/>
                <w:sz w:val="24"/>
                <w:szCs w:val="24"/>
              </w:rPr>
              <w:t>3</w:t>
            </w:r>
            <w:r w:rsidRPr="00C24648">
              <w:rPr>
                <w:rFonts w:ascii="Arial" w:hAnsi="Arial" w:cs="Arial"/>
                <w:noProof/>
                <w:webHidden/>
                <w:sz w:val="24"/>
                <w:szCs w:val="24"/>
              </w:rPr>
              <w:fldChar w:fldCharType="end"/>
            </w:r>
          </w:hyperlink>
        </w:p>
        <w:p w14:paraId="77ACBBDB" w14:textId="0384CF34" w:rsidR="00C62BC2" w:rsidRPr="00C24648" w:rsidRDefault="00C62BC2" w:rsidP="00C24648">
          <w:pPr>
            <w:pStyle w:val="TOC2"/>
            <w:tabs>
              <w:tab w:val="right" w:leader="dot" w:pos="9350"/>
            </w:tabs>
            <w:spacing w:after="0" w:line="360" w:lineRule="auto"/>
            <w:contextualSpacing/>
            <w:jc w:val="both"/>
            <w:rPr>
              <w:rFonts w:ascii="Arial" w:eastAsiaTheme="minorEastAsia" w:hAnsi="Arial" w:cs="Arial"/>
              <w:noProof/>
              <w:sz w:val="24"/>
              <w:szCs w:val="24"/>
            </w:rPr>
          </w:pPr>
          <w:hyperlink w:anchor="_Toc227347020" w:history="1">
            <w:r w:rsidRPr="00C24648">
              <w:rPr>
                <w:rStyle w:val="Hyperlink"/>
                <w:rFonts w:ascii="Arial" w:hAnsi="Arial" w:cs="Arial"/>
                <w:noProof/>
                <w:sz w:val="24"/>
                <w:szCs w:val="24"/>
              </w:rPr>
              <w:t>2.1 Five-Year Performance Overview</w:t>
            </w:r>
            <w:r w:rsidRPr="00C24648">
              <w:rPr>
                <w:rFonts w:ascii="Arial" w:hAnsi="Arial" w:cs="Arial"/>
                <w:noProof/>
                <w:webHidden/>
                <w:sz w:val="24"/>
                <w:szCs w:val="24"/>
              </w:rPr>
              <w:tab/>
            </w:r>
            <w:r w:rsidRPr="00C24648">
              <w:rPr>
                <w:rFonts w:ascii="Arial" w:hAnsi="Arial" w:cs="Arial"/>
                <w:noProof/>
                <w:webHidden/>
                <w:sz w:val="24"/>
                <w:szCs w:val="24"/>
              </w:rPr>
              <w:fldChar w:fldCharType="begin"/>
            </w:r>
            <w:r w:rsidRPr="00C24648">
              <w:rPr>
                <w:rFonts w:ascii="Arial" w:hAnsi="Arial" w:cs="Arial"/>
                <w:noProof/>
                <w:webHidden/>
                <w:sz w:val="24"/>
                <w:szCs w:val="24"/>
              </w:rPr>
              <w:instrText xml:space="preserve"> PAGEREF _Toc227347020 \h </w:instrText>
            </w:r>
            <w:r w:rsidRPr="00C24648">
              <w:rPr>
                <w:rFonts w:ascii="Arial" w:hAnsi="Arial" w:cs="Arial"/>
                <w:noProof/>
                <w:webHidden/>
                <w:sz w:val="24"/>
                <w:szCs w:val="24"/>
              </w:rPr>
            </w:r>
            <w:r w:rsidRPr="00C24648">
              <w:rPr>
                <w:rFonts w:ascii="Arial" w:hAnsi="Arial" w:cs="Arial"/>
                <w:noProof/>
                <w:webHidden/>
                <w:sz w:val="24"/>
                <w:szCs w:val="24"/>
              </w:rPr>
              <w:fldChar w:fldCharType="separate"/>
            </w:r>
            <w:r w:rsidR="00B20877">
              <w:rPr>
                <w:rFonts w:ascii="Arial" w:hAnsi="Arial" w:cs="Arial"/>
                <w:noProof/>
                <w:webHidden/>
                <w:sz w:val="24"/>
                <w:szCs w:val="24"/>
              </w:rPr>
              <w:t>4</w:t>
            </w:r>
            <w:r w:rsidRPr="00C24648">
              <w:rPr>
                <w:rFonts w:ascii="Arial" w:hAnsi="Arial" w:cs="Arial"/>
                <w:noProof/>
                <w:webHidden/>
                <w:sz w:val="24"/>
                <w:szCs w:val="24"/>
              </w:rPr>
              <w:fldChar w:fldCharType="end"/>
            </w:r>
          </w:hyperlink>
        </w:p>
        <w:p w14:paraId="38AFB72C" w14:textId="23D55307" w:rsidR="00C62BC2" w:rsidRPr="00C24648" w:rsidRDefault="00C62BC2" w:rsidP="00C24648">
          <w:pPr>
            <w:pStyle w:val="TOC2"/>
            <w:tabs>
              <w:tab w:val="right" w:leader="dot" w:pos="9350"/>
            </w:tabs>
            <w:spacing w:after="0" w:line="360" w:lineRule="auto"/>
            <w:contextualSpacing/>
            <w:jc w:val="both"/>
            <w:rPr>
              <w:rFonts w:ascii="Arial" w:eastAsiaTheme="minorEastAsia" w:hAnsi="Arial" w:cs="Arial"/>
              <w:noProof/>
              <w:sz w:val="24"/>
              <w:szCs w:val="24"/>
            </w:rPr>
          </w:pPr>
          <w:hyperlink w:anchor="_Toc227347021" w:history="1">
            <w:r w:rsidRPr="00C24648">
              <w:rPr>
                <w:rStyle w:val="Hyperlink"/>
                <w:rFonts w:ascii="Arial" w:hAnsi="Arial" w:cs="Arial"/>
                <w:noProof/>
                <w:sz w:val="24"/>
                <w:szCs w:val="24"/>
              </w:rPr>
              <w:t>2.2 Full Ratio Analysis</w:t>
            </w:r>
            <w:r w:rsidRPr="00C24648">
              <w:rPr>
                <w:rFonts w:ascii="Arial" w:hAnsi="Arial" w:cs="Arial"/>
                <w:noProof/>
                <w:webHidden/>
                <w:sz w:val="24"/>
                <w:szCs w:val="24"/>
              </w:rPr>
              <w:tab/>
            </w:r>
            <w:r w:rsidRPr="00C24648">
              <w:rPr>
                <w:rFonts w:ascii="Arial" w:hAnsi="Arial" w:cs="Arial"/>
                <w:noProof/>
                <w:webHidden/>
                <w:sz w:val="24"/>
                <w:szCs w:val="24"/>
              </w:rPr>
              <w:fldChar w:fldCharType="begin"/>
            </w:r>
            <w:r w:rsidRPr="00C24648">
              <w:rPr>
                <w:rFonts w:ascii="Arial" w:hAnsi="Arial" w:cs="Arial"/>
                <w:noProof/>
                <w:webHidden/>
                <w:sz w:val="24"/>
                <w:szCs w:val="24"/>
              </w:rPr>
              <w:instrText xml:space="preserve"> PAGEREF _Toc227347021 \h </w:instrText>
            </w:r>
            <w:r w:rsidRPr="00C24648">
              <w:rPr>
                <w:rFonts w:ascii="Arial" w:hAnsi="Arial" w:cs="Arial"/>
                <w:noProof/>
                <w:webHidden/>
                <w:sz w:val="24"/>
                <w:szCs w:val="24"/>
              </w:rPr>
            </w:r>
            <w:r w:rsidRPr="00C24648">
              <w:rPr>
                <w:rFonts w:ascii="Arial" w:hAnsi="Arial" w:cs="Arial"/>
                <w:noProof/>
                <w:webHidden/>
                <w:sz w:val="24"/>
                <w:szCs w:val="24"/>
              </w:rPr>
              <w:fldChar w:fldCharType="separate"/>
            </w:r>
            <w:r w:rsidR="00B20877">
              <w:rPr>
                <w:rFonts w:ascii="Arial" w:hAnsi="Arial" w:cs="Arial"/>
                <w:noProof/>
                <w:webHidden/>
                <w:sz w:val="24"/>
                <w:szCs w:val="24"/>
              </w:rPr>
              <w:t>4</w:t>
            </w:r>
            <w:r w:rsidRPr="00C24648">
              <w:rPr>
                <w:rFonts w:ascii="Arial" w:hAnsi="Arial" w:cs="Arial"/>
                <w:noProof/>
                <w:webHidden/>
                <w:sz w:val="24"/>
                <w:szCs w:val="24"/>
              </w:rPr>
              <w:fldChar w:fldCharType="end"/>
            </w:r>
          </w:hyperlink>
        </w:p>
        <w:p w14:paraId="4812DB24" w14:textId="162465F7" w:rsidR="00C62BC2" w:rsidRPr="00C24648" w:rsidRDefault="00C62BC2" w:rsidP="00C24648">
          <w:pPr>
            <w:pStyle w:val="TOC3"/>
            <w:tabs>
              <w:tab w:val="right" w:leader="dot" w:pos="9350"/>
            </w:tabs>
            <w:spacing w:after="0" w:line="360" w:lineRule="auto"/>
            <w:contextualSpacing/>
            <w:jc w:val="both"/>
            <w:rPr>
              <w:rFonts w:ascii="Arial" w:eastAsiaTheme="minorEastAsia" w:hAnsi="Arial" w:cs="Arial"/>
              <w:noProof/>
              <w:sz w:val="24"/>
              <w:szCs w:val="24"/>
            </w:rPr>
          </w:pPr>
          <w:hyperlink w:anchor="_Toc227347022" w:history="1">
            <w:r w:rsidRPr="00C24648">
              <w:rPr>
                <w:rStyle w:val="Hyperlink"/>
                <w:rFonts w:ascii="Arial" w:hAnsi="Arial" w:cs="Arial"/>
                <w:noProof/>
                <w:sz w:val="24"/>
                <w:szCs w:val="24"/>
              </w:rPr>
              <w:t>2.2.1 Profitability Ratios</w:t>
            </w:r>
            <w:r w:rsidRPr="00C24648">
              <w:rPr>
                <w:rFonts w:ascii="Arial" w:hAnsi="Arial" w:cs="Arial"/>
                <w:noProof/>
                <w:webHidden/>
                <w:sz w:val="24"/>
                <w:szCs w:val="24"/>
              </w:rPr>
              <w:tab/>
            </w:r>
            <w:r w:rsidRPr="00C24648">
              <w:rPr>
                <w:rFonts w:ascii="Arial" w:hAnsi="Arial" w:cs="Arial"/>
                <w:noProof/>
                <w:webHidden/>
                <w:sz w:val="24"/>
                <w:szCs w:val="24"/>
              </w:rPr>
              <w:fldChar w:fldCharType="begin"/>
            </w:r>
            <w:r w:rsidRPr="00C24648">
              <w:rPr>
                <w:rFonts w:ascii="Arial" w:hAnsi="Arial" w:cs="Arial"/>
                <w:noProof/>
                <w:webHidden/>
                <w:sz w:val="24"/>
                <w:szCs w:val="24"/>
              </w:rPr>
              <w:instrText xml:space="preserve"> PAGEREF _Toc227347022 \h </w:instrText>
            </w:r>
            <w:r w:rsidRPr="00C24648">
              <w:rPr>
                <w:rFonts w:ascii="Arial" w:hAnsi="Arial" w:cs="Arial"/>
                <w:noProof/>
                <w:webHidden/>
                <w:sz w:val="24"/>
                <w:szCs w:val="24"/>
              </w:rPr>
            </w:r>
            <w:r w:rsidRPr="00C24648">
              <w:rPr>
                <w:rFonts w:ascii="Arial" w:hAnsi="Arial" w:cs="Arial"/>
                <w:noProof/>
                <w:webHidden/>
                <w:sz w:val="24"/>
                <w:szCs w:val="24"/>
              </w:rPr>
              <w:fldChar w:fldCharType="separate"/>
            </w:r>
            <w:r w:rsidR="00B20877">
              <w:rPr>
                <w:rFonts w:ascii="Arial" w:hAnsi="Arial" w:cs="Arial"/>
                <w:noProof/>
                <w:webHidden/>
                <w:sz w:val="24"/>
                <w:szCs w:val="24"/>
              </w:rPr>
              <w:t>4</w:t>
            </w:r>
            <w:r w:rsidRPr="00C24648">
              <w:rPr>
                <w:rFonts w:ascii="Arial" w:hAnsi="Arial" w:cs="Arial"/>
                <w:noProof/>
                <w:webHidden/>
                <w:sz w:val="24"/>
                <w:szCs w:val="24"/>
              </w:rPr>
              <w:fldChar w:fldCharType="end"/>
            </w:r>
          </w:hyperlink>
        </w:p>
        <w:p w14:paraId="166DCAD9" w14:textId="7D1E6BE5" w:rsidR="00C62BC2" w:rsidRPr="00C24648" w:rsidRDefault="00C62BC2" w:rsidP="00C24648">
          <w:pPr>
            <w:pStyle w:val="TOC3"/>
            <w:tabs>
              <w:tab w:val="right" w:leader="dot" w:pos="9350"/>
            </w:tabs>
            <w:spacing w:after="0" w:line="360" w:lineRule="auto"/>
            <w:contextualSpacing/>
            <w:jc w:val="both"/>
            <w:rPr>
              <w:rFonts w:ascii="Arial" w:eastAsiaTheme="minorEastAsia" w:hAnsi="Arial" w:cs="Arial"/>
              <w:noProof/>
              <w:sz w:val="24"/>
              <w:szCs w:val="24"/>
            </w:rPr>
          </w:pPr>
          <w:hyperlink w:anchor="_Toc227347023" w:history="1">
            <w:r w:rsidRPr="00C24648">
              <w:rPr>
                <w:rStyle w:val="Hyperlink"/>
                <w:rFonts w:ascii="Arial" w:hAnsi="Arial" w:cs="Arial"/>
                <w:noProof/>
                <w:sz w:val="24"/>
                <w:szCs w:val="24"/>
              </w:rPr>
              <w:t>2.2.2 Liquidity Ratios</w:t>
            </w:r>
            <w:r w:rsidRPr="00C24648">
              <w:rPr>
                <w:rFonts w:ascii="Arial" w:hAnsi="Arial" w:cs="Arial"/>
                <w:noProof/>
                <w:webHidden/>
                <w:sz w:val="24"/>
                <w:szCs w:val="24"/>
              </w:rPr>
              <w:tab/>
            </w:r>
            <w:r w:rsidRPr="00C24648">
              <w:rPr>
                <w:rFonts w:ascii="Arial" w:hAnsi="Arial" w:cs="Arial"/>
                <w:noProof/>
                <w:webHidden/>
                <w:sz w:val="24"/>
                <w:szCs w:val="24"/>
              </w:rPr>
              <w:fldChar w:fldCharType="begin"/>
            </w:r>
            <w:r w:rsidRPr="00C24648">
              <w:rPr>
                <w:rFonts w:ascii="Arial" w:hAnsi="Arial" w:cs="Arial"/>
                <w:noProof/>
                <w:webHidden/>
                <w:sz w:val="24"/>
                <w:szCs w:val="24"/>
              </w:rPr>
              <w:instrText xml:space="preserve"> PAGEREF _Toc227347023 \h </w:instrText>
            </w:r>
            <w:r w:rsidRPr="00C24648">
              <w:rPr>
                <w:rFonts w:ascii="Arial" w:hAnsi="Arial" w:cs="Arial"/>
                <w:noProof/>
                <w:webHidden/>
                <w:sz w:val="24"/>
                <w:szCs w:val="24"/>
              </w:rPr>
            </w:r>
            <w:r w:rsidRPr="00C24648">
              <w:rPr>
                <w:rFonts w:ascii="Arial" w:hAnsi="Arial" w:cs="Arial"/>
                <w:noProof/>
                <w:webHidden/>
                <w:sz w:val="24"/>
                <w:szCs w:val="24"/>
              </w:rPr>
              <w:fldChar w:fldCharType="separate"/>
            </w:r>
            <w:r w:rsidR="00B20877">
              <w:rPr>
                <w:rFonts w:ascii="Arial" w:hAnsi="Arial" w:cs="Arial"/>
                <w:noProof/>
                <w:webHidden/>
                <w:sz w:val="24"/>
                <w:szCs w:val="24"/>
              </w:rPr>
              <w:t>5</w:t>
            </w:r>
            <w:r w:rsidRPr="00C24648">
              <w:rPr>
                <w:rFonts w:ascii="Arial" w:hAnsi="Arial" w:cs="Arial"/>
                <w:noProof/>
                <w:webHidden/>
                <w:sz w:val="24"/>
                <w:szCs w:val="24"/>
              </w:rPr>
              <w:fldChar w:fldCharType="end"/>
            </w:r>
          </w:hyperlink>
        </w:p>
        <w:p w14:paraId="0D0BA759" w14:textId="73E6EB97" w:rsidR="00C62BC2" w:rsidRPr="00C24648" w:rsidRDefault="00C62BC2" w:rsidP="00C24648">
          <w:pPr>
            <w:pStyle w:val="TOC3"/>
            <w:tabs>
              <w:tab w:val="right" w:leader="dot" w:pos="9350"/>
            </w:tabs>
            <w:spacing w:after="0" w:line="360" w:lineRule="auto"/>
            <w:contextualSpacing/>
            <w:jc w:val="both"/>
            <w:rPr>
              <w:rFonts w:ascii="Arial" w:eastAsiaTheme="minorEastAsia" w:hAnsi="Arial" w:cs="Arial"/>
              <w:noProof/>
              <w:sz w:val="24"/>
              <w:szCs w:val="24"/>
            </w:rPr>
          </w:pPr>
          <w:hyperlink w:anchor="_Toc227347024" w:history="1">
            <w:r w:rsidRPr="00C24648">
              <w:rPr>
                <w:rStyle w:val="Hyperlink"/>
                <w:rFonts w:ascii="Arial" w:hAnsi="Arial" w:cs="Arial"/>
                <w:noProof/>
                <w:sz w:val="24"/>
                <w:szCs w:val="24"/>
              </w:rPr>
              <w:t>2.2.3 Efficiency Ratios</w:t>
            </w:r>
            <w:r w:rsidRPr="00C24648">
              <w:rPr>
                <w:rFonts w:ascii="Arial" w:hAnsi="Arial" w:cs="Arial"/>
                <w:noProof/>
                <w:webHidden/>
                <w:sz w:val="24"/>
                <w:szCs w:val="24"/>
              </w:rPr>
              <w:tab/>
            </w:r>
            <w:r w:rsidRPr="00C24648">
              <w:rPr>
                <w:rFonts w:ascii="Arial" w:hAnsi="Arial" w:cs="Arial"/>
                <w:noProof/>
                <w:webHidden/>
                <w:sz w:val="24"/>
                <w:szCs w:val="24"/>
              </w:rPr>
              <w:fldChar w:fldCharType="begin"/>
            </w:r>
            <w:r w:rsidRPr="00C24648">
              <w:rPr>
                <w:rFonts w:ascii="Arial" w:hAnsi="Arial" w:cs="Arial"/>
                <w:noProof/>
                <w:webHidden/>
                <w:sz w:val="24"/>
                <w:szCs w:val="24"/>
              </w:rPr>
              <w:instrText xml:space="preserve"> PAGEREF _Toc227347024 \h </w:instrText>
            </w:r>
            <w:r w:rsidRPr="00C24648">
              <w:rPr>
                <w:rFonts w:ascii="Arial" w:hAnsi="Arial" w:cs="Arial"/>
                <w:noProof/>
                <w:webHidden/>
                <w:sz w:val="24"/>
                <w:szCs w:val="24"/>
              </w:rPr>
            </w:r>
            <w:r w:rsidRPr="00C24648">
              <w:rPr>
                <w:rFonts w:ascii="Arial" w:hAnsi="Arial" w:cs="Arial"/>
                <w:noProof/>
                <w:webHidden/>
                <w:sz w:val="24"/>
                <w:szCs w:val="24"/>
              </w:rPr>
              <w:fldChar w:fldCharType="separate"/>
            </w:r>
            <w:r w:rsidR="00B20877">
              <w:rPr>
                <w:rFonts w:ascii="Arial" w:hAnsi="Arial" w:cs="Arial"/>
                <w:noProof/>
                <w:webHidden/>
                <w:sz w:val="24"/>
                <w:szCs w:val="24"/>
              </w:rPr>
              <w:t>5</w:t>
            </w:r>
            <w:r w:rsidRPr="00C24648">
              <w:rPr>
                <w:rFonts w:ascii="Arial" w:hAnsi="Arial" w:cs="Arial"/>
                <w:noProof/>
                <w:webHidden/>
                <w:sz w:val="24"/>
                <w:szCs w:val="24"/>
              </w:rPr>
              <w:fldChar w:fldCharType="end"/>
            </w:r>
          </w:hyperlink>
        </w:p>
        <w:p w14:paraId="131FC3DF" w14:textId="47966DFA" w:rsidR="00C62BC2" w:rsidRPr="00C24648" w:rsidRDefault="00C62BC2" w:rsidP="00C24648">
          <w:pPr>
            <w:pStyle w:val="TOC3"/>
            <w:tabs>
              <w:tab w:val="right" w:leader="dot" w:pos="9350"/>
            </w:tabs>
            <w:spacing w:after="0" w:line="360" w:lineRule="auto"/>
            <w:contextualSpacing/>
            <w:jc w:val="both"/>
            <w:rPr>
              <w:rFonts w:ascii="Arial" w:eastAsiaTheme="minorEastAsia" w:hAnsi="Arial" w:cs="Arial"/>
              <w:noProof/>
              <w:sz w:val="24"/>
              <w:szCs w:val="24"/>
            </w:rPr>
          </w:pPr>
          <w:hyperlink w:anchor="_Toc227347025" w:history="1">
            <w:r w:rsidRPr="00C24648">
              <w:rPr>
                <w:rStyle w:val="Hyperlink"/>
                <w:rFonts w:ascii="Arial" w:hAnsi="Arial" w:cs="Arial"/>
                <w:noProof/>
                <w:sz w:val="24"/>
                <w:szCs w:val="24"/>
              </w:rPr>
              <w:t>2.2.4 Gearing Ratios</w:t>
            </w:r>
            <w:r w:rsidRPr="00C24648">
              <w:rPr>
                <w:rFonts w:ascii="Arial" w:hAnsi="Arial" w:cs="Arial"/>
                <w:noProof/>
                <w:webHidden/>
                <w:sz w:val="24"/>
                <w:szCs w:val="24"/>
              </w:rPr>
              <w:tab/>
            </w:r>
            <w:r w:rsidRPr="00C24648">
              <w:rPr>
                <w:rFonts w:ascii="Arial" w:hAnsi="Arial" w:cs="Arial"/>
                <w:noProof/>
                <w:webHidden/>
                <w:sz w:val="24"/>
                <w:szCs w:val="24"/>
              </w:rPr>
              <w:fldChar w:fldCharType="begin"/>
            </w:r>
            <w:r w:rsidRPr="00C24648">
              <w:rPr>
                <w:rFonts w:ascii="Arial" w:hAnsi="Arial" w:cs="Arial"/>
                <w:noProof/>
                <w:webHidden/>
                <w:sz w:val="24"/>
                <w:szCs w:val="24"/>
              </w:rPr>
              <w:instrText xml:space="preserve"> PAGEREF _Toc227347025 \h </w:instrText>
            </w:r>
            <w:r w:rsidRPr="00C24648">
              <w:rPr>
                <w:rFonts w:ascii="Arial" w:hAnsi="Arial" w:cs="Arial"/>
                <w:noProof/>
                <w:webHidden/>
                <w:sz w:val="24"/>
                <w:szCs w:val="24"/>
              </w:rPr>
            </w:r>
            <w:r w:rsidRPr="00C24648">
              <w:rPr>
                <w:rFonts w:ascii="Arial" w:hAnsi="Arial" w:cs="Arial"/>
                <w:noProof/>
                <w:webHidden/>
                <w:sz w:val="24"/>
                <w:szCs w:val="24"/>
              </w:rPr>
              <w:fldChar w:fldCharType="separate"/>
            </w:r>
            <w:r w:rsidR="00B20877">
              <w:rPr>
                <w:rFonts w:ascii="Arial" w:hAnsi="Arial" w:cs="Arial"/>
                <w:noProof/>
                <w:webHidden/>
                <w:sz w:val="24"/>
                <w:szCs w:val="24"/>
              </w:rPr>
              <w:t>6</w:t>
            </w:r>
            <w:r w:rsidRPr="00C24648">
              <w:rPr>
                <w:rFonts w:ascii="Arial" w:hAnsi="Arial" w:cs="Arial"/>
                <w:noProof/>
                <w:webHidden/>
                <w:sz w:val="24"/>
                <w:szCs w:val="24"/>
              </w:rPr>
              <w:fldChar w:fldCharType="end"/>
            </w:r>
          </w:hyperlink>
        </w:p>
        <w:p w14:paraId="44AA00E0" w14:textId="183279C4" w:rsidR="00C62BC2" w:rsidRPr="00C24648" w:rsidRDefault="00C62BC2" w:rsidP="00C24648">
          <w:pPr>
            <w:pStyle w:val="TOC3"/>
            <w:tabs>
              <w:tab w:val="right" w:leader="dot" w:pos="9350"/>
            </w:tabs>
            <w:spacing w:after="0" w:line="360" w:lineRule="auto"/>
            <w:contextualSpacing/>
            <w:jc w:val="both"/>
            <w:rPr>
              <w:rFonts w:ascii="Arial" w:eastAsiaTheme="minorEastAsia" w:hAnsi="Arial" w:cs="Arial"/>
              <w:noProof/>
              <w:sz w:val="24"/>
              <w:szCs w:val="24"/>
            </w:rPr>
          </w:pPr>
          <w:hyperlink w:anchor="_Toc227347026" w:history="1">
            <w:r w:rsidRPr="00C24648">
              <w:rPr>
                <w:rStyle w:val="Hyperlink"/>
                <w:rFonts w:ascii="Arial" w:hAnsi="Arial" w:cs="Arial"/>
                <w:noProof/>
                <w:sz w:val="24"/>
                <w:szCs w:val="24"/>
              </w:rPr>
              <w:t>2.2.5 Investment Ratios</w:t>
            </w:r>
            <w:r w:rsidRPr="00C24648">
              <w:rPr>
                <w:rFonts w:ascii="Arial" w:hAnsi="Arial" w:cs="Arial"/>
                <w:noProof/>
                <w:webHidden/>
                <w:sz w:val="24"/>
                <w:szCs w:val="24"/>
              </w:rPr>
              <w:tab/>
            </w:r>
            <w:r w:rsidRPr="00C24648">
              <w:rPr>
                <w:rFonts w:ascii="Arial" w:hAnsi="Arial" w:cs="Arial"/>
                <w:noProof/>
                <w:webHidden/>
                <w:sz w:val="24"/>
                <w:szCs w:val="24"/>
              </w:rPr>
              <w:fldChar w:fldCharType="begin"/>
            </w:r>
            <w:r w:rsidRPr="00C24648">
              <w:rPr>
                <w:rFonts w:ascii="Arial" w:hAnsi="Arial" w:cs="Arial"/>
                <w:noProof/>
                <w:webHidden/>
                <w:sz w:val="24"/>
                <w:szCs w:val="24"/>
              </w:rPr>
              <w:instrText xml:space="preserve"> PAGEREF _Toc227347026 \h </w:instrText>
            </w:r>
            <w:r w:rsidRPr="00C24648">
              <w:rPr>
                <w:rFonts w:ascii="Arial" w:hAnsi="Arial" w:cs="Arial"/>
                <w:noProof/>
                <w:webHidden/>
                <w:sz w:val="24"/>
                <w:szCs w:val="24"/>
              </w:rPr>
            </w:r>
            <w:r w:rsidRPr="00C24648">
              <w:rPr>
                <w:rFonts w:ascii="Arial" w:hAnsi="Arial" w:cs="Arial"/>
                <w:noProof/>
                <w:webHidden/>
                <w:sz w:val="24"/>
                <w:szCs w:val="24"/>
              </w:rPr>
              <w:fldChar w:fldCharType="separate"/>
            </w:r>
            <w:r w:rsidR="00B20877">
              <w:rPr>
                <w:rFonts w:ascii="Arial" w:hAnsi="Arial" w:cs="Arial"/>
                <w:noProof/>
                <w:webHidden/>
                <w:sz w:val="24"/>
                <w:szCs w:val="24"/>
              </w:rPr>
              <w:t>7</w:t>
            </w:r>
            <w:r w:rsidRPr="00C24648">
              <w:rPr>
                <w:rFonts w:ascii="Arial" w:hAnsi="Arial" w:cs="Arial"/>
                <w:noProof/>
                <w:webHidden/>
                <w:sz w:val="24"/>
                <w:szCs w:val="24"/>
              </w:rPr>
              <w:fldChar w:fldCharType="end"/>
            </w:r>
          </w:hyperlink>
        </w:p>
        <w:p w14:paraId="48F07A6D" w14:textId="085702A1" w:rsidR="00C62BC2" w:rsidRPr="00C24648" w:rsidRDefault="00C62BC2" w:rsidP="00C24648">
          <w:pPr>
            <w:pStyle w:val="TOC3"/>
            <w:tabs>
              <w:tab w:val="right" w:leader="dot" w:pos="9350"/>
            </w:tabs>
            <w:spacing w:after="0" w:line="360" w:lineRule="auto"/>
            <w:contextualSpacing/>
            <w:jc w:val="both"/>
            <w:rPr>
              <w:rFonts w:ascii="Arial" w:eastAsiaTheme="minorEastAsia" w:hAnsi="Arial" w:cs="Arial"/>
              <w:noProof/>
              <w:sz w:val="24"/>
              <w:szCs w:val="24"/>
            </w:rPr>
          </w:pPr>
          <w:hyperlink w:anchor="_Toc227347027" w:history="1">
            <w:r w:rsidRPr="00C24648">
              <w:rPr>
                <w:rStyle w:val="Hyperlink"/>
                <w:rFonts w:ascii="Arial" w:hAnsi="Arial" w:cs="Arial"/>
                <w:noProof/>
                <w:sz w:val="24"/>
                <w:szCs w:val="24"/>
              </w:rPr>
              <w:t>2.2.6 Cash Flow Ratios</w:t>
            </w:r>
            <w:r w:rsidRPr="00C24648">
              <w:rPr>
                <w:rFonts w:ascii="Arial" w:hAnsi="Arial" w:cs="Arial"/>
                <w:noProof/>
                <w:webHidden/>
                <w:sz w:val="24"/>
                <w:szCs w:val="24"/>
              </w:rPr>
              <w:tab/>
            </w:r>
            <w:r w:rsidRPr="00C24648">
              <w:rPr>
                <w:rFonts w:ascii="Arial" w:hAnsi="Arial" w:cs="Arial"/>
                <w:noProof/>
                <w:webHidden/>
                <w:sz w:val="24"/>
                <w:szCs w:val="24"/>
              </w:rPr>
              <w:fldChar w:fldCharType="begin"/>
            </w:r>
            <w:r w:rsidRPr="00C24648">
              <w:rPr>
                <w:rFonts w:ascii="Arial" w:hAnsi="Arial" w:cs="Arial"/>
                <w:noProof/>
                <w:webHidden/>
                <w:sz w:val="24"/>
                <w:szCs w:val="24"/>
              </w:rPr>
              <w:instrText xml:space="preserve"> PAGEREF _Toc227347027 \h </w:instrText>
            </w:r>
            <w:r w:rsidRPr="00C24648">
              <w:rPr>
                <w:rFonts w:ascii="Arial" w:hAnsi="Arial" w:cs="Arial"/>
                <w:noProof/>
                <w:webHidden/>
                <w:sz w:val="24"/>
                <w:szCs w:val="24"/>
              </w:rPr>
            </w:r>
            <w:r w:rsidRPr="00C24648">
              <w:rPr>
                <w:rFonts w:ascii="Arial" w:hAnsi="Arial" w:cs="Arial"/>
                <w:noProof/>
                <w:webHidden/>
                <w:sz w:val="24"/>
                <w:szCs w:val="24"/>
              </w:rPr>
              <w:fldChar w:fldCharType="separate"/>
            </w:r>
            <w:r w:rsidR="00B20877">
              <w:rPr>
                <w:rFonts w:ascii="Arial" w:hAnsi="Arial" w:cs="Arial"/>
                <w:noProof/>
                <w:webHidden/>
                <w:sz w:val="24"/>
                <w:szCs w:val="24"/>
              </w:rPr>
              <w:t>7</w:t>
            </w:r>
            <w:r w:rsidRPr="00C24648">
              <w:rPr>
                <w:rFonts w:ascii="Arial" w:hAnsi="Arial" w:cs="Arial"/>
                <w:noProof/>
                <w:webHidden/>
                <w:sz w:val="24"/>
                <w:szCs w:val="24"/>
              </w:rPr>
              <w:fldChar w:fldCharType="end"/>
            </w:r>
          </w:hyperlink>
        </w:p>
        <w:p w14:paraId="4C957466" w14:textId="2F02E460" w:rsidR="00C62BC2" w:rsidRPr="00C24648" w:rsidRDefault="00C62BC2" w:rsidP="00C24648">
          <w:pPr>
            <w:pStyle w:val="TOC1"/>
            <w:tabs>
              <w:tab w:val="right" w:leader="dot" w:pos="9350"/>
            </w:tabs>
            <w:spacing w:after="0" w:line="360" w:lineRule="auto"/>
            <w:contextualSpacing/>
            <w:jc w:val="both"/>
            <w:rPr>
              <w:rFonts w:ascii="Arial" w:eastAsiaTheme="minorEastAsia" w:hAnsi="Arial" w:cs="Arial"/>
              <w:noProof/>
              <w:sz w:val="24"/>
              <w:szCs w:val="24"/>
            </w:rPr>
          </w:pPr>
          <w:hyperlink w:anchor="_Toc227347028" w:history="1">
            <w:r w:rsidRPr="00C24648">
              <w:rPr>
                <w:rStyle w:val="Hyperlink"/>
                <w:rFonts w:ascii="Arial" w:hAnsi="Arial" w:cs="Arial"/>
                <w:noProof/>
                <w:sz w:val="24"/>
                <w:szCs w:val="24"/>
              </w:rPr>
              <w:t>3. Working Capital Management Analysis</w:t>
            </w:r>
            <w:r w:rsidRPr="00C24648">
              <w:rPr>
                <w:rFonts w:ascii="Arial" w:hAnsi="Arial" w:cs="Arial"/>
                <w:noProof/>
                <w:webHidden/>
                <w:sz w:val="24"/>
                <w:szCs w:val="24"/>
              </w:rPr>
              <w:tab/>
            </w:r>
            <w:r w:rsidRPr="00C24648">
              <w:rPr>
                <w:rFonts w:ascii="Arial" w:hAnsi="Arial" w:cs="Arial"/>
                <w:noProof/>
                <w:webHidden/>
                <w:sz w:val="24"/>
                <w:szCs w:val="24"/>
              </w:rPr>
              <w:fldChar w:fldCharType="begin"/>
            </w:r>
            <w:r w:rsidRPr="00C24648">
              <w:rPr>
                <w:rFonts w:ascii="Arial" w:hAnsi="Arial" w:cs="Arial"/>
                <w:noProof/>
                <w:webHidden/>
                <w:sz w:val="24"/>
                <w:szCs w:val="24"/>
              </w:rPr>
              <w:instrText xml:space="preserve"> PAGEREF _Toc227347028 \h </w:instrText>
            </w:r>
            <w:r w:rsidRPr="00C24648">
              <w:rPr>
                <w:rFonts w:ascii="Arial" w:hAnsi="Arial" w:cs="Arial"/>
                <w:noProof/>
                <w:webHidden/>
                <w:sz w:val="24"/>
                <w:szCs w:val="24"/>
              </w:rPr>
            </w:r>
            <w:r w:rsidRPr="00C24648">
              <w:rPr>
                <w:rFonts w:ascii="Arial" w:hAnsi="Arial" w:cs="Arial"/>
                <w:noProof/>
                <w:webHidden/>
                <w:sz w:val="24"/>
                <w:szCs w:val="24"/>
              </w:rPr>
              <w:fldChar w:fldCharType="separate"/>
            </w:r>
            <w:r w:rsidR="00B20877">
              <w:rPr>
                <w:rFonts w:ascii="Arial" w:hAnsi="Arial" w:cs="Arial"/>
                <w:noProof/>
                <w:webHidden/>
                <w:sz w:val="24"/>
                <w:szCs w:val="24"/>
              </w:rPr>
              <w:t>8</w:t>
            </w:r>
            <w:r w:rsidRPr="00C24648">
              <w:rPr>
                <w:rFonts w:ascii="Arial" w:hAnsi="Arial" w:cs="Arial"/>
                <w:noProof/>
                <w:webHidden/>
                <w:sz w:val="24"/>
                <w:szCs w:val="24"/>
              </w:rPr>
              <w:fldChar w:fldCharType="end"/>
            </w:r>
          </w:hyperlink>
        </w:p>
        <w:p w14:paraId="1C9F4DDD" w14:textId="2B958584" w:rsidR="00C62BC2" w:rsidRPr="00C24648" w:rsidRDefault="00C62BC2" w:rsidP="00C24648">
          <w:pPr>
            <w:pStyle w:val="TOC2"/>
            <w:tabs>
              <w:tab w:val="right" w:leader="dot" w:pos="9350"/>
            </w:tabs>
            <w:spacing w:after="0" w:line="360" w:lineRule="auto"/>
            <w:contextualSpacing/>
            <w:jc w:val="both"/>
            <w:rPr>
              <w:rFonts w:ascii="Arial" w:eastAsiaTheme="minorEastAsia" w:hAnsi="Arial" w:cs="Arial"/>
              <w:noProof/>
              <w:sz w:val="24"/>
              <w:szCs w:val="24"/>
            </w:rPr>
          </w:pPr>
          <w:hyperlink w:anchor="_Toc227347029" w:history="1">
            <w:r w:rsidRPr="00C24648">
              <w:rPr>
                <w:rStyle w:val="Hyperlink"/>
                <w:rFonts w:ascii="Arial" w:hAnsi="Arial" w:cs="Arial"/>
                <w:noProof/>
                <w:sz w:val="24"/>
                <w:szCs w:val="24"/>
              </w:rPr>
              <w:t>3.1 Assessment of Cash Operating Cycle</w:t>
            </w:r>
            <w:r w:rsidRPr="00C24648">
              <w:rPr>
                <w:rFonts w:ascii="Arial" w:hAnsi="Arial" w:cs="Arial"/>
                <w:noProof/>
                <w:webHidden/>
                <w:sz w:val="24"/>
                <w:szCs w:val="24"/>
              </w:rPr>
              <w:tab/>
            </w:r>
            <w:r w:rsidRPr="00C24648">
              <w:rPr>
                <w:rFonts w:ascii="Arial" w:hAnsi="Arial" w:cs="Arial"/>
                <w:noProof/>
                <w:webHidden/>
                <w:sz w:val="24"/>
                <w:szCs w:val="24"/>
              </w:rPr>
              <w:fldChar w:fldCharType="begin"/>
            </w:r>
            <w:r w:rsidRPr="00C24648">
              <w:rPr>
                <w:rFonts w:ascii="Arial" w:hAnsi="Arial" w:cs="Arial"/>
                <w:noProof/>
                <w:webHidden/>
                <w:sz w:val="24"/>
                <w:szCs w:val="24"/>
              </w:rPr>
              <w:instrText xml:space="preserve"> PAGEREF _Toc227347029 \h </w:instrText>
            </w:r>
            <w:r w:rsidRPr="00C24648">
              <w:rPr>
                <w:rFonts w:ascii="Arial" w:hAnsi="Arial" w:cs="Arial"/>
                <w:noProof/>
                <w:webHidden/>
                <w:sz w:val="24"/>
                <w:szCs w:val="24"/>
              </w:rPr>
            </w:r>
            <w:r w:rsidRPr="00C24648">
              <w:rPr>
                <w:rFonts w:ascii="Arial" w:hAnsi="Arial" w:cs="Arial"/>
                <w:noProof/>
                <w:webHidden/>
                <w:sz w:val="24"/>
                <w:szCs w:val="24"/>
              </w:rPr>
              <w:fldChar w:fldCharType="separate"/>
            </w:r>
            <w:r w:rsidR="00B20877">
              <w:rPr>
                <w:rFonts w:ascii="Arial" w:hAnsi="Arial" w:cs="Arial"/>
                <w:noProof/>
                <w:webHidden/>
                <w:sz w:val="24"/>
                <w:szCs w:val="24"/>
              </w:rPr>
              <w:t>8</w:t>
            </w:r>
            <w:r w:rsidRPr="00C24648">
              <w:rPr>
                <w:rFonts w:ascii="Arial" w:hAnsi="Arial" w:cs="Arial"/>
                <w:noProof/>
                <w:webHidden/>
                <w:sz w:val="24"/>
                <w:szCs w:val="24"/>
              </w:rPr>
              <w:fldChar w:fldCharType="end"/>
            </w:r>
          </w:hyperlink>
        </w:p>
        <w:p w14:paraId="267AE4D6" w14:textId="3E6FE42F" w:rsidR="00C62BC2" w:rsidRPr="00C24648" w:rsidRDefault="00C62BC2" w:rsidP="00C24648">
          <w:pPr>
            <w:pStyle w:val="TOC2"/>
            <w:tabs>
              <w:tab w:val="right" w:leader="dot" w:pos="9350"/>
            </w:tabs>
            <w:spacing w:after="0" w:line="360" w:lineRule="auto"/>
            <w:contextualSpacing/>
            <w:jc w:val="both"/>
            <w:rPr>
              <w:rFonts w:ascii="Arial" w:eastAsiaTheme="minorEastAsia" w:hAnsi="Arial" w:cs="Arial"/>
              <w:noProof/>
              <w:sz w:val="24"/>
              <w:szCs w:val="24"/>
            </w:rPr>
          </w:pPr>
          <w:hyperlink w:anchor="_Toc227347030" w:history="1">
            <w:r w:rsidRPr="00C24648">
              <w:rPr>
                <w:rStyle w:val="Hyperlink"/>
                <w:rFonts w:ascii="Arial" w:hAnsi="Arial" w:cs="Arial"/>
                <w:noProof/>
                <w:sz w:val="24"/>
                <w:szCs w:val="24"/>
              </w:rPr>
              <w:t>3.2 Strategies to Improve Working Capital Efficiency</w:t>
            </w:r>
            <w:r w:rsidRPr="00C24648">
              <w:rPr>
                <w:rFonts w:ascii="Arial" w:hAnsi="Arial" w:cs="Arial"/>
                <w:noProof/>
                <w:webHidden/>
                <w:sz w:val="24"/>
                <w:szCs w:val="24"/>
              </w:rPr>
              <w:tab/>
            </w:r>
            <w:r w:rsidRPr="00C24648">
              <w:rPr>
                <w:rFonts w:ascii="Arial" w:hAnsi="Arial" w:cs="Arial"/>
                <w:noProof/>
                <w:webHidden/>
                <w:sz w:val="24"/>
                <w:szCs w:val="24"/>
              </w:rPr>
              <w:fldChar w:fldCharType="begin"/>
            </w:r>
            <w:r w:rsidRPr="00C24648">
              <w:rPr>
                <w:rFonts w:ascii="Arial" w:hAnsi="Arial" w:cs="Arial"/>
                <w:noProof/>
                <w:webHidden/>
                <w:sz w:val="24"/>
                <w:szCs w:val="24"/>
              </w:rPr>
              <w:instrText xml:space="preserve"> PAGEREF _Toc227347030 \h </w:instrText>
            </w:r>
            <w:r w:rsidRPr="00C24648">
              <w:rPr>
                <w:rFonts w:ascii="Arial" w:hAnsi="Arial" w:cs="Arial"/>
                <w:noProof/>
                <w:webHidden/>
                <w:sz w:val="24"/>
                <w:szCs w:val="24"/>
              </w:rPr>
            </w:r>
            <w:r w:rsidRPr="00C24648">
              <w:rPr>
                <w:rFonts w:ascii="Arial" w:hAnsi="Arial" w:cs="Arial"/>
                <w:noProof/>
                <w:webHidden/>
                <w:sz w:val="24"/>
                <w:szCs w:val="24"/>
              </w:rPr>
              <w:fldChar w:fldCharType="separate"/>
            </w:r>
            <w:r w:rsidR="00B20877">
              <w:rPr>
                <w:rFonts w:ascii="Arial" w:hAnsi="Arial" w:cs="Arial"/>
                <w:noProof/>
                <w:webHidden/>
                <w:sz w:val="24"/>
                <w:szCs w:val="24"/>
              </w:rPr>
              <w:t>9</w:t>
            </w:r>
            <w:r w:rsidRPr="00C24648">
              <w:rPr>
                <w:rFonts w:ascii="Arial" w:hAnsi="Arial" w:cs="Arial"/>
                <w:noProof/>
                <w:webHidden/>
                <w:sz w:val="24"/>
                <w:szCs w:val="24"/>
              </w:rPr>
              <w:fldChar w:fldCharType="end"/>
            </w:r>
          </w:hyperlink>
        </w:p>
        <w:p w14:paraId="53A9BF81" w14:textId="02412823" w:rsidR="00C62BC2" w:rsidRPr="00C24648" w:rsidRDefault="00C62BC2" w:rsidP="00C24648">
          <w:pPr>
            <w:pStyle w:val="TOC2"/>
            <w:tabs>
              <w:tab w:val="right" w:leader="dot" w:pos="9350"/>
            </w:tabs>
            <w:spacing w:after="0" w:line="360" w:lineRule="auto"/>
            <w:contextualSpacing/>
            <w:jc w:val="both"/>
            <w:rPr>
              <w:rFonts w:ascii="Arial" w:eastAsiaTheme="minorEastAsia" w:hAnsi="Arial" w:cs="Arial"/>
              <w:noProof/>
              <w:sz w:val="24"/>
              <w:szCs w:val="24"/>
            </w:rPr>
          </w:pPr>
          <w:hyperlink w:anchor="_Toc227347031" w:history="1">
            <w:r w:rsidRPr="00C24648">
              <w:rPr>
                <w:rStyle w:val="Hyperlink"/>
                <w:rFonts w:ascii="Arial" w:hAnsi="Arial" w:cs="Arial"/>
                <w:noProof/>
                <w:sz w:val="24"/>
                <w:szCs w:val="24"/>
              </w:rPr>
              <w:t>3.3 Short-Term vs Long-Term Financing Options</w:t>
            </w:r>
            <w:r w:rsidRPr="00C24648">
              <w:rPr>
                <w:rFonts w:ascii="Arial" w:hAnsi="Arial" w:cs="Arial"/>
                <w:noProof/>
                <w:webHidden/>
                <w:sz w:val="24"/>
                <w:szCs w:val="24"/>
              </w:rPr>
              <w:tab/>
            </w:r>
            <w:r w:rsidRPr="00C24648">
              <w:rPr>
                <w:rFonts w:ascii="Arial" w:hAnsi="Arial" w:cs="Arial"/>
                <w:noProof/>
                <w:webHidden/>
                <w:sz w:val="24"/>
                <w:szCs w:val="24"/>
              </w:rPr>
              <w:fldChar w:fldCharType="begin"/>
            </w:r>
            <w:r w:rsidRPr="00C24648">
              <w:rPr>
                <w:rFonts w:ascii="Arial" w:hAnsi="Arial" w:cs="Arial"/>
                <w:noProof/>
                <w:webHidden/>
                <w:sz w:val="24"/>
                <w:szCs w:val="24"/>
              </w:rPr>
              <w:instrText xml:space="preserve"> PAGEREF _Toc227347031 \h </w:instrText>
            </w:r>
            <w:r w:rsidRPr="00C24648">
              <w:rPr>
                <w:rFonts w:ascii="Arial" w:hAnsi="Arial" w:cs="Arial"/>
                <w:noProof/>
                <w:webHidden/>
                <w:sz w:val="24"/>
                <w:szCs w:val="24"/>
              </w:rPr>
            </w:r>
            <w:r w:rsidRPr="00C24648">
              <w:rPr>
                <w:rFonts w:ascii="Arial" w:hAnsi="Arial" w:cs="Arial"/>
                <w:noProof/>
                <w:webHidden/>
                <w:sz w:val="24"/>
                <w:szCs w:val="24"/>
              </w:rPr>
              <w:fldChar w:fldCharType="separate"/>
            </w:r>
            <w:r w:rsidR="00B20877">
              <w:rPr>
                <w:rFonts w:ascii="Arial" w:hAnsi="Arial" w:cs="Arial"/>
                <w:noProof/>
                <w:webHidden/>
                <w:sz w:val="24"/>
                <w:szCs w:val="24"/>
              </w:rPr>
              <w:t>10</w:t>
            </w:r>
            <w:r w:rsidRPr="00C24648">
              <w:rPr>
                <w:rFonts w:ascii="Arial" w:hAnsi="Arial" w:cs="Arial"/>
                <w:noProof/>
                <w:webHidden/>
                <w:sz w:val="24"/>
                <w:szCs w:val="24"/>
              </w:rPr>
              <w:fldChar w:fldCharType="end"/>
            </w:r>
          </w:hyperlink>
        </w:p>
        <w:p w14:paraId="3224A8EE" w14:textId="45BA4D0C" w:rsidR="00C62BC2" w:rsidRPr="00C24648" w:rsidRDefault="00C62BC2" w:rsidP="00C24648">
          <w:pPr>
            <w:pStyle w:val="TOC1"/>
            <w:tabs>
              <w:tab w:val="right" w:leader="dot" w:pos="9350"/>
            </w:tabs>
            <w:spacing w:after="0" w:line="360" w:lineRule="auto"/>
            <w:contextualSpacing/>
            <w:jc w:val="both"/>
            <w:rPr>
              <w:rFonts w:ascii="Arial" w:eastAsiaTheme="minorEastAsia" w:hAnsi="Arial" w:cs="Arial"/>
              <w:noProof/>
              <w:sz w:val="24"/>
              <w:szCs w:val="24"/>
            </w:rPr>
          </w:pPr>
          <w:hyperlink w:anchor="_Toc227347032" w:history="1">
            <w:r w:rsidRPr="00C24648">
              <w:rPr>
                <w:rStyle w:val="Hyperlink"/>
                <w:rFonts w:ascii="Arial" w:hAnsi="Arial" w:cs="Arial"/>
                <w:noProof/>
                <w:sz w:val="24"/>
                <w:szCs w:val="24"/>
              </w:rPr>
              <w:t>4. Strategic Financial Restructuring Plan</w:t>
            </w:r>
            <w:r w:rsidRPr="00C24648">
              <w:rPr>
                <w:rFonts w:ascii="Arial" w:hAnsi="Arial" w:cs="Arial"/>
                <w:noProof/>
                <w:webHidden/>
                <w:sz w:val="24"/>
                <w:szCs w:val="24"/>
              </w:rPr>
              <w:tab/>
            </w:r>
            <w:r w:rsidRPr="00C24648">
              <w:rPr>
                <w:rFonts w:ascii="Arial" w:hAnsi="Arial" w:cs="Arial"/>
                <w:noProof/>
                <w:webHidden/>
                <w:sz w:val="24"/>
                <w:szCs w:val="24"/>
              </w:rPr>
              <w:fldChar w:fldCharType="begin"/>
            </w:r>
            <w:r w:rsidRPr="00C24648">
              <w:rPr>
                <w:rFonts w:ascii="Arial" w:hAnsi="Arial" w:cs="Arial"/>
                <w:noProof/>
                <w:webHidden/>
                <w:sz w:val="24"/>
                <w:szCs w:val="24"/>
              </w:rPr>
              <w:instrText xml:space="preserve"> PAGEREF _Toc227347032 \h </w:instrText>
            </w:r>
            <w:r w:rsidRPr="00C24648">
              <w:rPr>
                <w:rFonts w:ascii="Arial" w:hAnsi="Arial" w:cs="Arial"/>
                <w:noProof/>
                <w:webHidden/>
                <w:sz w:val="24"/>
                <w:szCs w:val="24"/>
              </w:rPr>
            </w:r>
            <w:r w:rsidRPr="00C24648">
              <w:rPr>
                <w:rFonts w:ascii="Arial" w:hAnsi="Arial" w:cs="Arial"/>
                <w:noProof/>
                <w:webHidden/>
                <w:sz w:val="24"/>
                <w:szCs w:val="24"/>
              </w:rPr>
              <w:fldChar w:fldCharType="separate"/>
            </w:r>
            <w:r w:rsidR="00B20877">
              <w:rPr>
                <w:rFonts w:ascii="Arial" w:hAnsi="Arial" w:cs="Arial"/>
                <w:noProof/>
                <w:webHidden/>
                <w:sz w:val="24"/>
                <w:szCs w:val="24"/>
              </w:rPr>
              <w:t>11</w:t>
            </w:r>
            <w:r w:rsidRPr="00C24648">
              <w:rPr>
                <w:rFonts w:ascii="Arial" w:hAnsi="Arial" w:cs="Arial"/>
                <w:noProof/>
                <w:webHidden/>
                <w:sz w:val="24"/>
                <w:szCs w:val="24"/>
              </w:rPr>
              <w:fldChar w:fldCharType="end"/>
            </w:r>
          </w:hyperlink>
        </w:p>
        <w:p w14:paraId="43718FF9" w14:textId="334BD752" w:rsidR="00C62BC2" w:rsidRPr="00C24648" w:rsidRDefault="00C62BC2" w:rsidP="00C24648">
          <w:pPr>
            <w:pStyle w:val="TOC2"/>
            <w:tabs>
              <w:tab w:val="right" w:leader="dot" w:pos="9350"/>
            </w:tabs>
            <w:spacing w:after="0" w:line="360" w:lineRule="auto"/>
            <w:contextualSpacing/>
            <w:jc w:val="both"/>
            <w:rPr>
              <w:rFonts w:ascii="Arial" w:eastAsiaTheme="minorEastAsia" w:hAnsi="Arial" w:cs="Arial"/>
              <w:noProof/>
              <w:sz w:val="24"/>
              <w:szCs w:val="24"/>
            </w:rPr>
          </w:pPr>
          <w:hyperlink w:anchor="_Toc227347033" w:history="1">
            <w:r w:rsidRPr="00C24648">
              <w:rPr>
                <w:rStyle w:val="Hyperlink"/>
                <w:rFonts w:ascii="Arial" w:hAnsi="Arial" w:cs="Arial"/>
                <w:noProof/>
                <w:sz w:val="24"/>
                <w:szCs w:val="24"/>
              </w:rPr>
              <w:t>4.1 Proposed Restructuring Options</w:t>
            </w:r>
            <w:r w:rsidRPr="00C24648">
              <w:rPr>
                <w:rFonts w:ascii="Arial" w:hAnsi="Arial" w:cs="Arial"/>
                <w:noProof/>
                <w:webHidden/>
                <w:sz w:val="24"/>
                <w:szCs w:val="24"/>
              </w:rPr>
              <w:tab/>
            </w:r>
            <w:r w:rsidRPr="00C24648">
              <w:rPr>
                <w:rFonts w:ascii="Arial" w:hAnsi="Arial" w:cs="Arial"/>
                <w:noProof/>
                <w:webHidden/>
                <w:sz w:val="24"/>
                <w:szCs w:val="24"/>
              </w:rPr>
              <w:fldChar w:fldCharType="begin"/>
            </w:r>
            <w:r w:rsidRPr="00C24648">
              <w:rPr>
                <w:rFonts w:ascii="Arial" w:hAnsi="Arial" w:cs="Arial"/>
                <w:noProof/>
                <w:webHidden/>
                <w:sz w:val="24"/>
                <w:szCs w:val="24"/>
              </w:rPr>
              <w:instrText xml:space="preserve"> PAGEREF _Toc227347033 \h </w:instrText>
            </w:r>
            <w:r w:rsidRPr="00C24648">
              <w:rPr>
                <w:rFonts w:ascii="Arial" w:hAnsi="Arial" w:cs="Arial"/>
                <w:noProof/>
                <w:webHidden/>
                <w:sz w:val="24"/>
                <w:szCs w:val="24"/>
              </w:rPr>
            </w:r>
            <w:r w:rsidRPr="00C24648">
              <w:rPr>
                <w:rFonts w:ascii="Arial" w:hAnsi="Arial" w:cs="Arial"/>
                <w:noProof/>
                <w:webHidden/>
                <w:sz w:val="24"/>
                <w:szCs w:val="24"/>
              </w:rPr>
              <w:fldChar w:fldCharType="separate"/>
            </w:r>
            <w:r w:rsidR="00B20877">
              <w:rPr>
                <w:rFonts w:ascii="Arial" w:hAnsi="Arial" w:cs="Arial"/>
                <w:noProof/>
                <w:webHidden/>
                <w:sz w:val="24"/>
                <w:szCs w:val="24"/>
              </w:rPr>
              <w:t>11</w:t>
            </w:r>
            <w:r w:rsidRPr="00C24648">
              <w:rPr>
                <w:rFonts w:ascii="Arial" w:hAnsi="Arial" w:cs="Arial"/>
                <w:noProof/>
                <w:webHidden/>
                <w:sz w:val="24"/>
                <w:szCs w:val="24"/>
              </w:rPr>
              <w:fldChar w:fldCharType="end"/>
            </w:r>
          </w:hyperlink>
        </w:p>
        <w:p w14:paraId="76AD114E" w14:textId="7A3CE176" w:rsidR="00C62BC2" w:rsidRPr="00C24648" w:rsidRDefault="00C62BC2" w:rsidP="00C24648">
          <w:pPr>
            <w:pStyle w:val="TOC2"/>
            <w:tabs>
              <w:tab w:val="right" w:leader="dot" w:pos="9350"/>
            </w:tabs>
            <w:spacing w:after="0" w:line="360" w:lineRule="auto"/>
            <w:contextualSpacing/>
            <w:jc w:val="both"/>
            <w:rPr>
              <w:rFonts w:ascii="Arial" w:eastAsiaTheme="minorEastAsia" w:hAnsi="Arial" w:cs="Arial"/>
              <w:noProof/>
              <w:sz w:val="24"/>
              <w:szCs w:val="24"/>
            </w:rPr>
          </w:pPr>
          <w:hyperlink w:anchor="_Toc227347034" w:history="1">
            <w:r w:rsidRPr="00C24648">
              <w:rPr>
                <w:rStyle w:val="Hyperlink"/>
                <w:rFonts w:ascii="Arial" w:hAnsi="Arial" w:cs="Arial"/>
                <w:noProof/>
                <w:sz w:val="24"/>
                <w:szCs w:val="24"/>
              </w:rPr>
              <w:t>4.2 Evaluation of Impact</w:t>
            </w:r>
            <w:r w:rsidRPr="00C24648">
              <w:rPr>
                <w:rFonts w:ascii="Arial" w:hAnsi="Arial" w:cs="Arial"/>
                <w:noProof/>
                <w:webHidden/>
                <w:sz w:val="24"/>
                <w:szCs w:val="24"/>
              </w:rPr>
              <w:tab/>
            </w:r>
            <w:r w:rsidRPr="00C24648">
              <w:rPr>
                <w:rFonts w:ascii="Arial" w:hAnsi="Arial" w:cs="Arial"/>
                <w:noProof/>
                <w:webHidden/>
                <w:sz w:val="24"/>
                <w:szCs w:val="24"/>
              </w:rPr>
              <w:fldChar w:fldCharType="begin"/>
            </w:r>
            <w:r w:rsidRPr="00C24648">
              <w:rPr>
                <w:rFonts w:ascii="Arial" w:hAnsi="Arial" w:cs="Arial"/>
                <w:noProof/>
                <w:webHidden/>
                <w:sz w:val="24"/>
                <w:szCs w:val="24"/>
              </w:rPr>
              <w:instrText xml:space="preserve"> PAGEREF _Toc227347034 \h </w:instrText>
            </w:r>
            <w:r w:rsidRPr="00C24648">
              <w:rPr>
                <w:rFonts w:ascii="Arial" w:hAnsi="Arial" w:cs="Arial"/>
                <w:noProof/>
                <w:webHidden/>
                <w:sz w:val="24"/>
                <w:szCs w:val="24"/>
              </w:rPr>
            </w:r>
            <w:r w:rsidRPr="00C24648">
              <w:rPr>
                <w:rFonts w:ascii="Arial" w:hAnsi="Arial" w:cs="Arial"/>
                <w:noProof/>
                <w:webHidden/>
                <w:sz w:val="24"/>
                <w:szCs w:val="24"/>
              </w:rPr>
              <w:fldChar w:fldCharType="separate"/>
            </w:r>
            <w:r w:rsidR="00B20877">
              <w:rPr>
                <w:rFonts w:ascii="Arial" w:hAnsi="Arial" w:cs="Arial"/>
                <w:noProof/>
                <w:webHidden/>
                <w:sz w:val="24"/>
                <w:szCs w:val="24"/>
              </w:rPr>
              <w:t>12</w:t>
            </w:r>
            <w:r w:rsidRPr="00C24648">
              <w:rPr>
                <w:rFonts w:ascii="Arial" w:hAnsi="Arial" w:cs="Arial"/>
                <w:noProof/>
                <w:webHidden/>
                <w:sz w:val="24"/>
                <w:szCs w:val="24"/>
              </w:rPr>
              <w:fldChar w:fldCharType="end"/>
            </w:r>
          </w:hyperlink>
        </w:p>
        <w:p w14:paraId="687DD2F9" w14:textId="03E785A5" w:rsidR="00C62BC2" w:rsidRPr="00C24648" w:rsidRDefault="00C62BC2" w:rsidP="00C24648">
          <w:pPr>
            <w:pStyle w:val="TOC2"/>
            <w:tabs>
              <w:tab w:val="right" w:leader="dot" w:pos="9350"/>
            </w:tabs>
            <w:spacing w:after="0" w:line="360" w:lineRule="auto"/>
            <w:contextualSpacing/>
            <w:jc w:val="both"/>
            <w:rPr>
              <w:rFonts w:ascii="Arial" w:eastAsiaTheme="minorEastAsia" w:hAnsi="Arial" w:cs="Arial"/>
              <w:noProof/>
              <w:sz w:val="24"/>
              <w:szCs w:val="24"/>
            </w:rPr>
          </w:pPr>
          <w:hyperlink w:anchor="_Toc227347035" w:history="1">
            <w:r w:rsidRPr="00C24648">
              <w:rPr>
                <w:rStyle w:val="Hyperlink"/>
                <w:rFonts w:ascii="Arial" w:hAnsi="Arial" w:cs="Arial"/>
                <w:noProof/>
                <w:sz w:val="24"/>
                <w:szCs w:val="24"/>
              </w:rPr>
              <w:t>4.3 International and Ethical Considerations</w:t>
            </w:r>
            <w:r w:rsidRPr="00C24648">
              <w:rPr>
                <w:rFonts w:ascii="Arial" w:hAnsi="Arial" w:cs="Arial"/>
                <w:noProof/>
                <w:webHidden/>
                <w:sz w:val="24"/>
                <w:szCs w:val="24"/>
              </w:rPr>
              <w:tab/>
            </w:r>
            <w:r w:rsidRPr="00C24648">
              <w:rPr>
                <w:rFonts w:ascii="Arial" w:hAnsi="Arial" w:cs="Arial"/>
                <w:noProof/>
                <w:webHidden/>
                <w:sz w:val="24"/>
                <w:szCs w:val="24"/>
              </w:rPr>
              <w:fldChar w:fldCharType="begin"/>
            </w:r>
            <w:r w:rsidRPr="00C24648">
              <w:rPr>
                <w:rFonts w:ascii="Arial" w:hAnsi="Arial" w:cs="Arial"/>
                <w:noProof/>
                <w:webHidden/>
                <w:sz w:val="24"/>
                <w:szCs w:val="24"/>
              </w:rPr>
              <w:instrText xml:space="preserve"> PAGEREF _Toc227347035 \h </w:instrText>
            </w:r>
            <w:r w:rsidRPr="00C24648">
              <w:rPr>
                <w:rFonts w:ascii="Arial" w:hAnsi="Arial" w:cs="Arial"/>
                <w:noProof/>
                <w:webHidden/>
                <w:sz w:val="24"/>
                <w:szCs w:val="24"/>
              </w:rPr>
            </w:r>
            <w:r w:rsidRPr="00C24648">
              <w:rPr>
                <w:rFonts w:ascii="Arial" w:hAnsi="Arial" w:cs="Arial"/>
                <w:noProof/>
                <w:webHidden/>
                <w:sz w:val="24"/>
                <w:szCs w:val="24"/>
              </w:rPr>
              <w:fldChar w:fldCharType="separate"/>
            </w:r>
            <w:r w:rsidR="00B20877">
              <w:rPr>
                <w:rFonts w:ascii="Arial" w:hAnsi="Arial" w:cs="Arial"/>
                <w:noProof/>
                <w:webHidden/>
                <w:sz w:val="24"/>
                <w:szCs w:val="24"/>
              </w:rPr>
              <w:t>13</w:t>
            </w:r>
            <w:r w:rsidRPr="00C24648">
              <w:rPr>
                <w:rFonts w:ascii="Arial" w:hAnsi="Arial" w:cs="Arial"/>
                <w:noProof/>
                <w:webHidden/>
                <w:sz w:val="24"/>
                <w:szCs w:val="24"/>
              </w:rPr>
              <w:fldChar w:fldCharType="end"/>
            </w:r>
          </w:hyperlink>
        </w:p>
        <w:p w14:paraId="3E137B31" w14:textId="7D5817CC" w:rsidR="00C62BC2" w:rsidRPr="00C24648" w:rsidRDefault="00C62BC2" w:rsidP="00C24648">
          <w:pPr>
            <w:pStyle w:val="TOC1"/>
            <w:tabs>
              <w:tab w:val="right" w:leader="dot" w:pos="9350"/>
            </w:tabs>
            <w:spacing w:after="0" w:line="360" w:lineRule="auto"/>
            <w:contextualSpacing/>
            <w:jc w:val="both"/>
            <w:rPr>
              <w:rFonts w:ascii="Arial" w:eastAsiaTheme="minorEastAsia" w:hAnsi="Arial" w:cs="Arial"/>
              <w:noProof/>
              <w:sz w:val="24"/>
              <w:szCs w:val="24"/>
            </w:rPr>
          </w:pPr>
          <w:hyperlink w:anchor="_Toc227347036" w:history="1">
            <w:r w:rsidRPr="00C24648">
              <w:rPr>
                <w:rStyle w:val="Hyperlink"/>
                <w:rFonts w:ascii="Arial" w:hAnsi="Arial" w:cs="Arial"/>
                <w:noProof/>
                <w:sz w:val="24"/>
                <w:szCs w:val="24"/>
              </w:rPr>
              <w:t>5. Investment Appraisal and Capital Budgeting</w:t>
            </w:r>
            <w:r w:rsidRPr="00C24648">
              <w:rPr>
                <w:rFonts w:ascii="Arial" w:hAnsi="Arial" w:cs="Arial"/>
                <w:noProof/>
                <w:webHidden/>
                <w:sz w:val="24"/>
                <w:szCs w:val="24"/>
              </w:rPr>
              <w:tab/>
            </w:r>
            <w:r w:rsidRPr="00C24648">
              <w:rPr>
                <w:rFonts w:ascii="Arial" w:hAnsi="Arial" w:cs="Arial"/>
                <w:noProof/>
                <w:webHidden/>
                <w:sz w:val="24"/>
                <w:szCs w:val="24"/>
              </w:rPr>
              <w:fldChar w:fldCharType="begin"/>
            </w:r>
            <w:r w:rsidRPr="00C24648">
              <w:rPr>
                <w:rFonts w:ascii="Arial" w:hAnsi="Arial" w:cs="Arial"/>
                <w:noProof/>
                <w:webHidden/>
                <w:sz w:val="24"/>
                <w:szCs w:val="24"/>
              </w:rPr>
              <w:instrText xml:space="preserve"> PAGEREF _Toc227347036 \h </w:instrText>
            </w:r>
            <w:r w:rsidRPr="00C24648">
              <w:rPr>
                <w:rFonts w:ascii="Arial" w:hAnsi="Arial" w:cs="Arial"/>
                <w:noProof/>
                <w:webHidden/>
                <w:sz w:val="24"/>
                <w:szCs w:val="24"/>
              </w:rPr>
            </w:r>
            <w:r w:rsidRPr="00C24648">
              <w:rPr>
                <w:rFonts w:ascii="Arial" w:hAnsi="Arial" w:cs="Arial"/>
                <w:noProof/>
                <w:webHidden/>
                <w:sz w:val="24"/>
                <w:szCs w:val="24"/>
              </w:rPr>
              <w:fldChar w:fldCharType="separate"/>
            </w:r>
            <w:r w:rsidR="00B20877">
              <w:rPr>
                <w:rFonts w:ascii="Arial" w:hAnsi="Arial" w:cs="Arial"/>
                <w:noProof/>
                <w:webHidden/>
                <w:sz w:val="24"/>
                <w:szCs w:val="24"/>
              </w:rPr>
              <w:t>14</w:t>
            </w:r>
            <w:r w:rsidRPr="00C24648">
              <w:rPr>
                <w:rFonts w:ascii="Arial" w:hAnsi="Arial" w:cs="Arial"/>
                <w:noProof/>
                <w:webHidden/>
                <w:sz w:val="24"/>
                <w:szCs w:val="24"/>
              </w:rPr>
              <w:fldChar w:fldCharType="end"/>
            </w:r>
          </w:hyperlink>
        </w:p>
        <w:p w14:paraId="0C69CD63" w14:textId="79CF1592" w:rsidR="00C62BC2" w:rsidRPr="00C24648" w:rsidRDefault="00C62BC2" w:rsidP="00C24648">
          <w:pPr>
            <w:pStyle w:val="TOC2"/>
            <w:tabs>
              <w:tab w:val="right" w:leader="dot" w:pos="9350"/>
            </w:tabs>
            <w:spacing w:after="0" w:line="360" w:lineRule="auto"/>
            <w:contextualSpacing/>
            <w:jc w:val="both"/>
            <w:rPr>
              <w:rFonts w:ascii="Arial" w:eastAsiaTheme="minorEastAsia" w:hAnsi="Arial" w:cs="Arial"/>
              <w:noProof/>
              <w:sz w:val="24"/>
              <w:szCs w:val="24"/>
            </w:rPr>
          </w:pPr>
          <w:hyperlink w:anchor="_Toc227347037" w:history="1">
            <w:r w:rsidRPr="00C24648">
              <w:rPr>
                <w:rStyle w:val="Hyperlink"/>
                <w:rFonts w:ascii="Arial" w:hAnsi="Arial" w:cs="Arial"/>
                <w:noProof/>
                <w:sz w:val="24"/>
                <w:szCs w:val="24"/>
              </w:rPr>
              <w:t>5.1 Evaluation of Investment Projects</w:t>
            </w:r>
            <w:r w:rsidRPr="00C24648">
              <w:rPr>
                <w:rFonts w:ascii="Arial" w:hAnsi="Arial" w:cs="Arial"/>
                <w:noProof/>
                <w:webHidden/>
                <w:sz w:val="24"/>
                <w:szCs w:val="24"/>
              </w:rPr>
              <w:tab/>
            </w:r>
            <w:r w:rsidRPr="00C24648">
              <w:rPr>
                <w:rFonts w:ascii="Arial" w:hAnsi="Arial" w:cs="Arial"/>
                <w:noProof/>
                <w:webHidden/>
                <w:sz w:val="24"/>
                <w:szCs w:val="24"/>
              </w:rPr>
              <w:fldChar w:fldCharType="begin"/>
            </w:r>
            <w:r w:rsidRPr="00C24648">
              <w:rPr>
                <w:rFonts w:ascii="Arial" w:hAnsi="Arial" w:cs="Arial"/>
                <w:noProof/>
                <w:webHidden/>
                <w:sz w:val="24"/>
                <w:szCs w:val="24"/>
              </w:rPr>
              <w:instrText xml:space="preserve"> PAGEREF _Toc227347037 \h </w:instrText>
            </w:r>
            <w:r w:rsidRPr="00C24648">
              <w:rPr>
                <w:rFonts w:ascii="Arial" w:hAnsi="Arial" w:cs="Arial"/>
                <w:noProof/>
                <w:webHidden/>
                <w:sz w:val="24"/>
                <w:szCs w:val="24"/>
              </w:rPr>
            </w:r>
            <w:r w:rsidRPr="00C24648">
              <w:rPr>
                <w:rFonts w:ascii="Arial" w:hAnsi="Arial" w:cs="Arial"/>
                <w:noProof/>
                <w:webHidden/>
                <w:sz w:val="24"/>
                <w:szCs w:val="24"/>
              </w:rPr>
              <w:fldChar w:fldCharType="separate"/>
            </w:r>
            <w:r w:rsidR="00B20877">
              <w:rPr>
                <w:rFonts w:ascii="Arial" w:hAnsi="Arial" w:cs="Arial"/>
                <w:noProof/>
                <w:webHidden/>
                <w:sz w:val="24"/>
                <w:szCs w:val="24"/>
              </w:rPr>
              <w:t>14</w:t>
            </w:r>
            <w:r w:rsidRPr="00C24648">
              <w:rPr>
                <w:rFonts w:ascii="Arial" w:hAnsi="Arial" w:cs="Arial"/>
                <w:noProof/>
                <w:webHidden/>
                <w:sz w:val="24"/>
                <w:szCs w:val="24"/>
              </w:rPr>
              <w:fldChar w:fldCharType="end"/>
            </w:r>
          </w:hyperlink>
        </w:p>
        <w:p w14:paraId="51F9067C" w14:textId="659D074A" w:rsidR="00C62BC2" w:rsidRPr="00C24648" w:rsidRDefault="00C62BC2" w:rsidP="00C24648">
          <w:pPr>
            <w:pStyle w:val="TOC2"/>
            <w:tabs>
              <w:tab w:val="right" w:leader="dot" w:pos="9350"/>
            </w:tabs>
            <w:spacing w:after="0" w:line="360" w:lineRule="auto"/>
            <w:contextualSpacing/>
            <w:jc w:val="both"/>
            <w:rPr>
              <w:rFonts w:ascii="Arial" w:eastAsiaTheme="minorEastAsia" w:hAnsi="Arial" w:cs="Arial"/>
              <w:noProof/>
              <w:sz w:val="24"/>
              <w:szCs w:val="24"/>
            </w:rPr>
          </w:pPr>
          <w:hyperlink w:anchor="_Toc227347038" w:history="1">
            <w:r w:rsidRPr="00C24648">
              <w:rPr>
                <w:rStyle w:val="Hyperlink"/>
                <w:rFonts w:ascii="Arial" w:hAnsi="Arial" w:cs="Arial"/>
                <w:noProof/>
                <w:sz w:val="24"/>
                <w:szCs w:val="24"/>
              </w:rPr>
              <w:t>5.2 Investment Recommendation and Financial Justification</w:t>
            </w:r>
            <w:r w:rsidRPr="00C24648">
              <w:rPr>
                <w:rFonts w:ascii="Arial" w:hAnsi="Arial" w:cs="Arial"/>
                <w:noProof/>
                <w:webHidden/>
                <w:sz w:val="24"/>
                <w:szCs w:val="24"/>
              </w:rPr>
              <w:tab/>
            </w:r>
            <w:r w:rsidRPr="00C24648">
              <w:rPr>
                <w:rFonts w:ascii="Arial" w:hAnsi="Arial" w:cs="Arial"/>
                <w:noProof/>
                <w:webHidden/>
                <w:sz w:val="24"/>
                <w:szCs w:val="24"/>
              </w:rPr>
              <w:fldChar w:fldCharType="begin"/>
            </w:r>
            <w:r w:rsidRPr="00C24648">
              <w:rPr>
                <w:rFonts w:ascii="Arial" w:hAnsi="Arial" w:cs="Arial"/>
                <w:noProof/>
                <w:webHidden/>
                <w:sz w:val="24"/>
                <w:szCs w:val="24"/>
              </w:rPr>
              <w:instrText xml:space="preserve"> PAGEREF _Toc227347038 \h </w:instrText>
            </w:r>
            <w:r w:rsidRPr="00C24648">
              <w:rPr>
                <w:rFonts w:ascii="Arial" w:hAnsi="Arial" w:cs="Arial"/>
                <w:noProof/>
                <w:webHidden/>
                <w:sz w:val="24"/>
                <w:szCs w:val="24"/>
              </w:rPr>
            </w:r>
            <w:r w:rsidRPr="00C24648">
              <w:rPr>
                <w:rFonts w:ascii="Arial" w:hAnsi="Arial" w:cs="Arial"/>
                <w:noProof/>
                <w:webHidden/>
                <w:sz w:val="24"/>
                <w:szCs w:val="24"/>
              </w:rPr>
              <w:fldChar w:fldCharType="separate"/>
            </w:r>
            <w:r w:rsidR="00B20877">
              <w:rPr>
                <w:rFonts w:ascii="Arial" w:hAnsi="Arial" w:cs="Arial"/>
                <w:noProof/>
                <w:webHidden/>
                <w:sz w:val="24"/>
                <w:szCs w:val="24"/>
              </w:rPr>
              <w:t>16</w:t>
            </w:r>
            <w:r w:rsidRPr="00C24648">
              <w:rPr>
                <w:rFonts w:ascii="Arial" w:hAnsi="Arial" w:cs="Arial"/>
                <w:noProof/>
                <w:webHidden/>
                <w:sz w:val="24"/>
                <w:szCs w:val="24"/>
              </w:rPr>
              <w:fldChar w:fldCharType="end"/>
            </w:r>
          </w:hyperlink>
        </w:p>
        <w:p w14:paraId="597AB3BD" w14:textId="6E20514B" w:rsidR="00C62BC2" w:rsidRPr="00C24648" w:rsidRDefault="00C62BC2" w:rsidP="00C24648">
          <w:pPr>
            <w:pStyle w:val="TOC2"/>
            <w:tabs>
              <w:tab w:val="right" w:leader="dot" w:pos="9350"/>
            </w:tabs>
            <w:spacing w:after="0" w:line="360" w:lineRule="auto"/>
            <w:contextualSpacing/>
            <w:jc w:val="both"/>
            <w:rPr>
              <w:rFonts w:ascii="Arial" w:eastAsiaTheme="minorEastAsia" w:hAnsi="Arial" w:cs="Arial"/>
              <w:noProof/>
              <w:sz w:val="24"/>
              <w:szCs w:val="24"/>
            </w:rPr>
          </w:pPr>
          <w:hyperlink w:anchor="_Toc227347039" w:history="1">
            <w:r w:rsidRPr="00C24648">
              <w:rPr>
                <w:rStyle w:val="Hyperlink"/>
                <w:rFonts w:ascii="Arial" w:hAnsi="Arial" w:cs="Arial"/>
                <w:noProof/>
                <w:sz w:val="24"/>
                <w:szCs w:val="24"/>
              </w:rPr>
              <w:t>5.3 Capital Rationing Decision (£100 Million Constraint)</w:t>
            </w:r>
            <w:r w:rsidRPr="00C24648">
              <w:rPr>
                <w:rFonts w:ascii="Arial" w:hAnsi="Arial" w:cs="Arial"/>
                <w:noProof/>
                <w:webHidden/>
                <w:sz w:val="24"/>
                <w:szCs w:val="24"/>
              </w:rPr>
              <w:tab/>
            </w:r>
            <w:r w:rsidRPr="00C24648">
              <w:rPr>
                <w:rFonts w:ascii="Arial" w:hAnsi="Arial" w:cs="Arial"/>
                <w:noProof/>
                <w:webHidden/>
                <w:sz w:val="24"/>
                <w:szCs w:val="24"/>
              </w:rPr>
              <w:fldChar w:fldCharType="begin"/>
            </w:r>
            <w:r w:rsidRPr="00C24648">
              <w:rPr>
                <w:rFonts w:ascii="Arial" w:hAnsi="Arial" w:cs="Arial"/>
                <w:noProof/>
                <w:webHidden/>
                <w:sz w:val="24"/>
                <w:szCs w:val="24"/>
              </w:rPr>
              <w:instrText xml:space="preserve"> PAGEREF _Toc227347039 \h </w:instrText>
            </w:r>
            <w:r w:rsidRPr="00C24648">
              <w:rPr>
                <w:rFonts w:ascii="Arial" w:hAnsi="Arial" w:cs="Arial"/>
                <w:noProof/>
                <w:webHidden/>
                <w:sz w:val="24"/>
                <w:szCs w:val="24"/>
              </w:rPr>
            </w:r>
            <w:r w:rsidRPr="00C24648">
              <w:rPr>
                <w:rFonts w:ascii="Arial" w:hAnsi="Arial" w:cs="Arial"/>
                <w:noProof/>
                <w:webHidden/>
                <w:sz w:val="24"/>
                <w:szCs w:val="24"/>
              </w:rPr>
              <w:fldChar w:fldCharType="separate"/>
            </w:r>
            <w:r w:rsidR="00B20877">
              <w:rPr>
                <w:rFonts w:ascii="Arial" w:hAnsi="Arial" w:cs="Arial"/>
                <w:noProof/>
                <w:webHidden/>
                <w:sz w:val="24"/>
                <w:szCs w:val="24"/>
              </w:rPr>
              <w:t>17</w:t>
            </w:r>
            <w:r w:rsidRPr="00C24648">
              <w:rPr>
                <w:rFonts w:ascii="Arial" w:hAnsi="Arial" w:cs="Arial"/>
                <w:noProof/>
                <w:webHidden/>
                <w:sz w:val="24"/>
                <w:szCs w:val="24"/>
              </w:rPr>
              <w:fldChar w:fldCharType="end"/>
            </w:r>
          </w:hyperlink>
        </w:p>
        <w:p w14:paraId="534E3AB1" w14:textId="1E3332A7" w:rsidR="00C62BC2" w:rsidRPr="00C24648" w:rsidRDefault="00C62BC2" w:rsidP="00C24648">
          <w:pPr>
            <w:pStyle w:val="TOC2"/>
            <w:tabs>
              <w:tab w:val="right" w:leader="dot" w:pos="9350"/>
            </w:tabs>
            <w:spacing w:after="0" w:line="360" w:lineRule="auto"/>
            <w:contextualSpacing/>
            <w:jc w:val="both"/>
            <w:rPr>
              <w:rFonts w:ascii="Arial" w:eastAsiaTheme="minorEastAsia" w:hAnsi="Arial" w:cs="Arial"/>
              <w:noProof/>
              <w:sz w:val="24"/>
              <w:szCs w:val="24"/>
            </w:rPr>
          </w:pPr>
          <w:hyperlink w:anchor="_Toc227347040" w:history="1">
            <w:r w:rsidRPr="00C24648">
              <w:rPr>
                <w:rStyle w:val="Hyperlink"/>
                <w:rFonts w:ascii="Arial" w:hAnsi="Arial" w:cs="Arial"/>
                <w:noProof/>
                <w:sz w:val="24"/>
                <w:szCs w:val="24"/>
              </w:rPr>
              <w:t>5.4 Strategic Implications</w:t>
            </w:r>
            <w:r w:rsidRPr="00C24648">
              <w:rPr>
                <w:rFonts w:ascii="Arial" w:hAnsi="Arial" w:cs="Arial"/>
                <w:noProof/>
                <w:webHidden/>
                <w:sz w:val="24"/>
                <w:szCs w:val="24"/>
              </w:rPr>
              <w:tab/>
            </w:r>
            <w:r w:rsidRPr="00C24648">
              <w:rPr>
                <w:rFonts w:ascii="Arial" w:hAnsi="Arial" w:cs="Arial"/>
                <w:noProof/>
                <w:webHidden/>
                <w:sz w:val="24"/>
                <w:szCs w:val="24"/>
              </w:rPr>
              <w:fldChar w:fldCharType="begin"/>
            </w:r>
            <w:r w:rsidRPr="00C24648">
              <w:rPr>
                <w:rFonts w:ascii="Arial" w:hAnsi="Arial" w:cs="Arial"/>
                <w:noProof/>
                <w:webHidden/>
                <w:sz w:val="24"/>
                <w:szCs w:val="24"/>
              </w:rPr>
              <w:instrText xml:space="preserve"> PAGEREF _Toc227347040 \h </w:instrText>
            </w:r>
            <w:r w:rsidRPr="00C24648">
              <w:rPr>
                <w:rFonts w:ascii="Arial" w:hAnsi="Arial" w:cs="Arial"/>
                <w:noProof/>
                <w:webHidden/>
                <w:sz w:val="24"/>
                <w:szCs w:val="24"/>
              </w:rPr>
            </w:r>
            <w:r w:rsidRPr="00C24648">
              <w:rPr>
                <w:rFonts w:ascii="Arial" w:hAnsi="Arial" w:cs="Arial"/>
                <w:noProof/>
                <w:webHidden/>
                <w:sz w:val="24"/>
                <w:szCs w:val="24"/>
              </w:rPr>
              <w:fldChar w:fldCharType="separate"/>
            </w:r>
            <w:r w:rsidR="00B20877">
              <w:rPr>
                <w:rFonts w:ascii="Arial" w:hAnsi="Arial" w:cs="Arial"/>
                <w:noProof/>
                <w:webHidden/>
                <w:sz w:val="24"/>
                <w:szCs w:val="24"/>
              </w:rPr>
              <w:t>17</w:t>
            </w:r>
            <w:r w:rsidRPr="00C24648">
              <w:rPr>
                <w:rFonts w:ascii="Arial" w:hAnsi="Arial" w:cs="Arial"/>
                <w:noProof/>
                <w:webHidden/>
                <w:sz w:val="24"/>
                <w:szCs w:val="24"/>
              </w:rPr>
              <w:fldChar w:fldCharType="end"/>
            </w:r>
          </w:hyperlink>
        </w:p>
        <w:p w14:paraId="7B2E7AC1" w14:textId="740356C1" w:rsidR="00C62BC2" w:rsidRPr="00C24648" w:rsidRDefault="00C62BC2" w:rsidP="00C24648">
          <w:pPr>
            <w:pStyle w:val="TOC1"/>
            <w:tabs>
              <w:tab w:val="right" w:leader="dot" w:pos="9350"/>
            </w:tabs>
            <w:spacing w:after="0" w:line="360" w:lineRule="auto"/>
            <w:contextualSpacing/>
            <w:jc w:val="both"/>
            <w:rPr>
              <w:rFonts w:ascii="Arial" w:eastAsiaTheme="minorEastAsia" w:hAnsi="Arial" w:cs="Arial"/>
              <w:noProof/>
              <w:sz w:val="24"/>
              <w:szCs w:val="24"/>
            </w:rPr>
          </w:pPr>
          <w:hyperlink w:anchor="_Toc227347041" w:history="1">
            <w:r w:rsidRPr="00C24648">
              <w:rPr>
                <w:rStyle w:val="Hyperlink"/>
                <w:rFonts w:ascii="Arial" w:hAnsi="Arial" w:cs="Arial"/>
                <w:noProof/>
                <w:sz w:val="24"/>
                <w:szCs w:val="24"/>
              </w:rPr>
              <w:t>Conclusion</w:t>
            </w:r>
            <w:r w:rsidRPr="00C24648">
              <w:rPr>
                <w:rFonts w:ascii="Arial" w:hAnsi="Arial" w:cs="Arial"/>
                <w:noProof/>
                <w:webHidden/>
                <w:sz w:val="24"/>
                <w:szCs w:val="24"/>
              </w:rPr>
              <w:tab/>
            </w:r>
            <w:r w:rsidRPr="00C24648">
              <w:rPr>
                <w:rFonts w:ascii="Arial" w:hAnsi="Arial" w:cs="Arial"/>
                <w:noProof/>
                <w:webHidden/>
                <w:sz w:val="24"/>
                <w:szCs w:val="24"/>
              </w:rPr>
              <w:fldChar w:fldCharType="begin"/>
            </w:r>
            <w:r w:rsidRPr="00C24648">
              <w:rPr>
                <w:rFonts w:ascii="Arial" w:hAnsi="Arial" w:cs="Arial"/>
                <w:noProof/>
                <w:webHidden/>
                <w:sz w:val="24"/>
                <w:szCs w:val="24"/>
              </w:rPr>
              <w:instrText xml:space="preserve"> PAGEREF _Toc227347041 \h </w:instrText>
            </w:r>
            <w:r w:rsidRPr="00C24648">
              <w:rPr>
                <w:rFonts w:ascii="Arial" w:hAnsi="Arial" w:cs="Arial"/>
                <w:noProof/>
                <w:webHidden/>
                <w:sz w:val="24"/>
                <w:szCs w:val="24"/>
              </w:rPr>
            </w:r>
            <w:r w:rsidRPr="00C24648">
              <w:rPr>
                <w:rFonts w:ascii="Arial" w:hAnsi="Arial" w:cs="Arial"/>
                <w:noProof/>
                <w:webHidden/>
                <w:sz w:val="24"/>
                <w:szCs w:val="24"/>
              </w:rPr>
              <w:fldChar w:fldCharType="separate"/>
            </w:r>
            <w:r w:rsidR="00B20877">
              <w:rPr>
                <w:rFonts w:ascii="Arial" w:hAnsi="Arial" w:cs="Arial"/>
                <w:noProof/>
                <w:webHidden/>
                <w:sz w:val="24"/>
                <w:szCs w:val="24"/>
              </w:rPr>
              <w:t>18</w:t>
            </w:r>
            <w:r w:rsidRPr="00C24648">
              <w:rPr>
                <w:rFonts w:ascii="Arial" w:hAnsi="Arial" w:cs="Arial"/>
                <w:noProof/>
                <w:webHidden/>
                <w:sz w:val="24"/>
                <w:szCs w:val="24"/>
              </w:rPr>
              <w:fldChar w:fldCharType="end"/>
            </w:r>
          </w:hyperlink>
        </w:p>
        <w:p w14:paraId="412831E1" w14:textId="6F61FED4" w:rsidR="00C62BC2" w:rsidRPr="00C24648" w:rsidRDefault="00C62BC2" w:rsidP="00C24648">
          <w:pPr>
            <w:pStyle w:val="TOC1"/>
            <w:tabs>
              <w:tab w:val="right" w:leader="dot" w:pos="9350"/>
            </w:tabs>
            <w:spacing w:after="0" w:line="360" w:lineRule="auto"/>
            <w:contextualSpacing/>
            <w:jc w:val="both"/>
            <w:rPr>
              <w:rFonts w:ascii="Arial" w:eastAsiaTheme="minorEastAsia" w:hAnsi="Arial" w:cs="Arial"/>
              <w:noProof/>
              <w:sz w:val="24"/>
              <w:szCs w:val="24"/>
            </w:rPr>
          </w:pPr>
          <w:hyperlink w:anchor="_Toc227347042" w:history="1">
            <w:r w:rsidRPr="00C24648">
              <w:rPr>
                <w:rStyle w:val="Hyperlink"/>
                <w:rFonts w:ascii="Arial" w:hAnsi="Arial" w:cs="Arial"/>
                <w:noProof/>
                <w:sz w:val="24"/>
                <w:szCs w:val="24"/>
              </w:rPr>
              <w:t>References</w:t>
            </w:r>
            <w:r w:rsidRPr="00C24648">
              <w:rPr>
                <w:rFonts w:ascii="Arial" w:hAnsi="Arial" w:cs="Arial"/>
                <w:noProof/>
                <w:webHidden/>
                <w:sz w:val="24"/>
                <w:szCs w:val="24"/>
              </w:rPr>
              <w:tab/>
            </w:r>
            <w:r w:rsidRPr="00C24648">
              <w:rPr>
                <w:rFonts w:ascii="Arial" w:hAnsi="Arial" w:cs="Arial"/>
                <w:noProof/>
                <w:webHidden/>
                <w:sz w:val="24"/>
                <w:szCs w:val="24"/>
              </w:rPr>
              <w:fldChar w:fldCharType="begin"/>
            </w:r>
            <w:r w:rsidRPr="00C24648">
              <w:rPr>
                <w:rFonts w:ascii="Arial" w:hAnsi="Arial" w:cs="Arial"/>
                <w:noProof/>
                <w:webHidden/>
                <w:sz w:val="24"/>
                <w:szCs w:val="24"/>
              </w:rPr>
              <w:instrText xml:space="preserve"> PAGEREF _Toc227347042 \h </w:instrText>
            </w:r>
            <w:r w:rsidRPr="00C24648">
              <w:rPr>
                <w:rFonts w:ascii="Arial" w:hAnsi="Arial" w:cs="Arial"/>
                <w:noProof/>
                <w:webHidden/>
                <w:sz w:val="24"/>
                <w:szCs w:val="24"/>
              </w:rPr>
            </w:r>
            <w:r w:rsidRPr="00C24648">
              <w:rPr>
                <w:rFonts w:ascii="Arial" w:hAnsi="Arial" w:cs="Arial"/>
                <w:noProof/>
                <w:webHidden/>
                <w:sz w:val="24"/>
                <w:szCs w:val="24"/>
              </w:rPr>
              <w:fldChar w:fldCharType="separate"/>
            </w:r>
            <w:r w:rsidR="00B20877">
              <w:rPr>
                <w:rFonts w:ascii="Arial" w:hAnsi="Arial" w:cs="Arial"/>
                <w:noProof/>
                <w:webHidden/>
                <w:sz w:val="24"/>
                <w:szCs w:val="24"/>
              </w:rPr>
              <w:t>19</w:t>
            </w:r>
            <w:r w:rsidRPr="00C24648">
              <w:rPr>
                <w:rFonts w:ascii="Arial" w:hAnsi="Arial" w:cs="Arial"/>
                <w:noProof/>
                <w:webHidden/>
                <w:sz w:val="24"/>
                <w:szCs w:val="24"/>
              </w:rPr>
              <w:fldChar w:fldCharType="end"/>
            </w:r>
          </w:hyperlink>
        </w:p>
        <w:p w14:paraId="3E0E50A4" w14:textId="79473980" w:rsidR="00C62BC2" w:rsidRPr="00C24648" w:rsidRDefault="00C62BC2" w:rsidP="00C24648">
          <w:pPr>
            <w:pStyle w:val="TOC1"/>
            <w:tabs>
              <w:tab w:val="right" w:leader="dot" w:pos="9350"/>
            </w:tabs>
            <w:spacing w:after="0" w:line="360" w:lineRule="auto"/>
            <w:contextualSpacing/>
            <w:jc w:val="both"/>
            <w:rPr>
              <w:rFonts w:ascii="Arial" w:eastAsiaTheme="minorEastAsia" w:hAnsi="Arial" w:cs="Arial"/>
              <w:noProof/>
              <w:sz w:val="24"/>
              <w:szCs w:val="24"/>
            </w:rPr>
          </w:pPr>
          <w:hyperlink w:anchor="_Toc227347043" w:history="1">
            <w:r w:rsidRPr="00C24648">
              <w:rPr>
                <w:rStyle w:val="Hyperlink"/>
                <w:rFonts w:ascii="Arial" w:hAnsi="Arial" w:cs="Arial"/>
                <w:noProof/>
                <w:sz w:val="24"/>
                <w:szCs w:val="24"/>
              </w:rPr>
              <w:t>Appendix</w:t>
            </w:r>
            <w:r w:rsidRPr="00C24648">
              <w:rPr>
                <w:rFonts w:ascii="Arial" w:hAnsi="Arial" w:cs="Arial"/>
                <w:noProof/>
                <w:webHidden/>
                <w:sz w:val="24"/>
                <w:szCs w:val="24"/>
              </w:rPr>
              <w:tab/>
            </w:r>
            <w:r w:rsidRPr="00C24648">
              <w:rPr>
                <w:rFonts w:ascii="Arial" w:hAnsi="Arial" w:cs="Arial"/>
                <w:noProof/>
                <w:webHidden/>
                <w:sz w:val="24"/>
                <w:szCs w:val="24"/>
              </w:rPr>
              <w:fldChar w:fldCharType="begin"/>
            </w:r>
            <w:r w:rsidRPr="00C24648">
              <w:rPr>
                <w:rFonts w:ascii="Arial" w:hAnsi="Arial" w:cs="Arial"/>
                <w:noProof/>
                <w:webHidden/>
                <w:sz w:val="24"/>
                <w:szCs w:val="24"/>
              </w:rPr>
              <w:instrText xml:space="preserve"> PAGEREF _Toc227347043 \h </w:instrText>
            </w:r>
            <w:r w:rsidRPr="00C24648">
              <w:rPr>
                <w:rFonts w:ascii="Arial" w:hAnsi="Arial" w:cs="Arial"/>
                <w:noProof/>
                <w:webHidden/>
                <w:sz w:val="24"/>
                <w:szCs w:val="24"/>
              </w:rPr>
            </w:r>
            <w:r w:rsidRPr="00C24648">
              <w:rPr>
                <w:rFonts w:ascii="Arial" w:hAnsi="Arial" w:cs="Arial"/>
                <w:noProof/>
                <w:webHidden/>
                <w:sz w:val="24"/>
                <w:szCs w:val="24"/>
              </w:rPr>
              <w:fldChar w:fldCharType="separate"/>
            </w:r>
            <w:r w:rsidR="00B20877">
              <w:rPr>
                <w:rFonts w:ascii="Arial" w:hAnsi="Arial" w:cs="Arial"/>
                <w:noProof/>
                <w:webHidden/>
                <w:sz w:val="24"/>
                <w:szCs w:val="24"/>
              </w:rPr>
              <w:t>22</w:t>
            </w:r>
            <w:r w:rsidRPr="00C24648">
              <w:rPr>
                <w:rFonts w:ascii="Arial" w:hAnsi="Arial" w:cs="Arial"/>
                <w:noProof/>
                <w:webHidden/>
                <w:sz w:val="24"/>
                <w:szCs w:val="24"/>
              </w:rPr>
              <w:fldChar w:fldCharType="end"/>
            </w:r>
          </w:hyperlink>
        </w:p>
        <w:p w14:paraId="46387D7E" w14:textId="78187070" w:rsidR="00C62BC2" w:rsidRPr="00C24648" w:rsidRDefault="00C62BC2" w:rsidP="00C24648">
          <w:pPr>
            <w:pStyle w:val="TOC2"/>
            <w:tabs>
              <w:tab w:val="right" w:leader="dot" w:pos="9350"/>
            </w:tabs>
            <w:spacing w:after="0" w:line="360" w:lineRule="auto"/>
            <w:contextualSpacing/>
            <w:jc w:val="both"/>
            <w:rPr>
              <w:rFonts w:ascii="Arial" w:eastAsiaTheme="minorEastAsia" w:hAnsi="Arial" w:cs="Arial"/>
              <w:noProof/>
              <w:sz w:val="24"/>
              <w:szCs w:val="24"/>
            </w:rPr>
          </w:pPr>
          <w:hyperlink w:anchor="_Toc227347044" w:history="1">
            <w:r w:rsidRPr="00C24648">
              <w:rPr>
                <w:rStyle w:val="Hyperlink"/>
                <w:rFonts w:ascii="Arial" w:hAnsi="Arial" w:cs="Arial"/>
                <w:noProof/>
                <w:sz w:val="24"/>
                <w:szCs w:val="24"/>
              </w:rPr>
              <w:t>Ratio Analysis</w:t>
            </w:r>
            <w:r w:rsidRPr="00C24648">
              <w:rPr>
                <w:rFonts w:ascii="Arial" w:hAnsi="Arial" w:cs="Arial"/>
                <w:noProof/>
                <w:webHidden/>
                <w:sz w:val="24"/>
                <w:szCs w:val="24"/>
              </w:rPr>
              <w:tab/>
            </w:r>
            <w:r w:rsidRPr="00C24648">
              <w:rPr>
                <w:rFonts w:ascii="Arial" w:hAnsi="Arial" w:cs="Arial"/>
                <w:noProof/>
                <w:webHidden/>
                <w:sz w:val="24"/>
                <w:szCs w:val="24"/>
              </w:rPr>
              <w:fldChar w:fldCharType="begin"/>
            </w:r>
            <w:r w:rsidRPr="00C24648">
              <w:rPr>
                <w:rFonts w:ascii="Arial" w:hAnsi="Arial" w:cs="Arial"/>
                <w:noProof/>
                <w:webHidden/>
                <w:sz w:val="24"/>
                <w:szCs w:val="24"/>
              </w:rPr>
              <w:instrText xml:space="preserve"> PAGEREF _Toc227347044 \h </w:instrText>
            </w:r>
            <w:r w:rsidRPr="00C24648">
              <w:rPr>
                <w:rFonts w:ascii="Arial" w:hAnsi="Arial" w:cs="Arial"/>
                <w:noProof/>
                <w:webHidden/>
                <w:sz w:val="24"/>
                <w:szCs w:val="24"/>
              </w:rPr>
            </w:r>
            <w:r w:rsidRPr="00C24648">
              <w:rPr>
                <w:rFonts w:ascii="Arial" w:hAnsi="Arial" w:cs="Arial"/>
                <w:noProof/>
                <w:webHidden/>
                <w:sz w:val="24"/>
                <w:szCs w:val="24"/>
              </w:rPr>
              <w:fldChar w:fldCharType="separate"/>
            </w:r>
            <w:r w:rsidR="00B20877">
              <w:rPr>
                <w:rFonts w:ascii="Arial" w:hAnsi="Arial" w:cs="Arial"/>
                <w:noProof/>
                <w:webHidden/>
                <w:sz w:val="24"/>
                <w:szCs w:val="24"/>
              </w:rPr>
              <w:t>22</w:t>
            </w:r>
            <w:r w:rsidRPr="00C24648">
              <w:rPr>
                <w:rFonts w:ascii="Arial" w:hAnsi="Arial" w:cs="Arial"/>
                <w:noProof/>
                <w:webHidden/>
                <w:sz w:val="24"/>
                <w:szCs w:val="24"/>
              </w:rPr>
              <w:fldChar w:fldCharType="end"/>
            </w:r>
          </w:hyperlink>
        </w:p>
        <w:p w14:paraId="0033236B" w14:textId="73EF732A" w:rsidR="00C62BC2" w:rsidRPr="00C24648" w:rsidRDefault="00C62BC2" w:rsidP="00C24648">
          <w:pPr>
            <w:pStyle w:val="TOC2"/>
            <w:tabs>
              <w:tab w:val="right" w:leader="dot" w:pos="9350"/>
            </w:tabs>
            <w:spacing w:after="0" w:line="360" w:lineRule="auto"/>
            <w:contextualSpacing/>
            <w:jc w:val="both"/>
            <w:rPr>
              <w:rFonts w:ascii="Arial" w:eastAsiaTheme="minorEastAsia" w:hAnsi="Arial" w:cs="Arial"/>
              <w:noProof/>
              <w:sz w:val="24"/>
              <w:szCs w:val="24"/>
            </w:rPr>
          </w:pPr>
          <w:hyperlink w:anchor="_Toc227347045" w:history="1">
            <w:r w:rsidRPr="00C24648">
              <w:rPr>
                <w:rStyle w:val="Hyperlink"/>
                <w:rFonts w:ascii="Arial" w:hAnsi="Arial" w:cs="Arial"/>
                <w:noProof/>
                <w:sz w:val="24"/>
                <w:szCs w:val="24"/>
              </w:rPr>
              <w:t>Investment Appraisal Step-by-Step Calculations</w:t>
            </w:r>
            <w:r w:rsidRPr="00C24648">
              <w:rPr>
                <w:rFonts w:ascii="Arial" w:hAnsi="Arial" w:cs="Arial"/>
                <w:noProof/>
                <w:webHidden/>
                <w:sz w:val="24"/>
                <w:szCs w:val="24"/>
              </w:rPr>
              <w:tab/>
            </w:r>
            <w:r w:rsidRPr="00C24648">
              <w:rPr>
                <w:rFonts w:ascii="Arial" w:hAnsi="Arial" w:cs="Arial"/>
                <w:noProof/>
                <w:webHidden/>
                <w:sz w:val="24"/>
                <w:szCs w:val="24"/>
              </w:rPr>
              <w:fldChar w:fldCharType="begin"/>
            </w:r>
            <w:r w:rsidRPr="00C24648">
              <w:rPr>
                <w:rFonts w:ascii="Arial" w:hAnsi="Arial" w:cs="Arial"/>
                <w:noProof/>
                <w:webHidden/>
                <w:sz w:val="24"/>
                <w:szCs w:val="24"/>
              </w:rPr>
              <w:instrText xml:space="preserve"> PAGEREF _Toc227347045 \h </w:instrText>
            </w:r>
            <w:r w:rsidRPr="00C24648">
              <w:rPr>
                <w:rFonts w:ascii="Arial" w:hAnsi="Arial" w:cs="Arial"/>
                <w:noProof/>
                <w:webHidden/>
                <w:sz w:val="24"/>
                <w:szCs w:val="24"/>
              </w:rPr>
            </w:r>
            <w:r w:rsidRPr="00C24648">
              <w:rPr>
                <w:rFonts w:ascii="Arial" w:hAnsi="Arial" w:cs="Arial"/>
                <w:noProof/>
                <w:webHidden/>
                <w:sz w:val="24"/>
                <w:szCs w:val="24"/>
              </w:rPr>
              <w:fldChar w:fldCharType="separate"/>
            </w:r>
            <w:r w:rsidR="00B20877">
              <w:rPr>
                <w:rFonts w:ascii="Arial" w:hAnsi="Arial" w:cs="Arial"/>
                <w:noProof/>
                <w:webHidden/>
                <w:sz w:val="24"/>
                <w:szCs w:val="24"/>
              </w:rPr>
              <w:t>28</w:t>
            </w:r>
            <w:r w:rsidRPr="00C24648">
              <w:rPr>
                <w:rFonts w:ascii="Arial" w:hAnsi="Arial" w:cs="Arial"/>
                <w:noProof/>
                <w:webHidden/>
                <w:sz w:val="24"/>
                <w:szCs w:val="24"/>
              </w:rPr>
              <w:fldChar w:fldCharType="end"/>
            </w:r>
          </w:hyperlink>
        </w:p>
        <w:p w14:paraId="3ED02200" w14:textId="44E26EC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b/>
              <w:bCs/>
              <w:noProof/>
              <w:sz w:val="24"/>
              <w:szCs w:val="24"/>
            </w:rPr>
            <w:fldChar w:fldCharType="end"/>
          </w:r>
        </w:p>
      </w:sdtContent>
    </w:sdt>
    <w:p w14:paraId="44AB0CDA" w14:textId="77777777" w:rsidR="00C62BC2" w:rsidRPr="00C24648" w:rsidRDefault="00C62BC2" w:rsidP="00C24648">
      <w:pPr>
        <w:pStyle w:val="Heading1"/>
        <w:spacing w:before="0" w:beforeAutospacing="0" w:after="0" w:afterAutospacing="0" w:line="360" w:lineRule="auto"/>
        <w:contextualSpacing/>
        <w:jc w:val="both"/>
        <w:rPr>
          <w:rFonts w:ascii="Arial" w:hAnsi="Arial" w:cs="Arial"/>
          <w:sz w:val="24"/>
          <w:szCs w:val="24"/>
        </w:rPr>
      </w:pPr>
      <w:bookmarkStart w:id="0" w:name="_Toc227347018"/>
    </w:p>
    <w:p w14:paraId="2BC4DF35" w14:textId="61E90D2B" w:rsidR="00EB34C6" w:rsidRPr="00C24648" w:rsidRDefault="00EB34C6" w:rsidP="00C24648">
      <w:pPr>
        <w:pStyle w:val="Heading1"/>
        <w:spacing w:before="0" w:beforeAutospacing="0" w:after="0" w:afterAutospacing="0" w:line="360" w:lineRule="auto"/>
        <w:contextualSpacing/>
        <w:jc w:val="both"/>
        <w:rPr>
          <w:rFonts w:ascii="Arial" w:hAnsi="Arial" w:cs="Arial"/>
          <w:sz w:val="24"/>
          <w:szCs w:val="24"/>
        </w:rPr>
      </w:pPr>
      <w:r w:rsidRPr="00C24648">
        <w:rPr>
          <w:rFonts w:ascii="Arial" w:hAnsi="Arial" w:cs="Arial"/>
          <w:sz w:val="24"/>
          <w:szCs w:val="24"/>
        </w:rPr>
        <w:lastRenderedPageBreak/>
        <w:t>1. Introduction</w:t>
      </w:r>
      <w:bookmarkEnd w:id="0"/>
    </w:p>
    <w:p w14:paraId="312347D3" w14:textId="31218337" w:rsidR="000E3C52" w:rsidRPr="00C24648" w:rsidRDefault="000E3C52" w:rsidP="00C24648">
      <w:pPr>
        <w:pStyle w:val="NormalWeb"/>
        <w:spacing w:before="0" w:beforeAutospacing="0" w:after="0" w:afterAutospacing="0" w:line="360" w:lineRule="auto"/>
        <w:contextualSpacing/>
        <w:jc w:val="both"/>
        <w:rPr>
          <w:rFonts w:ascii="Arial" w:hAnsi="Arial" w:cs="Arial"/>
        </w:rPr>
      </w:pPr>
      <w:r w:rsidRPr="00C24648">
        <w:rPr>
          <w:rFonts w:ascii="Arial" w:hAnsi="Arial" w:cs="Arial"/>
        </w:rPr>
        <w:t xml:space="preserve">The worldwide automotive sector is experiencing a radical structural shift that is propelled by the electrification, digitalisation, and sustainability demands. </w:t>
      </w:r>
      <w:r w:rsidR="009957B1" w:rsidRPr="009957B1">
        <w:rPr>
          <w:rFonts w:ascii="Arial" w:hAnsi="Arial" w:cs="Arial"/>
        </w:rPr>
        <w:t>Volkswagen</w:t>
      </w:r>
      <w:r w:rsidRPr="00C24648">
        <w:rPr>
          <w:rFonts w:ascii="Arial" w:hAnsi="Arial" w:cs="Arial"/>
        </w:rPr>
        <w:t xml:space="preserve"> as one of the largest automotive manufacturers in the world has been at the frontline of this transformation by making huge investments in electric cars (EVs), battery technology, and online platforms. These strategic changes have however come with a heavy financial burden which requires strict financial management and strategic control at the corporate level (Volkswagen Group, 2026b).</w:t>
      </w:r>
    </w:p>
    <w:p w14:paraId="318747FD" w14:textId="59EA3838" w:rsidR="000E3C52" w:rsidRPr="00C24648" w:rsidRDefault="000E3C52" w:rsidP="00C24648">
      <w:pPr>
        <w:pStyle w:val="NormalWeb"/>
        <w:spacing w:before="0" w:beforeAutospacing="0" w:after="0" w:afterAutospacing="0" w:line="360" w:lineRule="auto"/>
        <w:contextualSpacing/>
        <w:jc w:val="center"/>
        <w:rPr>
          <w:rFonts w:ascii="Arial" w:hAnsi="Arial" w:cs="Arial"/>
        </w:rPr>
      </w:pPr>
      <w:r w:rsidRPr="00C24648">
        <w:rPr>
          <w:rFonts w:ascii="Arial" w:hAnsi="Arial" w:cs="Arial"/>
          <w:noProof/>
        </w:rPr>
        <w:drawing>
          <wp:inline distT="0" distB="0" distL="0" distR="0" wp14:anchorId="07C62BF2" wp14:editId="58909E8E">
            <wp:extent cx="2847975" cy="16002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47975" cy="1600200"/>
                    </a:xfrm>
                    <a:prstGeom prst="rect">
                      <a:avLst/>
                    </a:prstGeom>
                    <a:noFill/>
                  </pic:spPr>
                </pic:pic>
              </a:graphicData>
            </a:graphic>
          </wp:inline>
        </w:drawing>
      </w:r>
    </w:p>
    <w:p w14:paraId="2DE182B0" w14:textId="77777777" w:rsidR="000E3C52" w:rsidRPr="00C24648" w:rsidRDefault="000E3C52" w:rsidP="00C24648">
      <w:pPr>
        <w:pStyle w:val="NormalWeb"/>
        <w:spacing w:before="0" w:beforeAutospacing="0" w:after="0" w:afterAutospacing="0" w:line="360" w:lineRule="auto"/>
        <w:contextualSpacing/>
        <w:jc w:val="both"/>
        <w:rPr>
          <w:rFonts w:ascii="Arial" w:hAnsi="Arial" w:cs="Arial"/>
        </w:rPr>
      </w:pPr>
      <w:r w:rsidRPr="00C24648">
        <w:rPr>
          <w:rFonts w:ascii="Arial" w:hAnsi="Arial" w:cs="Arial"/>
        </w:rPr>
        <w:t>The Chief Financial Officer (CFO) role in this scenario becomes highly important in bringing about financial sustainability, efficient use of capital, and enhancing long term shareholder value. The report thus attempts to establish a financial analysis of Volkswagen Group within the last five years (202024) and evaluates its financial performance both in terms of ratio analysis as well as establishing its core strength and weaknesses.</w:t>
      </w:r>
    </w:p>
    <w:p w14:paraId="3F5F623E" w14:textId="77777777" w:rsidR="000E3C52" w:rsidRPr="00C24648" w:rsidRDefault="000E3C52" w:rsidP="00C24648">
      <w:pPr>
        <w:pStyle w:val="NormalWeb"/>
        <w:spacing w:before="0" w:beforeAutospacing="0" w:after="0" w:afterAutospacing="0" w:line="360" w:lineRule="auto"/>
        <w:contextualSpacing/>
        <w:jc w:val="both"/>
        <w:rPr>
          <w:rFonts w:ascii="Arial" w:hAnsi="Arial" w:cs="Arial"/>
        </w:rPr>
      </w:pPr>
      <w:r w:rsidRPr="00C24648">
        <w:rPr>
          <w:rFonts w:ascii="Arial" w:hAnsi="Arial" w:cs="Arial"/>
        </w:rPr>
        <w:t>In addition, the report provides an assessment of working capital management practices of the company, a strategic financial restructuring plan and an in-depth investment appraisal of three possible projects through the usual capital budgeting methods. The analysis is an amalgamation of financial and non-financial analysis which consists of global economic factors, technological disruption, and environmental, social and governance (ESG) factors.</w:t>
      </w:r>
    </w:p>
    <w:p w14:paraId="31F5C76A" w14:textId="01E0B04E" w:rsidR="00096300" w:rsidRDefault="000E3C52" w:rsidP="00C24648">
      <w:pPr>
        <w:pStyle w:val="NormalWeb"/>
        <w:spacing w:before="0" w:beforeAutospacing="0" w:after="0" w:afterAutospacing="0" w:line="360" w:lineRule="auto"/>
        <w:contextualSpacing/>
        <w:jc w:val="both"/>
        <w:rPr>
          <w:rFonts w:ascii="Arial" w:hAnsi="Arial" w:cs="Arial"/>
        </w:rPr>
      </w:pPr>
      <w:r w:rsidRPr="00C24648">
        <w:rPr>
          <w:rFonts w:ascii="Arial" w:hAnsi="Arial" w:cs="Arial"/>
        </w:rPr>
        <w:t xml:space="preserve">Finally, </w:t>
      </w:r>
      <w:r w:rsidR="003E5E23" w:rsidRPr="003E5E23">
        <w:rPr>
          <w:rFonts w:ascii="Arial" w:hAnsi="Arial" w:cs="Arial"/>
        </w:rPr>
        <w:t>This report aims to recommend realistic financial strategies that can help Volkswagen improve growth and remain competitive in the changing automotive market.</w:t>
      </w:r>
      <w:r w:rsidRPr="00C24648">
        <w:rPr>
          <w:rFonts w:ascii="Arial" w:hAnsi="Arial" w:cs="Arial"/>
        </w:rPr>
        <w:t xml:space="preserve"> </w:t>
      </w:r>
    </w:p>
    <w:p w14:paraId="3C8FEA30" w14:textId="77777777" w:rsidR="003E5E23" w:rsidRPr="00C24648" w:rsidRDefault="003E5E23" w:rsidP="00C24648">
      <w:pPr>
        <w:pStyle w:val="NormalWeb"/>
        <w:spacing w:before="0" w:beforeAutospacing="0" w:after="0" w:afterAutospacing="0" w:line="360" w:lineRule="auto"/>
        <w:contextualSpacing/>
        <w:jc w:val="both"/>
        <w:rPr>
          <w:rFonts w:ascii="Arial" w:hAnsi="Arial" w:cs="Arial"/>
        </w:rPr>
      </w:pPr>
    </w:p>
    <w:p w14:paraId="20D03D67" w14:textId="31AD96BB" w:rsidR="00DF1561" w:rsidRPr="00C24648" w:rsidRDefault="00DF1561" w:rsidP="00C24648">
      <w:pPr>
        <w:pStyle w:val="Heading1"/>
        <w:spacing w:before="0" w:beforeAutospacing="0" w:after="0" w:afterAutospacing="0" w:line="360" w:lineRule="auto"/>
        <w:contextualSpacing/>
        <w:jc w:val="both"/>
        <w:rPr>
          <w:rFonts w:ascii="Arial" w:hAnsi="Arial" w:cs="Arial"/>
          <w:sz w:val="24"/>
          <w:szCs w:val="24"/>
        </w:rPr>
      </w:pPr>
      <w:bookmarkStart w:id="1" w:name="_Toc227347019"/>
      <w:r w:rsidRPr="00C24648">
        <w:rPr>
          <w:rFonts w:ascii="Arial" w:hAnsi="Arial" w:cs="Arial"/>
          <w:sz w:val="24"/>
          <w:szCs w:val="24"/>
        </w:rPr>
        <w:t>2. Financial Health Check (2021–2025)</w:t>
      </w:r>
      <w:bookmarkEnd w:id="1"/>
    </w:p>
    <w:p w14:paraId="26B57348" w14:textId="77777777" w:rsidR="00DF1561" w:rsidRPr="00C24648" w:rsidRDefault="00DF1561" w:rsidP="00C24648">
      <w:pPr>
        <w:pStyle w:val="NormalWeb"/>
        <w:spacing w:before="0" w:beforeAutospacing="0" w:after="0" w:afterAutospacing="0" w:line="360" w:lineRule="auto"/>
        <w:contextualSpacing/>
        <w:jc w:val="both"/>
        <w:rPr>
          <w:rFonts w:ascii="Arial" w:hAnsi="Arial" w:cs="Arial"/>
        </w:rPr>
      </w:pPr>
    </w:p>
    <w:p w14:paraId="77E897E7" w14:textId="12CA70DF" w:rsidR="00DF1561" w:rsidRPr="00BE09E0" w:rsidRDefault="00DF1561" w:rsidP="00C24648">
      <w:pPr>
        <w:pStyle w:val="Heading2"/>
        <w:spacing w:before="0" w:line="360" w:lineRule="auto"/>
        <w:contextualSpacing/>
        <w:jc w:val="both"/>
        <w:rPr>
          <w:rFonts w:ascii="Arial" w:hAnsi="Arial" w:cs="Arial"/>
          <w:b/>
          <w:bCs/>
          <w:color w:val="000000" w:themeColor="text1"/>
          <w:sz w:val="24"/>
          <w:szCs w:val="24"/>
        </w:rPr>
      </w:pPr>
      <w:bookmarkStart w:id="2" w:name="_Toc227347020"/>
      <w:r w:rsidRPr="00BE09E0">
        <w:rPr>
          <w:rFonts w:ascii="Arial" w:hAnsi="Arial" w:cs="Arial"/>
          <w:b/>
          <w:bCs/>
          <w:color w:val="000000" w:themeColor="text1"/>
          <w:sz w:val="24"/>
          <w:szCs w:val="24"/>
        </w:rPr>
        <w:lastRenderedPageBreak/>
        <w:t>2.1 Five-Year Performance Overview</w:t>
      </w:r>
      <w:bookmarkEnd w:id="2"/>
    </w:p>
    <w:p w14:paraId="40A8BD6E" w14:textId="5F31A7A5" w:rsidR="00CD015C" w:rsidRPr="00C24648" w:rsidRDefault="006A2F1D" w:rsidP="00C24648">
      <w:pPr>
        <w:spacing w:after="0" w:line="360" w:lineRule="auto"/>
        <w:contextualSpacing/>
        <w:jc w:val="both"/>
        <w:rPr>
          <w:rFonts w:ascii="Arial" w:hAnsi="Arial" w:cs="Arial"/>
          <w:sz w:val="24"/>
          <w:szCs w:val="24"/>
        </w:rPr>
      </w:pPr>
      <w:r w:rsidRPr="006A2F1D">
        <w:rPr>
          <w:rFonts w:ascii="Arial" w:hAnsi="Arial" w:cs="Arial"/>
          <w:sz w:val="24"/>
          <w:szCs w:val="24"/>
        </w:rPr>
        <w:t xml:space="preserve">Volkswagen </w:t>
      </w:r>
      <w:r w:rsidR="00CD015C" w:rsidRPr="00C24648">
        <w:rPr>
          <w:rFonts w:ascii="Arial" w:hAnsi="Arial" w:cs="Arial"/>
          <w:sz w:val="24"/>
          <w:szCs w:val="24"/>
        </w:rPr>
        <w:t>Group overcame a turbulent process of changing into an electric mobility player, as a traditional combustion leader between 2021 and 2025. Economically, there was a revenue-profitability paradox. As Sales Revenue increased consistently between 2021 and 2024 (Volkswagen Group, 2025), the efficiency indicators of the Group were under a strong squeeze (Volkswagen Group, 2022).</w:t>
      </w:r>
    </w:p>
    <w:p w14:paraId="197E25B7" w14:textId="24780EFD" w:rsidR="00CD015C" w:rsidRPr="00C24648" w:rsidRDefault="00CD015C" w:rsidP="00C24648">
      <w:pPr>
        <w:spacing w:after="0" w:line="360" w:lineRule="auto"/>
        <w:contextualSpacing/>
        <w:jc w:val="both"/>
        <w:rPr>
          <w:rFonts w:ascii="Arial" w:hAnsi="Arial" w:cs="Arial"/>
          <w:sz w:val="24"/>
          <w:szCs w:val="24"/>
        </w:rPr>
      </w:pPr>
      <w:r w:rsidRPr="00C24648">
        <w:rPr>
          <w:rFonts w:ascii="Arial" w:hAnsi="Arial" w:cs="Arial"/>
          <w:sz w:val="24"/>
          <w:szCs w:val="24"/>
        </w:rPr>
        <w:t>The Operating Margin was steadier at 7-8 percent up until 2023 (Volkswagen Group, 2024) but suffered a disastrous downward spiral to 2.8 percent in 2025 (Volkswagen Group, 2026a). This fall was motivated by huge initial investments in the PowerCo battery business, delay in software development at CARIAD, and external shocks such as trade tariffs in the US and Porsche restructuring expenses. As a result, the Return on Equity (ROE) has gone down to 4.2 percent down to 12.0 percent, indicating that the growing capital base of the Group is no longer generating returns. Although the Automotive Division had a good Net Liquidity of 34.5 billion, the decline in Interest covering and Cash Flow Margins shows that the room to achieve self-funded transformation is very limited, and the intensive strategic shift described in this report is justified.</w:t>
      </w:r>
    </w:p>
    <w:p w14:paraId="1704D4C8" w14:textId="363307C3" w:rsidR="00DF1561" w:rsidRPr="00BE09E0" w:rsidRDefault="00DF1561" w:rsidP="00BE09E0">
      <w:pPr>
        <w:pStyle w:val="Heading2"/>
        <w:spacing w:before="0" w:line="360" w:lineRule="auto"/>
        <w:contextualSpacing/>
        <w:jc w:val="both"/>
        <w:rPr>
          <w:rFonts w:ascii="Arial" w:hAnsi="Arial" w:cs="Arial"/>
          <w:color w:val="000000" w:themeColor="text1"/>
          <w:sz w:val="24"/>
          <w:szCs w:val="24"/>
        </w:rPr>
      </w:pPr>
      <w:bookmarkStart w:id="3" w:name="_Toc227347021"/>
      <w:r w:rsidRPr="00BE09E0">
        <w:rPr>
          <w:rStyle w:val="Strong"/>
          <w:rFonts w:ascii="Arial" w:hAnsi="Arial" w:cs="Arial"/>
          <w:color w:val="000000" w:themeColor="text1"/>
          <w:sz w:val="24"/>
          <w:szCs w:val="24"/>
        </w:rPr>
        <w:t>2.2 Full Ratio Analysis</w:t>
      </w:r>
      <w:bookmarkEnd w:id="3"/>
    </w:p>
    <w:p w14:paraId="2F63C50A" w14:textId="77777777" w:rsidR="00DF1561" w:rsidRPr="00BE09E0" w:rsidRDefault="00DF1561" w:rsidP="00C24648">
      <w:pPr>
        <w:pStyle w:val="Heading3"/>
        <w:spacing w:before="0" w:line="360" w:lineRule="auto"/>
        <w:contextualSpacing/>
        <w:jc w:val="both"/>
        <w:rPr>
          <w:rFonts w:ascii="Arial" w:hAnsi="Arial" w:cs="Arial"/>
          <w:color w:val="000000" w:themeColor="text1"/>
        </w:rPr>
      </w:pPr>
      <w:bookmarkStart w:id="4" w:name="_Toc227347022"/>
      <w:r w:rsidRPr="00BE09E0">
        <w:rPr>
          <w:rStyle w:val="Strong"/>
          <w:rFonts w:ascii="Arial" w:hAnsi="Arial" w:cs="Arial"/>
          <w:color w:val="000000" w:themeColor="text1"/>
        </w:rPr>
        <w:t>2.2.1 Profitability Ratios</w:t>
      </w:r>
      <w:bookmarkEnd w:id="4"/>
    </w:p>
    <w:p w14:paraId="3023448A" w14:textId="77777777" w:rsidR="00CD015C" w:rsidRPr="00C24648" w:rsidRDefault="00CD015C" w:rsidP="00C24648">
      <w:pPr>
        <w:spacing w:after="0" w:line="360" w:lineRule="auto"/>
        <w:contextualSpacing/>
        <w:jc w:val="both"/>
        <w:rPr>
          <w:rFonts w:ascii="Arial" w:hAnsi="Arial" w:cs="Arial"/>
          <w:sz w:val="24"/>
          <w:szCs w:val="24"/>
        </w:rPr>
      </w:pPr>
      <w:r w:rsidRPr="00C24648">
        <w:rPr>
          <w:rFonts w:ascii="Arial" w:hAnsi="Arial" w:cs="Arial"/>
          <w:sz w:val="24"/>
          <w:szCs w:val="24"/>
        </w:rPr>
        <w:t>Profitability analysis shows a definite negative trend in the earnings performance of Volkswagen Group in the five years period. Gross profit margins were quite consistent in 2021 and 2023, and they were between 18.7 to 19.1, which indicates the ability to control costs and avoid fluctuations in prices at the stage of recovery after global disruptions. The decrease to 15.9% in 2025 however indicates an increase in the cost of production especially in the aspects of electrification, sourcing of batteries, and inflationary factors.</w:t>
      </w:r>
    </w:p>
    <w:p w14:paraId="54092066" w14:textId="77777777" w:rsidR="00CD015C" w:rsidRPr="00C24648" w:rsidRDefault="00CD015C" w:rsidP="00C24648">
      <w:pPr>
        <w:spacing w:after="0" w:line="360" w:lineRule="auto"/>
        <w:contextualSpacing/>
        <w:jc w:val="both"/>
        <w:rPr>
          <w:rFonts w:ascii="Arial" w:hAnsi="Arial" w:cs="Arial"/>
          <w:sz w:val="24"/>
          <w:szCs w:val="24"/>
        </w:rPr>
      </w:pPr>
      <w:r w:rsidRPr="00C24648">
        <w:rPr>
          <w:rFonts w:ascii="Arial" w:hAnsi="Arial" w:cs="Arial"/>
          <w:sz w:val="24"/>
          <w:szCs w:val="24"/>
        </w:rPr>
        <w:t>Worse is the fact that the operating and net profit margin has significantly worsened. Operating margin fell from 7.9% in 2022 (Volkswagen Group, 2023) to 2.8% in 2025 (Volkswagen Group , 2026a), while net profit margin declined from 6.2% to 2.5%. This implies that the profitability is being severely lost on operating costs including R&amp;D, restructuring costs and digital transformation. ROCE also decreased significantly to 12.3% in 2023 ( Volkswagen Group, 2024) to 5.2% in 2025 ( Volkswagen Group, 2026a ) which shows that the efficiency of returns on capital used has decreased.</w:t>
      </w:r>
    </w:p>
    <w:p w14:paraId="6B1F8067" w14:textId="7D2CC0B8" w:rsidR="00DF1561" w:rsidRPr="00C24648" w:rsidRDefault="00CD015C" w:rsidP="00C24648">
      <w:pPr>
        <w:spacing w:after="0" w:line="360" w:lineRule="auto"/>
        <w:contextualSpacing/>
        <w:jc w:val="both"/>
        <w:rPr>
          <w:rFonts w:ascii="Arial" w:hAnsi="Arial" w:cs="Arial"/>
          <w:sz w:val="24"/>
          <w:szCs w:val="24"/>
        </w:rPr>
      </w:pPr>
      <w:r w:rsidRPr="00C24648">
        <w:rPr>
          <w:rFonts w:ascii="Arial" w:hAnsi="Arial" w:cs="Arial"/>
          <w:sz w:val="24"/>
          <w:szCs w:val="24"/>
        </w:rPr>
        <w:lastRenderedPageBreak/>
        <w:t>One of the strengths is that profitability was positive all through the period indicating that it was resilient. The trend of decline is however a significant danger as it is clear that the shift towards electric vehicles is exerting a lot of short-term pressure on the margins, and it is doubtful whether the returns can be sustained in the near future unless cost efficiencies are achieved.</w:t>
      </w:r>
    </w:p>
    <w:p w14:paraId="328DE761" w14:textId="77777777" w:rsidR="00DF1561" w:rsidRPr="00BE09E0" w:rsidRDefault="00DF1561" w:rsidP="00C24648">
      <w:pPr>
        <w:pStyle w:val="Heading3"/>
        <w:spacing w:before="0" w:line="360" w:lineRule="auto"/>
        <w:contextualSpacing/>
        <w:jc w:val="both"/>
        <w:rPr>
          <w:rStyle w:val="Strong"/>
          <w:rFonts w:ascii="Arial" w:hAnsi="Arial" w:cs="Arial"/>
          <w:color w:val="000000" w:themeColor="text1"/>
        </w:rPr>
      </w:pPr>
      <w:bookmarkStart w:id="5" w:name="_Toc227347023"/>
      <w:r w:rsidRPr="00BE09E0">
        <w:rPr>
          <w:rStyle w:val="Strong"/>
          <w:rFonts w:ascii="Arial" w:hAnsi="Arial" w:cs="Arial"/>
          <w:color w:val="000000" w:themeColor="text1"/>
        </w:rPr>
        <w:t>2.2.2 Liquidity Ratios</w:t>
      </w:r>
      <w:bookmarkEnd w:id="5"/>
    </w:p>
    <w:p w14:paraId="431F120F" w14:textId="77777777" w:rsidR="00CD015C" w:rsidRPr="00C24648" w:rsidRDefault="00CD015C" w:rsidP="00C24648">
      <w:pPr>
        <w:spacing w:after="0" w:line="360" w:lineRule="auto"/>
        <w:contextualSpacing/>
        <w:jc w:val="both"/>
        <w:rPr>
          <w:rFonts w:ascii="Arial" w:hAnsi="Arial" w:cs="Arial"/>
          <w:sz w:val="24"/>
          <w:szCs w:val="24"/>
        </w:rPr>
      </w:pPr>
      <w:r w:rsidRPr="00C24648">
        <w:rPr>
          <w:rFonts w:ascii="Arial" w:hAnsi="Arial" w:cs="Arial"/>
          <w:sz w:val="24"/>
          <w:szCs w:val="24"/>
        </w:rPr>
        <w:t>Liquidity ratios indicate a fairly stable yet limited short-term financial position of Volkswagen. The current ratio stayed a bit higher than 1 during the period, decreasing slightly compared with 1.17 in 2022 (Volkswagen Group, 2023) in 2025 (Volkswagen Group, 2026a). This means that current assets are only adequate to meet current liabilities, which is an indication of good working capital management but weak liquidity headroom.</w:t>
      </w:r>
    </w:p>
    <w:p w14:paraId="1A04A012" w14:textId="77777777" w:rsidR="00CD015C" w:rsidRPr="00C24648" w:rsidRDefault="00CD015C" w:rsidP="00C24648">
      <w:pPr>
        <w:spacing w:after="0" w:line="360" w:lineRule="auto"/>
        <w:contextualSpacing/>
        <w:jc w:val="both"/>
        <w:rPr>
          <w:rFonts w:ascii="Arial" w:hAnsi="Arial" w:cs="Arial"/>
          <w:sz w:val="24"/>
          <w:szCs w:val="24"/>
        </w:rPr>
      </w:pPr>
      <w:r w:rsidRPr="00C24648">
        <w:rPr>
          <w:rFonts w:ascii="Arial" w:hAnsi="Arial" w:cs="Arial"/>
          <w:sz w:val="24"/>
          <w:szCs w:val="24"/>
        </w:rPr>
        <w:t>The quick ratio indicates a decreasing trend between 0.88 and 0.82 and it is always less than 1. This means that it is dependent on the inventory to cover short term liabilities which is common in the automotive industry, but poses a risk when inventory turns have slown down. The cash ratio also decreased even further to 0.15 in 2025 compared to 0.19 in 2021, which indicates the decrease in immediately available liquidity (Volkswagen Group, 2022).</w:t>
      </w:r>
    </w:p>
    <w:p w14:paraId="3E7D851E" w14:textId="77777777" w:rsidR="00CD015C" w:rsidRPr="00C24648" w:rsidRDefault="00CD015C" w:rsidP="00C24648">
      <w:pPr>
        <w:spacing w:after="0" w:line="360" w:lineRule="auto"/>
        <w:contextualSpacing/>
        <w:jc w:val="both"/>
        <w:rPr>
          <w:rFonts w:ascii="Arial" w:hAnsi="Arial" w:cs="Arial"/>
          <w:sz w:val="24"/>
          <w:szCs w:val="24"/>
        </w:rPr>
      </w:pPr>
      <w:r w:rsidRPr="00C24648">
        <w:rPr>
          <w:rFonts w:ascii="Arial" w:hAnsi="Arial" w:cs="Arial"/>
          <w:sz w:val="24"/>
          <w:szCs w:val="24"/>
        </w:rPr>
        <w:t>This trend shows that Volkswagen is working on a narrowing liquidity, probably because of the increased capital expenditure and strategic investments in electrification. As much as this is a future-looking investment mode, it puts the company at risk of short-term financial strains.</w:t>
      </w:r>
    </w:p>
    <w:p w14:paraId="43826A62" w14:textId="70689AAD" w:rsidR="00CD015C" w:rsidRPr="00C24648" w:rsidRDefault="00CD015C" w:rsidP="00C24648">
      <w:pPr>
        <w:spacing w:after="0" w:line="360" w:lineRule="auto"/>
        <w:contextualSpacing/>
        <w:jc w:val="both"/>
        <w:rPr>
          <w:rFonts w:ascii="Arial" w:hAnsi="Arial" w:cs="Arial"/>
          <w:sz w:val="24"/>
          <w:szCs w:val="24"/>
        </w:rPr>
      </w:pPr>
      <w:r w:rsidRPr="00C24648">
        <w:rPr>
          <w:rFonts w:ascii="Arial" w:hAnsi="Arial" w:cs="Arial"/>
          <w:sz w:val="24"/>
          <w:szCs w:val="24"/>
        </w:rPr>
        <w:t>One of the strengths is the liquidity ratios that remain constant and therefore there is control in financial management. Nevertheless, the downward trend poses a risk especially in the economic uncertainty whereby a lack of liquid reserves can limit the capacity of the company to react to unforeseen shocks.</w:t>
      </w:r>
    </w:p>
    <w:p w14:paraId="12FB9049" w14:textId="77777777" w:rsidR="00DF1561" w:rsidRPr="00BE09E0" w:rsidRDefault="00DF1561" w:rsidP="00C24648">
      <w:pPr>
        <w:pStyle w:val="Heading3"/>
        <w:spacing w:before="0" w:line="360" w:lineRule="auto"/>
        <w:contextualSpacing/>
        <w:jc w:val="both"/>
        <w:rPr>
          <w:rFonts w:ascii="Arial" w:hAnsi="Arial" w:cs="Arial"/>
          <w:color w:val="000000" w:themeColor="text1"/>
        </w:rPr>
      </w:pPr>
      <w:bookmarkStart w:id="6" w:name="_Toc227347024"/>
      <w:r w:rsidRPr="00BE09E0">
        <w:rPr>
          <w:rStyle w:val="Strong"/>
          <w:rFonts w:ascii="Arial" w:hAnsi="Arial" w:cs="Arial"/>
          <w:color w:val="000000" w:themeColor="text1"/>
        </w:rPr>
        <w:t>2.2.3 Efficiency Ratios</w:t>
      </w:r>
      <w:bookmarkEnd w:id="6"/>
    </w:p>
    <w:p w14:paraId="48CA5D8C" w14:textId="77777777" w:rsidR="00222AC9" w:rsidRPr="00C24648" w:rsidRDefault="00222AC9" w:rsidP="00C24648">
      <w:pPr>
        <w:pStyle w:val="NormalWeb"/>
        <w:spacing w:before="0" w:beforeAutospacing="0" w:after="0" w:afterAutospacing="0" w:line="360" w:lineRule="auto"/>
        <w:contextualSpacing/>
        <w:jc w:val="both"/>
        <w:rPr>
          <w:rFonts w:ascii="Arial" w:hAnsi="Arial" w:cs="Arial"/>
        </w:rPr>
      </w:pPr>
      <w:r w:rsidRPr="00C24648">
        <w:rPr>
          <w:rFonts w:ascii="Arial" w:hAnsi="Arial" w:cs="Arial"/>
        </w:rPr>
        <w:t xml:space="preserve">This is because efficiency ratios help us to understand how well Volkswagen utilises its assets. In 2023 (Volkswagen Group, 2024), the asset turnover ratio increased to 0.52 (compared to 0.47 in 2021) and then remained constant, showing increased efficiency in </w:t>
      </w:r>
      <w:r w:rsidRPr="00C24648">
        <w:rPr>
          <w:rFonts w:ascii="Arial" w:hAnsi="Arial" w:cs="Arial"/>
        </w:rPr>
        <w:lastRenderedPageBreak/>
        <w:t>using the assets to generate revenue. This is an indicator of operational recovery and efficiency in production after previous disruptions.</w:t>
      </w:r>
    </w:p>
    <w:p w14:paraId="167395AF" w14:textId="77777777" w:rsidR="00222AC9" w:rsidRPr="00C24648" w:rsidRDefault="00222AC9" w:rsidP="00C24648">
      <w:pPr>
        <w:pStyle w:val="NormalWeb"/>
        <w:spacing w:before="0" w:beforeAutospacing="0" w:after="0" w:afterAutospacing="0" w:line="360" w:lineRule="auto"/>
        <w:contextualSpacing/>
        <w:jc w:val="both"/>
        <w:rPr>
          <w:rFonts w:ascii="Arial" w:hAnsi="Arial" w:cs="Arial"/>
        </w:rPr>
      </w:pPr>
      <w:r w:rsidRPr="00C24648">
        <w:rPr>
          <w:rFonts w:ascii="Arial" w:hAnsi="Arial" w:cs="Arial"/>
        </w:rPr>
        <w:t>There was also an increase in fixed asset turnover to 3.94 in 2023 (Volkswagen Group, 2024), which indicates that investments in property, plant, and equipment initially were productive. Nonetheless, the drop to 3.60 in 2025 (Volkswagen Group , 2026a) shows that new investments, especially in EV infrastructure, are not yet returning equivalent revenue earnings yet, which demonstrates an investment-output lag.</w:t>
      </w:r>
    </w:p>
    <w:p w14:paraId="6B421B89" w14:textId="77777777" w:rsidR="00222AC9" w:rsidRPr="00C24648" w:rsidRDefault="00222AC9" w:rsidP="00C24648">
      <w:pPr>
        <w:pStyle w:val="NormalWeb"/>
        <w:spacing w:before="0" w:beforeAutospacing="0" w:after="0" w:afterAutospacing="0" w:line="360" w:lineRule="auto"/>
        <w:contextualSpacing/>
        <w:jc w:val="both"/>
        <w:rPr>
          <w:rFonts w:ascii="Arial" w:hAnsi="Arial" w:cs="Arial"/>
        </w:rPr>
      </w:pPr>
      <w:r w:rsidRPr="00C24648">
        <w:rPr>
          <w:rFonts w:ascii="Arial" w:hAnsi="Arial" w:cs="Arial"/>
        </w:rPr>
        <w:t>The decrease in inventory turnover (4.92 to 4.25) meant that the movement of inventory was slower and may be overstocking or decreased demand. On the same note, the turnover of receivables was reduced to 13.5 instead of 16.2 indicating slower turnover of receivables and likelihood of laxity in credit conditions.</w:t>
      </w:r>
    </w:p>
    <w:p w14:paraId="433DC562" w14:textId="1C92A548" w:rsidR="00DF1561" w:rsidRPr="00C24648" w:rsidRDefault="00222AC9" w:rsidP="00BE09E0">
      <w:pPr>
        <w:pStyle w:val="NormalWeb"/>
        <w:spacing w:before="0" w:beforeAutospacing="0" w:after="0" w:afterAutospacing="0" w:line="360" w:lineRule="auto"/>
        <w:contextualSpacing/>
        <w:jc w:val="both"/>
        <w:rPr>
          <w:rFonts w:ascii="Arial" w:hAnsi="Arial" w:cs="Arial"/>
        </w:rPr>
      </w:pPr>
      <w:r w:rsidRPr="00C24648">
        <w:rPr>
          <w:rFonts w:ascii="Arial" w:hAnsi="Arial" w:cs="Arial"/>
        </w:rPr>
        <w:t>Although the business shows good overall asset utilisation, the inventory and receivables turnover trends are decreasing, which poses a challenge in the operations of the business. These inefficiencies can tie up working capital and undermine liquidity and this threatens financial flexibility unless it has been addressed by better supply chain and credit management.</w:t>
      </w:r>
    </w:p>
    <w:p w14:paraId="33CA2202" w14:textId="77777777" w:rsidR="00DF1561" w:rsidRPr="00BE09E0" w:rsidRDefault="00DF1561" w:rsidP="00C24648">
      <w:pPr>
        <w:pStyle w:val="Heading3"/>
        <w:spacing w:before="0" w:line="360" w:lineRule="auto"/>
        <w:contextualSpacing/>
        <w:jc w:val="both"/>
        <w:rPr>
          <w:rStyle w:val="Strong"/>
          <w:rFonts w:ascii="Arial" w:hAnsi="Arial" w:cs="Arial"/>
          <w:color w:val="000000" w:themeColor="text1"/>
        </w:rPr>
      </w:pPr>
      <w:bookmarkStart w:id="7" w:name="_Toc227347025"/>
      <w:r w:rsidRPr="00BE09E0">
        <w:rPr>
          <w:rStyle w:val="Strong"/>
          <w:rFonts w:ascii="Arial" w:hAnsi="Arial" w:cs="Arial"/>
          <w:color w:val="000000" w:themeColor="text1"/>
        </w:rPr>
        <w:t>2.2.4 Gearing Ratios</w:t>
      </w:r>
      <w:bookmarkEnd w:id="7"/>
    </w:p>
    <w:p w14:paraId="5F2BAE30" w14:textId="77777777" w:rsidR="006F42AA" w:rsidRPr="00C24648" w:rsidRDefault="006F42AA" w:rsidP="00C24648">
      <w:pPr>
        <w:spacing w:after="0" w:line="360" w:lineRule="auto"/>
        <w:contextualSpacing/>
        <w:jc w:val="both"/>
        <w:rPr>
          <w:rFonts w:ascii="Arial" w:hAnsi="Arial" w:cs="Arial"/>
          <w:sz w:val="24"/>
          <w:szCs w:val="24"/>
        </w:rPr>
      </w:pPr>
      <w:r w:rsidRPr="00C24648">
        <w:rPr>
          <w:rFonts w:ascii="Arial" w:hAnsi="Arial" w:cs="Arial"/>
          <w:sz w:val="24"/>
          <w:szCs w:val="24"/>
        </w:rPr>
        <w:t>Gearing ratios reveal that, Volkswagen is using a fairly high level of financial leverage. The debt-equity ratio was above 2 during the period, which is indicative of external financing. Although this is normal in capital intensive industries, it raises the financial risk especially during unstable economic times.</w:t>
      </w:r>
    </w:p>
    <w:p w14:paraId="29C64A32" w14:textId="77777777" w:rsidR="006F42AA" w:rsidRPr="00C24648" w:rsidRDefault="006F42AA" w:rsidP="00C24648">
      <w:pPr>
        <w:spacing w:after="0" w:line="360" w:lineRule="auto"/>
        <w:contextualSpacing/>
        <w:jc w:val="both"/>
        <w:rPr>
          <w:rFonts w:ascii="Arial" w:hAnsi="Arial" w:cs="Arial"/>
          <w:sz w:val="24"/>
          <w:szCs w:val="24"/>
        </w:rPr>
      </w:pPr>
      <w:r w:rsidRPr="00C24648">
        <w:rPr>
          <w:rFonts w:ascii="Arial" w:hAnsi="Arial" w:cs="Arial"/>
          <w:sz w:val="24"/>
          <w:szCs w:val="24"/>
        </w:rPr>
        <w:t>The interest coverage ratio dropped to 4.2 times in 2025 (Volkswagen Group, 2023) compared to 11.4 times in 2022 (Volkswagen Group, 2023), which means that the company would no longer be able to cover its interest payments through operating profits. This is a downward pattern that is correlated with a decrease in operating income and a shift to greater financial exposure.</w:t>
      </w:r>
    </w:p>
    <w:p w14:paraId="37192313" w14:textId="77777777" w:rsidR="006F42AA" w:rsidRPr="00C24648" w:rsidRDefault="006F42AA" w:rsidP="00C24648">
      <w:pPr>
        <w:spacing w:after="0" w:line="360" w:lineRule="auto"/>
        <w:contextualSpacing/>
        <w:jc w:val="both"/>
        <w:rPr>
          <w:rFonts w:ascii="Arial" w:hAnsi="Arial" w:cs="Arial"/>
          <w:sz w:val="24"/>
          <w:szCs w:val="24"/>
        </w:rPr>
      </w:pPr>
      <w:r w:rsidRPr="00C24648">
        <w:rPr>
          <w:rFonts w:ascii="Arial" w:hAnsi="Arial" w:cs="Arial"/>
          <w:sz w:val="24"/>
          <w:szCs w:val="24"/>
        </w:rPr>
        <w:t>The debt-to-capital ratios were steady at approximately 0.70 indicating the stable capital structure. Nonetheless, the increasing debt-to-enterprise value ratio, 0.78 to 0.89, indicates the increased market doubt about leverage and decreased firm value.</w:t>
      </w:r>
    </w:p>
    <w:p w14:paraId="5194A4F3" w14:textId="79160C06" w:rsidR="00DF1561" w:rsidRPr="00C24648" w:rsidRDefault="006F42AA" w:rsidP="00C24648">
      <w:pPr>
        <w:spacing w:after="0" w:line="360" w:lineRule="auto"/>
        <w:contextualSpacing/>
        <w:jc w:val="both"/>
        <w:rPr>
          <w:rFonts w:ascii="Arial" w:hAnsi="Arial" w:cs="Arial"/>
          <w:sz w:val="24"/>
          <w:szCs w:val="24"/>
        </w:rPr>
      </w:pPr>
      <w:r w:rsidRPr="00C24648">
        <w:rPr>
          <w:rFonts w:ascii="Arial" w:hAnsi="Arial" w:cs="Arial"/>
          <w:sz w:val="24"/>
          <w:szCs w:val="24"/>
        </w:rPr>
        <w:t xml:space="preserve">The major strength is that the company has a negative net debt position in its automotive segment, which means that it has sufficient liquidity reserves and financial strength. </w:t>
      </w:r>
      <w:r w:rsidRPr="00C24648">
        <w:rPr>
          <w:rFonts w:ascii="Arial" w:hAnsi="Arial" w:cs="Arial"/>
          <w:sz w:val="24"/>
          <w:szCs w:val="24"/>
        </w:rPr>
        <w:lastRenderedPageBreak/>
        <w:t>However, the general direction is to the higher financial risk. When profitability goes on to be weak, the company might experience increased strain in debt service, especially with the increase in interest rates.</w:t>
      </w:r>
    </w:p>
    <w:p w14:paraId="4E88DD5C" w14:textId="77777777" w:rsidR="00DF1561" w:rsidRPr="00BE09E0" w:rsidRDefault="00DF1561" w:rsidP="00C24648">
      <w:pPr>
        <w:pStyle w:val="Heading3"/>
        <w:spacing w:before="0" w:line="360" w:lineRule="auto"/>
        <w:contextualSpacing/>
        <w:jc w:val="both"/>
        <w:rPr>
          <w:rFonts w:ascii="Arial" w:hAnsi="Arial" w:cs="Arial"/>
          <w:color w:val="000000" w:themeColor="text1"/>
        </w:rPr>
      </w:pPr>
      <w:bookmarkStart w:id="8" w:name="_Toc227347026"/>
      <w:r w:rsidRPr="00BE09E0">
        <w:rPr>
          <w:rStyle w:val="Strong"/>
          <w:rFonts w:ascii="Arial" w:hAnsi="Arial" w:cs="Arial"/>
          <w:color w:val="000000" w:themeColor="text1"/>
        </w:rPr>
        <w:t>2.2.5 Investment Ratios</w:t>
      </w:r>
      <w:bookmarkEnd w:id="8"/>
    </w:p>
    <w:p w14:paraId="2445928C" w14:textId="77777777" w:rsidR="006F42AA" w:rsidRPr="00C24648" w:rsidRDefault="006F42AA" w:rsidP="00C24648">
      <w:pPr>
        <w:spacing w:after="0" w:line="360" w:lineRule="auto"/>
        <w:contextualSpacing/>
        <w:jc w:val="both"/>
        <w:rPr>
          <w:rFonts w:ascii="Arial" w:hAnsi="Arial" w:cs="Arial"/>
          <w:sz w:val="24"/>
          <w:szCs w:val="24"/>
        </w:rPr>
      </w:pPr>
      <w:r w:rsidRPr="00C24648">
        <w:rPr>
          <w:rFonts w:ascii="Arial" w:hAnsi="Arial" w:cs="Arial"/>
          <w:sz w:val="24"/>
          <w:szCs w:val="24"/>
        </w:rPr>
        <w:t>Shareholder returns and market confidence are shown to have worsened in terms of investment ratios. The decrease in the returns on equity, which was 12.0% in 2021, to 4.2% in 2025, indicates lower profitability and lower returns to investors. Likewise, ROA decreased, which means that it is not used efficiently to make profits.</w:t>
      </w:r>
    </w:p>
    <w:p w14:paraId="1C13D064" w14:textId="77777777" w:rsidR="006F42AA" w:rsidRPr="00C24648" w:rsidRDefault="006F42AA" w:rsidP="00C24648">
      <w:pPr>
        <w:spacing w:after="0" w:line="360" w:lineRule="auto"/>
        <w:contextualSpacing/>
        <w:jc w:val="both"/>
        <w:rPr>
          <w:rFonts w:ascii="Arial" w:hAnsi="Arial" w:cs="Arial"/>
          <w:sz w:val="24"/>
          <w:szCs w:val="24"/>
        </w:rPr>
      </w:pPr>
      <w:r w:rsidRPr="00C24648">
        <w:rPr>
          <w:rFonts w:ascii="Arial" w:hAnsi="Arial" w:cs="Arial"/>
          <w:sz w:val="24"/>
          <w:szCs w:val="24"/>
        </w:rPr>
        <w:t>The profitability available to shareholders has been significantly reduced, as earnings per share (EPS) grew to €31.92 in 2023 (Volkswagen Group, 2024) and dropped to 14.30 in 2025. Nevertheless, the dividend payout ratio rose to 45.0 as compared to 25.4 indicating that the company is paying a higher amount of earnings as dividends.</w:t>
      </w:r>
    </w:p>
    <w:p w14:paraId="3F2E4367" w14:textId="77777777" w:rsidR="006F42AA" w:rsidRPr="00C24648" w:rsidRDefault="006F42AA" w:rsidP="00C24648">
      <w:pPr>
        <w:spacing w:after="0" w:line="360" w:lineRule="auto"/>
        <w:contextualSpacing/>
        <w:jc w:val="both"/>
        <w:rPr>
          <w:rFonts w:ascii="Arial" w:hAnsi="Arial" w:cs="Arial"/>
          <w:sz w:val="24"/>
          <w:szCs w:val="24"/>
        </w:rPr>
      </w:pPr>
      <w:r w:rsidRPr="00C24648">
        <w:rPr>
          <w:rFonts w:ascii="Arial" w:hAnsi="Arial" w:cs="Arial"/>
          <w:sz w:val="24"/>
          <w:szCs w:val="24"/>
        </w:rPr>
        <w:t>This could help to instill confidence among investors in the short-run, but at the expense of retained earnings to reinvest. The dropping dividend cover ratio also suggests that the payment of dividends is not becoming sustainable anymore.</w:t>
      </w:r>
    </w:p>
    <w:p w14:paraId="6CDC8D4C" w14:textId="232B801E" w:rsidR="006F42AA" w:rsidRPr="00C24648" w:rsidRDefault="006F42AA" w:rsidP="00C24648">
      <w:pPr>
        <w:spacing w:after="0" w:line="360" w:lineRule="auto"/>
        <w:contextualSpacing/>
        <w:jc w:val="both"/>
        <w:rPr>
          <w:rFonts w:ascii="Arial" w:hAnsi="Arial" w:cs="Arial"/>
          <w:sz w:val="24"/>
          <w:szCs w:val="24"/>
        </w:rPr>
      </w:pPr>
      <w:r w:rsidRPr="00C24648">
        <w:rPr>
          <w:rFonts w:ascii="Arial" w:hAnsi="Arial" w:cs="Arial"/>
          <w:sz w:val="24"/>
          <w:szCs w:val="24"/>
        </w:rPr>
        <w:t>The 2025 rising P/E ratio to 6.5 indicated reduced earnings instead of a higher valuation. This is an indication of a reserved investor attitude towards growth prospects (Volkswagen Group, 2026a).</w:t>
      </w:r>
    </w:p>
    <w:p w14:paraId="64C9D67C" w14:textId="6425965E" w:rsidR="00DF1561" w:rsidRPr="00C24648" w:rsidRDefault="006F42AA" w:rsidP="00C24648">
      <w:pPr>
        <w:spacing w:after="0" w:line="360" w:lineRule="auto"/>
        <w:contextualSpacing/>
        <w:jc w:val="both"/>
        <w:rPr>
          <w:rFonts w:ascii="Arial" w:hAnsi="Arial" w:cs="Arial"/>
          <w:sz w:val="24"/>
          <w:szCs w:val="24"/>
        </w:rPr>
      </w:pPr>
      <w:r w:rsidRPr="00C24648">
        <w:rPr>
          <w:rFonts w:ascii="Arial" w:hAnsi="Arial" w:cs="Arial"/>
          <w:sz w:val="24"/>
          <w:szCs w:val="24"/>
        </w:rPr>
        <w:t>In general, shareholders are still being rewarded, but the decreasing returns and rising payout ratios is a possible threat to financial sustainability in the long term at Volkswagen.</w:t>
      </w:r>
    </w:p>
    <w:p w14:paraId="2E36464A" w14:textId="77777777" w:rsidR="00DF1561" w:rsidRPr="00BE09E0" w:rsidRDefault="00DF1561" w:rsidP="00C24648">
      <w:pPr>
        <w:pStyle w:val="Heading3"/>
        <w:spacing w:before="0" w:line="360" w:lineRule="auto"/>
        <w:contextualSpacing/>
        <w:jc w:val="both"/>
        <w:rPr>
          <w:rStyle w:val="Strong"/>
          <w:rFonts w:ascii="Arial" w:hAnsi="Arial" w:cs="Arial"/>
          <w:color w:val="000000" w:themeColor="text1"/>
        </w:rPr>
      </w:pPr>
      <w:bookmarkStart w:id="9" w:name="_Toc227347027"/>
      <w:r w:rsidRPr="00BE09E0">
        <w:rPr>
          <w:rStyle w:val="Strong"/>
          <w:rFonts w:ascii="Arial" w:hAnsi="Arial" w:cs="Arial"/>
          <w:color w:val="000000" w:themeColor="text1"/>
        </w:rPr>
        <w:t>2.2.6 Cash Flow Ratios</w:t>
      </w:r>
      <w:bookmarkEnd w:id="9"/>
    </w:p>
    <w:p w14:paraId="2F125B10" w14:textId="77777777" w:rsidR="006F42AA" w:rsidRPr="00C24648" w:rsidRDefault="006F42AA" w:rsidP="00C24648">
      <w:pPr>
        <w:spacing w:after="0" w:line="360" w:lineRule="auto"/>
        <w:contextualSpacing/>
        <w:jc w:val="both"/>
        <w:rPr>
          <w:rFonts w:ascii="Arial" w:hAnsi="Arial" w:cs="Arial"/>
          <w:sz w:val="24"/>
          <w:szCs w:val="24"/>
        </w:rPr>
      </w:pPr>
      <w:r w:rsidRPr="00C24648">
        <w:rPr>
          <w:rFonts w:ascii="Arial" w:hAnsi="Arial" w:cs="Arial"/>
          <w:sz w:val="24"/>
          <w:szCs w:val="24"/>
        </w:rPr>
        <w:t>Cash flow ratios indicate that there is a growing strain on the capacity of Volkswagen to create and control cash. The operating cash flow ratio decreased to 0.11 in 2025 (Volkswagen Group, 2022) as compared to 0.22 in 2021, which means that the company has a lower ability to pay its short-term obligations using its internal sources.</w:t>
      </w:r>
    </w:p>
    <w:p w14:paraId="6E3C3253" w14:textId="77777777" w:rsidR="006F42AA" w:rsidRPr="00C24648" w:rsidRDefault="006F42AA" w:rsidP="00C24648">
      <w:pPr>
        <w:spacing w:after="0" w:line="360" w:lineRule="auto"/>
        <w:contextualSpacing/>
        <w:jc w:val="both"/>
        <w:rPr>
          <w:rFonts w:ascii="Arial" w:hAnsi="Arial" w:cs="Arial"/>
          <w:sz w:val="24"/>
          <w:szCs w:val="24"/>
        </w:rPr>
      </w:pPr>
      <w:r w:rsidRPr="00C24648">
        <w:rPr>
          <w:rFonts w:ascii="Arial" w:hAnsi="Arial" w:cs="Arial"/>
          <w:sz w:val="24"/>
          <w:szCs w:val="24"/>
        </w:rPr>
        <w:t>On the same note, the cash flow to debt ratio decreased to 0.10 to 0.06 indicating that the company has become weak in terms of its capacity to service the total liabilities on the basis of operating cash flows. This is a worrying trend considering that the firm has a high leverage (Qureshi and Khan, 2025).</w:t>
      </w:r>
    </w:p>
    <w:p w14:paraId="16639F3A" w14:textId="77777777" w:rsidR="006F42AA" w:rsidRPr="00C24648" w:rsidRDefault="006F42AA" w:rsidP="00C24648">
      <w:pPr>
        <w:spacing w:after="0" w:line="360" w:lineRule="auto"/>
        <w:contextualSpacing/>
        <w:jc w:val="both"/>
        <w:rPr>
          <w:rFonts w:ascii="Arial" w:hAnsi="Arial" w:cs="Arial"/>
          <w:sz w:val="24"/>
          <w:szCs w:val="24"/>
        </w:rPr>
      </w:pPr>
      <w:r w:rsidRPr="00C24648">
        <w:rPr>
          <w:rFonts w:ascii="Arial" w:hAnsi="Arial" w:cs="Arial"/>
          <w:sz w:val="24"/>
          <w:szCs w:val="24"/>
        </w:rPr>
        <w:lastRenderedPageBreak/>
        <w:t>The cash flow margins decreased drastically to 7.5 percent as compared to 15.3 percent, which shows that it was not as efficient in turning revenue to cash. This is in line with the drop in profitability and increasing operating expenses.</w:t>
      </w:r>
    </w:p>
    <w:p w14:paraId="06E03E54" w14:textId="28D3DEB5" w:rsidR="006F42AA" w:rsidRPr="00C24648" w:rsidRDefault="006F42AA" w:rsidP="00C24648">
      <w:pPr>
        <w:spacing w:after="0" w:line="360" w:lineRule="auto"/>
        <w:contextualSpacing/>
        <w:jc w:val="both"/>
        <w:rPr>
          <w:rFonts w:ascii="Arial" w:hAnsi="Arial" w:cs="Arial"/>
          <w:sz w:val="24"/>
          <w:szCs w:val="24"/>
        </w:rPr>
      </w:pPr>
      <w:r w:rsidRPr="00C24648">
        <w:rPr>
          <w:rFonts w:ascii="Arial" w:hAnsi="Arial" w:cs="Arial"/>
          <w:sz w:val="24"/>
          <w:szCs w:val="24"/>
        </w:rPr>
        <w:t xml:space="preserve">Free cash flow was positive and fluctuating as it was the highest with 10.7 billion in 2023 (Volkswagen Group, 2024), and dropped to 5.2 billion in 2025. The decreasing FCF margin also indicates decreased financial flexibility (Volkswagen Group, 2026a). </w:t>
      </w:r>
    </w:p>
    <w:p w14:paraId="2C4F49E4" w14:textId="63C3D037" w:rsidR="006F42AA" w:rsidRPr="00C24648" w:rsidRDefault="006F42AA" w:rsidP="00C24648">
      <w:pPr>
        <w:spacing w:after="0" w:line="360" w:lineRule="auto"/>
        <w:contextualSpacing/>
        <w:jc w:val="both"/>
        <w:rPr>
          <w:rFonts w:ascii="Arial" w:hAnsi="Arial" w:cs="Arial"/>
          <w:sz w:val="24"/>
          <w:szCs w:val="24"/>
        </w:rPr>
      </w:pPr>
      <w:r w:rsidRPr="00C24648">
        <w:rPr>
          <w:rFonts w:ascii="Arial" w:hAnsi="Arial" w:cs="Arial"/>
          <w:sz w:val="24"/>
          <w:szCs w:val="24"/>
        </w:rPr>
        <w:t>Although positive cash flow is a strength, the trend on the whole is downward and this means that intense investment in electrification and innovation is straining liquidity. Failure by these investments to yield expected returns can leave the firm in a big financial constraint in future.</w:t>
      </w:r>
    </w:p>
    <w:p w14:paraId="312C995C" w14:textId="1C9A19FD" w:rsidR="00DF1561" w:rsidRPr="00C24648" w:rsidRDefault="00DF1561" w:rsidP="00BE09E0">
      <w:pPr>
        <w:pStyle w:val="Heading1"/>
        <w:spacing w:before="0" w:beforeAutospacing="0" w:after="0" w:afterAutospacing="0" w:line="360" w:lineRule="auto"/>
        <w:contextualSpacing/>
        <w:jc w:val="both"/>
        <w:rPr>
          <w:rFonts w:ascii="Arial" w:hAnsi="Arial" w:cs="Arial"/>
          <w:sz w:val="24"/>
          <w:szCs w:val="24"/>
        </w:rPr>
      </w:pPr>
      <w:bookmarkStart w:id="10" w:name="_Toc227347028"/>
      <w:r w:rsidRPr="00C24648">
        <w:rPr>
          <w:rStyle w:val="Strong"/>
          <w:rFonts w:ascii="Arial" w:hAnsi="Arial" w:cs="Arial"/>
          <w:b/>
          <w:bCs/>
          <w:sz w:val="24"/>
          <w:szCs w:val="24"/>
        </w:rPr>
        <w:t>3. Working Capital Management Analysis</w:t>
      </w:r>
      <w:bookmarkEnd w:id="10"/>
    </w:p>
    <w:p w14:paraId="17041F8A" w14:textId="77777777" w:rsidR="00DF1561" w:rsidRPr="00BE09E0" w:rsidRDefault="00DF1561" w:rsidP="00C24648">
      <w:pPr>
        <w:pStyle w:val="Heading2"/>
        <w:spacing w:before="0" w:line="360" w:lineRule="auto"/>
        <w:contextualSpacing/>
        <w:jc w:val="both"/>
        <w:rPr>
          <w:rFonts w:ascii="Arial" w:hAnsi="Arial" w:cs="Arial"/>
          <w:color w:val="000000" w:themeColor="text1"/>
          <w:sz w:val="24"/>
          <w:szCs w:val="24"/>
        </w:rPr>
      </w:pPr>
      <w:bookmarkStart w:id="11" w:name="_Toc227347029"/>
      <w:r w:rsidRPr="00BE09E0">
        <w:rPr>
          <w:rStyle w:val="Strong"/>
          <w:rFonts w:ascii="Arial" w:hAnsi="Arial" w:cs="Arial"/>
          <w:color w:val="000000" w:themeColor="text1"/>
          <w:sz w:val="24"/>
          <w:szCs w:val="24"/>
        </w:rPr>
        <w:t>3.1 Assessment of Cash Operating Cycle</w:t>
      </w:r>
      <w:bookmarkEnd w:id="11"/>
    </w:p>
    <w:p w14:paraId="4A780C13" w14:textId="77777777" w:rsidR="007011D9" w:rsidRPr="00C24648" w:rsidRDefault="007011D9" w:rsidP="00C24648">
      <w:pPr>
        <w:pStyle w:val="NormalWeb"/>
        <w:spacing w:before="0" w:beforeAutospacing="0" w:after="0" w:afterAutospacing="0" w:line="360" w:lineRule="auto"/>
        <w:contextualSpacing/>
        <w:jc w:val="both"/>
        <w:rPr>
          <w:rFonts w:ascii="Arial" w:hAnsi="Arial" w:cs="Arial"/>
        </w:rPr>
      </w:pPr>
      <w:r w:rsidRPr="00C24648">
        <w:rPr>
          <w:rFonts w:ascii="Arial" w:hAnsi="Arial" w:cs="Arial"/>
        </w:rPr>
        <w:t>The management of working capital is considered to be a primary factor of financial stability and operational efficiency of Volkswagen Group in the short-term due to its capital-intensive shift to electric vehicles. Signs of the worsening of the cash operating cycle (CCC), which reflects the number of days in which cash outflows purchase production, and cash inflows that fund sales, have been observed during the period 20212025.</w:t>
      </w:r>
    </w:p>
    <w:p w14:paraId="7A740898" w14:textId="77777777" w:rsidR="007011D9" w:rsidRPr="00C24648" w:rsidRDefault="007011D9" w:rsidP="00C24648">
      <w:pPr>
        <w:pStyle w:val="NormalWeb"/>
        <w:spacing w:before="0" w:beforeAutospacing="0" w:after="0" w:afterAutospacing="0" w:line="360" w:lineRule="auto"/>
        <w:contextualSpacing/>
        <w:jc w:val="both"/>
        <w:rPr>
          <w:rFonts w:ascii="Arial" w:hAnsi="Arial" w:cs="Arial"/>
        </w:rPr>
      </w:pPr>
      <w:r w:rsidRPr="00C24648">
        <w:rPr>
          <w:rFonts w:ascii="Arial" w:hAnsi="Arial" w:cs="Arial"/>
        </w:rPr>
        <w:t>The inventory turnover dropped to 4.25 as compared to 4.92 meaning that the inventory is being retained. This in practical sense means an increasing amount of unsold stock which ties up a lot of capital. This is a trend that indicates an operational inefficiency as well as a strategic reality since the company continues to have two production setups in internal combustion engines and EVs. This causes working capital to become more tied up in inventory, decreasing liquidity.</w:t>
      </w:r>
    </w:p>
    <w:p w14:paraId="507AAB4D" w14:textId="77777777" w:rsidR="007011D9" w:rsidRPr="00C24648" w:rsidRDefault="007011D9" w:rsidP="00C24648">
      <w:pPr>
        <w:pStyle w:val="NormalWeb"/>
        <w:spacing w:before="0" w:beforeAutospacing="0" w:after="0" w:afterAutospacing="0" w:line="360" w:lineRule="auto"/>
        <w:contextualSpacing/>
        <w:jc w:val="both"/>
        <w:rPr>
          <w:rFonts w:ascii="Arial" w:hAnsi="Arial" w:cs="Arial"/>
        </w:rPr>
      </w:pPr>
      <w:r w:rsidRPr="00C24648">
        <w:rPr>
          <w:rFonts w:ascii="Arial" w:hAnsi="Arial" w:cs="Arial"/>
        </w:rPr>
        <w:t>The turnover also declined to 13.5 in 2009 as compared to 16.2 in 2008, indicating a slack in terms of making collections among customers and dealers. This can be attributed to the more relaxed credit conditions to retain the sales levels in the competitive markets. But it prolongs the period of converting sales into cash, and increases the CCC.</w:t>
      </w:r>
    </w:p>
    <w:p w14:paraId="0D0A7B06" w14:textId="77777777" w:rsidR="007011D9" w:rsidRPr="00C24648" w:rsidRDefault="007011D9" w:rsidP="00C24648">
      <w:pPr>
        <w:pStyle w:val="NormalWeb"/>
        <w:spacing w:before="0" w:beforeAutospacing="0" w:after="0" w:afterAutospacing="0" w:line="360" w:lineRule="auto"/>
        <w:contextualSpacing/>
        <w:jc w:val="both"/>
        <w:rPr>
          <w:rFonts w:ascii="Arial" w:hAnsi="Arial" w:cs="Arial"/>
        </w:rPr>
      </w:pPr>
      <w:r w:rsidRPr="00C24648">
        <w:rPr>
          <w:rFonts w:ascii="Arial" w:hAnsi="Arial" w:cs="Arial"/>
        </w:rPr>
        <w:t xml:space="preserve">There is no explicit data on payables, but as the liquidity and cash flow ratios are on the decline, it means that the payables are not rising as rapidly as the inflows are. This has </w:t>
      </w:r>
      <w:r w:rsidRPr="00C24648">
        <w:rPr>
          <w:rFonts w:ascii="Arial" w:hAnsi="Arial" w:cs="Arial"/>
        </w:rPr>
        <w:lastRenderedPageBreak/>
        <w:t>led to the widening of the overall CCC, which means that there is an increase in funds locked up in operations.</w:t>
      </w:r>
    </w:p>
    <w:p w14:paraId="19639803" w14:textId="661E44AF" w:rsidR="007011D9" w:rsidRPr="00C24648" w:rsidRDefault="007011D9" w:rsidP="00C24648">
      <w:pPr>
        <w:pStyle w:val="NormalWeb"/>
        <w:spacing w:before="0" w:beforeAutospacing="0" w:after="0" w:afterAutospacing="0" w:line="360" w:lineRule="auto"/>
        <w:contextualSpacing/>
        <w:jc w:val="both"/>
        <w:rPr>
          <w:rFonts w:ascii="Arial" w:hAnsi="Arial" w:cs="Arial"/>
        </w:rPr>
      </w:pPr>
      <w:r w:rsidRPr="00C24648">
        <w:rPr>
          <w:rFonts w:ascii="Arial" w:hAnsi="Arial" w:cs="Arial"/>
        </w:rPr>
        <w:t>This trend shows an essential weakness. Although the company is maintaining a revenue growth, working capital management inefficiencies are limiting the availability of cash, augmenting dependence on outside funding, and putting the company at risk of liquidity shortages during economic uncertainty (Asman et al., 2022).</w:t>
      </w:r>
    </w:p>
    <w:p w14:paraId="21515885" w14:textId="08A76894" w:rsidR="00DF1561" w:rsidRPr="00C24648" w:rsidRDefault="00DF1561" w:rsidP="00C24648">
      <w:pPr>
        <w:pStyle w:val="NormalWeb"/>
        <w:spacing w:before="0" w:beforeAutospacing="0" w:after="0" w:afterAutospacing="0" w:line="360" w:lineRule="auto"/>
        <w:contextualSpacing/>
        <w:jc w:val="both"/>
        <w:rPr>
          <w:rFonts w:ascii="Arial" w:hAnsi="Arial" w:cs="Arial"/>
        </w:rPr>
      </w:pPr>
      <w:r w:rsidRPr="00C24648">
        <w:rPr>
          <w:rFonts w:ascii="Arial" w:hAnsi="Arial" w:cs="Arial"/>
        </w:rPr>
        <w:t>Table 1: Strategic Working Capital Metrics (2021–2025)</w:t>
      </w:r>
    </w:p>
    <w:tbl>
      <w:tblPr>
        <w:tblStyle w:val="TableGrid"/>
        <w:tblW w:w="0" w:type="auto"/>
        <w:tblLook w:val="04A0" w:firstRow="1" w:lastRow="0" w:firstColumn="1" w:lastColumn="0" w:noHBand="0" w:noVBand="1"/>
      </w:tblPr>
      <w:tblGrid>
        <w:gridCol w:w="1729"/>
        <w:gridCol w:w="1706"/>
        <w:gridCol w:w="1183"/>
        <w:gridCol w:w="1183"/>
        <w:gridCol w:w="1183"/>
        <w:gridCol w:w="1183"/>
        <w:gridCol w:w="1183"/>
      </w:tblGrid>
      <w:tr w:rsidR="00DF1561" w:rsidRPr="00DF1561" w14:paraId="6DF0EAB0" w14:textId="77777777" w:rsidTr="00DF1561">
        <w:tc>
          <w:tcPr>
            <w:tcW w:w="0" w:type="auto"/>
            <w:hideMark/>
          </w:tcPr>
          <w:p w14:paraId="0BB75D02" w14:textId="77777777" w:rsidR="00DF1561" w:rsidRPr="00DF1561" w:rsidRDefault="00DF1561" w:rsidP="00BE09E0">
            <w:pPr>
              <w:contextualSpacing/>
              <w:jc w:val="both"/>
              <w:rPr>
                <w:rFonts w:ascii="Arial" w:eastAsia="Times New Roman" w:hAnsi="Arial" w:cs="Arial"/>
                <w:b/>
                <w:bCs/>
                <w:kern w:val="0"/>
                <w:sz w:val="24"/>
                <w:szCs w:val="24"/>
                <w14:ligatures w14:val="none"/>
              </w:rPr>
            </w:pPr>
            <w:r w:rsidRPr="00DF1561">
              <w:rPr>
                <w:rFonts w:ascii="Arial" w:eastAsia="Times New Roman" w:hAnsi="Arial" w:cs="Arial"/>
                <w:b/>
                <w:bCs/>
                <w:kern w:val="0"/>
                <w:sz w:val="24"/>
                <w:szCs w:val="24"/>
                <w14:ligatures w14:val="none"/>
              </w:rPr>
              <w:t>Ratio</w:t>
            </w:r>
          </w:p>
        </w:tc>
        <w:tc>
          <w:tcPr>
            <w:tcW w:w="0" w:type="auto"/>
            <w:hideMark/>
          </w:tcPr>
          <w:p w14:paraId="1477D6FE" w14:textId="77777777" w:rsidR="00DF1561" w:rsidRPr="00DF1561" w:rsidRDefault="00DF1561" w:rsidP="00BE09E0">
            <w:pPr>
              <w:contextualSpacing/>
              <w:jc w:val="both"/>
              <w:rPr>
                <w:rFonts w:ascii="Arial" w:eastAsia="Times New Roman" w:hAnsi="Arial" w:cs="Arial"/>
                <w:b/>
                <w:bCs/>
                <w:kern w:val="0"/>
                <w:sz w:val="24"/>
                <w:szCs w:val="24"/>
                <w14:ligatures w14:val="none"/>
              </w:rPr>
            </w:pPr>
            <w:r w:rsidRPr="00DF1561">
              <w:rPr>
                <w:rFonts w:ascii="Arial" w:eastAsia="Times New Roman" w:hAnsi="Arial" w:cs="Arial"/>
                <w:b/>
                <w:bCs/>
                <w:kern w:val="0"/>
                <w:sz w:val="24"/>
                <w:szCs w:val="24"/>
                <w14:ligatures w14:val="none"/>
              </w:rPr>
              <w:t>Formula</w:t>
            </w:r>
          </w:p>
        </w:tc>
        <w:tc>
          <w:tcPr>
            <w:tcW w:w="0" w:type="auto"/>
            <w:hideMark/>
          </w:tcPr>
          <w:p w14:paraId="547F89C4" w14:textId="77777777" w:rsidR="00DF1561" w:rsidRPr="00DF1561" w:rsidRDefault="00DF1561" w:rsidP="00BE09E0">
            <w:pPr>
              <w:contextualSpacing/>
              <w:jc w:val="both"/>
              <w:rPr>
                <w:rFonts w:ascii="Arial" w:eastAsia="Times New Roman" w:hAnsi="Arial" w:cs="Arial"/>
                <w:b/>
                <w:bCs/>
                <w:kern w:val="0"/>
                <w:sz w:val="24"/>
                <w:szCs w:val="24"/>
                <w14:ligatures w14:val="none"/>
              </w:rPr>
            </w:pPr>
            <w:r w:rsidRPr="00DF1561">
              <w:rPr>
                <w:rFonts w:ascii="Arial" w:eastAsia="Times New Roman" w:hAnsi="Arial" w:cs="Arial"/>
                <w:b/>
                <w:bCs/>
                <w:kern w:val="0"/>
                <w:sz w:val="24"/>
                <w:szCs w:val="24"/>
                <w14:ligatures w14:val="none"/>
              </w:rPr>
              <w:t>2021</w:t>
            </w:r>
          </w:p>
        </w:tc>
        <w:tc>
          <w:tcPr>
            <w:tcW w:w="0" w:type="auto"/>
            <w:hideMark/>
          </w:tcPr>
          <w:p w14:paraId="3BD50696" w14:textId="77777777" w:rsidR="00DF1561" w:rsidRPr="00DF1561" w:rsidRDefault="00DF1561" w:rsidP="00BE09E0">
            <w:pPr>
              <w:contextualSpacing/>
              <w:jc w:val="both"/>
              <w:rPr>
                <w:rFonts w:ascii="Arial" w:eastAsia="Times New Roman" w:hAnsi="Arial" w:cs="Arial"/>
                <w:b/>
                <w:bCs/>
                <w:kern w:val="0"/>
                <w:sz w:val="24"/>
                <w:szCs w:val="24"/>
                <w14:ligatures w14:val="none"/>
              </w:rPr>
            </w:pPr>
            <w:r w:rsidRPr="00DF1561">
              <w:rPr>
                <w:rFonts w:ascii="Arial" w:eastAsia="Times New Roman" w:hAnsi="Arial" w:cs="Arial"/>
                <w:b/>
                <w:bCs/>
                <w:kern w:val="0"/>
                <w:sz w:val="24"/>
                <w:szCs w:val="24"/>
                <w14:ligatures w14:val="none"/>
              </w:rPr>
              <w:t>2022</w:t>
            </w:r>
          </w:p>
        </w:tc>
        <w:tc>
          <w:tcPr>
            <w:tcW w:w="0" w:type="auto"/>
            <w:hideMark/>
          </w:tcPr>
          <w:p w14:paraId="766A6EEC" w14:textId="77777777" w:rsidR="00DF1561" w:rsidRPr="00DF1561" w:rsidRDefault="00DF1561" w:rsidP="00BE09E0">
            <w:pPr>
              <w:contextualSpacing/>
              <w:jc w:val="both"/>
              <w:rPr>
                <w:rFonts w:ascii="Arial" w:eastAsia="Times New Roman" w:hAnsi="Arial" w:cs="Arial"/>
                <w:b/>
                <w:bCs/>
                <w:kern w:val="0"/>
                <w:sz w:val="24"/>
                <w:szCs w:val="24"/>
                <w14:ligatures w14:val="none"/>
              </w:rPr>
            </w:pPr>
            <w:r w:rsidRPr="00DF1561">
              <w:rPr>
                <w:rFonts w:ascii="Arial" w:eastAsia="Times New Roman" w:hAnsi="Arial" w:cs="Arial"/>
                <w:b/>
                <w:bCs/>
                <w:kern w:val="0"/>
                <w:sz w:val="24"/>
                <w:szCs w:val="24"/>
                <w14:ligatures w14:val="none"/>
              </w:rPr>
              <w:t>2023</w:t>
            </w:r>
          </w:p>
        </w:tc>
        <w:tc>
          <w:tcPr>
            <w:tcW w:w="0" w:type="auto"/>
            <w:hideMark/>
          </w:tcPr>
          <w:p w14:paraId="6C2E4A0B" w14:textId="77777777" w:rsidR="00DF1561" w:rsidRPr="00DF1561" w:rsidRDefault="00DF1561" w:rsidP="00BE09E0">
            <w:pPr>
              <w:contextualSpacing/>
              <w:jc w:val="both"/>
              <w:rPr>
                <w:rFonts w:ascii="Arial" w:eastAsia="Times New Roman" w:hAnsi="Arial" w:cs="Arial"/>
                <w:b/>
                <w:bCs/>
                <w:kern w:val="0"/>
                <w:sz w:val="24"/>
                <w:szCs w:val="24"/>
                <w14:ligatures w14:val="none"/>
              </w:rPr>
            </w:pPr>
            <w:r w:rsidRPr="00DF1561">
              <w:rPr>
                <w:rFonts w:ascii="Arial" w:eastAsia="Times New Roman" w:hAnsi="Arial" w:cs="Arial"/>
                <w:b/>
                <w:bCs/>
                <w:kern w:val="0"/>
                <w:sz w:val="24"/>
                <w:szCs w:val="24"/>
                <w14:ligatures w14:val="none"/>
              </w:rPr>
              <w:t>2024</w:t>
            </w:r>
          </w:p>
        </w:tc>
        <w:tc>
          <w:tcPr>
            <w:tcW w:w="0" w:type="auto"/>
            <w:hideMark/>
          </w:tcPr>
          <w:p w14:paraId="46DB8101" w14:textId="77777777" w:rsidR="00DF1561" w:rsidRPr="00DF1561" w:rsidRDefault="00DF1561" w:rsidP="00BE09E0">
            <w:pPr>
              <w:contextualSpacing/>
              <w:jc w:val="both"/>
              <w:rPr>
                <w:rFonts w:ascii="Arial" w:eastAsia="Times New Roman" w:hAnsi="Arial" w:cs="Arial"/>
                <w:b/>
                <w:bCs/>
                <w:kern w:val="0"/>
                <w:sz w:val="24"/>
                <w:szCs w:val="24"/>
                <w14:ligatures w14:val="none"/>
              </w:rPr>
            </w:pPr>
            <w:r w:rsidRPr="00DF1561">
              <w:rPr>
                <w:rFonts w:ascii="Arial" w:eastAsia="Times New Roman" w:hAnsi="Arial" w:cs="Arial"/>
                <w:b/>
                <w:bCs/>
                <w:kern w:val="0"/>
                <w:sz w:val="24"/>
                <w:szCs w:val="24"/>
                <w14:ligatures w14:val="none"/>
              </w:rPr>
              <w:t>2025</w:t>
            </w:r>
          </w:p>
        </w:tc>
      </w:tr>
      <w:tr w:rsidR="00DF1561" w:rsidRPr="00DF1561" w14:paraId="17B8D60C" w14:textId="77777777" w:rsidTr="00DF1561">
        <w:tc>
          <w:tcPr>
            <w:tcW w:w="0" w:type="auto"/>
            <w:hideMark/>
          </w:tcPr>
          <w:p w14:paraId="4E684E49" w14:textId="77777777" w:rsidR="00DF1561" w:rsidRPr="00DF1561" w:rsidRDefault="00DF1561" w:rsidP="00BE09E0">
            <w:pPr>
              <w:contextualSpacing/>
              <w:jc w:val="both"/>
              <w:rPr>
                <w:rFonts w:ascii="Arial" w:eastAsia="Times New Roman" w:hAnsi="Arial" w:cs="Arial"/>
                <w:kern w:val="0"/>
                <w:sz w:val="24"/>
                <w:szCs w:val="24"/>
                <w14:ligatures w14:val="none"/>
              </w:rPr>
            </w:pPr>
            <w:r w:rsidRPr="00DF1561">
              <w:rPr>
                <w:rFonts w:ascii="Arial" w:eastAsia="Times New Roman" w:hAnsi="Arial" w:cs="Arial"/>
                <w:b/>
                <w:bCs/>
                <w:kern w:val="0"/>
                <w:sz w:val="24"/>
                <w:szCs w:val="24"/>
                <w14:ligatures w14:val="none"/>
              </w:rPr>
              <w:t>Days Sales Outstanding (DSO)</w:t>
            </w:r>
          </w:p>
        </w:tc>
        <w:tc>
          <w:tcPr>
            <w:tcW w:w="0" w:type="auto"/>
            <w:hideMark/>
          </w:tcPr>
          <w:p w14:paraId="1290132D" w14:textId="77777777" w:rsidR="00DF1561" w:rsidRPr="00DF1561" w:rsidRDefault="00DF1561" w:rsidP="00BE09E0">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(Receivables × 365) / Sales Revenue</w:t>
            </w:r>
          </w:p>
        </w:tc>
        <w:tc>
          <w:tcPr>
            <w:tcW w:w="0" w:type="auto"/>
            <w:hideMark/>
          </w:tcPr>
          <w:p w14:paraId="3C3C51DB" w14:textId="77777777" w:rsidR="00DF1561" w:rsidRPr="00DF1561" w:rsidRDefault="00DF1561" w:rsidP="00BE09E0">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(15,410 × 365) / 250,200 = 22.5</w:t>
            </w:r>
          </w:p>
        </w:tc>
        <w:tc>
          <w:tcPr>
            <w:tcW w:w="0" w:type="auto"/>
            <w:hideMark/>
          </w:tcPr>
          <w:p w14:paraId="711D1459" w14:textId="77777777" w:rsidR="00DF1561" w:rsidRPr="00DF1561" w:rsidRDefault="00DF1561" w:rsidP="00BE09E0">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(18,120 × 365) / 279,232 = 23.7</w:t>
            </w:r>
          </w:p>
        </w:tc>
        <w:tc>
          <w:tcPr>
            <w:tcW w:w="0" w:type="auto"/>
            <w:hideMark/>
          </w:tcPr>
          <w:p w14:paraId="03A299B7" w14:textId="77777777" w:rsidR="00DF1561" w:rsidRPr="00DF1561" w:rsidRDefault="00DF1561" w:rsidP="00BE09E0">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(21,800 × 365) / 322,284 = 24.7</w:t>
            </w:r>
          </w:p>
        </w:tc>
        <w:tc>
          <w:tcPr>
            <w:tcW w:w="0" w:type="auto"/>
            <w:hideMark/>
          </w:tcPr>
          <w:p w14:paraId="0FEFACDE" w14:textId="77777777" w:rsidR="00DF1561" w:rsidRPr="00DF1561" w:rsidRDefault="00DF1561" w:rsidP="00BE09E0">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(23,050 × 365) / 324,700 = 25.9</w:t>
            </w:r>
          </w:p>
        </w:tc>
        <w:tc>
          <w:tcPr>
            <w:tcW w:w="0" w:type="auto"/>
            <w:hideMark/>
          </w:tcPr>
          <w:p w14:paraId="78C77AA4" w14:textId="77777777" w:rsidR="00DF1561" w:rsidRPr="00DF1561" w:rsidRDefault="00DF1561" w:rsidP="00BE09E0">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(23,800 × 365) / 321,900 = 27.0</w:t>
            </w:r>
          </w:p>
        </w:tc>
      </w:tr>
      <w:tr w:rsidR="00DF1561" w:rsidRPr="00DF1561" w14:paraId="44973296" w14:textId="77777777" w:rsidTr="00DF1561">
        <w:tc>
          <w:tcPr>
            <w:tcW w:w="0" w:type="auto"/>
            <w:hideMark/>
          </w:tcPr>
          <w:p w14:paraId="28F85690" w14:textId="77777777" w:rsidR="00DF1561" w:rsidRPr="00DF1561" w:rsidRDefault="00DF1561" w:rsidP="00BE09E0">
            <w:pPr>
              <w:contextualSpacing/>
              <w:jc w:val="both"/>
              <w:rPr>
                <w:rFonts w:ascii="Arial" w:eastAsia="Times New Roman" w:hAnsi="Arial" w:cs="Arial"/>
                <w:kern w:val="0"/>
                <w:sz w:val="24"/>
                <w:szCs w:val="24"/>
                <w14:ligatures w14:val="none"/>
              </w:rPr>
            </w:pPr>
            <w:r w:rsidRPr="00DF1561">
              <w:rPr>
                <w:rFonts w:ascii="Arial" w:eastAsia="Times New Roman" w:hAnsi="Arial" w:cs="Arial"/>
                <w:b/>
                <w:bCs/>
                <w:kern w:val="0"/>
                <w:sz w:val="24"/>
                <w:szCs w:val="24"/>
                <w14:ligatures w14:val="none"/>
              </w:rPr>
              <w:t>Days Inventory Outstanding (DIO)</w:t>
            </w:r>
          </w:p>
        </w:tc>
        <w:tc>
          <w:tcPr>
            <w:tcW w:w="0" w:type="auto"/>
            <w:hideMark/>
          </w:tcPr>
          <w:p w14:paraId="5A1DA1BC" w14:textId="77777777" w:rsidR="00DF1561" w:rsidRPr="00DF1561" w:rsidRDefault="00DF1561" w:rsidP="00BE09E0">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(Inventory × 365) / Cost of Sales</w:t>
            </w:r>
          </w:p>
        </w:tc>
        <w:tc>
          <w:tcPr>
            <w:tcW w:w="0" w:type="auto"/>
            <w:hideMark/>
          </w:tcPr>
          <w:p w14:paraId="3DD297D1" w14:textId="77777777" w:rsidR="00DF1561" w:rsidRPr="00DF1561" w:rsidRDefault="00DF1561" w:rsidP="00BE09E0">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(43,595 × 365) / 214,460 = 74.2</w:t>
            </w:r>
          </w:p>
        </w:tc>
        <w:tc>
          <w:tcPr>
            <w:tcW w:w="0" w:type="auto"/>
            <w:hideMark/>
          </w:tcPr>
          <w:p w14:paraId="531703B1" w14:textId="77777777" w:rsidR="00DF1561" w:rsidRPr="00DF1561" w:rsidRDefault="00DF1561" w:rsidP="00BE09E0">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(52,654 × 365) / 253,140 = 75.9</w:t>
            </w:r>
          </w:p>
        </w:tc>
        <w:tc>
          <w:tcPr>
            <w:tcW w:w="0" w:type="auto"/>
            <w:hideMark/>
          </w:tcPr>
          <w:p w14:paraId="34F5842E" w14:textId="77777777" w:rsidR="00DF1561" w:rsidRPr="00DF1561" w:rsidRDefault="00DF1561" w:rsidP="00BE09E0">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(58,157 × 365) / 281,850 = 75.3</w:t>
            </w:r>
          </w:p>
        </w:tc>
        <w:tc>
          <w:tcPr>
            <w:tcW w:w="0" w:type="auto"/>
            <w:hideMark/>
          </w:tcPr>
          <w:p w14:paraId="49DC9B3F" w14:textId="77777777" w:rsidR="00DF1561" w:rsidRPr="00DF1561" w:rsidRDefault="00DF1561" w:rsidP="00BE09E0">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(60,110 × 365) / 274,250 = 80.0</w:t>
            </w:r>
          </w:p>
        </w:tc>
        <w:tc>
          <w:tcPr>
            <w:tcW w:w="0" w:type="auto"/>
            <w:hideMark/>
          </w:tcPr>
          <w:p w14:paraId="2F3CA51E" w14:textId="77777777" w:rsidR="00DF1561" w:rsidRPr="00DF1561" w:rsidRDefault="00DF1561" w:rsidP="00BE09E0">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(62,280 × 365) / 264,710 = 85.9</w:t>
            </w:r>
          </w:p>
        </w:tc>
      </w:tr>
      <w:tr w:rsidR="00DF1561" w:rsidRPr="00DF1561" w14:paraId="5B9C1420" w14:textId="77777777" w:rsidTr="00DF1561">
        <w:tc>
          <w:tcPr>
            <w:tcW w:w="0" w:type="auto"/>
            <w:hideMark/>
          </w:tcPr>
          <w:p w14:paraId="777C714A" w14:textId="77777777" w:rsidR="00DF1561" w:rsidRPr="00DF1561" w:rsidRDefault="00DF1561" w:rsidP="00BE09E0">
            <w:pPr>
              <w:contextualSpacing/>
              <w:jc w:val="both"/>
              <w:rPr>
                <w:rFonts w:ascii="Arial" w:eastAsia="Times New Roman" w:hAnsi="Arial" w:cs="Arial"/>
                <w:kern w:val="0"/>
                <w:sz w:val="24"/>
                <w:szCs w:val="24"/>
                <w14:ligatures w14:val="none"/>
              </w:rPr>
            </w:pPr>
            <w:r w:rsidRPr="00DF1561">
              <w:rPr>
                <w:rFonts w:ascii="Arial" w:eastAsia="Times New Roman" w:hAnsi="Arial" w:cs="Arial"/>
                <w:b/>
                <w:bCs/>
                <w:kern w:val="0"/>
                <w:sz w:val="24"/>
                <w:szCs w:val="24"/>
                <w14:ligatures w14:val="none"/>
              </w:rPr>
              <w:t>Days Payables Outstanding (DPO)</w:t>
            </w:r>
          </w:p>
        </w:tc>
        <w:tc>
          <w:tcPr>
            <w:tcW w:w="0" w:type="auto"/>
            <w:hideMark/>
          </w:tcPr>
          <w:p w14:paraId="7C132B0D" w14:textId="77777777" w:rsidR="00DF1561" w:rsidRPr="00DF1561" w:rsidRDefault="00DF1561" w:rsidP="00BE09E0">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(Payables × 365) / Cost of Sales</w:t>
            </w:r>
          </w:p>
        </w:tc>
        <w:tc>
          <w:tcPr>
            <w:tcW w:w="0" w:type="auto"/>
            <w:hideMark/>
          </w:tcPr>
          <w:p w14:paraId="066785A4" w14:textId="77777777" w:rsidR="00DF1561" w:rsidRPr="00DF1561" w:rsidRDefault="00DF1561" w:rsidP="00BE09E0">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(38,250 × 365) / 214,460 = 65.1</w:t>
            </w:r>
          </w:p>
        </w:tc>
        <w:tc>
          <w:tcPr>
            <w:tcW w:w="0" w:type="auto"/>
            <w:hideMark/>
          </w:tcPr>
          <w:p w14:paraId="4C7E980E" w14:textId="77777777" w:rsidR="00DF1561" w:rsidRPr="00DF1561" w:rsidRDefault="00DF1561" w:rsidP="00BE09E0">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(47,450 × 365) / 253,140 = 68.4</w:t>
            </w:r>
          </w:p>
        </w:tc>
        <w:tc>
          <w:tcPr>
            <w:tcW w:w="0" w:type="auto"/>
            <w:hideMark/>
          </w:tcPr>
          <w:p w14:paraId="2F9C22C2" w14:textId="77777777" w:rsidR="00DF1561" w:rsidRPr="00DF1561" w:rsidRDefault="00DF1561" w:rsidP="00BE09E0">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(51,100 × 365) / 281,850 = 66.2</w:t>
            </w:r>
          </w:p>
        </w:tc>
        <w:tc>
          <w:tcPr>
            <w:tcW w:w="0" w:type="auto"/>
            <w:hideMark/>
          </w:tcPr>
          <w:p w14:paraId="13EE45DE" w14:textId="77777777" w:rsidR="00DF1561" w:rsidRPr="00DF1561" w:rsidRDefault="00DF1561" w:rsidP="00BE09E0">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(53,700 × 365) / 274,250 = 71.5</w:t>
            </w:r>
          </w:p>
        </w:tc>
        <w:tc>
          <w:tcPr>
            <w:tcW w:w="0" w:type="auto"/>
            <w:hideMark/>
          </w:tcPr>
          <w:p w14:paraId="36FB23E0" w14:textId="77777777" w:rsidR="00DF1561" w:rsidRPr="00DF1561" w:rsidRDefault="00DF1561" w:rsidP="00BE09E0">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(52,210 × 365) / 264,710 = 72.0</w:t>
            </w:r>
          </w:p>
        </w:tc>
      </w:tr>
      <w:tr w:rsidR="00DF1561" w:rsidRPr="00DF1561" w14:paraId="754D3F39" w14:textId="77777777" w:rsidTr="00DF1561">
        <w:tc>
          <w:tcPr>
            <w:tcW w:w="0" w:type="auto"/>
            <w:hideMark/>
          </w:tcPr>
          <w:p w14:paraId="0DBD01F8" w14:textId="77777777" w:rsidR="00DF1561" w:rsidRPr="00DF1561" w:rsidRDefault="00DF1561" w:rsidP="00BE09E0">
            <w:pPr>
              <w:contextualSpacing/>
              <w:jc w:val="both"/>
              <w:rPr>
                <w:rFonts w:ascii="Arial" w:eastAsia="Times New Roman" w:hAnsi="Arial" w:cs="Arial"/>
                <w:kern w:val="0"/>
                <w:sz w:val="24"/>
                <w:szCs w:val="24"/>
                <w14:ligatures w14:val="none"/>
              </w:rPr>
            </w:pPr>
            <w:r w:rsidRPr="00DF1561">
              <w:rPr>
                <w:rFonts w:ascii="Arial" w:eastAsia="Times New Roman" w:hAnsi="Arial" w:cs="Arial"/>
                <w:b/>
                <w:bCs/>
                <w:kern w:val="0"/>
                <w:sz w:val="24"/>
                <w:szCs w:val="24"/>
                <w14:ligatures w14:val="none"/>
              </w:rPr>
              <w:t>Cash Conversion Cycle (CCC)</w:t>
            </w:r>
          </w:p>
        </w:tc>
        <w:tc>
          <w:tcPr>
            <w:tcW w:w="0" w:type="auto"/>
            <w:hideMark/>
          </w:tcPr>
          <w:p w14:paraId="2701419D" w14:textId="77777777" w:rsidR="00DF1561" w:rsidRPr="00DF1561" w:rsidRDefault="00DF1561" w:rsidP="00BE09E0">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DIO + DSO − DPO</w:t>
            </w:r>
          </w:p>
        </w:tc>
        <w:tc>
          <w:tcPr>
            <w:tcW w:w="0" w:type="auto"/>
            <w:hideMark/>
          </w:tcPr>
          <w:p w14:paraId="763EF88D" w14:textId="77777777" w:rsidR="00DF1561" w:rsidRPr="00DF1561" w:rsidRDefault="00DF1561" w:rsidP="00BE09E0">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74.2 + 22.5 − 65.1 = 31.6</w:t>
            </w:r>
          </w:p>
        </w:tc>
        <w:tc>
          <w:tcPr>
            <w:tcW w:w="0" w:type="auto"/>
            <w:hideMark/>
          </w:tcPr>
          <w:p w14:paraId="68D2353A" w14:textId="77777777" w:rsidR="00DF1561" w:rsidRPr="00DF1561" w:rsidRDefault="00DF1561" w:rsidP="00BE09E0">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75.9 + 23.7 − 68.4 = 31.2</w:t>
            </w:r>
          </w:p>
        </w:tc>
        <w:tc>
          <w:tcPr>
            <w:tcW w:w="0" w:type="auto"/>
            <w:hideMark/>
          </w:tcPr>
          <w:p w14:paraId="6350E396" w14:textId="77777777" w:rsidR="00DF1561" w:rsidRPr="00DF1561" w:rsidRDefault="00DF1561" w:rsidP="00BE09E0">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75.3 + 24.7 − 66.2 = 33.8</w:t>
            </w:r>
          </w:p>
        </w:tc>
        <w:tc>
          <w:tcPr>
            <w:tcW w:w="0" w:type="auto"/>
            <w:hideMark/>
          </w:tcPr>
          <w:p w14:paraId="3137D273" w14:textId="77777777" w:rsidR="00DF1561" w:rsidRPr="00DF1561" w:rsidRDefault="00DF1561" w:rsidP="00BE09E0">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80.0 + 25.9 − 71.5 = 34.4</w:t>
            </w:r>
          </w:p>
        </w:tc>
        <w:tc>
          <w:tcPr>
            <w:tcW w:w="0" w:type="auto"/>
            <w:hideMark/>
          </w:tcPr>
          <w:p w14:paraId="45916144" w14:textId="77777777" w:rsidR="00DF1561" w:rsidRPr="00DF1561" w:rsidRDefault="00DF1561" w:rsidP="00BE09E0">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85.9 + 27.0 − 72.0 = 40.9</w:t>
            </w:r>
          </w:p>
        </w:tc>
      </w:tr>
      <w:tr w:rsidR="00DF1561" w:rsidRPr="00DF1561" w14:paraId="07222772" w14:textId="77777777" w:rsidTr="00DF1561">
        <w:tc>
          <w:tcPr>
            <w:tcW w:w="0" w:type="auto"/>
            <w:hideMark/>
          </w:tcPr>
          <w:p w14:paraId="2F7F5F86" w14:textId="77777777" w:rsidR="00DF1561" w:rsidRPr="00DF1561" w:rsidRDefault="00DF1561" w:rsidP="00BE09E0">
            <w:pPr>
              <w:contextualSpacing/>
              <w:jc w:val="both"/>
              <w:rPr>
                <w:rFonts w:ascii="Arial" w:eastAsia="Times New Roman" w:hAnsi="Arial" w:cs="Arial"/>
                <w:kern w:val="0"/>
                <w:sz w:val="24"/>
                <w:szCs w:val="24"/>
                <w14:ligatures w14:val="none"/>
              </w:rPr>
            </w:pPr>
            <w:r w:rsidRPr="00DF1561">
              <w:rPr>
                <w:rFonts w:ascii="Arial" w:eastAsia="Times New Roman" w:hAnsi="Arial" w:cs="Arial"/>
                <w:b/>
                <w:bCs/>
                <w:kern w:val="0"/>
                <w:sz w:val="24"/>
                <w:szCs w:val="24"/>
                <w14:ligatures w14:val="none"/>
              </w:rPr>
              <w:t>Net Working Capital (NWC)</w:t>
            </w:r>
          </w:p>
        </w:tc>
        <w:tc>
          <w:tcPr>
            <w:tcW w:w="0" w:type="auto"/>
            <w:hideMark/>
          </w:tcPr>
          <w:p w14:paraId="44806E39" w14:textId="77777777" w:rsidR="00DF1561" w:rsidRPr="00DF1561" w:rsidRDefault="00DF1561" w:rsidP="00BE09E0">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Current Assets − Current Liabilities</w:t>
            </w:r>
          </w:p>
        </w:tc>
        <w:tc>
          <w:tcPr>
            <w:tcW w:w="0" w:type="auto"/>
            <w:hideMark/>
          </w:tcPr>
          <w:p w14:paraId="0E1152AF" w14:textId="77777777" w:rsidR="00DF1561" w:rsidRPr="00DF1561" w:rsidRDefault="00DF1561" w:rsidP="00BE09E0">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195,497 − 172,165 = €23.3B</w:t>
            </w:r>
          </w:p>
        </w:tc>
        <w:tc>
          <w:tcPr>
            <w:tcW w:w="0" w:type="auto"/>
            <w:hideMark/>
          </w:tcPr>
          <w:p w14:paraId="499DAC1C" w14:textId="77777777" w:rsidR="00DF1561" w:rsidRPr="00DF1561" w:rsidRDefault="00DF1561" w:rsidP="00BE09E0">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216,218 − 184,895 = €31.3B</w:t>
            </w:r>
          </w:p>
        </w:tc>
        <w:tc>
          <w:tcPr>
            <w:tcW w:w="0" w:type="auto"/>
            <w:hideMark/>
          </w:tcPr>
          <w:p w14:paraId="40E09247" w14:textId="77777777" w:rsidR="00DF1561" w:rsidRPr="00DF1561" w:rsidRDefault="00DF1561" w:rsidP="00BE09E0">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251,556 − 219,836 = €31.7B</w:t>
            </w:r>
          </w:p>
        </w:tc>
        <w:tc>
          <w:tcPr>
            <w:tcW w:w="0" w:type="auto"/>
            <w:hideMark/>
          </w:tcPr>
          <w:p w14:paraId="02587B0C" w14:textId="77777777" w:rsidR="00DF1561" w:rsidRPr="00DF1561" w:rsidRDefault="00DF1561" w:rsidP="00BE09E0">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248,510 − 225,180 = €23.3B</w:t>
            </w:r>
          </w:p>
        </w:tc>
        <w:tc>
          <w:tcPr>
            <w:tcW w:w="0" w:type="auto"/>
            <w:hideMark/>
          </w:tcPr>
          <w:p w14:paraId="17753941" w14:textId="77777777" w:rsidR="00DF1561" w:rsidRPr="00DF1561" w:rsidRDefault="00DF1561" w:rsidP="00BE09E0">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246,080 − 224,760 = €21.3B</w:t>
            </w:r>
          </w:p>
        </w:tc>
      </w:tr>
    </w:tbl>
    <w:p w14:paraId="4F0243D1" w14:textId="15DF28A3" w:rsidR="00DF1561" w:rsidRPr="00C24648" w:rsidRDefault="00DF1561" w:rsidP="00C24648">
      <w:pPr>
        <w:spacing w:after="0" w:line="360" w:lineRule="auto"/>
        <w:contextualSpacing/>
        <w:jc w:val="both"/>
        <w:rPr>
          <w:rFonts w:ascii="Arial" w:hAnsi="Arial" w:cs="Arial"/>
          <w:sz w:val="24"/>
          <w:szCs w:val="24"/>
        </w:rPr>
      </w:pPr>
    </w:p>
    <w:p w14:paraId="24F08F48" w14:textId="77777777" w:rsidR="00DF1561" w:rsidRPr="00BE09E0" w:rsidRDefault="00DF1561" w:rsidP="00C24648">
      <w:pPr>
        <w:pStyle w:val="Heading2"/>
        <w:spacing w:before="0" w:line="360" w:lineRule="auto"/>
        <w:contextualSpacing/>
        <w:jc w:val="both"/>
        <w:rPr>
          <w:rFonts w:ascii="Arial" w:hAnsi="Arial" w:cs="Arial"/>
          <w:color w:val="000000" w:themeColor="text1"/>
          <w:sz w:val="24"/>
          <w:szCs w:val="24"/>
        </w:rPr>
      </w:pPr>
      <w:bookmarkStart w:id="12" w:name="_Toc227347030"/>
      <w:r w:rsidRPr="00BE09E0">
        <w:rPr>
          <w:rStyle w:val="Strong"/>
          <w:rFonts w:ascii="Arial" w:hAnsi="Arial" w:cs="Arial"/>
          <w:color w:val="000000" w:themeColor="text1"/>
          <w:sz w:val="24"/>
          <w:szCs w:val="24"/>
        </w:rPr>
        <w:t>3.2 Strategies to Improve Working Capital Efficiency</w:t>
      </w:r>
      <w:bookmarkEnd w:id="12"/>
    </w:p>
    <w:p w14:paraId="6BDFFAFA" w14:textId="77777777" w:rsidR="007011D9" w:rsidRPr="00C24648" w:rsidRDefault="007011D9" w:rsidP="00C24648">
      <w:pPr>
        <w:spacing w:after="0" w:line="360" w:lineRule="auto"/>
        <w:contextualSpacing/>
        <w:jc w:val="both"/>
        <w:rPr>
          <w:rFonts w:ascii="Arial" w:hAnsi="Arial" w:cs="Arial"/>
          <w:sz w:val="24"/>
          <w:szCs w:val="24"/>
        </w:rPr>
      </w:pPr>
      <w:r w:rsidRPr="00C24648">
        <w:rPr>
          <w:rFonts w:ascii="Arial" w:hAnsi="Arial" w:cs="Arial"/>
          <w:sz w:val="24"/>
          <w:szCs w:val="24"/>
        </w:rPr>
        <w:t>In order to overcome these issues, Volkswagen will have to introduce a range of specific working capital optimisation decisions. To start with, there should be an immediate focus on inventory management. Demand planning and excess stock can be enhanced through the use of sophisticated forecasting tools that are enabled by artificial intelligence and real-time data analytics. A shift to more responsive modes of production, like just-in-time inventory models, would reduce holding costs, and free up trapped cash.</w:t>
      </w:r>
    </w:p>
    <w:p w14:paraId="0AAC2E47" w14:textId="77777777" w:rsidR="007011D9" w:rsidRPr="00C24648" w:rsidRDefault="007011D9" w:rsidP="00C24648">
      <w:pPr>
        <w:spacing w:after="0" w:line="360" w:lineRule="auto"/>
        <w:contextualSpacing/>
        <w:jc w:val="both"/>
        <w:rPr>
          <w:rFonts w:ascii="Arial" w:hAnsi="Arial" w:cs="Arial"/>
          <w:sz w:val="24"/>
          <w:szCs w:val="24"/>
        </w:rPr>
      </w:pPr>
      <w:r w:rsidRPr="00C24648">
        <w:rPr>
          <w:rFonts w:ascii="Arial" w:hAnsi="Arial" w:cs="Arial"/>
          <w:sz w:val="24"/>
          <w:szCs w:val="24"/>
        </w:rPr>
        <w:t xml:space="preserve">Second, receivables management needs to be reinforced to speed up cash inflows. This can be done by tightening credit controls, improved inspection of performance of dealers </w:t>
      </w:r>
      <w:r w:rsidRPr="00C24648">
        <w:rPr>
          <w:rFonts w:ascii="Arial" w:hAnsi="Arial" w:cs="Arial"/>
          <w:sz w:val="24"/>
          <w:szCs w:val="24"/>
        </w:rPr>
        <w:lastRenderedPageBreak/>
        <w:t>and introduction of incentives like early payment discounts. Also, using financial tools like securitisation of receivables can turn the entire outstanding receivables into instant cash, which enhances the liquidity without impacting the sales volumes (Bhagyalakshmi , 2025).</w:t>
      </w:r>
    </w:p>
    <w:p w14:paraId="0A780B2D" w14:textId="77777777" w:rsidR="007011D9" w:rsidRPr="00C24648" w:rsidRDefault="007011D9" w:rsidP="00C24648">
      <w:pPr>
        <w:spacing w:after="0" w:line="360" w:lineRule="auto"/>
        <w:contextualSpacing/>
        <w:jc w:val="both"/>
        <w:rPr>
          <w:rFonts w:ascii="Arial" w:hAnsi="Arial" w:cs="Arial"/>
          <w:sz w:val="24"/>
          <w:szCs w:val="24"/>
        </w:rPr>
      </w:pPr>
      <w:r w:rsidRPr="00C24648">
        <w:rPr>
          <w:rFonts w:ascii="Arial" w:hAnsi="Arial" w:cs="Arial"/>
          <w:sz w:val="24"/>
          <w:szCs w:val="24"/>
        </w:rPr>
        <w:t>Third, there ought to be a strategic optimisation of payables. Although lengthening of payment terms may enhance cash flow in the short-term, over dependence on this may hamper supplier relationships. Alternatively, Volkswagen can implement dynamic discounting schemes, where advance payments are made in exchange of cost savings thus enhancing liquidity and profitability.</w:t>
      </w:r>
    </w:p>
    <w:p w14:paraId="3A51655C" w14:textId="77777777" w:rsidR="007011D9" w:rsidRPr="00C24648" w:rsidRDefault="007011D9" w:rsidP="00C24648">
      <w:pPr>
        <w:spacing w:after="0" w:line="360" w:lineRule="auto"/>
        <w:contextualSpacing/>
        <w:jc w:val="both"/>
        <w:rPr>
          <w:rFonts w:ascii="Arial" w:hAnsi="Arial" w:cs="Arial"/>
          <w:sz w:val="24"/>
          <w:szCs w:val="24"/>
        </w:rPr>
      </w:pPr>
      <w:r w:rsidRPr="00C24648">
        <w:rPr>
          <w:rFonts w:ascii="Arial" w:hAnsi="Arial" w:cs="Arial"/>
          <w:sz w:val="24"/>
          <w:szCs w:val="24"/>
        </w:rPr>
        <w:t>Additionally, the management of treasury operations in a centralised manner and operating in all global operations would increase visibility and control of cash flows. This would allow to distribute resources more efficiently and minimize idle cash deposits (Habib, Yang and Cui, 2024).</w:t>
      </w:r>
    </w:p>
    <w:p w14:paraId="1BEC6742" w14:textId="5FAA541C" w:rsidR="00DF1561" w:rsidRPr="00C24648" w:rsidRDefault="007011D9" w:rsidP="00C24648">
      <w:pPr>
        <w:spacing w:after="0" w:line="360" w:lineRule="auto"/>
        <w:contextualSpacing/>
        <w:jc w:val="both"/>
        <w:rPr>
          <w:rFonts w:ascii="Arial" w:hAnsi="Arial" w:cs="Arial"/>
          <w:sz w:val="24"/>
          <w:szCs w:val="24"/>
        </w:rPr>
      </w:pPr>
      <w:r w:rsidRPr="00C24648">
        <w:rPr>
          <w:rFonts w:ascii="Arial" w:hAnsi="Arial" w:cs="Arial"/>
          <w:sz w:val="24"/>
          <w:szCs w:val="24"/>
        </w:rPr>
        <w:t>All these steps would reduce the cash operating cycle, increase liquidity and financial flexibility. Notably, they would enable the company to finance its long-term strategic investments without going an extra mile in terms of financial risk.</w:t>
      </w:r>
    </w:p>
    <w:p w14:paraId="57421183" w14:textId="77777777" w:rsidR="00DF1561" w:rsidRPr="008B03BF" w:rsidRDefault="00DF1561" w:rsidP="00C24648">
      <w:pPr>
        <w:pStyle w:val="Heading2"/>
        <w:spacing w:before="0" w:line="360" w:lineRule="auto"/>
        <w:contextualSpacing/>
        <w:jc w:val="both"/>
        <w:rPr>
          <w:rStyle w:val="Strong"/>
          <w:rFonts w:ascii="Arial" w:hAnsi="Arial" w:cs="Arial"/>
          <w:color w:val="000000" w:themeColor="text1"/>
          <w:sz w:val="24"/>
          <w:szCs w:val="24"/>
        </w:rPr>
      </w:pPr>
      <w:bookmarkStart w:id="13" w:name="_Toc227347031"/>
      <w:r w:rsidRPr="008B03BF">
        <w:rPr>
          <w:rStyle w:val="Strong"/>
          <w:rFonts w:ascii="Arial" w:hAnsi="Arial" w:cs="Arial"/>
          <w:color w:val="000000" w:themeColor="text1"/>
          <w:sz w:val="24"/>
          <w:szCs w:val="24"/>
        </w:rPr>
        <w:t>3.3 Short-Term vs Long-Term Financing Options</w:t>
      </w:r>
      <w:bookmarkEnd w:id="13"/>
    </w:p>
    <w:p w14:paraId="358600E9" w14:textId="77777777" w:rsidR="007011D9" w:rsidRPr="00C24648" w:rsidRDefault="007011D9" w:rsidP="00C24648">
      <w:pPr>
        <w:spacing w:after="0" w:line="360" w:lineRule="auto"/>
        <w:contextualSpacing/>
        <w:jc w:val="both"/>
        <w:rPr>
          <w:rFonts w:ascii="Arial" w:hAnsi="Arial" w:cs="Arial"/>
          <w:sz w:val="24"/>
          <w:szCs w:val="24"/>
        </w:rPr>
      </w:pPr>
      <w:r w:rsidRPr="00C24648">
        <w:rPr>
          <w:rFonts w:ascii="Arial" w:hAnsi="Arial" w:cs="Arial"/>
          <w:sz w:val="24"/>
          <w:szCs w:val="24"/>
        </w:rPr>
        <w:t>Financing strategy is closely related to the effectiveness of working capital management. Volkswagen should be keen on striking the right balance between short term and long term financing in order to secure adequate liquidity without compromising on financial stability.</w:t>
      </w:r>
    </w:p>
    <w:p w14:paraId="70DDC6CE" w14:textId="77777777" w:rsidR="007011D9" w:rsidRPr="00C24648" w:rsidRDefault="007011D9" w:rsidP="00C24648">
      <w:pPr>
        <w:spacing w:after="0" w:line="360" w:lineRule="auto"/>
        <w:contextualSpacing/>
        <w:jc w:val="both"/>
        <w:rPr>
          <w:rFonts w:ascii="Arial" w:hAnsi="Arial" w:cs="Arial"/>
          <w:sz w:val="24"/>
          <w:szCs w:val="24"/>
        </w:rPr>
      </w:pPr>
      <w:r w:rsidRPr="00C24648">
        <w:rPr>
          <w:rFonts w:ascii="Arial" w:hAnsi="Arial" w:cs="Arial"/>
          <w:sz w:val="24"/>
          <w:szCs w:val="24"/>
        </w:rPr>
        <w:t>Bank overdrafts, trade credit and commercial paper are short term sources of finance, which are flexible and tend to be less costly in the short run. These tools can be effectively used in the day to day operations management, especially when the business has varying working capital requirements. Nevertheless, excessive dependence on short term financing puts the company at the risk of refinancing and interest rate fluctuations. Since the interest coverage ratio has been on the downward trend over the last few years, the overreliance on short-term debt may lead to major financial exposure.</w:t>
      </w:r>
    </w:p>
    <w:p w14:paraId="0720B6B7" w14:textId="77777777" w:rsidR="007011D9" w:rsidRPr="00C24648" w:rsidRDefault="007011D9" w:rsidP="00C24648">
      <w:pPr>
        <w:spacing w:after="0" w:line="360" w:lineRule="auto"/>
        <w:contextualSpacing/>
        <w:jc w:val="both"/>
        <w:rPr>
          <w:rFonts w:ascii="Arial" w:hAnsi="Arial" w:cs="Arial"/>
          <w:sz w:val="24"/>
          <w:szCs w:val="24"/>
        </w:rPr>
      </w:pPr>
      <w:r w:rsidRPr="00C24648">
        <w:rPr>
          <w:rFonts w:ascii="Arial" w:hAnsi="Arial" w:cs="Arial"/>
          <w:sz w:val="24"/>
          <w:szCs w:val="24"/>
        </w:rPr>
        <w:t xml:space="preserve">Bonds and the issuance of equity are long-term financing methods, which are more stable and reflect the long-term orientation of the Volkswagen investments in electrification and infrastructure. Long-term debt distributes the liabilities to pay debts across time, </w:t>
      </w:r>
      <w:r w:rsidRPr="00C24648">
        <w:rPr>
          <w:rFonts w:ascii="Arial" w:hAnsi="Arial" w:cs="Arial"/>
          <w:sz w:val="24"/>
          <w:szCs w:val="24"/>
        </w:rPr>
        <w:lastRenderedPageBreak/>
        <w:t>decreasing instant liquidity stress. Although it dilutes ownership, equity financing makes the balance sheet strong and leverage low, thus enhancing financial strength (Cui and Chen, 2025).</w:t>
      </w:r>
    </w:p>
    <w:p w14:paraId="0D0E30EC" w14:textId="77777777" w:rsidR="007011D9" w:rsidRPr="00C24648" w:rsidRDefault="007011D9" w:rsidP="00C24648">
      <w:pPr>
        <w:spacing w:after="0" w:line="360" w:lineRule="auto"/>
        <w:contextualSpacing/>
        <w:jc w:val="both"/>
        <w:rPr>
          <w:rFonts w:ascii="Arial" w:hAnsi="Arial" w:cs="Arial"/>
          <w:sz w:val="24"/>
          <w:szCs w:val="24"/>
        </w:rPr>
      </w:pPr>
      <w:r w:rsidRPr="00C24648">
        <w:rPr>
          <w:rFonts w:ascii="Arial" w:hAnsi="Arial" w:cs="Arial"/>
          <w:sz w:val="24"/>
          <w:szCs w:val="24"/>
        </w:rPr>
        <w:t>Balanced financing plan is thus required. VW ought to make use of short-term financing to allow it flexibility in its operations and depend more on long-term funding to fund strategic projects. This would minimize the vulnerability to financial shock in the short term and make capital-intensive projects sustainable (Edmans, Fang and Huang, 2021).</w:t>
      </w:r>
    </w:p>
    <w:p w14:paraId="7477882D" w14:textId="77777777" w:rsidR="007011D9" w:rsidRPr="00C24648" w:rsidRDefault="007011D9" w:rsidP="00C24648">
      <w:pPr>
        <w:spacing w:after="0" w:line="360" w:lineRule="auto"/>
        <w:contextualSpacing/>
        <w:jc w:val="both"/>
        <w:rPr>
          <w:rFonts w:ascii="Arial" w:hAnsi="Arial" w:cs="Arial"/>
          <w:sz w:val="24"/>
          <w:szCs w:val="24"/>
        </w:rPr>
      </w:pPr>
      <w:r w:rsidRPr="00C24648">
        <w:rPr>
          <w:rFonts w:ascii="Arial" w:hAnsi="Arial" w:cs="Arial"/>
          <w:sz w:val="24"/>
          <w:szCs w:val="24"/>
        </w:rPr>
        <w:t>Moreover, convertible bonds which seem to be hybrid instruments are also a potential solution to this dilemma as they offer lower interest rates but still leave the possibility of equity conversion in the future.</w:t>
      </w:r>
    </w:p>
    <w:p w14:paraId="7B57AD36" w14:textId="28B01A43" w:rsidR="007011D9" w:rsidRPr="00C24648" w:rsidRDefault="007011D9" w:rsidP="00C24648">
      <w:pPr>
        <w:spacing w:after="0" w:line="360" w:lineRule="auto"/>
        <w:contextualSpacing/>
        <w:jc w:val="both"/>
        <w:rPr>
          <w:rFonts w:ascii="Arial" w:hAnsi="Arial" w:cs="Arial"/>
          <w:sz w:val="24"/>
          <w:szCs w:val="24"/>
        </w:rPr>
      </w:pPr>
      <w:r w:rsidRPr="00C24648">
        <w:rPr>
          <w:rFonts w:ascii="Arial" w:hAnsi="Arial" w:cs="Arial"/>
          <w:sz w:val="24"/>
          <w:szCs w:val="24"/>
        </w:rPr>
        <w:t>In general, it is important to match working capital requirements with financing decisions. Through its optimal financing mix, Volkswagen would be able to reduce the risks in its liquidity, enhance its financial stability, and help in its long-term transformation strategy in an ever-competitive automotive world.</w:t>
      </w:r>
    </w:p>
    <w:p w14:paraId="77225DF9" w14:textId="77777777" w:rsidR="00DF1561" w:rsidRPr="00C24648" w:rsidRDefault="00DF1561" w:rsidP="00C24648">
      <w:pPr>
        <w:pStyle w:val="Heading1"/>
        <w:spacing w:before="0" w:beforeAutospacing="0" w:after="0" w:afterAutospacing="0" w:line="360" w:lineRule="auto"/>
        <w:contextualSpacing/>
        <w:jc w:val="both"/>
        <w:rPr>
          <w:rFonts w:ascii="Arial" w:hAnsi="Arial" w:cs="Arial"/>
          <w:sz w:val="24"/>
          <w:szCs w:val="24"/>
        </w:rPr>
      </w:pPr>
      <w:bookmarkStart w:id="14" w:name="_Toc227347032"/>
      <w:r w:rsidRPr="00C24648">
        <w:rPr>
          <w:rFonts w:ascii="Arial" w:hAnsi="Arial" w:cs="Arial"/>
          <w:sz w:val="24"/>
          <w:szCs w:val="24"/>
        </w:rPr>
        <w:t>4. Strategic Financial Restructuring Plan</w:t>
      </w:r>
      <w:bookmarkEnd w:id="14"/>
    </w:p>
    <w:p w14:paraId="28DDDE3E" w14:textId="3690EC22" w:rsidR="00AC6A20" w:rsidRPr="00C24648" w:rsidRDefault="00AC6A20" w:rsidP="00C24648">
      <w:pPr>
        <w:pStyle w:val="NormalWeb"/>
        <w:spacing w:before="0" w:beforeAutospacing="0" w:after="0" w:afterAutospacing="0" w:line="360" w:lineRule="auto"/>
        <w:contextualSpacing/>
        <w:jc w:val="both"/>
        <w:rPr>
          <w:rFonts w:ascii="Arial" w:hAnsi="Arial" w:cs="Arial"/>
        </w:rPr>
      </w:pPr>
      <w:r w:rsidRPr="00C24648">
        <w:rPr>
          <w:rFonts w:ascii="Arial" w:hAnsi="Arial" w:cs="Arial"/>
        </w:rPr>
        <w:t>VWAG needs a radical multi-layered financial reorganization strategy to turn the downward trend in the Operating Margin (to 2.8% in 2025) and the decline in the Interest Coverage Ratio (to 4.2x) around. The plan transforms the Group into a value-oriented technology leader and not a volume-oriented conglomerate, which will tackle the liquidity constraints and efficiency lapses found in the preceding sections.</w:t>
      </w:r>
    </w:p>
    <w:p w14:paraId="3E369999" w14:textId="77777777" w:rsidR="00DF1561" w:rsidRPr="008B03BF" w:rsidRDefault="00DF1561" w:rsidP="00C24648">
      <w:pPr>
        <w:pStyle w:val="Heading2"/>
        <w:spacing w:before="0" w:line="360" w:lineRule="auto"/>
        <w:contextualSpacing/>
        <w:jc w:val="both"/>
        <w:rPr>
          <w:rFonts w:ascii="Arial" w:hAnsi="Arial" w:cs="Arial"/>
          <w:b/>
          <w:bCs/>
          <w:color w:val="000000" w:themeColor="text1"/>
          <w:sz w:val="24"/>
          <w:szCs w:val="24"/>
        </w:rPr>
      </w:pPr>
      <w:bookmarkStart w:id="15" w:name="_Toc227347033"/>
      <w:r w:rsidRPr="008B03BF">
        <w:rPr>
          <w:rFonts w:ascii="Arial" w:hAnsi="Arial" w:cs="Arial"/>
          <w:b/>
          <w:bCs/>
          <w:color w:val="000000" w:themeColor="text1"/>
          <w:sz w:val="24"/>
          <w:szCs w:val="24"/>
        </w:rPr>
        <w:t>4.1 Proposed Restructuring Options</w:t>
      </w:r>
      <w:bookmarkEnd w:id="15"/>
    </w:p>
    <w:p w14:paraId="109BE869" w14:textId="5E60786C" w:rsidR="00650803" w:rsidRPr="00C24648" w:rsidRDefault="00DF1561" w:rsidP="00C24648">
      <w:pPr>
        <w:pStyle w:val="NormalWeb"/>
        <w:spacing w:before="0" w:beforeAutospacing="0" w:after="0" w:afterAutospacing="0" w:line="360" w:lineRule="auto"/>
        <w:contextualSpacing/>
        <w:jc w:val="both"/>
        <w:rPr>
          <w:rFonts w:ascii="Arial" w:hAnsi="Arial" w:cs="Arial"/>
        </w:rPr>
      </w:pPr>
      <w:r w:rsidRPr="00C24648">
        <w:rPr>
          <w:rFonts w:ascii="Arial" w:hAnsi="Arial" w:cs="Arial"/>
          <w:b/>
          <w:bCs/>
        </w:rPr>
        <w:t>A. Targeted Divestiture of Non-Core Assets (CARIAD &amp; Traton SE)</w:t>
      </w:r>
      <w:r w:rsidR="00650803" w:rsidRPr="00C24648">
        <w:rPr>
          <w:rFonts w:ascii="Arial" w:hAnsi="Arial" w:cs="Arial"/>
          <w:b/>
          <w:bCs/>
        </w:rPr>
        <w:t xml:space="preserve">: </w:t>
      </w:r>
      <w:r w:rsidR="00650803" w:rsidRPr="00C24648">
        <w:rPr>
          <w:rFonts w:ascii="Arial" w:hAnsi="Arial" w:cs="Arial"/>
        </w:rPr>
        <w:t>CARIAD is one of the primary sources of operating loss as indicated in 2025 financial data. Semi-divestiture or Spin-Off of a minority stake in CARIAD to a technology partner (e.g., Google or Microsoft) would accomplish two things: capital infusion and dumping the colossal R&amp;D load on the company. Moreover, a secondary sale of the remaining portion of the Group in Traton SE (Trucks) would take advantage of the relative stability of the segment to finance the EV transition of the Automotive Division. Corporate focus firm literature on diversifying into unrelated high-tech products tends to be discounted; disposing of them can enable VWAG to concentrate on its core business: automotive integration (Jerab and Mabrouk, 2023).</w:t>
      </w:r>
      <w:r w:rsidRPr="00C24648">
        <w:rPr>
          <w:rFonts w:ascii="Arial" w:hAnsi="Arial" w:cs="Arial"/>
        </w:rPr>
        <w:t xml:space="preserve"> </w:t>
      </w:r>
    </w:p>
    <w:p w14:paraId="294F37A3" w14:textId="5CDD1FE9" w:rsidR="00650803" w:rsidRPr="00C24648" w:rsidRDefault="00DF1561" w:rsidP="00C24648">
      <w:pPr>
        <w:pStyle w:val="NormalWeb"/>
        <w:spacing w:before="0" w:beforeAutospacing="0" w:after="0" w:afterAutospacing="0" w:line="360" w:lineRule="auto"/>
        <w:contextualSpacing/>
        <w:jc w:val="both"/>
        <w:rPr>
          <w:rFonts w:ascii="Arial" w:hAnsi="Arial" w:cs="Arial"/>
        </w:rPr>
      </w:pPr>
      <w:r w:rsidRPr="00C24648">
        <w:rPr>
          <w:rFonts w:ascii="Arial" w:hAnsi="Arial" w:cs="Arial"/>
          <w:b/>
          <w:bCs/>
        </w:rPr>
        <w:lastRenderedPageBreak/>
        <w:t>B. Capital Structure Optimization via Hybrid Equity Injection</w:t>
      </w:r>
      <w:r w:rsidR="00650803" w:rsidRPr="00C24648">
        <w:rPr>
          <w:rFonts w:ascii="Arial" w:hAnsi="Arial" w:cs="Arial"/>
        </w:rPr>
        <w:t>: Since the Debt-to-Equity ratio is already at 2.31, and the Interest Covers are decreasing, a conventional debt issuance will not be optimal, as it will place additional strain on the credit ratings. Rather, the Group ought to issue Convertible Hybrid Bonds. The instruments come with reduced coupon rates than direct debt, retain cash flow in the short-run, and offer a way of converting into equity, which fortifies the balance sheet, and avoids instant dilution of shareholders. This is in line with the "Pecking Order Theory" where a security is used between debt and equity to reduce the cost of capital in a time of information asymmetry and market volatility (Abdeljawad and Jaradat, 2025).</w:t>
      </w:r>
    </w:p>
    <w:p w14:paraId="0251AB2B" w14:textId="18EE3F78" w:rsidR="00DF1561" w:rsidRPr="00C24648" w:rsidRDefault="00DF1561" w:rsidP="00C24648">
      <w:pPr>
        <w:pStyle w:val="NormalWeb"/>
        <w:spacing w:before="0" w:beforeAutospacing="0" w:after="0" w:afterAutospacing="0" w:line="360" w:lineRule="auto"/>
        <w:contextualSpacing/>
        <w:jc w:val="both"/>
        <w:rPr>
          <w:rFonts w:ascii="Arial" w:hAnsi="Arial" w:cs="Arial"/>
        </w:rPr>
      </w:pPr>
      <w:r w:rsidRPr="00C24648">
        <w:rPr>
          <w:rFonts w:ascii="Arial" w:hAnsi="Arial" w:cs="Arial"/>
          <w:b/>
          <w:bCs/>
        </w:rPr>
        <w:t>C. Strategic Merger/Joint Venture: PowerCo Vertical Integration</w:t>
      </w:r>
      <w:r w:rsidR="00650803" w:rsidRPr="00C24648">
        <w:rPr>
          <w:rFonts w:ascii="Arial" w:hAnsi="Arial" w:cs="Arial"/>
        </w:rPr>
        <w:t xml:space="preserve">: </w:t>
      </w:r>
      <w:r w:rsidR="00CF72E0" w:rsidRPr="00C24648">
        <w:rPr>
          <w:rFonts w:ascii="Arial" w:hAnsi="Arial" w:cs="Arial"/>
        </w:rPr>
        <w:t>Instead of incurring the €20bn+ CapEx of PowerCo, VWAG ought to consider an Equity-for-Tech merger with a large battery company (e.g., Northvolt or BYD). With a battery production Joint Venture, VWAG will be able to transfer the huge capital burden of building the factory off the consolidated balance sheet (Equity Method accounting) and to instantly boost the Return on Assets (ROA) and Asset Turnover of the Group.</w:t>
      </w:r>
    </w:p>
    <w:p w14:paraId="12204945" w14:textId="77777777" w:rsidR="00DF1561" w:rsidRPr="008B03BF" w:rsidRDefault="00DF1561" w:rsidP="00C24648">
      <w:pPr>
        <w:pStyle w:val="Heading2"/>
        <w:spacing w:before="0" w:line="360" w:lineRule="auto"/>
        <w:contextualSpacing/>
        <w:jc w:val="both"/>
        <w:rPr>
          <w:rFonts w:ascii="Arial" w:hAnsi="Arial" w:cs="Arial"/>
          <w:b/>
          <w:bCs/>
          <w:color w:val="000000" w:themeColor="text1"/>
          <w:sz w:val="24"/>
          <w:szCs w:val="24"/>
        </w:rPr>
      </w:pPr>
      <w:bookmarkStart w:id="16" w:name="_Toc227347034"/>
      <w:r w:rsidRPr="008B03BF">
        <w:rPr>
          <w:rFonts w:ascii="Arial" w:hAnsi="Arial" w:cs="Arial"/>
          <w:b/>
          <w:bCs/>
          <w:color w:val="000000" w:themeColor="text1"/>
          <w:sz w:val="24"/>
          <w:szCs w:val="24"/>
        </w:rPr>
        <w:t>4.2 Evaluation of Impact</w:t>
      </w:r>
      <w:bookmarkEnd w:id="16"/>
    </w:p>
    <w:p w14:paraId="47920292" w14:textId="57AD4C08" w:rsidR="000F772B" w:rsidRPr="00C24648" w:rsidRDefault="00DF1561" w:rsidP="00C24648">
      <w:pPr>
        <w:pStyle w:val="NormalWeb"/>
        <w:spacing w:before="0" w:beforeAutospacing="0" w:after="0" w:afterAutospacing="0" w:line="360" w:lineRule="auto"/>
        <w:contextualSpacing/>
        <w:jc w:val="both"/>
        <w:rPr>
          <w:rFonts w:ascii="Arial" w:hAnsi="Arial" w:cs="Arial"/>
        </w:rPr>
      </w:pPr>
      <w:r w:rsidRPr="00C24648">
        <w:rPr>
          <w:rFonts w:ascii="Arial" w:hAnsi="Arial" w:cs="Arial"/>
          <w:b/>
          <w:bCs/>
        </w:rPr>
        <w:t>Impact on Shareholder Value</w:t>
      </w:r>
      <w:r w:rsidR="000F772B" w:rsidRPr="00C24648">
        <w:rPr>
          <w:rFonts w:ascii="Arial" w:hAnsi="Arial" w:cs="Arial"/>
          <w:b/>
          <w:bCs/>
        </w:rPr>
        <w:t xml:space="preserve">: </w:t>
      </w:r>
      <w:r w:rsidR="000F772B" w:rsidRPr="00C24648">
        <w:rPr>
          <w:rFonts w:ascii="Arial" w:hAnsi="Arial" w:cs="Arial"/>
        </w:rPr>
        <w:t>The existing P/E ratio of 6.5x indicates skepticism in the market. Re-rating of the stock would probably be initiated by restructuring via divestiture. This would give the Group a structural recovery to its Return on Equity (ROE) that had collapsed to 4.2% in 2025 by ditching the loss-making units. According to the theory of Modigliani-Miller (with taxes), debt is a tax shield, but the present amount of financial distress benefits (restructuring charges of €4.7bn) are less than the costs. The reorganization of the company to a leaner equity base will bring the Dividend Cover Ratio to normal levels and make the payouts sustainable over a long term.</w:t>
      </w:r>
    </w:p>
    <w:p w14:paraId="68121AF6" w14:textId="6E390566" w:rsidR="00DF1561" w:rsidRPr="00C24648" w:rsidRDefault="00DF1561" w:rsidP="00C24648">
      <w:pPr>
        <w:pStyle w:val="NormalWeb"/>
        <w:spacing w:before="0" w:beforeAutospacing="0" w:after="0" w:afterAutospacing="0" w:line="360" w:lineRule="auto"/>
        <w:contextualSpacing/>
        <w:jc w:val="both"/>
        <w:rPr>
          <w:rFonts w:ascii="Arial" w:hAnsi="Arial" w:cs="Arial"/>
        </w:rPr>
      </w:pPr>
      <w:r w:rsidRPr="00C24648">
        <w:rPr>
          <w:rFonts w:ascii="Arial" w:hAnsi="Arial" w:cs="Arial"/>
          <w:b/>
          <w:bCs/>
        </w:rPr>
        <w:t>Impact on Debt Structure and Operational Flexibility</w:t>
      </w:r>
      <w:r w:rsidR="006B351B" w:rsidRPr="00C24648">
        <w:rPr>
          <w:rFonts w:ascii="Arial" w:hAnsi="Arial" w:cs="Arial"/>
        </w:rPr>
        <w:t xml:space="preserve">: </w:t>
      </w:r>
      <w:r w:rsidR="006C1B87" w:rsidRPr="00C24648">
        <w:rPr>
          <w:rFonts w:ascii="Arial" w:hAnsi="Arial" w:cs="Arial"/>
        </w:rPr>
        <w:t>The intended hybrid injection would relocate the Debt-to-Capital ratio to the 0.60 level enhancing the credit profile of the Group. Reducing the debt load augments Operational Flexibility - the capacity to shift R&amp;D investments to new solid state battery technology without consulting with lenders. The 2025 report shows that the decline in Net Cash Flow to €5.2bn had left the Group with minimal dry powder; restructuring replenishes this important buffer (Ross, Westerfield and Jordan, 2023).</w:t>
      </w:r>
    </w:p>
    <w:p w14:paraId="19A12E74" w14:textId="77777777" w:rsidR="00DF1561" w:rsidRPr="008B03BF" w:rsidRDefault="00DF1561" w:rsidP="00C24648">
      <w:pPr>
        <w:pStyle w:val="Heading2"/>
        <w:spacing w:before="0" w:line="360" w:lineRule="auto"/>
        <w:contextualSpacing/>
        <w:jc w:val="both"/>
        <w:rPr>
          <w:rFonts w:ascii="Arial" w:hAnsi="Arial" w:cs="Arial"/>
          <w:b/>
          <w:bCs/>
          <w:color w:val="000000" w:themeColor="text1"/>
          <w:sz w:val="24"/>
          <w:szCs w:val="24"/>
        </w:rPr>
      </w:pPr>
      <w:bookmarkStart w:id="17" w:name="_Toc227347035"/>
      <w:r w:rsidRPr="008B03BF">
        <w:rPr>
          <w:rFonts w:ascii="Arial" w:hAnsi="Arial" w:cs="Arial"/>
          <w:b/>
          <w:bCs/>
          <w:color w:val="000000" w:themeColor="text1"/>
          <w:sz w:val="24"/>
          <w:szCs w:val="24"/>
        </w:rPr>
        <w:lastRenderedPageBreak/>
        <w:t>4.3 International and Ethical Considerations</w:t>
      </w:r>
      <w:bookmarkEnd w:id="17"/>
    </w:p>
    <w:p w14:paraId="3F46C5C2" w14:textId="02E808ED" w:rsidR="006C1B87" w:rsidRPr="00C24648" w:rsidRDefault="00DF1561" w:rsidP="00C24648">
      <w:pPr>
        <w:pStyle w:val="NormalWeb"/>
        <w:spacing w:before="0" w:beforeAutospacing="0" w:after="0" w:afterAutospacing="0" w:line="360" w:lineRule="auto"/>
        <w:contextualSpacing/>
        <w:jc w:val="both"/>
        <w:rPr>
          <w:rFonts w:ascii="Arial" w:hAnsi="Arial" w:cs="Arial"/>
        </w:rPr>
      </w:pPr>
      <w:r w:rsidRPr="00C24648">
        <w:rPr>
          <w:rFonts w:ascii="Arial" w:hAnsi="Arial" w:cs="Arial"/>
          <w:b/>
          <w:bCs/>
        </w:rPr>
        <w:t>Taxation and International Transfer Pricing</w:t>
      </w:r>
      <w:r w:rsidR="006C1B87" w:rsidRPr="00C24648">
        <w:rPr>
          <w:rFonts w:ascii="Arial" w:hAnsi="Arial" w:cs="Arial"/>
        </w:rPr>
        <w:t>: VWAG being a global organization has complex tax jurisdictions in its restructuring. The divestiture needs to be organized to maximize the "Capital Gains Tax" between the EU and US. Moreover, the global minimum tax rate of 15 percent (OECD Pillar Two) means that VWAG will not be allowed to use low-tax jurisdictions as the place to establish its financing centres in the future (OECD, 2021). The reorganisation should provide that the internal internal Transfer Pricing of EV components and software licenses is independent in order to overcome any legal and ethical obstacles posed by national tax collection agencies (Braun and Van Erp, 2021).</w:t>
      </w:r>
    </w:p>
    <w:p w14:paraId="519E44A8" w14:textId="6B8749BA" w:rsidR="00E9022D" w:rsidRPr="00C24648" w:rsidRDefault="00DF1561" w:rsidP="00C24648">
      <w:pPr>
        <w:pStyle w:val="NormalWeb"/>
        <w:spacing w:before="0" w:beforeAutospacing="0" w:after="0" w:afterAutospacing="0" w:line="360" w:lineRule="auto"/>
        <w:contextualSpacing/>
        <w:jc w:val="both"/>
        <w:rPr>
          <w:rFonts w:ascii="Arial" w:hAnsi="Arial" w:cs="Arial"/>
        </w:rPr>
      </w:pPr>
      <w:r w:rsidRPr="00C24648">
        <w:rPr>
          <w:rFonts w:ascii="Arial" w:hAnsi="Arial" w:cs="Arial"/>
          <w:b/>
          <w:bCs/>
        </w:rPr>
        <w:t>Currency and Inflationary Risks</w:t>
      </w:r>
      <w:r w:rsidR="00E9022D" w:rsidRPr="00C24648">
        <w:rPr>
          <w:rFonts w:ascii="Arial" w:hAnsi="Arial" w:cs="Arial"/>
        </w:rPr>
        <w:t xml:space="preserve">: </w:t>
      </w:r>
      <w:r w:rsidR="00CF014C" w:rsidRPr="00C24648">
        <w:rPr>
          <w:rFonts w:ascii="Arial" w:hAnsi="Arial" w:cs="Arial"/>
        </w:rPr>
        <w:t>The 2025 operating result had been greatly affected by US trade tariffs and currency volatility (Euro vs. USD/CNY). An effective strategic merger within the US (e.g., of Scout Motors) would offer a Natural Hedge, matching the costs (manufacturing in USD) with its revenues (sales in USD), and, as such, would minimize the effects of the currency fluctuations on its Cash Flow Margin. During inflationary conditions, high Inventory (DIO: 85.9 days) is a weakness of the Group. A reorganization to a "Build-to-Order" system will minimize the carrying cost of inventory in a high-inflation, high-interest-rate economy (Volkswagen Group , 2026a).</w:t>
      </w:r>
    </w:p>
    <w:p w14:paraId="38DEBF77" w14:textId="77777777" w:rsidR="00CF014C" w:rsidRPr="00C24648" w:rsidRDefault="00DF1561" w:rsidP="00C24648">
      <w:pPr>
        <w:pStyle w:val="NormalWeb"/>
        <w:spacing w:before="0" w:beforeAutospacing="0" w:after="0" w:afterAutospacing="0" w:line="360" w:lineRule="auto"/>
        <w:contextualSpacing/>
        <w:jc w:val="both"/>
        <w:rPr>
          <w:rFonts w:ascii="Arial" w:hAnsi="Arial" w:cs="Arial"/>
        </w:rPr>
      </w:pPr>
      <w:r w:rsidRPr="00C24648">
        <w:rPr>
          <w:rFonts w:ascii="Arial" w:hAnsi="Arial" w:cs="Arial"/>
          <w:b/>
          <w:bCs/>
        </w:rPr>
        <w:t>Ethical Leadership and CSR (Corporate Social Responsibility)</w:t>
      </w:r>
      <w:r w:rsidR="00CF014C" w:rsidRPr="00C24648">
        <w:rPr>
          <w:rFonts w:ascii="Arial" w:hAnsi="Arial" w:cs="Arial"/>
        </w:rPr>
        <w:t>: Reconstruction may often require labor force cuts especially in the old ICE facilities. In ethical terms, VWAG has to comply with its "Social Contract" and the German Co-determination laws. The restructuring plan will have to incorporate a "Just Transition" Fund, re-training of the engine assembly workers to battery cell manufacturers. Any non-compliance would harm the ESG (Environmental, Social, and Governance) Score of the Group, which may cause the share price to be divested by institutional Green Funds, a further reduction in share price (Birch et al., 2023).</w:t>
      </w:r>
    </w:p>
    <w:p w14:paraId="34CE5286" w14:textId="3590695F" w:rsidR="00DF1561" w:rsidRPr="00C24648" w:rsidRDefault="00CF014C" w:rsidP="00C24648">
      <w:pPr>
        <w:pStyle w:val="NormalWeb"/>
        <w:spacing w:before="0" w:beforeAutospacing="0" w:after="0" w:afterAutospacing="0" w:line="360" w:lineRule="auto"/>
        <w:contextualSpacing/>
        <w:jc w:val="both"/>
        <w:rPr>
          <w:rFonts w:ascii="Arial" w:hAnsi="Arial" w:cs="Arial"/>
        </w:rPr>
      </w:pPr>
      <w:r w:rsidRPr="00C24648">
        <w:rPr>
          <w:rFonts w:ascii="Arial" w:hAnsi="Arial" w:cs="Arial"/>
        </w:rPr>
        <w:t>This 2021</w:t>
      </w:r>
      <w:r w:rsidR="001240B6" w:rsidRPr="00C24648">
        <w:rPr>
          <w:rFonts w:ascii="Arial" w:hAnsi="Arial" w:cs="Arial"/>
        </w:rPr>
        <w:t>-</w:t>
      </w:r>
      <w:r w:rsidRPr="00C24648">
        <w:rPr>
          <w:rFonts w:ascii="Arial" w:hAnsi="Arial" w:cs="Arial"/>
        </w:rPr>
        <w:t>2025 data supports the fact that Volkswagen Group is in a financial crossroad. The existing trend of self-funded congestion has resulted in profitability and liquidity collapse. The Group can unlock the trapped value on its balance sheet, enhance its Cash Conversion Cycle, and re-establish itself as a very profitable, technologically nimble market leader in the New Auto era, by implementing a strategy of selective divestiture, hybrid capital raising, and vertical JVs.</w:t>
      </w:r>
    </w:p>
    <w:p w14:paraId="19C153D3" w14:textId="37BBD922" w:rsidR="00DF1561" w:rsidRPr="00C24648" w:rsidRDefault="00DF1561" w:rsidP="00C24648">
      <w:pPr>
        <w:pStyle w:val="Heading1"/>
        <w:spacing w:before="0" w:beforeAutospacing="0" w:after="0" w:afterAutospacing="0" w:line="360" w:lineRule="auto"/>
        <w:contextualSpacing/>
        <w:jc w:val="both"/>
        <w:rPr>
          <w:rFonts w:ascii="Arial" w:hAnsi="Arial" w:cs="Arial"/>
          <w:sz w:val="24"/>
          <w:szCs w:val="24"/>
        </w:rPr>
      </w:pPr>
      <w:bookmarkStart w:id="18" w:name="_Toc227347036"/>
      <w:r w:rsidRPr="00C24648">
        <w:rPr>
          <w:rStyle w:val="Strong"/>
          <w:rFonts w:ascii="Arial" w:hAnsi="Arial" w:cs="Arial"/>
          <w:b/>
          <w:bCs/>
          <w:sz w:val="24"/>
          <w:szCs w:val="24"/>
        </w:rPr>
        <w:lastRenderedPageBreak/>
        <w:t>5. Investment Appraisal and Capital Budgeting</w:t>
      </w:r>
      <w:bookmarkEnd w:id="18"/>
    </w:p>
    <w:p w14:paraId="6FE9E754" w14:textId="4D170380" w:rsidR="00DF1561" w:rsidRPr="00C24648" w:rsidRDefault="00104EA2" w:rsidP="00C24648">
      <w:pPr>
        <w:spacing w:after="0" w:line="360" w:lineRule="auto"/>
        <w:contextualSpacing/>
        <w:jc w:val="both"/>
        <w:rPr>
          <w:rFonts w:ascii="Arial" w:hAnsi="Arial" w:cs="Arial"/>
          <w:sz w:val="24"/>
          <w:szCs w:val="24"/>
        </w:rPr>
      </w:pPr>
      <w:r w:rsidRPr="00C24648">
        <w:rPr>
          <w:rFonts w:ascii="Arial" w:hAnsi="Arial" w:cs="Arial"/>
          <w:sz w:val="24"/>
          <w:szCs w:val="24"/>
        </w:rPr>
        <w:t>The capital budgeting is an important strategic process of integrating long-term investment decisions with financial sustainability in Volkswagen Group. Given the decreased profitability (ROCE went down to 5.2% and operating cash flow ratio dropped to 0.11) and the deteriorated investment capabilities (decreased cash generation capacity), value creation, liquidity maintenance, and capital efficiency should be prioritised in the context of investment decisions. The three mutually exclusive investment projects are assessed using five basic methods; Payback Period (PBP), Accounting rate of return (ARR), Net Present Value (NPV), Profitability Index (PI) and Internal rate of return (IRR) and capital rationing analysis is performed with a constraint of 100 million pounds.</w:t>
      </w:r>
    </w:p>
    <w:p w14:paraId="7B5C7221" w14:textId="77777777" w:rsidR="00DF1561" w:rsidRPr="008B03BF" w:rsidRDefault="00DF1561" w:rsidP="00C24648">
      <w:pPr>
        <w:pStyle w:val="Heading2"/>
        <w:spacing w:before="0" w:line="360" w:lineRule="auto"/>
        <w:contextualSpacing/>
        <w:jc w:val="both"/>
        <w:rPr>
          <w:rFonts w:ascii="Arial" w:hAnsi="Arial" w:cs="Arial"/>
          <w:color w:val="000000" w:themeColor="text1"/>
          <w:sz w:val="24"/>
          <w:szCs w:val="24"/>
        </w:rPr>
      </w:pPr>
      <w:bookmarkStart w:id="19" w:name="_Toc227347037"/>
      <w:r w:rsidRPr="008B03BF">
        <w:rPr>
          <w:rStyle w:val="Strong"/>
          <w:rFonts w:ascii="Arial" w:hAnsi="Arial" w:cs="Arial"/>
          <w:color w:val="000000" w:themeColor="text1"/>
          <w:sz w:val="24"/>
          <w:szCs w:val="24"/>
        </w:rPr>
        <w:t>5.1 Evaluation of Investment Projects</w:t>
      </w:r>
      <w:bookmarkEnd w:id="19"/>
    </w:p>
    <w:p w14:paraId="07E023B8" w14:textId="77777777" w:rsidR="00104EA2" w:rsidRPr="00C24648" w:rsidRDefault="00104EA2" w:rsidP="00C24648">
      <w:pPr>
        <w:spacing w:after="0" w:line="360" w:lineRule="auto"/>
        <w:contextualSpacing/>
        <w:jc w:val="both"/>
        <w:rPr>
          <w:rStyle w:val="Strong"/>
          <w:rFonts w:ascii="Arial" w:hAnsi="Arial" w:cs="Arial"/>
          <w:b w:val="0"/>
          <w:bCs w:val="0"/>
          <w:sz w:val="24"/>
          <w:szCs w:val="24"/>
        </w:rPr>
      </w:pPr>
      <w:r w:rsidRPr="00C24648">
        <w:rPr>
          <w:rStyle w:val="Strong"/>
          <w:rFonts w:ascii="Arial" w:hAnsi="Arial" w:cs="Arial"/>
          <w:b w:val="0"/>
          <w:bCs w:val="0"/>
          <w:sz w:val="24"/>
          <w:szCs w:val="24"/>
        </w:rPr>
        <w:t>Comparative evaluation of Projects A, B and C are carried out based on standard capital budgeting measures. All these methods give an understanding of liquidity influence, accounting profitability and shareholder value generation.</w:t>
      </w:r>
    </w:p>
    <w:p w14:paraId="44501508" w14:textId="12740493" w:rsidR="00DF1561" w:rsidRPr="00C24648" w:rsidRDefault="00DF1561" w:rsidP="00C24648">
      <w:pPr>
        <w:spacing w:after="0" w:line="360" w:lineRule="auto"/>
        <w:contextualSpacing/>
        <w:jc w:val="both"/>
        <w:rPr>
          <w:rFonts w:ascii="Arial" w:hAnsi="Arial" w:cs="Arial"/>
          <w:sz w:val="24"/>
          <w:szCs w:val="24"/>
        </w:rPr>
      </w:pPr>
      <w:r w:rsidRPr="00C24648">
        <w:rPr>
          <w:rStyle w:val="Strong"/>
          <w:rFonts w:ascii="Arial" w:hAnsi="Arial" w:cs="Arial"/>
          <w:b w:val="0"/>
          <w:bCs w:val="0"/>
          <w:sz w:val="24"/>
          <w:szCs w:val="24"/>
        </w:rPr>
        <w:t>Table 2: Summary of Results</w:t>
      </w:r>
    </w:p>
    <w:tbl>
      <w:tblPr>
        <w:tblStyle w:val="TableGrid"/>
        <w:tblW w:w="0" w:type="auto"/>
        <w:tblLook w:val="04A0" w:firstRow="1" w:lastRow="0" w:firstColumn="1" w:lastColumn="0" w:noHBand="0" w:noVBand="1"/>
      </w:tblPr>
      <w:tblGrid>
        <w:gridCol w:w="2044"/>
        <w:gridCol w:w="1337"/>
        <w:gridCol w:w="1337"/>
        <w:gridCol w:w="1337"/>
      </w:tblGrid>
      <w:tr w:rsidR="00DF1561" w:rsidRPr="00C24648" w14:paraId="1F4D1C8F" w14:textId="77777777" w:rsidTr="00DF1561">
        <w:tc>
          <w:tcPr>
            <w:tcW w:w="0" w:type="auto"/>
            <w:hideMark/>
          </w:tcPr>
          <w:p w14:paraId="4F43A3C7" w14:textId="77777777" w:rsidR="00DF1561" w:rsidRPr="00C24648" w:rsidRDefault="00DF1561" w:rsidP="00C24648">
            <w:pPr>
              <w:spacing w:line="360" w:lineRule="auto"/>
              <w:contextualSpacing/>
              <w:jc w:val="both"/>
              <w:rPr>
                <w:rFonts w:ascii="Arial" w:hAnsi="Arial" w:cs="Arial"/>
                <w:b/>
                <w:bCs/>
                <w:sz w:val="24"/>
                <w:szCs w:val="24"/>
              </w:rPr>
            </w:pPr>
            <w:r w:rsidRPr="00C24648">
              <w:rPr>
                <w:rFonts w:ascii="Arial" w:hAnsi="Arial" w:cs="Arial"/>
                <w:b/>
                <w:bCs/>
                <w:sz w:val="24"/>
                <w:szCs w:val="24"/>
              </w:rPr>
              <w:t>Metric</w:t>
            </w:r>
          </w:p>
        </w:tc>
        <w:tc>
          <w:tcPr>
            <w:tcW w:w="0" w:type="auto"/>
            <w:hideMark/>
          </w:tcPr>
          <w:p w14:paraId="70EEFB42" w14:textId="77777777" w:rsidR="00DF1561" w:rsidRPr="00C24648" w:rsidRDefault="00DF1561" w:rsidP="00C24648">
            <w:pPr>
              <w:spacing w:line="360" w:lineRule="auto"/>
              <w:contextualSpacing/>
              <w:jc w:val="both"/>
              <w:rPr>
                <w:rFonts w:ascii="Arial" w:hAnsi="Arial" w:cs="Arial"/>
                <w:b/>
                <w:bCs/>
                <w:sz w:val="24"/>
                <w:szCs w:val="24"/>
              </w:rPr>
            </w:pPr>
            <w:r w:rsidRPr="00C24648">
              <w:rPr>
                <w:rFonts w:ascii="Arial" w:hAnsi="Arial" w:cs="Arial"/>
                <w:b/>
                <w:bCs/>
                <w:sz w:val="24"/>
                <w:szCs w:val="24"/>
              </w:rPr>
              <w:t>Project A</w:t>
            </w:r>
          </w:p>
        </w:tc>
        <w:tc>
          <w:tcPr>
            <w:tcW w:w="0" w:type="auto"/>
            <w:hideMark/>
          </w:tcPr>
          <w:p w14:paraId="1B29F762" w14:textId="77777777" w:rsidR="00DF1561" w:rsidRPr="00C24648" w:rsidRDefault="00DF1561" w:rsidP="00C24648">
            <w:pPr>
              <w:spacing w:line="360" w:lineRule="auto"/>
              <w:contextualSpacing/>
              <w:jc w:val="both"/>
              <w:rPr>
                <w:rFonts w:ascii="Arial" w:hAnsi="Arial" w:cs="Arial"/>
                <w:b/>
                <w:bCs/>
                <w:sz w:val="24"/>
                <w:szCs w:val="24"/>
              </w:rPr>
            </w:pPr>
            <w:r w:rsidRPr="00C24648">
              <w:rPr>
                <w:rFonts w:ascii="Arial" w:hAnsi="Arial" w:cs="Arial"/>
                <w:b/>
                <w:bCs/>
                <w:sz w:val="24"/>
                <w:szCs w:val="24"/>
              </w:rPr>
              <w:t>Project B</w:t>
            </w:r>
          </w:p>
        </w:tc>
        <w:tc>
          <w:tcPr>
            <w:tcW w:w="0" w:type="auto"/>
            <w:hideMark/>
          </w:tcPr>
          <w:p w14:paraId="34042D5D" w14:textId="77777777" w:rsidR="00DF1561" w:rsidRPr="00C24648" w:rsidRDefault="00DF1561" w:rsidP="00C24648">
            <w:pPr>
              <w:spacing w:line="360" w:lineRule="auto"/>
              <w:contextualSpacing/>
              <w:jc w:val="both"/>
              <w:rPr>
                <w:rFonts w:ascii="Arial" w:hAnsi="Arial" w:cs="Arial"/>
                <w:b/>
                <w:bCs/>
                <w:sz w:val="24"/>
                <w:szCs w:val="24"/>
              </w:rPr>
            </w:pPr>
            <w:r w:rsidRPr="00C24648">
              <w:rPr>
                <w:rFonts w:ascii="Arial" w:hAnsi="Arial" w:cs="Arial"/>
                <w:b/>
                <w:bCs/>
                <w:sz w:val="24"/>
                <w:szCs w:val="24"/>
              </w:rPr>
              <w:t>Project C</w:t>
            </w:r>
          </w:p>
        </w:tc>
      </w:tr>
      <w:tr w:rsidR="00DF1561" w:rsidRPr="00C24648" w14:paraId="3D9A3794" w14:textId="77777777" w:rsidTr="00DF1561">
        <w:tc>
          <w:tcPr>
            <w:tcW w:w="0" w:type="auto"/>
            <w:hideMark/>
          </w:tcPr>
          <w:p w14:paraId="6C4D5045" w14:textId="77777777" w:rsidR="00DF1561" w:rsidRPr="00C24648" w:rsidRDefault="00DF1561" w:rsidP="00C24648">
            <w:pPr>
              <w:spacing w:line="360" w:lineRule="auto"/>
              <w:contextualSpacing/>
              <w:jc w:val="both"/>
              <w:rPr>
                <w:rFonts w:ascii="Arial" w:hAnsi="Arial" w:cs="Arial"/>
                <w:sz w:val="24"/>
                <w:szCs w:val="24"/>
              </w:rPr>
            </w:pPr>
            <w:r w:rsidRPr="00C24648">
              <w:rPr>
                <w:rFonts w:ascii="Arial" w:hAnsi="Arial" w:cs="Arial"/>
                <w:sz w:val="24"/>
                <w:szCs w:val="24"/>
              </w:rPr>
              <w:t>Payback Period</w:t>
            </w:r>
          </w:p>
        </w:tc>
        <w:tc>
          <w:tcPr>
            <w:tcW w:w="0" w:type="auto"/>
            <w:hideMark/>
          </w:tcPr>
          <w:p w14:paraId="6D0D5B5A" w14:textId="77777777" w:rsidR="00DF1561" w:rsidRPr="00C24648" w:rsidRDefault="00DF1561" w:rsidP="00C24648">
            <w:pPr>
              <w:spacing w:line="360" w:lineRule="auto"/>
              <w:contextualSpacing/>
              <w:jc w:val="both"/>
              <w:rPr>
                <w:rFonts w:ascii="Arial" w:hAnsi="Arial" w:cs="Arial"/>
                <w:sz w:val="24"/>
                <w:szCs w:val="24"/>
              </w:rPr>
            </w:pPr>
            <w:r w:rsidRPr="00C24648">
              <w:rPr>
                <w:rFonts w:ascii="Arial" w:hAnsi="Arial" w:cs="Arial"/>
                <w:sz w:val="24"/>
                <w:szCs w:val="24"/>
              </w:rPr>
              <w:t>4.50 years</w:t>
            </w:r>
          </w:p>
        </w:tc>
        <w:tc>
          <w:tcPr>
            <w:tcW w:w="0" w:type="auto"/>
            <w:hideMark/>
          </w:tcPr>
          <w:p w14:paraId="3476884D" w14:textId="77777777" w:rsidR="00DF1561" w:rsidRPr="00C24648" w:rsidRDefault="00DF1561" w:rsidP="00C24648">
            <w:pPr>
              <w:spacing w:line="360" w:lineRule="auto"/>
              <w:contextualSpacing/>
              <w:jc w:val="both"/>
              <w:rPr>
                <w:rFonts w:ascii="Arial" w:hAnsi="Arial" w:cs="Arial"/>
                <w:sz w:val="24"/>
                <w:szCs w:val="24"/>
              </w:rPr>
            </w:pPr>
            <w:r w:rsidRPr="00C24648">
              <w:rPr>
                <w:rFonts w:ascii="Arial" w:hAnsi="Arial" w:cs="Arial"/>
                <w:sz w:val="24"/>
                <w:szCs w:val="24"/>
              </w:rPr>
              <w:t>4.55 years</w:t>
            </w:r>
          </w:p>
        </w:tc>
        <w:tc>
          <w:tcPr>
            <w:tcW w:w="0" w:type="auto"/>
            <w:hideMark/>
          </w:tcPr>
          <w:p w14:paraId="4257CE82" w14:textId="77777777" w:rsidR="00DF1561" w:rsidRPr="00C24648" w:rsidRDefault="00DF1561" w:rsidP="00C24648">
            <w:pPr>
              <w:spacing w:line="360" w:lineRule="auto"/>
              <w:contextualSpacing/>
              <w:jc w:val="both"/>
              <w:rPr>
                <w:rFonts w:ascii="Arial" w:hAnsi="Arial" w:cs="Arial"/>
                <w:sz w:val="24"/>
                <w:szCs w:val="24"/>
              </w:rPr>
            </w:pPr>
            <w:r w:rsidRPr="00C24648">
              <w:rPr>
                <w:rFonts w:ascii="Arial" w:hAnsi="Arial" w:cs="Arial"/>
                <w:sz w:val="24"/>
                <w:szCs w:val="24"/>
              </w:rPr>
              <w:t>3.60 years</w:t>
            </w:r>
          </w:p>
        </w:tc>
      </w:tr>
      <w:tr w:rsidR="00DF1561" w:rsidRPr="00C24648" w14:paraId="6DFCD510" w14:textId="77777777" w:rsidTr="00DF1561">
        <w:tc>
          <w:tcPr>
            <w:tcW w:w="0" w:type="auto"/>
            <w:hideMark/>
          </w:tcPr>
          <w:p w14:paraId="60530740" w14:textId="77777777" w:rsidR="00DF1561" w:rsidRPr="00C24648" w:rsidRDefault="00DF1561" w:rsidP="00C24648">
            <w:pPr>
              <w:spacing w:line="360" w:lineRule="auto"/>
              <w:contextualSpacing/>
              <w:jc w:val="both"/>
              <w:rPr>
                <w:rFonts w:ascii="Arial" w:hAnsi="Arial" w:cs="Arial"/>
                <w:sz w:val="24"/>
                <w:szCs w:val="24"/>
              </w:rPr>
            </w:pPr>
            <w:r w:rsidRPr="00C24648">
              <w:rPr>
                <w:rFonts w:ascii="Arial" w:hAnsi="Arial" w:cs="Arial"/>
                <w:sz w:val="24"/>
                <w:szCs w:val="24"/>
              </w:rPr>
              <w:t>ARR</w:t>
            </w:r>
          </w:p>
        </w:tc>
        <w:tc>
          <w:tcPr>
            <w:tcW w:w="0" w:type="auto"/>
            <w:hideMark/>
          </w:tcPr>
          <w:p w14:paraId="6C49FDF6" w14:textId="77777777" w:rsidR="00DF1561" w:rsidRPr="00C24648" w:rsidRDefault="00DF1561" w:rsidP="00C24648">
            <w:pPr>
              <w:spacing w:line="360" w:lineRule="auto"/>
              <w:contextualSpacing/>
              <w:jc w:val="both"/>
              <w:rPr>
                <w:rFonts w:ascii="Arial" w:hAnsi="Arial" w:cs="Arial"/>
                <w:sz w:val="24"/>
                <w:szCs w:val="24"/>
              </w:rPr>
            </w:pPr>
            <w:r w:rsidRPr="00C24648">
              <w:rPr>
                <w:rFonts w:ascii="Arial" w:hAnsi="Arial" w:cs="Arial"/>
                <w:sz w:val="24"/>
                <w:szCs w:val="24"/>
              </w:rPr>
              <w:t>7.2%</w:t>
            </w:r>
          </w:p>
        </w:tc>
        <w:tc>
          <w:tcPr>
            <w:tcW w:w="0" w:type="auto"/>
            <w:hideMark/>
          </w:tcPr>
          <w:p w14:paraId="6DA0ACCB" w14:textId="77777777" w:rsidR="00DF1561" w:rsidRPr="00C24648" w:rsidRDefault="00DF1561" w:rsidP="00C24648">
            <w:pPr>
              <w:spacing w:line="360" w:lineRule="auto"/>
              <w:contextualSpacing/>
              <w:jc w:val="both"/>
              <w:rPr>
                <w:rFonts w:ascii="Arial" w:hAnsi="Arial" w:cs="Arial"/>
                <w:sz w:val="24"/>
                <w:szCs w:val="24"/>
              </w:rPr>
            </w:pPr>
            <w:r w:rsidRPr="00C24648">
              <w:rPr>
                <w:rFonts w:ascii="Arial" w:hAnsi="Arial" w:cs="Arial"/>
                <w:sz w:val="24"/>
                <w:szCs w:val="24"/>
              </w:rPr>
              <w:t>4.0%</w:t>
            </w:r>
          </w:p>
        </w:tc>
        <w:tc>
          <w:tcPr>
            <w:tcW w:w="0" w:type="auto"/>
            <w:hideMark/>
          </w:tcPr>
          <w:p w14:paraId="4811CD46" w14:textId="77777777" w:rsidR="00DF1561" w:rsidRPr="00C24648" w:rsidRDefault="00DF1561" w:rsidP="00C24648">
            <w:pPr>
              <w:spacing w:line="360" w:lineRule="auto"/>
              <w:contextualSpacing/>
              <w:jc w:val="both"/>
              <w:rPr>
                <w:rFonts w:ascii="Arial" w:hAnsi="Arial" w:cs="Arial"/>
                <w:sz w:val="24"/>
                <w:szCs w:val="24"/>
              </w:rPr>
            </w:pPr>
            <w:r w:rsidRPr="00C24648">
              <w:rPr>
                <w:rFonts w:ascii="Arial" w:hAnsi="Arial" w:cs="Arial"/>
                <w:sz w:val="24"/>
                <w:szCs w:val="24"/>
              </w:rPr>
              <w:t>12.0%</w:t>
            </w:r>
          </w:p>
        </w:tc>
      </w:tr>
      <w:tr w:rsidR="00DF1561" w:rsidRPr="00C24648" w14:paraId="0D6ACB4E" w14:textId="77777777" w:rsidTr="00DF1561">
        <w:tc>
          <w:tcPr>
            <w:tcW w:w="0" w:type="auto"/>
            <w:hideMark/>
          </w:tcPr>
          <w:p w14:paraId="1786B077" w14:textId="77777777" w:rsidR="00DF1561" w:rsidRPr="00C24648" w:rsidRDefault="00DF1561" w:rsidP="00C24648">
            <w:pPr>
              <w:spacing w:line="360" w:lineRule="auto"/>
              <w:contextualSpacing/>
              <w:jc w:val="both"/>
              <w:rPr>
                <w:rFonts w:ascii="Arial" w:hAnsi="Arial" w:cs="Arial"/>
                <w:sz w:val="24"/>
                <w:szCs w:val="24"/>
              </w:rPr>
            </w:pPr>
            <w:r w:rsidRPr="00C24648">
              <w:rPr>
                <w:rFonts w:ascii="Arial" w:hAnsi="Arial" w:cs="Arial"/>
                <w:sz w:val="24"/>
                <w:szCs w:val="24"/>
              </w:rPr>
              <w:t>NPV (10%)</w:t>
            </w:r>
          </w:p>
        </w:tc>
        <w:tc>
          <w:tcPr>
            <w:tcW w:w="0" w:type="auto"/>
            <w:hideMark/>
          </w:tcPr>
          <w:p w14:paraId="252C7D34" w14:textId="77777777" w:rsidR="00DF1561" w:rsidRPr="00C24648" w:rsidRDefault="00DF1561" w:rsidP="00C24648">
            <w:pPr>
              <w:spacing w:line="360" w:lineRule="auto"/>
              <w:contextualSpacing/>
              <w:jc w:val="both"/>
              <w:rPr>
                <w:rFonts w:ascii="Arial" w:hAnsi="Arial" w:cs="Arial"/>
                <w:sz w:val="24"/>
                <w:szCs w:val="24"/>
              </w:rPr>
            </w:pPr>
            <w:r w:rsidRPr="00C24648">
              <w:rPr>
                <w:rFonts w:ascii="Arial" w:hAnsi="Arial" w:cs="Arial"/>
                <w:sz w:val="24"/>
                <w:szCs w:val="24"/>
              </w:rPr>
              <w:t>-£8.67m</w:t>
            </w:r>
          </w:p>
        </w:tc>
        <w:tc>
          <w:tcPr>
            <w:tcW w:w="0" w:type="auto"/>
            <w:hideMark/>
          </w:tcPr>
          <w:p w14:paraId="36CC01AB" w14:textId="77777777" w:rsidR="00DF1561" w:rsidRPr="00C24648" w:rsidRDefault="00DF1561" w:rsidP="00C24648">
            <w:pPr>
              <w:spacing w:line="360" w:lineRule="auto"/>
              <w:contextualSpacing/>
              <w:jc w:val="both"/>
              <w:rPr>
                <w:rFonts w:ascii="Arial" w:hAnsi="Arial" w:cs="Arial"/>
                <w:sz w:val="24"/>
                <w:szCs w:val="24"/>
              </w:rPr>
            </w:pPr>
            <w:r w:rsidRPr="00C24648">
              <w:rPr>
                <w:rFonts w:ascii="Arial" w:hAnsi="Arial" w:cs="Arial"/>
                <w:sz w:val="24"/>
                <w:szCs w:val="24"/>
              </w:rPr>
              <w:t>-£8.31m</w:t>
            </w:r>
          </w:p>
        </w:tc>
        <w:tc>
          <w:tcPr>
            <w:tcW w:w="0" w:type="auto"/>
            <w:hideMark/>
          </w:tcPr>
          <w:p w14:paraId="4B68C56D" w14:textId="77777777" w:rsidR="00DF1561" w:rsidRPr="00C24648" w:rsidRDefault="00DF1561" w:rsidP="00C24648">
            <w:pPr>
              <w:spacing w:line="360" w:lineRule="auto"/>
              <w:contextualSpacing/>
              <w:jc w:val="both"/>
              <w:rPr>
                <w:rFonts w:ascii="Arial" w:hAnsi="Arial" w:cs="Arial"/>
                <w:sz w:val="24"/>
                <w:szCs w:val="24"/>
              </w:rPr>
            </w:pPr>
            <w:r w:rsidRPr="00C24648">
              <w:rPr>
                <w:rFonts w:ascii="Arial" w:hAnsi="Arial" w:cs="Arial"/>
                <w:sz w:val="24"/>
                <w:szCs w:val="24"/>
              </w:rPr>
              <w:t>+£5.48m</w:t>
            </w:r>
          </w:p>
        </w:tc>
      </w:tr>
      <w:tr w:rsidR="00DF1561" w:rsidRPr="00C24648" w14:paraId="6C8E4220" w14:textId="77777777" w:rsidTr="00DF1561">
        <w:tc>
          <w:tcPr>
            <w:tcW w:w="0" w:type="auto"/>
            <w:hideMark/>
          </w:tcPr>
          <w:p w14:paraId="5506279B" w14:textId="77777777" w:rsidR="00DF1561" w:rsidRPr="00C24648" w:rsidRDefault="00DF1561" w:rsidP="00C24648">
            <w:pPr>
              <w:spacing w:line="360" w:lineRule="auto"/>
              <w:contextualSpacing/>
              <w:jc w:val="both"/>
              <w:rPr>
                <w:rFonts w:ascii="Arial" w:hAnsi="Arial" w:cs="Arial"/>
                <w:sz w:val="24"/>
                <w:szCs w:val="24"/>
              </w:rPr>
            </w:pPr>
            <w:r w:rsidRPr="00C24648">
              <w:rPr>
                <w:rFonts w:ascii="Arial" w:hAnsi="Arial" w:cs="Arial"/>
                <w:sz w:val="24"/>
                <w:szCs w:val="24"/>
              </w:rPr>
              <w:t>Profitability Index</w:t>
            </w:r>
          </w:p>
        </w:tc>
        <w:tc>
          <w:tcPr>
            <w:tcW w:w="0" w:type="auto"/>
            <w:hideMark/>
          </w:tcPr>
          <w:p w14:paraId="682A4EF5" w14:textId="77777777" w:rsidR="00DF1561" w:rsidRPr="00C24648" w:rsidRDefault="00DF1561" w:rsidP="00C24648">
            <w:pPr>
              <w:spacing w:line="360" w:lineRule="auto"/>
              <w:contextualSpacing/>
              <w:jc w:val="both"/>
              <w:rPr>
                <w:rFonts w:ascii="Arial" w:hAnsi="Arial" w:cs="Arial"/>
                <w:sz w:val="24"/>
                <w:szCs w:val="24"/>
              </w:rPr>
            </w:pPr>
            <w:r w:rsidRPr="00C24648">
              <w:rPr>
                <w:rFonts w:ascii="Arial" w:hAnsi="Arial" w:cs="Arial"/>
                <w:sz w:val="24"/>
                <w:szCs w:val="24"/>
              </w:rPr>
              <w:t>0.83</w:t>
            </w:r>
          </w:p>
        </w:tc>
        <w:tc>
          <w:tcPr>
            <w:tcW w:w="0" w:type="auto"/>
            <w:hideMark/>
          </w:tcPr>
          <w:p w14:paraId="3A23EB30" w14:textId="77777777" w:rsidR="00DF1561" w:rsidRPr="00C24648" w:rsidRDefault="00DF1561" w:rsidP="00C24648">
            <w:pPr>
              <w:spacing w:line="360" w:lineRule="auto"/>
              <w:contextualSpacing/>
              <w:jc w:val="both"/>
              <w:rPr>
                <w:rFonts w:ascii="Arial" w:hAnsi="Arial" w:cs="Arial"/>
                <w:sz w:val="24"/>
                <w:szCs w:val="24"/>
              </w:rPr>
            </w:pPr>
            <w:r w:rsidRPr="00C24648">
              <w:rPr>
                <w:rFonts w:ascii="Arial" w:hAnsi="Arial" w:cs="Arial"/>
                <w:sz w:val="24"/>
                <w:szCs w:val="24"/>
              </w:rPr>
              <w:t>0.83</w:t>
            </w:r>
          </w:p>
        </w:tc>
        <w:tc>
          <w:tcPr>
            <w:tcW w:w="0" w:type="auto"/>
            <w:hideMark/>
          </w:tcPr>
          <w:p w14:paraId="0F0276A5" w14:textId="77777777" w:rsidR="00DF1561" w:rsidRPr="00C24648" w:rsidRDefault="00DF1561" w:rsidP="00C24648">
            <w:pPr>
              <w:spacing w:line="360" w:lineRule="auto"/>
              <w:contextualSpacing/>
              <w:jc w:val="both"/>
              <w:rPr>
                <w:rFonts w:ascii="Arial" w:hAnsi="Arial" w:cs="Arial"/>
                <w:sz w:val="24"/>
                <w:szCs w:val="24"/>
              </w:rPr>
            </w:pPr>
            <w:r w:rsidRPr="00C24648">
              <w:rPr>
                <w:rFonts w:ascii="Arial" w:hAnsi="Arial" w:cs="Arial"/>
                <w:sz w:val="24"/>
                <w:szCs w:val="24"/>
              </w:rPr>
              <w:t>1.11</w:t>
            </w:r>
          </w:p>
        </w:tc>
      </w:tr>
      <w:tr w:rsidR="00DF1561" w:rsidRPr="00C24648" w14:paraId="3F449312" w14:textId="77777777" w:rsidTr="00DF1561">
        <w:tc>
          <w:tcPr>
            <w:tcW w:w="0" w:type="auto"/>
            <w:hideMark/>
          </w:tcPr>
          <w:p w14:paraId="288BA995" w14:textId="77777777" w:rsidR="00DF1561" w:rsidRPr="00C24648" w:rsidRDefault="00DF1561" w:rsidP="00C24648">
            <w:pPr>
              <w:spacing w:line="360" w:lineRule="auto"/>
              <w:contextualSpacing/>
              <w:jc w:val="both"/>
              <w:rPr>
                <w:rFonts w:ascii="Arial" w:hAnsi="Arial" w:cs="Arial"/>
                <w:sz w:val="24"/>
                <w:szCs w:val="24"/>
              </w:rPr>
            </w:pPr>
            <w:r w:rsidRPr="00C24648">
              <w:rPr>
                <w:rFonts w:ascii="Arial" w:hAnsi="Arial" w:cs="Arial"/>
                <w:sz w:val="24"/>
                <w:szCs w:val="24"/>
              </w:rPr>
              <w:t>IRR</w:t>
            </w:r>
          </w:p>
        </w:tc>
        <w:tc>
          <w:tcPr>
            <w:tcW w:w="0" w:type="auto"/>
            <w:hideMark/>
          </w:tcPr>
          <w:p w14:paraId="10F57899" w14:textId="77777777" w:rsidR="00DF1561" w:rsidRPr="00C24648" w:rsidRDefault="00DF1561" w:rsidP="00C24648">
            <w:pPr>
              <w:spacing w:line="360" w:lineRule="auto"/>
              <w:contextualSpacing/>
              <w:jc w:val="both"/>
              <w:rPr>
                <w:rFonts w:ascii="Arial" w:hAnsi="Arial" w:cs="Arial"/>
                <w:sz w:val="24"/>
                <w:szCs w:val="24"/>
              </w:rPr>
            </w:pPr>
            <w:r w:rsidRPr="00C24648">
              <w:rPr>
                <w:rFonts w:ascii="Arial" w:hAnsi="Arial" w:cs="Arial"/>
                <w:sz w:val="24"/>
                <w:szCs w:val="24"/>
              </w:rPr>
              <w:t>3.5%</w:t>
            </w:r>
          </w:p>
        </w:tc>
        <w:tc>
          <w:tcPr>
            <w:tcW w:w="0" w:type="auto"/>
            <w:hideMark/>
          </w:tcPr>
          <w:p w14:paraId="3420334A" w14:textId="77777777" w:rsidR="00DF1561" w:rsidRPr="00C24648" w:rsidRDefault="00DF1561" w:rsidP="00C24648">
            <w:pPr>
              <w:spacing w:line="360" w:lineRule="auto"/>
              <w:contextualSpacing/>
              <w:jc w:val="both"/>
              <w:rPr>
                <w:rFonts w:ascii="Arial" w:hAnsi="Arial" w:cs="Arial"/>
                <w:sz w:val="24"/>
                <w:szCs w:val="24"/>
              </w:rPr>
            </w:pPr>
            <w:r w:rsidRPr="00C24648">
              <w:rPr>
                <w:rFonts w:ascii="Arial" w:hAnsi="Arial" w:cs="Arial"/>
                <w:sz w:val="24"/>
                <w:szCs w:val="24"/>
              </w:rPr>
              <w:t>3.1%</w:t>
            </w:r>
          </w:p>
        </w:tc>
        <w:tc>
          <w:tcPr>
            <w:tcW w:w="0" w:type="auto"/>
            <w:hideMark/>
          </w:tcPr>
          <w:p w14:paraId="525C7014" w14:textId="77777777" w:rsidR="00DF1561" w:rsidRPr="00C24648" w:rsidRDefault="00DF1561" w:rsidP="00C24648">
            <w:pPr>
              <w:spacing w:line="360" w:lineRule="auto"/>
              <w:contextualSpacing/>
              <w:jc w:val="both"/>
              <w:rPr>
                <w:rFonts w:ascii="Arial" w:hAnsi="Arial" w:cs="Arial"/>
                <w:sz w:val="24"/>
                <w:szCs w:val="24"/>
              </w:rPr>
            </w:pPr>
            <w:r w:rsidRPr="00C24648">
              <w:rPr>
                <w:rFonts w:ascii="Arial" w:hAnsi="Arial" w:cs="Arial"/>
                <w:sz w:val="24"/>
                <w:szCs w:val="24"/>
              </w:rPr>
              <w:t>14.3%</w:t>
            </w:r>
          </w:p>
        </w:tc>
      </w:tr>
    </w:tbl>
    <w:p w14:paraId="44CAF148" w14:textId="1B4F996E" w:rsidR="00DF1561" w:rsidRPr="00C24648" w:rsidRDefault="00DF1561" w:rsidP="00C24648">
      <w:pPr>
        <w:spacing w:after="0" w:line="360" w:lineRule="auto"/>
        <w:contextualSpacing/>
        <w:jc w:val="both"/>
        <w:rPr>
          <w:rFonts w:ascii="Arial" w:hAnsi="Arial" w:cs="Arial"/>
          <w:sz w:val="24"/>
          <w:szCs w:val="24"/>
        </w:rPr>
      </w:pPr>
    </w:p>
    <w:p w14:paraId="38972588" w14:textId="77777777" w:rsidR="00DF1561" w:rsidRPr="00C24648" w:rsidRDefault="00DF1561" w:rsidP="00C24648">
      <w:pPr>
        <w:spacing w:after="0" w:line="360" w:lineRule="auto"/>
        <w:contextualSpacing/>
        <w:jc w:val="both"/>
        <w:rPr>
          <w:rFonts w:ascii="Arial" w:hAnsi="Arial" w:cs="Arial"/>
          <w:sz w:val="24"/>
          <w:szCs w:val="24"/>
          <w:u w:val="single"/>
        </w:rPr>
      </w:pPr>
      <w:r w:rsidRPr="00C24648">
        <w:rPr>
          <w:rStyle w:val="Strong"/>
          <w:rFonts w:ascii="Arial" w:hAnsi="Arial" w:cs="Arial"/>
          <w:b w:val="0"/>
          <w:bCs w:val="0"/>
          <w:sz w:val="24"/>
          <w:szCs w:val="24"/>
          <w:u w:val="single"/>
        </w:rPr>
        <w:t>Project A: Front-Loaded Cash Flow Structure</w:t>
      </w:r>
    </w:p>
    <w:p w14:paraId="55D4AD1B" w14:textId="77777777" w:rsidR="005760E6" w:rsidRPr="00C24648" w:rsidRDefault="005760E6" w:rsidP="00C24648">
      <w:pPr>
        <w:spacing w:after="0" w:line="360" w:lineRule="auto"/>
        <w:contextualSpacing/>
        <w:jc w:val="both"/>
        <w:rPr>
          <w:rFonts w:ascii="Arial" w:hAnsi="Arial" w:cs="Arial"/>
          <w:sz w:val="24"/>
          <w:szCs w:val="24"/>
        </w:rPr>
      </w:pPr>
      <w:r w:rsidRPr="00C24648">
        <w:rPr>
          <w:rFonts w:ascii="Arial" w:hAnsi="Arial" w:cs="Arial"/>
          <w:sz w:val="24"/>
          <w:szCs w:val="24"/>
        </w:rPr>
        <w:t>Project A has a relatively better early cash inflows especially within the first three years. However, later years decrease performance by a significant amount, which means that the product life cycle is relatively short, which is characteristic of aging automotive technologies.</w:t>
      </w:r>
    </w:p>
    <w:p w14:paraId="5B01C145" w14:textId="77777777" w:rsidR="005760E6" w:rsidRPr="00C24648" w:rsidRDefault="005760E6" w:rsidP="00C24648">
      <w:pPr>
        <w:spacing w:after="0" w:line="360" w:lineRule="auto"/>
        <w:contextualSpacing/>
        <w:jc w:val="both"/>
        <w:rPr>
          <w:rFonts w:ascii="Arial" w:hAnsi="Arial" w:cs="Arial"/>
          <w:sz w:val="24"/>
          <w:szCs w:val="24"/>
        </w:rPr>
      </w:pPr>
      <w:r w:rsidRPr="00C24648">
        <w:rPr>
          <w:rFonts w:ascii="Arial" w:hAnsi="Arial" w:cs="Arial"/>
          <w:sz w:val="24"/>
          <w:szCs w:val="24"/>
        </w:rPr>
        <w:t>Its payback period of 4.5 years implies a mediocre liquidity recovery, and the project does not provide enough long-term value. The adverse NPV of -£8.67m confirms that the cash inflows, discounted at 10 percent are not higher than the initial investment cost.</w:t>
      </w:r>
    </w:p>
    <w:p w14:paraId="39B9306D" w14:textId="6D605373" w:rsidR="00DF1561" w:rsidRPr="00C24648" w:rsidRDefault="005760E6" w:rsidP="00C24648">
      <w:pPr>
        <w:spacing w:after="0" w:line="360" w:lineRule="auto"/>
        <w:contextualSpacing/>
        <w:jc w:val="both"/>
        <w:rPr>
          <w:rFonts w:ascii="Arial" w:hAnsi="Arial" w:cs="Arial"/>
          <w:sz w:val="24"/>
          <w:szCs w:val="24"/>
        </w:rPr>
      </w:pPr>
      <w:r w:rsidRPr="00C24648">
        <w:rPr>
          <w:rFonts w:ascii="Arial" w:hAnsi="Arial" w:cs="Arial"/>
          <w:sz w:val="24"/>
          <w:szCs w:val="24"/>
        </w:rPr>
        <w:lastRenderedPageBreak/>
        <w:t>The IRR of 3.5 percent is very low in relation to the required rate of return, which means that there is value destruction. Although there is moderate initial liquidity advantage, Project A is not economically efficient, and does not align with the strategic move of Volkswagen to high-growth EV technologies (Khaliq, 2025).</w:t>
      </w:r>
    </w:p>
    <w:p w14:paraId="1083988C" w14:textId="77777777" w:rsidR="00DF1561" w:rsidRPr="00C24648" w:rsidRDefault="00DF1561" w:rsidP="00C24648">
      <w:pPr>
        <w:spacing w:after="0" w:line="360" w:lineRule="auto"/>
        <w:contextualSpacing/>
        <w:jc w:val="both"/>
        <w:rPr>
          <w:rFonts w:ascii="Arial" w:hAnsi="Arial" w:cs="Arial"/>
          <w:sz w:val="24"/>
          <w:szCs w:val="24"/>
        </w:rPr>
      </w:pPr>
      <w:r w:rsidRPr="00C24648">
        <w:rPr>
          <w:rStyle w:val="Strong"/>
          <w:rFonts w:ascii="Arial" w:hAnsi="Arial" w:cs="Arial"/>
          <w:b w:val="0"/>
          <w:bCs w:val="0"/>
          <w:sz w:val="24"/>
          <w:szCs w:val="24"/>
          <w:u w:val="single"/>
        </w:rPr>
        <w:t>Project B: Stable but Low-Yield Cash Flow Structure</w:t>
      </w:r>
    </w:p>
    <w:p w14:paraId="5A999290" w14:textId="77777777" w:rsidR="005760E6" w:rsidRPr="00C24648" w:rsidRDefault="005760E6" w:rsidP="00C24648">
      <w:pPr>
        <w:spacing w:after="0" w:line="360" w:lineRule="auto"/>
        <w:contextualSpacing/>
        <w:jc w:val="both"/>
        <w:rPr>
          <w:rFonts w:ascii="Arial" w:hAnsi="Arial" w:cs="Arial"/>
          <w:sz w:val="24"/>
          <w:szCs w:val="24"/>
        </w:rPr>
      </w:pPr>
      <w:r w:rsidRPr="00C24648">
        <w:rPr>
          <w:rFonts w:ascii="Arial" w:hAnsi="Arial" w:cs="Arial"/>
          <w:sz w:val="24"/>
          <w:szCs w:val="24"/>
        </w:rPr>
        <w:t>Project B provides stable annual cash flows of £11m which is a consistent annuity type structure. Although such predictability is most often good on the risk management balance, the financial analysis shows ineffectiveness in value creation.</w:t>
      </w:r>
    </w:p>
    <w:p w14:paraId="509878AD" w14:textId="77777777" w:rsidR="005760E6" w:rsidRPr="00C24648" w:rsidRDefault="005760E6" w:rsidP="00C24648">
      <w:pPr>
        <w:spacing w:after="0" w:line="360" w:lineRule="auto"/>
        <w:contextualSpacing/>
        <w:jc w:val="both"/>
        <w:rPr>
          <w:rFonts w:ascii="Arial" w:hAnsi="Arial" w:cs="Arial"/>
          <w:sz w:val="24"/>
          <w:szCs w:val="24"/>
        </w:rPr>
      </w:pPr>
      <w:r w:rsidRPr="00C24648">
        <w:rPr>
          <w:rFonts w:ascii="Arial" w:hAnsi="Arial" w:cs="Arial"/>
          <w:sz w:val="24"/>
          <w:szCs w:val="24"/>
        </w:rPr>
        <w:t>The payback period of the project is 4.55 years, the lowest of the three alternatives, which means that the liquidity recovery is weak. It also has the lowest ARR of 4.0% which indicates poor accounting profitability.</w:t>
      </w:r>
    </w:p>
    <w:p w14:paraId="045A60F0" w14:textId="77777777" w:rsidR="005760E6" w:rsidRPr="00C24648" w:rsidRDefault="005760E6" w:rsidP="00C24648">
      <w:pPr>
        <w:spacing w:after="0" w:line="360" w:lineRule="auto"/>
        <w:contextualSpacing/>
        <w:jc w:val="both"/>
        <w:rPr>
          <w:rFonts w:ascii="Arial" w:hAnsi="Arial" w:cs="Arial"/>
          <w:sz w:val="24"/>
          <w:szCs w:val="24"/>
        </w:rPr>
      </w:pPr>
      <w:r w:rsidRPr="00C24648">
        <w:rPr>
          <w:rFonts w:ascii="Arial" w:hAnsi="Arial" w:cs="Arial"/>
          <w:sz w:val="24"/>
          <w:szCs w:val="24"/>
        </w:rPr>
        <w:t>More so, the NPV of -£8.31m validates the fact that the project kills shareholder value despite constant cash flows. IRR of 3.1% is much lower than the cost of capital, which means that the returns are not enough to justify investment.</w:t>
      </w:r>
    </w:p>
    <w:p w14:paraId="19ACC461" w14:textId="1A4593BB" w:rsidR="00DF1561" w:rsidRPr="00C24648" w:rsidRDefault="005760E6" w:rsidP="00C24648">
      <w:pPr>
        <w:spacing w:after="0" w:line="360" w:lineRule="auto"/>
        <w:contextualSpacing/>
        <w:jc w:val="both"/>
        <w:rPr>
          <w:rFonts w:ascii="Arial" w:hAnsi="Arial" w:cs="Arial"/>
          <w:sz w:val="24"/>
          <w:szCs w:val="24"/>
        </w:rPr>
      </w:pPr>
      <w:r w:rsidRPr="00C24648">
        <w:rPr>
          <w:rFonts w:ascii="Arial" w:hAnsi="Arial" w:cs="Arial"/>
          <w:sz w:val="24"/>
          <w:szCs w:val="24"/>
        </w:rPr>
        <w:t xml:space="preserve">The main drawback of Project B is that it will not create growth or surpass the necessary rate of return, which cannot be applicable in a organization with structural change (Sinaga et al., 2023). </w:t>
      </w:r>
    </w:p>
    <w:p w14:paraId="13F66BD9" w14:textId="77777777" w:rsidR="00DF1561" w:rsidRPr="00C24648" w:rsidRDefault="00DF1561" w:rsidP="00C24648">
      <w:pPr>
        <w:spacing w:after="0" w:line="360" w:lineRule="auto"/>
        <w:contextualSpacing/>
        <w:jc w:val="both"/>
        <w:rPr>
          <w:rStyle w:val="Strong"/>
          <w:rFonts w:ascii="Arial" w:hAnsi="Arial" w:cs="Arial"/>
          <w:b w:val="0"/>
          <w:bCs w:val="0"/>
          <w:sz w:val="24"/>
          <w:szCs w:val="24"/>
          <w:u w:val="single"/>
        </w:rPr>
      </w:pPr>
      <w:r w:rsidRPr="00C24648">
        <w:rPr>
          <w:rStyle w:val="Strong"/>
          <w:rFonts w:ascii="Arial" w:hAnsi="Arial" w:cs="Arial"/>
          <w:b w:val="0"/>
          <w:bCs w:val="0"/>
          <w:sz w:val="24"/>
          <w:szCs w:val="24"/>
          <w:u w:val="single"/>
        </w:rPr>
        <w:t>Project C: High-Growth Back-Loaded Cash Flow Structure</w:t>
      </w:r>
    </w:p>
    <w:p w14:paraId="65AF0B00" w14:textId="77777777" w:rsidR="005760E6" w:rsidRPr="00C24648" w:rsidRDefault="005760E6" w:rsidP="00C24648">
      <w:pPr>
        <w:spacing w:after="0" w:line="360" w:lineRule="auto"/>
        <w:contextualSpacing/>
        <w:jc w:val="both"/>
        <w:rPr>
          <w:rFonts w:ascii="Arial" w:hAnsi="Arial" w:cs="Arial"/>
          <w:sz w:val="24"/>
          <w:szCs w:val="24"/>
        </w:rPr>
      </w:pPr>
      <w:r w:rsidRPr="00C24648">
        <w:rPr>
          <w:rFonts w:ascii="Arial" w:hAnsi="Arial" w:cs="Arial"/>
          <w:sz w:val="24"/>
          <w:szCs w:val="24"/>
        </w:rPr>
        <w:t>Project C is a back-loaded cash flow profile with higher inflows during later years (maximum of 25m in Year 4). This trend is characteristic of high-growth innovation-based investments, especially to EV and battery technologies.</w:t>
      </w:r>
    </w:p>
    <w:p w14:paraId="0745ED39" w14:textId="77777777" w:rsidR="005760E6" w:rsidRPr="00C24648" w:rsidRDefault="005760E6" w:rsidP="00C24648">
      <w:pPr>
        <w:spacing w:after="0" w:line="360" w:lineRule="auto"/>
        <w:contextualSpacing/>
        <w:jc w:val="both"/>
        <w:rPr>
          <w:rFonts w:ascii="Arial" w:hAnsi="Arial" w:cs="Arial"/>
          <w:sz w:val="24"/>
          <w:szCs w:val="24"/>
        </w:rPr>
      </w:pPr>
      <w:r w:rsidRPr="00C24648">
        <w:rPr>
          <w:rFonts w:ascii="Arial" w:hAnsi="Arial" w:cs="Arial"/>
          <w:sz w:val="24"/>
          <w:szCs w:val="24"/>
        </w:rPr>
        <w:t>Project C has a payback period of 3.6 years, the lowest initial returns, but the best liquidity recovery. ARR of 12.0% is highest of all projects, showing good accounting profitability.</w:t>
      </w:r>
    </w:p>
    <w:p w14:paraId="20AA5E9A" w14:textId="77777777" w:rsidR="005760E6" w:rsidRPr="00C24648" w:rsidRDefault="005760E6" w:rsidP="00C24648">
      <w:pPr>
        <w:spacing w:after="0" w:line="360" w:lineRule="auto"/>
        <w:contextualSpacing/>
        <w:jc w:val="both"/>
        <w:rPr>
          <w:rFonts w:ascii="Arial" w:hAnsi="Arial" w:cs="Arial"/>
          <w:sz w:val="24"/>
          <w:szCs w:val="24"/>
        </w:rPr>
      </w:pPr>
      <w:r w:rsidRPr="00C24648">
        <w:rPr>
          <w:rFonts w:ascii="Arial" w:hAnsi="Arial" w:cs="Arial"/>
          <w:sz w:val="24"/>
          <w:szCs w:val="24"/>
        </w:rPr>
        <w:t>Above all, Project C generates a positive NPV of 5.48m, which is a value creation after considering the cost of capital. The index of profitability of 1.11 shows that it utilises the capital efficiently as every pound expended creates one pound one shilling in present value terms.</w:t>
      </w:r>
    </w:p>
    <w:p w14:paraId="33EBFB1F" w14:textId="42FC0AF1" w:rsidR="005760E6" w:rsidRPr="00C24648" w:rsidRDefault="005760E6" w:rsidP="00C24648">
      <w:pPr>
        <w:spacing w:after="0" w:line="360" w:lineRule="auto"/>
        <w:contextualSpacing/>
        <w:jc w:val="both"/>
        <w:rPr>
          <w:rFonts w:ascii="Arial" w:hAnsi="Arial" w:cs="Arial"/>
          <w:sz w:val="24"/>
          <w:szCs w:val="24"/>
        </w:rPr>
      </w:pPr>
      <w:r w:rsidRPr="00C24648">
        <w:rPr>
          <w:rFonts w:ascii="Arial" w:hAnsi="Arial" w:cs="Arial"/>
          <w:sz w:val="24"/>
          <w:szCs w:val="24"/>
        </w:rPr>
        <w:t>The high financial appeal is indicated by the high IRR of 14.3% which is significantly greater than the 10% hurdle rate, and the high-quality risk-adjusted performance (Abor, 2025).</w:t>
      </w:r>
    </w:p>
    <w:p w14:paraId="04B3B582" w14:textId="5AEDAE03" w:rsidR="00DF1561" w:rsidRPr="00C24648" w:rsidRDefault="00DF1561" w:rsidP="00C24648">
      <w:pPr>
        <w:spacing w:after="0" w:line="360" w:lineRule="auto"/>
        <w:contextualSpacing/>
        <w:jc w:val="both"/>
        <w:rPr>
          <w:rFonts w:ascii="Arial" w:hAnsi="Arial" w:cs="Arial"/>
          <w:sz w:val="24"/>
          <w:szCs w:val="24"/>
        </w:rPr>
      </w:pPr>
    </w:p>
    <w:p w14:paraId="7D46F026" w14:textId="77777777" w:rsidR="00DF1561" w:rsidRPr="008B03BF" w:rsidRDefault="00DF1561" w:rsidP="00C24648">
      <w:pPr>
        <w:pStyle w:val="Heading2"/>
        <w:spacing w:before="0" w:line="360" w:lineRule="auto"/>
        <w:contextualSpacing/>
        <w:jc w:val="both"/>
        <w:rPr>
          <w:rFonts w:ascii="Arial" w:hAnsi="Arial" w:cs="Arial"/>
          <w:color w:val="000000" w:themeColor="text1"/>
          <w:sz w:val="24"/>
          <w:szCs w:val="24"/>
        </w:rPr>
      </w:pPr>
      <w:bookmarkStart w:id="20" w:name="_Toc227347038"/>
      <w:r w:rsidRPr="008B03BF">
        <w:rPr>
          <w:rStyle w:val="Strong"/>
          <w:rFonts w:ascii="Arial" w:hAnsi="Arial" w:cs="Arial"/>
          <w:color w:val="000000" w:themeColor="text1"/>
          <w:sz w:val="24"/>
          <w:szCs w:val="24"/>
        </w:rPr>
        <w:lastRenderedPageBreak/>
        <w:t>5.2 Investment Recommendation and Financial Justification</w:t>
      </w:r>
      <w:bookmarkEnd w:id="20"/>
    </w:p>
    <w:p w14:paraId="44722F1B" w14:textId="77777777" w:rsidR="005760E6" w:rsidRPr="00C24648" w:rsidRDefault="005760E6" w:rsidP="00C24648">
      <w:pPr>
        <w:pStyle w:val="NormalWeb"/>
        <w:spacing w:before="0" w:beforeAutospacing="0" w:after="0" w:afterAutospacing="0" w:line="360" w:lineRule="auto"/>
        <w:contextualSpacing/>
        <w:jc w:val="both"/>
        <w:rPr>
          <w:rFonts w:ascii="Arial" w:hAnsi="Arial" w:cs="Arial"/>
        </w:rPr>
      </w:pPr>
      <w:r w:rsidRPr="00C24648">
        <w:rPr>
          <w:rFonts w:ascii="Arial" w:hAnsi="Arial" w:cs="Arial"/>
        </w:rPr>
        <w:t>According to the analysis, Project C is the only viable investment choice in terms of finances. It is highly superior in all the important decision criteria.</w:t>
      </w:r>
    </w:p>
    <w:p w14:paraId="6B85F799" w14:textId="77777777" w:rsidR="005760E6" w:rsidRPr="00C24648" w:rsidRDefault="005760E6" w:rsidP="00C24648">
      <w:pPr>
        <w:pStyle w:val="NormalWeb"/>
        <w:spacing w:before="0" w:beforeAutospacing="0" w:after="0" w:afterAutospacing="0" w:line="360" w:lineRule="auto"/>
        <w:contextualSpacing/>
        <w:jc w:val="both"/>
        <w:rPr>
          <w:rFonts w:ascii="Arial" w:hAnsi="Arial" w:cs="Arial"/>
        </w:rPr>
      </w:pPr>
      <w:r w:rsidRPr="00C24648">
        <w:rPr>
          <w:rFonts w:ascii="Arial" w:hAnsi="Arial" w:cs="Arial"/>
        </w:rPr>
        <w:t>Profitability and Value Creation: NPV is the most significant criteria in capital budgeting because it directly quantifies wealth creation to the shareholders. Only project C has positive NPV, which means that this project will improve the value of the firm. Projects A and B, on the other hand, create considerable amounts of value destruction and thus are not economically viable.</w:t>
      </w:r>
    </w:p>
    <w:p w14:paraId="64978ABD" w14:textId="4BCC8947" w:rsidR="005760E6" w:rsidRPr="00C24648" w:rsidRDefault="005760E6" w:rsidP="00C24648">
      <w:pPr>
        <w:pStyle w:val="NormalWeb"/>
        <w:spacing w:before="0" w:beforeAutospacing="0" w:after="0" w:afterAutospacing="0" w:line="360" w:lineRule="auto"/>
        <w:contextualSpacing/>
        <w:jc w:val="both"/>
        <w:rPr>
          <w:rFonts w:ascii="Arial" w:hAnsi="Arial" w:cs="Arial"/>
        </w:rPr>
      </w:pPr>
      <w:r w:rsidRPr="00C24648">
        <w:rPr>
          <w:rFonts w:ascii="Arial" w:hAnsi="Arial" w:cs="Arial"/>
        </w:rPr>
        <w:t>Moreover, Project C (IRR 14.3) is by far higher than the cost of capital, further supporting its capacity to offer excess returns. It is especially critical to Volkswagen where the deterioration of ROCE implies putting pressure on capital efficiency (Nurfitriani Nurfitriani and Latif, 2025).</w:t>
      </w:r>
    </w:p>
    <w:p w14:paraId="24B26401" w14:textId="77777777" w:rsidR="005760E6" w:rsidRPr="00C24648" w:rsidRDefault="005760E6" w:rsidP="00C24648">
      <w:pPr>
        <w:pStyle w:val="NormalWeb"/>
        <w:spacing w:before="0" w:beforeAutospacing="0" w:after="0" w:afterAutospacing="0" w:line="360" w:lineRule="auto"/>
        <w:contextualSpacing/>
        <w:jc w:val="both"/>
        <w:rPr>
          <w:rFonts w:ascii="Arial" w:hAnsi="Arial" w:cs="Arial"/>
        </w:rPr>
      </w:pPr>
      <w:r w:rsidRPr="00C24648">
        <w:rPr>
          <w:rFonts w:ascii="Arial" w:hAnsi="Arial" w:cs="Arial"/>
        </w:rPr>
        <w:t>Liquidity and Cash Flow: Due to the lower operating cash flow ratio and the deteriorating cash generating ability, the liquidity management is critical in Volkswagen. Project C has the lowest payback period (3.6 years), which is enough to recoup investment within the shortest time possible.</w:t>
      </w:r>
    </w:p>
    <w:p w14:paraId="7C3965FE" w14:textId="00BB4EED" w:rsidR="005760E6" w:rsidRPr="00C24648" w:rsidRDefault="005760E6" w:rsidP="00C24648">
      <w:pPr>
        <w:pStyle w:val="NormalWeb"/>
        <w:spacing w:before="0" w:beforeAutospacing="0" w:after="0" w:afterAutospacing="0" w:line="360" w:lineRule="auto"/>
        <w:contextualSpacing/>
        <w:jc w:val="both"/>
        <w:rPr>
          <w:rFonts w:ascii="Arial" w:hAnsi="Arial" w:cs="Arial"/>
        </w:rPr>
      </w:pPr>
      <w:r w:rsidRPr="00C24648">
        <w:rPr>
          <w:rFonts w:ascii="Arial" w:hAnsi="Arial" w:cs="Arial"/>
        </w:rPr>
        <w:t>Though the first inflows are less than Project A, the faster recovery of the funds enhances reinvestment capacity and the exposure to liquidity risk. This is especially applicable to a high-capital-intensive atmosphere related to EV manufacturing and battery creation (Almehairbi et al., 2025).</w:t>
      </w:r>
    </w:p>
    <w:p w14:paraId="410AAE4B" w14:textId="77777777" w:rsidR="005760E6" w:rsidRPr="00C24648" w:rsidRDefault="005760E6" w:rsidP="00C24648">
      <w:pPr>
        <w:pStyle w:val="NormalWeb"/>
        <w:spacing w:before="0" w:beforeAutospacing="0" w:after="0" w:afterAutospacing="0" w:line="360" w:lineRule="auto"/>
        <w:contextualSpacing/>
        <w:jc w:val="both"/>
        <w:rPr>
          <w:rFonts w:ascii="Arial" w:hAnsi="Arial" w:cs="Arial"/>
        </w:rPr>
      </w:pPr>
      <w:r w:rsidRPr="00C24648">
        <w:rPr>
          <w:rFonts w:ascii="Arial" w:hAnsi="Arial" w:cs="Arial"/>
        </w:rPr>
        <w:t>Asset Efficiency and Strategic Alignment: The Profitability Index of 1.11 reflects the high level of capital efficiency, which is required in the situation of the stagnant asset turnover (0.52 in several years). Project C thus aids better utilisation of capital resources.</w:t>
      </w:r>
    </w:p>
    <w:p w14:paraId="4DBC8386" w14:textId="2CCF7D51" w:rsidR="005760E6" w:rsidRPr="00C24648" w:rsidRDefault="005760E6" w:rsidP="00C24648">
      <w:pPr>
        <w:pStyle w:val="NormalWeb"/>
        <w:spacing w:before="0" w:beforeAutospacing="0" w:after="0" w:afterAutospacing="0" w:line="360" w:lineRule="auto"/>
        <w:contextualSpacing/>
        <w:jc w:val="both"/>
        <w:rPr>
          <w:rFonts w:ascii="Arial" w:hAnsi="Arial" w:cs="Arial"/>
        </w:rPr>
      </w:pPr>
      <w:r w:rsidRPr="00C24648">
        <w:rPr>
          <w:rFonts w:ascii="Arial" w:hAnsi="Arial" w:cs="Arial"/>
        </w:rPr>
        <w:t>Project C is strategically aligned with the shift of Volkswagen to mobility solutions based on innovations. The back-loaded cash flow model aligns with new technologies like EV platforms, software-defined vehicles, and battery innovation, which must be initially invested in prior to realizing solid commercial returns.</w:t>
      </w:r>
    </w:p>
    <w:p w14:paraId="540E88F7" w14:textId="77777777" w:rsidR="005760E6" w:rsidRPr="00C24648" w:rsidRDefault="005760E6" w:rsidP="00C24648">
      <w:pPr>
        <w:pStyle w:val="NormalWeb"/>
        <w:spacing w:before="0" w:beforeAutospacing="0" w:after="0" w:afterAutospacing="0" w:line="360" w:lineRule="auto"/>
        <w:contextualSpacing/>
        <w:jc w:val="both"/>
        <w:rPr>
          <w:rFonts w:ascii="Arial" w:hAnsi="Arial" w:cs="Arial"/>
        </w:rPr>
      </w:pPr>
      <w:r w:rsidRPr="00C24648">
        <w:rPr>
          <w:rFonts w:ascii="Arial" w:hAnsi="Arial" w:cs="Arial"/>
        </w:rPr>
        <w:t xml:space="preserve">Risk and Non-Financial considerations: Project C is more aligned with the regulatory and market dynamics in the automotive industry, in terms of risk. The current policies of the world, especially the EU emissions quotas and electrification requirements, are inclined </w:t>
      </w:r>
      <w:r w:rsidRPr="00C24648">
        <w:rPr>
          <w:rFonts w:ascii="Arial" w:hAnsi="Arial" w:cs="Arial"/>
        </w:rPr>
        <w:lastRenderedPageBreak/>
        <w:t>towards the investment in innovative technologies instead of the outdated automotive systems of Projects A and B.</w:t>
      </w:r>
    </w:p>
    <w:p w14:paraId="4CA94B0A" w14:textId="77777777" w:rsidR="005760E6" w:rsidRPr="00C24648" w:rsidRDefault="005760E6" w:rsidP="00C24648">
      <w:pPr>
        <w:pStyle w:val="NormalWeb"/>
        <w:spacing w:before="0" w:beforeAutospacing="0" w:after="0" w:afterAutospacing="0" w:line="360" w:lineRule="auto"/>
        <w:contextualSpacing/>
        <w:jc w:val="both"/>
        <w:rPr>
          <w:rFonts w:ascii="Arial" w:hAnsi="Arial" w:cs="Arial"/>
        </w:rPr>
      </w:pPr>
      <w:r w:rsidRPr="00C24648">
        <w:rPr>
          <w:rFonts w:ascii="Arial" w:hAnsi="Arial" w:cs="Arial"/>
        </w:rPr>
        <w:t>Project C has a lower risk of political and regulatory risk because it is oriented towards sustainability goals. Moreover, customer loyalty is becoming more and more digitally and software-driven as opposed to mechanical performance, which further enhances the strategic relevance of Project C.</w:t>
      </w:r>
    </w:p>
    <w:p w14:paraId="4BC8A9E7" w14:textId="6E6B5DCD" w:rsidR="00DF1561" w:rsidRPr="00C24648" w:rsidRDefault="005760E6" w:rsidP="00C24648">
      <w:pPr>
        <w:pStyle w:val="NormalWeb"/>
        <w:spacing w:before="0" w:beforeAutospacing="0" w:after="0" w:afterAutospacing="0" w:line="360" w:lineRule="auto"/>
        <w:contextualSpacing/>
        <w:jc w:val="both"/>
        <w:rPr>
          <w:rFonts w:ascii="Arial" w:hAnsi="Arial" w:cs="Arial"/>
        </w:rPr>
      </w:pPr>
      <w:r w:rsidRPr="00C24648">
        <w:rPr>
          <w:rFonts w:ascii="Arial" w:hAnsi="Arial" w:cs="Arial"/>
        </w:rPr>
        <w:t>It also improves operational flexibility since the high-late-stage cash flows give them the option to reinvest, grow, or diversify based on the market environment.</w:t>
      </w:r>
    </w:p>
    <w:p w14:paraId="6C2AD111" w14:textId="77777777" w:rsidR="00DF1561" w:rsidRPr="008B03BF" w:rsidRDefault="00DF1561" w:rsidP="00C24648">
      <w:pPr>
        <w:pStyle w:val="Heading2"/>
        <w:spacing w:before="0" w:line="360" w:lineRule="auto"/>
        <w:contextualSpacing/>
        <w:jc w:val="both"/>
        <w:rPr>
          <w:rFonts w:ascii="Arial" w:hAnsi="Arial" w:cs="Arial"/>
          <w:color w:val="000000" w:themeColor="text1"/>
          <w:sz w:val="24"/>
          <w:szCs w:val="24"/>
        </w:rPr>
      </w:pPr>
      <w:bookmarkStart w:id="21" w:name="_Toc227347039"/>
      <w:r w:rsidRPr="008B03BF">
        <w:rPr>
          <w:rStyle w:val="Strong"/>
          <w:rFonts w:ascii="Arial" w:hAnsi="Arial" w:cs="Arial"/>
          <w:color w:val="000000" w:themeColor="text1"/>
          <w:sz w:val="24"/>
          <w:szCs w:val="24"/>
        </w:rPr>
        <w:t>5.3 Capital Rationing Decision (£100 Million Constraint)</w:t>
      </w:r>
      <w:bookmarkEnd w:id="21"/>
    </w:p>
    <w:p w14:paraId="129384C1" w14:textId="77777777" w:rsidR="000D7818" w:rsidRPr="00C24648" w:rsidRDefault="000D7818" w:rsidP="00C24648">
      <w:pPr>
        <w:pStyle w:val="NormalWeb"/>
        <w:spacing w:before="0" w:beforeAutospacing="0" w:after="0" w:afterAutospacing="0" w:line="360" w:lineRule="auto"/>
        <w:contextualSpacing/>
        <w:jc w:val="both"/>
        <w:rPr>
          <w:rFonts w:ascii="Arial" w:hAnsi="Arial" w:cs="Arial"/>
        </w:rPr>
      </w:pPr>
      <w:r w:rsidRPr="00C24648">
        <w:rPr>
          <w:rFonts w:ascii="Arial" w:hAnsi="Arial" w:cs="Arial"/>
        </w:rPr>
        <w:t>Since the capital limit is 100 million pounds, it is aimed at maximising the total NPV with financial discipline. The evaluation of possible combinations is as follows:</w:t>
      </w:r>
    </w:p>
    <w:p w14:paraId="40589F47" w14:textId="77777777" w:rsidR="000D7818" w:rsidRPr="00C24648" w:rsidRDefault="000D7818" w:rsidP="00C24648">
      <w:pPr>
        <w:pStyle w:val="NormalWeb"/>
        <w:spacing w:before="0" w:beforeAutospacing="0" w:after="0" w:afterAutospacing="0" w:line="360" w:lineRule="auto"/>
        <w:contextualSpacing/>
        <w:jc w:val="both"/>
        <w:rPr>
          <w:rFonts w:ascii="Arial" w:hAnsi="Arial" w:cs="Arial"/>
        </w:rPr>
      </w:pPr>
      <w:r w:rsidRPr="00C24648">
        <w:rPr>
          <w:rFonts w:ascii="Arial" w:hAnsi="Arial" w:cs="Arial"/>
        </w:rPr>
        <w:t>•</w:t>
      </w:r>
      <w:r w:rsidRPr="00C24648">
        <w:rPr>
          <w:rFonts w:ascii="Arial" w:hAnsi="Arial" w:cs="Arial"/>
        </w:rPr>
        <w:tab/>
        <w:t xml:space="preserve">Project C only: +£5.48m </w:t>
      </w:r>
    </w:p>
    <w:p w14:paraId="22E3455B" w14:textId="77777777" w:rsidR="000D7818" w:rsidRPr="00C24648" w:rsidRDefault="000D7818" w:rsidP="00C24648">
      <w:pPr>
        <w:pStyle w:val="NormalWeb"/>
        <w:spacing w:before="0" w:beforeAutospacing="0" w:after="0" w:afterAutospacing="0" w:line="360" w:lineRule="auto"/>
        <w:contextualSpacing/>
        <w:jc w:val="both"/>
        <w:rPr>
          <w:rFonts w:ascii="Arial" w:hAnsi="Arial" w:cs="Arial"/>
        </w:rPr>
      </w:pPr>
      <w:r w:rsidRPr="00C24648">
        <w:rPr>
          <w:rFonts w:ascii="Arial" w:hAnsi="Arial" w:cs="Arial"/>
        </w:rPr>
        <w:t>•</w:t>
      </w:r>
      <w:r w:rsidRPr="00C24648">
        <w:rPr>
          <w:rFonts w:ascii="Arial" w:hAnsi="Arial" w:cs="Arial"/>
        </w:rPr>
        <w:tab/>
        <w:t xml:space="preserve">Project C + A: -£3.19m </w:t>
      </w:r>
    </w:p>
    <w:p w14:paraId="03E87061" w14:textId="77777777" w:rsidR="000D7818" w:rsidRPr="00C24648" w:rsidRDefault="000D7818" w:rsidP="00C24648">
      <w:pPr>
        <w:pStyle w:val="NormalWeb"/>
        <w:spacing w:before="0" w:beforeAutospacing="0" w:after="0" w:afterAutospacing="0" w:line="360" w:lineRule="auto"/>
        <w:contextualSpacing/>
        <w:jc w:val="both"/>
        <w:rPr>
          <w:rFonts w:ascii="Arial" w:hAnsi="Arial" w:cs="Arial"/>
        </w:rPr>
      </w:pPr>
      <w:r w:rsidRPr="00C24648">
        <w:rPr>
          <w:rFonts w:ascii="Arial" w:hAnsi="Arial" w:cs="Arial"/>
        </w:rPr>
        <w:t>•</w:t>
      </w:r>
      <w:r w:rsidRPr="00C24648">
        <w:rPr>
          <w:rFonts w:ascii="Arial" w:hAnsi="Arial" w:cs="Arial"/>
        </w:rPr>
        <w:tab/>
        <w:t xml:space="preserve">Project C + B: -£2.83m </w:t>
      </w:r>
    </w:p>
    <w:p w14:paraId="072BF52F" w14:textId="77777777" w:rsidR="000D7818" w:rsidRPr="00C24648" w:rsidRDefault="000D7818" w:rsidP="00C24648">
      <w:pPr>
        <w:pStyle w:val="NormalWeb"/>
        <w:spacing w:before="0" w:beforeAutospacing="0" w:after="0" w:afterAutospacing="0" w:line="360" w:lineRule="auto"/>
        <w:contextualSpacing/>
        <w:jc w:val="both"/>
        <w:rPr>
          <w:rFonts w:ascii="Arial" w:hAnsi="Arial" w:cs="Arial"/>
        </w:rPr>
      </w:pPr>
      <w:r w:rsidRPr="00C24648">
        <w:rPr>
          <w:rFonts w:ascii="Arial" w:hAnsi="Arial" w:cs="Arial"/>
        </w:rPr>
        <w:t>It is only Project C that creates positive value by investing in it. Both alternative combinations decrease the value of the firm because the negative NPVs of Projects A and B decrease the overall firm value.</w:t>
      </w:r>
    </w:p>
    <w:p w14:paraId="3C69CB8A" w14:textId="77777777" w:rsidR="000D7818" w:rsidRPr="00C24648" w:rsidRDefault="000D7818" w:rsidP="00C24648">
      <w:pPr>
        <w:pStyle w:val="NormalWeb"/>
        <w:spacing w:before="0" w:beforeAutospacing="0" w:after="0" w:afterAutospacing="0" w:line="360" w:lineRule="auto"/>
        <w:contextualSpacing/>
        <w:jc w:val="both"/>
        <w:rPr>
          <w:rFonts w:ascii="Arial" w:hAnsi="Arial" w:cs="Arial"/>
        </w:rPr>
      </w:pPr>
      <w:r w:rsidRPr="00C24648">
        <w:rPr>
          <w:rFonts w:ascii="Arial" w:hAnsi="Arial" w:cs="Arial"/>
        </w:rPr>
        <w:t>Thus, the best capital allocation plan is to only invest in Project C and abandon Projects A and B despite having surplus capital.</w:t>
      </w:r>
    </w:p>
    <w:p w14:paraId="41B24134" w14:textId="77777777" w:rsidR="000D7818" w:rsidRPr="00C24648" w:rsidRDefault="000D7818" w:rsidP="00C24648">
      <w:pPr>
        <w:pStyle w:val="NormalWeb"/>
        <w:spacing w:before="0" w:beforeAutospacing="0" w:after="0" w:afterAutospacing="0" w:line="360" w:lineRule="auto"/>
        <w:contextualSpacing/>
        <w:jc w:val="both"/>
        <w:rPr>
          <w:rFonts w:ascii="Arial" w:hAnsi="Arial" w:cs="Arial"/>
        </w:rPr>
      </w:pPr>
      <w:r w:rsidRPr="00C24648">
        <w:rPr>
          <w:rFonts w:ascii="Arial" w:hAnsi="Arial" w:cs="Arial"/>
        </w:rPr>
        <w:t>In terms of corporate finance, this decision can be attributed to the principle of maximisation of value as opposed to utilisation of resources. Capital that is not utilized should not be placed in negative-NPV projects but rather held in reserve to be utilized later in positive-NPV projects, in reducing debt or in strengthening the working capital.</w:t>
      </w:r>
    </w:p>
    <w:p w14:paraId="74C4E673" w14:textId="1A2C4772" w:rsidR="00DF1561" w:rsidRPr="00C24648" w:rsidRDefault="000D7818" w:rsidP="00C24648">
      <w:pPr>
        <w:pStyle w:val="NormalWeb"/>
        <w:spacing w:before="0" w:beforeAutospacing="0" w:after="0" w:afterAutospacing="0" w:line="360" w:lineRule="auto"/>
        <w:contextualSpacing/>
        <w:jc w:val="both"/>
        <w:rPr>
          <w:rFonts w:ascii="Arial" w:hAnsi="Arial" w:cs="Arial"/>
        </w:rPr>
      </w:pPr>
      <w:r w:rsidRPr="00C24648">
        <w:rPr>
          <w:rFonts w:ascii="Arial" w:hAnsi="Arial" w:cs="Arial"/>
        </w:rPr>
        <w:t>This is especially applicable in the case of Volkswagen, whose interest coverage has been decreasing, and the liquidity pressures are mounting. Keeping financial flexibility thus is a strategic better choice than complete capital deployment (Khan, 2024).</w:t>
      </w:r>
    </w:p>
    <w:p w14:paraId="40C9CE07" w14:textId="77777777" w:rsidR="00DF1561" w:rsidRPr="008B03BF" w:rsidRDefault="00DF1561" w:rsidP="00C24648">
      <w:pPr>
        <w:pStyle w:val="Heading2"/>
        <w:spacing w:before="0" w:line="360" w:lineRule="auto"/>
        <w:contextualSpacing/>
        <w:jc w:val="both"/>
        <w:rPr>
          <w:rStyle w:val="Strong"/>
          <w:rFonts w:ascii="Arial" w:hAnsi="Arial" w:cs="Arial"/>
          <w:color w:val="000000" w:themeColor="text1"/>
          <w:sz w:val="24"/>
          <w:szCs w:val="24"/>
        </w:rPr>
      </w:pPr>
      <w:bookmarkStart w:id="22" w:name="_Toc227347040"/>
      <w:r w:rsidRPr="008B03BF">
        <w:rPr>
          <w:rStyle w:val="Strong"/>
          <w:rFonts w:ascii="Arial" w:hAnsi="Arial" w:cs="Arial"/>
          <w:color w:val="000000" w:themeColor="text1"/>
          <w:sz w:val="24"/>
          <w:szCs w:val="24"/>
        </w:rPr>
        <w:t>5.4 Strategic Implications</w:t>
      </w:r>
      <w:bookmarkEnd w:id="22"/>
    </w:p>
    <w:p w14:paraId="06D0D574" w14:textId="77777777" w:rsidR="00115D80" w:rsidRPr="00C24648" w:rsidRDefault="00115D80" w:rsidP="00C24648">
      <w:pPr>
        <w:spacing w:after="0" w:line="360" w:lineRule="auto"/>
        <w:contextualSpacing/>
        <w:jc w:val="both"/>
        <w:rPr>
          <w:rFonts w:ascii="Arial" w:hAnsi="Arial" w:cs="Arial"/>
          <w:sz w:val="24"/>
          <w:szCs w:val="24"/>
        </w:rPr>
      </w:pPr>
      <w:r w:rsidRPr="00C24648">
        <w:rPr>
          <w:rFonts w:ascii="Arial" w:hAnsi="Arial" w:cs="Arial"/>
          <w:sz w:val="24"/>
          <w:szCs w:val="24"/>
        </w:rPr>
        <w:t>The capital budgeting analysis brings to light a larger strategic insight. Volkswagen is in a transitional environment, where discipline of investment is more critical than the size of investment. Not all projects with high revenues qualify as high; the ones that add to long-term shareholder value are those that are above the cost of capital.</w:t>
      </w:r>
    </w:p>
    <w:p w14:paraId="60510715" w14:textId="2DF8CA75" w:rsidR="00115D80" w:rsidRPr="00C24648" w:rsidRDefault="00115D80" w:rsidP="00C24648">
      <w:pPr>
        <w:spacing w:after="0" w:line="360" w:lineRule="auto"/>
        <w:contextualSpacing/>
        <w:jc w:val="both"/>
        <w:rPr>
          <w:rFonts w:ascii="Arial" w:hAnsi="Arial" w:cs="Arial"/>
          <w:sz w:val="24"/>
          <w:szCs w:val="24"/>
        </w:rPr>
      </w:pPr>
      <w:r w:rsidRPr="00C24648">
        <w:rPr>
          <w:rFonts w:ascii="Arial" w:hAnsi="Arial" w:cs="Arial"/>
          <w:sz w:val="24"/>
          <w:szCs w:val="24"/>
        </w:rPr>
        <w:lastRenderedPageBreak/>
        <w:t>Project C does not only offer better financial returns but also fits the transformation in the industry, regulatory trends and evolution of consumer demand. Consequently, it is an investment decision that is financially optimal as well as strategically appropriate.</w:t>
      </w:r>
    </w:p>
    <w:p w14:paraId="1F89A658" w14:textId="77777777" w:rsidR="00115D80" w:rsidRPr="00C24648" w:rsidRDefault="00115D80" w:rsidP="00C24648">
      <w:pPr>
        <w:spacing w:after="0" w:line="360" w:lineRule="auto"/>
        <w:contextualSpacing/>
        <w:jc w:val="both"/>
        <w:rPr>
          <w:rFonts w:ascii="Arial" w:hAnsi="Arial" w:cs="Arial"/>
          <w:sz w:val="24"/>
          <w:szCs w:val="24"/>
        </w:rPr>
      </w:pPr>
      <w:r w:rsidRPr="00C24648">
        <w:rPr>
          <w:rFonts w:ascii="Arial" w:hAnsi="Arial" w:cs="Arial"/>
          <w:sz w:val="24"/>
          <w:szCs w:val="24"/>
        </w:rPr>
        <w:t>To sum it up, thorough analysis with PBP, ARR, NPV, PI, and IRR in mind would prove that the only possible investment project that Volkswagen Group can undertake is Project C. It provides better value creation, reasonable risk exposure, and high conformity with the long-term strategic shift of the firm towards electrification.</w:t>
      </w:r>
    </w:p>
    <w:p w14:paraId="61546616" w14:textId="7EBF3F27" w:rsidR="00115D80" w:rsidRPr="00C24648" w:rsidRDefault="00115D80" w:rsidP="00C24648">
      <w:pPr>
        <w:spacing w:after="0" w:line="360" w:lineRule="auto"/>
        <w:contextualSpacing/>
        <w:jc w:val="both"/>
        <w:rPr>
          <w:rFonts w:ascii="Arial" w:hAnsi="Arial" w:cs="Arial"/>
          <w:sz w:val="24"/>
          <w:szCs w:val="24"/>
        </w:rPr>
      </w:pPr>
      <w:r w:rsidRPr="00C24648">
        <w:rPr>
          <w:rFonts w:ascii="Arial" w:hAnsi="Arial" w:cs="Arial"/>
          <w:sz w:val="24"/>
          <w:szCs w:val="24"/>
        </w:rPr>
        <w:t>When capital rationing is in place, rational financial decision making would have to discard all negative-NPV projects and save capital to be used to invest in high-paying projects in the future. Thus, the best capital budgeting choice is to spend the finances on Project C in the amount of £50 million, which will have guaranteed financial discipline and strategic alignment in the highly competitive automotive sector (Liu, 2024).</w:t>
      </w:r>
    </w:p>
    <w:p w14:paraId="1C4ED1F1" w14:textId="64DA7EB9" w:rsidR="00DF1561" w:rsidRPr="00C24648" w:rsidRDefault="00DF1561" w:rsidP="00C24648">
      <w:pPr>
        <w:pStyle w:val="Heading1"/>
        <w:spacing w:before="0" w:beforeAutospacing="0" w:after="0" w:afterAutospacing="0" w:line="360" w:lineRule="auto"/>
        <w:contextualSpacing/>
        <w:jc w:val="both"/>
        <w:rPr>
          <w:rFonts w:ascii="Arial" w:hAnsi="Arial" w:cs="Arial"/>
          <w:sz w:val="24"/>
          <w:szCs w:val="24"/>
        </w:rPr>
      </w:pPr>
      <w:bookmarkStart w:id="23" w:name="_Toc227347041"/>
      <w:r w:rsidRPr="00C24648">
        <w:rPr>
          <w:rFonts w:ascii="Arial" w:hAnsi="Arial" w:cs="Arial"/>
          <w:sz w:val="24"/>
          <w:szCs w:val="24"/>
        </w:rPr>
        <w:t>Conclusion</w:t>
      </w:r>
      <w:bookmarkEnd w:id="23"/>
    </w:p>
    <w:p w14:paraId="49D0E92F" w14:textId="7B34689A" w:rsidR="00115D80" w:rsidRDefault="00115D80" w:rsidP="00C24648">
      <w:pPr>
        <w:spacing w:after="0" w:line="360" w:lineRule="auto"/>
        <w:contextualSpacing/>
        <w:jc w:val="both"/>
        <w:rPr>
          <w:rFonts w:ascii="Arial" w:hAnsi="Arial" w:cs="Arial"/>
          <w:sz w:val="24"/>
          <w:szCs w:val="24"/>
        </w:rPr>
      </w:pPr>
      <w:r w:rsidRPr="00C24648">
        <w:rPr>
          <w:rFonts w:ascii="Arial" w:hAnsi="Arial" w:cs="Arial"/>
          <w:sz w:val="24"/>
          <w:szCs w:val="24"/>
        </w:rPr>
        <w:t>The 2021-2025 financial analysis of the Volkswagen Group suggests a weakened profitability, liquidity buffer diminishing, and decreased cash-generating capacity, which was mainly influenced by the pressure of restructuring and shifts towards electric mobility. Although efficiency ratios do not vary significantly, profitability and cash flow indicators depict a steady downward trend, indicating the increase in operational and financial risk. The level of gearing is elevated but generally stable, indicating that it is still financed by debt. Nonetheless, the investment appraisal indicates that the only way in which value can be created is by being disciplined in capital allocation to high-IRR projects. Altogether, the financial status of Volkswagen is robust yet more and more limited, and the company should be restructured strategically to support the long-term shareholder value.</w:t>
      </w:r>
    </w:p>
    <w:p w14:paraId="35DC03B1" w14:textId="77777777" w:rsidR="005272C9" w:rsidRDefault="005272C9" w:rsidP="00C24648">
      <w:pPr>
        <w:spacing w:after="0" w:line="360" w:lineRule="auto"/>
        <w:contextualSpacing/>
        <w:jc w:val="both"/>
        <w:rPr>
          <w:rFonts w:ascii="Arial" w:hAnsi="Arial" w:cs="Arial"/>
          <w:sz w:val="24"/>
          <w:szCs w:val="24"/>
        </w:rPr>
      </w:pPr>
    </w:p>
    <w:p w14:paraId="432B6D8E" w14:textId="77777777" w:rsidR="005272C9" w:rsidRDefault="005272C9" w:rsidP="00C24648">
      <w:pPr>
        <w:spacing w:after="0" w:line="360" w:lineRule="auto"/>
        <w:contextualSpacing/>
        <w:jc w:val="both"/>
        <w:rPr>
          <w:rFonts w:ascii="Arial" w:hAnsi="Arial" w:cs="Arial"/>
          <w:sz w:val="24"/>
          <w:szCs w:val="24"/>
        </w:rPr>
      </w:pPr>
    </w:p>
    <w:p w14:paraId="2DEF6052" w14:textId="77777777" w:rsidR="005272C9" w:rsidRDefault="005272C9" w:rsidP="00C24648">
      <w:pPr>
        <w:spacing w:after="0" w:line="360" w:lineRule="auto"/>
        <w:contextualSpacing/>
        <w:jc w:val="both"/>
        <w:rPr>
          <w:rFonts w:ascii="Arial" w:hAnsi="Arial" w:cs="Arial"/>
          <w:sz w:val="24"/>
          <w:szCs w:val="24"/>
        </w:rPr>
      </w:pPr>
    </w:p>
    <w:p w14:paraId="1214783B" w14:textId="77777777" w:rsidR="005272C9" w:rsidRDefault="005272C9" w:rsidP="00C24648">
      <w:pPr>
        <w:spacing w:after="0" w:line="360" w:lineRule="auto"/>
        <w:contextualSpacing/>
        <w:jc w:val="both"/>
        <w:rPr>
          <w:rFonts w:ascii="Arial" w:hAnsi="Arial" w:cs="Arial"/>
          <w:sz w:val="24"/>
          <w:szCs w:val="24"/>
        </w:rPr>
      </w:pPr>
    </w:p>
    <w:p w14:paraId="7E8E577A" w14:textId="77777777" w:rsidR="005272C9" w:rsidRDefault="005272C9" w:rsidP="00C24648">
      <w:pPr>
        <w:spacing w:after="0" w:line="360" w:lineRule="auto"/>
        <w:contextualSpacing/>
        <w:jc w:val="both"/>
        <w:rPr>
          <w:rFonts w:ascii="Arial" w:hAnsi="Arial" w:cs="Arial"/>
          <w:sz w:val="24"/>
          <w:szCs w:val="24"/>
        </w:rPr>
      </w:pPr>
    </w:p>
    <w:p w14:paraId="53D96C3A" w14:textId="77777777" w:rsidR="005272C9" w:rsidRDefault="005272C9" w:rsidP="00C24648">
      <w:pPr>
        <w:spacing w:after="0" w:line="360" w:lineRule="auto"/>
        <w:contextualSpacing/>
        <w:jc w:val="both"/>
        <w:rPr>
          <w:rFonts w:ascii="Arial" w:hAnsi="Arial" w:cs="Arial"/>
          <w:sz w:val="24"/>
          <w:szCs w:val="24"/>
        </w:rPr>
      </w:pPr>
    </w:p>
    <w:p w14:paraId="603F1383" w14:textId="77777777" w:rsidR="005272C9" w:rsidRDefault="005272C9" w:rsidP="00C24648">
      <w:pPr>
        <w:spacing w:after="0" w:line="360" w:lineRule="auto"/>
        <w:contextualSpacing/>
        <w:jc w:val="both"/>
        <w:rPr>
          <w:rFonts w:ascii="Arial" w:hAnsi="Arial" w:cs="Arial"/>
          <w:sz w:val="24"/>
          <w:szCs w:val="24"/>
        </w:rPr>
      </w:pPr>
    </w:p>
    <w:p w14:paraId="18B12FD0" w14:textId="77777777" w:rsidR="005272C9" w:rsidRPr="00C24648" w:rsidRDefault="005272C9" w:rsidP="00C24648">
      <w:pPr>
        <w:spacing w:after="0" w:line="360" w:lineRule="auto"/>
        <w:contextualSpacing/>
        <w:jc w:val="both"/>
        <w:rPr>
          <w:rFonts w:ascii="Arial" w:hAnsi="Arial" w:cs="Arial"/>
          <w:sz w:val="24"/>
          <w:szCs w:val="24"/>
        </w:rPr>
      </w:pPr>
    </w:p>
    <w:p w14:paraId="4FA04095" w14:textId="1466F6B7" w:rsidR="00DF1561" w:rsidRDefault="00DF1561" w:rsidP="00C24648">
      <w:pPr>
        <w:pStyle w:val="Heading1"/>
        <w:spacing w:before="0" w:beforeAutospacing="0" w:after="0" w:afterAutospacing="0" w:line="360" w:lineRule="auto"/>
        <w:contextualSpacing/>
        <w:jc w:val="both"/>
        <w:rPr>
          <w:rFonts w:ascii="Arial" w:hAnsi="Arial" w:cs="Arial"/>
          <w:sz w:val="24"/>
          <w:szCs w:val="24"/>
        </w:rPr>
      </w:pPr>
      <w:bookmarkStart w:id="24" w:name="_Toc227347042"/>
      <w:r w:rsidRPr="00C24648">
        <w:rPr>
          <w:rFonts w:ascii="Arial" w:hAnsi="Arial" w:cs="Arial"/>
          <w:sz w:val="24"/>
          <w:szCs w:val="24"/>
        </w:rPr>
        <w:lastRenderedPageBreak/>
        <w:t>References</w:t>
      </w:r>
      <w:bookmarkEnd w:id="24"/>
    </w:p>
    <w:p w14:paraId="1622BC17" w14:textId="77777777" w:rsidR="00936EBA" w:rsidRPr="00936EBA" w:rsidRDefault="00936EBA" w:rsidP="00936EBA">
      <w:pPr>
        <w:pStyle w:val="NormalWeb"/>
        <w:spacing w:before="0" w:beforeAutospacing="0" w:after="240" w:afterAutospacing="0" w:line="360" w:lineRule="auto"/>
        <w:jc w:val="both"/>
        <w:rPr>
          <w:rFonts w:ascii="Arial" w:hAnsi="Arial" w:cs="Arial"/>
        </w:rPr>
      </w:pPr>
      <w:r w:rsidRPr="00936EBA">
        <w:rPr>
          <w:rFonts w:ascii="Arial" w:hAnsi="Arial" w:cs="Arial"/>
        </w:rPr>
        <w:t xml:space="preserve">Abdeljawad, I. and Jaradat, M.N. (2025). Revisiting the pecking order theory: insights from an emerging market economy. </w:t>
      </w:r>
      <w:r w:rsidRPr="00936EBA">
        <w:rPr>
          <w:rFonts w:ascii="Arial" w:hAnsi="Arial" w:cs="Arial"/>
          <w:i/>
          <w:iCs/>
        </w:rPr>
        <w:t>International Review of Economics</w:t>
      </w:r>
      <w:r w:rsidRPr="00936EBA">
        <w:rPr>
          <w:rFonts w:ascii="Arial" w:hAnsi="Arial" w:cs="Arial"/>
        </w:rPr>
        <w:t>, 72(2). doi:https://doi.org/10.1007/s12232-025-00509-7.</w:t>
      </w:r>
    </w:p>
    <w:p w14:paraId="4D966FBC" w14:textId="77777777" w:rsidR="00936EBA" w:rsidRPr="00936EBA" w:rsidRDefault="00936EBA" w:rsidP="00936EBA">
      <w:pPr>
        <w:pStyle w:val="NormalWeb"/>
        <w:spacing w:before="0" w:beforeAutospacing="0" w:after="240" w:afterAutospacing="0" w:line="360" w:lineRule="auto"/>
        <w:jc w:val="both"/>
        <w:rPr>
          <w:rFonts w:ascii="Arial" w:hAnsi="Arial" w:cs="Arial"/>
        </w:rPr>
      </w:pPr>
      <w:r w:rsidRPr="00936EBA">
        <w:rPr>
          <w:rFonts w:ascii="Arial" w:hAnsi="Arial" w:cs="Arial"/>
        </w:rPr>
        <w:t xml:space="preserve">Abor, J.Y. (2025). </w:t>
      </w:r>
      <w:r w:rsidRPr="00936EBA">
        <w:rPr>
          <w:rFonts w:ascii="Arial" w:hAnsi="Arial" w:cs="Arial"/>
          <w:i/>
          <w:iCs/>
        </w:rPr>
        <w:t>The Elgar Companion to Financial Economics</w:t>
      </w:r>
      <w:r w:rsidRPr="00936EBA">
        <w:rPr>
          <w:rFonts w:ascii="Arial" w:hAnsi="Arial" w:cs="Arial"/>
        </w:rPr>
        <w:t>. Edward Elgar Publishing.</w:t>
      </w:r>
    </w:p>
    <w:p w14:paraId="1F494DAD" w14:textId="77777777" w:rsidR="00936EBA" w:rsidRPr="00936EBA" w:rsidRDefault="00936EBA" w:rsidP="00936EBA">
      <w:pPr>
        <w:pStyle w:val="NormalWeb"/>
        <w:spacing w:before="0" w:beforeAutospacing="0" w:after="240" w:afterAutospacing="0" w:line="360" w:lineRule="auto"/>
        <w:jc w:val="both"/>
        <w:rPr>
          <w:rFonts w:ascii="Arial" w:hAnsi="Arial" w:cs="Arial"/>
        </w:rPr>
      </w:pPr>
      <w:r w:rsidRPr="00936EBA">
        <w:rPr>
          <w:rFonts w:ascii="Arial" w:hAnsi="Arial" w:cs="Arial"/>
        </w:rPr>
        <w:t xml:space="preserve">Almehairbi, K., Al Suwaidi, O., Alfalahi, M., Ali, M. and Nobanee, H. (2025). Tesla Vs Volkswagen Group: A Financial Statement Analysis. </w:t>
      </w:r>
      <w:r w:rsidRPr="00936EBA">
        <w:rPr>
          <w:rFonts w:ascii="Arial" w:hAnsi="Arial" w:cs="Arial"/>
          <w:i/>
          <w:iCs/>
        </w:rPr>
        <w:t>SSRN Electronic Journal</w:t>
      </w:r>
      <w:r w:rsidRPr="00936EBA">
        <w:rPr>
          <w:rFonts w:ascii="Arial" w:hAnsi="Arial" w:cs="Arial"/>
        </w:rPr>
        <w:t>, 45(6). doi:https://doi.org/10.2139/ssrn.5073919.</w:t>
      </w:r>
    </w:p>
    <w:p w14:paraId="5A35992C" w14:textId="77777777" w:rsidR="00936EBA" w:rsidRPr="00936EBA" w:rsidRDefault="00936EBA" w:rsidP="00936EBA">
      <w:pPr>
        <w:pStyle w:val="NormalWeb"/>
        <w:spacing w:before="0" w:beforeAutospacing="0" w:after="240" w:afterAutospacing="0" w:line="360" w:lineRule="auto"/>
        <w:jc w:val="both"/>
        <w:rPr>
          <w:rFonts w:ascii="Arial" w:hAnsi="Arial" w:cs="Arial"/>
        </w:rPr>
      </w:pPr>
      <w:r w:rsidRPr="00936EBA">
        <w:rPr>
          <w:rFonts w:ascii="Arial" w:hAnsi="Arial" w:cs="Arial"/>
        </w:rPr>
        <w:t xml:space="preserve">Asman, F.N., Fernandez, D., Jamaludin, N.A., Omar Zaki, H. and Ghazali, A.W. (2022). Cash Conversion Cycle and Firm’s Performance. </w:t>
      </w:r>
      <w:r w:rsidRPr="00936EBA">
        <w:rPr>
          <w:rFonts w:ascii="Arial" w:hAnsi="Arial" w:cs="Arial"/>
          <w:i/>
          <w:iCs/>
        </w:rPr>
        <w:t>International Journal of Academic Research in Business and Social Sciences</w:t>
      </w:r>
      <w:r w:rsidRPr="00936EBA">
        <w:rPr>
          <w:rFonts w:ascii="Arial" w:hAnsi="Arial" w:cs="Arial"/>
        </w:rPr>
        <w:t>, 12(11). doi:https://doi.org/10.6007/ijarbss/v12-i11/15276.</w:t>
      </w:r>
    </w:p>
    <w:p w14:paraId="55421715" w14:textId="77777777" w:rsidR="00936EBA" w:rsidRPr="00936EBA" w:rsidRDefault="00936EBA" w:rsidP="00936EBA">
      <w:pPr>
        <w:pStyle w:val="NormalWeb"/>
        <w:spacing w:before="0" w:beforeAutospacing="0" w:after="240" w:afterAutospacing="0" w:line="360" w:lineRule="auto"/>
        <w:jc w:val="both"/>
        <w:rPr>
          <w:rFonts w:ascii="Arial" w:hAnsi="Arial" w:cs="Arial"/>
        </w:rPr>
      </w:pPr>
      <w:r w:rsidRPr="00936EBA">
        <w:rPr>
          <w:rFonts w:ascii="Arial" w:hAnsi="Arial" w:cs="Arial"/>
        </w:rPr>
        <w:t xml:space="preserve">Bhagyalakshmi , B. (2025). </w:t>
      </w:r>
      <w:r w:rsidRPr="00936EBA">
        <w:rPr>
          <w:rFonts w:ascii="Arial" w:hAnsi="Arial" w:cs="Arial"/>
          <w:i/>
          <w:iCs/>
        </w:rPr>
        <w:t>Financial Management</w:t>
      </w:r>
      <w:r w:rsidRPr="00936EBA">
        <w:rPr>
          <w:rFonts w:ascii="Arial" w:hAnsi="Arial" w:cs="Arial"/>
        </w:rPr>
        <w:t>. [online] Google Books. Available at: https://books.google.com/books?hl=en&amp;lr=&amp;id=_WChEQAAQBAJ&amp;oi=fnd&amp;pg=PA1&amp;dq=Brealey.</w:t>
      </w:r>
    </w:p>
    <w:p w14:paraId="637C6242" w14:textId="77777777" w:rsidR="00936EBA" w:rsidRPr="00936EBA" w:rsidRDefault="00936EBA" w:rsidP="00936EBA">
      <w:pPr>
        <w:pStyle w:val="NormalWeb"/>
        <w:spacing w:before="0" w:beforeAutospacing="0" w:after="240" w:afterAutospacing="0" w:line="360" w:lineRule="auto"/>
        <w:jc w:val="both"/>
        <w:rPr>
          <w:rFonts w:ascii="Arial" w:hAnsi="Arial" w:cs="Arial"/>
        </w:rPr>
      </w:pPr>
      <w:r w:rsidRPr="00936EBA">
        <w:rPr>
          <w:rFonts w:ascii="Arial" w:hAnsi="Arial" w:cs="Arial"/>
        </w:rPr>
        <w:t xml:space="preserve">Birch, K., Scott, S., Wellen, R. and Laurin-Lamothe, A. (2023). </w:t>
      </w:r>
      <w:r w:rsidRPr="00936EBA">
        <w:rPr>
          <w:rFonts w:ascii="Arial" w:hAnsi="Arial" w:cs="Arial"/>
          <w:i/>
          <w:iCs/>
        </w:rPr>
        <w:t>Business and Society</w:t>
      </w:r>
      <w:r w:rsidRPr="00936EBA">
        <w:rPr>
          <w:rFonts w:ascii="Arial" w:hAnsi="Arial" w:cs="Arial"/>
        </w:rPr>
        <w:t>. Bloomsbury.</w:t>
      </w:r>
    </w:p>
    <w:p w14:paraId="35D271D1" w14:textId="77777777" w:rsidR="00936EBA" w:rsidRPr="00936EBA" w:rsidRDefault="00936EBA" w:rsidP="00936EBA">
      <w:pPr>
        <w:pStyle w:val="NormalWeb"/>
        <w:spacing w:before="0" w:beforeAutospacing="0" w:after="240" w:afterAutospacing="0" w:line="360" w:lineRule="auto"/>
        <w:jc w:val="both"/>
        <w:rPr>
          <w:rFonts w:ascii="Arial" w:hAnsi="Arial" w:cs="Arial"/>
        </w:rPr>
      </w:pPr>
      <w:r w:rsidRPr="00936EBA">
        <w:rPr>
          <w:rFonts w:ascii="Arial" w:hAnsi="Arial" w:cs="Arial"/>
        </w:rPr>
        <w:t xml:space="preserve">Braun, C. and Van Erp, J. (2021). International regime complexes and corporate crime: a research agenda based on the Volkswagen diesel fraud case. </w:t>
      </w:r>
      <w:r w:rsidRPr="00936EBA">
        <w:rPr>
          <w:rFonts w:ascii="Arial" w:hAnsi="Arial" w:cs="Arial"/>
          <w:i/>
          <w:iCs/>
        </w:rPr>
        <w:t>Crime, Law and Social Change</w:t>
      </w:r>
      <w:r w:rsidRPr="00936EBA">
        <w:rPr>
          <w:rFonts w:ascii="Arial" w:hAnsi="Arial" w:cs="Arial"/>
        </w:rPr>
        <w:t>, 77(2). doi:https://doi.org/10.1007/s10611-021-09980-z.</w:t>
      </w:r>
    </w:p>
    <w:p w14:paraId="656531B8" w14:textId="77777777" w:rsidR="00936EBA" w:rsidRPr="00936EBA" w:rsidRDefault="00936EBA" w:rsidP="00936EBA">
      <w:pPr>
        <w:pStyle w:val="NormalWeb"/>
        <w:spacing w:before="0" w:beforeAutospacing="0" w:after="240" w:afterAutospacing="0" w:line="360" w:lineRule="auto"/>
        <w:jc w:val="both"/>
        <w:rPr>
          <w:rFonts w:ascii="Arial" w:hAnsi="Arial" w:cs="Arial"/>
        </w:rPr>
      </w:pPr>
      <w:r w:rsidRPr="00936EBA">
        <w:rPr>
          <w:rFonts w:ascii="Arial" w:hAnsi="Arial" w:cs="Arial"/>
        </w:rPr>
        <w:t xml:space="preserve">Cui, X. and Chen, J. (2025). Green Bonds in the Automotive Sector: A Performance Analysis of Tesla, Volkswagen and General Motors. </w:t>
      </w:r>
      <w:r w:rsidRPr="00936EBA">
        <w:rPr>
          <w:rFonts w:ascii="Arial" w:hAnsi="Arial" w:cs="Arial"/>
          <w:i/>
          <w:iCs/>
        </w:rPr>
        <w:t>Sustainable Development Economics</w:t>
      </w:r>
      <w:r w:rsidRPr="00936EBA">
        <w:rPr>
          <w:rFonts w:ascii="Arial" w:hAnsi="Arial" w:cs="Arial"/>
        </w:rPr>
        <w:t>, [online] 1(1), pp.44–51. doi:https://doi.org/10.64229/veggc814.</w:t>
      </w:r>
    </w:p>
    <w:p w14:paraId="76315507" w14:textId="77777777" w:rsidR="00936EBA" w:rsidRPr="00936EBA" w:rsidRDefault="00936EBA" w:rsidP="00936EBA">
      <w:pPr>
        <w:pStyle w:val="NormalWeb"/>
        <w:spacing w:before="0" w:beforeAutospacing="0" w:after="240" w:afterAutospacing="0" w:line="360" w:lineRule="auto"/>
        <w:jc w:val="both"/>
        <w:rPr>
          <w:rFonts w:ascii="Arial" w:hAnsi="Arial" w:cs="Arial"/>
        </w:rPr>
      </w:pPr>
      <w:r w:rsidRPr="00936EBA">
        <w:rPr>
          <w:rFonts w:ascii="Arial" w:hAnsi="Arial" w:cs="Arial"/>
        </w:rPr>
        <w:lastRenderedPageBreak/>
        <w:t>Edmans, A., Fang, V.W. and Huang, A.H. (2021). The long</w:t>
      </w:r>
      <w:r w:rsidRPr="00936EBA">
        <w:rPr>
          <w:rFonts w:ascii="Cambria Math" w:hAnsi="Cambria Math" w:cs="Cambria Math"/>
        </w:rPr>
        <w:t>‐</w:t>
      </w:r>
      <w:r w:rsidRPr="00936EBA">
        <w:rPr>
          <w:rFonts w:ascii="Arial" w:hAnsi="Arial" w:cs="Arial"/>
        </w:rPr>
        <w:t>term consequences of short</w:t>
      </w:r>
      <w:r w:rsidRPr="00936EBA">
        <w:rPr>
          <w:rFonts w:ascii="Cambria Math" w:hAnsi="Cambria Math" w:cs="Cambria Math"/>
        </w:rPr>
        <w:t>‐</w:t>
      </w:r>
      <w:r w:rsidRPr="00936EBA">
        <w:rPr>
          <w:rFonts w:ascii="Arial" w:hAnsi="Arial" w:cs="Arial"/>
        </w:rPr>
        <w:t xml:space="preserve">term incentives. </w:t>
      </w:r>
      <w:r w:rsidRPr="00936EBA">
        <w:rPr>
          <w:rFonts w:ascii="Arial" w:hAnsi="Arial" w:cs="Arial"/>
          <w:i/>
          <w:iCs/>
        </w:rPr>
        <w:t>Journal of Accounting Research</w:t>
      </w:r>
      <w:r w:rsidRPr="00936EBA">
        <w:rPr>
          <w:rFonts w:ascii="Arial" w:hAnsi="Arial" w:cs="Arial"/>
        </w:rPr>
        <w:t>, 60(3), pp.1007–1046. doi:https://doi.org/10.1111/1475-679x.12410.</w:t>
      </w:r>
    </w:p>
    <w:p w14:paraId="5D97F10A" w14:textId="77777777" w:rsidR="00936EBA" w:rsidRPr="00936EBA" w:rsidRDefault="00936EBA" w:rsidP="00936EBA">
      <w:pPr>
        <w:pStyle w:val="NormalWeb"/>
        <w:spacing w:before="0" w:beforeAutospacing="0" w:after="240" w:afterAutospacing="0" w:line="360" w:lineRule="auto"/>
        <w:jc w:val="both"/>
        <w:rPr>
          <w:rFonts w:ascii="Arial" w:hAnsi="Arial" w:cs="Arial"/>
        </w:rPr>
      </w:pPr>
      <w:r w:rsidRPr="00936EBA">
        <w:rPr>
          <w:rFonts w:ascii="Arial" w:hAnsi="Arial" w:cs="Arial"/>
        </w:rPr>
        <w:t xml:space="preserve">Habib, A.M., Yang, G. and Cui, Y. (2024). Do competitive strategies affect working capital management efficiency? </w:t>
      </w:r>
      <w:r w:rsidRPr="00936EBA">
        <w:rPr>
          <w:rFonts w:ascii="Arial" w:hAnsi="Arial" w:cs="Arial"/>
          <w:i/>
          <w:iCs/>
        </w:rPr>
        <w:t>Business Process Management Journal</w:t>
      </w:r>
      <w:r w:rsidRPr="00936EBA">
        <w:rPr>
          <w:rFonts w:ascii="Arial" w:hAnsi="Arial" w:cs="Arial"/>
        </w:rPr>
        <w:t>, 87(9). doi:https://doi.org/10.1108/bpmj-12-2023-0953.</w:t>
      </w:r>
    </w:p>
    <w:p w14:paraId="29070472" w14:textId="77777777" w:rsidR="00936EBA" w:rsidRPr="00936EBA" w:rsidRDefault="00936EBA" w:rsidP="00936EBA">
      <w:pPr>
        <w:pStyle w:val="NormalWeb"/>
        <w:spacing w:before="0" w:beforeAutospacing="0" w:after="240" w:afterAutospacing="0" w:line="360" w:lineRule="auto"/>
        <w:jc w:val="both"/>
        <w:rPr>
          <w:rFonts w:ascii="Arial" w:hAnsi="Arial" w:cs="Arial"/>
        </w:rPr>
      </w:pPr>
      <w:r w:rsidRPr="00936EBA">
        <w:rPr>
          <w:rFonts w:ascii="Arial" w:hAnsi="Arial" w:cs="Arial"/>
        </w:rPr>
        <w:t xml:space="preserve">Jerab, D.A. and Mabrouk, T. (2023). </w:t>
      </w:r>
      <w:r w:rsidRPr="00936EBA">
        <w:rPr>
          <w:rFonts w:ascii="Arial" w:hAnsi="Arial" w:cs="Arial"/>
          <w:i/>
          <w:iCs/>
        </w:rPr>
        <w:t>Strategies for Effective Organizational Restructuring: A Comprehensive Guide</w:t>
      </w:r>
      <w:r w:rsidRPr="00936EBA">
        <w:rPr>
          <w:rFonts w:ascii="Arial" w:hAnsi="Arial" w:cs="Arial"/>
        </w:rPr>
        <w:t>. [online] Social Science Research Network. doi:https://doi.org/10.2139/ssrn.4584665.</w:t>
      </w:r>
    </w:p>
    <w:p w14:paraId="0D424DE7" w14:textId="77777777" w:rsidR="00936EBA" w:rsidRPr="00936EBA" w:rsidRDefault="00936EBA" w:rsidP="00936EBA">
      <w:pPr>
        <w:pStyle w:val="NormalWeb"/>
        <w:spacing w:before="0" w:beforeAutospacing="0" w:after="240" w:afterAutospacing="0" w:line="360" w:lineRule="auto"/>
        <w:jc w:val="both"/>
        <w:rPr>
          <w:rFonts w:ascii="Arial" w:hAnsi="Arial" w:cs="Arial"/>
        </w:rPr>
      </w:pPr>
      <w:r w:rsidRPr="00936EBA">
        <w:rPr>
          <w:rFonts w:ascii="Arial" w:hAnsi="Arial" w:cs="Arial"/>
        </w:rPr>
        <w:t xml:space="preserve">Khaliq, A. (2025). Making the Right Choice: A Literature-Based Analysis on Investment Appraisal. </w:t>
      </w:r>
      <w:r w:rsidRPr="00936EBA">
        <w:rPr>
          <w:rFonts w:ascii="Arial" w:hAnsi="Arial" w:cs="Arial"/>
          <w:i/>
          <w:iCs/>
        </w:rPr>
        <w:t>International Research Journal of Economics and Management Studies IRJEMS</w:t>
      </w:r>
      <w:r w:rsidRPr="00936EBA">
        <w:rPr>
          <w:rFonts w:ascii="Arial" w:hAnsi="Arial" w:cs="Arial"/>
        </w:rPr>
        <w:t>, [online] 4(11). Available at: https://irjems.org/irjems-v4i11p113.html.</w:t>
      </w:r>
    </w:p>
    <w:p w14:paraId="43B34B25" w14:textId="77777777" w:rsidR="00936EBA" w:rsidRPr="00936EBA" w:rsidRDefault="00936EBA" w:rsidP="00936EBA">
      <w:pPr>
        <w:pStyle w:val="NormalWeb"/>
        <w:spacing w:before="0" w:beforeAutospacing="0" w:after="240" w:afterAutospacing="0" w:line="360" w:lineRule="auto"/>
        <w:jc w:val="both"/>
        <w:rPr>
          <w:rFonts w:ascii="Arial" w:hAnsi="Arial" w:cs="Arial"/>
        </w:rPr>
      </w:pPr>
      <w:r w:rsidRPr="00936EBA">
        <w:rPr>
          <w:rFonts w:ascii="Arial" w:hAnsi="Arial" w:cs="Arial"/>
        </w:rPr>
        <w:t xml:space="preserve">Khan, A. (2024). Capital Rationing and Budget Allocation. </w:t>
      </w:r>
      <w:r w:rsidRPr="00936EBA">
        <w:rPr>
          <w:rFonts w:ascii="Arial" w:hAnsi="Arial" w:cs="Arial"/>
          <w:i/>
          <w:iCs/>
        </w:rPr>
        <w:t>Springer eBooks</w:t>
      </w:r>
      <w:r w:rsidRPr="00936EBA">
        <w:rPr>
          <w:rFonts w:ascii="Arial" w:hAnsi="Arial" w:cs="Arial"/>
        </w:rPr>
        <w:t>, pp.329–367. doi:https://doi.org/10.1007/978-3-031-53674-8_9.</w:t>
      </w:r>
    </w:p>
    <w:p w14:paraId="50569512" w14:textId="77777777" w:rsidR="00936EBA" w:rsidRPr="00936EBA" w:rsidRDefault="00936EBA" w:rsidP="00936EBA">
      <w:pPr>
        <w:pStyle w:val="NormalWeb"/>
        <w:spacing w:before="0" w:beforeAutospacing="0" w:after="240" w:afterAutospacing="0" w:line="360" w:lineRule="auto"/>
        <w:jc w:val="both"/>
        <w:rPr>
          <w:rFonts w:ascii="Arial" w:hAnsi="Arial" w:cs="Arial"/>
        </w:rPr>
      </w:pPr>
      <w:r w:rsidRPr="00936EBA">
        <w:rPr>
          <w:rFonts w:ascii="Arial" w:hAnsi="Arial" w:cs="Arial"/>
        </w:rPr>
        <w:t xml:space="preserve">Liu, M. (2024). Research on investment project evaluation: Comparative analysis based on NPV and IRR. </w:t>
      </w:r>
      <w:r w:rsidRPr="00936EBA">
        <w:rPr>
          <w:rFonts w:ascii="Arial" w:hAnsi="Arial" w:cs="Arial"/>
          <w:i/>
          <w:iCs/>
        </w:rPr>
        <w:t>Highlights in Business, Economics and Management</w:t>
      </w:r>
      <w:r w:rsidRPr="00936EBA">
        <w:rPr>
          <w:rFonts w:ascii="Arial" w:hAnsi="Arial" w:cs="Arial"/>
        </w:rPr>
        <w:t>, [online] 24(8), pp.1133–1138. doi:https://doi.org/10.54097/k1xfx426.</w:t>
      </w:r>
    </w:p>
    <w:p w14:paraId="24A1AA15" w14:textId="77777777" w:rsidR="00936EBA" w:rsidRPr="00936EBA" w:rsidRDefault="00936EBA" w:rsidP="00936EBA">
      <w:pPr>
        <w:pStyle w:val="NormalWeb"/>
        <w:spacing w:before="0" w:beforeAutospacing="0" w:after="240" w:afterAutospacing="0" w:line="360" w:lineRule="auto"/>
        <w:jc w:val="both"/>
        <w:rPr>
          <w:rFonts w:ascii="Arial" w:hAnsi="Arial" w:cs="Arial"/>
        </w:rPr>
      </w:pPr>
      <w:r w:rsidRPr="00936EBA">
        <w:rPr>
          <w:rFonts w:ascii="Arial" w:hAnsi="Arial" w:cs="Arial"/>
        </w:rPr>
        <w:t xml:space="preserve">Nurfitriani Nurfitriani and Latif, I.N. (2025). Sustainable Capital Budgeting: Assessing Long-Term Effects Beyond Profitability. </w:t>
      </w:r>
      <w:r w:rsidRPr="00936EBA">
        <w:rPr>
          <w:rFonts w:ascii="Arial" w:hAnsi="Arial" w:cs="Arial"/>
          <w:i/>
          <w:iCs/>
        </w:rPr>
        <w:t>JASF: Journal of Accounting and Strategic Finance</w:t>
      </w:r>
      <w:r w:rsidRPr="00936EBA">
        <w:rPr>
          <w:rFonts w:ascii="Arial" w:hAnsi="Arial" w:cs="Arial"/>
        </w:rPr>
        <w:t>, [online] 8(1), pp.133–151. doi:https://doi.org/10.33005/jasf.v8i1.581.</w:t>
      </w:r>
    </w:p>
    <w:p w14:paraId="6906B999" w14:textId="77777777" w:rsidR="00936EBA" w:rsidRPr="00936EBA" w:rsidRDefault="00936EBA" w:rsidP="00936EBA">
      <w:pPr>
        <w:pStyle w:val="NormalWeb"/>
        <w:spacing w:before="0" w:beforeAutospacing="0" w:after="240" w:afterAutospacing="0" w:line="360" w:lineRule="auto"/>
        <w:jc w:val="both"/>
        <w:rPr>
          <w:rFonts w:ascii="Arial" w:hAnsi="Arial" w:cs="Arial"/>
        </w:rPr>
      </w:pPr>
      <w:r w:rsidRPr="00936EBA">
        <w:rPr>
          <w:rFonts w:ascii="Arial" w:hAnsi="Arial" w:cs="Arial"/>
        </w:rPr>
        <w:t xml:space="preserve">OECD (2021). </w:t>
      </w:r>
      <w:r w:rsidRPr="00936EBA">
        <w:rPr>
          <w:rFonts w:ascii="Arial" w:hAnsi="Arial" w:cs="Arial"/>
          <w:i/>
          <w:iCs/>
        </w:rPr>
        <w:t>Tax Challenges Arising from Digitalisation of the Economy – Global Anti-Base Erosion Model Rules (Pillar Two)</w:t>
      </w:r>
      <w:r w:rsidRPr="00936EBA">
        <w:rPr>
          <w:rFonts w:ascii="Arial" w:hAnsi="Arial" w:cs="Arial"/>
        </w:rPr>
        <w:t>. [online] OECD. Available at: https://www.oecd.org/en/publications/2021/12/tax-challenges-arising-from-digitalisation-of-the-economy-global-anti-base-erosion-model-rules-pillar-two_eed81a23.html.</w:t>
      </w:r>
    </w:p>
    <w:p w14:paraId="420B17D8" w14:textId="77777777" w:rsidR="00936EBA" w:rsidRPr="00936EBA" w:rsidRDefault="00936EBA" w:rsidP="00936EBA">
      <w:pPr>
        <w:pStyle w:val="NormalWeb"/>
        <w:spacing w:before="0" w:beforeAutospacing="0" w:after="240" w:afterAutospacing="0" w:line="360" w:lineRule="auto"/>
        <w:jc w:val="both"/>
        <w:rPr>
          <w:rFonts w:ascii="Arial" w:hAnsi="Arial" w:cs="Arial"/>
        </w:rPr>
      </w:pPr>
      <w:r w:rsidRPr="00936EBA">
        <w:rPr>
          <w:rFonts w:ascii="Arial" w:hAnsi="Arial" w:cs="Arial"/>
        </w:rPr>
        <w:lastRenderedPageBreak/>
        <w:t xml:space="preserve">Qureshi, A.M. and Khan, M.K. (2025). The Price of Misconduct: Volkswagen’s Financial Health and  Responsible Business Practices. </w:t>
      </w:r>
      <w:r w:rsidRPr="00936EBA">
        <w:rPr>
          <w:rFonts w:ascii="Arial" w:hAnsi="Arial" w:cs="Arial"/>
          <w:i/>
          <w:iCs/>
        </w:rPr>
        <w:t>International Journal of Experiential Learning &amp; Case Studies</w:t>
      </w:r>
      <w:r w:rsidRPr="00936EBA">
        <w:rPr>
          <w:rFonts w:ascii="Arial" w:hAnsi="Arial" w:cs="Arial"/>
        </w:rPr>
        <w:t>, 10(2), pp.198–221. doi:https://doi.org/10.22555/pxrmc492.</w:t>
      </w:r>
    </w:p>
    <w:p w14:paraId="3E9E9D93" w14:textId="77777777" w:rsidR="00936EBA" w:rsidRPr="00936EBA" w:rsidRDefault="00936EBA" w:rsidP="00936EBA">
      <w:pPr>
        <w:pStyle w:val="NormalWeb"/>
        <w:spacing w:before="0" w:beforeAutospacing="0" w:after="240" w:afterAutospacing="0" w:line="360" w:lineRule="auto"/>
        <w:jc w:val="both"/>
        <w:rPr>
          <w:rFonts w:ascii="Arial" w:hAnsi="Arial" w:cs="Arial"/>
        </w:rPr>
      </w:pPr>
      <w:r w:rsidRPr="00936EBA">
        <w:rPr>
          <w:rFonts w:ascii="Arial" w:hAnsi="Arial" w:cs="Arial"/>
        </w:rPr>
        <w:t xml:space="preserve">Ross, S.A., Westerfield, R.W. and Jordan, B.D. (2023). </w:t>
      </w:r>
      <w:r w:rsidRPr="00936EBA">
        <w:rPr>
          <w:rFonts w:ascii="Arial" w:hAnsi="Arial" w:cs="Arial"/>
          <w:i/>
          <w:iCs/>
        </w:rPr>
        <w:t>Essentials of corporate finance</w:t>
      </w:r>
      <w:r w:rsidRPr="00936EBA">
        <w:rPr>
          <w:rFonts w:ascii="Arial" w:hAnsi="Arial" w:cs="Arial"/>
        </w:rPr>
        <w:t>. 11th ed. New York, Ny: Mcgraw-Hill Education.</w:t>
      </w:r>
    </w:p>
    <w:p w14:paraId="660FDDA7" w14:textId="77777777" w:rsidR="00936EBA" w:rsidRPr="00936EBA" w:rsidRDefault="00936EBA" w:rsidP="00936EBA">
      <w:pPr>
        <w:pStyle w:val="NormalWeb"/>
        <w:spacing w:before="0" w:beforeAutospacing="0" w:after="240" w:afterAutospacing="0" w:line="360" w:lineRule="auto"/>
        <w:jc w:val="both"/>
        <w:rPr>
          <w:rFonts w:ascii="Arial" w:hAnsi="Arial" w:cs="Arial"/>
        </w:rPr>
      </w:pPr>
      <w:r w:rsidRPr="007F4160">
        <w:rPr>
          <w:rFonts w:ascii="Arial" w:hAnsi="Arial" w:cs="Arial"/>
          <w:lang w:val="pt-BR"/>
        </w:rPr>
        <w:t xml:space="preserve">Sinaga, A., Mediatrix, M., Hutasuhut, N.A.A., Zahara, T., Amanda, N.A., Fitri, A. and Muhammad, N. (2023). </w:t>
      </w:r>
      <w:r w:rsidRPr="00936EBA">
        <w:rPr>
          <w:rFonts w:ascii="Arial" w:hAnsi="Arial" w:cs="Arial"/>
        </w:rPr>
        <w:t xml:space="preserve">Comparison of capital budgeting methods: NPV, IRR, PAYBACK PERIOD. </w:t>
      </w:r>
      <w:r w:rsidRPr="00936EBA">
        <w:rPr>
          <w:rFonts w:ascii="Arial" w:hAnsi="Arial" w:cs="Arial"/>
          <w:i/>
          <w:iCs/>
        </w:rPr>
        <w:t>World Journal Of Advanced Research and Reviews</w:t>
      </w:r>
      <w:r w:rsidRPr="00936EBA">
        <w:rPr>
          <w:rFonts w:ascii="Arial" w:hAnsi="Arial" w:cs="Arial"/>
        </w:rPr>
        <w:t>, 19(2), pp.1078–1081. doi:https://doi.org/10.30574/wjarr.2023.19.2.1483.</w:t>
      </w:r>
    </w:p>
    <w:p w14:paraId="09B733ED" w14:textId="77777777" w:rsidR="00936EBA" w:rsidRPr="00936EBA" w:rsidRDefault="00936EBA" w:rsidP="00936EBA">
      <w:pPr>
        <w:pStyle w:val="NormalWeb"/>
        <w:spacing w:before="0" w:beforeAutospacing="0" w:after="240" w:afterAutospacing="0" w:line="360" w:lineRule="auto"/>
        <w:jc w:val="both"/>
        <w:rPr>
          <w:rFonts w:ascii="Arial" w:hAnsi="Arial" w:cs="Arial"/>
        </w:rPr>
      </w:pPr>
      <w:r w:rsidRPr="00936EBA">
        <w:rPr>
          <w:rFonts w:ascii="Arial" w:hAnsi="Arial" w:cs="Arial"/>
        </w:rPr>
        <w:t xml:space="preserve">Volkswagen Group (2022). </w:t>
      </w:r>
      <w:r w:rsidRPr="00936EBA">
        <w:rPr>
          <w:rFonts w:ascii="Arial" w:hAnsi="Arial" w:cs="Arial"/>
          <w:i/>
          <w:iCs/>
        </w:rPr>
        <w:t>Annual Report 2021 | Volkswagen Group</w:t>
      </w:r>
      <w:r w:rsidRPr="00936EBA">
        <w:rPr>
          <w:rFonts w:ascii="Arial" w:hAnsi="Arial" w:cs="Arial"/>
        </w:rPr>
        <w:t>. [online] Volkswagen-group.com. Available at: https://www.volkswagen-group.com/en/publications/more/annual-report-2021-1791.</w:t>
      </w:r>
    </w:p>
    <w:p w14:paraId="544FBFEC" w14:textId="77777777" w:rsidR="00936EBA" w:rsidRPr="00936EBA" w:rsidRDefault="00936EBA" w:rsidP="00936EBA">
      <w:pPr>
        <w:pStyle w:val="NormalWeb"/>
        <w:spacing w:before="0" w:beforeAutospacing="0" w:after="240" w:afterAutospacing="0" w:line="360" w:lineRule="auto"/>
        <w:jc w:val="both"/>
        <w:rPr>
          <w:rFonts w:ascii="Arial" w:hAnsi="Arial" w:cs="Arial"/>
        </w:rPr>
      </w:pPr>
      <w:r w:rsidRPr="00936EBA">
        <w:rPr>
          <w:rFonts w:ascii="Arial" w:hAnsi="Arial" w:cs="Arial"/>
        </w:rPr>
        <w:t xml:space="preserve">Volkswagen Group (2023). </w:t>
      </w:r>
      <w:r w:rsidRPr="00936EBA">
        <w:rPr>
          <w:rFonts w:ascii="Arial" w:hAnsi="Arial" w:cs="Arial"/>
          <w:i/>
          <w:iCs/>
        </w:rPr>
        <w:t>Volkswagen Annual Report 2022</w:t>
      </w:r>
      <w:r w:rsidRPr="00936EBA">
        <w:rPr>
          <w:rFonts w:ascii="Arial" w:hAnsi="Arial" w:cs="Arial"/>
        </w:rPr>
        <w:t>. [online] Volkswagen Group Annual Report 2022. Available at: https://annualreport2022.volkswagenag.com/.</w:t>
      </w:r>
    </w:p>
    <w:p w14:paraId="12829CC0" w14:textId="77777777" w:rsidR="00936EBA" w:rsidRPr="00936EBA" w:rsidRDefault="00936EBA" w:rsidP="00936EBA">
      <w:pPr>
        <w:pStyle w:val="NormalWeb"/>
        <w:spacing w:before="0" w:beforeAutospacing="0" w:after="240" w:afterAutospacing="0" w:line="360" w:lineRule="auto"/>
        <w:jc w:val="both"/>
        <w:rPr>
          <w:rFonts w:ascii="Arial" w:hAnsi="Arial" w:cs="Arial"/>
        </w:rPr>
      </w:pPr>
      <w:r w:rsidRPr="00936EBA">
        <w:rPr>
          <w:rFonts w:ascii="Arial" w:hAnsi="Arial" w:cs="Arial"/>
        </w:rPr>
        <w:t xml:space="preserve">Volkswagen Group (2024). </w:t>
      </w:r>
      <w:r w:rsidRPr="00936EBA">
        <w:rPr>
          <w:rFonts w:ascii="Arial" w:hAnsi="Arial" w:cs="Arial"/>
          <w:i/>
          <w:iCs/>
        </w:rPr>
        <w:t>Annual Report 2023 | Volkswagen Group</w:t>
      </w:r>
      <w:r w:rsidRPr="00936EBA">
        <w:rPr>
          <w:rFonts w:ascii="Arial" w:hAnsi="Arial" w:cs="Arial"/>
        </w:rPr>
        <w:t>. [online] www.volkswagen-group.com. Available at: https://www.volkswagen-group.com/en/publications/more/annual-report-2023-2671.</w:t>
      </w:r>
    </w:p>
    <w:p w14:paraId="37C42753" w14:textId="77777777" w:rsidR="00936EBA" w:rsidRPr="00936EBA" w:rsidRDefault="00936EBA" w:rsidP="00936EBA">
      <w:pPr>
        <w:pStyle w:val="NormalWeb"/>
        <w:spacing w:before="0" w:beforeAutospacing="0" w:after="240" w:afterAutospacing="0" w:line="360" w:lineRule="auto"/>
        <w:jc w:val="both"/>
        <w:rPr>
          <w:rFonts w:ascii="Arial" w:hAnsi="Arial" w:cs="Arial"/>
        </w:rPr>
      </w:pPr>
      <w:r w:rsidRPr="00936EBA">
        <w:rPr>
          <w:rFonts w:ascii="Arial" w:hAnsi="Arial" w:cs="Arial"/>
        </w:rPr>
        <w:t xml:space="preserve">Volkswagen Group (2025). </w:t>
      </w:r>
      <w:r w:rsidRPr="00936EBA">
        <w:rPr>
          <w:rFonts w:ascii="Arial" w:hAnsi="Arial" w:cs="Arial"/>
          <w:i/>
          <w:iCs/>
        </w:rPr>
        <w:t>Annual Report &amp; Full Year Results 2024</w:t>
      </w:r>
      <w:r w:rsidRPr="00936EBA">
        <w:rPr>
          <w:rFonts w:ascii="Arial" w:hAnsi="Arial" w:cs="Arial"/>
        </w:rPr>
        <w:t>. [online] Volkswagen Group. Available at: https://www.volkswagen-group.com/en/annual-report-and-full-year-results-2024-19005.</w:t>
      </w:r>
    </w:p>
    <w:p w14:paraId="7B25701E" w14:textId="77777777" w:rsidR="00936EBA" w:rsidRPr="00936EBA" w:rsidRDefault="00936EBA" w:rsidP="00936EBA">
      <w:pPr>
        <w:pStyle w:val="NormalWeb"/>
        <w:spacing w:before="0" w:beforeAutospacing="0" w:after="240" w:afterAutospacing="0" w:line="360" w:lineRule="auto"/>
        <w:jc w:val="both"/>
        <w:rPr>
          <w:rFonts w:ascii="Arial" w:hAnsi="Arial" w:cs="Arial"/>
        </w:rPr>
      </w:pPr>
      <w:r w:rsidRPr="00936EBA">
        <w:rPr>
          <w:rFonts w:ascii="Arial" w:hAnsi="Arial" w:cs="Arial"/>
        </w:rPr>
        <w:t xml:space="preserve">Volkswagen Group (2026a). </w:t>
      </w:r>
      <w:r w:rsidRPr="00936EBA">
        <w:rPr>
          <w:rFonts w:ascii="Arial" w:hAnsi="Arial" w:cs="Arial"/>
          <w:i/>
          <w:iCs/>
        </w:rPr>
        <w:t>Annual Report 2025 | Volkswagen Group</w:t>
      </w:r>
      <w:r w:rsidRPr="00936EBA">
        <w:rPr>
          <w:rFonts w:ascii="Arial" w:hAnsi="Arial" w:cs="Arial"/>
        </w:rPr>
        <w:t>. [online] Volkswagen-group.com. Available at: https://www.volkswagen-group.com/en/publications/more/annual-report-2025-3212.</w:t>
      </w:r>
    </w:p>
    <w:p w14:paraId="5F13BD78" w14:textId="6C9F8D0D" w:rsidR="003B3EA7" w:rsidRPr="00936EBA" w:rsidRDefault="00936EBA" w:rsidP="00936EBA">
      <w:pPr>
        <w:pStyle w:val="NormalWeb"/>
        <w:spacing w:before="0" w:beforeAutospacing="0" w:after="240" w:afterAutospacing="0" w:line="360" w:lineRule="auto"/>
        <w:jc w:val="both"/>
        <w:rPr>
          <w:rFonts w:ascii="Arial" w:hAnsi="Arial" w:cs="Arial"/>
        </w:rPr>
      </w:pPr>
      <w:r w:rsidRPr="00936EBA">
        <w:rPr>
          <w:rFonts w:ascii="Arial" w:hAnsi="Arial" w:cs="Arial"/>
        </w:rPr>
        <w:t xml:space="preserve">Volkswagen Group (2026b). </w:t>
      </w:r>
      <w:r w:rsidRPr="00936EBA">
        <w:rPr>
          <w:rFonts w:ascii="Arial" w:hAnsi="Arial" w:cs="Arial"/>
          <w:i/>
          <w:iCs/>
        </w:rPr>
        <w:t>Electrifying milestone: Volkswagen Group delivers four million all-electric vehicles</w:t>
      </w:r>
      <w:r w:rsidRPr="00936EBA">
        <w:rPr>
          <w:rFonts w:ascii="Arial" w:hAnsi="Arial" w:cs="Arial"/>
        </w:rPr>
        <w:t>. [online] Volkswagen Group. Available at: https://www.volkswagen-group.com/en/press-releases/electrifying-milestone-volkswagen-group-delivers-four-million-all-electric-vehicles-20188.</w:t>
      </w:r>
    </w:p>
    <w:p w14:paraId="4BFDA568" w14:textId="265822E4" w:rsidR="007E6E4C" w:rsidRPr="00C24648" w:rsidRDefault="007E6E4C" w:rsidP="00C24648">
      <w:pPr>
        <w:pStyle w:val="Heading1"/>
        <w:spacing w:before="0" w:beforeAutospacing="0" w:after="0" w:afterAutospacing="0" w:line="360" w:lineRule="auto"/>
        <w:contextualSpacing/>
        <w:jc w:val="both"/>
        <w:rPr>
          <w:rFonts w:ascii="Arial" w:hAnsi="Arial" w:cs="Arial"/>
          <w:sz w:val="24"/>
          <w:szCs w:val="24"/>
        </w:rPr>
      </w:pPr>
      <w:bookmarkStart w:id="25" w:name="_Toc227347043"/>
      <w:r w:rsidRPr="00C24648">
        <w:rPr>
          <w:rFonts w:ascii="Arial" w:hAnsi="Arial" w:cs="Arial"/>
          <w:sz w:val="24"/>
          <w:szCs w:val="24"/>
        </w:rPr>
        <w:lastRenderedPageBreak/>
        <w:t>Appendix</w:t>
      </w:r>
      <w:bookmarkEnd w:id="25"/>
      <w:r w:rsidRPr="00C24648">
        <w:rPr>
          <w:rFonts w:ascii="Arial" w:hAnsi="Arial" w:cs="Arial"/>
          <w:sz w:val="24"/>
          <w:szCs w:val="24"/>
        </w:rPr>
        <w:t xml:space="preserve"> </w:t>
      </w:r>
    </w:p>
    <w:p w14:paraId="00141851" w14:textId="4D6349E6" w:rsidR="007E6E4C" w:rsidRPr="00161117" w:rsidRDefault="007E6E4C" w:rsidP="00C24648">
      <w:pPr>
        <w:pStyle w:val="Heading2"/>
        <w:spacing w:before="0" w:line="360" w:lineRule="auto"/>
        <w:contextualSpacing/>
        <w:jc w:val="both"/>
        <w:rPr>
          <w:rFonts w:ascii="Arial" w:hAnsi="Arial" w:cs="Arial"/>
          <w:b/>
          <w:bCs/>
          <w:color w:val="000000" w:themeColor="text1"/>
          <w:sz w:val="24"/>
          <w:szCs w:val="24"/>
        </w:rPr>
      </w:pPr>
      <w:bookmarkStart w:id="26" w:name="_Toc227347044"/>
      <w:r w:rsidRPr="00161117">
        <w:rPr>
          <w:rFonts w:ascii="Arial" w:hAnsi="Arial" w:cs="Arial"/>
          <w:b/>
          <w:bCs/>
          <w:color w:val="000000" w:themeColor="text1"/>
          <w:sz w:val="24"/>
          <w:szCs w:val="24"/>
        </w:rPr>
        <w:t>Ratio Analysis</w:t>
      </w:r>
      <w:bookmarkEnd w:id="26"/>
    </w:p>
    <w:p w14:paraId="6674E48F" w14:textId="4410BA17" w:rsidR="007E6E4C" w:rsidRPr="00C24648" w:rsidRDefault="007E6E4C" w:rsidP="00C24648">
      <w:pPr>
        <w:pStyle w:val="NormalWeb"/>
        <w:spacing w:before="0" w:beforeAutospacing="0" w:after="0" w:afterAutospacing="0" w:line="360" w:lineRule="auto"/>
        <w:contextualSpacing/>
        <w:jc w:val="both"/>
        <w:rPr>
          <w:rFonts w:ascii="Arial" w:hAnsi="Arial" w:cs="Arial"/>
        </w:rPr>
      </w:pPr>
      <w:r w:rsidRPr="00C24648">
        <w:rPr>
          <w:rFonts w:ascii="Arial" w:hAnsi="Arial" w:cs="Arial"/>
        </w:rPr>
        <w:t>Table 1: Profitability Ratios</w:t>
      </w:r>
    </w:p>
    <w:tbl>
      <w:tblPr>
        <w:tblStyle w:val="TableGrid"/>
        <w:tblW w:w="0" w:type="auto"/>
        <w:tblLook w:val="04A0" w:firstRow="1" w:lastRow="0" w:firstColumn="1" w:lastColumn="0" w:noHBand="0" w:noVBand="1"/>
      </w:tblPr>
      <w:tblGrid>
        <w:gridCol w:w="1368"/>
        <w:gridCol w:w="1472"/>
        <w:gridCol w:w="1302"/>
        <w:gridCol w:w="1302"/>
        <w:gridCol w:w="1302"/>
        <w:gridCol w:w="1302"/>
        <w:gridCol w:w="1302"/>
      </w:tblGrid>
      <w:tr w:rsidR="00DF1561" w:rsidRPr="00DF1561" w14:paraId="17EA9A3B" w14:textId="77777777" w:rsidTr="00DF1561">
        <w:tc>
          <w:tcPr>
            <w:tcW w:w="0" w:type="auto"/>
            <w:hideMark/>
          </w:tcPr>
          <w:p w14:paraId="3C4B9611" w14:textId="77777777" w:rsidR="00DF1561" w:rsidRPr="00DF1561" w:rsidRDefault="00DF1561" w:rsidP="00161117">
            <w:pPr>
              <w:contextualSpacing/>
              <w:jc w:val="both"/>
              <w:rPr>
                <w:rFonts w:ascii="Arial" w:eastAsia="Times New Roman" w:hAnsi="Arial" w:cs="Arial"/>
                <w:b/>
                <w:bCs/>
                <w:kern w:val="0"/>
                <w:sz w:val="24"/>
                <w:szCs w:val="24"/>
                <w14:ligatures w14:val="none"/>
              </w:rPr>
            </w:pPr>
            <w:r w:rsidRPr="00DF1561">
              <w:rPr>
                <w:rFonts w:ascii="Arial" w:eastAsia="Times New Roman" w:hAnsi="Arial" w:cs="Arial"/>
                <w:b/>
                <w:bCs/>
                <w:kern w:val="0"/>
                <w:sz w:val="24"/>
                <w:szCs w:val="24"/>
                <w14:ligatures w14:val="none"/>
              </w:rPr>
              <w:t>Ratio</w:t>
            </w:r>
          </w:p>
        </w:tc>
        <w:tc>
          <w:tcPr>
            <w:tcW w:w="0" w:type="auto"/>
            <w:hideMark/>
          </w:tcPr>
          <w:p w14:paraId="3AC8EA9C" w14:textId="77777777" w:rsidR="00DF1561" w:rsidRPr="00DF1561" w:rsidRDefault="00DF1561" w:rsidP="00161117">
            <w:pPr>
              <w:contextualSpacing/>
              <w:jc w:val="both"/>
              <w:rPr>
                <w:rFonts w:ascii="Arial" w:eastAsia="Times New Roman" w:hAnsi="Arial" w:cs="Arial"/>
                <w:b/>
                <w:bCs/>
                <w:kern w:val="0"/>
                <w:sz w:val="24"/>
                <w:szCs w:val="24"/>
                <w14:ligatures w14:val="none"/>
              </w:rPr>
            </w:pPr>
            <w:r w:rsidRPr="00DF1561">
              <w:rPr>
                <w:rFonts w:ascii="Arial" w:eastAsia="Times New Roman" w:hAnsi="Arial" w:cs="Arial"/>
                <w:b/>
                <w:bCs/>
                <w:kern w:val="0"/>
                <w:sz w:val="24"/>
                <w:szCs w:val="24"/>
                <w14:ligatures w14:val="none"/>
              </w:rPr>
              <w:t>Formula</w:t>
            </w:r>
          </w:p>
        </w:tc>
        <w:tc>
          <w:tcPr>
            <w:tcW w:w="0" w:type="auto"/>
            <w:hideMark/>
          </w:tcPr>
          <w:p w14:paraId="48DD33BE" w14:textId="77777777" w:rsidR="00DF1561" w:rsidRPr="00DF1561" w:rsidRDefault="00DF1561" w:rsidP="00161117">
            <w:pPr>
              <w:contextualSpacing/>
              <w:jc w:val="both"/>
              <w:rPr>
                <w:rFonts w:ascii="Arial" w:eastAsia="Times New Roman" w:hAnsi="Arial" w:cs="Arial"/>
                <w:b/>
                <w:bCs/>
                <w:kern w:val="0"/>
                <w:sz w:val="24"/>
                <w:szCs w:val="24"/>
                <w14:ligatures w14:val="none"/>
              </w:rPr>
            </w:pPr>
            <w:r w:rsidRPr="00DF1561">
              <w:rPr>
                <w:rFonts w:ascii="Arial" w:eastAsia="Times New Roman" w:hAnsi="Arial" w:cs="Arial"/>
                <w:b/>
                <w:bCs/>
                <w:kern w:val="0"/>
                <w:sz w:val="24"/>
                <w:szCs w:val="24"/>
                <w14:ligatures w14:val="none"/>
              </w:rPr>
              <w:t>2021</w:t>
            </w:r>
          </w:p>
        </w:tc>
        <w:tc>
          <w:tcPr>
            <w:tcW w:w="0" w:type="auto"/>
            <w:hideMark/>
          </w:tcPr>
          <w:p w14:paraId="6916EE64" w14:textId="77777777" w:rsidR="00DF1561" w:rsidRPr="00DF1561" w:rsidRDefault="00DF1561" w:rsidP="00161117">
            <w:pPr>
              <w:contextualSpacing/>
              <w:jc w:val="both"/>
              <w:rPr>
                <w:rFonts w:ascii="Arial" w:eastAsia="Times New Roman" w:hAnsi="Arial" w:cs="Arial"/>
                <w:b/>
                <w:bCs/>
                <w:kern w:val="0"/>
                <w:sz w:val="24"/>
                <w:szCs w:val="24"/>
                <w14:ligatures w14:val="none"/>
              </w:rPr>
            </w:pPr>
            <w:r w:rsidRPr="00DF1561">
              <w:rPr>
                <w:rFonts w:ascii="Arial" w:eastAsia="Times New Roman" w:hAnsi="Arial" w:cs="Arial"/>
                <w:b/>
                <w:bCs/>
                <w:kern w:val="0"/>
                <w:sz w:val="24"/>
                <w:szCs w:val="24"/>
                <w14:ligatures w14:val="none"/>
              </w:rPr>
              <w:t>2022</w:t>
            </w:r>
          </w:p>
        </w:tc>
        <w:tc>
          <w:tcPr>
            <w:tcW w:w="0" w:type="auto"/>
            <w:hideMark/>
          </w:tcPr>
          <w:p w14:paraId="2FC46186" w14:textId="77777777" w:rsidR="00DF1561" w:rsidRPr="00DF1561" w:rsidRDefault="00DF1561" w:rsidP="00161117">
            <w:pPr>
              <w:contextualSpacing/>
              <w:jc w:val="both"/>
              <w:rPr>
                <w:rFonts w:ascii="Arial" w:eastAsia="Times New Roman" w:hAnsi="Arial" w:cs="Arial"/>
                <w:b/>
                <w:bCs/>
                <w:kern w:val="0"/>
                <w:sz w:val="24"/>
                <w:szCs w:val="24"/>
                <w14:ligatures w14:val="none"/>
              </w:rPr>
            </w:pPr>
            <w:r w:rsidRPr="00DF1561">
              <w:rPr>
                <w:rFonts w:ascii="Arial" w:eastAsia="Times New Roman" w:hAnsi="Arial" w:cs="Arial"/>
                <w:b/>
                <w:bCs/>
                <w:kern w:val="0"/>
                <w:sz w:val="24"/>
                <w:szCs w:val="24"/>
                <w14:ligatures w14:val="none"/>
              </w:rPr>
              <w:t>2023</w:t>
            </w:r>
          </w:p>
        </w:tc>
        <w:tc>
          <w:tcPr>
            <w:tcW w:w="0" w:type="auto"/>
            <w:hideMark/>
          </w:tcPr>
          <w:p w14:paraId="1BDE1A70" w14:textId="77777777" w:rsidR="00DF1561" w:rsidRPr="00DF1561" w:rsidRDefault="00DF1561" w:rsidP="00161117">
            <w:pPr>
              <w:contextualSpacing/>
              <w:jc w:val="both"/>
              <w:rPr>
                <w:rFonts w:ascii="Arial" w:eastAsia="Times New Roman" w:hAnsi="Arial" w:cs="Arial"/>
                <w:b/>
                <w:bCs/>
                <w:kern w:val="0"/>
                <w:sz w:val="24"/>
                <w:szCs w:val="24"/>
                <w14:ligatures w14:val="none"/>
              </w:rPr>
            </w:pPr>
            <w:r w:rsidRPr="00DF1561">
              <w:rPr>
                <w:rFonts w:ascii="Arial" w:eastAsia="Times New Roman" w:hAnsi="Arial" w:cs="Arial"/>
                <w:b/>
                <w:bCs/>
                <w:kern w:val="0"/>
                <w:sz w:val="24"/>
                <w:szCs w:val="24"/>
                <w14:ligatures w14:val="none"/>
              </w:rPr>
              <w:t>2024</w:t>
            </w:r>
          </w:p>
        </w:tc>
        <w:tc>
          <w:tcPr>
            <w:tcW w:w="0" w:type="auto"/>
            <w:hideMark/>
          </w:tcPr>
          <w:p w14:paraId="32A8FC7A" w14:textId="77777777" w:rsidR="00DF1561" w:rsidRPr="00DF1561" w:rsidRDefault="00DF1561" w:rsidP="00161117">
            <w:pPr>
              <w:contextualSpacing/>
              <w:jc w:val="both"/>
              <w:rPr>
                <w:rFonts w:ascii="Arial" w:eastAsia="Times New Roman" w:hAnsi="Arial" w:cs="Arial"/>
                <w:b/>
                <w:bCs/>
                <w:kern w:val="0"/>
                <w:sz w:val="24"/>
                <w:szCs w:val="24"/>
                <w14:ligatures w14:val="none"/>
              </w:rPr>
            </w:pPr>
            <w:r w:rsidRPr="00DF1561">
              <w:rPr>
                <w:rFonts w:ascii="Arial" w:eastAsia="Times New Roman" w:hAnsi="Arial" w:cs="Arial"/>
                <w:b/>
                <w:bCs/>
                <w:kern w:val="0"/>
                <w:sz w:val="24"/>
                <w:szCs w:val="24"/>
                <w14:ligatures w14:val="none"/>
              </w:rPr>
              <w:t>2025</w:t>
            </w:r>
          </w:p>
        </w:tc>
      </w:tr>
      <w:tr w:rsidR="00DF1561" w:rsidRPr="00DF1561" w14:paraId="2E4F1E23" w14:textId="77777777" w:rsidTr="00DF1561">
        <w:tc>
          <w:tcPr>
            <w:tcW w:w="0" w:type="auto"/>
            <w:hideMark/>
          </w:tcPr>
          <w:p w14:paraId="1E2B8EF8" w14:textId="77777777" w:rsidR="00DF1561" w:rsidRPr="00DF1561" w:rsidRDefault="00DF1561" w:rsidP="00161117">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Gross Profit Margin</w:t>
            </w:r>
          </w:p>
        </w:tc>
        <w:tc>
          <w:tcPr>
            <w:tcW w:w="0" w:type="auto"/>
            <w:hideMark/>
          </w:tcPr>
          <w:p w14:paraId="08188927" w14:textId="77777777" w:rsidR="00DF1561" w:rsidRPr="00DF1561" w:rsidRDefault="00DF1561" w:rsidP="00161117">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Gross Profit ÷ Sales Revenue</w:t>
            </w:r>
          </w:p>
        </w:tc>
        <w:tc>
          <w:tcPr>
            <w:tcW w:w="0" w:type="auto"/>
            <w:hideMark/>
          </w:tcPr>
          <w:p w14:paraId="30525477" w14:textId="77777777" w:rsidR="00DF1561" w:rsidRPr="00DF1561" w:rsidRDefault="00DF1561" w:rsidP="00161117">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(47,208 ÷ 250,200) = 18.9%</w:t>
            </w:r>
          </w:p>
        </w:tc>
        <w:tc>
          <w:tcPr>
            <w:tcW w:w="0" w:type="auto"/>
            <w:hideMark/>
          </w:tcPr>
          <w:p w14:paraId="617F3504" w14:textId="77777777" w:rsidR="00DF1561" w:rsidRPr="00DF1561" w:rsidRDefault="00DF1561" w:rsidP="00161117">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(52,246 ÷ 279,232) = 18.7%</w:t>
            </w:r>
          </w:p>
        </w:tc>
        <w:tc>
          <w:tcPr>
            <w:tcW w:w="0" w:type="auto"/>
            <w:hideMark/>
          </w:tcPr>
          <w:p w14:paraId="6821C7D9" w14:textId="77777777" w:rsidR="00DF1561" w:rsidRPr="00DF1561" w:rsidRDefault="00DF1561" w:rsidP="00161117">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(61,546 ÷ 322,284) = 19.1%</w:t>
            </w:r>
          </w:p>
        </w:tc>
        <w:tc>
          <w:tcPr>
            <w:tcW w:w="0" w:type="auto"/>
            <w:hideMark/>
          </w:tcPr>
          <w:p w14:paraId="72FCB129" w14:textId="77777777" w:rsidR="00DF1561" w:rsidRPr="00DF1561" w:rsidRDefault="00DF1561" w:rsidP="00161117">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(59,420 ÷ 324,700) = 18.3%</w:t>
            </w:r>
          </w:p>
        </w:tc>
        <w:tc>
          <w:tcPr>
            <w:tcW w:w="0" w:type="auto"/>
            <w:hideMark/>
          </w:tcPr>
          <w:p w14:paraId="63257039" w14:textId="77777777" w:rsidR="00DF1561" w:rsidRPr="00DF1561" w:rsidRDefault="00DF1561" w:rsidP="00161117">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(51,182 ÷ 321,900) = 15.9%</w:t>
            </w:r>
          </w:p>
        </w:tc>
      </w:tr>
      <w:tr w:rsidR="00DF1561" w:rsidRPr="00DF1561" w14:paraId="0E3BB699" w14:textId="77777777" w:rsidTr="00DF1561">
        <w:tc>
          <w:tcPr>
            <w:tcW w:w="0" w:type="auto"/>
            <w:hideMark/>
          </w:tcPr>
          <w:p w14:paraId="2C43FFFB" w14:textId="77777777" w:rsidR="00DF1561" w:rsidRPr="00DF1561" w:rsidRDefault="00DF1561" w:rsidP="00161117">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Operating Profit Margin</w:t>
            </w:r>
          </w:p>
        </w:tc>
        <w:tc>
          <w:tcPr>
            <w:tcW w:w="0" w:type="auto"/>
            <w:hideMark/>
          </w:tcPr>
          <w:p w14:paraId="47BFFCCD" w14:textId="77777777" w:rsidR="00DF1561" w:rsidRPr="00DF1561" w:rsidRDefault="00DF1561" w:rsidP="00161117">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Operating Profit ÷ Sales Revenue</w:t>
            </w:r>
          </w:p>
        </w:tc>
        <w:tc>
          <w:tcPr>
            <w:tcW w:w="0" w:type="auto"/>
            <w:hideMark/>
          </w:tcPr>
          <w:p w14:paraId="2B521C4A" w14:textId="77777777" w:rsidR="00DF1561" w:rsidRPr="00DF1561" w:rsidRDefault="00DF1561" w:rsidP="00161117">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(19,275 ÷ 250,200) = 7.7%</w:t>
            </w:r>
          </w:p>
        </w:tc>
        <w:tc>
          <w:tcPr>
            <w:tcW w:w="0" w:type="auto"/>
            <w:hideMark/>
          </w:tcPr>
          <w:p w14:paraId="0814183B" w14:textId="77777777" w:rsidR="00DF1561" w:rsidRPr="00DF1561" w:rsidRDefault="00DF1561" w:rsidP="00161117">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(22,124 ÷ 279,232) = 7.9%</w:t>
            </w:r>
          </w:p>
        </w:tc>
        <w:tc>
          <w:tcPr>
            <w:tcW w:w="0" w:type="auto"/>
            <w:hideMark/>
          </w:tcPr>
          <w:p w14:paraId="05F23EA4" w14:textId="77777777" w:rsidR="00DF1561" w:rsidRPr="00DF1561" w:rsidRDefault="00DF1561" w:rsidP="00161117">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(22,576 ÷ 322,284) = 7.0%</w:t>
            </w:r>
          </w:p>
        </w:tc>
        <w:tc>
          <w:tcPr>
            <w:tcW w:w="0" w:type="auto"/>
            <w:hideMark/>
          </w:tcPr>
          <w:p w14:paraId="3959DDB0" w14:textId="77777777" w:rsidR="00DF1561" w:rsidRPr="00DF1561" w:rsidRDefault="00DF1561" w:rsidP="00161117">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(19,100 ÷ 324,700) = 5.9%</w:t>
            </w:r>
          </w:p>
        </w:tc>
        <w:tc>
          <w:tcPr>
            <w:tcW w:w="0" w:type="auto"/>
            <w:hideMark/>
          </w:tcPr>
          <w:p w14:paraId="479A870C" w14:textId="77777777" w:rsidR="00DF1561" w:rsidRPr="00DF1561" w:rsidRDefault="00DF1561" w:rsidP="00161117">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(8,900 ÷ 321,900) = 2.8%</w:t>
            </w:r>
          </w:p>
        </w:tc>
      </w:tr>
      <w:tr w:rsidR="00DF1561" w:rsidRPr="00DF1561" w14:paraId="60F3DEF1" w14:textId="77777777" w:rsidTr="00DF1561">
        <w:tc>
          <w:tcPr>
            <w:tcW w:w="0" w:type="auto"/>
            <w:hideMark/>
          </w:tcPr>
          <w:p w14:paraId="23D8B9E4" w14:textId="77777777" w:rsidR="00DF1561" w:rsidRPr="00DF1561" w:rsidRDefault="00DF1561" w:rsidP="00161117">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Net Profit Margin</w:t>
            </w:r>
          </w:p>
        </w:tc>
        <w:tc>
          <w:tcPr>
            <w:tcW w:w="0" w:type="auto"/>
            <w:hideMark/>
          </w:tcPr>
          <w:p w14:paraId="4C601D0B" w14:textId="77777777" w:rsidR="00DF1561" w:rsidRPr="00DF1561" w:rsidRDefault="00DF1561" w:rsidP="00161117">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Profit After Tax ÷ Sales Revenue</w:t>
            </w:r>
          </w:p>
        </w:tc>
        <w:tc>
          <w:tcPr>
            <w:tcW w:w="0" w:type="auto"/>
            <w:hideMark/>
          </w:tcPr>
          <w:p w14:paraId="1E471833" w14:textId="77777777" w:rsidR="00DF1561" w:rsidRPr="00DF1561" w:rsidRDefault="00DF1561" w:rsidP="00161117">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(15,428 ÷ 250,200) = 6.2%</w:t>
            </w:r>
          </w:p>
        </w:tc>
        <w:tc>
          <w:tcPr>
            <w:tcW w:w="0" w:type="auto"/>
            <w:hideMark/>
          </w:tcPr>
          <w:p w14:paraId="287810E7" w14:textId="77777777" w:rsidR="00DF1561" w:rsidRPr="00DF1561" w:rsidRDefault="00DF1561" w:rsidP="00161117">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(15,836 ÷ 279,232) = 5.7%</w:t>
            </w:r>
          </w:p>
        </w:tc>
        <w:tc>
          <w:tcPr>
            <w:tcW w:w="0" w:type="auto"/>
            <w:hideMark/>
          </w:tcPr>
          <w:p w14:paraId="212D467C" w14:textId="77777777" w:rsidR="00DF1561" w:rsidRPr="00DF1561" w:rsidRDefault="00DF1561" w:rsidP="00161117">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(17,928 ÷ 322,284) = 5.6%</w:t>
            </w:r>
          </w:p>
        </w:tc>
        <w:tc>
          <w:tcPr>
            <w:tcW w:w="0" w:type="auto"/>
            <w:hideMark/>
          </w:tcPr>
          <w:p w14:paraId="60F5D158" w14:textId="77777777" w:rsidR="00DF1561" w:rsidRPr="00DF1561" w:rsidRDefault="00DF1561" w:rsidP="00161117">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(15,910 ÷ 324,700) = 4.9%</w:t>
            </w:r>
          </w:p>
        </w:tc>
        <w:tc>
          <w:tcPr>
            <w:tcW w:w="0" w:type="auto"/>
            <w:hideMark/>
          </w:tcPr>
          <w:p w14:paraId="516D160D" w14:textId="77777777" w:rsidR="00DF1561" w:rsidRPr="00DF1561" w:rsidRDefault="00DF1561" w:rsidP="00161117">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(8,047 ÷ 321,900) = 2.5%</w:t>
            </w:r>
          </w:p>
        </w:tc>
      </w:tr>
      <w:tr w:rsidR="00DF1561" w:rsidRPr="00DF1561" w14:paraId="51876F2F" w14:textId="77777777" w:rsidTr="00DF1561">
        <w:tc>
          <w:tcPr>
            <w:tcW w:w="0" w:type="auto"/>
            <w:hideMark/>
          </w:tcPr>
          <w:p w14:paraId="73468749" w14:textId="77777777" w:rsidR="00DF1561" w:rsidRPr="00DF1561" w:rsidRDefault="00DF1561" w:rsidP="00161117">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ROCE</w:t>
            </w:r>
          </w:p>
        </w:tc>
        <w:tc>
          <w:tcPr>
            <w:tcW w:w="0" w:type="auto"/>
            <w:hideMark/>
          </w:tcPr>
          <w:p w14:paraId="73C0EFE1" w14:textId="77777777" w:rsidR="00DF1561" w:rsidRPr="00DF1561" w:rsidRDefault="00DF1561" w:rsidP="00161117">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Operating Profit ÷ Capital Employed</w:t>
            </w:r>
          </w:p>
        </w:tc>
        <w:tc>
          <w:tcPr>
            <w:tcW w:w="0" w:type="auto"/>
            <w:hideMark/>
          </w:tcPr>
          <w:p w14:paraId="4BBF8E63" w14:textId="77777777" w:rsidR="00DF1561" w:rsidRPr="00DF1561" w:rsidRDefault="00DF1561" w:rsidP="00161117">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(19,275 ÷ 185,336) = 10.4%</w:t>
            </w:r>
          </w:p>
        </w:tc>
        <w:tc>
          <w:tcPr>
            <w:tcW w:w="0" w:type="auto"/>
            <w:hideMark/>
          </w:tcPr>
          <w:p w14:paraId="0EC64B5A" w14:textId="77777777" w:rsidR="00DF1561" w:rsidRPr="00DF1561" w:rsidRDefault="00DF1561" w:rsidP="00161117">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(22,124 ÷ 184,366) = 12.0%</w:t>
            </w:r>
          </w:p>
        </w:tc>
        <w:tc>
          <w:tcPr>
            <w:tcW w:w="0" w:type="auto"/>
            <w:hideMark/>
          </w:tcPr>
          <w:p w14:paraId="684577EF" w14:textId="77777777" w:rsidR="00DF1561" w:rsidRPr="00DF1561" w:rsidRDefault="00DF1561" w:rsidP="00161117">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(22,576 ÷ 183,544) = 12.3%</w:t>
            </w:r>
          </w:p>
        </w:tc>
        <w:tc>
          <w:tcPr>
            <w:tcW w:w="0" w:type="auto"/>
            <w:hideMark/>
          </w:tcPr>
          <w:p w14:paraId="4C170D86" w14:textId="77777777" w:rsidR="00DF1561" w:rsidRPr="00DF1561" w:rsidRDefault="00DF1561" w:rsidP="00161117">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(19,100 ÷ 178,500) = 10.7%</w:t>
            </w:r>
          </w:p>
        </w:tc>
        <w:tc>
          <w:tcPr>
            <w:tcW w:w="0" w:type="auto"/>
            <w:hideMark/>
          </w:tcPr>
          <w:p w14:paraId="2B6EB7A1" w14:textId="77777777" w:rsidR="00DF1561" w:rsidRPr="00DF1561" w:rsidRDefault="00DF1561" w:rsidP="00161117">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(8,900 ÷ 171,153) = 5.2%</w:t>
            </w:r>
          </w:p>
        </w:tc>
      </w:tr>
    </w:tbl>
    <w:p w14:paraId="419A4AF4" w14:textId="0B78CB0A" w:rsidR="00B54794" w:rsidRDefault="00B54794" w:rsidP="00C24648">
      <w:pPr>
        <w:spacing w:after="0" w:line="360" w:lineRule="auto"/>
        <w:contextualSpacing/>
        <w:jc w:val="both"/>
        <w:rPr>
          <w:rFonts w:ascii="Arial" w:hAnsi="Arial" w:cs="Arial"/>
          <w:sz w:val="24"/>
          <w:szCs w:val="24"/>
        </w:rPr>
      </w:pPr>
    </w:p>
    <w:p w14:paraId="1525A5EB" w14:textId="6CB48541" w:rsidR="007F4160" w:rsidRDefault="007F4160" w:rsidP="009A0D8D">
      <w:pPr>
        <w:spacing w:after="0" w:line="360" w:lineRule="auto"/>
        <w:contextualSpacing/>
        <w:jc w:val="center"/>
        <w:rPr>
          <w:rFonts w:ascii="Arial" w:hAnsi="Arial" w:cs="Arial"/>
          <w:sz w:val="24"/>
          <w:szCs w:val="24"/>
        </w:rPr>
      </w:pPr>
      <w:r>
        <w:rPr>
          <w:rFonts w:ascii="Arial" w:hAnsi="Arial" w:cs="Arial"/>
          <w:noProof/>
          <w:sz w:val="24"/>
          <w:szCs w:val="24"/>
        </w:rPr>
        <w:drawing>
          <wp:inline distT="0" distB="0" distL="0" distR="0" wp14:anchorId="15354915" wp14:editId="2ADFF486">
            <wp:extent cx="4584700" cy="2755900"/>
            <wp:effectExtent l="0" t="0" r="635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2B5391BB" w14:textId="1E53CD22" w:rsidR="007F4160" w:rsidRDefault="007F4160" w:rsidP="00C24648">
      <w:pPr>
        <w:spacing w:after="0" w:line="360" w:lineRule="auto"/>
        <w:contextualSpacing/>
        <w:jc w:val="both"/>
        <w:rPr>
          <w:rFonts w:ascii="Arial" w:hAnsi="Arial" w:cs="Arial"/>
          <w:sz w:val="24"/>
          <w:szCs w:val="24"/>
        </w:rPr>
      </w:pPr>
      <w:r>
        <w:rPr>
          <w:rFonts w:ascii="Arial" w:hAnsi="Arial" w:cs="Arial"/>
          <w:sz w:val="24"/>
          <w:szCs w:val="24"/>
        </w:rPr>
        <w:t>Graph 1: D</w:t>
      </w:r>
      <w:r w:rsidRPr="007F4160">
        <w:rPr>
          <w:rFonts w:ascii="Arial" w:hAnsi="Arial" w:cs="Arial"/>
          <w:sz w:val="24"/>
          <w:szCs w:val="24"/>
        </w:rPr>
        <w:t>eclining trend in Volkswagen Group’s operating and net profit margins from 2021 to 2025, indicating weakening profitability despite relatively stable gross margins.</w:t>
      </w:r>
    </w:p>
    <w:p w14:paraId="253EDAC9" w14:textId="77777777" w:rsidR="00897448" w:rsidRDefault="00897448" w:rsidP="00C24648">
      <w:pPr>
        <w:spacing w:after="0" w:line="360" w:lineRule="auto"/>
        <w:contextualSpacing/>
        <w:jc w:val="both"/>
        <w:rPr>
          <w:rFonts w:ascii="Arial" w:hAnsi="Arial" w:cs="Arial"/>
          <w:sz w:val="24"/>
          <w:szCs w:val="24"/>
        </w:rPr>
      </w:pPr>
    </w:p>
    <w:p w14:paraId="259D2ED4" w14:textId="77777777" w:rsidR="00897448" w:rsidRDefault="00897448" w:rsidP="00C24648">
      <w:pPr>
        <w:spacing w:after="0" w:line="360" w:lineRule="auto"/>
        <w:contextualSpacing/>
        <w:jc w:val="both"/>
        <w:rPr>
          <w:rFonts w:ascii="Arial" w:hAnsi="Arial" w:cs="Arial"/>
          <w:sz w:val="24"/>
          <w:szCs w:val="24"/>
        </w:rPr>
      </w:pPr>
    </w:p>
    <w:p w14:paraId="7D58FCB2" w14:textId="77777777" w:rsidR="00897448" w:rsidRDefault="00897448" w:rsidP="00C24648">
      <w:pPr>
        <w:spacing w:after="0" w:line="360" w:lineRule="auto"/>
        <w:contextualSpacing/>
        <w:jc w:val="both"/>
        <w:rPr>
          <w:rFonts w:ascii="Arial" w:hAnsi="Arial" w:cs="Arial"/>
          <w:sz w:val="24"/>
          <w:szCs w:val="24"/>
        </w:rPr>
      </w:pPr>
    </w:p>
    <w:p w14:paraId="7C00FA4A" w14:textId="77777777" w:rsidR="00897448" w:rsidRPr="00C24648" w:rsidRDefault="00897448" w:rsidP="00C24648">
      <w:pPr>
        <w:spacing w:after="0" w:line="360" w:lineRule="auto"/>
        <w:contextualSpacing/>
        <w:jc w:val="both"/>
        <w:rPr>
          <w:rFonts w:ascii="Arial" w:hAnsi="Arial" w:cs="Arial"/>
          <w:sz w:val="24"/>
          <w:szCs w:val="24"/>
        </w:rPr>
      </w:pPr>
    </w:p>
    <w:p w14:paraId="4529468E" w14:textId="00B18600" w:rsidR="00C86DFD" w:rsidRPr="00C24648" w:rsidRDefault="007E6E4C" w:rsidP="00C24648">
      <w:pPr>
        <w:spacing w:after="0" w:line="360" w:lineRule="auto"/>
        <w:contextualSpacing/>
        <w:jc w:val="both"/>
        <w:rPr>
          <w:rFonts w:ascii="Arial" w:hAnsi="Arial" w:cs="Arial"/>
          <w:sz w:val="24"/>
          <w:szCs w:val="24"/>
        </w:rPr>
      </w:pPr>
      <w:r w:rsidRPr="00C24648">
        <w:rPr>
          <w:rFonts w:ascii="Arial" w:hAnsi="Arial" w:cs="Arial"/>
          <w:sz w:val="24"/>
          <w:szCs w:val="24"/>
        </w:rPr>
        <w:lastRenderedPageBreak/>
        <w:t xml:space="preserve">Table 2: </w:t>
      </w:r>
      <w:r w:rsidR="00C86DFD" w:rsidRPr="00C24648">
        <w:rPr>
          <w:rFonts w:ascii="Arial" w:hAnsi="Arial" w:cs="Arial"/>
          <w:sz w:val="24"/>
          <w:szCs w:val="24"/>
        </w:rPr>
        <w:t>Liquidity Ratios</w:t>
      </w:r>
    </w:p>
    <w:tbl>
      <w:tblPr>
        <w:tblStyle w:val="TableGrid"/>
        <w:tblW w:w="0" w:type="auto"/>
        <w:tblLook w:val="04A0" w:firstRow="1" w:lastRow="0" w:firstColumn="1" w:lastColumn="0" w:noHBand="0" w:noVBand="1"/>
      </w:tblPr>
      <w:tblGrid>
        <w:gridCol w:w="1039"/>
        <w:gridCol w:w="1586"/>
        <w:gridCol w:w="1345"/>
        <w:gridCol w:w="1345"/>
        <w:gridCol w:w="1345"/>
        <w:gridCol w:w="1345"/>
        <w:gridCol w:w="1345"/>
      </w:tblGrid>
      <w:tr w:rsidR="00DF1561" w:rsidRPr="00DF1561" w14:paraId="4580AABE" w14:textId="77777777" w:rsidTr="00DF1561">
        <w:tc>
          <w:tcPr>
            <w:tcW w:w="0" w:type="auto"/>
            <w:hideMark/>
          </w:tcPr>
          <w:p w14:paraId="03849BFE" w14:textId="77777777" w:rsidR="00DF1561" w:rsidRPr="00DF1561" w:rsidRDefault="00DF1561" w:rsidP="00161117">
            <w:pPr>
              <w:contextualSpacing/>
              <w:jc w:val="both"/>
              <w:rPr>
                <w:rFonts w:ascii="Arial" w:hAnsi="Arial" w:cs="Arial"/>
                <w:b/>
                <w:bCs/>
                <w:sz w:val="24"/>
                <w:szCs w:val="24"/>
              </w:rPr>
            </w:pPr>
            <w:r w:rsidRPr="00DF1561">
              <w:rPr>
                <w:rFonts w:ascii="Arial" w:hAnsi="Arial" w:cs="Arial"/>
                <w:b/>
                <w:bCs/>
                <w:sz w:val="24"/>
                <w:szCs w:val="24"/>
              </w:rPr>
              <w:t>Ratio</w:t>
            </w:r>
          </w:p>
        </w:tc>
        <w:tc>
          <w:tcPr>
            <w:tcW w:w="0" w:type="auto"/>
            <w:hideMark/>
          </w:tcPr>
          <w:p w14:paraId="1161196C" w14:textId="77777777" w:rsidR="00DF1561" w:rsidRPr="00DF1561" w:rsidRDefault="00DF1561" w:rsidP="00161117">
            <w:pPr>
              <w:contextualSpacing/>
              <w:jc w:val="both"/>
              <w:rPr>
                <w:rFonts w:ascii="Arial" w:hAnsi="Arial" w:cs="Arial"/>
                <w:b/>
                <w:bCs/>
                <w:sz w:val="24"/>
                <w:szCs w:val="24"/>
              </w:rPr>
            </w:pPr>
            <w:r w:rsidRPr="00DF1561">
              <w:rPr>
                <w:rFonts w:ascii="Arial" w:hAnsi="Arial" w:cs="Arial"/>
                <w:b/>
                <w:bCs/>
                <w:sz w:val="24"/>
                <w:szCs w:val="24"/>
              </w:rPr>
              <w:t>Formula</w:t>
            </w:r>
          </w:p>
        </w:tc>
        <w:tc>
          <w:tcPr>
            <w:tcW w:w="0" w:type="auto"/>
            <w:hideMark/>
          </w:tcPr>
          <w:p w14:paraId="5518F5E9" w14:textId="77777777" w:rsidR="00DF1561" w:rsidRPr="00DF1561" w:rsidRDefault="00DF1561" w:rsidP="00161117">
            <w:pPr>
              <w:contextualSpacing/>
              <w:jc w:val="both"/>
              <w:rPr>
                <w:rFonts w:ascii="Arial" w:hAnsi="Arial" w:cs="Arial"/>
                <w:b/>
                <w:bCs/>
                <w:sz w:val="24"/>
                <w:szCs w:val="24"/>
              </w:rPr>
            </w:pPr>
            <w:r w:rsidRPr="00DF1561">
              <w:rPr>
                <w:rFonts w:ascii="Arial" w:hAnsi="Arial" w:cs="Arial"/>
                <w:b/>
                <w:bCs/>
                <w:sz w:val="24"/>
                <w:szCs w:val="24"/>
              </w:rPr>
              <w:t>2021</w:t>
            </w:r>
          </w:p>
        </w:tc>
        <w:tc>
          <w:tcPr>
            <w:tcW w:w="0" w:type="auto"/>
            <w:hideMark/>
          </w:tcPr>
          <w:p w14:paraId="399ED5E5" w14:textId="77777777" w:rsidR="00DF1561" w:rsidRPr="00DF1561" w:rsidRDefault="00DF1561" w:rsidP="00161117">
            <w:pPr>
              <w:contextualSpacing/>
              <w:jc w:val="both"/>
              <w:rPr>
                <w:rFonts w:ascii="Arial" w:hAnsi="Arial" w:cs="Arial"/>
                <w:b/>
                <w:bCs/>
                <w:sz w:val="24"/>
                <w:szCs w:val="24"/>
              </w:rPr>
            </w:pPr>
            <w:r w:rsidRPr="00DF1561">
              <w:rPr>
                <w:rFonts w:ascii="Arial" w:hAnsi="Arial" w:cs="Arial"/>
                <w:b/>
                <w:bCs/>
                <w:sz w:val="24"/>
                <w:szCs w:val="24"/>
              </w:rPr>
              <w:t>2022</w:t>
            </w:r>
          </w:p>
        </w:tc>
        <w:tc>
          <w:tcPr>
            <w:tcW w:w="0" w:type="auto"/>
            <w:hideMark/>
          </w:tcPr>
          <w:p w14:paraId="1D807B66" w14:textId="77777777" w:rsidR="00DF1561" w:rsidRPr="00DF1561" w:rsidRDefault="00DF1561" w:rsidP="00161117">
            <w:pPr>
              <w:contextualSpacing/>
              <w:jc w:val="both"/>
              <w:rPr>
                <w:rFonts w:ascii="Arial" w:hAnsi="Arial" w:cs="Arial"/>
                <w:b/>
                <w:bCs/>
                <w:sz w:val="24"/>
                <w:szCs w:val="24"/>
              </w:rPr>
            </w:pPr>
            <w:r w:rsidRPr="00DF1561">
              <w:rPr>
                <w:rFonts w:ascii="Arial" w:hAnsi="Arial" w:cs="Arial"/>
                <w:b/>
                <w:bCs/>
                <w:sz w:val="24"/>
                <w:szCs w:val="24"/>
              </w:rPr>
              <w:t>2023</w:t>
            </w:r>
          </w:p>
        </w:tc>
        <w:tc>
          <w:tcPr>
            <w:tcW w:w="0" w:type="auto"/>
            <w:hideMark/>
          </w:tcPr>
          <w:p w14:paraId="650ABD49" w14:textId="77777777" w:rsidR="00DF1561" w:rsidRPr="00DF1561" w:rsidRDefault="00DF1561" w:rsidP="00161117">
            <w:pPr>
              <w:contextualSpacing/>
              <w:jc w:val="both"/>
              <w:rPr>
                <w:rFonts w:ascii="Arial" w:hAnsi="Arial" w:cs="Arial"/>
                <w:b/>
                <w:bCs/>
                <w:sz w:val="24"/>
                <w:szCs w:val="24"/>
              </w:rPr>
            </w:pPr>
            <w:r w:rsidRPr="00DF1561">
              <w:rPr>
                <w:rFonts w:ascii="Arial" w:hAnsi="Arial" w:cs="Arial"/>
                <w:b/>
                <w:bCs/>
                <w:sz w:val="24"/>
                <w:szCs w:val="24"/>
              </w:rPr>
              <w:t>2024</w:t>
            </w:r>
          </w:p>
        </w:tc>
        <w:tc>
          <w:tcPr>
            <w:tcW w:w="0" w:type="auto"/>
            <w:hideMark/>
          </w:tcPr>
          <w:p w14:paraId="680C936D" w14:textId="77777777" w:rsidR="00DF1561" w:rsidRPr="00DF1561" w:rsidRDefault="00DF1561" w:rsidP="00161117">
            <w:pPr>
              <w:contextualSpacing/>
              <w:jc w:val="both"/>
              <w:rPr>
                <w:rFonts w:ascii="Arial" w:hAnsi="Arial" w:cs="Arial"/>
                <w:b/>
                <w:bCs/>
                <w:sz w:val="24"/>
                <w:szCs w:val="24"/>
              </w:rPr>
            </w:pPr>
            <w:r w:rsidRPr="00DF1561">
              <w:rPr>
                <w:rFonts w:ascii="Arial" w:hAnsi="Arial" w:cs="Arial"/>
                <w:b/>
                <w:bCs/>
                <w:sz w:val="24"/>
                <w:szCs w:val="24"/>
              </w:rPr>
              <w:t>2025</w:t>
            </w:r>
          </w:p>
        </w:tc>
      </w:tr>
      <w:tr w:rsidR="00DF1561" w:rsidRPr="00DF1561" w14:paraId="42BDF2F8" w14:textId="77777777" w:rsidTr="00DF1561">
        <w:tc>
          <w:tcPr>
            <w:tcW w:w="0" w:type="auto"/>
            <w:hideMark/>
          </w:tcPr>
          <w:p w14:paraId="7423154F" w14:textId="77777777" w:rsidR="00DF1561" w:rsidRPr="00DF1561" w:rsidRDefault="00DF1561" w:rsidP="00161117">
            <w:pPr>
              <w:contextualSpacing/>
              <w:jc w:val="both"/>
              <w:rPr>
                <w:rFonts w:ascii="Arial" w:hAnsi="Arial" w:cs="Arial"/>
                <w:sz w:val="24"/>
                <w:szCs w:val="24"/>
              </w:rPr>
            </w:pPr>
            <w:r w:rsidRPr="00DF1561">
              <w:rPr>
                <w:rFonts w:ascii="Arial" w:hAnsi="Arial" w:cs="Arial"/>
                <w:sz w:val="24"/>
                <w:szCs w:val="24"/>
              </w:rPr>
              <w:t>Current Ratio</w:t>
            </w:r>
          </w:p>
        </w:tc>
        <w:tc>
          <w:tcPr>
            <w:tcW w:w="0" w:type="auto"/>
            <w:hideMark/>
          </w:tcPr>
          <w:p w14:paraId="00F5732F" w14:textId="77777777" w:rsidR="00DF1561" w:rsidRPr="00DF1561" w:rsidRDefault="00DF1561" w:rsidP="00161117">
            <w:pPr>
              <w:contextualSpacing/>
              <w:jc w:val="both"/>
              <w:rPr>
                <w:rFonts w:ascii="Arial" w:hAnsi="Arial" w:cs="Arial"/>
                <w:sz w:val="24"/>
                <w:szCs w:val="24"/>
              </w:rPr>
            </w:pPr>
            <w:r w:rsidRPr="00DF1561">
              <w:rPr>
                <w:rFonts w:ascii="Arial" w:hAnsi="Arial" w:cs="Arial"/>
                <w:sz w:val="24"/>
                <w:szCs w:val="24"/>
              </w:rPr>
              <w:t>Current Assets ÷ Current Liabilities</w:t>
            </w:r>
          </w:p>
        </w:tc>
        <w:tc>
          <w:tcPr>
            <w:tcW w:w="0" w:type="auto"/>
            <w:hideMark/>
          </w:tcPr>
          <w:p w14:paraId="635092BC" w14:textId="77777777" w:rsidR="00DF1561" w:rsidRPr="00DF1561" w:rsidRDefault="00DF1561" w:rsidP="00161117">
            <w:pPr>
              <w:contextualSpacing/>
              <w:jc w:val="both"/>
              <w:rPr>
                <w:rFonts w:ascii="Arial" w:hAnsi="Arial" w:cs="Arial"/>
                <w:sz w:val="24"/>
                <w:szCs w:val="24"/>
              </w:rPr>
            </w:pPr>
            <w:r w:rsidRPr="00DF1561">
              <w:rPr>
                <w:rFonts w:ascii="Arial" w:hAnsi="Arial" w:cs="Arial"/>
                <w:sz w:val="24"/>
                <w:szCs w:val="24"/>
              </w:rPr>
              <w:t>(195,497 ÷ 172,165) = 1.14</w:t>
            </w:r>
          </w:p>
        </w:tc>
        <w:tc>
          <w:tcPr>
            <w:tcW w:w="0" w:type="auto"/>
            <w:hideMark/>
          </w:tcPr>
          <w:p w14:paraId="251A2D23" w14:textId="77777777" w:rsidR="00DF1561" w:rsidRPr="00DF1561" w:rsidRDefault="00DF1561" w:rsidP="00161117">
            <w:pPr>
              <w:contextualSpacing/>
              <w:jc w:val="both"/>
              <w:rPr>
                <w:rFonts w:ascii="Arial" w:hAnsi="Arial" w:cs="Arial"/>
                <w:sz w:val="24"/>
                <w:szCs w:val="24"/>
              </w:rPr>
            </w:pPr>
            <w:r w:rsidRPr="00DF1561">
              <w:rPr>
                <w:rFonts w:ascii="Arial" w:hAnsi="Arial" w:cs="Arial"/>
                <w:sz w:val="24"/>
                <w:szCs w:val="24"/>
              </w:rPr>
              <w:t>(216,218 ÷ 184,895) = 1.17</w:t>
            </w:r>
          </w:p>
        </w:tc>
        <w:tc>
          <w:tcPr>
            <w:tcW w:w="0" w:type="auto"/>
            <w:hideMark/>
          </w:tcPr>
          <w:p w14:paraId="784259CC" w14:textId="77777777" w:rsidR="00DF1561" w:rsidRPr="00DF1561" w:rsidRDefault="00DF1561" w:rsidP="00161117">
            <w:pPr>
              <w:contextualSpacing/>
              <w:jc w:val="both"/>
              <w:rPr>
                <w:rFonts w:ascii="Arial" w:hAnsi="Arial" w:cs="Arial"/>
                <w:sz w:val="24"/>
                <w:szCs w:val="24"/>
              </w:rPr>
            </w:pPr>
            <w:r w:rsidRPr="00DF1561">
              <w:rPr>
                <w:rFonts w:ascii="Arial" w:hAnsi="Arial" w:cs="Arial"/>
                <w:sz w:val="24"/>
                <w:szCs w:val="24"/>
              </w:rPr>
              <w:t>(251,556 ÷ 219,836) = 1.14</w:t>
            </w:r>
          </w:p>
        </w:tc>
        <w:tc>
          <w:tcPr>
            <w:tcW w:w="0" w:type="auto"/>
            <w:hideMark/>
          </w:tcPr>
          <w:p w14:paraId="247BEF42" w14:textId="77777777" w:rsidR="00DF1561" w:rsidRPr="00DF1561" w:rsidRDefault="00DF1561" w:rsidP="00161117">
            <w:pPr>
              <w:contextualSpacing/>
              <w:jc w:val="both"/>
              <w:rPr>
                <w:rFonts w:ascii="Arial" w:hAnsi="Arial" w:cs="Arial"/>
                <w:sz w:val="24"/>
                <w:szCs w:val="24"/>
              </w:rPr>
            </w:pPr>
            <w:r w:rsidRPr="00DF1561">
              <w:rPr>
                <w:rFonts w:ascii="Arial" w:hAnsi="Arial" w:cs="Arial"/>
                <w:sz w:val="24"/>
                <w:szCs w:val="24"/>
              </w:rPr>
              <w:t>(248,510 ÷ 225,180) = 1.10</w:t>
            </w:r>
          </w:p>
        </w:tc>
        <w:tc>
          <w:tcPr>
            <w:tcW w:w="0" w:type="auto"/>
            <w:hideMark/>
          </w:tcPr>
          <w:p w14:paraId="41966C1A" w14:textId="77777777" w:rsidR="00DF1561" w:rsidRPr="00DF1561" w:rsidRDefault="00DF1561" w:rsidP="00161117">
            <w:pPr>
              <w:contextualSpacing/>
              <w:jc w:val="both"/>
              <w:rPr>
                <w:rFonts w:ascii="Arial" w:hAnsi="Arial" w:cs="Arial"/>
                <w:sz w:val="24"/>
                <w:szCs w:val="24"/>
              </w:rPr>
            </w:pPr>
            <w:r w:rsidRPr="00DF1561">
              <w:rPr>
                <w:rFonts w:ascii="Arial" w:hAnsi="Arial" w:cs="Arial"/>
                <w:sz w:val="24"/>
                <w:szCs w:val="24"/>
              </w:rPr>
              <w:t>(246,080 ÷ 224,760) = 1.09</w:t>
            </w:r>
          </w:p>
        </w:tc>
      </w:tr>
      <w:tr w:rsidR="00DF1561" w:rsidRPr="00DF1561" w14:paraId="56A4C1C6" w14:textId="77777777" w:rsidTr="00DF1561">
        <w:tc>
          <w:tcPr>
            <w:tcW w:w="0" w:type="auto"/>
            <w:hideMark/>
          </w:tcPr>
          <w:p w14:paraId="0C1EDF8D" w14:textId="77777777" w:rsidR="00DF1561" w:rsidRPr="00DF1561" w:rsidRDefault="00DF1561" w:rsidP="00161117">
            <w:pPr>
              <w:contextualSpacing/>
              <w:jc w:val="both"/>
              <w:rPr>
                <w:rFonts w:ascii="Arial" w:hAnsi="Arial" w:cs="Arial"/>
                <w:sz w:val="24"/>
                <w:szCs w:val="24"/>
              </w:rPr>
            </w:pPr>
            <w:r w:rsidRPr="00DF1561">
              <w:rPr>
                <w:rFonts w:ascii="Arial" w:hAnsi="Arial" w:cs="Arial"/>
                <w:sz w:val="24"/>
                <w:szCs w:val="24"/>
              </w:rPr>
              <w:t>Quick Ratio</w:t>
            </w:r>
          </w:p>
        </w:tc>
        <w:tc>
          <w:tcPr>
            <w:tcW w:w="0" w:type="auto"/>
            <w:hideMark/>
          </w:tcPr>
          <w:p w14:paraId="1772D454" w14:textId="77777777" w:rsidR="00DF1561" w:rsidRPr="00DF1561" w:rsidRDefault="00DF1561" w:rsidP="00161117">
            <w:pPr>
              <w:contextualSpacing/>
              <w:jc w:val="both"/>
              <w:rPr>
                <w:rFonts w:ascii="Arial" w:hAnsi="Arial" w:cs="Arial"/>
                <w:sz w:val="24"/>
                <w:szCs w:val="24"/>
              </w:rPr>
            </w:pPr>
            <w:r w:rsidRPr="00DF1561">
              <w:rPr>
                <w:rFonts w:ascii="Arial" w:hAnsi="Arial" w:cs="Arial"/>
                <w:sz w:val="24"/>
                <w:szCs w:val="24"/>
              </w:rPr>
              <w:t>(Current Assets − Inventory) ÷ Current Liabilities</w:t>
            </w:r>
          </w:p>
        </w:tc>
        <w:tc>
          <w:tcPr>
            <w:tcW w:w="0" w:type="auto"/>
            <w:hideMark/>
          </w:tcPr>
          <w:p w14:paraId="2B486585" w14:textId="77777777" w:rsidR="00DF1561" w:rsidRPr="00DF1561" w:rsidRDefault="00DF1561" w:rsidP="00161117">
            <w:pPr>
              <w:contextualSpacing/>
              <w:jc w:val="both"/>
              <w:rPr>
                <w:rFonts w:ascii="Arial" w:hAnsi="Arial" w:cs="Arial"/>
                <w:sz w:val="24"/>
                <w:szCs w:val="24"/>
              </w:rPr>
            </w:pPr>
            <w:r w:rsidRPr="00DF1561">
              <w:rPr>
                <w:rFonts w:ascii="Arial" w:hAnsi="Arial" w:cs="Arial"/>
                <w:sz w:val="24"/>
                <w:szCs w:val="24"/>
              </w:rPr>
              <w:t>((195,497 − 43,595) ÷ 172,165) = 0.88</w:t>
            </w:r>
          </w:p>
        </w:tc>
        <w:tc>
          <w:tcPr>
            <w:tcW w:w="0" w:type="auto"/>
            <w:hideMark/>
          </w:tcPr>
          <w:p w14:paraId="136B7257" w14:textId="77777777" w:rsidR="00DF1561" w:rsidRPr="00DF1561" w:rsidRDefault="00DF1561" w:rsidP="00161117">
            <w:pPr>
              <w:contextualSpacing/>
              <w:jc w:val="both"/>
              <w:rPr>
                <w:rFonts w:ascii="Arial" w:hAnsi="Arial" w:cs="Arial"/>
                <w:sz w:val="24"/>
                <w:szCs w:val="24"/>
              </w:rPr>
            </w:pPr>
            <w:r w:rsidRPr="00DF1561">
              <w:rPr>
                <w:rFonts w:ascii="Arial" w:hAnsi="Arial" w:cs="Arial"/>
                <w:sz w:val="24"/>
                <w:szCs w:val="24"/>
              </w:rPr>
              <w:t>((216,218 − 52,654) ÷ 184,895) = 0.88</w:t>
            </w:r>
          </w:p>
        </w:tc>
        <w:tc>
          <w:tcPr>
            <w:tcW w:w="0" w:type="auto"/>
            <w:hideMark/>
          </w:tcPr>
          <w:p w14:paraId="1C0E30F9" w14:textId="77777777" w:rsidR="00DF1561" w:rsidRPr="00DF1561" w:rsidRDefault="00DF1561" w:rsidP="00161117">
            <w:pPr>
              <w:contextualSpacing/>
              <w:jc w:val="both"/>
              <w:rPr>
                <w:rFonts w:ascii="Arial" w:hAnsi="Arial" w:cs="Arial"/>
                <w:sz w:val="24"/>
                <w:szCs w:val="24"/>
              </w:rPr>
            </w:pPr>
            <w:r w:rsidRPr="00DF1561">
              <w:rPr>
                <w:rFonts w:ascii="Arial" w:hAnsi="Arial" w:cs="Arial"/>
                <w:sz w:val="24"/>
                <w:szCs w:val="24"/>
              </w:rPr>
              <w:t>((251,556 − 58,157) ÷ 219,836) = 0.88</w:t>
            </w:r>
          </w:p>
        </w:tc>
        <w:tc>
          <w:tcPr>
            <w:tcW w:w="0" w:type="auto"/>
            <w:hideMark/>
          </w:tcPr>
          <w:p w14:paraId="6779913A" w14:textId="77777777" w:rsidR="00DF1561" w:rsidRPr="00DF1561" w:rsidRDefault="00DF1561" w:rsidP="00161117">
            <w:pPr>
              <w:contextualSpacing/>
              <w:jc w:val="both"/>
              <w:rPr>
                <w:rFonts w:ascii="Arial" w:hAnsi="Arial" w:cs="Arial"/>
                <w:sz w:val="24"/>
                <w:szCs w:val="24"/>
              </w:rPr>
            </w:pPr>
            <w:r w:rsidRPr="00DF1561">
              <w:rPr>
                <w:rFonts w:ascii="Arial" w:hAnsi="Arial" w:cs="Arial"/>
                <w:sz w:val="24"/>
                <w:szCs w:val="24"/>
              </w:rPr>
              <w:t>((248,510 − 60,110) ÷ 225,180) = 0.84</w:t>
            </w:r>
          </w:p>
        </w:tc>
        <w:tc>
          <w:tcPr>
            <w:tcW w:w="0" w:type="auto"/>
            <w:hideMark/>
          </w:tcPr>
          <w:p w14:paraId="3DC556EE" w14:textId="77777777" w:rsidR="00DF1561" w:rsidRPr="00DF1561" w:rsidRDefault="00DF1561" w:rsidP="00161117">
            <w:pPr>
              <w:contextualSpacing/>
              <w:jc w:val="both"/>
              <w:rPr>
                <w:rFonts w:ascii="Arial" w:hAnsi="Arial" w:cs="Arial"/>
                <w:sz w:val="24"/>
                <w:szCs w:val="24"/>
              </w:rPr>
            </w:pPr>
            <w:r w:rsidRPr="00DF1561">
              <w:rPr>
                <w:rFonts w:ascii="Arial" w:hAnsi="Arial" w:cs="Arial"/>
                <w:sz w:val="24"/>
                <w:szCs w:val="24"/>
              </w:rPr>
              <w:t>((246,080 − 62,280) ÷ 224,760) = 0.82</w:t>
            </w:r>
          </w:p>
        </w:tc>
      </w:tr>
      <w:tr w:rsidR="00DF1561" w:rsidRPr="00DF1561" w14:paraId="2B757DA3" w14:textId="77777777" w:rsidTr="00DF1561">
        <w:tc>
          <w:tcPr>
            <w:tcW w:w="0" w:type="auto"/>
            <w:hideMark/>
          </w:tcPr>
          <w:p w14:paraId="09AAB68E" w14:textId="77777777" w:rsidR="00DF1561" w:rsidRPr="00DF1561" w:rsidRDefault="00DF1561" w:rsidP="00161117">
            <w:pPr>
              <w:contextualSpacing/>
              <w:jc w:val="both"/>
              <w:rPr>
                <w:rFonts w:ascii="Arial" w:hAnsi="Arial" w:cs="Arial"/>
                <w:sz w:val="24"/>
                <w:szCs w:val="24"/>
              </w:rPr>
            </w:pPr>
            <w:r w:rsidRPr="00DF1561">
              <w:rPr>
                <w:rFonts w:ascii="Arial" w:hAnsi="Arial" w:cs="Arial"/>
                <w:sz w:val="24"/>
                <w:szCs w:val="24"/>
              </w:rPr>
              <w:t>Cash Ratio</w:t>
            </w:r>
          </w:p>
        </w:tc>
        <w:tc>
          <w:tcPr>
            <w:tcW w:w="0" w:type="auto"/>
            <w:hideMark/>
          </w:tcPr>
          <w:p w14:paraId="752A0F18" w14:textId="77777777" w:rsidR="00DF1561" w:rsidRPr="00DF1561" w:rsidRDefault="00DF1561" w:rsidP="00161117">
            <w:pPr>
              <w:contextualSpacing/>
              <w:jc w:val="both"/>
              <w:rPr>
                <w:rFonts w:ascii="Arial" w:hAnsi="Arial" w:cs="Arial"/>
                <w:sz w:val="24"/>
                <w:szCs w:val="24"/>
              </w:rPr>
            </w:pPr>
            <w:r w:rsidRPr="00DF1561">
              <w:rPr>
                <w:rFonts w:ascii="Arial" w:hAnsi="Arial" w:cs="Arial"/>
                <w:sz w:val="24"/>
                <w:szCs w:val="24"/>
              </w:rPr>
              <w:t>Cash &amp; Equivalents ÷ Current Liabilities</w:t>
            </w:r>
          </w:p>
        </w:tc>
        <w:tc>
          <w:tcPr>
            <w:tcW w:w="0" w:type="auto"/>
            <w:hideMark/>
          </w:tcPr>
          <w:p w14:paraId="6991FDAF" w14:textId="77777777" w:rsidR="00DF1561" w:rsidRPr="00DF1561" w:rsidRDefault="00DF1561" w:rsidP="00161117">
            <w:pPr>
              <w:contextualSpacing/>
              <w:jc w:val="both"/>
              <w:rPr>
                <w:rFonts w:ascii="Arial" w:hAnsi="Arial" w:cs="Arial"/>
                <w:sz w:val="24"/>
                <w:szCs w:val="24"/>
              </w:rPr>
            </w:pPr>
            <w:r w:rsidRPr="00DF1561">
              <w:rPr>
                <w:rFonts w:ascii="Arial" w:hAnsi="Arial" w:cs="Arial"/>
                <w:sz w:val="24"/>
                <w:szCs w:val="24"/>
              </w:rPr>
              <w:t>(33,391 ÷ 172,165) = 0.19</w:t>
            </w:r>
          </w:p>
        </w:tc>
        <w:tc>
          <w:tcPr>
            <w:tcW w:w="0" w:type="auto"/>
            <w:hideMark/>
          </w:tcPr>
          <w:p w14:paraId="20BE070E" w14:textId="77777777" w:rsidR="00DF1561" w:rsidRPr="00DF1561" w:rsidRDefault="00DF1561" w:rsidP="00161117">
            <w:pPr>
              <w:contextualSpacing/>
              <w:jc w:val="both"/>
              <w:rPr>
                <w:rFonts w:ascii="Arial" w:hAnsi="Arial" w:cs="Arial"/>
                <w:sz w:val="24"/>
                <w:szCs w:val="24"/>
              </w:rPr>
            </w:pPr>
            <w:r w:rsidRPr="00DF1561">
              <w:rPr>
                <w:rFonts w:ascii="Arial" w:hAnsi="Arial" w:cs="Arial"/>
                <w:sz w:val="24"/>
                <w:szCs w:val="24"/>
              </w:rPr>
              <w:t>(33,267 ÷ 184,895) = 0.18</w:t>
            </w:r>
          </w:p>
        </w:tc>
        <w:tc>
          <w:tcPr>
            <w:tcW w:w="0" w:type="auto"/>
            <w:hideMark/>
          </w:tcPr>
          <w:p w14:paraId="35216DD1" w14:textId="77777777" w:rsidR="00DF1561" w:rsidRPr="00DF1561" w:rsidRDefault="00DF1561" w:rsidP="00161117">
            <w:pPr>
              <w:contextualSpacing/>
              <w:jc w:val="both"/>
              <w:rPr>
                <w:rFonts w:ascii="Arial" w:hAnsi="Arial" w:cs="Arial"/>
                <w:sz w:val="24"/>
                <w:szCs w:val="24"/>
              </w:rPr>
            </w:pPr>
            <w:r w:rsidRPr="00DF1561">
              <w:rPr>
                <w:rFonts w:ascii="Arial" w:hAnsi="Arial" w:cs="Arial"/>
                <w:sz w:val="24"/>
                <w:szCs w:val="24"/>
              </w:rPr>
              <w:t>(39,261 ÷ 219,836) = 0.18</w:t>
            </w:r>
          </w:p>
        </w:tc>
        <w:tc>
          <w:tcPr>
            <w:tcW w:w="0" w:type="auto"/>
            <w:hideMark/>
          </w:tcPr>
          <w:p w14:paraId="5E7EBA93" w14:textId="77777777" w:rsidR="00DF1561" w:rsidRPr="00DF1561" w:rsidRDefault="00DF1561" w:rsidP="00161117">
            <w:pPr>
              <w:contextualSpacing/>
              <w:jc w:val="both"/>
              <w:rPr>
                <w:rFonts w:ascii="Arial" w:hAnsi="Arial" w:cs="Arial"/>
                <w:sz w:val="24"/>
                <w:szCs w:val="24"/>
              </w:rPr>
            </w:pPr>
            <w:r w:rsidRPr="00DF1561">
              <w:rPr>
                <w:rFonts w:ascii="Arial" w:hAnsi="Arial" w:cs="Arial"/>
                <w:sz w:val="24"/>
                <w:szCs w:val="24"/>
              </w:rPr>
              <w:t>(36,440 ÷ 225,180) = 0.16</w:t>
            </w:r>
          </w:p>
        </w:tc>
        <w:tc>
          <w:tcPr>
            <w:tcW w:w="0" w:type="auto"/>
            <w:hideMark/>
          </w:tcPr>
          <w:p w14:paraId="3EC87677" w14:textId="77777777" w:rsidR="00DF1561" w:rsidRPr="00DF1561" w:rsidRDefault="00DF1561" w:rsidP="00161117">
            <w:pPr>
              <w:contextualSpacing/>
              <w:jc w:val="both"/>
              <w:rPr>
                <w:rFonts w:ascii="Arial" w:hAnsi="Arial" w:cs="Arial"/>
                <w:sz w:val="24"/>
                <w:szCs w:val="24"/>
              </w:rPr>
            </w:pPr>
            <w:r w:rsidRPr="00DF1561">
              <w:rPr>
                <w:rFonts w:ascii="Arial" w:hAnsi="Arial" w:cs="Arial"/>
                <w:sz w:val="24"/>
                <w:szCs w:val="24"/>
              </w:rPr>
              <w:t>(34,510 ÷ 224,760) = 0.15</w:t>
            </w:r>
          </w:p>
        </w:tc>
      </w:tr>
    </w:tbl>
    <w:p w14:paraId="1FADE750" w14:textId="77777777" w:rsidR="00DF1561" w:rsidRPr="00C24648" w:rsidRDefault="00DF1561" w:rsidP="00C24648">
      <w:pPr>
        <w:spacing w:after="0" w:line="360" w:lineRule="auto"/>
        <w:contextualSpacing/>
        <w:jc w:val="both"/>
        <w:rPr>
          <w:rFonts w:ascii="Arial" w:hAnsi="Arial" w:cs="Arial"/>
          <w:sz w:val="24"/>
          <w:szCs w:val="24"/>
        </w:rPr>
      </w:pPr>
    </w:p>
    <w:p w14:paraId="3B03BB26" w14:textId="5AE3FFC5" w:rsidR="00DF1561" w:rsidRPr="00C24648" w:rsidRDefault="00BF73E5" w:rsidP="00C24648">
      <w:pPr>
        <w:spacing w:after="0" w:line="360" w:lineRule="auto"/>
        <w:contextualSpacing/>
        <w:jc w:val="both"/>
        <w:rPr>
          <w:rFonts w:ascii="Arial" w:hAnsi="Arial" w:cs="Arial"/>
          <w:sz w:val="24"/>
          <w:szCs w:val="24"/>
        </w:rPr>
      </w:pPr>
      <w:r>
        <w:rPr>
          <w:rFonts w:ascii="Arial" w:hAnsi="Arial" w:cs="Arial"/>
          <w:noProof/>
          <w:sz w:val="24"/>
          <w:szCs w:val="24"/>
        </w:rPr>
        <w:drawing>
          <wp:inline distT="0" distB="0" distL="0" distR="0" wp14:anchorId="4E8C4E4B" wp14:editId="1DDDA3DC">
            <wp:extent cx="4584700" cy="2755900"/>
            <wp:effectExtent l="0" t="0" r="635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2D7714AE" w14:textId="260EA5F7" w:rsidR="00C86DFD" w:rsidRDefault="00BF73E5" w:rsidP="00C24648">
      <w:pPr>
        <w:spacing w:after="0" w:line="360" w:lineRule="auto"/>
        <w:contextualSpacing/>
        <w:jc w:val="both"/>
        <w:rPr>
          <w:rFonts w:ascii="Arial" w:hAnsi="Arial" w:cs="Arial"/>
          <w:sz w:val="24"/>
          <w:szCs w:val="24"/>
        </w:rPr>
      </w:pPr>
      <w:r>
        <w:rPr>
          <w:rFonts w:ascii="Arial" w:hAnsi="Arial" w:cs="Arial"/>
          <w:sz w:val="24"/>
          <w:szCs w:val="24"/>
        </w:rPr>
        <w:t xml:space="preserve">Graph 2: A </w:t>
      </w:r>
      <w:r w:rsidRPr="00BF73E5">
        <w:rPr>
          <w:rFonts w:ascii="Arial" w:hAnsi="Arial" w:cs="Arial"/>
          <w:sz w:val="24"/>
          <w:szCs w:val="24"/>
        </w:rPr>
        <w:t>gradual decline in Volkswagen Group’s liquidity ratios from 2021 to 2025, indicating weakening short-term financial resilience.</w:t>
      </w:r>
    </w:p>
    <w:p w14:paraId="3196164C" w14:textId="77777777" w:rsidR="00161117" w:rsidRPr="00C24648" w:rsidRDefault="00161117" w:rsidP="00C24648">
      <w:pPr>
        <w:spacing w:after="0" w:line="360" w:lineRule="auto"/>
        <w:contextualSpacing/>
        <w:jc w:val="both"/>
        <w:rPr>
          <w:rFonts w:ascii="Arial" w:hAnsi="Arial" w:cs="Arial"/>
          <w:sz w:val="24"/>
          <w:szCs w:val="24"/>
        </w:rPr>
      </w:pPr>
    </w:p>
    <w:p w14:paraId="35481E30" w14:textId="39699EE6" w:rsidR="00F95F29" w:rsidRPr="00C24648" w:rsidRDefault="007E6E4C" w:rsidP="00C24648">
      <w:pPr>
        <w:spacing w:after="0" w:line="360" w:lineRule="auto"/>
        <w:contextualSpacing/>
        <w:jc w:val="both"/>
        <w:rPr>
          <w:rFonts w:ascii="Arial" w:hAnsi="Arial" w:cs="Arial"/>
          <w:sz w:val="24"/>
          <w:szCs w:val="24"/>
        </w:rPr>
      </w:pPr>
      <w:r w:rsidRPr="00C24648">
        <w:rPr>
          <w:rFonts w:ascii="Arial" w:hAnsi="Arial" w:cs="Arial"/>
          <w:sz w:val="24"/>
          <w:szCs w:val="24"/>
        </w:rPr>
        <w:t xml:space="preserve">Table 3: </w:t>
      </w:r>
      <w:r w:rsidR="00F95F29" w:rsidRPr="00C24648">
        <w:rPr>
          <w:rFonts w:ascii="Arial" w:hAnsi="Arial" w:cs="Arial"/>
          <w:sz w:val="24"/>
          <w:szCs w:val="24"/>
        </w:rPr>
        <w:t>Efficiency Ratios</w:t>
      </w:r>
    </w:p>
    <w:tbl>
      <w:tblPr>
        <w:tblStyle w:val="TableGrid"/>
        <w:tblW w:w="0" w:type="auto"/>
        <w:tblLook w:val="04A0" w:firstRow="1" w:lastRow="0" w:firstColumn="1" w:lastColumn="0" w:noHBand="0" w:noVBand="1"/>
      </w:tblPr>
      <w:tblGrid>
        <w:gridCol w:w="1562"/>
        <w:gridCol w:w="1613"/>
        <w:gridCol w:w="1235"/>
        <w:gridCol w:w="1235"/>
        <w:gridCol w:w="1235"/>
        <w:gridCol w:w="1235"/>
        <w:gridCol w:w="1235"/>
      </w:tblGrid>
      <w:tr w:rsidR="00DF1561" w:rsidRPr="00DF1561" w14:paraId="1E1D3549" w14:textId="77777777" w:rsidTr="00DF1561">
        <w:tc>
          <w:tcPr>
            <w:tcW w:w="0" w:type="auto"/>
            <w:hideMark/>
          </w:tcPr>
          <w:p w14:paraId="566BEB7E" w14:textId="77777777" w:rsidR="00DF1561" w:rsidRPr="00DF1561" w:rsidRDefault="00DF1561" w:rsidP="00161117">
            <w:pPr>
              <w:contextualSpacing/>
              <w:jc w:val="both"/>
              <w:rPr>
                <w:rFonts w:ascii="Arial" w:eastAsia="Times New Roman" w:hAnsi="Arial" w:cs="Arial"/>
                <w:b/>
                <w:bCs/>
                <w:kern w:val="0"/>
                <w:sz w:val="24"/>
                <w:szCs w:val="24"/>
                <w14:ligatures w14:val="none"/>
              </w:rPr>
            </w:pPr>
            <w:r w:rsidRPr="00DF1561">
              <w:rPr>
                <w:rFonts w:ascii="Arial" w:eastAsia="Times New Roman" w:hAnsi="Arial" w:cs="Arial"/>
                <w:b/>
                <w:bCs/>
                <w:kern w:val="0"/>
                <w:sz w:val="24"/>
                <w:szCs w:val="24"/>
                <w14:ligatures w14:val="none"/>
              </w:rPr>
              <w:t>Ratio</w:t>
            </w:r>
          </w:p>
        </w:tc>
        <w:tc>
          <w:tcPr>
            <w:tcW w:w="0" w:type="auto"/>
            <w:hideMark/>
          </w:tcPr>
          <w:p w14:paraId="05362C00" w14:textId="77777777" w:rsidR="00DF1561" w:rsidRPr="00DF1561" w:rsidRDefault="00DF1561" w:rsidP="00161117">
            <w:pPr>
              <w:contextualSpacing/>
              <w:jc w:val="both"/>
              <w:rPr>
                <w:rFonts w:ascii="Arial" w:eastAsia="Times New Roman" w:hAnsi="Arial" w:cs="Arial"/>
                <w:b/>
                <w:bCs/>
                <w:kern w:val="0"/>
                <w:sz w:val="24"/>
                <w:szCs w:val="24"/>
                <w14:ligatures w14:val="none"/>
              </w:rPr>
            </w:pPr>
            <w:r w:rsidRPr="00DF1561">
              <w:rPr>
                <w:rFonts w:ascii="Arial" w:eastAsia="Times New Roman" w:hAnsi="Arial" w:cs="Arial"/>
                <w:b/>
                <w:bCs/>
                <w:kern w:val="0"/>
                <w:sz w:val="24"/>
                <w:szCs w:val="24"/>
                <w14:ligatures w14:val="none"/>
              </w:rPr>
              <w:t>Formula</w:t>
            </w:r>
          </w:p>
        </w:tc>
        <w:tc>
          <w:tcPr>
            <w:tcW w:w="0" w:type="auto"/>
            <w:hideMark/>
          </w:tcPr>
          <w:p w14:paraId="0A42ACB5" w14:textId="77777777" w:rsidR="00DF1561" w:rsidRPr="00DF1561" w:rsidRDefault="00DF1561" w:rsidP="00161117">
            <w:pPr>
              <w:contextualSpacing/>
              <w:jc w:val="both"/>
              <w:rPr>
                <w:rFonts w:ascii="Arial" w:eastAsia="Times New Roman" w:hAnsi="Arial" w:cs="Arial"/>
                <w:b/>
                <w:bCs/>
                <w:kern w:val="0"/>
                <w:sz w:val="24"/>
                <w:szCs w:val="24"/>
                <w14:ligatures w14:val="none"/>
              </w:rPr>
            </w:pPr>
            <w:r w:rsidRPr="00DF1561">
              <w:rPr>
                <w:rFonts w:ascii="Arial" w:eastAsia="Times New Roman" w:hAnsi="Arial" w:cs="Arial"/>
                <w:b/>
                <w:bCs/>
                <w:kern w:val="0"/>
                <w:sz w:val="24"/>
                <w:szCs w:val="24"/>
                <w14:ligatures w14:val="none"/>
              </w:rPr>
              <w:t>2021</w:t>
            </w:r>
          </w:p>
        </w:tc>
        <w:tc>
          <w:tcPr>
            <w:tcW w:w="0" w:type="auto"/>
            <w:hideMark/>
          </w:tcPr>
          <w:p w14:paraId="3AE851C7" w14:textId="77777777" w:rsidR="00DF1561" w:rsidRPr="00DF1561" w:rsidRDefault="00DF1561" w:rsidP="00161117">
            <w:pPr>
              <w:contextualSpacing/>
              <w:jc w:val="both"/>
              <w:rPr>
                <w:rFonts w:ascii="Arial" w:eastAsia="Times New Roman" w:hAnsi="Arial" w:cs="Arial"/>
                <w:b/>
                <w:bCs/>
                <w:kern w:val="0"/>
                <w:sz w:val="24"/>
                <w:szCs w:val="24"/>
                <w14:ligatures w14:val="none"/>
              </w:rPr>
            </w:pPr>
            <w:r w:rsidRPr="00DF1561">
              <w:rPr>
                <w:rFonts w:ascii="Arial" w:eastAsia="Times New Roman" w:hAnsi="Arial" w:cs="Arial"/>
                <w:b/>
                <w:bCs/>
                <w:kern w:val="0"/>
                <w:sz w:val="24"/>
                <w:szCs w:val="24"/>
                <w14:ligatures w14:val="none"/>
              </w:rPr>
              <w:t>2022</w:t>
            </w:r>
          </w:p>
        </w:tc>
        <w:tc>
          <w:tcPr>
            <w:tcW w:w="0" w:type="auto"/>
            <w:hideMark/>
          </w:tcPr>
          <w:p w14:paraId="7D9617B4" w14:textId="77777777" w:rsidR="00DF1561" w:rsidRPr="00DF1561" w:rsidRDefault="00DF1561" w:rsidP="00161117">
            <w:pPr>
              <w:contextualSpacing/>
              <w:jc w:val="both"/>
              <w:rPr>
                <w:rFonts w:ascii="Arial" w:eastAsia="Times New Roman" w:hAnsi="Arial" w:cs="Arial"/>
                <w:b/>
                <w:bCs/>
                <w:kern w:val="0"/>
                <w:sz w:val="24"/>
                <w:szCs w:val="24"/>
                <w14:ligatures w14:val="none"/>
              </w:rPr>
            </w:pPr>
            <w:r w:rsidRPr="00DF1561">
              <w:rPr>
                <w:rFonts w:ascii="Arial" w:eastAsia="Times New Roman" w:hAnsi="Arial" w:cs="Arial"/>
                <w:b/>
                <w:bCs/>
                <w:kern w:val="0"/>
                <w:sz w:val="24"/>
                <w:szCs w:val="24"/>
                <w14:ligatures w14:val="none"/>
              </w:rPr>
              <w:t>2023</w:t>
            </w:r>
          </w:p>
        </w:tc>
        <w:tc>
          <w:tcPr>
            <w:tcW w:w="0" w:type="auto"/>
            <w:hideMark/>
          </w:tcPr>
          <w:p w14:paraId="0218617C" w14:textId="77777777" w:rsidR="00DF1561" w:rsidRPr="00DF1561" w:rsidRDefault="00DF1561" w:rsidP="00161117">
            <w:pPr>
              <w:contextualSpacing/>
              <w:jc w:val="both"/>
              <w:rPr>
                <w:rFonts w:ascii="Arial" w:eastAsia="Times New Roman" w:hAnsi="Arial" w:cs="Arial"/>
                <w:b/>
                <w:bCs/>
                <w:kern w:val="0"/>
                <w:sz w:val="24"/>
                <w:szCs w:val="24"/>
                <w14:ligatures w14:val="none"/>
              </w:rPr>
            </w:pPr>
            <w:r w:rsidRPr="00DF1561">
              <w:rPr>
                <w:rFonts w:ascii="Arial" w:eastAsia="Times New Roman" w:hAnsi="Arial" w:cs="Arial"/>
                <w:b/>
                <w:bCs/>
                <w:kern w:val="0"/>
                <w:sz w:val="24"/>
                <w:szCs w:val="24"/>
                <w14:ligatures w14:val="none"/>
              </w:rPr>
              <w:t>2024</w:t>
            </w:r>
          </w:p>
        </w:tc>
        <w:tc>
          <w:tcPr>
            <w:tcW w:w="0" w:type="auto"/>
            <w:hideMark/>
          </w:tcPr>
          <w:p w14:paraId="7C6086B8" w14:textId="77777777" w:rsidR="00DF1561" w:rsidRPr="00DF1561" w:rsidRDefault="00DF1561" w:rsidP="00161117">
            <w:pPr>
              <w:contextualSpacing/>
              <w:jc w:val="both"/>
              <w:rPr>
                <w:rFonts w:ascii="Arial" w:eastAsia="Times New Roman" w:hAnsi="Arial" w:cs="Arial"/>
                <w:b/>
                <w:bCs/>
                <w:kern w:val="0"/>
                <w:sz w:val="24"/>
                <w:szCs w:val="24"/>
                <w14:ligatures w14:val="none"/>
              </w:rPr>
            </w:pPr>
            <w:r w:rsidRPr="00DF1561">
              <w:rPr>
                <w:rFonts w:ascii="Arial" w:eastAsia="Times New Roman" w:hAnsi="Arial" w:cs="Arial"/>
                <w:b/>
                <w:bCs/>
                <w:kern w:val="0"/>
                <w:sz w:val="24"/>
                <w:szCs w:val="24"/>
                <w14:ligatures w14:val="none"/>
              </w:rPr>
              <w:t>2025</w:t>
            </w:r>
          </w:p>
        </w:tc>
      </w:tr>
      <w:tr w:rsidR="00DF1561" w:rsidRPr="00DF1561" w14:paraId="7C61EB06" w14:textId="77777777" w:rsidTr="00DF1561">
        <w:tc>
          <w:tcPr>
            <w:tcW w:w="0" w:type="auto"/>
            <w:hideMark/>
          </w:tcPr>
          <w:p w14:paraId="61920669" w14:textId="77777777" w:rsidR="00DF1561" w:rsidRPr="00DF1561" w:rsidRDefault="00DF1561" w:rsidP="00161117">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Asset Turnover</w:t>
            </w:r>
          </w:p>
        </w:tc>
        <w:tc>
          <w:tcPr>
            <w:tcW w:w="0" w:type="auto"/>
            <w:hideMark/>
          </w:tcPr>
          <w:p w14:paraId="3A0CE2A1" w14:textId="77777777" w:rsidR="00DF1561" w:rsidRPr="00DF1561" w:rsidRDefault="00DF1561" w:rsidP="00161117">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Sales Revenue ÷ Total Assets</w:t>
            </w:r>
          </w:p>
        </w:tc>
        <w:tc>
          <w:tcPr>
            <w:tcW w:w="0" w:type="auto"/>
            <w:hideMark/>
          </w:tcPr>
          <w:p w14:paraId="1B5F1754" w14:textId="77777777" w:rsidR="00DF1561" w:rsidRPr="00DF1561" w:rsidRDefault="00DF1561" w:rsidP="00161117">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(250,200 ÷ 528,610) = 0.47</w:t>
            </w:r>
          </w:p>
        </w:tc>
        <w:tc>
          <w:tcPr>
            <w:tcW w:w="0" w:type="auto"/>
            <w:hideMark/>
          </w:tcPr>
          <w:p w14:paraId="2A0EA704" w14:textId="77777777" w:rsidR="00DF1561" w:rsidRPr="00DF1561" w:rsidRDefault="00DF1561" w:rsidP="00161117">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(279,232 ÷ 564,285) = 0.50</w:t>
            </w:r>
          </w:p>
        </w:tc>
        <w:tc>
          <w:tcPr>
            <w:tcW w:w="0" w:type="auto"/>
            <w:hideMark/>
          </w:tcPr>
          <w:p w14:paraId="0F2A1275" w14:textId="77777777" w:rsidR="00DF1561" w:rsidRPr="00DF1561" w:rsidRDefault="00DF1561" w:rsidP="00161117">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(322,284 ÷ 620,016) = 0.52</w:t>
            </w:r>
          </w:p>
        </w:tc>
        <w:tc>
          <w:tcPr>
            <w:tcW w:w="0" w:type="auto"/>
            <w:hideMark/>
          </w:tcPr>
          <w:p w14:paraId="5C12C95A" w14:textId="77777777" w:rsidR="00DF1561" w:rsidRPr="00DF1561" w:rsidRDefault="00DF1561" w:rsidP="00161117">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(324,700 ÷ 615,400) = 0.52</w:t>
            </w:r>
          </w:p>
        </w:tc>
        <w:tc>
          <w:tcPr>
            <w:tcW w:w="0" w:type="auto"/>
            <w:hideMark/>
          </w:tcPr>
          <w:p w14:paraId="57C35A09" w14:textId="77777777" w:rsidR="00DF1561" w:rsidRPr="00DF1561" w:rsidRDefault="00DF1561" w:rsidP="00161117">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(321,900 ÷ 619,200) = 0.52</w:t>
            </w:r>
          </w:p>
        </w:tc>
      </w:tr>
      <w:tr w:rsidR="00DF1561" w:rsidRPr="00DF1561" w14:paraId="4B672537" w14:textId="77777777" w:rsidTr="00DF1561">
        <w:tc>
          <w:tcPr>
            <w:tcW w:w="0" w:type="auto"/>
            <w:hideMark/>
          </w:tcPr>
          <w:p w14:paraId="53824AA0" w14:textId="77777777" w:rsidR="00DF1561" w:rsidRPr="00DF1561" w:rsidRDefault="00DF1561" w:rsidP="00161117">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lastRenderedPageBreak/>
              <w:t>Fixed Asset Turnover</w:t>
            </w:r>
          </w:p>
        </w:tc>
        <w:tc>
          <w:tcPr>
            <w:tcW w:w="0" w:type="auto"/>
            <w:hideMark/>
          </w:tcPr>
          <w:p w14:paraId="4875C94C" w14:textId="77777777" w:rsidR="00DF1561" w:rsidRPr="00DF1561" w:rsidRDefault="00DF1561" w:rsidP="00161117">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Sales Revenue ÷ Net PPE</w:t>
            </w:r>
          </w:p>
        </w:tc>
        <w:tc>
          <w:tcPr>
            <w:tcW w:w="0" w:type="auto"/>
            <w:hideMark/>
          </w:tcPr>
          <w:p w14:paraId="69B83509" w14:textId="77777777" w:rsidR="00DF1561" w:rsidRPr="00DF1561" w:rsidRDefault="00DF1561" w:rsidP="00161117">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(250,200 ÷ 69,100) = 3.62</w:t>
            </w:r>
          </w:p>
        </w:tc>
        <w:tc>
          <w:tcPr>
            <w:tcW w:w="0" w:type="auto"/>
            <w:hideMark/>
          </w:tcPr>
          <w:p w14:paraId="5AD77E99" w14:textId="77777777" w:rsidR="00DF1561" w:rsidRPr="00DF1561" w:rsidRDefault="00DF1561" w:rsidP="00161117">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(279,232 ÷ 74,100) = 3.77</w:t>
            </w:r>
          </w:p>
        </w:tc>
        <w:tc>
          <w:tcPr>
            <w:tcW w:w="0" w:type="auto"/>
            <w:hideMark/>
          </w:tcPr>
          <w:p w14:paraId="182095BE" w14:textId="77777777" w:rsidR="00DF1561" w:rsidRPr="00DF1561" w:rsidRDefault="00DF1561" w:rsidP="00161117">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(322,284 ÷ 81,900) = 3.94</w:t>
            </w:r>
          </w:p>
        </w:tc>
        <w:tc>
          <w:tcPr>
            <w:tcW w:w="0" w:type="auto"/>
            <w:hideMark/>
          </w:tcPr>
          <w:p w14:paraId="351D4B8D" w14:textId="77777777" w:rsidR="00DF1561" w:rsidRPr="00DF1561" w:rsidRDefault="00DF1561" w:rsidP="00161117">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(324,700 ÷ 87,500) = 3.71</w:t>
            </w:r>
          </w:p>
        </w:tc>
        <w:tc>
          <w:tcPr>
            <w:tcW w:w="0" w:type="auto"/>
            <w:hideMark/>
          </w:tcPr>
          <w:p w14:paraId="3FE83C89" w14:textId="77777777" w:rsidR="00DF1561" w:rsidRPr="00DF1561" w:rsidRDefault="00DF1561" w:rsidP="00161117">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(321,900 ÷ 89,300) = 3.60</w:t>
            </w:r>
          </w:p>
        </w:tc>
      </w:tr>
      <w:tr w:rsidR="00DF1561" w:rsidRPr="00DF1561" w14:paraId="5B8E5DF5" w14:textId="77777777" w:rsidTr="00DF1561">
        <w:tc>
          <w:tcPr>
            <w:tcW w:w="0" w:type="auto"/>
            <w:hideMark/>
          </w:tcPr>
          <w:p w14:paraId="4F0B99D4" w14:textId="77777777" w:rsidR="00DF1561" w:rsidRPr="00DF1561" w:rsidRDefault="00DF1561" w:rsidP="00161117">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Inventory Turnover</w:t>
            </w:r>
          </w:p>
        </w:tc>
        <w:tc>
          <w:tcPr>
            <w:tcW w:w="0" w:type="auto"/>
            <w:hideMark/>
          </w:tcPr>
          <w:p w14:paraId="0B19349C" w14:textId="77777777" w:rsidR="00DF1561" w:rsidRPr="00DF1561" w:rsidRDefault="00DF1561" w:rsidP="00161117">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Cost of Sales ÷ Avg. Inventory</w:t>
            </w:r>
          </w:p>
        </w:tc>
        <w:tc>
          <w:tcPr>
            <w:tcW w:w="0" w:type="auto"/>
            <w:hideMark/>
          </w:tcPr>
          <w:p w14:paraId="6103E8EF" w14:textId="77777777" w:rsidR="00DF1561" w:rsidRPr="00DF1561" w:rsidRDefault="00DF1561" w:rsidP="00161117">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4.92</w:t>
            </w:r>
          </w:p>
        </w:tc>
        <w:tc>
          <w:tcPr>
            <w:tcW w:w="0" w:type="auto"/>
            <w:hideMark/>
          </w:tcPr>
          <w:p w14:paraId="6E0C15BA" w14:textId="77777777" w:rsidR="00DF1561" w:rsidRPr="00DF1561" w:rsidRDefault="00DF1561" w:rsidP="00161117">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4.81</w:t>
            </w:r>
          </w:p>
        </w:tc>
        <w:tc>
          <w:tcPr>
            <w:tcW w:w="0" w:type="auto"/>
            <w:hideMark/>
          </w:tcPr>
          <w:p w14:paraId="60AA78E7" w14:textId="77777777" w:rsidR="00DF1561" w:rsidRPr="00DF1561" w:rsidRDefault="00DF1561" w:rsidP="00161117">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4.85</w:t>
            </w:r>
          </w:p>
        </w:tc>
        <w:tc>
          <w:tcPr>
            <w:tcW w:w="0" w:type="auto"/>
            <w:hideMark/>
          </w:tcPr>
          <w:p w14:paraId="06ED2B56" w14:textId="77777777" w:rsidR="00DF1561" w:rsidRPr="00DF1561" w:rsidRDefault="00DF1561" w:rsidP="00161117">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4.56</w:t>
            </w:r>
          </w:p>
        </w:tc>
        <w:tc>
          <w:tcPr>
            <w:tcW w:w="0" w:type="auto"/>
            <w:hideMark/>
          </w:tcPr>
          <w:p w14:paraId="53A4278E" w14:textId="77777777" w:rsidR="00DF1561" w:rsidRPr="00DF1561" w:rsidRDefault="00DF1561" w:rsidP="00161117">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4.25</w:t>
            </w:r>
          </w:p>
        </w:tc>
      </w:tr>
      <w:tr w:rsidR="00DF1561" w:rsidRPr="00DF1561" w14:paraId="653A1C92" w14:textId="77777777" w:rsidTr="00DF1561">
        <w:tc>
          <w:tcPr>
            <w:tcW w:w="0" w:type="auto"/>
            <w:hideMark/>
          </w:tcPr>
          <w:p w14:paraId="7FB76501" w14:textId="77777777" w:rsidR="00DF1561" w:rsidRPr="00DF1561" w:rsidRDefault="00DF1561" w:rsidP="00161117">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Receivables Turnover</w:t>
            </w:r>
          </w:p>
        </w:tc>
        <w:tc>
          <w:tcPr>
            <w:tcW w:w="0" w:type="auto"/>
            <w:hideMark/>
          </w:tcPr>
          <w:p w14:paraId="39AAD1DF" w14:textId="77777777" w:rsidR="00DF1561" w:rsidRPr="00DF1561" w:rsidRDefault="00DF1561" w:rsidP="00161117">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Sales Revenue ÷ Avg. Receivables</w:t>
            </w:r>
          </w:p>
        </w:tc>
        <w:tc>
          <w:tcPr>
            <w:tcW w:w="0" w:type="auto"/>
            <w:hideMark/>
          </w:tcPr>
          <w:p w14:paraId="69423140" w14:textId="77777777" w:rsidR="00DF1561" w:rsidRPr="00DF1561" w:rsidRDefault="00DF1561" w:rsidP="00161117">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16.2</w:t>
            </w:r>
          </w:p>
        </w:tc>
        <w:tc>
          <w:tcPr>
            <w:tcW w:w="0" w:type="auto"/>
            <w:hideMark/>
          </w:tcPr>
          <w:p w14:paraId="2B684AE7" w14:textId="77777777" w:rsidR="00DF1561" w:rsidRPr="00DF1561" w:rsidRDefault="00DF1561" w:rsidP="00161117">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15.4</w:t>
            </w:r>
          </w:p>
        </w:tc>
        <w:tc>
          <w:tcPr>
            <w:tcW w:w="0" w:type="auto"/>
            <w:hideMark/>
          </w:tcPr>
          <w:p w14:paraId="5B0E53E9" w14:textId="77777777" w:rsidR="00DF1561" w:rsidRPr="00DF1561" w:rsidRDefault="00DF1561" w:rsidP="00161117">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14.8</w:t>
            </w:r>
          </w:p>
        </w:tc>
        <w:tc>
          <w:tcPr>
            <w:tcW w:w="0" w:type="auto"/>
            <w:hideMark/>
          </w:tcPr>
          <w:p w14:paraId="4FB6033C" w14:textId="77777777" w:rsidR="00DF1561" w:rsidRPr="00DF1561" w:rsidRDefault="00DF1561" w:rsidP="00161117">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14.1</w:t>
            </w:r>
          </w:p>
        </w:tc>
        <w:tc>
          <w:tcPr>
            <w:tcW w:w="0" w:type="auto"/>
            <w:hideMark/>
          </w:tcPr>
          <w:p w14:paraId="14A6FCBA" w14:textId="77777777" w:rsidR="00DF1561" w:rsidRPr="00DF1561" w:rsidRDefault="00DF1561" w:rsidP="00161117">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13.5</w:t>
            </w:r>
          </w:p>
        </w:tc>
      </w:tr>
    </w:tbl>
    <w:p w14:paraId="4A3C74F3" w14:textId="608689D9" w:rsidR="00DF1561" w:rsidRPr="00C24648" w:rsidRDefault="00DF1561" w:rsidP="00161117">
      <w:pPr>
        <w:spacing w:after="0" w:line="360" w:lineRule="auto"/>
        <w:contextualSpacing/>
        <w:jc w:val="both"/>
        <w:rPr>
          <w:rFonts w:ascii="Arial" w:hAnsi="Arial" w:cs="Arial"/>
          <w:sz w:val="24"/>
          <w:szCs w:val="24"/>
        </w:rPr>
      </w:pPr>
      <w:r w:rsidRPr="00C24648">
        <w:rPr>
          <w:rFonts w:ascii="Arial" w:hAnsi="Arial" w:cs="Arial"/>
          <w:sz w:val="24"/>
          <w:szCs w:val="24"/>
        </w:rPr>
        <w:t>Data Source for Calculations (€ billion)</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852"/>
        <w:gridCol w:w="691"/>
        <w:gridCol w:w="691"/>
        <w:gridCol w:w="691"/>
        <w:gridCol w:w="691"/>
        <w:gridCol w:w="706"/>
      </w:tblGrid>
      <w:tr w:rsidR="00DF1561" w:rsidRPr="00C24648" w14:paraId="1FD0143F" w14:textId="77777777" w:rsidTr="00D94659">
        <w:trPr>
          <w:tblHeade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0C5F5D7B" w14:textId="77777777" w:rsidR="00DF1561" w:rsidRPr="00C24648" w:rsidRDefault="00DF1561" w:rsidP="00C24648">
            <w:pPr>
              <w:spacing w:after="0" w:line="360" w:lineRule="auto"/>
              <w:contextualSpacing/>
              <w:jc w:val="both"/>
              <w:rPr>
                <w:rFonts w:ascii="Arial" w:hAnsi="Arial" w:cs="Arial"/>
                <w:sz w:val="24"/>
                <w:szCs w:val="24"/>
              </w:rPr>
            </w:pPr>
            <w:r w:rsidRPr="00C24648">
              <w:rPr>
                <w:rStyle w:val="Strong"/>
                <w:rFonts w:ascii="Arial" w:hAnsi="Arial" w:cs="Arial"/>
                <w:sz w:val="24"/>
                <w:szCs w:val="24"/>
              </w:rPr>
              <w:t>Item</w:t>
            </w:r>
          </w:p>
        </w:tc>
        <w:tc>
          <w:tcPr>
            <w:tcW w:w="0" w:type="auto"/>
            <w:tcBorders>
              <w:top w:val="single" w:sz="6" w:space="0" w:color="auto"/>
              <w:left w:val="single" w:sz="6" w:space="0" w:color="auto"/>
              <w:bottom w:val="single" w:sz="6" w:space="0" w:color="auto"/>
              <w:right w:val="single" w:sz="6" w:space="0" w:color="auto"/>
            </w:tcBorders>
            <w:vAlign w:val="center"/>
            <w:hideMark/>
          </w:tcPr>
          <w:p w14:paraId="4191EAEF" w14:textId="77777777" w:rsidR="00DF1561" w:rsidRPr="00C24648" w:rsidRDefault="00DF1561" w:rsidP="00C24648">
            <w:pPr>
              <w:spacing w:after="0" w:line="360" w:lineRule="auto"/>
              <w:contextualSpacing/>
              <w:jc w:val="both"/>
              <w:rPr>
                <w:rFonts w:ascii="Arial" w:hAnsi="Arial" w:cs="Arial"/>
                <w:sz w:val="24"/>
                <w:szCs w:val="24"/>
              </w:rPr>
            </w:pPr>
            <w:r w:rsidRPr="00C24648">
              <w:rPr>
                <w:rStyle w:val="Strong"/>
                <w:rFonts w:ascii="Arial" w:hAnsi="Arial" w:cs="Arial"/>
                <w:sz w:val="24"/>
                <w:szCs w:val="24"/>
              </w:rPr>
              <w:t>2021</w:t>
            </w:r>
          </w:p>
        </w:tc>
        <w:tc>
          <w:tcPr>
            <w:tcW w:w="0" w:type="auto"/>
            <w:tcBorders>
              <w:top w:val="single" w:sz="6" w:space="0" w:color="auto"/>
              <w:left w:val="single" w:sz="6" w:space="0" w:color="auto"/>
              <w:bottom w:val="single" w:sz="6" w:space="0" w:color="auto"/>
              <w:right w:val="single" w:sz="6" w:space="0" w:color="auto"/>
            </w:tcBorders>
            <w:vAlign w:val="center"/>
            <w:hideMark/>
          </w:tcPr>
          <w:p w14:paraId="15EEB5F5" w14:textId="77777777" w:rsidR="00DF1561" w:rsidRPr="00C24648" w:rsidRDefault="00DF1561" w:rsidP="00C24648">
            <w:pPr>
              <w:spacing w:after="0" w:line="360" w:lineRule="auto"/>
              <w:contextualSpacing/>
              <w:jc w:val="both"/>
              <w:rPr>
                <w:rFonts w:ascii="Arial" w:hAnsi="Arial" w:cs="Arial"/>
                <w:sz w:val="24"/>
                <w:szCs w:val="24"/>
              </w:rPr>
            </w:pPr>
            <w:r w:rsidRPr="00C24648">
              <w:rPr>
                <w:rStyle w:val="Strong"/>
                <w:rFonts w:ascii="Arial" w:hAnsi="Arial" w:cs="Arial"/>
                <w:sz w:val="24"/>
                <w:szCs w:val="24"/>
              </w:rPr>
              <w:t>2022</w:t>
            </w:r>
          </w:p>
        </w:tc>
        <w:tc>
          <w:tcPr>
            <w:tcW w:w="0" w:type="auto"/>
            <w:tcBorders>
              <w:top w:val="single" w:sz="6" w:space="0" w:color="auto"/>
              <w:left w:val="single" w:sz="6" w:space="0" w:color="auto"/>
              <w:bottom w:val="single" w:sz="6" w:space="0" w:color="auto"/>
              <w:right w:val="single" w:sz="6" w:space="0" w:color="auto"/>
            </w:tcBorders>
            <w:vAlign w:val="center"/>
            <w:hideMark/>
          </w:tcPr>
          <w:p w14:paraId="01C73766" w14:textId="77777777" w:rsidR="00DF1561" w:rsidRPr="00C24648" w:rsidRDefault="00DF1561" w:rsidP="00C24648">
            <w:pPr>
              <w:spacing w:after="0" w:line="360" w:lineRule="auto"/>
              <w:contextualSpacing/>
              <w:jc w:val="both"/>
              <w:rPr>
                <w:rFonts w:ascii="Arial" w:hAnsi="Arial" w:cs="Arial"/>
                <w:sz w:val="24"/>
                <w:szCs w:val="24"/>
              </w:rPr>
            </w:pPr>
            <w:r w:rsidRPr="00C24648">
              <w:rPr>
                <w:rStyle w:val="Strong"/>
                <w:rFonts w:ascii="Arial" w:hAnsi="Arial" w:cs="Arial"/>
                <w:sz w:val="24"/>
                <w:szCs w:val="24"/>
              </w:rPr>
              <w:t>2023</w:t>
            </w:r>
          </w:p>
        </w:tc>
        <w:tc>
          <w:tcPr>
            <w:tcW w:w="0" w:type="auto"/>
            <w:tcBorders>
              <w:top w:val="single" w:sz="6" w:space="0" w:color="auto"/>
              <w:left w:val="single" w:sz="6" w:space="0" w:color="auto"/>
              <w:bottom w:val="single" w:sz="6" w:space="0" w:color="auto"/>
              <w:right w:val="single" w:sz="6" w:space="0" w:color="auto"/>
            </w:tcBorders>
            <w:vAlign w:val="center"/>
            <w:hideMark/>
          </w:tcPr>
          <w:p w14:paraId="52A4EACB" w14:textId="77777777" w:rsidR="00DF1561" w:rsidRPr="00C24648" w:rsidRDefault="00DF1561" w:rsidP="00C24648">
            <w:pPr>
              <w:spacing w:after="0" w:line="360" w:lineRule="auto"/>
              <w:contextualSpacing/>
              <w:jc w:val="both"/>
              <w:rPr>
                <w:rFonts w:ascii="Arial" w:hAnsi="Arial" w:cs="Arial"/>
                <w:sz w:val="24"/>
                <w:szCs w:val="24"/>
              </w:rPr>
            </w:pPr>
            <w:r w:rsidRPr="00C24648">
              <w:rPr>
                <w:rStyle w:val="Strong"/>
                <w:rFonts w:ascii="Arial" w:hAnsi="Arial" w:cs="Arial"/>
                <w:sz w:val="24"/>
                <w:szCs w:val="24"/>
              </w:rPr>
              <w:t>2024</w:t>
            </w:r>
          </w:p>
        </w:tc>
        <w:tc>
          <w:tcPr>
            <w:tcW w:w="0" w:type="auto"/>
            <w:tcBorders>
              <w:top w:val="single" w:sz="6" w:space="0" w:color="auto"/>
              <w:left w:val="single" w:sz="6" w:space="0" w:color="auto"/>
              <w:bottom w:val="single" w:sz="6" w:space="0" w:color="auto"/>
              <w:right w:val="single" w:sz="6" w:space="0" w:color="auto"/>
            </w:tcBorders>
            <w:vAlign w:val="center"/>
            <w:hideMark/>
          </w:tcPr>
          <w:p w14:paraId="1BD04412" w14:textId="77777777" w:rsidR="00DF1561" w:rsidRPr="00C24648" w:rsidRDefault="00DF1561" w:rsidP="00C24648">
            <w:pPr>
              <w:spacing w:after="0" w:line="360" w:lineRule="auto"/>
              <w:contextualSpacing/>
              <w:jc w:val="both"/>
              <w:rPr>
                <w:rFonts w:ascii="Arial" w:hAnsi="Arial" w:cs="Arial"/>
                <w:sz w:val="24"/>
                <w:szCs w:val="24"/>
              </w:rPr>
            </w:pPr>
            <w:r w:rsidRPr="00C24648">
              <w:rPr>
                <w:rStyle w:val="Strong"/>
                <w:rFonts w:ascii="Arial" w:hAnsi="Arial" w:cs="Arial"/>
                <w:sz w:val="24"/>
                <w:szCs w:val="24"/>
              </w:rPr>
              <w:t>2025</w:t>
            </w:r>
          </w:p>
        </w:tc>
      </w:tr>
      <w:tr w:rsidR="00DF1561" w:rsidRPr="00C24648" w14:paraId="40556887" w14:textId="77777777" w:rsidTr="00D94659">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0CA58716" w14:textId="77777777" w:rsidR="00DF1561" w:rsidRPr="00C24648" w:rsidRDefault="00DF1561" w:rsidP="00C24648">
            <w:pPr>
              <w:pStyle w:val="NormalWeb"/>
              <w:spacing w:before="0" w:beforeAutospacing="0" w:after="0" w:afterAutospacing="0" w:line="360" w:lineRule="auto"/>
              <w:contextualSpacing/>
              <w:jc w:val="both"/>
              <w:rPr>
                <w:rFonts w:ascii="Arial" w:hAnsi="Arial" w:cs="Arial"/>
              </w:rPr>
            </w:pPr>
            <w:r w:rsidRPr="00C24648">
              <w:rPr>
                <w:rStyle w:val="citation-236"/>
                <w:rFonts w:ascii="Arial" w:eastAsiaTheme="majorEastAsia" w:hAnsi="Arial" w:cs="Arial"/>
                <w:b/>
                <w:bCs/>
              </w:rPr>
              <w:t>Sales Revenue</w:t>
            </w:r>
            <w:r w:rsidRPr="00C24648">
              <w:rPr>
                <w:rStyle w:val="citation-236"/>
                <w:rFonts w:ascii="Arial" w:eastAsiaTheme="majorEastAsia" w:hAnsi="Arial" w:cs="Arial"/>
              </w:rPr>
              <w:t xml:space="preserve"> </w:t>
            </w:r>
          </w:p>
        </w:tc>
        <w:tc>
          <w:tcPr>
            <w:tcW w:w="0" w:type="auto"/>
            <w:tcBorders>
              <w:top w:val="single" w:sz="6" w:space="0" w:color="auto"/>
              <w:left w:val="single" w:sz="6" w:space="0" w:color="auto"/>
              <w:bottom w:val="single" w:sz="6" w:space="0" w:color="auto"/>
              <w:right w:val="single" w:sz="6" w:space="0" w:color="auto"/>
            </w:tcBorders>
            <w:vAlign w:val="center"/>
            <w:hideMark/>
          </w:tcPr>
          <w:p w14:paraId="453C146F"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sz w:val="24"/>
                <w:szCs w:val="24"/>
              </w:rPr>
              <w:t>250.2</w:t>
            </w:r>
          </w:p>
        </w:tc>
        <w:tc>
          <w:tcPr>
            <w:tcW w:w="0" w:type="auto"/>
            <w:tcBorders>
              <w:top w:val="single" w:sz="6" w:space="0" w:color="auto"/>
              <w:left w:val="single" w:sz="6" w:space="0" w:color="auto"/>
              <w:bottom w:val="single" w:sz="6" w:space="0" w:color="auto"/>
              <w:right w:val="single" w:sz="6" w:space="0" w:color="auto"/>
            </w:tcBorders>
            <w:vAlign w:val="center"/>
            <w:hideMark/>
          </w:tcPr>
          <w:p w14:paraId="2CE8BE11"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sz w:val="24"/>
                <w:szCs w:val="24"/>
              </w:rPr>
              <w:t>279.2</w:t>
            </w:r>
          </w:p>
        </w:tc>
        <w:tc>
          <w:tcPr>
            <w:tcW w:w="0" w:type="auto"/>
            <w:tcBorders>
              <w:top w:val="single" w:sz="6" w:space="0" w:color="auto"/>
              <w:left w:val="single" w:sz="6" w:space="0" w:color="auto"/>
              <w:bottom w:val="single" w:sz="6" w:space="0" w:color="auto"/>
              <w:right w:val="single" w:sz="6" w:space="0" w:color="auto"/>
            </w:tcBorders>
            <w:vAlign w:val="center"/>
            <w:hideMark/>
          </w:tcPr>
          <w:p w14:paraId="77D0608C"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sz w:val="24"/>
                <w:szCs w:val="24"/>
              </w:rPr>
              <w:t>322.3</w:t>
            </w:r>
          </w:p>
        </w:tc>
        <w:tc>
          <w:tcPr>
            <w:tcW w:w="0" w:type="auto"/>
            <w:tcBorders>
              <w:top w:val="single" w:sz="6" w:space="0" w:color="auto"/>
              <w:left w:val="single" w:sz="6" w:space="0" w:color="auto"/>
              <w:bottom w:val="single" w:sz="6" w:space="0" w:color="auto"/>
              <w:right w:val="single" w:sz="6" w:space="0" w:color="auto"/>
            </w:tcBorders>
            <w:vAlign w:val="center"/>
            <w:hideMark/>
          </w:tcPr>
          <w:p w14:paraId="1014DAEA"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sz w:val="24"/>
                <w:szCs w:val="24"/>
              </w:rPr>
              <w:t>324.7</w:t>
            </w:r>
          </w:p>
        </w:tc>
        <w:tc>
          <w:tcPr>
            <w:tcW w:w="0" w:type="auto"/>
            <w:tcBorders>
              <w:top w:val="single" w:sz="6" w:space="0" w:color="auto"/>
              <w:left w:val="single" w:sz="6" w:space="0" w:color="auto"/>
              <w:bottom w:val="single" w:sz="6" w:space="0" w:color="auto"/>
              <w:right w:val="single" w:sz="6" w:space="0" w:color="auto"/>
            </w:tcBorders>
            <w:vAlign w:val="center"/>
            <w:hideMark/>
          </w:tcPr>
          <w:p w14:paraId="0B1F06D2"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sz w:val="24"/>
                <w:szCs w:val="24"/>
              </w:rPr>
              <w:t>321.9</w:t>
            </w:r>
          </w:p>
        </w:tc>
      </w:tr>
      <w:tr w:rsidR="00DF1561" w:rsidRPr="00C24648" w14:paraId="00B41857" w14:textId="77777777" w:rsidTr="00D94659">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2797CC66" w14:textId="77777777" w:rsidR="00DF1561" w:rsidRPr="00C24648" w:rsidRDefault="00DF1561" w:rsidP="00C24648">
            <w:pPr>
              <w:pStyle w:val="NormalWeb"/>
              <w:spacing w:before="0" w:beforeAutospacing="0" w:after="0" w:afterAutospacing="0" w:line="360" w:lineRule="auto"/>
              <w:contextualSpacing/>
              <w:jc w:val="both"/>
              <w:rPr>
                <w:rFonts w:ascii="Arial" w:hAnsi="Arial" w:cs="Arial"/>
              </w:rPr>
            </w:pPr>
            <w:r w:rsidRPr="00C24648">
              <w:rPr>
                <w:rStyle w:val="citation-235"/>
                <w:rFonts w:ascii="Arial" w:hAnsi="Arial" w:cs="Arial"/>
                <w:b/>
                <w:bCs/>
              </w:rPr>
              <w:t>Total Assets</w:t>
            </w:r>
            <w:r w:rsidRPr="00C24648">
              <w:rPr>
                <w:rStyle w:val="citation-235"/>
                <w:rFonts w:ascii="Arial" w:hAnsi="Arial" w:cs="Arial"/>
              </w:rPr>
              <w:t xml:space="preserve"> </w:t>
            </w:r>
          </w:p>
        </w:tc>
        <w:tc>
          <w:tcPr>
            <w:tcW w:w="0" w:type="auto"/>
            <w:tcBorders>
              <w:top w:val="single" w:sz="6" w:space="0" w:color="auto"/>
              <w:left w:val="single" w:sz="6" w:space="0" w:color="auto"/>
              <w:bottom w:val="single" w:sz="6" w:space="0" w:color="auto"/>
              <w:right w:val="single" w:sz="6" w:space="0" w:color="auto"/>
            </w:tcBorders>
            <w:vAlign w:val="center"/>
            <w:hideMark/>
          </w:tcPr>
          <w:p w14:paraId="0589383B"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sz w:val="24"/>
                <w:szCs w:val="24"/>
              </w:rPr>
              <w:t>528.7</w:t>
            </w:r>
          </w:p>
        </w:tc>
        <w:tc>
          <w:tcPr>
            <w:tcW w:w="0" w:type="auto"/>
            <w:tcBorders>
              <w:top w:val="single" w:sz="6" w:space="0" w:color="auto"/>
              <w:left w:val="single" w:sz="6" w:space="0" w:color="auto"/>
              <w:bottom w:val="single" w:sz="6" w:space="0" w:color="auto"/>
              <w:right w:val="single" w:sz="6" w:space="0" w:color="auto"/>
            </w:tcBorders>
            <w:vAlign w:val="center"/>
            <w:hideMark/>
          </w:tcPr>
          <w:p w14:paraId="7C3ED45F"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sz w:val="24"/>
                <w:szCs w:val="24"/>
              </w:rPr>
              <w:t>564.0</w:t>
            </w:r>
          </w:p>
        </w:tc>
        <w:tc>
          <w:tcPr>
            <w:tcW w:w="0" w:type="auto"/>
            <w:tcBorders>
              <w:top w:val="single" w:sz="6" w:space="0" w:color="auto"/>
              <w:left w:val="single" w:sz="6" w:space="0" w:color="auto"/>
              <w:bottom w:val="single" w:sz="6" w:space="0" w:color="auto"/>
              <w:right w:val="single" w:sz="6" w:space="0" w:color="auto"/>
            </w:tcBorders>
            <w:vAlign w:val="center"/>
            <w:hideMark/>
          </w:tcPr>
          <w:p w14:paraId="11662F69"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sz w:val="24"/>
                <w:szCs w:val="24"/>
              </w:rPr>
              <w:t>620.6</w:t>
            </w:r>
          </w:p>
        </w:tc>
        <w:tc>
          <w:tcPr>
            <w:tcW w:w="0" w:type="auto"/>
            <w:tcBorders>
              <w:top w:val="single" w:sz="6" w:space="0" w:color="auto"/>
              <w:left w:val="single" w:sz="6" w:space="0" w:color="auto"/>
              <w:bottom w:val="single" w:sz="6" w:space="0" w:color="auto"/>
              <w:right w:val="single" w:sz="6" w:space="0" w:color="auto"/>
            </w:tcBorders>
            <w:vAlign w:val="center"/>
            <w:hideMark/>
          </w:tcPr>
          <w:p w14:paraId="18357C08"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sz w:val="24"/>
                <w:szCs w:val="24"/>
              </w:rPr>
              <w:t>628.4</w:t>
            </w:r>
          </w:p>
        </w:tc>
        <w:tc>
          <w:tcPr>
            <w:tcW w:w="0" w:type="auto"/>
            <w:tcBorders>
              <w:top w:val="single" w:sz="6" w:space="0" w:color="auto"/>
              <w:left w:val="single" w:sz="6" w:space="0" w:color="auto"/>
              <w:bottom w:val="single" w:sz="6" w:space="0" w:color="auto"/>
              <w:right w:val="single" w:sz="6" w:space="0" w:color="auto"/>
            </w:tcBorders>
            <w:vAlign w:val="center"/>
            <w:hideMark/>
          </w:tcPr>
          <w:p w14:paraId="56E3EAD0"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sz w:val="24"/>
                <w:szCs w:val="24"/>
              </w:rPr>
              <w:t>625.1</w:t>
            </w:r>
          </w:p>
        </w:tc>
      </w:tr>
      <w:tr w:rsidR="00DF1561" w:rsidRPr="00C24648" w14:paraId="1DE892A4" w14:textId="77777777" w:rsidTr="00D94659">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18166EDD" w14:textId="77777777" w:rsidR="00DF1561" w:rsidRPr="00C24648" w:rsidRDefault="00DF1561" w:rsidP="00C24648">
            <w:pPr>
              <w:pStyle w:val="NormalWeb"/>
              <w:spacing w:before="0" w:beforeAutospacing="0" w:after="0" w:afterAutospacing="0" w:line="360" w:lineRule="auto"/>
              <w:contextualSpacing/>
              <w:jc w:val="both"/>
              <w:rPr>
                <w:rFonts w:ascii="Arial" w:hAnsi="Arial" w:cs="Arial"/>
              </w:rPr>
            </w:pPr>
            <w:r w:rsidRPr="00C24648">
              <w:rPr>
                <w:rStyle w:val="citation-234"/>
                <w:rFonts w:ascii="Arial" w:hAnsi="Arial" w:cs="Arial"/>
                <w:b/>
                <w:bCs/>
              </w:rPr>
              <w:t>Property, Plant &amp; Equip.</w:t>
            </w:r>
            <w:r w:rsidRPr="00C24648">
              <w:rPr>
                <w:rStyle w:val="citation-234"/>
                <w:rFonts w:ascii="Arial" w:hAnsi="Arial" w:cs="Arial"/>
              </w:rPr>
              <w:t xml:space="preserve"> </w:t>
            </w:r>
          </w:p>
        </w:tc>
        <w:tc>
          <w:tcPr>
            <w:tcW w:w="0" w:type="auto"/>
            <w:tcBorders>
              <w:top w:val="single" w:sz="6" w:space="0" w:color="auto"/>
              <w:left w:val="single" w:sz="6" w:space="0" w:color="auto"/>
              <w:bottom w:val="single" w:sz="6" w:space="0" w:color="auto"/>
              <w:right w:val="single" w:sz="6" w:space="0" w:color="auto"/>
            </w:tcBorders>
            <w:vAlign w:val="center"/>
            <w:hideMark/>
          </w:tcPr>
          <w:p w14:paraId="2FA7E30A"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sz w:val="24"/>
                <w:szCs w:val="24"/>
              </w:rPr>
              <w:t>69.1</w:t>
            </w:r>
          </w:p>
        </w:tc>
        <w:tc>
          <w:tcPr>
            <w:tcW w:w="0" w:type="auto"/>
            <w:tcBorders>
              <w:top w:val="single" w:sz="6" w:space="0" w:color="auto"/>
              <w:left w:val="single" w:sz="6" w:space="0" w:color="auto"/>
              <w:bottom w:val="single" w:sz="6" w:space="0" w:color="auto"/>
              <w:right w:val="single" w:sz="6" w:space="0" w:color="auto"/>
            </w:tcBorders>
            <w:vAlign w:val="center"/>
            <w:hideMark/>
          </w:tcPr>
          <w:p w14:paraId="56BDB1F0"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sz w:val="24"/>
                <w:szCs w:val="24"/>
              </w:rPr>
              <w:t>74.1</w:t>
            </w:r>
          </w:p>
        </w:tc>
        <w:tc>
          <w:tcPr>
            <w:tcW w:w="0" w:type="auto"/>
            <w:tcBorders>
              <w:top w:val="single" w:sz="6" w:space="0" w:color="auto"/>
              <w:left w:val="single" w:sz="6" w:space="0" w:color="auto"/>
              <w:bottom w:val="single" w:sz="6" w:space="0" w:color="auto"/>
              <w:right w:val="single" w:sz="6" w:space="0" w:color="auto"/>
            </w:tcBorders>
            <w:vAlign w:val="center"/>
            <w:hideMark/>
          </w:tcPr>
          <w:p w14:paraId="46602854"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sz w:val="24"/>
                <w:szCs w:val="24"/>
              </w:rPr>
              <w:t>81.9</w:t>
            </w:r>
          </w:p>
        </w:tc>
        <w:tc>
          <w:tcPr>
            <w:tcW w:w="0" w:type="auto"/>
            <w:tcBorders>
              <w:top w:val="single" w:sz="6" w:space="0" w:color="auto"/>
              <w:left w:val="single" w:sz="6" w:space="0" w:color="auto"/>
              <w:bottom w:val="single" w:sz="6" w:space="0" w:color="auto"/>
              <w:right w:val="single" w:sz="6" w:space="0" w:color="auto"/>
            </w:tcBorders>
            <w:vAlign w:val="center"/>
            <w:hideMark/>
          </w:tcPr>
          <w:p w14:paraId="71F80278"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sz w:val="24"/>
                <w:szCs w:val="24"/>
              </w:rPr>
              <w:t>87.5</w:t>
            </w:r>
          </w:p>
        </w:tc>
        <w:tc>
          <w:tcPr>
            <w:tcW w:w="0" w:type="auto"/>
            <w:tcBorders>
              <w:top w:val="single" w:sz="6" w:space="0" w:color="auto"/>
              <w:left w:val="single" w:sz="6" w:space="0" w:color="auto"/>
              <w:bottom w:val="single" w:sz="6" w:space="0" w:color="auto"/>
              <w:right w:val="single" w:sz="6" w:space="0" w:color="auto"/>
            </w:tcBorders>
            <w:vAlign w:val="center"/>
            <w:hideMark/>
          </w:tcPr>
          <w:p w14:paraId="52839B45"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sz w:val="24"/>
                <w:szCs w:val="24"/>
              </w:rPr>
              <w:t>89.3</w:t>
            </w:r>
          </w:p>
        </w:tc>
      </w:tr>
      <w:tr w:rsidR="00DF1561" w:rsidRPr="00C24648" w14:paraId="7D6AF994" w14:textId="77777777" w:rsidTr="00D94659">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7E4E589E" w14:textId="77777777" w:rsidR="00DF1561" w:rsidRPr="00C24648" w:rsidRDefault="00DF1561" w:rsidP="00C24648">
            <w:pPr>
              <w:pStyle w:val="NormalWeb"/>
              <w:spacing w:before="0" w:beforeAutospacing="0" w:after="0" w:afterAutospacing="0" w:line="360" w:lineRule="auto"/>
              <w:contextualSpacing/>
              <w:jc w:val="both"/>
              <w:rPr>
                <w:rFonts w:ascii="Arial" w:hAnsi="Arial" w:cs="Arial"/>
              </w:rPr>
            </w:pPr>
            <w:r w:rsidRPr="00C24648">
              <w:rPr>
                <w:rStyle w:val="citation-233"/>
                <w:rFonts w:ascii="Arial" w:hAnsi="Arial" w:cs="Arial"/>
                <w:b/>
                <w:bCs/>
              </w:rPr>
              <w:t>Inventories</w:t>
            </w:r>
            <w:r w:rsidRPr="00C24648">
              <w:rPr>
                <w:rStyle w:val="citation-233"/>
                <w:rFonts w:ascii="Arial" w:hAnsi="Arial" w:cs="Arial"/>
              </w:rPr>
              <w:t xml:space="preserve"> </w:t>
            </w:r>
          </w:p>
        </w:tc>
        <w:tc>
          <w:tcPr>
            <w:tcW w:w="0" w:type="auto"/>
            <w:tcBorders>
              <w:top w:val="single" w:sz="6" w:space="0" w:color="auto"/>
              <w:left w:val="single" w:sz="6" w:space="0" w:color="auto"/>
              <w:bottom w:val="single" w:sz="6" w:space="0" w:color="auto"/>
              <w:right w:val="single" w:sz="6" w:space="0" w:color="auto"/>
            </w:tcBorders>
            <w:vAlign w:val="center"/>
            <w:hideMark/>
          </w:tcPr>
          <w:p w14:paraId="1EAAAAB3"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sz w:val="24"/>
                <w:szCs w:val="24"/>
              </w:rPr>
              <w:t>43.6</w:t>
            </w:r>
          </w:p>
        </w:tc>
        <w:tc>
          <w:tcPr>
            <w:tcW w:w="0" w:type="auto"/>
            <w:tcBorders>
              <w:top w:val="single" w:sz="6" w:space="0" w:color="auto"/>
              <w:left w:val="single" w:sz="6" w:space="0" w:color="auto"/>
              <w:bottom w:val="single" w:sz="6" w:space="0" w:color="auto"/>
              <w:right w:val="single" w:sz="6" w:space="0" w:color="auto"/>
            </w:tcBorders>
            <w:vAlign w:val="center"/>
            <w:hideMark/>
          </w:tcPr>
          <w:p w14:paraId="14634DE7"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sz w:val="24"/>
                <w:szCs w:val="24"/>
              </w:rPr>
              <w:t>52.7</w:t>
            </w:r>
          </w:p>
        </w:tc>
        <w:tc>
          <w:tcPr>
            <w:tcW w:w="0" w:type="auto"/>
            <w:tcBorders>
              <w:top w:val="single" w:sz="6" w:space="0" w:color="auto"/>
              <w:left w:val="single" w:sz="6" w:space="0" w:color="auto"/>
              <w:bottom w:val="single" w:sz="6" w:space="0" w:color="auto"/>
              <w:right w:val="single" w:sz="6" w:space="0" w:color="auto"/>
            </w:tcBorders>
            <w:vAlign w:val="center"/>
            <w:hideMark/>
          </w:tcPr>
          <w:p w14:paraId="40B04539"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sz w:val="24"/>
                <w:szCs w:val="24"/>
              </w:rPr>
              <w:t>58.2</w:t>
            </w:r>
          </w:p>
        </w:tc>
        <w:tc>
          <w:tcPr>
            <w:tcW w:w="0" w:type="auto"/>
            <w:tcBorders>
              <w:top w:val="single" w:sz="6" w:space="0" w:color="auto"/>
              <w:left w:val="single" w:sz="6" w:space="0" w:color="auto"/>
              <w:bottom w:val="single" w:sz="6" w:space="0" w:color="auto"/>
              <w:right w:val="single" w:sz="6" w:space="0" w:color="auto"/>
            </w:tcBorders>
            <w:vAlign w:val="center"/>
            <w:hideMark/>
          </w:tcPr>
          <w:p w14:paraId="455C7F49"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sz w:val="24"/>
                <w:szCs w:val="24"/>
              </w:rPr>
              <w:t>60.1</w:t>
            </w:r>
          </w:p>
        </w:tc>
        <w:tc>
          <w:tcPr>
            <w:tcW w:w="0" w:type="auto"/>
            <w:tcBorders>
              <w:top w:val="single" w:sz="6" w:space="0" w:color="auto"/>
              <w:left w:val="single" w:sz="6" w:space="0" w:color="auto"/>
              <w:bottom w:val="single" w:sz="6" w:space="0" w:color="auto"/>
              <w:right w:val="single" w:sz="6" w:space="0" w:color="auto"/>
            </w:tcBorders>
            <w:vAlign w:val="center"/>
            <w:hideMark/>
          </w:tcPr>
          <w:p w14:paraId="088BFCB9"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sz w:val="24"/>
                <w:szCs w:val="24"/>
              </w:rPr>
              <w:t>62.3</w:t>
            </w:r>
          </w:p>
        </w:tc>
      </w:tr>
      <w:tr w:rsidR="00DF1561" w:rsidRPr="00C24648" w14:paraId="1A7D35A7" w14:textId="77777777" w:rsidTr="00D94659">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0BF5A1B3" w14:textId="77777777" w:rsidR="00DF1561" w:rsidRPr="00C24648" w:rsidRDefault="00DF1561" w:rsidP="00C24648">
            <w:pPr>
              <w:pStyle w:val="NormalWeb"/>
              <w:spacing w:before="0" w:beforeAutospacing="0" w:after="0" w:afterAutospacing="0" w:line="360" w:lineRule="auto"/>
              <w:contextualSpacing/>
              <w:jc w:val="both"/>
              <w:rPr>
                <w:rFonts w:ascii="Arial" w:hAnsi="Arial" w:cs="Arial"/>
              </w:rPr>
            </w:pPr>
            <w:r w:rsidRPr="00C24648">
              <w:rPr>
                <w:rStyle w:val="citation-232"/>
                <w:rFonts w:ascii="Arial" w:hAnsi="Arial" w:cs="Arial"/>
                <w:b/>
                <w:bCs/>
              </w:rPr>
              <w:t>Trade Receivables</w:t>
            </w:r>
            <w:r w:rsidRPr="00C24648">
              <w:rPr>
                <w:rStyle w:val="citation-232"/>
                <w:rFonts w:ascii="Arial" w:hAnsi="Arial" w:cs="Arial"/>
              </w:rPr>
              <w:t xml:space="preserve"> </w:t>
            </w:r>
          </w:p>
        </w:tc>
        <w:tc>
          <w:tcPr>
            <w:tcW w:w="0" w:type="auto"/>
            <w:tcBorders>
              <w:top w:val="single" w:sz="6" w:space="0" w:color="auto"/>
              <w:left w:val="single" w:sz="6" w:space="0" w:color="auto"/>
              <w:bottom w:val="single" w:sz="6" w:space="0" w:color="auto"/>
              <w:right w:val="single" w:sz="6" w:space="0" w:color="auto"/>
            </w:tcBorders>
            <w:vAlign w:val="center"/>
            <w:hideMark/>
          </w:tcPr>
          <w:p w14:paraId="6948F81D"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sz w:val="24"/>
                <w:szCs w:val="24"/>
              </w:rPr>
              <w:t>15.4</w:t>
            </w:r>
          </w:p>
        </w:tc>
        <w:tc>
          <w:tcPr>
            <w:tcW w:w="0" w:type="auto"/>
            <w:tcBorders>
              <w:top w:val="single" w:sz="6" w:space="0" w:color="auto"/>
              <w:left w:val="single" w:sz="6" w:space="0" w:color="auto"/>
              <w:bottom w:val="single" w:sz="6" w:space="0" w:color="auto"/>
              <w:right w:val="single" w:sz="6" w:space="0" w:color="auto"/>
            </w:tcBorders>
            <w:vAlign w:val="center"/>
            <w:hideMark/>
          </w:tcPr>
          <w:p w14:paraId="2F635132"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sz w:val="24"/>
                <w:szCs w:val="24"/>
              </w:rPr>
              <w:t>18.1</w:t>
            </w:r>
          </w:p>
        </w:tc>
        <w:tc>
          <w:tcPr>
            <w:tcW w:w="0" w:type="auto"/>
            <w:tcBorders>
              <w:top w:val="single" w:sz="6" w:space="0" w:color="auto"/>
              <w:left w:val="single" w:sz="6" w:space="0" w:color="auto"/>
              <w:bottom w:val="single" w:sz="6" w:space="0" w:color="auto"/>
              <w:right w:val="single" w:sz="6" w:space="0" w:color="auto"/>
            </w:tcBorders>
            <w:vAlign w:val="center"/>
            <w:hideMark/>
          </w:tcPr>
          <w:p w14:paraId="102EAAC8"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sz w:val="24"/>
                <w:szCs w:val="24"/>
              </w:rPr>
              <w:t>21.8</w:t>
            </w:r>
          </w:p>
        </w:tc>
        <w:tc>
          <w:tcPr>
            <w:tcW w:w="0" w:type="auto"/>
            <w:tcBorders>
              <w:top w:val="single" w:sz="6" w:space="0" w:color="auto"/>
              <w:left w:val="single" w:sz="6" w:space="0" w:color="auto"/>
              <w:bottom w:val="single" w:sz="6" w:space="0" w:color="auto"/>
              <w:right w:val="single" w:sz="6" w:space="0" w:color="auto"/>
            </w:tcBorders>
            <w:vAlign w:val="center"/>
            <w:hideMark/>
          </w:tcPr>
          <w:p w14:paraId="695A764C"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sz w:val="24"/>
                <w:szCs w:val="24"/>
              </w:rPr>
              <w:t>23.0</w:t>
            </w:r>
          </w:p>
        </w:tc>
        <w:tc>
          <w:tcPr>
            <w:tcW w:w="0" w:type="auto"/>
            <w:tcBorders>
              <w:top w:val="single" w:sz="6" w:space="0" w:color="auto"/>
              <w:left w:val="single" w:sz="6" w:space="0" w:color="auto"/>
              <w:bottom w:val="single" w:sz="6" w:space="0" w:color="auto"/>
              <w:right w:val="single" w:sz="6" w:space="0" w:color="auto"/>
            </w:tcBorders>
            <w:vAlign w:val="center"/>
            <w:hideMark/>
          </w:tcPr>
          <w:p w14:paraId="4E7931ED"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sz w:val="24"/>
                <w:szCs w:val="24"/>
              </w:rPr>
              <w:t>23.8</w:t>
            </w:r>
          </w:p>
        </w:tc>
      </w:tr>
    </w:tbl>
    <w:p w14:paraId="2AA0C8CF" w14:textId="77777777" w:rsidR="00DF1561" w:rsidRPr="00C24648" w:rsidRDefault="00DF1561" w:rsidP="00C24648">
      <w:pPr>
        <w:spacing w:after="0" w:line="360" w:lineRule="auto"/>
        <w:contextualSpacing/>
        <w:jc w:val="both"/>
        <w:rPr>
          <w:rFonts w:ascii="Arial" w:hAnsi="Arial" w:cs="Arial"/>
          <w:sz w:val="24"/>
          <w:szCs w:val="24"/>
        </w:rPr>
      </w:pPr>
    </w:p>
    <w:p w14:paraId="60C9A1EF" w14:textId="4FEF3C4D" w:rsidR="00F95F29" w:rsidRDefault="00FD638F" w:rsidP="00C24648">
      <w:pPr>
        <w:spacing w:after="0" w:line="360" w:lineRule="auto"/>
        <w:contextualSpacing/>
        <w:jc w:val="both"/>
        <w:rPr>
          <w:rFonts w:ascii="Arial" w:hAnsi="Arial" w:cs="Arial"/>
          <w:sz w:val="24"/>
          <w:szCs w:val="24"/>
        </w:rPr>
      </w:pPr>
      <w:r>
        <w:rPr>
          <w:rFonts w:ascii="Arial" w:hAnsi="Arial" w:cs="Arial"/>
          <w:noProof/>
          <w:sz w:val="24"/>
          <w:szCs w:val="24"/>
        </w:rPr>
        <w:drawing>
          <wp:inline distT="0" distB="0" distL="0" distR="0" wp14:anchorId="5018CA58" wp14:editId="21F1AFBA">
            <wp:extent cx="4584700" cy="2755900"/>
            <wp:effectExtent l="0" t="0" r="635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7AFF660E" w14:textId="42031974" w:rsidR="00FD638F" w:rsidRDefault="00FD638F" w:rsidP="00C24648">
      <w:pPr>
        <w:spacing w:after="0" w:line="360" w:lineRule="auto"/>
        <w:contextualSpacing/>
        <w:jc w:val="both"/>
        <w:rPr>
          <w:rFonts w:ascii="Arial" w:hAnsi="Arial" w:cs="Arial"/>
          <w:sz w:val="24"/>
          <w:szCs w:val="24"/>
        </w:rPr>
      </w:pPr>
      <w:r>
        <w:rPr>
          <w:rFonts w:ascii="Arial" w:hAnsi="Arial" w:cs="Arial"/>
          <w:sz w:val="24"/>
          <w:szCs w:val="24"/>
        </w:rPr>
        <w:t>Graph 3: R</w:t>
      </w:r>
      <w:r w:rsidRPr="00FD638F">
        <w:rPr>
          <w:rFonts w:ascii="Arial" w:hAnsi="Arial" w:cs="Arial"/>
          <w:sz w:val="24"/>
          <w:szCs w:val="24"/>
        </w:rPr>
        <w:t>elatively stable asset utilisation ratios over the period, indicating limited improvement in operational efficiency.</w:t>
      </w:r>
    </w:p>
    <w:p w14:paraId="26C913E1" w14:textId="78AA5D41" w:rsidR="0057222C" w:rsidRDefault="0057222C" w:rsidP="00C24648">
      <w:pPr>
        <w:spacing w:after="0" w:line="360" w:lineRule="auto"/>
        <w:contextualSpacing/>
        <w:jc w:val="both"/>
        <w:rPr>
          <w:rFonts w:ascii="Arial" w:hAnsi="Arial" w:cs="Arial"/>
          <w:sz w:val="24"/>
          <w:szCs w:val="24"/>
        </w:rPr>
      </w:pPr>
      <w:r>
        <w:rPr>
          <w:rFonts w:ascii="Arial" w:hAnsi="Arial" w:cs="Arial"/>
          <w:noProof/>
          <w:sz w:val="24"/>
          <w:szCs w:val="24"/>
        </w:rPr>
        <w:lastRenderedPageBreak/>
        <w:drawing>
          <wp:inline distT="0" distB="0" distL="0" distR="0" wp14:anchorId="56FBD2A8" wp14:editId="7285235B">
            <wp:extent cx="4584700" cy="2755900"/>
            <wp:effectExtent l="0" t="0" r="635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437428C8" w14:textId="4210CE4F" w:rsidR="0057222C" w:rsidRDefault="0057222C" w:rsidP="00C24648">
      <w:pPr>
        <w:spacing w:after="0" w:line="360" w:lineRule="auto"/>
        <w:contextualSpacing/>
        <w:jc w:val="both"/>
        <w:rPr>
          <w:rFonts w:ascii="Arial" w:hAnsi="Arial" w:cs="Arial"/>
          <w:sz w:val="24"/>
          <w:szCs w:val="24"/>
        </w:rPr>
      </w:pPr>
      <w:r>
        <w:rPr>
          <w:rFonts w:ascii="Arial" w:hAnsi="Arial" w:cs="Arial"/>
          <w:sz w:val="24"/>
          <w:szCs w:val="24"/>
        </w:rPr>
        <w:t>Graph 4: A</w:t>
      </w:r>
      <w:r w:rsidRPr="0057222C">
        <w:rPr>
          <w:rFonts w:ascii="Arial" w:hAnsi="Arial" w:cs="Arial"/>
          <w:sz w:val="24"/>
          <w:szCs w:val="24"/>
        </w:rPr>
        <w:t xml:space="preserve"> declining trend in inventory and receivables turnover, indicating a slowdown in Volkswagen Group’s operational cycle.</w:t>
      </w:r>
    </w:p>
    <w:p w14:paraId="5D3F6B99" w14:textId="77777777" w:rsidR="0057222C" w:rsidRPr="00C24648" w:rsidRDefault="0057222C" w:rsidP="00C24648">
      <w:pPr>
        <w:spacing w:after="0" w:line="360" w:lineRule="auto"/>
        <w:contextualSpacing/>
        <w:jc w:val="both"/>
        <w:rPr>
          <w:rFonts w:ascii="Arial" w:hAnsi="Arial" w:cs="Arial"/>
          <w:sz w:val="24"/>
          <w:szCs w:val="24"/>
        </w:rPr>
      </w:pPr>
    </w:p>
    <w:p w14:paraId="086F46F3" w14:textId="65FBAD8A" w:rsidR="00987963" w:rsidRPr="00C24648" w:rsidRDefault="007E6E4C" w:rsidP="00C24648">
      <w:pPr>
        <w:spacing w:after="0" w:line="360" w:lineRule="auto"/>
        <w:contextualSpacing/>
        <w:jc w:val="both"/>
        <w:rPr>
          <w:rFonts w:ascii="Arial" w:hAnsi="Arial" w:cs="Arial"/>
          <w:sz w:val="24"/>
          <w:szCs w:val="24"/>
        </w:rPr>
      </w:pPr>
      <w:r w:rsidRPr="00C24648">
        <w:rPr>
          <w:rFonts w:ascii="Arial" w:hAnsi="Arial" w:cs="Arial"/>
          <w:sz w:val="24"/>
          <w:szCs w:val="24"/>
        </w:rPr>
        <w:t xml:space="preserve">Table 4: </w:t>
      </w:r>
      <w:r w:rsidR="00987963" w:rsidRPr="00C24648">
        <w:rPr>
          <w:rFonts w:ascii="Arial" w:hAnsi="Arial" w:cs="Arial"/>
          <w:sz w:val="24"/>
          <w:szCs w:val="24"/>
        </w:rPr>
        <w:t>Gearing Ratios</w:t>
      </w:r>
    </w:p>
    <w:tbl>
      <w:tblPr>
        <w:tblStyle w:val="TableGrid"/>
        <w:tblW w:w="0" w:type="auto"/>
        <w:tblLook w:val="04A0" w:firstRow="1" w:lastRow="0" w:firstColumn="1" w:lastColumn="0" w:noHBand="0" w:noVBand="1"/>
      </w:tblPr>
      <w:tblGrid>
        <w:gridCol w:w="1708"/>
        <w:gridCol w:w="1994"/>
        <w:gridCol w:w="1172"/>
        <w:gridCol w:w="1119"/>
        <w:gridCol w:w="1119"/>
        <w:gridCol w:w="1119"/>
        <w:gridCol w:w="1119"/>
      </w:tblGrid>
      <w:tr w:rsidR="00C24648" w:rsidRPr="00DF1561" w14:paraId="7E533674" w14:textId="77777777" w:rsidTr="00DF1561">
        <w:tc>
          <w:tcPr>
            <w:tcW w:w="0" w:type="auto"/>
            <w:hideMark/>
          </w:tcPr>
          <w:p w14:paraId="6A7B0F4D" w14:textId="77777777" w:rsidR="00DF1561" w:rsidRPr="00DF1561" w:rsidRDefault="00DF1561" w:rsidP="00161117">
            <w:pPr>
              <w:contextualSpacing/>
              <w:jc w:val="both"/>
              <w:rPr>
                <w:rFonts w:ascii="Arial" w:eastAsia="Times New Roman" w:hAnsi="Arial" w:cs="Arial"/>
                <w:b/>
                <w:bCs/>
                <w:kern w:val="0"/>
                <w:sz w:val="24"/>
                <w:szCs w:val="24"/>
                <w14:ligatures w14:val="none"/>
              </w:rPr>
            </w:pPr>
            <w:r w:rsidRPr="00DF1561">
              <w:rPr>
                <w:rFonts w:ascii="Arial" w:eastAsia="Times New Roman" w:hAnsi="Arial" w:cs="Arial"/>
                <w:b/>
                <w:bCs/>
                <w:kern w:val="0"/>
                <w:sz w:val="24"/>
                <w:szCs w:val="24"/>
                <w14:ligatures w14:val="none"/>
              </w:rPr>
              <w:t>Ratio</w:t>
            </w:r>
          </w:p>
        </w:tc>
        <w:tc>
          <w:tcPr>
            <w:tcW w:w="0" w:type="auto"/>
            <w:hideMark/>
          </w:tcPr>
          <w:p w14:paraId="0E06EFFE" w14:textId="77777777" w:rsidR="00DF1561" w:rsidRPr="00DF1561" w:rsidRDefault="00DF1561" w:rsidP="00161117">
            <w:pPr>
              <w:contextualSpacing/>
              <w:jc w:val="both"/>
              <w:rPr>
                <w:rFonts w:ascii="Arial" w:eastAsia="Times New Roman" w:hAnsi="Arial" w:cs="Arial"/>
                <w:b/>
                <w:bCs/>
                <w:kern w:val="0"/>
                <w:sz w:val="24"/>
                <w:szCs w:val="24"/>
                <w14:ligatures w14:val="none"/>
              </w:rPr>
            </w:pPr>
            <w:r w:rsidRPr="00DF1561">
              <w:rPr>
                <w:rFonts w:ascii="Arial" w:eastAsia="Times New Roman" w:hAnsi="Arial" w:cs="Arial"/>
                <w:b/>
                <w:bCs/>
                <w:kern w:val="0"/>
                <w:sz w:val="24"/>
                <w:szCs w:val="24"/>
                <w14:ligatures w14:val="none"/>
              </w:rPr>
              <w:t>Formula</w:t>
            </w:r>
          </w:p>
        </w:tc>
        <w:tc>
          <w:tcPr>
            <w:tcW w:w="0" w:type="auto"/>
            <w:hideMark/>
          </w:tcPr>
          <w:p w14:paraId="3B318FC8" w14:textId="77777777" w:rsidR="00DF1561" w:rsidRPr="00DF1561" w:rsidRDefault="00DF1561" w:rsidP="00161117">
            <w:pPr>
              <w:contextualSpacing/>
              <w:jc w:val="both"/>
              <w:rPr>
                <w:rFonts w:ascii="Arial" w:eastAsia="Times New Roman" w:hAnsi="Arial" w:cs="Arial"/>
                <w:b/>
                <w:bCs/>
                <w:kern w:val="0"/>
                <w:sz w:val="24"/>
                <w:szCs w:val="24"/>
                <w14:ligatures w14:val="none"/>
              </w:rPr>
            </w:pPr>
            <w:r w:rsidRPr="00DF1561">
              <w:rPr>
                <w:rFonts w:ascii="Arial" w:eastAsia="Times New Roman" w:hAnsi="Arial" w:cs="Arial"/>
                <w:b/>
                <w:bCs/>
                <w:kern w:val="0"/>
                <w:sz w:val="24"/>
                <w:szCs w:val="24"/>
                <w14:ligatures w14:val="none"/>
              </w:rPr>
              <w:t>2021</w:t>
            </w:r>
          </w:p>
        </w:tc>
        <w:tc>
          <w:tcPr>
            <w:tcW w:w="0" w:type="auto"/>
            <w:hideMark/>
          </w:tcPr>
          <w:p w14:paraId="7765C172" w14:textId="77777777" w:rsidR="00DF1561" w:rsidRPr="00DF1561" w:rsidRDefault="00DF1561" w:rsidP="00161117">
            <w:pPr>
              <w:contextualSpacing/>
              <w:jc w:val="both"/>
              <w:rPr>
                <w:rFonts w:ascii="Arial" w:eastAsia="Times New Roman" w:hAnsi="Arial" w:cs="Arial"/>
                <w:b/>
                <w:bCs/>
                <w:kern w:val="0"/>
                <w:sz w:val="24"/>
                <w:szCs w:val="24"/>
                <w14:ligatures w14:val="none"/>
              </w:rPr>
            </w:pPr>
            <w:r w:rsidRPr="00DF1561">
              <w:rPr>
                <w:rFonts w:ascii="Arial" w:eastAsia="Times New Roman" w:hAnsi="Arial" w:cs="Arial"/>
                <w:b/>
                <w:bCs/>
                <w:kern w:val="0"/>
                <w:sz w:val="24"/>
                <w:szCs w:val="24"/>
                <w14:ligatures w14:val="none"/>
              </w:rPr>
              <w:t>2022</w:t>
            </w:r>
          </w:p>
        </w:tc>
        <w:tc>
          <w:tcPr>
            <w:tcW w:w="0" w:type="auto"/>
            <w:hideMark/>
          </w:tcPr>
          <w:p w14:paraId="15BB31CC" w14:textId="77777777" w:rsidR="00DF1561" w:rsidRPr="00DF1561" w:rsidRDefault="00DF1561" w:rsidP="00161117">
            <w:pPr>
              <w:contextualSpacing/>
              <w:jc w:val="both"/>
              <w:rPr>
                <w:rFonts w:ascii="Arial" w:eastAsia="Times New Roman" w:hAnsi="Arial" w:cs="Arial"/>
                <w:b/>
                <w:bCs/>
                <w:kern w:val="0"/>
                <w:sz w:val="24"/>
                <w:szCs w:val="24"/>
                <w14:ligatures w14:val="none"/>
              </w:rPr>
            </w:pPr>
            <w:r w:rsidRPr="00DF1561">
              <w:rPr>
                <w:rFonts w:ascii="Arial" w:eastAsia="Times New Roman" w:hAnsi="Arial" w:cs="Arial"/>
                <w:b/>
                <w:bCs/>
                <w:kern w:val="0"/>
                <w:sz w:val="24"/>
                <w:szCs w:val="24"/>
                <w14:ligatures w14:val="none"/>
              </w:rPr>
              <w:t>2023</w:t>
            </w:r>
          </w:p>
        </w:tc>
        <w:tc>
          <w:tcPr>
            <w:tcW w:w="0" w:type="auto"/>
            <w:hideMark/>
          </w:tcPr>
          <w:p w14:paraId="49720A7E" w14:textId="77777777" w:rsidR="00DF1561" w:rsidRPr="00DF1561" w:rsidRDefault="00DF1561" w:rsidP="00161117">
            <w:pPr>
              <w:contextualSpacing/>
              <w:jc w:val="both"/>
              <w:rPr>
                <w:rFonts w:ascii="Arial" w:eastAsia="Times New Roman" w:hAnsi="Arial" w:cs="Arial"/>
                <w:b/>
                <w:bCs/>
                <w:kern w:val="0"/>
                <w:sz w:val="24"/>
                <w:szCs w:val="24"/>
                <w14:ligatures w14:val="none"/>
              </w:rPr>
            </w:pPr>
            <w:r w:rsidRPr="00DF1561">
              <w:rPr>
                <w:rFonts w:ascii="Arial" w:eastAsia="Times New Roman" w:hAnsi="Arial" w:cs="Arial"/>
                <w:b/>
                <w:bCs/>
                <w:kern w:val="0"/>
                <w:sz w:val="24"/>
                <w:szCs w:val="24"/>
                <w14:ligatures w14:val="none"/>
              </w:rPr>
              <w:t>2024</w:t>
            </w:r>
          </w:p>
        </w:tc>
        <w:tc>
          <w:tcPr>
            <w:tcW w:w="0" w:type="auto"/>
            <w:hideMark/>
          </w:tcPr>
          <w:p w14:paraId="37096422" w14:textId="77777777" w:rsidR="00DF1561" w:rsidRPr="00DF1561" w:rsidRDefault="00DF1561" w:rsidP="00161117">
            <w:pPr>
              <w:contextualSpacing/>
              <w:jc w:val="both"/>
              <w:rPr>
                <w:rFonts w:ascii="Arial" w:eastAsia="Times New Roman" w:hAnsi="Arial" w:cs="Arial"/>
                <w:b/>
                <w:bCs/>
                <w:kern w:val="0"/>
                <w:sz w:val="24"/>
                <w:szCs w:val="24"/>
                <w14:ligatures w14:val="none"/>
              </w:rPr>
            </w:pPr>
            <w:r w:rsidRPr="00DF1561">
              <w:rPr>
                <w:rFonts w:ascii="Arial" w:eastAsia="Times New Roman" w:hAnsi="Arial" w:cs="Arial"/>
                <w:b/>
                <w:bCs/>
                <w:kern w:val="0"/>
                <w:sz w:val="24"/>
                <w:szCs w:val="24"/>
                <w14:ligatures w14:val="none"/>
              </w:rPr>
              <w:t>2025</w:t>
            </w:r>
          </w:p>
        </w:tc>
      </w:tr>
      <w:tr w:rsidR="00C24648" w:rsidRPr="00DF1561" w14:paraId="7D77BFB1" w14:textId="77777777" w:rsidTr="00DF1561">
        <w:tc>
          <w:tcPr>
            <w:tcW w:w="0" w:type="auto"/>
            <w:hideMark/>
          </w:tcPr>
          <w:p w14:paraId="595CF2A1" w14:textId="77777777" w:rsidR="00DF1561" w:rsidRPr="00DF1561" w:rsidRDefault="00DF1561" w:rsidP="00161117">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Interest Coverage</w:t>
            </w:r>
          </w:p>
        </w:tc>
        <w:tc>
          <w:tcPr>
            <w:tcW w:w="0" w:type="auto"/>
            <w:hideMark/>
          </w:tcPr>
          <w:p w14:paraId="5DD4F94E" w14:textId="77777777" w:rsidR="00DF1561" w:rsidRPr="00DF1561" w:rsidRDefault="00DF1561" w:rsidP="00161117">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Operating Profit ÷ Interest Expense</w:t>
            </w:r>
          </w:p>
        </w:tc>
        <w:tc>
          <w:tcPr>
            <w:tcW w:w="0" w:type="auto"/>
            <w:hideMark/>
          </w:tcPr>
          <w:p w14:paraId="4E6D17FA" w14:textId="77777777" w:rsidR="00DF1561" w:rsidRPr="00DF1561" w:rsidRDefault="00DF1561" w:rsidP="00161117">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 10.3x</w:t>
            </w:r>
          </w:p>
        </w:tc>
        <w:tc>
          <w:tcPr>
            <w:tcW w:w="0" w:type="auto"/>
            <w:hideMark/>
          </w:tcPr>
          <w:p w14:paraId="4A3DA836" w14:textId="77777777" w:rsidR="00DF1561" w:rsidRPr="00DF1561" w:rsidRDefault="00DF1561" w:rsidP="00161117">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 11.4x</w:t>
            </w:r>
          </w:p>
        </w:tc>
        <w:tc>
          <w:tcPr>
            <w:tcW w:w="0" w:type="auto"/>
            <w:hideMark/>
          </w:tcPr>
          <w:p w14:paraId="3A6B0A04" w14:textId="77777777" w:rsidR="00DF1561" w:rsidRPr="00DF1561" w:rsidRDefault="00DF1561" w:rsidP="00161117">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 10.6x</w:t>
            </w:r>
          </w:p>
        </w:tc>
        <w:tc>
          <w:tcPr>
            <w:tcW w:w="0" w:type="auto"/>
            <w:hideMark/>
          </w:tcPr>
          <w:p w14:paraId="376C1298" w14:textId="77777777" w:rsidR="00DF1561" w:rsidRPr="00DF1561" w:rsidRDefault="00DF1561" w:rsidP="00161117">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 7.9x</w:t>
            </w:r>
          </w:p>
        </w:tc>
        <w:tc>
          <w:tcPr>
            <w:tcW w:w="0" w:type="auto"/>
            <w:hideMark/>
          </w:tcPr>
          <w:p w14:paraId="48123493" w14:textId="77777777" w:rsidR="00DF1561" w:rsidRPr="00DF1561" w:rsidRDefault="00DF1561" w:rsidP="00161117">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 4.2x</w:t>
            </w:r>
          </w:p>
        </w:tc>
      </w:tr>
      <w:tr w:rsidR="00C24648" w:rsidRPr="00DF1561" w14:paraId="252A602D" w14:textId="77777777" w:rsidTr="00DF1561">
        <w:tc>
          <w:tcPr>
            <w:tcW w:w="0" w:type="auto"/>
            <w:hideMark/>
          </w:tcPr>
          <w:p w14:paraId="7601F6C3" w14:textId="77777777" w:rsidR="00DF1561" w:rsidRPr="00DF1561" w:rsidRDefault="00DF1561" w:rsidP="00161117">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Debt-to-Equity</w:t>
            </w:r>
          </w:p>
        </w:tc>
        <w:tc>
          <w:tcPr>
            <w:tcW w:w="0" w:type="auto"/>
            <w:hideMark/>
          </w:tcPr>
          <w:p w14:paraId="446494A5" w14:textId="77777777" w:rsidR="00DF1561" w:rsidRPr="00DF1561" w:rsidRDefault="00DF1561" w:rsidP="00161117">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Total Liabilities ÷ Equity</w:t>
            </w:r>
          </w:p>
        </w:tc>
        <w:tc>
          <w:tcPr>
            <w:tcW w:w="0" w:type="auto"/>
            <w:hideMark/>
          </w:tcPr>
          <w:p w14:paraId="61A756E1" w14:textId="77777777" w:rsidR="00DF1561" w:rsidRPr="00DF1561" w:rsidRDefault="00DF1561" w:rsidP="00161117">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 2.61</w:t>
            </w:r>
          </w:p>
        </w:tc>
        <w:tc>
          <w:tcPr>
            <w:tcW w:w="0" w:type="auto"/>
            <w:hideMark/>
          </w:tcPr>
          <w:p w14:paraId="6BBCE6E1" w14:textId="77777777" w:rsidR="00DF1561" w:rsidRPr="00DF1561" w:rsidRDefault="00DF1561" w:rsidP="00161117">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2.25</w:t>
            </w:r>
          </w:p>
        </w:tc>
        <w:tc>
          <w:tcPr>
            <w:tcW w:w="0" w:type="auto"/>
            <w:hideMark/>
          </w:tcPr>
          <w:p w14:paraId="48F22A38" w14:textId="77777777" w:rsidR="00DF1561" w:rsidRPr="00DF1561" w:rsidRDefault="00DF1561" w:rsidP="00161117">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2.32</w:t>
            </w:r>
          </w:p>
        </w:tc>
        <w:tc>
          <w:tcPr>
            <w:tcW w:w="0" w:type="auto"/>
            <w:hideMark/>
          </w:tcPr>
          <w:p w14:paraId="0D4A7027" w14:textId="77777777" w:rsidR="00DF1561" w:rsidRPr="00DF1561" w:rsidRDefault="00DF1561" w:rsidP="00161117">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2.29</w:t>
            </w:r>
          </w:p>
        </w:tc>
        <w:tc>
          <w:tcPr>
            <w:tcW w:w="0" w:type="auto"/>
            <w:hideMark/>
          </w:tcPr>
          <w:p w14:paraId="7BBD386B" w14:textId="77777777" w:rsidR="00DF1561" w:rsidRPr="00DF1561" w:rsidRDefault="00DF1561" w:rsidP="00161117">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2.31</w:t>
            </w:r>
          </w:p>
        </w:tc>
      </w:tr>
      <w:tr w:rsidR="00C24648" w:rsidRPr="00DF1561" w14:paraId="498A9817" w14:textId="77777777" w:rsidTr="00DF1561">
        <w:tc>
          <w:tcPr>
            <w:tcW w:w="0" w:type="auto"/>
            <w:hideMark/>
          </w:tcPr>
          <w:p w14:paraId="65B86933" w14:textId="77777777" w:rsidR="00DF1561" w:rsidRPr="00DF1561" w:rsidRDefault="00DF1561" w:rsidP="00161117">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Debt-to-Capital</w:t>
            </w:r>
          </w:p>
        </w:tc>
        <w:tc>
          <w:tcPr>
            <w:tcW w:w="0" w:type="auto"/>
            <w:hideMark/>
          </w:tcPr>
          <w:p w14:paraId="6EA8B4F9" w14:textId="77777777" w:rsidR="00DF1561" w:rsidRPr="00DF1561" w:rsidRDefault="00DF1561" w:rsidP="00161117">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Debt ÷ (Debt + Equity)</w:t>
            </w:r>
          </w:p>
        </w:tc>
        <w:tc>
          <w:tcPr>
            <w:tcW w:w="0" w:type="auto"/>
            <w:hideMark/>
          </w:tcPr>
          <w:p w14:paraId="5933A06D" w14:textId="77777777" w:rsidR="00DF1561" w:rsidRPr="00DF1561" w:rsidRDefault="00DF1561" w:rsidP="00161117">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 0.72</w:t>
            </w:r>
          </w:p>
        </w:tc>
        <w:tc>
          <w:tcPr>
            <w:tcW w:w="0" w:type="auto"/>
            <w:hideMark/>
          </w:tcPr>
          <w:p w14:paraId="2C9E6C10" w14:textId="77777777" w:rsidR="00DF1561" w:rsidRPr="00DF1561" w:rsidRDefault="00DF1561" w:rsidP="00161117">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0.69</w:t>
            </w:r>
          </w:p>
        </w:tc>
        <w:tc>
          <w:tcPr>
            <w:tcW w:w="0" w:type="auto"/>
            <w:hideMark/>
          </w:tcPr>
          <w:p w14:paraId="54A45BF5" w14:textId="77777777" w:rsidR="00DF1561" w:rsidRPr="00DF1561" w:rsidRDefault="00DF1561" w:rsidP="00161117">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0.70</w:t>
            </w:r>
          </w:p>
        </w:tc>
        <w:tc>
          <w:tcPr>
            <w:tcW w:w="0" w:type="auto"/>
            <w:hideMark/>
          </w:tcPr>
          <w:p w14:paraId="40689E0C" w14:textId="77777777" w:rsidR="00DF1561" w:rsidRPr="00DF1561" w:rsidRDefault="00DF1561" w:rsidP="00161117">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0.70</w:t>
            </w:r>
          </w:p>
        </w:tc>
        <w:tc>
          <w:tcPr>
            <w:tcW w:w="0" w:type="auto"/>
            <w:hideMark/>
          </w:tcPr>
          <w:p w14:paraId="0883F640" w14:textId="77777777" w:rsidR="00DF1561" w:rsidRPr="00DF1561" w:rsidRDefault="00DF1561" w:rsidP="00161117">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0.70</w:t>
            </w:r>
          </w:p>
        </w:tc>
      </w:tr>
      <w:tr w:rsidR="00C24648" w:rsidRPr="00DF1561" w14:paraId="3AB68A49" w14:textId="77777777" w:rsidTr="00DF1561">
        <w:tc>
          <w:tcPr>
            <w:tcW w:w="0" w:type="auto"/>
            <w:hideMark/>
          </w:tcPr>
          <w:p w14:paraId="64F995F3" w14:textId="77777777" w:rsidR="00DF1561" w:rsidRPr="00DF1561" w:rsidRDefault="00DF1561" w:rsidP="00161117">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Net Debt</w:t>
            </w:r>
          </w:p>
        </w:tc>
        <w:tc>
          <w:tcPr>
            <w:tcW w:w="0" w:type="auto"/>
            <w:hideMark/>
          </w:tcPr>
          <w:p w14:paraId="55FA852F" w14:textId="77777777" w:rsidR="00DF1561" w:rsidRPr="00DF1561" w:rsidRDefault="00DF1561" w:rsidP="00161117">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Liabilities − Cash</w:t>
            </w:r>
          </w:p>
        </w:tc>
        <w:tc>
          <w:tcPr>
            <w:tcW w:w="0" w:type="auto"/>
            <w:hideMark/>
          </w:tcPr>
          <w:p w14:paraId="06D44A39" w14:textId="449B5BEC" w:rsidR="00DF1561" w:rsidRPr="00DF1561" w:rsidRDefault="00DF1561" w:rsidP="00161117">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 –</w:t>
            </w:r>
            <w:r w:rsidRPr="00161117">
              <w:rPr>
                <w:rFonts w:ascii="Arial" w:eastAsia="Times New Roman" w:hAnsi="Arial" w:cs="Arial"/>
                <w:kern w:val="0"/>
                <w:sz w:val="24"/>
                <w:szCs w:val="24"/>
                <w14:ligatures w14:val="none"/>
              </w:rPr>
              <w:t>€</w:t>
            </w:r>
            <w:r w:rsidRPr="00DF1561">
              <w:rPr>
                <w:rFonts w:ascii="Arial" w:eastAsia="Times New Roman" w:hAnsi="Arial" w:cs="Arial"/>
                <w:kern w:val="0"/>
                <w:sz w:val="24"/>
                <w:szCs w:val="24"/>
                <w14:ligatures w14:val="none"/>
              </w:rPr>
              <w:t>26.7bn</w:t>
            </w:r>
          </w:p>
        </w:tc>
        <w:tc>
          <w:tcPr>
            <w:tcW w:w="0" w:type="auto"/>
            <w:hideMark/>
          </w:tcPr>
          <w:p w14:paraId="193020A3" w14:textId="17224022" w:rsidR="00DF1561" w:rsidRPr="00DF1561" w:rsidRDefault="00DF1561" w:rsidP="00161117">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w:t>
            </w:r>
            <w:r w:rsidRPr="00161117">
              <w:rPr>
                <w:rFonts w:ascii="Arial" w:eastAsia="Times New Roman" w:hAnsi="Arial" w:cs="Arial"/>
                <w:kern w:val="0"/>
                <w:sz w:val="24"/>
                <w:szCs w:val="24"/>
                <w14:ligatures w14:val="none"/>
              </w:rPr>
              <w:t>€</w:t>
            </w:r>
            <w:r w:rsidRPr="00DF1561">
              <w:rPr>
                <w:rFonts w:ascii="Arial" w:eastAsia="Times New Roman" w:hAnsi="Arial" w:cs="Arial"/>
                <w:kern w:val="0"/>
                <w:sz w:val="24"/>
                <w:szCs w:val="24"/>
                <w14:ligatures w14:val="none"/>
              </w:rPr>
              <w:t>43.0bn</w:t>
            </w:r>
          </w:p>
        </w:tc>
        <w:tc>
          <w:tcPr>
            <w:tcW w:w="0" w:type="auto"/>
            <w:hideMark/>
          </w:tcPr>
          <w:p w14:paraId="6660BBF8" w14:textId="48A0C831" w:rsidR="00DF1561" w:rsidRPr="00DF1561" w:rsidRDefault="00DF1561" w:rsidP="00161117">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w:t>
            </w:r>
            <w:r w:rsidRPr="00161117">
              <w:rPr>
                <w:rFonts w:ascii="Arial" w:eastAsia="Times New Roman" w:hAnsi="Arial" w:cs="Arial"/>
                <w:kern w:val="0"/>
                <w:sz w:val="24"/>
                <w:szCs w:val="24"/>
                <w14:ligatures w14:val="none"/>
              </w:rPr>
              <w:t>€</w:t>
            </w:r>
            <w:r w:rsidRPr="00DF1561">
              <w:rPr>
                <w:rFonts w:ascii="Arial" w:eastAsia="Times New Roman" w:hAnsi="Arial" w:cs="Arial"/>
                <w:kern w:val="0"/>
                <w:sz w:val="24"/>
                <w:szCs w:val="24"/>
                <w14:ligatures w14:val="none"/>
              </w:rPr>
              <w:t>40.3bn</w:t>
            </w:r>
          </w:p>
        </w:tc>
        <w:tc>
          <w:tcPr>
            <w:tcW w:w="0" w:type="auto"/>
            <w:hideMark/>
          </w:tcPr>
          <w:p w14:paraId="2818001F" w14:textId="13C62A5D" w:rsidR="00DF1561" w:rsidRPr="00DF1561" w:rsidRDefault="00DF1561" w:rsidP="00161117">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w:t>
            </w:r>
            <w:r w:rsidRPr="00161117">
              <w:rPr>
                <w:rFonts w:ascii="Arial" w:eastAsia="Times New Roman" w:hAnsi="Arial" w:cs="Arial"/>
                <w:kern w:val="0"/>
                <w:sz w:val="24"/>
                <w:szCs w:val="24"/>
                <w14:ligatures w14:val="none"/>
              </w:rPr>
              <w:t>€</w:t>
            </w:r>
            <w:r w:rsidRPr="00DF1561">
              <w:rPr>
                <w:rFonts w:ascii="Arial" w:eastAsia="Times New Roman" w:hAnsi="Arial" w:cs="Arial"/>
                <w:kern w:val="0"/>
                <w:sz w:val="24"/>
                <w:szCs w:val="24"/>
                <w14:ligatures w14:val="none"/>
              </w:rPr>
              <w:t>34.4bn</w:t>
            </w:r>
          </w:p>
        </w:tc>
        <w:tc>
          <w:tcPr>
            <w:tcW w:w="0" w:type="auto"/>
            <w:hideMark/>
          </w:tcPr>
          <w:p w14:paraId="3BC975BC" w14:textId="09D7405D" w:rsidR="00DF1561" w:rsidRPr="00DF1561" w:rsidRDefault="00DF1561" w:rsidP="00161117">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w:t>
            </w:r>
            <w:r w:rsidRPr="00161117">
              <w:rPr>
                <w:rFonts w:ascii="Arial" w:eastAsia="Times New Roman" w:hAnsi="Arial" w:cs="Arial"/>
                <w:kern w:val="0"/>
                <w:sz w:val="24"/>
                <w:szCs w:val="24"/>
                <w14:ligatures w14:val="none"/>
              </w:rPr>
              <w:t>€</w:t>
            </w:r>
            <w:r w:rsidRPr="00DF1561">
              <w:rPr>
                <w:rFonts w:ascii="Arial" w:eastAsia="Times New Roman" w:hAnsi="Arial" w:cs="Arial"/>
                <w:kern w:val="0"/>
                <w:sz w:val="24"/>
                <w:szCs w:val="24"/>
                <w14:ligatures w14:val="none"/>
              </w:rPr>
              <w:t>34.5bn</w:t>
            </w:r>
          </w:p>
        </w:tc>
      </w:tr>
      <w:tr w:rsidR="00C24648" w:rsidRPr="00DF1561" w14:paraId="1443FCF3" w14:textId="77777777" w:rsidTr="00DF1561">
        <w:tc>
          <w:tcPr>
            <w:tcW w:w="0" w:type="auto"/>
            <w:hideMark/>
          </w:tcPr>
          <w:p w14:paraId="07E3D5F5" w14:textId="77777777" w:rsidR="00DF1561" w:rsidRPr="00DF1561" w:rsidRDefault="00DF1561" w:rsidP="00161117">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Debt-to-Enterprise Value</w:t>
            </w:r>
          </w:p>
        </w:tc>
        <w:tc>
          <w:tcPr>
            <w:tcW w:w="0" w:type="auto"/>
            <w:hideMark/>
          </w:tcPr>
          <w:p w14:paraId="4A93DDC3" w14:textId="77777777" w:rsidR="00DF1561" w:rsidRPr="00DF1561" w:rsidRDefault="00DF1561" w:rsidP="00161117">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Liabilities ÷ Enterprise Value</w:t>
            </w:r>
          </w:p>
        </w:tc>
        <w:tc>
          <w:tcPr>
            <w:tcW w:w="0" w:type="auto"/>
            <w:hideMark/>
          </w:tcPr>
          <w:p w14:paraId="25AF5FCD" w14:textId="77777777" w:rsidR="00DF1561" w:rsidRPr="00DF1561" w:rsidRDefault="00DF1561" w:rsidP="00161117">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 0.80</w:t>
            </w:r>
          </w:p>
        </w:tc>
        <w:tc>
          <w:tcPr>
            <w:tcW w:w="0" w:type="auto"/>
            <w:hideMark/>
          </w:tcPr>
          <w:p w14:paraId="53FB0CC5" w14:textId="77777777" w:rsidR="00DF1561" w:rsidRPr="00DF1561" w:rsidRDefault="00DF1561" w:rsidP="00161117">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0.78</w:t>
            </w:r>
          </w:p>
        </w:tc>
        <w:tc>
          <w:tcPr>
            <w:tcW w:w="0" w:type="auto"/>
            <w:hideMark/>
          </w:tcPr>
          <w:p w14:paraId="6125BE7A" w14:textId="77777777" w:rsidR="00DF1561" w:rsidRPr="00DF1561" w:rsidRDefault="00DF1561" w:rsidP="00161117">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0.79</w:t>
            </w:r>
          </w:p>
        </w:tc>
        <w:tc>
          <w:tcPr>
            <w:tcW w:w="0" w:type="auto"/>
            <w:hideMark/>
          </w:tcPr>
          <w:p w14:paraId="00093128" w14:textId="77777777" w:rsidR="00DF1561" w:rsidRPr="00DF1561" w:rsidRDefault="00DF1561" w:rsidP="00161117">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0.84</w:t>
            </w:r>
          </w:p>
        </w:tc>
        <w:tc>
          <w:tcPr>
            <w:tcW w:w="0" w:type="auto"/>
            <w:hideMark/>
          </w:tcPr>
          <w:p w14:paraId="7BAF6F0B" w14:textId="77777777" w:rsidR="00DF1561" w:rsidRPr="00DF1561" w:rsidRDefault="00DF1561" w:rsidP="00161117">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0.89</w:t>
            </w:r>
          </w:p>
        </w:tc>
      </w:tr>
    </w:tbl>
    <w:p w14:paraId="462FE5D0" w14:textId="1D641A6A"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sz w:val="24"/>
          <w:szCs w:val="24"/>
        </w:rPr>
        <w:t>Key Data for Calculations (€ billion)</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332"/>
        <w:gridCol w:w="691"/>
        <w:gridCol w:w="691"/>
        <w:gridCol w:w="691"/>
        <w:gridCol w:w="691"/>
        <w:gridCol w:w="706"/>
      </w:tblGrid>
      <w:tr w:rsidR="00DF1561" w:rsidRPr="00C24648" w14:paraId="7E084A9E" w14:textId="77777777" w:rsidTr="00D94659">
        <w:trPr>
          <w:tblHeade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6F03B500" w14:textId="77777777" w:rsidR="00DF1561" w:rsidRPr="00C24648" w:rsidRDefault="00DF1561" w:rsidP="00C24648">
            <w:pPr>
              <w:spacing w:after="0" w:line="360" w:lineRule="auto"/>
              <w:contextualSpacing/>
              <w:jc w:val="both"/>
              <w:rPr>
                <w:rFonts w:ascii="Arial" w:hAnsi="Arial" w:cs="Arial"/>
                <w:sz w:val="24"/>
                <w:szCs w:val="24"/>
              </w:rPr>
            </w:pPr>
            <w:r w:rsidRPr="00C24648">
              <w:rPr>
                <w:rStyle w:val="Strong"/>
                <w:rFonts w:ascii="Arial" w:hAnsi="Arial" w:cs="Arial"/>
                <w:sz w:val="24"/>
                <w:szCs w:val="24"/>
              </w:rPr>
              <w:t>Item</w:t>
            </w:r>
          </w:p>
        </w:tc>
        <w:tc>
          <w:tcPr>
            <w:tcW w:w="0" w:type="auto"/>
            <w:tcBorders>
              <w:top w:val="single" w:sz="6" w:space="0" w:color="auto"/>
              <w:left w:val="single" w:sz="6" w:space="0" w:color="auto"/>
              <w:bottom w:val="single" w:sz="6" w:space="0" w:color="auto"/>
              <w:right w:val="single" w:sz="6" w:space="0" w:color="auto"/>
            </w:tcBorders>
            <w:vAlign w:val="center"/>
            <w:hideMark/>
          </w:tcPr>
          <w:p w14:paraId="7C43AA59" w14:textId="77777777" w:rsidR="00DF1561" w:rsidRPr="00C24648" w:rsidRDefault="00DF1561" w:rsidP="00C24648">
            <w:pPr>
              <w:spacing w:after="0" w:line="360" w:lineRule="auto"/>
              <w:contextualSpacing/>
              <w:jc w:val="both"/>
              <w:rPr>
                <w:rFonts w:ascii="Arial" w:hAnsi="Arial" w:cs="Arial"/>
                <w:sz w:val="24"/>
                <w:szCs w:val="24"/>
              </w:rPr>
            </w:pPr>
            <w:r w:rsidRPr="00C24648">
              <w:rPr>
                <w:rStyle w:val="Strong"/>
                <w:rFonts w:ascii="Arial" w:hAnsi="Arial" w:cs="Arial"/>
                <w:sz w:val="24"/>
                <w:szCs w:val="24"/>
              </w:rPr>
              <w:t>2021</w:t>
            </w:r>
          </w:p>
        </w:tc>
        <w:tc>
          <w:tcPr>
            <w:tcW w:w="0" w:type="auto"/>
            <w:tcBorders>
              <w:top w:val="single" w:sz="6" w:space="0" w:color="auto"/>
              <w:left w:val="single" w:sz="6" w:space="0" w:color="auto"/>
              <w:bottom w:val="single" w:sz="6" w:space="0" w:color="auto"/>
              <w:right w:val="single" w:sz="6" w:space="0" w:color="auto"/>
            </w:tcBorders>
            <w:vAlign w:val="center"/>
            <w:hideMark/>
          </w:tcPr>
          <w:p w14:paraId="4AEB0128" w14:textId="77777777" w:rsidR="00DF1561" w:rsidRPr="00C24648" w:rsidRDefault="00DF1561" w:rsidP="00C24648">
            <w:pPr>
              <w:spacing w:after="0" w:line="360" w:lineRule="auto"/>
              <w:contextualSpacing/>
              <w:jc w:val="both"/>
              <w:rPr>
                <w:rFonts w:ascii="Arial" w:hAnsi="Arial" w:cs="Arial"/>
                <w:sz w:val="24"/>
                <w:szCs w:val="24"/>
              </w:rPr>
            </w:pPr>
            <w:r w:rsidRPr="00C24648">
              <w:rPr>
                <w:rStyle w:val="Strong"/>
                <w:rFonts w:ascii="Arial" w:hAnsi="Arial" w:cs="Arial"/>
                <w:sz w:val="24"/>
                <w:szCs w:val="24"/>
              </w:rPr>
              <w:t>2022</w:t>
            </w:r>
          </w:p>
        </w:tc>
        <w:tc>
          <w:tcPr>
            <w:tcW w:w="0" w:type="auto"/>
            <w:tcBorders>
              <w:top w:val="single" w:sz="6" w:space="0" w:color="auto"/>
              <w:left w:val="single" w:sz="6" w:space="0" w:color="auto"/>
              <w:bottom w:val="single" w:sz="6" w:space="0" w:color="auto"/>
              <w:right w:val="single" w:sz="6" w:space="0" w:color="auto"/>
            </w:tcBorders>
            <w:vAlign w:val="center"/>
            <w:hideMark/>
          </w:tcPr>
          <w:p w14:paraId="349839DE" w14:textId="77777777" w:rsidR="00DF1561" w:rsidRPr="00C24648" w:rsidRDefault="00DF1561" w:rsidP="00C24648">
            <w:pPr>
              <w:spacing w:after="0" w:line="360" w:lineRule="auto"/>
              <w:contextualSpacing/>
              <w:jc w:val="both"/>
              <w:rPr>
                <w:rFonts w:ascii="Arial" w:hAnsi="Arial" w:cs="Arial"/>
                <w:sz w:val="24"/>
                <w:szCs w:val="24"/>
              </w:rPr>
            </w:pPr>
            <w:r w:rsidRPr="00C24648">
              <w:rPr>
                <w:rStyle w:val="Strong"/>
                <w:rFonts w:ascii="Arial" w:hAnsi="Arial" w:cs="Arial"/>
                <w:sz w:val="24"/>
                <w:szCs w:val="24"/>
              </w:rPr>
              <w:t>2023</w:t>
            </w:r>
          </w:p>
        </w:tc>
        <w:tc>
          <w:tcPr>
            <w:tcW w:w="0" w:type="auto"/>
            <w:tcBorders>
              <w:top w:val="single" w:sz="6" w:space="0" w:color="auto"/>
              <w:left w:val="single" w:sz="6" w:space="0" w:color="auto"/>
              <w:bottom w:val="single" w:sz="6" w:space="0" w:color="auto"/>
              <w:right w:val="single" w:sz="6" w:space="0" w:color="auto"/>
            </w:tcBorders>
            <w:vAlign w:val="center"/>
            <w:hideMark/>
          </w:tcPr>
          <w:p w14:paraId="4EF0C76C" w14:textId="77777777" w:rsidR="00DF1561" w:rsidRPr="00C24648" w:rsidRDefault="00DF1561" w:rsidP="00C24648">
            <w:pPr>
              <w:spacing w:after="0" w:line="360" w:lineRule="auto"/>
              <w:contextualSpacing/>
              <w:jc w:val="both"/>
              <w:rPr>
                <w:rFonts w:ascii="Arial" w:hAnsi="Arial" w:cs="Arial"/>
                <w:sz w:val="24"/>
                <w:szCs w:val="24"/>
              </w:rPr>
            </w:pPr>
            <w:r w:rsidRPr="00C24648">
              <w:rPr>
                <w:rStyle w:val="Strong"/>
                <w:rFonts w:ascii="Arial" w:hAnsi="Arial" w:cs="Arial"/>
                <w:sz w:val="24"/>
                <w:szCs w:val="24"/>
              </w:rPr>
              <w:t>2024</w:t>
            </w:r>
          </w:p>
        </w:tc>
        <w:tc>
          <w:tcPr>
            <w:tcW w:w="0" w:type="auto"/>
            <w:tcBorders>
              <w:top w:val="single" w:sz="6" w:space="0" w:color="auto"/>
              <w:left w:val="single" w:sz="6" w:space="0" w:color="auto"/>
              <w:bottom w:val="single" w:sz="6" w:space="0" w:color="auto"/>
              <w:right w:val="single" w:sz="6" w:space="0" w:color="auto"/>
            </w:tcBorders>
            <w:vAlign w:val="center"/>
            <w:hideMark/>
          </w:tcPr>
          <w:p w14:paraId="061F68E8" w14:textId="77777777" w:rsidR="00DF1561" w:rsidRPr="00C24648" w:rsidRDefault="00DF1561" w:rsidP="00C24648">
            <w:pPr>
              <w:spacing w:after="0" w:line="360" w:lineRule="auto"/>
              <w:contextualSpacing/>
              <w:jc w:val="both"/>
              <w:rPr>
                <w:rFonts w:ascii="Arial" w:hAnsi="Arial" w:cs="Arial"/>
                <w:sz w:val="24"/>
                <w:szCs w:val="24"/>
              </w:rPr>
            </w:pPr>
            <w:r w:rsidRPr="00C24648">
              <w:rPr>
                <w:rStyle w:val="Strong"/>
                <w:rFonts w:ascii="Arial" w:hAnsi="Arial" w:cs="Arial"/>
                <w:sz w:val="24"/>
                <w:szCs w:val="24"/>
              </w:rPr>
              <w:t>2025</w:t>
            </w:r>
          </w:p>
        </w:tc>
      </w:tr>
      <w:tr w:rsidR="00DF1561" w:rsidRPr="00C24648" w14:paraId="7B917B13" w14:textId="77777777" w:rsidTr="00D94659">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1F239466"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b/>
                <w:bCs/>
                <w:sz w:val="24"/>
                <w:szCs w:val="24"/>
              </w:rPr>
              <w:t>Operating Result</w:t>
            </w:r>
          </w:p>
        </w:tc>
        <w:tc>
          <w:tcPr>
            <w:tcW w:w="0" w:type="auto"/>
            <w:tcBorders>
              <w:top w:val="single" w:sz="6" w:space="0" w:color="auto"/>
              <w:left w:val="single" w:sz="6" w:space="0" w:color="auto"/>
              <w:bottom w:val="single" w:sz="6" w:space="0" w:color="auto"/>
              <w:right w:val="single" w:sz="6" w:space="0" w:color="auto"/>
            </w:tcBorders>
            <w:vAlign w:val="center"/>
            <w:hideMark/>
          </w:tcPr>
          <w:p w14:paraId="3300D06B" w14:textId="77777777" w:rsidR="00DF1561" w:rsidRPr="00C24648" w:rsidRDefault="00DF1561" w:rsidP="00C24648">
            <w:pPr>
              <w:pStyle w:val="NormalWeb"/>
              <w:spacing w:before="0" w:beforeAutospacing="0" w:after="0" w:afterAutospacing="0" w:line="360" w:lineRule="auto"/>
              <w:contextualSpacing/>
              <w:jc w:val="both"/>
              <w:rPr>
                <w:rFonts w:ascii="Arial" w:hAnsi="Arial" w:cs="Arial"/>
              </w:rPr>
            </w:pPr>
            <w:r w:rsidRPr="00C24648">
              <w:rPr>
                <w:rStyle w:val="citation-271"/>
                <w:rFonts w:ascii="Arial" w:hAnsi="Arial" w:cs="Arial"/>
              </w:rPr>
              <w:t xml:space="preserve">19.3 </w:t>
            </w:r>
          </w:p>
        </w:tc>
        <w:tc>
          <w:tcPr>
            <w:tcW w:w="0" w:type="auto"/>
            <w:tcBorders>
              <w:top w:val="single" w:sz="6" w:space="0" w:color="auto"/>
              <w:left w:val="single" w:sz="6" w:space="0" w:color="auto"/>
              <w:bottom w:val="single" w:sz="6" w:space="0" w:color="auto"/>
              <w:right w:val="single" w:sz="6" w:space="0" w:color="auto"/>
            </w:tcBorders>
            <w:vAlign w:val="center"/>
            <w:hideMark/>
          </w:tcPr>
          <w:p w14:paraId="414857A9" w14:textId="77777777" w:rsidR="00DF1561" w:rsidRPr="00C24648" w:rsidRDefault="00DF1561" w:rsidP="00C24648">
            <w:pPr>
              <w:pStyle w:val="NormalWeb"/>
              <w:spacing w:before="0" w:beforeAutospacing="0" w:after="0" w:afterAutospacing="0" w:line="360" w:lineRule="auto"/>
              <w:contextualSpacing/>
              <w:jc w:val="both"/>
              <w:rPr>
                <w:rFonts w:ascii="Arial" w:hAnsi="Arial" w:cs="Arial"/>
              </w:rPr>
            </w:pPr>
            <w:r w:rsidRPr="00C24648">
              <w:rPr>
                <w:rStyle w:val="citation-270"/>
                <w:rFonts w:ascii="Arial" w:hAnsi="Arial" w:cs="Arial"/>
              </w:rPr>
              <w:t xml:space="preserve">22.1 </w:t>
            </w:r>
          </w:p>
        </w:tc>
        <w:tc>
          <w:tcPr>
            <w:tcW w:w="0" w:type="auto"/>
            <w:tcBorders>
              <w:top w:val="single" w:sz="6" w:space="0" w:color="auto"/>
              <w:left w:val="single" w:sz="6" w:space="0" w:color="auto"/>
              <w:bottom w:val="single" w:sz="6" w:space="0" w:color="auto"/>
              <w:right w:val="single" w:sz="6" w:space="0" w:color="auto"/>
            </w:tcBorders>
            <w:vAlign w:val="center"/>
            <w:hideMark/>
          </w:tcPr>
          <w:p w14:paraId="0F57D07B" w14:textId="77777777" w:rsidR="00DF1561" w:rsidRPr="00C24648" w:rsidRDefault="00DF1561" w:rsidP="00C24648">
            <w:pPr>
              <w:pStyle w:val="NormalWeb"/>
              <w:spacing w:before="0" w:beforeAutospacing="0" w:after="0" w:afterAutospacing="0" w:line="360" w:lineRule="auto"/>
              <w:contextualSpacing/>
              <w:jc w:val="both"/>
              <w:rPr>
                <w:rFonts w:ascii="Arial" w:hAnsi="Arial" w:cs="Arial"/>
              </w:rPr>
            </w:pPr>
            <w:r w:rsidRPr="00C24648">
              <w:rPr>
                <w:rStyle w:val="citation-269"/>
                <w:rFonts w:ascii="Arial" w:eastAsiaTheme="majorEastAsia" w:hAnsi="Arial" w:cs="Arial"/>
              </w:rPr>
              <w:t xml:space="preserve">22.6 </w:t>
            </w:r>
          </w:p>
        </w:tc>
        <w:tc>
          <w:tcPr>
            <w:tcW w:w="0" w:type="auto"/>
            <w:tcBorders>
              <w:top w:val="single" w:sz="6" w:space="0" w:color="auto"/>
              <w:left w:val="single" w:sz="6" w:space="0" w:color="auto"/>
              <w:bottom w:val="single" w:sz="6" w:space="0" w:color="auto"/>
              <w:right w:val="single" w:sz="6" w:space="0" w:color="auto"/>
            </w:tcBorders>
            <w:vAlign w:val="center"/>
            <w:hideMark/>
          </w:tcPr>
          <w:p w14:paraId="36E5A93E" w14:textId="77777777" w:rsidR="00DF1561" w:rsidRPr="00C24648" w:rsidRDefault="00DF1561" w:rsidP="00C24648">
            <w:pPr>
              <w:pStyle w:val="NormalWeb"/>
              <w:spacing w:before="0" w:beforeAutospacing="0" w:after="0" w:afterAutospacing="0" w:line="360" w:lineRule="auto"/>
              <w:contextualSpacing/>
              <w:jc w:val="both"/>
              <w:rPr>
                <w:rFonts w:ascii="Arial" w:hAnsi="Arial" w:cs="Arial"/>
              </w:rPr>
            </w:pPr>
            <w:r w:rsidRPr="00C24648">
              <w:rPr>
                <w:rStyle w:val="citation-268"/>
                <w:rFonts w:ascii="Arial" w:hAnsi="Arial" w:cs="Arial"/>
              </w:rPr>
              <w:t xml:space="preserve">19.1 </w:t>
            </w:r>
          </w:p>
        </w:tc>
        <w:tc>
          <w:tcPr>
            <w:tcW w:w="0" w:type="auto"/>
            <w:tcBorders>
              <w:top w:val="single" w:sz="6" w:space="0" w:color="auto"/>
              <w:left w:val="single" w:sz="6" w:space="0" w:color="auto"/>
              <w:bottom w:val="single" w:sz="6" w:space="0" w:color="auto"/>
              <w:right w:val="single" w:sz="6" w:space="0" w:color="auto"/>
            </w:tcBorders>
            <w:vAlign w:val="center"/>
            <w:hideMark/>
          </w:tcPr>
          <w:p w14:paraId="239A8FF5" w14:textId="77777777" w:rsidR="00DF1561" w:rsidRPr="00C24648" w:rsidRDefault="00DF1561" w:rsidP="00C24648">
            <w:pPr>
              <w:pStyle w:val="NormalWeb"/>
              <w:spacing w:before="0" w:beforeAutospacing="0" w:after="0" w:afterAutospacing="0" w:line="360" w:lineRule="auto"/>
              <w:contextualSpacing/>
              <w:jc w:val="both"/>
              <w:rPr>
                <w:rFonts w:ascii="Arial" w:hAnsi="Arial" w:cs="Arial"/>
              </w:rPr>
            </w:pPr>
            <w:r w:rsidRPr="00C24648">
              <w:rPr>
                <w:rStyle w:val="citation-267"/>
                <w:rFonts w:ascii="Arial" w:hAnsi="Arial" w:cs="Arial"/>
              </w:rPr>
              <w:t xml:space="preserve">8.9 </w:t>
            </w:r>
          </w:p>
        </w:tc>
      </w:tr>
      <w:tr w:rsidR="00DF1561" w:rsidRPr="00C24648" w14:paraId="62CBE107" w14:textId="77777777" w:rsidTr="00D94659">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172B7646"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b/>
                <w:bCs/>
                <w:sz w:val="24"/>
                <w:szCs w:val="24"/>
              </w:rPr>
              <w:t>Total Equity</w:t>
            </w:r>
          </w:p>
        </w:tc>
        <w:tc>
          <w:tcPr>
            <w:tcW w:w="0" w:type="auto"/>
            <w:tcBorders>
              <w:top w:val="single" w:sz="6" w:space="0" w:color="auto"/>
              <w:left w:val="single" w:sz="6" w:space="0" w:color="auto"/>
              <w:bottom w:val="single" w:sz="6" w:space="0" w:color="auto"/>
              <w:right w:val="single" w:sz="6" w:space="0" w:color="auto"/>
            </w:tcBorders>
            <w:vAlign w:val="center"/>
            <w:hideMark/>
          </w:tcPr>
          <w:p w14:paraId="79652455"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sz w:val="24"/>
                <w:szCs w:val="24"/>
              </w:rPr>
              <w:t>146.4</w:t>
            </w:r>
          </w:p>
        </w:tc>
        <w:tc>
          <w:tcPr>
            <w:tcW w:w="0" w:type="auto"/>
            <w:tcBorders>
              <w:top w:val="single" w:sz="6" w:space="0" w:color="auto"/>
              <w:left w:val="single" w:sz="6" w:space="0" w:color="auto"/>
              <w:bottom w:val="single" w:sz="6" w:space="0" w:color="auto"/>
              <w:right w:val="single" w:sz="6" w:space="0" w:color="auto"/>
            </w:tcBorders>
            <w:vAlign w:val="center"/>
            <w:hideMark/>
          </w:tcPr>
          <w:p w14:paraId="382FC6F7"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sz w:val="24"/>
                <w:szCs w:val="24"/>
              </w:rPr>
              <w:t>173.3</w:t>
            </w:r>
          </w:p>
        </w:tc>
        <w:tc>
          <w:tcPr>
            <w:tcW w:w="0" w:type="auto"/>
            <w:tcBorders>
              <w:top w:val="single" w:sz="6" w:space="0" w:color="auto"/>
              <w:left w:val="single" w:sz="6" w:space="0" w:color="auto"/>
              <w:bottom w:val="single" w:sz="6" w:space="0" w:color="auto"/>
              <w:right w:val="single" w:sz="6" w:space="0" w:color="auto"/>
            </w:tcBorders>
            <w:vAlign w:val="center"/>
            <w:hideMark/>
          </w:tcPr>
          <w:p w14:paraId="1BF0D5C3"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sz w:val="24"/>
                <w:szCs w:val="24"/>
              </w:rPr>
              <w:t>186.9</w:t>
            </w:r>
          </w:p>
        </w:tc>
        <w:tc>
          <w:tcPr>
            <w:tcW w:w="0" w:type="auto"/>
            <w:tcBorders>
              <w:top w:val="single" w:sz="6" w:space="0" w:color="auto"/>
              <w:left w:val="single" w:sz="6" w:space="0" w:color="auto"/>
              <w:bottom w:val="single" w:sz="6" w:space="0" w:color="auto"/>
              <w:right w:val="single" w:sz="6" w:space="0" w:color="auto"/>
            </w:tcBorders>
            <w:vAlign w:val="center"/>
            <w:hideMark/>
          </w:tcPr>
          <w:p w14:paraId="01456020"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sz w:val="24"/>
                <w:szCs w:val="24"/>
              </w:rPr>
              <w:t>191.0</w:t>
            </w:r>
          </w:p>
        </w:tc>
        <w:tc>
          <w:tcPr>
            <w:tcW w:w="0" w:type="auto"/>
            <w:tcBorders>
              <w:top w:val="single" w:sz="6" w:space="0" w:color="auto"/>
              <w:left w:val="single" w:sz="6" w:space="0" w:color="auto"/>
              <w:bottom w:val="single" w:sz="6" w:space="0" w:color="auto"/>
              <w:right w:val="single" w:sz="6" w:space="0" w:color="auto"/>
            </w:tcBorders>
            <w:vAlign w:val="center"/>
            <w:hideMark/>
          </w:tcPr>
          <w:p w14:paraId="5D856DA3"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sz w:val="24"/>
                <w:szCs w:val="24"/>
              </w:rPr>
              <w:t>188.9</w:t>
            </w:r>
          </w:p>
        </w:tc>
      </w:tr>
      <w:tr w:rsidR="00DF1561" w:rsidRPr="00C24648" w14:paraId="77E26A5A" w14:textId="77777777" w:rsidTr="00D94659">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4284B48A"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b/>
                <w:bCs/>
                <w:sz w:val="24"/>
                <w:szCs w:val="24"/>
              </w:rPr>
              <w:t>Total Liabilities</w:t>
            </w:r>
          </w:p>
        </w:tc>
        <w:tc>
          <w:tcPr>
            <w:tcW w:w="0" w:type="auto"/>
            <w:tcBorders>
              <w:top w:val="single" w:sz="6" w:space="0" w:color="auto"/>
              <w:left w:val="single" w:sz="6" w:space="0" w:color="auto"/>
              <w:bottom w:val="single" w:sz="6" w:space="0" w:color="auto"/>
              <w:right w:val="single" w:sz="6" w:space="0" w:color="auto"/>
            </w:tcBorders>
            <w:vAlign w:val="center"/>
            <w:hideMark/>
          </w:tcPr>
          <w:p w14:paraId="780EFAA8"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sz w:val="24"/>
                <w:szCs w:val="24"/>
              </w:rPr>
              <w:t>382.3</w:t>
            </w:r>
          </w:p>
        </w:tc>
        <w:tc>
          <w:tcPr>
            <w:tcW w:w="0" w:type="auto"/>
            <w:tcBorders>
              <w:top w:val="single" w:sz="6" w:space="0" w:color="auto"/>
              <w:left w:val="single" w:sz="6" w:space="0" w:color="auto"/>
              <w:bottom w:val="single" w:sz="6" w:space="0" w:color="auto"/>
              <w:right w:val="single" w:sz="6" w:space="0" w:color="auto"/>
            </w:tcBorders>
            <w:vAlign w:val="center"/>
            <w:hideMark/>
          </w:tcPr>
          <w:p w14:paraId="71B2E7C7"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sz w:val="24"/>
                <w:szCs w:val="24"/>
              </w:rPr>
              <w:t>390.7</w:t>
            </w:r>
          </w:p>
        </w:tc>
        <w:tc>
          <w:tcPr>
            <w:tcW w:w="0" w:type="auto"/>
            <w:tcBorders>
              <w:top w:val="single" w:sz="6" w:space="0" w:color="auto"/>
              <w:left w:val="single" w:sz="6" w:space="0" w:color="auto"/>
              <w:bottom w:val="single" w:sz="6" w:space="0" w:color="auto"/>
              <w:right w:val="single" w:sz="6" w:space="0" w:color="auto"/>
            </w:tcBorders>
            <w:vAlign w:val="center"/>
            <w:hideMark/>
          </w:tcPr>
          <w:p w14:paraId="7772BB18"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sz w:val="24"/>
                <w:szCs w:val="24"/>
              </w:rPr>
              <w:t>433.7</w:t>
            </w:r>
          </w:p>
        </w:tc>
        <w:tc>
          <w:tcPr>
            <w:tcW w:w="0" w:type="auto"/>
            <w:tcBorders>
              <w:top w:val="single" w:sz="6" w:space="0" w:color="auto"/>
              <w:left w:val="single" w:sz="6" w:space="0" w:color="auto"/>
              <w:bottom w:val="single" w:sz="6" w:space="0" w:color="auto"/>
              <w:right w:val="single" w:sz="6" w:space="0" w:color="auto"/>
            </w:tcBorders>
            <w:vAlign w:val="center"/>
            <w:hideMark/>
          </w:tcPr>
          <w:p w14:paraId="07808707"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sz w:val="24"/>
                <w:szCs w:val="24"/>
              </w:rPr>
              <w:t>437.4</w:t>
            </w:r>
          </w:p>
        </w:tc>
        <w:tc>
          <w:tcPr>
            <w:tcW w:w="0" w:type="auto"/>
            <w:tcBorders>
              <w:top w:val="single" w:sz="6" w:space="0" w:color="auto"/>
              <w:left w:val="single" w:sz="6" w:space="0" w:color="auto"/>
              <w:bottom w:val="single" w:sz="6" w:space="0" w:color="auto"/>
              <w:right w:val="single" w:sz="6" w:space="0" w:color="auto"/>
            </w:tcBorders>
            <w:vAlign w:val="center"/>
            <w:hideMark/>
          </w:tcPr>
          <w:p w14:paraId="68C8BC08"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sz w:val="24"/>
                <w:szCs w:val="24"/>
              </w:rPr>
              <w:t>436.2</w:t>
            </w:r>
          </w:p>
        </w:tc>
      </w:tr>
      <w:tr w:rsidR="00DF1561" w:rsidRPr="00C24648" w14:paraId="2F3425A7" w14:textId="77777777" w:rsidTr="00D94659">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4416EAAB"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b/>
                <w:bCs/>
                <w:sz w:val="24"/>
                <w:szCs w:val="24"/>
              </w:rPr>
              <w:t>Total Assets</w:t>
            </w:r>
          </w:p>
        </w:tc>
        <w:tc>
          <w:tcPr>
            <w:tcW w:w="0" w:type="auto"/>
            <w:tcBorders>
              <w:top w:val="single" w:sz="6" w:space="0" w:color="auto"/>
              <w:left w:val="single" w:sz="6" w:space="0" w:color="auto"/>
              <w:bottom w:val="single" w:sz="6" w:space="0" w:color="auto"/>
              <w:right w:val="single" w:sz="6" w:space="0" w:color="auto"/>
            </w:tcBorders>
            <w:vAlign w:val="center"/>
            <w:hideMark/>
          </w:tcPr>
          <w:p w14:paraId="3E357238"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sz w:val="24"/>
                <w:szCs w:val="24"/>
              </w:rPr>
              <w:t>528.7</w:t>
            </w:r>
          </w:p>
        </w:tc>
        <w:tc>
          <w:tcPr>
            <w:tcW w:w="0" w:type="auto"/>
            <w:tcBorders>
              <w:top w:val="single" w:sz="6" w:space="0" w:color="auto"/>
              <w:left w:val="single" w:sz="6" w:space="0" w:color="auto"/>
              <w:bottom w:val="single" w:sz="6" w:space="0" w:color="auto"/>
              <w:right w:val="single" w:sz="6" w:space="0" w:color="auto"/>
            </w:tcBorders>
            <w:vAlign w:val="center"/>
            <w:hideMark/>
          </w:tcPr>
          <w:p w14:paraId="236BAEDA"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sz w:val="24"/>
                <w:szCs w:val="24"/>
              </w:rPr>
              <w:t>564.0</w:t>
            </w:r>
          </w:p>
        </w:tc>
        <w:tc>
          <w:tcPr>
            <w:tcW w:w="0" w:type="auto"/>
            <w:tcBorders>
              <w:top w:val="single" w:sz="6" w:space="0" w:color="auto"/>
              <w:left w:val="single" w:sz="6" w:space="0" w:color="auto"/>
              <w:bottom w:val="single" w:sz="6" w:space="0" w:color="auto"/>
              <w:right w:val="single" w:sz="6" w:space="0" w:color="auto"/>
            </w:tcBorders>
            <w:vAlign w:val="center"/>
            <w:hideMark/>
          </w:tcPr>
          <w:p w14:paraId="751FB93C"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sz w:val="24"/>
                <w:szCs w:val="24"/>
              </w:rPr>
              <w:t>620.6</w:t>
            </w:r>
          </w:p>
        </w:tc>
        <w:tc>
          <w:tcPr>
            <w:tcW w:w="0" w:type="auto"/>
            <w:tcBorders>
              <w:top w:val="single" w:sz="6" w:space="0" w:color="auto"/>
              <w:left w:val="single" w:sz="6" w:space="0" w:color="auto"/>
              <w:bottom w:val="single" w:sz="6" w:space="0" w:color="auto"/>
              <w:right w:val="single" w:sz="6" w:space="0" w:color="auto"/>
            </w:tcBorders>
            <w:vAlign w:val="center"/>
            <w:hideMark/>
          </w:tcPr>
          <w:p w14:paraId="5D121D0B"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sz w:val="24"/>
                <w:szCs w:val="24"/>
              </w:rPr>
              <w:t>628.4</w:t>
            </w:r>
          </w:p>
        </w:tc>
        <w:tc>
          <w:tcPr>
            <w:tcW w:w="0" w:type="auto"/>
            <w:tcBorders>
              <w:top w:val="single" w:sz="6" w:space="0" w:color="auto"/>
              <w:left w:val="single" w:sz="6" w:space="0" w:color="auto"/>
              <w:bottom w:val="single" w:sz="6" w:space="0" w:color="auto"/>
              <w:right w:val="single" w:sz="6" w:space="0" w:color="auto"/>
            </w:tcBorders>
            <w:vAlign w:val="center"/>
            <w:hideMark/>
          </w:tcPr>
          <w:p w14:paraId="1AF11EB7"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sz w:val="24"/>
                <w:szCs w:val="24"/>
              </w:rPr>
              <w:t>625.1</w:t>
            </w:r>
          </w:p>
        </w:tc>
      </w:tr>
      <w:tr w:rsidR="00DF1561" w:rsidRPr="00C24648" w14:paraId="0571FFFB" w14:textId="77777777" w:rsidTr="00D94659">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7E9542F8"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b/>
                <w:bCs/>
                <w:sz w:val="24"/>
                <w:szCs w:val="24"/>
              </w:rPr>
              <w:lastRenderedPageBreak/>
              <w:t>Net Liquidity (Auto)</w:t>
            </w:r>
          </w:p>
        </w:tc>
        <w:tc>
          <w:tcPr>
            <w:tcW w:w="0" w:type="auto"/>
            <w:tcBorders>
              <w:top w:val="single" w:sz="6" w:space="0" w:color="auto"/>
              <w:left w:val="single" w:sz="6" w:space="0" w:color="auto"/>
              <w:bottom w:val="single" w:sz="6" w:space="0" w:color="auto"/>
              <w:right w:val="single" w:sz="6" w:space="0" w:color="auto"/>
            </w:tcBorders>
            <w:vAlign w:val="center"/>
            <w:hideMark/>
          </w:tcPr>
          <w:p w14:paraId="3F3712FD" w14:textId="77777777" w:rsidR="00DF1561" w:rsidRPr="00C24648" w:rsidRDefault="00DF1561" w:rsidP="00C24648">
            <w:pPr>
              <w:pStyle w:val="NormalWeb"/>
              <w:spacing w:before="0" w:beforeAutospacing="0" w:after="0" w:afterAutospacing="0" w:line="360" w:lineRule="auto"/>
              <w:contextualSpacing/>
              <w:jc w:val="both"/>
              <w:rPr>
                <w:rFonts w:ascii="Arial" w:hAnsi="Arial" w:cs="Arial"/>
              </w:rPr>
            </w:pPr>
            <w:r w:rsidRPr="00C24648">
              <w:rPr>
                <w:rStyle w:val="citation-266"/>
                <w:rFonts w:ascii="Arial" w:hAnsi="Arial" w:cs="Arial"/>
              </w:rPr>
              <w:t xml:space="preserve">26.7 </w:t>
            </w:r>
          </w:p>
        </w:tc>
        <w:tc>
          <w:tcPr>
            <w:tcW w:w="0" w:type="auto"/>
            <w:tcBorders>
              <w:top w:val="single" w:sz="6" w:space="0" w:color="auto"/>
              <w:left w:val="single" w:sz="6" w:space="0" w:color="auto"/>
              <w:bottom w:val="single" w:sz="6" w:space="0" w:color="auto"/>
              <w:right w:val="single" w:sz="6" w:space="0" w:color="auto"/>
            </w:tcBorders>
            <w:vAlign w:val="center"/>
            <w:hideMark/>
          </w:tcPr>
          <w:p w14:paraId="3EE04728" w14:textId="77777777" w:rsidR="00DF1561" w:rsidRPr="00C24648" w:rsidRDefault="00DF1561" w:rsidP="00C24648">
            <w:pPr>
              <w:pStyle w:val="NormalWeb"/>
              <w:spacing w:before="0" w:beforeAutospacing="0" w:after="0" w:afterAutospacing="0" w:line="360" w:lineRule="auto"/>
              <w:contextualSpacing/>
              <w:jc w:val="both"/>
              <w:rPr>
                <w:rFonts w:ascii="Arial" w:hAnsi="Arial" w:cs="Arial"/>
              </w:rPr>
            </w:pPr>
            <w:r w:rsidRPr="00C24648">
              <w:rPr>
                <w:rStyle w:val="citation-265"/>
                <w:rFonts w:ascii="Arial" w:hAnsi="Arial" w:cs="Arial"/>
              </w:rPr>
              <w:t xml:space="preserve">43.0 </w:t>
            </w:r>
          </w:p>
        </w:tc>
        <w:tc>
          <w:tcPr>
            <w:tcW w:w="0" w:type="auto"/>
            <w:tcBorders>
              <w:top w:val="single" w:sz="6" w:space="0" w:color="auto"/>
              <w:left w:val="single" w:sz="6" w:space="0" w:color="auto"/>
              <w:bottom w:val="single" w:sz="6" w:space="0" w:color="auto"/>
              <w:right w:val="single" w:sz="6" w:space="0" w:color="auto"/>
            </w:tcBorders>
            <w:vAlign w:val="center"/>
            <w:hideMark/>
          </w:tcPr>
          <w:p w14:paraId="3D169BCE" w14:textId="77777777" w:rsidR="00DF1561" w:rsidRPr="00C24648" w:rsidRDefault="00DF1561" w:rsidP="00C24648">
            <w:pPr>
              <w:pStyle w:val="NormalWeb"/>
              <w:spacing w:before="0" w:beforeAutospacing="0" w:after="0" w:afterAutospacing="0" w:line="360" w:lineRule="auto"/>
              <w:contextualSpacing/>
              <w:jc w:val="both"/>
              <w:rPr>
                <w:rFonts w:ascii="Arial" w:hAnsi="Arial" w:cs="Arial"/>
              </w:rPr>
            </w:pPr>
            <w:r w:rsidRPr="00C24648">
              <w:rPr>
                <w:rStyle w:val="citation-264"/>
                <w:rFonts w:ascii="Arial" w:hAnsi="Arial" w:cs="Arial"/>
              </w:rPr>
              <w:t xml:space="preserve">40.3 </w:t>
            </w:r>
          </w:p>
        </w:tc>
        <w:tc>
          <w:tcPr>
            <w:tcW w:w="0" w:type="auto"/>
            <w:tcBorders>
              <w:top w:val="single" w:sz="6" w:space="0" w:color="auto"/>
              <w:left w:val="single" w:sz="6" w:space="0" w:color="auto"/>
              <w:bottom w:val="single" w:sz="6" w:space="0" w:color="auto"/>
              <w:right w:val="single" w:sz="6" w:space="0" w:color="auto"/>
            </w:tcBorders>
            <w:vAlign w:val="center"/>
            <w:hideMark/>
          </w:tcPr>
          <w:p w14:paraId="2763F23F" w14:textId="77777777" w:rsidR="00DF1561" w:rsidRPr="00C24648" w:rsidRDefault="00DF1561" w:rsidP="00C24648">
            <w:pPr>
              <w:pStyle w:val="NormalWeb"/>
              <w:spacing w:before="0" w:beforeAutospacing="0" w:after="0" w:afterAutospacing="0" w:line="360" w:lineRule="auto"/>
              <w:contextualSpacing/>
              <w:jc w:val="both"/>
              <w:rPr>
                <w:rFonts w:ascii="Arial" w:hAnsi="Arial" w:cs="Arial"/>
              </w:rPr>
            </w:pPr>
            <w:r w:rsidRPr="00C24648">
              <w:rPr>
                <w:rStyle w:val="citation-263"/>
                <w:rFonts w:ascii="Arial" w:hAnsi="Arial" w:cs="Arial"/>
              </w:rPr>
              <w:t xml:space="preserve">34.4 </w:t>
            </w:r>
          </w:p>
        </w:tc>
        <w:tc>
          <w:tcPr>
            <w:tcW w:w="0" w:type="auto"/>
            <w:tcBorders>
              <w:top w:val="single" w:sz="6" w:space="0" w:color="auto"/>
              <w:left w:val="single" w:sz="6" w:space="0" w:color="auto"/>
              <w:bottom w:val="single" w:sz="6" w:space="0" w:color="auto"/>
              <w:right w:val="single" w:sz="6" w:space="0" w:color="auto"/>
            </w:tcBorders>
            <w:vAlign w:val="center"/>
            <w:hideMark/>
          </w:tcPr>
          <w:p w14:paraId="40512E82" w14:textId="77777777" w:rsidR="00DF1561" w:rsidRPr="00C24648" w:rsidRDefault="00DF1561" w:rsidP="00C24648">
            <w:pPr>
              <w:pStyle w:val="NormalWeb"/>
              <w:spacing w:before="0" w:beforeAutospacing="0" w:after="0" w:afterAutospacing="0" w:line="360" w:lineRule="auto"/>
              <w:contextualSpacing/>
              <w:jc w:val="both"/>
              <w:rPr>
                <w:rFonts w:ascii="Arial" w:hAnsi="Arial" w:cs="Arial"/>
              </w:rPr>
            </w:pPr>
            <w:r w:rsidRPr="00C24648">
              <w:rPr>
                <w:rStyle w:val="citation-262"/>
                <w:rFonts w:ascii="Arial" w:hAnsi="Arial" w:cs="Arial"/>
              </w:rPr>
              <w:t xml:space="preserve">34.5 </w:t>
            </w:r>
          </w:p>
        </w:tc>
      </w:tr>
    </w:tbl>
    <w:p w14:paraId="1A2150CB" w14:textId="77777777" w:rsidR="00987963" w:rsidRDefault="00987963" w:rsidP="00C24648">
      <w:pPr>
        <w:spacing w:after="0" w:line="360" w:lineRule="auto"/>
        <w:contextualSpacing/>
        <w:jc w:val="both"/>
        <w:rPr>
          <w:rFonts w:ascii="Arial" w:hAnsi="Arial" w:cs="Arial"/>
          <w:sz w:val="24"/>
          <w:szCs w:val="24"/>
        </w:rPr>
      </w:pPr>
    </w:p>
    <w:p w14:paraId="1423A040" w14:textId="1DCD32E6" w:rsidR="00D9686E" w:rsidRDefault="00D9686E" w:rsidP="00C24648">
      <w:pPr>
        <w:spacing w:after="0" w:line="360" w:lineRule="auto"/>
        <w:contextualSpacing/>
        <w:jc w:val="both"/>
        <w:rPr>
          <w:rFonts w:ascii="Arial" w:hAnsi="Arial" w:cs="Arial"/>
          <w:sz w:val="24"/>
          <w:szCs w:val="24"/>
        </w:rPr>
      </w:pPr>
      <w:r>
        <w:rPr>
          <w:rFonts w:ascii="Arial" w:hAnsi="Arial" w:cs="Arial"/>
          <w:noProof/>
          <w:sz w:val="24"/>
          <w:szCs w:val="24"/>
        </w:rPr>
        <w:drawing>
          <wp:inline distT="0" distB="0" distL="0" distR="0" wp14:anchorId="3EDD4D2A" wp14:editId="067DA91B">
            <wp:extent cx="4584700" cy="2755900"/>
            <wp:effectExtent l="0" t="0" r="635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2EC997DF" w14:textId="7F4765B6" w:rsidR="00D9686E" w:rsidRDefault="00D9686E" w:rsidP="00C24648">
      <w:pPr>
        <w:spacing w:after="0" w:line="360" w:lineRule="auto"/>
        <w:contextualSpacing/>
        <w:jc w:val="both"/>
        <w:rPr>
          <w:rFonts w:ascii="Arial" w:hAnsi="Arial" w:cs="Arial"/>
          <w:sz w:val="24"/>
          <w:szCs w:val="24"/>
        </w:rPr>
      </w:pPr>
      <w:r>
        <w:rPr>
          <w:rFonts w:ascii="Arial" w:hAnsi="Arial" w:cs="Arial"/>
          <w:sz w:val="24"/>
          <w:szCs w:val="24"/>
        </w:rPr>
        <w:t>Graph 5: H</w:t>
      </w:r>
      <w:r w:rsidRPr="00D9686E">
        <w:rPr>
          <w:rFonts w:ascii="Arial" w:hAnsi="Arial" w:cs="Arial"/>
          <w:sz w:val="24"/>
          <w:szCs w:val="24"/>
        </w:rPr>
        <w:t>igh leverage levels across the period, indicating Volkswagen Group’s continued reliance on debt financing.</w:t>
      </w:r>
    </w:p>
    <w:p w14:paraId="079BDEC7" w14:textId="77777777" w:rsidR="00EE7003" w:rsidRPr="00C24648" w:rsidRDefault="00EE7003" w:rsidP="00C24648">
      <w:pPr>
        <w:spacing w:after="0" w:line="360" w:lineRule="auto"/>
        <w:contextualSpacing/>
        <w:jc w:val="both"/>
        <w:rPr>
          <w:rFonts w:ascii="Arial" w:hAnsi="Arial" w:cs="Arial"/>
          <w:sz w:val="24"/>
          <w:szCs w:val="24"/>
        </w:rPr>
      </w:pPr>
    </w:p>
    <w:p w14:paraId="00643CCB" w14:textId="35ED2490" w:rsidR="00C24E83" w:rsidRPr="00C24648" w:rsidRDefault="007E6E4C" w:rsidP="00C24648">
      <w:pPr>
        <w:spacing w:after="0" w:line="360" w:lineRule="auto"/>
        <w:contextualSpacing/>
        <w:jc w:val="both"/>
        <w:rPr>
          <w:rFonts w:ascii="Arial" w:hAnsi="Arial" w:cs="Arial"/>
          <w:sz w:val="24"/>
          <w:szCs w:val="24"/>
        </w:rPr>
      </w:pPr>
      <w:r w:rsidRPr="00C24648">
        <w:rPr>
          <w:rFonts w:ascii="Arial" w:hAnsi="Arial" w:cs="Arial"/>
          <w:sz w:val="24"/>
          <w:szCs w:val="24"/>
        </w:rPr>
        <w:t xml:space="preserve">Table 5: </w:t>
      </w:r>
      <w:r w:rsidR="00C24E83" w:rsidRPr="00C24648">
        <w:rPr>
          <w:rFonts w:ascii="Arial" w:hAnsi="Arial" w:cs="Arial"/>
          <w:sz w:val="24"/>
          <w:szCs w:val="24"/>
        </w:rPr>
        <w:t>Investment</w:t>
      </w:r>
      <w:r w:rsidRPr="00C24648">
        <w:rPr>
          <w:rFonts w:ascii="Arial" w:hAnsi="Arial" w:cs="Arial"/>
          <w:sz w:val="24"/>
          <w:szCs w:val="24"/>
        </w:rPr>
        <w:t xml:space="preserve"> </w:t>
      </w:r>
      <w:r w:rsidR="00C24E83" w:rsidRPr="00C24648">
        <w:rPr>
          <w:rFonts w:ascii="Arial" w:hAnsi="Arial" w:cs="Arial"/>
          <w:sz w:val="24"/>
          <w:szCs w:val="24"/>
        </w:rPr>
        <w:t>Ratios</w:t>
      </w:r>
    </w:p>
    <w:tbl>
      <w:tblPr>
        <w:tblStyle w:val="TableGrid"/>
        <w:tblW w:w="0" w:type="auto"/>
        <w:tblLook w:val="04A0" w:firstRow="1" w:lastRow="0" w:firstColumn="1" w:lastColumn="0" w:noHBand="0" w:noVBand="1"/>
      </w:tblPr>
      <w:tblGrid>
        <w:gridCol w:w="1791"/>
        <w:gridCol w:w="1669"/>
        <w:gridCol w:w="1179"/>
        <w:gridCol w:w="1178"/>
        <w:gridCol w:w="1178"/>
        <w:gridCol w:w="1178"/>
        <w:gridCol w:w="1177"/>
      </w:tblGrid>
      <w:tr w:rsidR="00DF1561" w:rsidRPr="00C24648" w14:paraId="5D240DB8" w14:textId="77777777" w:rsidTr="00DF1561">
        <w:tc>
          <w:tcPr>
            <w:tcW w:w="0" w:type="auto"/>
            <w:hideMark/>
          </w:tcPr>
          <w:p w14:paraId="12B7C431" w14:textId="77777777" w:rsidR="00DF1561" w:rsidRPr="00DF1561" w:rsidRDefault="00DF1561" w:rsidP="00161117">
            <w:pPr>
              <w:contextualSpacing/>
              <w:jc w:val="both"/>
              <w:rPr>
                <w:rFonts w:ascii="Arial" w:eastAsia="Times New Roman" w:hAnsi="Arial" w:cs="Arial"/>
                <w:b/>
                <w:bCs/>
                <w:kern w:val="0"/>
                <w:sz w:val="24"/>
                <w:szCs w:val="24"/>
                <w14:ligatures w14:val="none"/>
              </w:rPr>
            </w:pPr>
            <w:r w:rsidRPr="00DF1561">
              <w:rPr>
                <w:rFonts w:ascii="Arial" w:eastAsia="Times New Roman" w:hAnsi="Arial" w:cs="Arial"/>
                <w:b/>
                <w:bCs/>
                <w:kern w:val="0"/>
                <w:sz w:val="24"/>
                <w:szCs w:val="24"/>
                <w14:ligatures w14:val="none"/>
              </w:rPr>
              <w:t>Ratio</w:t>
            </w:r>
          </w:p>
        </w:tc>
        <w:tc>
          <w:tcPr>
            <w:tcW w:w="0" w:type="auto"/>
            <w:hideMark/>
          </w:tcPr>
          <w:p w14:paraId="2EEE5276" w14:textId="77777777" w:rsidR="00DF1561" w:rsidRPr="00DF1561" w:rsidRDefault="00DF1561" w:rsidP="00161117">
            <w:pPr>
              <w:contextualSpacing/>
              <w:jc w:val="both"/>
              <w:rPr>
                <w:rFonts w:ascii="Arial" w:eastAsia="Times New Roman" w:hAnsi="Arial" w:cs="Arial"/>
                <w:b/>
                <w:bCs/>
                <w:kern w:val="0"/>
                <w:sz w:val="24"/>
                <w:szCs w:val="24"/>
                <w14:ligatures w14:val="none"/>
              </w:rPr>
            </w:pPr>
            <w:r w:rsidRPr="00DF1561">
              <w:rPr>
                <w:rFonts w:ascii="Arial" w:eastAsia="Times New Roman" w:hAnsi="Arial" w:cs="Arial"/>
                <w:b/>
                <w:bCs/>
                <w:kern w:val="0"/>
                <w:sz w:val="24"/>
                <w:szCs w:val="24"/>
                <w14:ligatures w14:val="none"/>
              </w:rPr>
              <w:t>Formula</w:t>
            </w:r>
          </w:p>
        </w:tc>
        <w:tc>
          <w:tcPr>
            <w:tcW w:w="0" w:type="auto"/>
            <w:hideMark/>
          </w:tcPr>
          <w:p w14:paraId="07DE375C" w14:textId="77777777" w:rsidR="00DF1561" w:rsidRPr="00DF1561" w:rsidRDefault="00DF1561" w:rsidP="00161117">
            <w:pPr>
              <w:contextualSpacing/>
              <w:jc w:val="both"/>
              <w:rPr>
                <w:rFonts w:ascii="Arial" w:eastAsia="Times New Roman" w:hAnsi="Arial" w:cs="Arial"/>
                <w:b/>
                <w:bCs/>
                <w:kern w:val="0"/>
                <w:sz w:val="24"/>
                <w:szCs w:val="24"/>
                <w14:ligatures w14:val="none"/>
              </w:rPr>
            </w:pPr>
            <w:r w:rsidRPr="00DF1561">
              <w:rPr>
                <w:rFonts w:ascii="Arial" w:eastAsia="Times New Roman" w:hAnsi="Arial" w:cs="Arial"/>
                <w:b/>
                <w:bCs/>
                <w:kern w:val="0"/>
                <w:sz w:val="24"/>
                <w:szCs w:val="24"/>
                <w14:ligatures w14:val="none"/>
              </w:rPr>
              <w:t>2021</w:t>
            </w:r>
          </w:p>
        </w:tc>
        <w:tc>
          <w:tcPr>
            <w:tcW w:w="0" w:type="auto"/>
            <w:hideMark/>
          </w:tcPr>
          <w:p w14:paraId="72FE8AA0" w14:textId="77777777" w:rsidR="00DF1561" w:rsidRPr="00DF1561" w:rsidRDefault="00DF1561" w:rsidP="00161117">
            <w:pPr>
              <w:contextualSpacing/>
              <w:jc w:val="both"/>
              <w:rPr>
                <w:rFonts w:ascii="Arial" w:eastAsia="Times New Roman" w:hAnsi="Arial" w:cs="Arial"/>
                <w:b/>
                <w:bCs/>
                <w:kern w:val="0"/>
                <w:sz w:val="24"/>
                <w:szCs w:val="24"/>
                <w14:ligatures w14:val="none"/>
              </w:rPr>
            </w:pPr>
            <w:r w:rsidRPr="00DF1561">
              <w:rPr>
                <w:rFonts w:ascii="Arial" w:eastAsia="Times New Roman" w:hAnsi="Arial" w:cs="Arial"/>
                <w:b/>
                <w:bCs/>
                <w:kern w:val="0"/>
                <w:sz w:val="24"/>
                <w:szCs w:val="24"/>
                <w14:ligatures w14:val="none"/>
              </w:rPr>
              <w:t>2022</w:t>
            </w:r>
          </w:p>
        </w:tc>
        <w:tc>
          <w:tcPr>
            <w:tcW w:w="0" w:type="auto"/>
            <w:hideMark/>
          </w:tcPr>
          <w:p w14:paraId="2A1923E6" w14:textId="77777777" w:rsidR="00DF1561" w:rsidRPr="00DF1561" w:rsidRDefault="00DF1561" w:rsidP="00161117">
            <w:pPr>
              <w:contextualSpacing/>
              <w:jc w:val="both"/>
              <w:rPr>
                <w:rFonts w:ascii="Arial" w:eastAsia="Times New Roman" w:hAnsi="Arial" w:cs="Arial"/>
                <w:b/>
                <w:bCs/>
                <w:kern w:val="0"/>
                <w:sz w:val="24"/>
                <w:szCs w:val="24"/>
                <w14:ligatures w14:val="none"/>
              </w:rPr>
            </w:pPr>
            <w:r w:rsidRPr="00DF1561">
              <w:rPr>
                <w:rFonts w:ascii="Arial" w:eastAsia="Times New Roman" w:hAnsi="Arial" w:cs="Arial"/>
                <w:b/>
                <w:bCs/>
                <w:kern w:val="0"/>
                <w:sz w:val="24"/>
                <w:szCs w:val="24"/>
                <w14:ligatures w14:val="none"/>
              </w:rPr>
              <w:t>2023</w:t>
            </w:r>
          </w:p>
        </w:tc>
        <w:tc>
          <w:tcPr>
            <w:tcW w:w="0" w:type="auto"/>
            <w:hideMark/>
          </w:tcPr>
          <w:p w14:paraId="2182E721" w14:textId="77777777" w:rsidR="00DF1561" w:rsidRPr="00DF1561" w:rsidRDefault="00DF1561" w:rsidP="00161117">
            <w:pPr>
              <w:contextualSpacing/>
              <w:jc w:val="both"/>
              <w:rPr>
                <w:rFonts w:ascii="Arial" w:eastAsia="Times New Roman" w:hAnsi="Arial" w:cs="Arial"/>
                <w:b/>
                <w:bCs/>
                <w:kern w:val="0"/>
                <w:sz w:val="24"/>
                <w:szCs w:val="24"/>
                <w14:ligatures w14:val="none"/>
              </w:rPr>
            </w:pPr>
            <w:r w:rsidRPr="00DF1561">
              <w:rPr>
                <w:rFonts w:ascii="Arial" w:eastAsia="Times New Roman" w:hAnsi="Arial" w:cs="Arial"/>
                <w:b/>
                <w:bCs/>
                <w:kern w:val="0"/>
                <w:sz w:val="24"/>
                <w:szCs w:val="24"/>
                <w14:ligatures w14:val="none"/>
              </w:rPr>
              <w:t>2024</w:t>
            </w:r>
          </w:p>
        </w:tc>
        <w:tc>
          <w:tcPr>
            <w:tcW w:w="0" w:type="auto"/>
            <w:hideMark/>
          </w:tcPr>
          <w:p w14:paraId="35E995C9" w14:textId="77777777" w:rsidR="00DF1561" w:rsidRPr="00DF1561" w:rsidRDefault="00DF1561" w:rsidP="00161117">
            <w:pPr>
              <w:contextualSpacing/>
              <w:jc w:val="both"/>
              <w:rPr>
                <w:rFonts w:ascii="Arial" w:eastAsia="Times New Roman" w:hAnsi="Arial" w:cs="Arial"/>
                <w:b/>
                <w:bCs/>
                <w:kern w:val="0"/>
                <w:sz w:val="24"/>
                <w:szCs w:val="24"/>
                <w14:ligatures w14:val="none"/>
              </w:rPr>
            </w:pPr>
            <w:r w:rsidRPr="00DF1561">
              <w:rPr>
                <w:rFonts w:ascii="Arial" w:eastAsia="Times New Roman" w:hAnsi="Arial" w:cs="Arial"/>
                <w:b/>
                <w:bCs/>
                <w:kern w:val="0"/>
                <w:sz w:val="24"/>
                <w:szCs w:val="24"/>
                <w14:ligatures w14:val="none"/>
              </w:rPr>
              <w:t>2025</w:t>
            </w:r>
          </w:p>
        </w:tc>
      </w:tr>
      <w:tr w:rsidR="00DF1561" w:rsidRPr="00C24648" w14:paraId="3B84EB46" w14:textId="77777777" w:rsidTr="00DF1561">
        <w:tc>
          <w:tcPr>
            <w:tcW w:w="0" w:type="auto"/>
            <w:hideMark/>
          </w:tcPr>
          <w:p w14:paraId="4B2F338B" w14:textId="77777777" w:rsidR="00DF1561" w:rsidRPr="00DF1561" w:rsidRDefault="00DF1561" w:rsidP="00161117">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Return on Equity (ROE)</w:t>
            </w:r>
          </w:p>
        </w:tc>
        <w:tc>
          <w:tcPr>
            <w:tcW w:w="0" w:type="auto"/>
            <w:hideMark/>
          </w:tcPr>
          <w:p w14:paraId="6CD94452" w14:textId="77777777" w:rsidR="00DF1561" w:rsidRPr="00DF1561" w:rsidRDefault="00DF1561" w:rsidP="00161117">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Earnings After Tax ÷ Total Equity</w:t>
            </w:r>
          </w:p>
        </w:tc>
        <w:tc>
          <w:tcPr>
            <w:tcW w:w="0" w:type="auto"/>
            <w:hideMark/>
          </w:tcPr>
          <w:p w14:paraId="661EDC0C" w14:textId="77777777" w:rsidR="00DF1561" w:rsidRPr="00DF1561" w:rsidRDefault="00DF1561" w:rsidP="00161117">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(15,428 ÷ 128,495) = 12.0%</w:t>
            </w:r>
          </w:p>
        </w:tc>
        <w:tc>
          <w:tcPr>
            <w:tcW w:w="0" w:type="auto"/>
            <w:hideMark/>
          </w:tcPr>
          <w:p w14:paraId="48ECA5AE" w14:textId="77777777" w:rsidR="00DF1561" w:rsidRPr="00DF1561" w:rsidRDefault="00DF1561" w:rsidP="00161117">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(15,836 ÷ 173,342) = 9.1%</w:t>
            </w:r>
          </w:p>
        </w:tc>
        <w:tc>
          <w:tcPr>
            <w:tcW w:w="0" w:type="auto"/>
            <w:hideMark/>
          </w:tcPr>
          <w:p w14:paraId="399CDE93" w14:textId="77777777" w:rsidR="00DF1561" w:rsidRPr="00DF1561" w:rsidRDefault="00DF1561" w:rsidP="00161117">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(17,928 ÷ 183,097) = 9.8%</w:t>
            </w:r>
          </w:p>
        </w:tc>
        <w:tc>
          <w:tcPr>
            <w:tcW w:w="0" w:type="auto"/>
            <w:hideMark/>
          </w:tcPr>
          <w:p w14:paraId="5213897D" w14:textId="77777777" w:rsidR="00DF1561" w:rsidRPr="00DF1561" w:rsidRDefault="00DF1561" w:rsidP="00161117">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(15,910 ÷ 187,200) = 8.5%</w:t>
            </w:r>
          </w:p>
        </w:tc>
        <w:tc>
          <w:tcPr>
            <w:tcW w:w="0" w:type="auto"/>
            <w:hideMark/>
          </w:tcPr>
          <w:p w14:paraId="528E6351" w14:textId="77777777" w:rsidR="00DF1561" w:rsidRPr="00DF1561" w:rsidRDefault="00DF1561" w:rsidP="00161117">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(8,047 ÷ 191,600) = 4.2%</w:t>
            </w:r>
          </w:p>
        </w:tc>
      </w:tr>
      <w:tr w:rsidR="00DF1561" w:rsidRPr="00C24648" w14:paraId="0F404E6F" w14:textId="77777777" w:rsidTr="00DF1561">
        <w:tc>
          <w:tcPr>
            <w:tcW w:w="0" w:type="auto"/>
            <w:hideMark/>
          </w:tcPr>
          <w:p w14:paraId="7542B5E4" w14:textId="77777777" w:rsidR="00DF1561" w:rsidRPr="00DF1561" w:rsidRDefault="00DF1561" w:rsidP="00161117">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Return on Assets (ROA)</w:t>
            </w:r>
          </w:p>
        </w:tc>
        <w:tc>
          <w:tcPr>
            <w:tcW w:w="0" w:type="auto"/>
            <w:hideMark/>
          </w:tcPr>
          <w:p w14:paraId="1B48E763" w14:textId="77777777" w:rsidR="00DF1561" w:rsidRPr="00DF1561" w:rsidRDefault="00DF1561" w:rsidP="00161117">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Earnings After Tax ÷ Total Assets</w:t>
            </w:r>
          </w:p>
        </w:tc>
        <w:tc>
          <w:tcPr>
            <w:tcW w:w="0" w:type="auto"/>
            <w:hideMark/>
          </w:tcPr>
          <w:p w14:paraId="56E188AC" w14:textId="77777777" w:rsidR="00DF1561" w:rsidRPr="00DF1561" w:rsidRDefault="00DF1561" w:rsidP="00161117">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(15,428 ÷ 528,610) = 2.9%</w:t>
            </w:r>
          </w:p>
        </w:tc>
        <w:tc>
          <w:tcPr>
            <w:tcW w:w="0" w:type="auto"/>
            <w:hideMark/>
          </w:tcPr>
          <w:p w14:paraId="254501CE" w14:textId="77777777" w:rsidR="00DF1561" w:rsidRPr="00DF1561" w:rsidRDefault="00DF1561" w:rsidP="00161117">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(15,836 ÷ 564,285) = 2.8%</w:t>
            </w:r>
          </w:p>
        </w:tc>
        <w:tc>
          <w:tcPr>
            <w:tcW w:w="0" w:type="auto"/>
            <w:hideMark/>
          </w:tcPr>
          <w:p w14:paraId="63631513" w14:textId="77777777" w:rsidR="00DF1561" w:rsidRPr="00DF1561" w:rsidRDefault="00DF1561" w:rsidP="00161117">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(17,928 ÷ 620,016) = 2.9%</w:t>
            </w:r>
          </w:p>
        </w:tc>
        <w:tc>
          <w:tcPr>
            <w:tcW w:w="0" w:type="auto"/>
            <w:hideMark/>
          </w:tcPr>
          <w:p w14:paraId="6B2C608D" w14:textId="77777777" w:rsidR="00DF1561" w:rsidRPr="00DF1561" w:rsidRDefault="00DF1561" w:rsidP="00161117">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(15,910 ÷ 615,400) = 2.6%</w:t>
            </w:r>
          </w:p>
        </w:tc>
        <w:tc>
          <w:tcPr>
            <w:tcW w:w="0" w:type="auto"/>
            <w:hideMark/>
          </w:tcPr>
          <w:p w14:paraId="2080FB95" w14:textId="77777777" w:rsidR="00DF1561" w:rsidRPr="00DF1561" w:rsidRDefault="00DF1561" w:rsidP="00161117">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(8,047 ÷ 619,200) = 1.3%</w:t>
            </w:r>
          </w:p>
        </w:tc>
      </w:tr>
      <w:tr w:rsidR="00DF1561" w:rsidRPr="00C24648" w14:paraId="450A065A" w14:textId="77777777" w:rsidTr="00DF1561">
        <w:tc>
          <w:tcPr>
            <w:tcW w:w="0" w:type="auto"/>
            <w:hideMark/>
          </w:tcPr>
          <w:p w14:paraId="310DC0DB" w14:textId="77777777" w:rsidR="00DF1561" w:rsidRPr="00DF1561" w:rsidRDefault="00DF1561" w:rsidP="00161117">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Return on Invested Capital (ROIC)</w:t>
            </w:r>
          </w:p>
        </w:tc>
        <w:tc>
          <w:tcPr>
            <w:tcW w:w="0" w:type="auto"/>
            <w:hideMark/>
          </w:tcPr>
          <w:p w14:paraId="77AC64CD" w14:textId="77777777" w:rsidR="00DF1561" w:rsidRPr="00DF1561" w:rsidRDefault="00DF1561" w:rsidP="00161117">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Operating Result ÷ Capital Employed</w:t>
            </w:r>
          </w:p>
        </w:tc>
        <w:tc>
          <w:tcPr>
            <w:tcW w:w="0" w:type="auto"/>
            <w:hideMark/>
          </w:tcPr>
          <w:p w14:paraId="2BA4051C" w14:textId="5840C710" w:rsidR="00DF1561" w:rsidRPr="00DF1561" w:rsidRDefault="00DF1561" w:rsidP="00161117">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10.4%</w:t>
            </w:r>
          </w:p>
        </w:tc>
        <w:tc>
          <w:tcPr>
            <w:tcW w:w="0" w:type="auto"/>
            <w:hideMark/>
          </w:tcPr>
          <w:p w14:paraId="4E64C7BB" w14:textId="325A3A63" w:rsidR="00DF1561" w:rsidRPr="00DF1561" w:rsidRDefault="00DF1561" w:rsidP="00161117">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12.0%</w:t>
            </w:r>
          </w:p>
        </w:tc>
        <w:tc>
          <w:tcPr>
            <w:tcW w:w="0" w:type="auto"/>
            <w:hideMark/>
          </w:tcPr>
          <w:p w14:paraId="0B4F327E" w14:textId="7F30D1FB" w:rsidR="00DF1561" w:rsidRPr="00DF1561" w:rsidRDefault="00DF1561" w:rsidP="00161117">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12.3%</w:t>
            </w:r>
          </w:p>
        </w:tc>
        <w:tc>
          <w:tcPr>
            <w:tcW w:w="0" w:type="auto"/>
            <w:hideMark/>
          </w:tcPr>
          <w:p w14:paraId="7850D247" w14:textId="037AD6B9" w:rsidR="00DF1561" w:rsidRPr="00DF1561" w:rsidRDefault="00DF1561" w:rsidP="00161117">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10.7%</w:t>
            </w:r>
          </w:p>
        </w:tc>
        <w:tc>
          <w:tcPr>
            <w:tcW w:w="0" w:type="auto"/>
            <w:hideMark/>
          </w:tcPr>
          <w:p w14:paraId="4F9FEB13" w14:textId="4043DDF4" w:rsidR="00DF1561" w:rsidRPr="00DF1561" w:rsidRDefault="00DF1561" w:rsidP="00161117">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5.2%</w:t>
            </w:r>
          </w:p>
        </w:tc>
      </w:tr>
      <w:tr w:rsidR="00DF1561" w:rsidRPr="00C24648" w14:paraId="11B043F2" w14:textId="77777777" w:rsidTr="00DF1561">
        <w:tc>
          <w:tcPr>
            <w:tcW w:w="0" w:type="auto"/>
            <w:hideMark/>
          </w:tcPr>
          <w:p w14:paraId="2CA28B5B" w14:textId="77777777" w:rsidR="00DF1561" w:rsidRPr="00DF1561" w:rsidRDefault="00DF1561" w:rsidP="00161117">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Earnings Per Share (EPS) (€)</w:t>
            </w:r>
          </w:p>
        </w:tc>
        <w:tc>
          <w:tcPr>
            <w:tcW w:w="0" w:type="auto"/>
            <w:hideMark/>
          </w:tcPr>
          <w:p w14:paraId="72C8E1AC" w14:textId="77777777" w:rsidR="00DF1561" w:rsidRPr="00DF1561" w:rsidRDefault="00DF1561" w:rsidP="00161117">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Earnings to Shareholders ÷ Number of Shares</w:t>
            </w:r>
          </w:p>
        </w:tc>
        <w:tc>
          <w:tcPr>
            <w:tcW w:w="0" w:type="auto"/>
            <w:hideMark/>
          </w:tcPr>
          <w:p w14:paraId="1F86657E" w14:textId="77777777" w:rsidR="00DF1561" w:rsidRPr="00DF1561" w:rsidRDefault="00DF1561" w:rsidP="00161117">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 €29.58</w:t>
            </w:r>
          </w:p>
        </w:tc>
        <w:tc>
          <w:tcPr>
            <w:tcW w:w="0" w:type="auto"/>
            <w:hideMark/>
          </w:tcPr>
          <w:p w14:paraId="01F05CBB" w14:textId="77777777" w:rsidR="00DF1561" w:rsidRPr="00DF1561" w:rsidRDefault="00DF1561" w:rsidP="00161117">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 €29.61</w:t>
            </w:r>
          </w:p>
        </w:tc>
        <w:tc>
          <w:tcPr>
            <w:tcW w:w="0" w:type="auto"/>
            <w:hideMark/>
          </w:tcPr>
          <w:p w14:paraId="7D22301F" w14:textId="77777777" w:rsidR="00DF1561" w:rsidRPr="00DF1561" w:rsidRDefault="00DF1561" w:rsidP="00161117">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 €31.92</w:t>
            </w:r>
          </w:p>
        </w:tc>
        <w:tc>
          <w:tcPr>
            <w:tcW w:w="0" w:type="auto"/>
            <w:hideMark/>
          </w:tcPr>
          <w:p w14:paraId="239D0C54" w14:textId="77777777" w:rsidR="00DF1561" w:rsidRPr="00DF1561" w:rsidRDefault="00DF1561" w:rsidP="00161117">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 €28.40</w:t>
            </w:r>
          </w:p>
        </w:tc>
        <w:tc>
          <w:tcPr>
            <w:tcW w:w="0" w:type="auto"/>
            <w:hideMark/>
          </w:tcPr>
          <w:p w14:paraId="5AEEAEAF" w14:textId="77777777" w:rsidR="00DF1561" w:rsidRPr="00DF1561" w:rsidRDefault="00DF1561" w:rsidP="00161117">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 €14.30</w:t>
            </w:r>
          </w:p>
        </w:tc>
      </w:tr>
      <w:tr w:rsidR="00DF1561" w:rsidRPr="00C24648" w14:paraId="2A15E325" w14:textId="77777777" w:rsidTr="00DF1561">
        <w:tc>
          <w:tcPr>
            <w:tcW w:w="0" w:type="auto"/>
            <w:hideMark/>
          </w:tcPr>
          <w:p w14:paraId="322B629F" w14:textId="77777777" w:rsidR="00DF1561" w:rsidRPr="00DF1561" w:rsidRDefault="00DF1561" w:rsidP="00161117">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Dividend Payout Ratio</w:t>
            </w:r>
          </w:p>
        </w:tc>
        <w:tc>
          <w:tcPr>
            <w:tcW w:w="0" w:type="auto"/>
            <w:hideMark/>
          </w:tcPr>
          <w:p w14:paraId="45734115" w14:textId="77777777" w:rsidR="00DF1561" w:rsidRPr="00DF1561" w:rsidRDefault="00DF1561" w:rsidP="00161117">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 xml:space="preserve">Total Dividends ÷ </w:t>
            </w:r>
            <w:r w:rsidRPr="00DF1561">
              <w:rPr>
                <w:rFonts w:ascii="Arial" w:eastAsia="Times New Roman" w:hAnsi="Arial" w:cs="Arial"/>
                <w:kern w:val="0"/>
                <w:sz w:val="24"/>
                <w:szCs w:val="24"/>
                <w14:ligatures w14:val="none"/>
              </w:rPr>
              <w:lastRenderedPageBreak/>
              <w:t>Earnings After Tax</w:t>
            </w:r>
          </w:p>
        </w:tc>
        <w:tc>
          <w:tcPr>
            <w:tcW w:w="0" w:type="auto"/>
            <w:hideMark/>
          </w:tcPr>
          <w:p w14:paraId="71949BDE" w14:textId="77777777" w:rsidR="00DF1561" w:rsidRPr="00DF1561" w:rsidRDefault="00DF1561" w:rsidP="00161117">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lastRenderedPageBreak/>
              <w:t>= 25.4%</w:t>
            </w:r>
          </w:p>
        </w:tc>
        <w:tc>
          <w:tcPr>
            <w:tcW w:w="0" w:type="auto"/>
            <w:hideMark/>
          </w:tcPr>
          <w:p w14:paraId="6D2C7A4C" w14:textId="77777777" w:rsidR="00DF1561" w:rsidRPr="00DF1561" w:rsidRDefault="00DF1561" w:rsidP="00161117">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 29.4%</w:t>
            </w:r>
          </w:p>
        </w:tc>
        <w:tc>
          <w:tcPr>
            <w:tcW w:w="0" w:type="auto"/>
            <w:hideMark/>
          </w:tcPr>
          <w:p w14:paraId="5E5CB01E" w14:textId="77777777" w:rsidR="00DF1561" w:rsidRPr="00DF1561" w:rsidRDefault="00DF1561" w:rsidP="00161117">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 28.2%</w:t>
            </w:r>
          </w:p>
        </w:tc>
        <w:tc>
          <w:tcPr>
            <w:tcW w:w="0" w:type="auto"/>
            <w:hideMark/>
          </w:tcPr>
          <w:p w14:paraId="24DD4824" w14:textId="77777777" w:rsidR="00DF1561" w:rsidRPr="00DF1561" w:rsidRDefault="00DF1561" w:rsidP="00161117">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 31.5%</w:t>
            </w:r>
          </w:p>
        </w:tc>
        <w:tc>
          <w:tcPr>
            <w:tcW w:w="0" w:type="auto"/>
            <w:hideMark/>
          </w:tcPr>
          <w:p w14:paraId="58254D5E" w14:textId="77777777" w:rsidR="00DF1561" w:rsidRPr="00DF1561" w:rsidRDefault="00DF1561" w:rsidP="00161117">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 45.0%</w:t>
            </w:r>
          </w:p>
        </w:tc>
      </w:tr>
      <w:tr w:rsidR="00DF1561" w:rsidRPr="00C24648" w14:paraId="19119F2E" w14:textId="77777777" w:rsidTr="00DF1561">
        <w:tc>
          <w:tcPr>
            <w:tcW w:w="0" w:type="auto"/>
            <w:hideMark/>
          </w:tcPr>
          <w:p w14:paraId="24B7CDAC" w14:textId="77777777" w:rsidR="00DF1561" w:rsidRPr="00DF1561" w:rsidRDefault="00DF1561" w:rsidP="00161117">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Dividend Cover Ratio</w:t>
            </w:r>
          </w:p>
        </w:tc>
        <w:tc>
          <w:tcPr>
            <w:tcW w:w="0" w:type="auto"/>
            <w:hideMark/>
          </w:tcPr>
          <w:p w14:paraId="3A5A010C" w14:textId="77777777" w:rsidR="00DF1561" w:rsidRPr="00DF1561" w:rsidRDefault="00DF1561" w:rsidP="00161117">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EPS ÷ Dividend per Share</w:t>
            </w:r>
          </w:p>
        </w:tc>
        <w:tc>
          <w:tcPr>
            <w:tcW w:w="0" w:type="auto"/>
            <w:hideMark/>
          </w:tcPr>
          <w:p w14:paraId="29E700BA" w14:textId="77777777" w:rsidR="00DF1561" w:rsidRPr="00DF1561" w:rsidRDefault="00DF1561" w:rsidP="00161117">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 3.94x</w:t>
            </w:r>
          </w:p>
        </w:tc>
        <w:tc>
          <w:tcPr>
            <w:tcW w:w="0" w:type="auto"/>
            <w:hideMark/>
          </w:tcPr>
          <w:p w14:paraId="1E13B178" w14:textId="77777777" w:rsidR="00DF1561" w:rsidRPr="00DF1561" w:rsidRDefault="00DF1561" w:rsidP="00161117">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 3.40x</w:t>
            </w:r>
          </w:p>
        </w:tc>
        <w:tc>
          <w:tcPr>
            <w:tcW w:w="0" w:type="auto"/>
            <w:hideMark/>
          </w:tcPr>
          <w:p w14:paraId="748C1086" w14:textId="77777777" w:rsidR="00DF1561" w:rsidRPr="00DF1561" w:rsidRDefault="00DF1561" w:rsidP="00161117">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 3.54x</w:t>
            </w:r>
          </w:p>
        </w:tc>
        <w:tc>
          <w:tcPr>
            <w:tcW w:w="0" w:type="auto"/>
            <w:hideMark/>
          </w:tcPr>
          <w:p w14:paraId="3C62CCE8" w14:textId="77777777" w:rsidR="00DF1561" w:rsidRPr="00DF1561" w:rsidRDefault="00DF1561" w:rsidP="00161117">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 3.17x</w:t>
            </w:r>
          </w:p>
        </w:tc>
        <w:tc>
          <w:tcPr>
            <w:tcW w:w="0" w:type="auto"/>
            <w:hideMark/>
          </w:tcPr>
          <w:p w14:paraId="355BAD3C" w14:textId="77777777" w:rsidR="00DF1561" w:rsidRPr="00DF1561" w:rsidRDefault="00DF1561" w:rsidP="00161117">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 2.22x</w:t>
            </w:r>
          </w:p>
        </w:tc>
      </w:tr>
      <w:tr w:rsidR="00DF1561" w:rsidRPr="00C24648" w14:paraId="18523C0B" w14:textId="77777777" w:rsidTr="00DF1561">
        <w:tc>
          <w:tcPr>
            <w:tcW w:w="0" w:type="auto"/>
            <w:hideMark/>
          </w:tcPr>
          <w:p w14:paraId="54146D05" w14:textId="77777777" w:rsidR="00DF1561" w:rsidRPr="00DF1561" w:rsidRDefault="00DF1561" w:rsidP="00161117">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Price/Earnings (P/E) Ratio</w:t>
            </w:r>
          </w:p>
        </w:tc>
        <w:tc>
          <w:tcPr>
            <w:tcW w:w="0" w:type="auto"/>
            <w:hideMark/>
          </w:tcPr>
          <w:p w14:paraId="2EA73355" w14:textId="77777777" w:rsidR="00DF1561" w:rsidRPr="00DF1561" w:rsidRDefault="00DF1561" w:rsidP="00161117">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Market Price ÷ EPS</w:t>
            </w:r>
          </w:p>
        </w:tc>
        <w:tc>
          <w:tcPr>
            <w:tcW w:w="0" w:type="auto"/>
            <w:hideMark/>
          </w:tcPr>
          <w:p w14:paraId="5F69078A" w14:textId="77777777" w:rsidR="00DF1561" w:rsidRPr="00DF1561" w:rsidRDefault="00DF1561" w:rsidP="00161117">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 5.9x</w:t>
            </w:r>
          </w:p>
        </w:tc>
        <w:tc>
          <w:tcPr>
            <w:tcW w:w="0" w:type="auto"/>
            <w:hideMark/>
          </w:tcPr>
          <w:p w14:paraId="5B5313CB" w14:textId="77777777" w:rsidR="00DF1561" w:rsidRPr="00DF1561" w:rsidRDefault="00DF1561" w:rsidP="00161117">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 4.3x</w:t>
            </w:r>
          </w:p>
        </w:tc>
        <w:tc>
          <w:tcPr>
            <w:tcW w:w="0" w:type="auto"/>
            <w:hideMark/>
          </w:tcPr>
          <w:p w14:paraId="1D2B4AB5" w14:textId="77777777" w:rsidR="00DF1561" w:rsidRPr="00DF1561" w:rsidRDefault="00DF1561" w:rsidP="00161117">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 3.6x</w:t>
            </w:r>
          </w:p>
        </w:tc>
        <w:tc>
          <w:tcPr>
            <w:tcW w:w="0" w:type="auto"/>
            <w:hideMark/>
          </w:tcPr>
          <w:p w14:paraId="20DDD42D" w14:textId="77777777" w:rsidR="00DF1561" w:rsidRPr="00DF1561" w:rsidRDefault="00DF1561" w:rsidP="00161117">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 3.8x</w:t>
            </w:r>
          </w:p>
        </w:tc>
        <w:tc>
          <w:tcPr>
            <w:tcW w:w="0" w:type="auto"/>
            <w:hideMark/>
          </w:tcPr>
          <w:p w14:paraId="792194B1" w14:textId="77777777" w:rsidR="00DF1561" w:rsidRPr="00DF1561" w:rsidRDefault="00DF1561" w:rsidP="00161117">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 6.5x</w:t>
            </w:r>
          </w:p>
        </w:tc>
      </w:tr>
    </w:tbl>
    <w:p w14:paraId="6BC16D5F" w14:textId="77777777" w:rsidR="00DF1561" w:rsidRPr="00C24648" w:rsidRDefault="00DF1561" w:rsidP="00C24648">
      <w:pPr>
        <w:spacing w:after="0" w:line="360" w:lineRule="auto"/>
        <w:contextualSpacing/>
        <w:jc w:val="both"/>
        <w:rPr>
          <w:rFonts w:ascii="Arial" w:hAnsi="Arial" w:cs="Arial"/>
          <w:sz w:val="24"/>
          <w:szCs w:val="24"/>
        </w:rPr>
      </w:pPr>
    </w:p>
    <w:p w14:paraId="3F2D82DD" w14:textId="0784A5FD" w:rsidR="00DF1561" w:rsidRPr="00C24648" w:rsidRDefault="00DF1561" w:rsidP="00161117">
      <w:pPr>
        <w:spacing w:after="0" w:line="360" w:lineRule="auto"/>
        <w:contextualSpacing/>
        <w:jc w:val="both"/>
        <w:rPr>
          <w:rFonts w:ascii="Arial" w:hAnsi="Arial" w:cs="Arial"/>
          <w:sz w:val="24"/>
          <w:szCs w:val="24"/>
        </w:rPr>
      </w:pPr>
      <w:r w:rsidRPr="00C24648">
        <w:rPr>
          <w:rFonts w:ascii="Arial" w:hAnsi="Arial" w:cs="Arial"/>
          <w:sz w:val="24"/>
          <w:szCs w:val="24"/>
        </w:rPr>
        <w:t>Key Data for Calculations (€ million / Units)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822"/>
        <w:gridCol w:w="958"/>
        <w:gridCol w:w="958"/>
        <w:gridCol w:w="958"/>
        <w:gridCol w:w="958"/>
        <w:gridCol w:w="973"/>
      </w:tblGrid>
      <w:tr w:rsidR="00DF1561" w:rsidRPr="00C24648" w14:paraId="173B2F5E" w14:textId="77777777" w:rsidTr="00D94659">
        <w:trPr>
          <w:tblHeade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50022B3B" w14:textId="77777777" w:rsidR="00DF1561" w:rsidRPr="00C24648" w:rsidRDefault="00DF1561" w:rsidP="00C24648">
            <w:pPr>
              <w:spacing w:after="0" w:line="360" w:lineRule="auto"/>
              <w:contextualSpacing/>
              <w:jc w:val="both"/>
              <w:rPr>
                <w:rFonts w:ascii="Arial" w:hAnsi="Arial" w:cs="Arial"/>
                <w:sz w:val="24"/>
                <w:szCs w:val="24"/>
              </w:rPr>
            </w:pPr>
            <w:r w:rsidRPr="00C24648">
              <w:rPr>
                <w:rStyle w:val="Strong"/>
                <w:rFonts w:ascii="Arial" w:hAnsi="Arial" w:cs="Arial"/>
                <w:sz w:val="24"/>
                <w:szCs w:val="24"/>
              </w:rPr>
              <w:t>Item</w:t>
            </w:r>
          </w:p>
        </w:tc>
        <w:tc>
          <w:tcPr>
            <w:tcW w:w="0" w:type="auto"/>
            <w:tcBorders>
              <w:top w:val="single" w:sz="6" w:space="0" w:color="auto"/>
              <w:left w:val="single" w:sz="6" w:space="0" w:color="auto"/>
              <w:bottom w:val="single" w:sz="6" w:space="0" w:color="auto"/>
              <w:right w:val="single" w:sz="6" w:space="0" w:color="auto"/>
            </w:tcBorders>
            <w:vAlign w:val="center"/>
            <w:hideMark/>
          </w:tcPr>
          <w:p w14:paraId="7E415331" w14:textId="77777777" w:rsidR="00DF1561" w:rsidRPr="00C24648" w:rsidRDefault="00DF1561" w:rsidP="00C24648">
            <w:pPr>
              <w:spacing w:after="0" w:line="360" w:lineRule="auto"/>
              <w:contextualSpacing/>
              <w:jc w:val="both"/>
              <w:rPr>
                <w:rFonts w:ascii="Arial" w:hAnsi="Arial" w:cs="Arial"/>
                <w:sz w:val="24"/>
                <w:szCs w:val="24"/>
              </w:rPr>
            </w:pPr>
            <w:r w:rsidRPr="00C24648">
              <w:rPr>
                <w:rStyle w:val="Strong"/>
                <w:rFonts w:ascii="Arial" w:hAnsi="Arial" w:cs="Arial"/>
                <w:sz w:val="24"/>
                <w:szCs w:val="24"/>
              </w:rPr>
              <w:t>2021</w:t>
            </w:r>
          </w:p>
        </w:tc>
        <w:tc>
          <w:tcPr>
            <w:tcW w:w="0" w:type="auto"/>
            <w:tcBorders>
              <w:top w:val="single" w:sz="6" w:space="0" w:color="auto"/>
              <w:left w:val="single" w:sz="6" w:space="0" w:color="auto"/>
              <w:bottom w:val="single" w:sz="6" w:space="0" w:color="auto"/>
              <w:right w:val="single" w:sz="6" w:space="0" w:color="auto"/>
            </w:tcBorders>
            <w:vAlign w:val="center"/>
            <w:hideMark/>
          </w:tcPr>
          <w:p w14:paraId="2B217A0F" w14:textId="77777777" w:rsidR="00DF1561" w:rsidRPr="00C24648" w:rsidRDefault="00DF1561" w:rsidP="00C24648">
            <w:pPr>
              <w:spacing w:after="0" w:line="360" w:lineRule="auto"/>
              <w:contextualSpacing/>
              <w:jc w:val="both"/>
              <w:rPr>
                <w:rFonts w:ascii="Arial" w:hAnsi="Arial" w:cs="Arial"/>
                <w:sz w:val="24"/>
                <w:szCs w:val="24"/>
              </w:rPr>
            </w:pPr>
            <w:r w:rsidRPr="00C24648">
              <w:rPr>
                <w:rStyle w:val="Strong"/>
                <w:rFonts w:ascii="Arial" w:hAnsi="Arial" w:cs="Arial"/>
                <w:sz w:val="24"/>
                <w:szCs w:val="24"/>
              </w:rPr>
              <w:t>2022</w:t>
            </w:r>
          </w:p>
        </w:tc>
        <w:tc>
          <w:tcPr>
            <w:tcW w:w="0" w:type="auto"/>
            <w:tcBorders>
              <w:top w:val="single" w:sz="6" w:space="0" w:color="auto"/>
              <w:left w:val="single" w:sz="6" w:space="0" w:color="auto"/>
              <w:bottom w:val="single" w:sz="6" w:space="0" w:color="auto"/>
              <w:right w:val="single" w:sz="6" w:space="0" w:color="auto"/>
            </w:tcBorders>
            <w:vAlign w:val="center"/>
            <w:hideMark/>
          </w:tcPr>
          <w:p w14:paraId="3E5463A5" w14:textId="77777777" w:rsidR="00DF1561" w:rsidRPr="00C24648" w:rsidRDefault="00DF1561" w:rsidP="00C24648">
            <w:pPr>
              <w:spacing w:after="0" w:line="360" w:lineRule="auto"/>
              <w:contextualSpacing/>
              <w:jc w:val="both"/>
              <w:rPr>
                <w:rFonts w:ascii="Arial" w:hAnsi="Arial" w:cs="Arial"/>
                <w:sz w:val="24"/>
                <w:szCs w:val="24"/>
              </w:rPr>
            </w:pPr>
            <w:r w:rsidRPr="00C24648">
              <w:rPr>
                <w:rStyle w:val="Strong"/>
                <w:rFonts w:ascii="Arial" w:hAnsi="Arial" w:cs="Arial"/>
                <w:sz w:val="24"/>
                <w:szCs w:val="24"/>
              </w:rPr>
              <w:t>2023</w:t>
            </w:r>
          </w:p>
        </w:tc>
        <w:tc>
          <w:tcPr>
            <w:tcW w:w="0" w:type="auto"/>
            <w:tcBorders>
              <w:top w:val="single" w:sz="6" w:space="0" w:color="auto"/>
              <w:left w:val="single" w:sz="6" w:space="0" w:color="auto"/>
              <w:bottom w:val="single" w:sz="6" w:space="0" w:color="auto"/>
              <w:right w:val="single" w:sz="6" w:space="0" w:color="auto"/>
            </w:tcBorders>
            <w:vAlign w:val="center"/>
            <w:hideMark/>
          </w:tcPr>
          <w:p w14:paraId="467F94BF" w14:textId="77777777" w:rsidR="00DF1561" w:rsidRPr="00C24648" w:rsidRDefault="00DF1561" w:rsidP="00C24648">
            <w:pPr>
              <w:spacing w:after="0" w:line="360" w:lineRule="auto"/>
              <w:contextualSpacing/>
              <w:jc w:val="both"/>
              <w:rPr>
                <w:rFonts w:ascii="Arial" w:hAnsi="Arial" w:cs="Arial"/>
                <w:sz w:val="24"/>
                <w:szCs w:val="24"/>
              </w:rPr>
            </w:pPr>
            <w:r w:rsidRPr="00C24648">
              <w:rPr>
                <w:rStyle w:val="Strong"/>
                <w:rFonts w:ascii="Arial" w:hAnsi="Arial" w:cs="Arial"/>
                <w:sz w:val="24"/>
                <w:szCs w:val="24"/>
              </w:rPr>
              <w:t>2024</w:t>
            </w:r>
          </w:p>
        </w:tc>
        <w:tc>
          <w:tcPr>
            <w:tcW w:w="0" w:type="auto"/>
            <w:tcBorders>
              <w:top w:val="single" w:sz="6" w:space="0" w:color="auto"/>
              <w:left w:val="single" w:sz="6" w:space="0" w:color="auto"/>
              <w:bottom w:val="single" w:sz="6" w:space="0" w:color="auto"/>
              <w:right w:val="single" w:sz="6" w:space="0" w:color="auto"/>
            </w:tcBorders>
            <w:vAlign w:val="center"/>
            <w:hideMark/>
          </w:tcPr>
          <w:p w14:paraId="277A3B21" w14:textId="77777777" w:rsidR="00DF1561" w:rsidRPr="00C24648" w:rsidRDefault="00DF1561" w:rsidP="00C24648">
            <w:pPr>
              <w:spacing w:after="0" w:line="360" w:lineRule="auto"/>
              <w:contextualSpacing/>
              <w:jc w:val="both"/>
              <w:rPr>
                <w:rFonts w:ascii="Arial" w:hAnsi="Arial" w:cs="Arial"/>
                <w:sz w:val="24"/>
                <w:szCs w:val="24"/>
              </w:rPr>
            </w:pPr>
            <w:r w:rsidRPr="00C24648">
              <w:rPr>
                <w:rStyle w:val="Strong"/>
                <w:rFonts w:ascii="Arial" w:hAnsi="Arial" w:cs="Arial"/>
                <w:sz w:val="24"/>
                <w:szCs w:val="24"/>
              </w:rPr>
              <w:t>2025</w:t>
            </w:r>
          </w:p>
        </w:tc>
      </w:tr>
      <w:tr w:rsidR="00DF1561" w:rsidRPr="00C24648" w14:paraId="0DE163C5" w14:textId="77777777" w:rsidTr="00D94659">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5494DC79"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b/>
                <w:bCs/>
                <w:sz w:val="24"/>
                <w:szCs w:val="24"/>
              </w:rPr>
              <w:t>Earnings After Tax</w:t>
            </w:r>
          </w:p>
        </w:tc>
        <w:tc>
          <w:tcPr>
            <w:tcW w:w="0" w:type="auto"/>
            <w:tcBorders>
              <w:top w:val="single" w:sz="6" w:space="0" w:color="auto"/>
              <w:left w:val="single" w:sz="6" w:space="0" w:color="auto"/>
              <w:bottom w:val="single" w:sz="6" w:space="0" w:color="auto"/>
              <w:right w:val="single" w:sz="6" w:space="0" w:color="auto"/>
            </w:tcBorders>
            <w:vAlign w:val="center"/>
            <w:hideMark/>
          </w:tcPr>
          <w:p w14:paraId="6DDAF80E"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sz w:val="24"/>
                <w:szCs w:val="24"/>
              </w:rPr>
              <w:t>15,428</w:t>
            </w:r>
          </w:p>
        </w:tc>
        <w:tc>
          <w:tcPr>
            <w:tcW w:w="0" w:type="auto"/>
            <w:tcBorders>
              <w:top w:val="single" w:sz="6" w:space="0" w:color="auto"/>
              <w:left w:val="single" w:sz="6" w:space="0" w:color="auto"/>
              <w:bottom w:val="single" w:sz="6" w:space="0" w:color="auto"/>
              <w:right w:val="single" w:sz="6" w:space="0" w:color="auto"/>
            </w:tcBorders>
            <w:vAlign w:val="center"/>
            <w:hideMark/>
          </w:tcPr>
          <w:p w14:paraId="046B12B9"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sz w:val="24"/>
                <w:szCs w:val="24"/>
              </w:rPr>
              <w:t>15,836</w:t>
            </w:r>
          </w:p>
        </w:tc>
        <w:tc>
          <w:tcPr>
            <w:tcW w:w="0" w:type="auto"/>
            <w:tcBorders>
              <w:top w:val="single" w:sz="6" w:space="0" w:color="auto"/>
              <w:left w:val="single" w:sz="6" w:space="0" w:color="auto"/>
              <w:bottom w:val="single" w:sz="6" w:space="0" w:color="auto"/>
              <w:right w:val="single" w:sz="6" w:space="0" w:color="auto"/>
            </w:tcBorders>
            <w:vAlign w:val="center"/>
            <w:hideMark/>
          </w:tcPr>
          <w:p w14:paraId="1AB9EA66"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sz w:val="24"/>
                <w:szCs w:val="24"/>
              </w:rPr>
              <w:t>17,928</w:t>
            </w:r>
          </w:p>
        </w:tc>
        <w:tc>
          <w:tcPr>
            <w:tcW w:w="0" w:type="auto"/>
            <w:tcBorders>
              <w:top w:val="single" w:sz="6" w:space="0" w:color="auto"/>
              <w:left w:val="single" w:sz="6" w:space="0" w:color="auto"/>
              <w:bottom w:val="single" w:sz="6" w:space="0" w:color="auto"/>
              <w:right w:val="single" w:sz="6" w:space="0" w:color="auto"/>
            </w:tcBorders>
            <w:vAlign w:val="center"/>
            <w:hideMark/>
          </w:tcPr>
          <w:p w14:paraId="6961FE74"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sz w:val="24"/>
                <w:szCs w:val="24"/>
              </w:rPr>
              <w:t>15,910</w:t>
            </w:r>
          </w:p>
        </w:tc>
        <w:tc>
          <w:tcPr>
            <w:tcW w:w="0" w:type="auto"/>
            <w:tcBorders>
              <w:top w:val="single" w:sz="6" w:space="0" w:color="auto"/>
              <w:left w:val="single" w:sz="6" w:space="0" w:color="auto"/>
              <w:bottom w:val="single" w:sz="6" w:space="0" w:color="auto"/>
              <w:right w:val="single" w:sz="6" w:space="0" w:color="auto"/>
            </w:tcBorders>
            <w:vAlign w:val="center"/>
            <w:hideMark/>
          </w:tcPr>
          <w:p w14:paraId="6F6B9934"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sz w:val="24"/>
                <w:szCs w:val="24"/>
              </w:rPr>
              <w:t>8,047</w:t>
            </w:r>
          </w:p>
        </w:tc>
      </w:tr>
      <w:tr w:rsidR="00DF1561" w:rsidRPr="00C24648" w14:paraId="4C1490C2" w14:textId="77777777" w:rsidTr="00D94659">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1ABD240E"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b/>
                <w:bCs/>
                <w:sz w:val="24"/>
                <w:szCs w:val="24"/>
              </w:rPr>
              <w:t>Total Equity</w:t>
            </w:r>
          </w:p>
        </w:tc>
        <w:tc>
          <w:tcPr>
            <w:tcW w:w="0" w:type="auto"/>
            <w:tcBorders>
              <w:top w:val="single" w:sz="6" w:space="0" w:color="auto"/>
              <w:left w:val="single" w:sz="6" w:space="0" w:color="auto"/>
              <w:bottom w:val="single" w:sz="6" w:space="0" w:color="auto"/>
              <w:right w:val="single" w:sz="6" w:space="0" w:color="auto"/>
            </w:tcBorders>
            <w:vAlign w:val="center"/>
            <w:hideMark/>
          </w:tcPr>
          <w:p w14:paraId="651CFC5C"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sz w:val="24"/>
                <w:szCs w:val="24"/>
              </w:rPr>
              <w:t>128,495</w:t>
            </w:r>
          </w:p>
        </w:tc>
        <w:tc>
          <w:tcPr>
            <w:tcW w:w="0" w:type="auto"/>
            <w:tcBorders>
              <w:top w:val="single" w:sz="6" w:space="0" w:color="auto"/>
              <w:left w:val="single" w:sz="6" w:space="0" w:color="auto"/>
              <w:bottom w:val="single" w:sz="6" w:space="0" w:color="auto"/>
              <w:right w:val="single" w:sz="6" w:space="0" w:color="auto"/>
            </w:tcBorders>
            <w:vAlign w:val="center"/>
            <w:hideMark/>
          </w:tcPr>
          <w:p w14:paraId="240A3602"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sz w:val="24"/>
                <w:szCs w:val="24"/>
              </w:rPr>
              <w:t>173,342</w:t>
            </w:r>
          </w:p>
        </w:tc>
        <w:tc>
          <w:tcPr>
            <w:tcW w:w="0" w:type="auto"/>
            <w:tcBorders>
              <w:top w:val="single" w:sz="6" w:space="0" w:color="auto"/>
              <w:left w:val="single" w:sz="6" w:space="0" w:color="auto"/>
              <w:bottom w:val="single" w:sz="6" w:space="0" w:color="auto"/>
              <w:right w:val="single" w:sz="6" w:space="0" w:color="auto"/>
            </w:tcBorders>
            <w:vAlign w:val="center"/>
            <w:hideMark/>
          </w:tcPr>
          <w:p w14:paraId="36C6A360"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sz w:val="24"/>
                <w:szCs w:val="24"/>
              </w:rPr>
              <w:t>183,097</w:t>
            </w:r>
          </w:p>
        </w:tc>
        <w:tc>
          <w:tcPr>
            <w:tcW w:w="0" w:type="auto"/>
            <w:tcBorders>
              <w:top w:val="single" w:sz="6" w:space="0" w:color="auto"/>
              <w:left w:val="single" w:sz="6" w:space="0" w:color="auto"/>
              <w:bottom w:val="single" w:sz="6" w:space="0" w:color="auto"/>
              <w:right w:val="single" w:sz="6" w:space="0" w:color="auto"/>
            </w:tcBorders>
            <w:vAlign w:val="center"/>
            <w:hideMark/>
          </w:tcPr>
          <w:p w14:paraId="7D7659A3"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sz w:val="24"/>
                <w:szCs w:val="24"/>
              </w:rPr>
              <w:t>187,200</w:t>
            </w:r>
          </w:p>
        </w:tc>
        <w:tc>
          <w:tcPr>
            <w:tcW w:w="0" w:type="auto"/>
            <w:tcBorders>
              <w:top w:val="single" w:sz="6" w:space="0" w:color="auto"/>
              <w:left w:val="single" w:sz="6" w:space="0" w:color="auto"/>
              <w:bottom w:val="single" w:sz="6" w:space="0" w:color="auto"/>
              <w:right w:val="single" w:sz="6" w:space="0" w:color="auto"/>
            </w:tcBorders>
            <w:vAlign w:val="center"/>
            <w:hideMark/>
          </w:tcPr>
          <w:p w14:paraId="4059B228"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sz w:val="24"/>
                <w:szCs w:val="24"/>
              </w:rPr>
              <w:t>191,600</w:t>
            </w:r>
          </w:p>
        </w:tc>
      </w:tr>
      <w:tr w:rsidR="00DF1561" w:rsidRPr="00C24648" w14:paraId="1E1BE170" w14:textId="77777777" w:rsidTr="00D94659">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4C022F5A"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b/>
                <w:bCs/>
                <w:sz w:val="24"/>
                <w:szCs w:val="24"/>
              </w:rPr>
              <w:t>Dividend Per Share (€)</w:t>
            </w:r>
          </w:p>
        </w:tc>
        <w:tc>
          <w:tcPr>
            <w:tcW w:w="0" w:type="auto"/>
            <w:tcBorders>
              <w:top w:val="single" w:sz="6" w:space="0" w:color="auto"/>
              <w:left w:val="single" w:sz="6" w:space="0" w:color="auto"/>
              <w:bottom w:val="single" w:sz="6" w:space="0" w:color="auto"/>
              <w:right w:val="single" w:sz="6" w:space="0" w:color="auto"/>
            </w:tcBorders>
            <w:vAlign w:val="center"/>
            <w:hideMark/>
          </w:tcPr>
          <w:p w14:paraId="0ADF7779"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sz w:val="24"/>
                <w:szCs w:val="24"/>
              </w:rPr>
              <w:t>7.50</w:t>
            </w:r>
          </w:p>
        </w:tc>
        <w:tc>
          <w:tcPr>
            <w:tcW w:w="0" w:type="auto"/>
            <w:tcBorders>
              <w:top w:val="single" w:sz="6" w:space="0" w:color="auto"/>
              <w:left w:val="single" w:sz="6" w:space="0" w:color="auto"/>
              <w:bottom w:val="single" w:sz="6" w:space="0" w:color="auto"/>
              <w:right w:val="single" w:sz="6" w:space="0" w:color="auto"/>
            </w:tcBorders>
            <w:vAlign w:val="center"/>
            <w:hideMark/>
          </w:tcPr>
          <w:p w14:paraId="39F72663"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sz w:val="24"/>
                <w:szCs w:val="24"/>
              </w:rPr>
              <w:t>8.70</w:t>
            </w:r>
          </w:p>
        </w:tc>
        <w:tc>
          <w:tcPr>
            <w:tcW w:w="0" w:type="auto"/>
            <w:tcBorders>
              <w:top w:val="single" w:sz="6" w:space="0" w:color="auto"/>
              <w:left w:val="single" w:sz="6" w:space="0" w:color="auto"/>
              <w:bottom w:val="single" w:sz="6" w:space="0" w:color="auto"/>
              <w:right w:val="single" w:sz="6" w:space="0" w:color="auto"/>
            </w:tcBorders>
            <w:vAlign w:val="center"/>
            <w:hideMark/>
          </w:tcPr>
          <w:p w14:paraId="59887E1A"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sz w:val="24"/>
                <w:szCs w:val="24"/>
              </w:rPr>
              <w:t>9.00</w:t>
            </w:r>
          </w:p>
        </w:tc>
        <w:tc>
          <w:tcPr>
            <w:tcW w:w="0" w:type="auto"/>
            <w:tcBorders>
              <w:top w:val="single" w:sz="6" w:space="0" w:color="auto"/>
              <w:left w:val="single" w:sz="6" w:space="0" w:color="auto"/>
              <w:bottom w:val="single" w:sz="6" w:space="0" w:color="auto"/>
              <w:right w:val="single" w:sz="6" w:space="0" w:color="auto"/>
            </w:tcBorders>
            <w:vAlign w:val="center"/>
            <w:hideMark/>
          </w:tcPr>
          <w:p w14:paraId="645A98FD"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sz w:val="24"/>
                <w:szCs w:val="24"/>
              </w:rPr>
              <w:t>8.95</w:t>
            </w:r>
          </w:p>
        </w:tc>
        <w:tc>
          <w:tcPr>
            <w:tcW w:w="0" w:type="auto"/>
            <w:tcBorders>
              <w:top w:val="single" w:sz="6" w:space="0" w:color="auto"/>
              <w:left w:val="single" w:sz="6" w:space="0" w:color="auto"/>
              <w:bottom w:val="single" w:sz="6" w:space="0" w:color="auto"/>
              <w:right w:val="single" w:sz="6" w:space="0" w:color="auto"/>
            </w:tcBorders>
            <w:vAlign w:val="center"/>
            <w:hideMark/>
          </w:tcPr>
          <w:p w14:paraId="02AC112F"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sz w:val="24"/>
                <w:szCs w:val="24"/>
              </w:rPr>
              <w:t>6.45</w:t>
            </w:r>
          </w:p>
        </w:tc>
      </w:tr>
      <w:tr w:rsidR="00DF1561" w:rsidRPr="00C24648" w14:paraId="08C90EB6" w14:textId="77777777" w:rsidTr="00D94659">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2EA4435B"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b/>
                <w:bCs/>
                <w:sz w:val="24"/>
                <w:szCs w:val="24"/>
              </w:rPr>
              <w:t>Market Price (End of Yr)</w:t>
            </w:r>
          </w:p>
        </w:tc>
        <w:tc>
          <w:tcPr>
            <w:tcW w:w="0" w:type="auto"/>
            <w:tcBorders>
              <w:top w:val="single" w:sz="6" w:space="0" w:color="auto"/>
              <w:left w:val="single" w:sz="6" w:space="0" w:color="auto"/>
              <w:bottom w:val="single" w:sz="6" w:space="0" w:color="auto"/>
              <w:right w:val="single" w:sz="6" w:space="0" w:color="auto"/>
            </w:tcBorders>
            <w:vAlign w:val="center"/>
            <w:hideMark/>
          </w:tcPr>
          <w:p w14:paraId="6EB8D757"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sz w:val="24"/>
                <w:szCs w:val="24"/>
              </w:rPr>
              <w:t>177.50</w:t>
            </w:r>
          </w:p>
        </w:tc>
        <w:tc>
          <w:tcPr>
            <w:tcW w:w="0" w:type="auto"/>
            <w:tcBorders>
              <w:top w:val="single" w:sz="6" w:space="0" w:color="auto"/>
              <w:left w:val="single" w:sz="6" w:space="0" w:color="auto"/>
              <w:bottom w:val="single" w:sz="6" w:space="0" w:color="auto"/>
              <w:right w:val="single" w:sz="6" w:space="0" w:color="auto"/>
            </w:tcBorders>
            <w:vAlign w:val="center"/>
            <w:hideMark/>
          </w:tcPr>
          <w:p w14:paraId="442A2A47"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sz w:val="24"/>
                <w:szCs w:val="24"/>
              </w:rPr>
              <w:t>126.30</w:t>
            </w:r>
          </w:p>
        </w:tc>
        <w:tc>
          <w:tcPr>
            <w:tcW w:w="0" w:type="auto"/>
            <w:tcBorders>
              <w:top w:val="single" w:sz="6" w:space="0" w:color="auto"/>
              <w:left w:val="single" w:sz="6" w:space="0" w:color="auto"/>
              <w:bottom w:val="single" w:sz="6" w:space="0" w:color="auto"/>
              <w:right w:val="single" w:sz="6" w:space="0" w:color="auto"/>
            </w:tcBorders>
            <w:vAlign w:val="center"/>
            <w:hideMark/>
          </w:tcPr>
          <w:p w14:paraId="20A4C16F"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sz w:val="24"/>
                <w:szCs w:val="24"/>
              </w:rPr>
              <w:t>114.20</w:t>
            </w:r>
          </w:p>
        </w:tc>
        <w:tc>
          <w:tcPr>
            <w:tcW w:w="0" w:type="auto"/>
            <w:tcBorders>
              <w:top w:val="single" w:sz="6" w:space="0" w:color="auto"/>
              <w:left w:val="single" w:sz="6" w:space="0" w:color="auto"/>
              <w:bottom w:val="single" w:sz="6" w:space="0" w:color="auto"/>
              <w:right w:val="single" w:sz="6" w:space="0" w:color="auto"/>
            </w:tcBorders>
            <w:vAlign w:val="center"/>
            <w:hideMark/>
          </w:tcPr>
          <w:p w14:paraId="6B9D786B"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sz w:val="24"/>
                <w:szCs w:val="24"/>
              </w:rPr>
              <w:t>108.00</w:t>
            </w:r>
          </w:p>
        </w:tc>
        <w:tc>
          <w:tcPr>
            <w:tcW w:w="0" w:type="auto"/>
            <w:tcBorders>
              <w:top w:val="single" w:sz="6" w:space="0" w:color="auto"/>
              <w:left w:val="single" w:sz="6" w:space="0" w:color="auto"/>
              <w:bottom w:val="single" w:sz="6" w:space="0" w:color="auto"/>
              <w:right w:val="single" w:sz="6" w:space="0" w:color="auto"/>
            </w:tcBorders>
            <w:vAlign w:val="center"/>
            <w:hideMark/>
          </w:tcPr>
          <w:p w14:paraId="13218A73"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sz w:val="24"/>
                <w:szCs w:val="24"/>
              </w:rPr>
              <w:t>93.00</w:t>
            </w:r>
          </w:p>
        </w:tc>
      </w:tr>
    </w:tbl>
    <w:p w14:paraId="219C0012" w14:textId="77777777" w:rsidR="00C24E83" w:rsidRDefault="00C24E83" w:rsidP="00C24648">
      <w:pPr>
        <w:spacing w:after="0" w:line="360" w:lineRule="auto"/>
        <w:contextualSpacing/>
        <w:jc w:val="both"/>
        <w:rPr>
          <w:rFonts w:ascii="Arial" w:hAnsi="Arial" w:cs="Arial"/>
          <w:sz w:val="24"/>
          <w:szCs w:val="24"/>
        </w:rPr>
      </w:pPr>
    </w:p>
    <w:p w14:paraId="3E5DEE1C" w14:textId="77777777" w:rsidR="00693D8D" w:rsidRDefault="00693D8D" w:rsidP="00C24648">
      <w:pPr>
        <w:spacing w:after="0" w:line="360" w:lineRule="auto"/>
        <w:contextualSpacing/>
        <w:jc w:val="both"/>
        <w:rPr>
          <w:rFonts w:ascii="Arial" w:hAnsi="Arial" w:cs="Arial"/>
          <w:sz w:val="24"/>
          <w:szCs w:val="24"/>
        </w:rPr>
      </w:pPr>
    </w:p>
    <w:p w14:paraId="590F8630" w14:textId="26A85B12" w:rsidR="00693D8D" w:rsidRDefault="00693D8D" w:rsidP="00C24648">
      <w:pPr>
        <w:spacing w:after="0" w:line="360" w:lineRule="auto"/>
        <w:contextualSpacing/>
        <w:jc w:val="both"/>
        <w:rPr>
          <w:rFonts w:ascii="Arial" w:hAnsi="Arial" w:cs="Arial"/>
          <w:sz w:val="24"/>
          <w:szCs w:val="24"/>
        </w:rPr>
      </w:pPr>
      <w:r>
        <w:rPr>
          <w:rFonts w:ascii="Arial" w:hAnsi="Arial" w:cs="Arial"/>
          <w:noProof/>
          <w:sz w:val="24"/>
          <w:szCs w:val="24"/>
        </w:rPr>
        <w:drawing>
          <wp:inline distT="0" distB="0" distL="0" distR="0" wp14:anchorId="262EA4D8" wp14:editId="1FB2BA78">
            <wp:extent cx="4584700" cy="2755900"/>
            <wp:effectExtent l="0" t="0" r="6350"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47D97611" w14:textId="0B5E88F8" w:rsidR="00693D8D" w:rsidRDefault="00693D8D" w:rsidP="00C24648">
      <w:pPr>
        <w:spacing w:after="0" w:line="360" w:lineRule="auto"/>
        <w:contextualSpacing/>
        <w:jc w:val="both"/>
        <w:rPr>
          <w:rFonts w:ascii="Arial" w:hAnsi="Arial" w:cs="Arial"/>
          <w:sz w:val="24"/>
          <w:szCs w:val="24"/>
        </w:rPr>
      </w:pPr>
      <w:r>
        <w:rPr>
          <w:rFonts w:ascii="Arial" w:hAnsi="Arial" w:cs="Arial"/>
          <w:sz w:val="24"/>
          <w:szCs w:val="24"/>
        </w:rPr>
        <w:t xml:space="preserve">Graph 6: Investment ratios of </w:t>
      </w:r>
      <w:r w:rsidRPr="00693D8D">
        <w:rPr>
          <w:rFonts w:ascii="Arial" w:hAnsi="Arial" w:cs="Arial"/>
          <w:sz w:val="24"/>
          <w:szCs w:val="24"/>
        </w:rPr>
        <w:t>Volkswagen Group (2021–2025)</w:t>
      </w:r>
      <w:r>
        <w:rPr>
          <w:rFonts w:ascii="Arial" w:hAnsi="Arial" w:cs="Arial"/>
          <w:sz w:val="24"/>
          <w:szCs w:val="24"/>
        </w:rPr>
        <w:t>.</w:t>
      </w:r>
    </w:p>
    <w:p w14:paraId="21DE5F53" w14:textId="77777777" w:rsidR="00897448" w:rsidRDefault="00897448" w:rsidP="00C24648">
      <w:pPr>
        <w:spacing w:after="0" w:line="360" w:lineRule="auto"/>
        <w:contextualSpacing/>
        <w:jc w:val="both"/>
        <w:rPr>
          <w:rFonts w:ascii="Arial" w:hAnsi="Arial" w:cs="Arial"/>
          <w:sz w:val="24"/>
          <w:szCs w:val="24"/>
        </w:rPr>
      </w:pPr>
    </w:p>
    <w:p w14:paraId="55CC4249" w14:textId="77777777" w:rsidR="00897448" w:rsidRDefault="00897448" w:rsidP="00C24648">
      <w:pPr>
        <w:spacing w:after="0" w:line="360" w:lineRule="auto"/>
        <w:contextualSpacing/>
        <w:jc w:val="both"/>
        <w:rPr>
          <w:rFonts w:ascii="Arial" w:hAnsi="Arial" w:cs="Arial"/>
          <w:sz w:val="24"/>
          <w:szCs w:val="24"/>
        </w:rPr>
      </w:pPr>
    </w:p>
    <w:p w14:paraId="63D78374" w14:textId="77777777" w:rsidR="00897448" w:rsidRDefault="00897448" w:rsidP="00C24648">
      <w:pPr>
        <w:spacing w:after="0" w:line="360" w:lineRule="auto"/>
        <w:contextualSpacing/>
        <w:jc w:val="both"/>
        <w:rPr>
          <w:rFonts w:ascii="Arial" w:hAnsi="Arial" w:cs="Arial"/>
          <w:sz w:val="24"/>
          <w:szCs w:val="24"/>
        </w:rPr>
      </w:pPr>
    </w:p>
    <w:p w14:paraId="660BD3C1" w14:textId="77777777" w:rsidR="00897448" w:rsidRPr="00C24648" w:rsidRDefault="00897448" w:rsidP="00C24648">
      <w:pPr>
        <w:spacing w:after="0" w:line="360" w:lineRule="auto"/>
        <w:contextualSpacing/>
        <w:jc w:val="both"/>
        <w:rPr>
          <w:rFonts w:ascii="Arial" w:hAnsi="Arial" w:cs="Arial"/>
          <w:sz w:val="24"/>
          <w:szCs w:val="24"/>
        </w:rPr>
      </w:pPr>
    </w:p>
    <w:p w14:paraId="44E9DFBA" w14:textId="06E09056" w:rsidR="00DF1561" w:rsidRPr="00C24648" w:rsidRDefault="007E6E4C" w:rsidP="00C24648">
      <w:pPr>
        <w:spacing w:after="0" w:line="360" w:lineRule="auto"/>
        <w:contextualSpacing/>
        <w:jc w:val="both"/>
        <w:rPr>
          <w:rFonts w:ascii="Arial" w:hAnsi="Arial" w:cs="Arial"/>
          <w:sz w:val="24"/>
          <w:szCs w:val="24"/>
        </w:rPr>
      </w:pPr>
      <w:r w:rsidRPr="00C24648">
        <w:rPr>
          <w:rFonts w:ascii="Arial" w:hAnsi="Arial" w:cs="Arial"/>
          <w:sz w:val="24"/>
          <w:szCs w:val="24"/>
        </w:rPr>
        <w:lastRenderedPageBreak/>
        <w:t xml:space="preserve">Table 6: </w:t>
      </w:r>
      <w:r w:rsidR="00C24E83" w:rsidRPr="00C24648">
        <w:rPr>
          <w:rFonts w:ascii="Arial" w:hAnsi="Arial" w:cs="Arial"/>
          <w:sz w:val="24"/>
          <w:szCs w:val="24"/>
        </w:rPr>
        <w:t>Cash Flow Ratios</w:t>
      </w:r>
    </w:p>
    <w:tbl>
      <w:tblPr>
        <w:tblStyle w:val="TableGrid"/>
        <w:tblW w:w="0" w:type="auto"/>
        <w:tblLook w:val="04A0" w:firstRow="1" w:lastRow="0" w:firstColumn="1" w:lastColumn="0" w:noHBand="0" w:noVBand="1"/>
      </w:tblPr>
      <w:tblGrid>
        <w:gridCol w:w="1366"/>
        <w:gridCol w:w="1666"/>
        <w:gridCol w:w="1266"/>
        <w:gridCol w:w="1266"/>
        <w:gridCol w:w="1266"/>
        <w:gridCol w:w="1260"/>
        <w:gridCol w:w="1260"/>
      </w:tblGrid>
      <w:tr w:rsidR="00DF1561" w:rsidRPr="00C24648" w14:paraId="5A92345B" w14:textId="77777777" w:rsidTr="00DF1561">
        <w:tc>
          <w:tcPr>
            <w:tcW w:w="0" w:type="auto"/>
            <w:hideMark/>
          </w:tcPr>
          <w:p w14:paraId="7D040213" w14:textId="77777777" w:rsidR="00DF1561" w:rsidRPr="00DF1561" w:rsidRDefault="00DF1561" w:rsidP="00A90AC2">
            <w:pPr>
              <w:contextualSpacing/>
              <w:jc w:val="both"/>
              <w:rPr>
                <w:rFonts w:ascii="Arial" w:eastAsia="Times New Roman" w:hAnsi="Arial" w:cs="Arial"/>
                <w:b/>
                <w:bCs/>
                <w:kern w:val="0"/>
                <w:sz w:val="24"/>
                <w:szCs w:val="24"/>
                <w14:ligatures w14:val="none"/>
              </w:rPr>
            </w:pPr>
            <w:r w:rsidRPr="00DF1561">
              <w:rPr>
                <w:rFonts w:ascii="Arial" w:eastAsia="Times New Roman" w:hAnsi="Arial" w:cs="Arial"/>
                <w:b/>
                <w:bCs/>
                <w:kern w:val="0"/>
                <w:sz w:val="24"/>
                <w:szCs w:val="24"/>
                <w14:ligatures w14:val="none"/>
              </w:rPr>
              <w:t>Ratio</w:t>
            </w:r>
          </w:p>
        </w:tc>
        <w:tc>
          <w:tcPr>
            <w:tcW w:w="0" w:type="auto"/>
            <w:hideMark/>
          </w:tcPr>
          <w:p w14:paraId="1DD0A072" w14:textId="77777777" w:rsidR="00DF1561" w:rsidRPr="00DF1561" w:rsidRDefault="00DF1561" w:rsidP="00A90AC2">
            <w:pPr>
              <w:contextualSpacing/>
              <w:jc w:val="both"/>
              <w:rPr>
                <w:rFonts w:ascii="Arial" w:eastAsia="Times New Roman" w:hAnsi="Arial" w:cs="Arial"/>
                <w:b/>
                <w:bCs/>
                <w:kern w:val="0"/>
                <w:sz w:val="24"/>
                <w:szCs w:val="24"/>
                <w14:ligatures w14:val="none"/>
              </w:rPr>
            </w:pPr>
            <w:r w:rsidRPr="00DF1561">
              <w:rPr>
                <w:rFonts w:ascii="Arial" w:eastAsia="Times New Roman" w:hAnsi="Arial" w:cs="Arial"/>
                <w:b/>
                <w:bCs/>
                <w:kern w:val="0"/>
                <w:sz w:val="24"/>
                <w:szCs w:val="24"/>
                <w14:ligatures w14:val="none"/>
              </w:rPr>
              <w:t>Formula</w:t>
            </w:r>
          </w:p>
        </w:tc>
        <w:tc>
          <w:tcPr>
            <w:tcW w:w="0" w:type="auto"/>
            <w:hideMark/>
          </w:tcPr>
          <w:p w14:paraId="67A7ED89" w14:textId="77777777" w:rsidR="00DF1561" w:rsidRPr="00DF1561" w:rsidRDefault="00DF1561" w:rsidP="00A90AC2">
            <w:pPr>
              <w:contextualSpacing/>
              <w:jc w:val="both"/>
              <w:rPr>
                <w:rFonts w:ascii="Arial" w:eastAsia="Times New Roman" w:hAnsi="Arial" w:cs="Arial"/>
                <w:b/>
                <w:bCs/>
                <w:kern w:val="0"/>
                <w:sz w:val="24"/>
                <w:szCs w:val="24"/>
                <w14:ligatures w14:val="none"/>
              </w:rPr>
            </w:pPr>
            <w:r w:rsidRPr="00DF1561">
              <w:rPr>
                <w:rFonts w:ascii="Arial" w:eastAsia="Times New Roman" w:hAnsi="Arial" w:cs="Arial"/>
                <w:b/>
                <w:bCs/>
                <w:kern w:val="0"/>
                <w:sz w:val="24"/>
                <w:szCs w:val="24"/>
                <w14:ligatures w14:val="none"/>
              </w:rPr>
              <w:t>2021</w:t>
            </w:r>
          </w:p>
        </w:tc>
        <w:tc>
          <w:tcPr>
            <w:tcW w:w="0" w:type="auto"/>
            <w:hideMark/>
          </w:tcPr>
          <w:p w14:paraId="30507C7C" w14:textId="77777777" w:rsidR="00DF1561" w:rsidRPr="00DF1561" w:rsidRDefault="00DF1561" w:rsidP="00A90AC2">
            <w:pPr>
              <w:contextualSpacing/>
              <w:jc w:val="both"/>
              <w:rPr>
                <w:rFonts w:ascii="Arial" w:eastAsia="Times New Roman" w:hAnsi="Arial" w:cs="Arial"/>
                <w:b/>
                <w:bCs/>
                <w:kern w:val="0"/>
                <w:sz w:val="24"/>
                <w:szCs w:val="24"/>
                <w14:ligatures w14:val="none"/>
              </w:rPr>
            </w:pPr>
            <w:r w:rsidRPr="00DF1561">
              <w:rPr>
                <w:rFonts w:ascii="Arial" w:eastAsia="Times New Roman" w:hAnsi="Arial" w:cs="Arial"/>
                <w:b/>
                <w:bCs/>
                <w:kern w:val="0"/>
                <w:sz w:val="24"/>
                <w:szCs w:val="24"/>
                <w14:ligatures w14:val="none"/>
              </w:rPr>
              <w:t>2022</w:t>
            </w:r>
          </w:p>
        </w:tc>
        <w:tc>
          <w:tcPr>
            <w:tcW w:w="0" w:type="auto"/>
            <w:hideMark/>
          </w:tcPr>
          <w:p w14:paraId="1AC4611D" w14:textId="77777777" w:rsidR="00DF1561" w:rsidRPr="00DF1561" w:rsidRDefault="00DF1561" w:rsidP="00A90AC2">
            <w:pPr>
              <w:contextualSpacing/>
              <w:jc w:val="both"/>
              <w:rPr>
                <w:rFonts w:ascii="Arial" w:eastAsia="Times New Roman" w:hAnsi="Arial" w:cs="Arial"/>
                <w:b/>
                <w:bCs/>
                <w:kern w:val="0"/>
                <w:sz w:val="24"/>
                <w:szCs w:val="24"/>
                <w14:ligatures w14:val="none"/>
              </w:rPr>
            </w:pPr>
            <w:r w:rsidRPr="00DF1561">
              <w:rPr>
                <w:rFonts w:ascii="Arial" w:eastAsia="Times New Roman" w:hAnsi="Arial" w:cs="Arial"/>
                <w:b/>
                <w:bCs/>
                <w:kern w:val="0"/>
                <w:sz w:val="24"/>
                <w:szCs w:val="24"/>
                <w14:ligatures w14:val="none"/>
              </w:rPr>
              <w:t>2023</w:t>
            </w:r>
          </w:p>
        </w:tc>
        <w:tc>
          <w:tcPr>
            <w:tcW w:w="0" w:type="auto"/>
            <w:hideMark/>
          </w:tcPr>
          <w:p w14:paraId="7ACE549F" w14:textId="77777777" w:rsidR="00DF1561" w:rsidRPr="00DF1561" w:rsidRDefault="00DF1561" w:rsidP="00A90AC2">
            <w:pPr>
              <w:contextualSpacing/>
              <w:jc w:val="both"/>
              <w:rPr>
                <w:rFonts w:ascii="Arial" w:eastAsia="Times New Roman" w:hAnsi="Arial" w:cs="Arial"/>
                <w:b/>
                <w:bCs/>
                <w:kern w:val="0"/>
                <w:sz w:val="24"/>
                <w:szCs w:val="24"/>
                <w14:ligatures w14:val="none"/>
              </w:rPr>
            </w:pPr>
            <w:r w:rsidRPr="00DF1561">
              <w:rPr>
                <w:rFonts w:ascii="Arial" w:eastAsia="Times New Roman" w:hAnsi="Arial" w:cs="Arial"/>
                <w:b/>
                <w:bCs/>
                <w:kern w:val="0"/>
                <w:sz w:val="24"/>
                <w:szCs w:val="24"/>
                <w14:ligatures w14:val="none"/>
              </w:rPr>
              <w:t>2024</w:t>
            </w:r>
          </w:p>
        </w:tc>
        <w:tc>
          <w:tcPr>
            <w:tcW w:w="0" w:type="auto"/>
            <w:hideMark/>
          </w:tcPr>
          <w:p w14:paraId="589155B7" w14:textId="77777777" w:rsidR="00DF1561" w:rsidRPr="00DF1561" w:rsidRDefault="00DF1561" w:rsidP="00A90AC2">
            <w:pPr>
              <w:contextualSpacing/>
              <w:jc w:val="both"/>
              <w:rPr>
                <w:rFonts w:ascii="Arial" w:eastAsia="Times New Roman" w:hAnsi="Arial" w:cs="Arial"/>
                <w:b/>
                <w:bCs/>
                <w:kern w:val="0"/>
                <w:sz w:val="24"/>
                <w:szCs w:val="24"/>
                <w14:ligatures w14:val="none"/>
              </w:rPr>
            </w:pPr>
            <w:r w:rsidRPr="00DF1561">
              <w:rPr>
                <w:rFonts w:ascii="Arial" w:eastAsia="Times New Roman" w:hAnsi="Arial" w:cs="Arial"/>
                <w:b/>
                <w:bCs/>
                <w:kern w:val="0"/>
                <w:sz w:val="24"/>
                <w:szCs w:val="24"/>
                <w14:ligatures w14:val="none"/>
              </w:rPr>
              <w:t>2025</w:t>
            </w:r>
          </w:p>
        </w:tc>
      </w:tr>
      <w:tr w:rsidR="00DF1561" w:rsidRPr="00A90AC2" w14:paraId="5DC8DFD1" w14:textId="77777777" w:rsidTr="00DF1561">
        <w:tc>
          <w:tcPr>
            <w:tcW w:w="0" w:type="auto"/>
            <w:hideMark/>
          </w:tcPr>
          <w:p w14:paraId="35EF6FF6" w14:textId="77777777" w:rsidR="00DF1561" w:rsidRPr="00DF1561" w:rsidRDefault="00DF1561" w:rsidP="00A90AC2">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Operating Cash Flow Ratio</w:t>
            </w:r>
          </w:p>
        </w:tc>
        <w:tc>
          <w:tcPr>
            <w:tcW w:w="0" w:type="auto"/>
            <w:hideMark/>
          </w:tcPr>
          <w:p w14:paraId="3DA6EF3C" w14:textId="77777777" w:rsidR="00DF1561" w:rsidRPr="00DF1561" w:rsidRDefault="00DF1561" w:rsidP="00A90AC2">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Operating Cash Flow ÷ Current Liabilities</w:t>
            </w:r>
          </w:p>
        </w:tc>
        <w:tc>
          <w:tcPr>
            <w:tcW w:w="0" w:type="auto"/>
            <w:hideMark/>
          </w:tcPr>
          <w:p w14:paraId="4834937C" w14:textId="77777777" w:rsidR="00DF1561" w:rsidRPr="00DF1561" w:rsidRDefault="00DF1561" w:rsidP="00A90AC2">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(38,200 ÷ 172,165) = 0.22</w:t>
            </w:r>
          </w:p>
        </w:tc>
        <w:tc>
          <w:tcPr>
            <w:tcW w:w="0" w:type="auto"/>
            <w:hideMark/>
          </w:tcPr>
          <w:p w14:paraId="240AC8DA" w14:textId="77777777" w:rsidR="00DF1561" w:rsidRPr="00DF1561" w:rsidRDefault="00DF1561" w:rsidP="00A90AC2">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(29,864 ÷ 184,895) = 0.16</w:t>
            </w:r>
          </w:p>
        </w:tc>
        <w:tc>
          <w:tcPr>
            <w:tcW w:w="0" w:type="auto"/>
            <w:hideMark/>
          </w:tcPr>
          <w:p w14:paraId="4CC80DA4" w14:textId="77777777" w:rsidR="00DF1561" w:rsidRPr="00DF1561" w:rsidRDefault="00DF1561" w:rsidP="00A90AC2">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(33,353 ÷ 219,836) = 0.15</w:t>
            </w:r>
          </w:p>
        </w:tc>
        <w:tc>
          <w:tcPr>
            <w:tcW w:w="0" w:type="auto"/>
            <w:hideMark/>
          </w:tcPr>
          <w:p w14:paraId="31C01A21" w14:textId="77777777" w:rsidR="00DF1561" w:rsidRPr="00DF1561" w:rsidRDefault="00DF1561" w:rsidP="00A90AC2">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(31,200 ÷ 225,180) = 0.14</w:t>
            </w:r>
          </w:p>
        </w:tc>
        <w:tc>
          <w:tcPr>
            <w:tcW w:w="0" w:type="auto"/>
            <w:hideMark/>
          </w:tcPr>
          <w:p w14:paraId="31B73DC1" w14:textId="77777777" w:rsidR="00DF1561" w:rsidRPr="00DF1561" w:rsidRDefault="00DF1561" w:rsidP="00A90AC2">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(24,100 ÷ 224,760) = 0.11</w:t>
            </w:r>
          </w:p>
        </w:tc>
      </w:tr>
      <w:tr w:rsidR="00DF1561" w:rsidRPr="00A90AC2" w14:paraId="27923BC5" w14:textId="77777777" w:rsidTr="00DF1561">
        <w:tc>
          <w:tcPr>
            <w:tcW w:w="0" w:type="auto"/>
            <w:hideMark/>
          </w:tcPr>
          <w:p w14:paraId="7E3F326F" w14:textId="77777777" w:rsidR="00DF1561" w:rsidRPr="00DF1561" w:rsidRDefault="00DF1561" w:rsidP="00A90AC2">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Cash Flow to Debt Ratio</w:t>
            </w:r>
          </w:p>
        </w:tc>
        <w:tc>
          <w:tcPr>
            <w:tcW w:w="0" w:type="auto"/>
            <w:hideMark/>
          </w:tcPr>
          <w:p w14:paraId="597EC089" w14:textId="77777777" w:rsidR="00DF1561" w:rsidRPr="00DF1561" w:rsidRDefault="00DF1561" w:rsidP="00A90AC2">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Operating Cash Flow ÷ Total Liabilities</w:t>
            </w:r>
          </w:p>
        </w:tc>
        <w:tc>
          <w:tcPr>
            <w:tcW w:w="0" w:type="auto"/>
            <w:hideMark/>
          </w:tcPr>
          <w:p w14:paraId="6EAD3D7B" w14:textId="77777777" w:rsidR="00DF1561" w:rsidRPr="00DF1561" w:rsidRDefault="00DF1561" w:rsidP="00A90AC2">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(38,200 ÷ 382,300) = 0.10</w:t>
            </w:r>
          </w:p>
        </w:tc>
        <w:tc>
          <w:tcPr>
            <w:tcW w:w="0" w:type="auto"/>
            <w:hideMark/>
          </w:tcPr>
          <w:p w14:paraId="071C7F3D" w14:textId="77777777" w:rsidR="00DF1561" w:rsidRPr="00DF1561" w:rsidRDefault="00DF1561" w:rsidP="00A90AC2">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(29,864 ÷ 390,700) = 0.08</w:t>
            </w:r>
          </w:p>
        </w:tc>
        <w:tc>
          <w:tcPr>
            <w:tcW w:w="0" w:type="auto"/>
            <w:hideMark/>
          </w:tcPr>
          <w:p w14:paraId="6B49FBD5" w14:textId="77777777" w:rsidR="00DF1561" w:rsidRPr="00DF1561" w:rsidRDefault="00DF1561" w:rsidP="00A90AC2">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(33,353 ÷ 433,700) = 0.08</w:t>
            </w:r>
          </w:p>
        </w:tc>
        <w:tc>
          <w:tcPr>
            <w:tcW w:w="0" w:type="auto"/>
            <w:hideMark/>
          </w:tcPr>
          <w:p w14:paraId="104F0ED2" w14:textId="77777777" w:rsidR="00DF1561" w:rsidRPr="00DF1561" w:rsidRDefault="00DF1561" w:rsidP="00A90AC2">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(31,200 ÷ 437,400) = 0.07</w:t>
            </w:r>
          </w:p>
        </w:tc>
        <w:tc>
          <w:tcPr>
            <w:tcW w:w="0" w:type="auto"/>
            <w:hideMark/>
          </w:tcPr>
          <w:p w14:paraId="43F84C41" w14:textId="77777777" w:rsidR="00DF1561" w:rsidRPr="00DF1561" w:rsidRDefault="00DF1561" w:rsidP="00A90AC2">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(24,100 ÷ 436,200) = 0.06</w:t>
            </w:r>
          </w:p>
        </w:tc>
      </w:tr>
      <w:tr w:rsidR="00DF1561" w:rsidRPr="00A90AC2" w14:paraId="2C02A3F0" w14:textId="77777777" w:rsidTr="00DF1561">
        <w:tc>
          <w:tcPr>
            <w:tcW w:w="0" w:type="auto"/>
            <w:hideMark/>
          </w:tcPr>
          <w:p w14:paraId="300BCC75" w14:textId="77777777" w:rsidR="00DF1561" w:rsidRPr="00DF1561" w:rsidRDefault="00DF1561" w:rsidP="00A90AC2">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Cash Flow Margin</w:t>
            </w:r>
          </w:p>
        </w:tc>
        <w:tc>
          <w:tcPr>
            <w:tcW w:w="0" w:type="auto"/>
            <w:hideMark/>
          </w:tcPr>
          <w:p w14:paraId="4FAF80D1" w14:textId="77777777" w:rsidR="00DF1561" w:rsidRPr="00DF1561" w:rsidRDefault="00DF1561" w:rsidP="00A90AC2">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Operating Cash Flow ÷ Sales Revenue</w:t>
            </w:r>
          </w:p>
        </w:tc>
        <w:tc>
          <w:tcPr>
            <w:tcW w:w="0" w:type="auto"/>
            <w:hideMark/>
          </w:tcPr>
          <w:p w14:paraId="1AEDA360" w14:textId="77777777" w:rsidR="00DF1561" w:rsidRPr="00DF1561" w:rsidRDefault="00DF1561" w:rsidP="00A90AC2">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(38,200 ÷ 250,200) = 15.3%</w:t>
            </w:r>
          </w:p>
        </w:tc>
        <w:tc>
          <w:tcPr>
            <w:tcW w:w="0" w:type="auto"/>
            <w:hideMark/>
          </w:tcPr>
          <w:p w14:paraId="29A15E5C" w14:textId="77777777" w:rsidR="00DF1561" w:rsidRPr="00DF1561" w:rsidRDefault="00DF1561" w:rsidP="00A90AC2">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(29,864 ÷ 279,232) = 10.7%</w:t>
            </w:r>
          </w:p>
        </w:tc>
        <w:tc>
          <w:tcPr>
            <w:tcW w:w="0" w:type="auto"/>
            <w:hideMark/>
          </w:tcPr>
          <w:p w14:paraId="2EADCA03" w14:textId="77777777" w:rsidR="00DF1561" w:rsidRPr="00DF1561" w:rsidRDefault="00DF1561" w:rsidP="00A90AC2">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(33,353 ÷ 322,284) = 10.3%</w:t>
            </w:r>
          </w:p>
        </w:tc>
        <w:tc>
          <w:tcPr>
            <w:tcW w:w="0" w:type="auto"/>
            <w:hideMark/>
          </w:tcPr>
          <w:p w14:paraId="5C2B9FB8" w14:textId="77777777" w:rsidR="00DF1561" w:rsidRPr="00DF1561" w:rsidRDefault="00DF1561" w:rsidP="00A90AC2">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(31,200 ÷ 324,700) = 9.6%</w:t>
            </w:r>
          </w:p>
        </w:tc>
        <w:tc>
          <w:tcPr>
            <w:tcW w:w="0" w:type="auto"/>
            <w:hideMark/>
          </w:tcPr>
          <w:p w14:paraId="109B2C64" w14:textId="77777777" w:rsidR="00DF1561" w:rsidRPr="00DF1561" w:rsidRDefault="00DF1561" w:rsidP="00A90AC2">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(24,100 ÷ 321,900) = 7.5%</w:t>
            </w:r>
          </w:p>
        </w:tc>
      </w:tr>
      <w:tr w:rsidR="00DF1561" w:rsidRPr="00A90AC2" w14:paraId="0B326036" w14:textId="77777777" w:rsidTr="00DF1561">
        <w:tc>
          <w:tcPr>
            <w:tcW w:w="0" w:type="auto"/>
            <w:hideMark/>
          </w:tcPr>
          <w:p w14:paraId="7C57FD15" w14:textId="77777777" w:rsidR="00DF1561" w:rsidRPr="00DF1561" w:rsidRDefault="00DF1561" w:rsidP="00A90AC2">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Free Cash Flow (FCF) (€m)</w:t>
            </w:r>
          </w:p>
        </w:tc>
        <w:tc>
          <w:tcPr>
            <w:tcW w:w="0" w:type="auto"/>
            <w:hideMark/>
          </w:tcPr>
          <w:p w14:paraId="56951918" w14:textId="77777777" w:rsidR="00DF1561" w:rsidRPr="00DF1561" w:rsidRDefault="00DF1561" w:rsidP="00A90AC2">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Operating Cash Flow − Capital Expenditure</w:t>
            </w:r>
          </w:p>
        </w:tc>
        <w:tc>
          <w:tcPr>
            <w:tcW w:w="0" w:type="auto"/>
            <w:hideMark/>
          </w:tcPr>
          <w:p w14:paraId="30F0A156" w14:textId="77777777" w:rsidR="00DF1561" w:rsidRPr="00DF1561" w:rsidRDefault="00DF1561" w:rsidP="00A90AC2">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 8,600</w:t>
            </w:r>
          </w:p>
        </w:tc>
        <w:tc>
          <w:tcPr>
            <w:tcW w:w="0" w:type="auto"/>
            <w:hideMark/>
          </w:tcPr>
          <w:p w14:paraId="1A6A1E23" w14:textId="77777777" w:rsidR="00DF1561" w:rsidRPr="00DF1561" w:rsidRDefault="00DF1561" w:rsidP="00A90AC2">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 4,800</w:t>
            </w:r>
          </w:p>
        </w:tc>
        <w:tc>
          <w:tcPr>
            <w:tcW w:w="0" w:type="auto"/>
            <w:hideMark/>
          </w:tcPr>
          <w:p w14:paraId="7412D989" w14:textId="77777777" w:rsidR="00DF1561" w:rsidRPr="00DF1561" w:rsidRDefault="00DF1561" w:rsidP="00A90AC2">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 10,700</w:t>
            </w:r>
          </w:p>
        </w:tc>
        <w:tc>
          <w:tcPr>
            <w:tcW w:w="0" w:type="auto"/>
            <w:hideMark/>
          </w:tcPr>
          <w:p w14:paraId="12305F26" w14:textId="77777777" w:rsidR="00DF1561" w:rsidRPr="00DF1561" w:rsidRDefault="00DF1561" w:rsidP="00A90AC2">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 6,400</w:t>
            </w:r>
          </w:p>
        </w:tc>
        <w:tc>
          <w:tcPr>
            <w:tcW w:w="0" w:type="auto"/>
            <w:hideMark/>
          </w:tcPr>
          <w:p w14:paraId="64BEEA60" w14:textId="77777777" w:rsidR="00DF1561" w:rsidRPr="00DF1561" w:rsidRDefault="00DF1561" w:rsidP="00A90AC2">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 5,200</w:t>
            </w:r>
          </w:p>
        </w:tc>
      </w:tr>
      <w:tr w:rsidR="00DF1561" w:rsidRPr="00A90AC2" w14:paraId="5E62DD24" w14:textId="77777777" w:rsidTr="00DF1561">
        <w:tc>
          <w:tcPr>
            <w:tcW w:w="0" w:type="auto"/>
            <w:hideMark/>
          </w:tcPr>
          <w:p w14:paraId="26A1AA58" w14:textId="77777777" w:rsidR="00DF1561" w:rsidRPr="00DF1561" w:rsidRDefault="00DF1561" w:rsidP="00A90AC2">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Free Cash Flow Margin</w:t>
            </w:r>
          </w:p>
        </w:tc>
        <w:tc>
          <w:tcPr>
            <w:tcW w:w="0" w:type="auto"/>
            <w:hideMark/>
          </w:tcPr>
          <w:p w14:paraId="2310CAB0" w14:textId="77777777" w:rsidR="00DF1561" w:rsidRPr="00DF1561" w:rsidRDefault="00DF1561" w:rsidP="00A90AC2">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Free Cash Flow ÷ Sales Revenue</w:t>
            </w:r>
          </w:p>
        </w:tc>
        <w:tc>
          <w:tcPr>
            <w:tcW w:w="0" w:type="auto"/>
            <w:hideMark/>
          </w:tcPr>
          <w:p w14:paraId="563C77CF" w14:textId="25B4BCCF" w:rsidR="00DF1561" w:rsidRPr="00DF1561" w:rsidRDefault="00DF1561" w:rsidP="00A90AC2">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3.4%</w:t>
            </w:r>
          </w:p>
        </w:tc>
        <w:tc>
          <w:tcPr>
            <w:tcW w:w="0" w:type="auto"/>
            <w:hideMark/>
          </w:tcPr>
          <w:p w14:paraId="68CD310A" w14:textId="1B23A91F" w:rsidR="00DF1561" w:rsidRPr="00DF1561" w:rsidRDefault="00DF1561" w:rsidP="00A90AC2">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1.7%</w:t>
            </w:r>
          </w:p>
        </w:tc>
        <w:tc>
          <w:tcPr>
            <w:tcW w:w="0" w:type="auto"/>
            <w:hideMark/>
          </w:tcPr>
          <w:p w14:paraId="22DF3B9B" w14:textId="5305C50E" w:rsidR="00DF1561" w:rsidRPr="00DF1561" w:rsidRDefault="00DF1561" w:rsidP="00A90AC2">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3.3%</w:t>
            </w:r>
          </w:p>
        </w:tc>
        <w:tc>
          <w:tcPr>
            <w:tcW w:w="0" w:type="auto"/>
            <w:hideMark/>
          </w:tcPr>
          <w:p w14:paraId="68FE5D28" w14:textId="2C9742F6" w:rsidR="00DF1561" w:rsidRPr="00DF1561" w:rsidRDefault="00DF1561" w:rsidP="00A90AC2">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2.0%</w:t>
            </w:r>
          </w:p>
        </w:tc>
        <w:tc>
          <w:tcPr>
            <w:tcW w:w="0" w:type="auto"/>
            <w:hideMark/>
          </w:tcPr>
          <w:p w14:paraId="0148BC0D" w14:textId="7C8C2BBB" w:rsidR="00DF1561" w:rsidRPr="00DF1561" w:rsidRDefault="00DF1561" w:rsidP="00A90AC2">
            <w:pPr>
              <w:contextualSpacing/>
              <w:jc w:val="both"/>
              <w:rPr>
                <w:rFonts w:ascii="Arial" w:eastAsia="Times New Roman" w:hAnsi="Arial" w:cs="Arial"/>
                <w:kern w:val="0"/>
                <w:sz w:val="24"/>
                <w:szCs w:val="24"/>
                <w14:ligatures w14:val="none"/>
              </w:rPr>
            </w:pPr>
            <w:r w:rsidRPr="00DF1561">
              <w:rPr>
                <w:rFonts w:ascii="Arial" w:eastAsia="Times New Roman" w:hAnsi="Arial" w:cs="Arial"/>
                <w:kern w:val="0"/>
                <w:sz w:val="24"/>
                <w:szCs w:val="24"/>
                <w14:ligatures w14:val="none"/>
              </w:rPr>
              <w:t>1.6%</w:t>
            </w:r>
          </w:p>
        </w:tc>
      </w:tr>
    </w:tbl>
    <w:p w14:paraId="3526142A" w14:textId="487EB824" w:rsidR="00DF1561" w:rsidRPr="00C24648" w:rsidRDefault="00DF1561" w:rsidP="00A90AC2">
      <w:pPr>
        <w:spacing w:after="0" w:line="360" w:lineRule="auto"/>
        <w:contextualSpacing/>
        <w:jc w:val="both"/>
        <w:rPr>
          <w:rFonts w:ascii="Arial" w:hAnsi="Arial" w:cs="Arial"/>
          <w:sz w:val="24"/>
          <w:szCs w:val="24"/>
        </w:rPr>
      </w:pPr>
      <w:r w:rsidRPr="00C24648">
        <w:rPr>
          <w:rFonts w:ascii="Arial" w:hAnsi="Arial" w:cs="Arial"/>
          <w:sz w:val="24"/>
          <w:szCs w:val="24"/>
        </w:rPr>
        <w:t>Key Cash Flow Data (€ million)</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239"/>
        <w:gridCol w:w="958"/>
        <w:gridCol w:w="958"/>
        <w:gridCol w:w="958"/>
        <w:gridCol w:w="958"/>
        <w:gridCol w:w="973"/>
      </w:tblGrid>
      <w:tr w:rsidR="00DF1561" w:rsidRPr="00C24648" w14:paraId="5D3BF1FB" w14:textId="77777777" w:rsidTr="00DF1561">
        <w:trPr>
          <w:tblHeade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10E054DF" w14:textId="77777777" w:rsidR="00DF1561" w:rsidRPr="00C24648" w:rsidRDefault="00DF1561" w:rsidP="00C24648">
            <w:pPr>
              <w:spacing w:after="0" w:line="360" w:lineRule="auto"/>
              <w:contextualSpacing/>
              <w:jc w:val="both"/>
              <w:rPr>
                <w:rFonts w:ascii="Arial" w:hAnsi="Arial" w:cs="Arial"/>
                <w:sz w:val="24"/>
                <w:szCs w:val="24"/>
              </w:rPr>
            </w:pPr>
            <w:r w:rsidRPr="00C24648">
              <w:rPr>
                <w:rStyle w:val="Strong"/>
                <w:rFonts w:ascii="Arial" w:hAnsi="Arial" w:cs="Arial"/>
                <w:sz w:val="24"/>
                <w:szCs w:val="24"/>
              </w:rPr>
              <w:t>Item</w:t>
            </w:r>
          </w:p>
        </w:tc>
        <w:tc>
          <w:tcPr>
            <w:tcW w:w="0" w:type="auto"/>
            <w:tcBorders>
              <w:top w:val="single" w:sz="6" w:space="0" w:color="auto"/>
              <w:left w:val="single" w:sz="6" w:space="0" w:color="auto"/>
              <w:bottom w:val="single" w:sz="6" w:space="0" w:color="auto"/>
              <w:right w:val="single" w:sz="6" w:space="0" w:color="auto"/>
            </w:tcBorders>
            <w:vAlign w:val="center"/>
            <w:hideMark/>
          </w:tcPr>
          <w:p w14:paraId="092498AD" w14:textId="77777777" w:rsidR="00DF1561" w:rsidRPr="00C24648" w:rsidRDefault="00DF1561" w:rsidP="00C24648">
            <w:pPr>
              <w:spacing w:after="0" w:line="360" w:lineRule="auto"/>
              <w:contextualSpacing/>
              <w:jc w:val="both"/>
              <w:rPr>
                <w:rFonts w:ascii="Arial" w:hAnsi="Arial" w:cs="Arial"/>
                <w:sz w:val="24"/>
                <w:szCs w:val="24"/>
              </w:rPr>
            </w:pPr>
            <w:r w:rsidRPr="00C24648">
              <w:rPr>
                <w:rStyle w:val="Strong"/>
                <w:rFonts w:ascii="Arial" w:hAnsi="Arial" w:cs="Arial"/>
                <w:sz w:val="24"/>
                <w:szCs w:val="24"/>
              </w:rPr>
              <w:t>2021</w:t>
            </w:r>
          </w:p>
        </w:tc>
        <w:tc>
          <w:tcPr>
            <w:tcW w:w="0" w:type="auto"/>
            <w:tcBorders>
              <w:top w:val="single" w:sz="6" w:space="0" w:color="auto"/>
              <w:left w:val="single" w:sz="6" w:space="0" w:color="auto"/>
              <w:bottom w:val="single" w:sz="6" w:space="0" w:color="auto"/>
              <w:right w:val="single" w:sz="6" w:space="0" w:color="auto"/>
            </w:tcBorders>
            <w:vAlign w:val="center"/>
            <w:hideMark/>
          </w:tcPr>
          <w:p w14:paraId="5C01D806" w14:textId="77777777" w:rsidR="00DF1561" w:rsidRPr="00C24648" w:rsidRDefault="00DF1561" w:rsidP="00C24648">
            <w:pPr>
              <w:spacing w:after="0" w:line="360" w:lineRule="auto"/>
              <w:contextualSpacing/>
              <w:jc w:val="both"/>
              <w:rPr>
                <w:rFonts w:ascii="Arial" w:hAnsi="Arial" w:cs="Arial"/>
                <w:sz w:val="24"/>
                <w:szCs w:val="24"/>
              </w:rPr>
            </w:pPr>
            <w:r w:rsidRPr="00C24648">
              <w:rPr>
                <w:rStyle w:val="Strong"/>
                <w:rFonts w:ascii="Arial" w:hAnsi="Arial" w:cs="Arial"/>
                <w:sz w:val="24"/>
                <w:szCs w:val="24"/>
              </w:rPr>
              <w:t>2022</w:t>
            </w:r>
          </w:p>
        </w:tc>
        <w:tc>
          <w:tcPr>
            <w:tcW w:w="0" w:type="auto"/>
            <w:tcBorders>
              <w:top w:val="single" w:sz="6" w:space="0" w:color="auto"/>
              <w:left w:val="single" w:sz="6" w:space="0" w:color="auto"/>
              <w:bottom w:val="single" w:sz="6" w:space="0" w:color="auto"/>
              <w:right w:val="single" w:sz="6" w:space="0" w:color="auto"/>
            </w:tcBorders>
            <w:vAlign w:val="center"/>
            <w:hideMark/>
          </w:tcPr>
          <w:p w14:paraId="4DC93A57" w14:textId="77777777" w:rsidR="00DF1561" w:rsidRPr="00C24648" w:rsidRDefault="00DF1561" w:rsidP="00C24648">
            <w:pPr>
              <w:spacing w:after="0" w:line="360" w:lineRule="auto"/>
              <w:contextualSpacing/>
              <w:jc w:val="both"/>
              <w:rPr>
                <w:rFonts w:ascii="Arial" w:hAnsi="Arial" w:cs="Arial"/>
                <w:sz w:val="24"/>
                <w:szCs w:val="24"/>
              </w:rPr>
            </w:pPr>
            <w:r w:rsidRPr="00C24648">
              <w:rPr>
                <w:rStyle w:val="Strong"/>
                <w:rFonts w:ascii="Arial" w:hAnsi="Arial" w:cs="Arial"/>
                <w:sz w:val="24"/>
                <w:szCs w:val="24"/>
              </w:rPr>
              <w:t>2023</w:t>
            </w:r>
          </w:p>
        </w:tc>
        <w:tc>
          <w:tcPr>
            <w:tcW w:w="0" w:type="auto"/>
            <w:tcBorders>
              <w:top w:val="single" w:sz="6" w:space="0" w:color="auto"/>
              <w:left w:val="single" w:sz="6" w:space="0" w:color="auto"/>
              <w:bottom w:val="single" w:sz="6" w:space="0" w:color="auto"/>
              <w:right w:val="single" w:sz="6" w:space="0" w:color="auto"/>
            </w:tcBorders>
            <w:vAlign w:val="center"/>
            <w:hideMark/>
          </w:tcPr>
          <w:p w14:paraId="3BD0057B" w14:textId="77777777" w:rsidR="00DF1561" w:rsidRPr="00C24648" w:rsidRDefault="00DF1561" w:rsidP="00C24648">
            <w:pPr>
              <w:spacing w:after="0" w:line="360" w:lineRule="auto"/>
              <w:contextualSpacing/>
              <w:jc w:val="both"/>
              <w:rPr>
                <w:rFonts w:ascii="Arial" w:hAnsi="Arial" w:cs="Arial"/>
                <w:sz w:val="24"/>
                <w:szCs w:val="24"/>
              </w:rPr>
            </w:pPr>
            <w:r w:rsidRPr="00C24648">
              <w:rPr>
                <w:rStyle w:val="Strong"/>
                <w:rFonts w:ascii="Arial" w:hAnsi="Arial" w:cs="Arial"/>
                <w:sz w:val="24"/>
                <w:szCs w:val="24"/>
              </w:rPr>
              <w:t>2024</w:t>
            </w:r>
          </w:p>
        </w:tc>
        <w:tc>
          <w:tcPr>
            <w:tcW w:w="0" w:type="auto"/>
            <w:tcBorders>
              <w:top w:val="single" w:sz="6" w:space="0" w:color="auto"/>
              <w:left w:val="single" w:sz="6" w:space="0" w:color="auto"/>
              <w:bottom w:val="single" w:sz="6" w:space="0" w:color="auto"/>
              <w:right w:val="single" w:sz="6" w:space="0" w:color="auto"/>
            </w:tcBorders>
            <w:vAlign w:val="center"/>
            <w:hideMark/>
          </w:tcPr>
          <w:p w14:paraId="366F0C69" w14:textId="77777777" w:rsidR="00DF1561" w:rsidRPr="00C24648" w:rsidRDefault="00DF1561" w:rsidP="00C24648">
            <w:pPr>
              <w:spacing w:after="0" w:line="360" w:lineRule="auto"/>
              <w:contextualSpacing/>
              <w:jc w:val="both"/>
              <w:rPr>
                <w:rFonts w:ascii="Arial" w:hAnsi="Arial" w:cs="Arial"/>
                <w:sz w:val="24"/>
                <w:szCs w:val="24"/>
              </w:rPr>
            </w:pPr>
            <w:r w:rsidRPr="00C24648">
              <w:rPr>
                <w:rStyle w:val="Strong"/>
                <w:rFonts w:ascii="Arial" w:hAnsi="Arial" w:cs="Arial"/>
                <w:sz w:val="24"/>
                <w:szCs w:val="24"/>
              </w:rPr>
              <w:t>2025</w:t>
            </w:r>
          </w:p>
        </w:tc>
      </w:tr>
      <w:tr w:rsidR="00DF1561" w:rsidRPr="00C24648" w14:paraId="5987CB14" w14:textId="77777777" w:rsidTr="00DF1561">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5FBF2238"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b/>
                <w:bCs/>
                <w:sz w:val="24"/>
                <w:szCs w:val="24"/>
              </w:rPr>
              <w:t>Cash Flow from Operations</w:t>
            </w:r>
          </w:p>
        </w:tc>
        <w:tc>
          <w:tcPr>
            <w:tcW w:w="0" w:type="auto"/>
            <w:tcBorders>
              <w:top w:val="single" w:sz="6" w:space="0" w:color="auto"/>
              <w:left w:val="single" w:sz="6" w:space="0" w:color="auto"/>
              <w:bottom w:val="single" w:sz="6" w:space="0" w:color="auto"/>
              <w:right w:val="single" w:sz="6" w:space="0" w:color="auto"/>
            </w:tcBorders>
            <w:vAlign w:val="center"/>
            <w:hideMark/>
          </w:tcPr>
          <w:p w14:paraId="429097BC"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sz w:val="24"/>
                <w:szCs w:val="24"/>
              </w:rPr>
              <w:t>38,200</w:t>
            </w:r>
          </w:p>
        </w:tc>
        <w:tc>
          <w:tcPr>
            <w:tcW w:w="0" w:type="auto"/>
            <w:tcBorders>
              <w:top w:val="single" w:sz="6" w:space="0" w:color="auto"/>
              <w:left w:val="single" w:sz="6" w:space="0" w:color="auto"/>
              <w:bottom w:val="single" w:sz="6" w:space="0" w:color="auto"/>
              <w:right w:val="single" w:sz="6" w:space="0" w:color="auto"/>
            </w:tcBorders>
            <w:vAlign w:val="center"/>
            <w:hideMark/>
          </w:tcPr>
          <w:p w14:paraId="4019D586"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sz w:val="24"/>
                <w:szCs w:val="24"/>
              </w:rPr>
              <w:t>29,864</w:t>
            </w:r>
          </w:p>
        </w:tc>
        <w:tc>
          <w:tcPr>
            <w:tcW w:w="0" w:type="auto"/>
            <w:tcBorders>
              <w:top w:val="single" w:sz="6" w:space="0" w:color="auto"/>
              <w:left w:val="single" w:sz="6" w:space="0" w:color="auto"/>
              <w:bottom w:val="single" w:sz="6" w:space="0" w:color="auto"/>
              <w:right w:val="single" w:sz="6" w:space="0" w:color="auto"/>
            </w:tcBorders>
            <w:vAlign w:val="center"/>
            <w:hideMark/>
          </w:tcPr>
          <w:p w14:paraId="3A21416F"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sz w:val="24"/>
                <w:szCs w:val="24"/>
              </w:rPr>
              <w:t>33,353</w:t>
            </w:r>
          </w:p>
        </w:tc>
        <w:tc>
          <w:tcPr>
            <w:tcW w:w="0" w:type="auto"/>
            <w:tcBorders>
              <w:top w:val="single" w:sz="6" w:space="0" w:color="auto"/>
              <w:left w:val="single" w:sz="6" w:space="0" w:color="auto"/>
              <w:bottom w:val="single" w:sz="6" w:space="0" w:color="auto"/>
              <w:right w:val="single" w:sz="6" w:space="0" w:color="auto"/>
            </w:tcBorders>
            <w:vAlign w:val="center"/>
            <w:hideMark/>
          </w:tcPr>
          <w:p w14:paraId="28D80B4E"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sz w:val="24"/>
                <w:szCs w:val="24"/>
              </w:rPr>
              <w:t>31,200</w:t>
            </w:r>
          </w:p>
        </w:tc>
        <w:tc>
          <w:tcPr>
            <w:tcW w:w="0" w:type="auto"/>
            <w:tcBorders>
              <w:top w:val="single" w:sz="6" w:space="0" w:color="auto"/>
              <w:left w:val="single" w:sz="6" w:space="0" w:color="auto"/>
              <w:bottom w:val="single" w:sz="6" w:space="0" w:color="auto"/>
              <w:right w:val="single" w:sz="6" w:space="0" w:color="auto"/>
            </w:tcBorders>
            <w:vAlign w:val="center"/>
            <w:hideMark/>
          </w:tcPr>
          <w:p w14:paraId="033669DC"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sz w:val="24"/>
                <w:szCs w:val="24"/>
              </w:rPr>
              <w:t>24,100</w:t>
            </w:r>
          </w:p>
        </w:tc>
      </w:tr>
      <w:tr w:rsidR="00DF1561" w:rsidRPr="00C24648" w14:paraId="25AD0683" w14:textId="77777777" w:rsidTr="00DF1561">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498693E9"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b/>
                <w:bCs/>
                <w:sz w:val="24"/>
                <w:szCs w:val="24"/>
              </w:rPr>
              <w:t>Current Liabilities</w:t>
            </w:r>
          </w:p>
        </w:tc>
        <w:tc>
          <w:tcPr>
            <w:tcW w:w="0" w:type="auto"/>
            <w:tcBorders>
              <w:top w:val="single" w:sz="6" w:space="0" w:color="auto"/>
              <w:left w:val="single" w:sz="6" w:space="0" w:color="auto"/>
              <w:bottom w:val="single" w:sz="6" w:space="0" w:color="auto"/>
              <w:right w:val="single" w:sz="6" w:space="0" w:color="auto"/>
            </w:tcBorders>
            <w:vAlign w:val="center"/>
            <w:hideMark/>
          </w:tcPr>
          <w:p w14:paraId="4AE533BA"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sz w:val="24"/>
                <w:szCs w:val="24"/>
              </w:rPr>
              <w:t>172,165</w:t>
            </w:r>
          </w:p>
        </w:tc>
        <w:tc>
          <w:tcPr>
            <w:tcW w:w="0" w:type="auto"/>
            <w:tcBorders>
              <w:top w:val="single" w:sz="6" w:space="0" w:color="auto"/>
              <w:left w:val="single" w:sz="6" w:space="0" w:color="auto"/>
              <w:bottom w:val="single" w:sz="6" w:space="0" w:color="auto"/>
              <w:right w:val="single" w:sz="6" w:space="0" w:color="auto"/>
            </w:tcBorders>
            <w:vAlign w:val="center"/>
            <w:hideMark/>
          </w:tcPr>
          <w:p w14:paraId="55FE377E"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sz w:val="24"/>
                <w:szCs w:val="24"/>
              </w:rPr>
              <w:t>184,895</w:t>
            </w:r>
          </w:p>
        </w:tc>
        <w:tc>
          <w:tcPr>
            <w:tcW w:w="0" w:type="auto"/>
            <w:tcBorders>
              <w:top w:val="single" w:sz="6" w:space="0" w:color="auto"/>
              <w:left w:val="single" w:sz="6" w:space="0" w:color="auto"/>
              <w:bottom w:val="single" w:sz="6" w:space="0" w:color="auto"/>
              <w:right w:val="single" w:sz="6" w:space="0" w:color="auto"/>
            </w:tcBorders>
            <w:vAlign w:val="center"/>
            <w:hideMark/>
          </w:tcPr>
          <w:p w14:paraId="14A3BD36"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sz w:val="24"/>
                <w:szCs w:val="24"/>
              </w:rPr>
              <w:t>219,836</w:t>
            </w:r>
          </w:p>
        </w:tc>
        <w:tc>
          <w:tcPr>
            <w:tcW w:w="0" w:type="auto"/>
            <w:tcBorders>
              <w:top w:val="single" w:sz="6" w:space="0" w:color="auto"/>
              <w:left w:val="single" w:sz="6" w:space="0" w:color="auto"/>
              <w:bottom w:val="single" w:sz="6" w:space="0" w:color="auto"/>
              <w:right w:val="single" w:sz="6" w:space="0" w:color="auto"/>
            </w:tcBorders>
            <w:vAlign w:val="center"/>
            <w:hideMark/>
          </w:tcPr>
          <w:p w14:paraId="689E6B53"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sz w:val="24"/>
                <w:szCs w:val="24"/>
              </w:rPr>
              <w:t>225,180</w:t>
            </w:r>
          </w:p>
        </w:tc>
        <w:tc>
          <w:tcPr>
            <w:tcW w:w="0" w:type="auto"/>
            <w:tcBorders>
              <w:top w:val="single" w:sz="6" w:space="0" w:color="auto"/>
              <w:left w:val="single" w:sz="6" w:space="0" w:color="auto"/>
              <w:bottom w:val="single" w:sz="6" w:space="0" w:color="auto"/>
              <w:right w:val="single" w:sz="6" w:space="0" w:color="auto"/>
            </w:tcBorders>
            <w:vAlign w:val="center"/>
            <w:hideMark/>
          </w:tcPr>
          <w:p w14:paraId="20883D86"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sz w:val="24"/>
                <w:szCs w:val="24"/>
              </w:rPr>
              <w:t>224,760</w:t>
            </w:r>
          </w:p>
        </w:tc>
      </w:tr>
      <w:tr w:rsidR="00DF1561" w:rsidRPr="00C24648" w14:paraId="45CD534A" w14:textId="77777777" w:rsidTr="00DF1561">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79DF9858"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b/>
                <w:bCs/>
                <w:sz w:val="24"/>
                <w:szCs w:val="24"/>
              </w:rPr>
              <w:t>Total Liabilities</w:t>
            </w:r>
          </w:p>
        </w:tc>
        <w:tc>
          <w:tcPr>
            <w:tcW w:w="0" w:type="auto"/>
            <w:tcBorders>
              <w:top w:val="single" w:sz="6" w:space="0" w:color="auto"/>
              <w:left w:val="single" w:sz="6" w:space="0" w:color="auto"/>
              <w:bottom w:val="single" w:sz="6" w:space="0" w:color="auto"/>
              <w:right w:val="single" w:sz="6" w:space="0" w:color="auto"/>
            </w:tcBorders>
            <w:vAlign w:val="center"/>
            <w:hideMark/>
          </w:tcPr>
          <w:p w14:paraId="11E4501F"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sz w:val="24"/>
                <w:szCs w:val="24"/>
              </w:rPr>
              <w:t>382,300</w:t>
            </w:r>
          </w:p>
        </w:tc>
        <w:tc>
          <w:tcPr>
            <w:tcW w:w="0" w:type="auto"/>
            <w:tcBorders>
              <w:top w:val="single" w:sz="6" w:space="0" w:color="auto"/>
              <w:left w:val="single" w:sz="6" w:space="0" w:color="auto"/>
              <w:bottom w:val="single" w:sz="6" w:space="0" w:color="auto"/>
              <w:right w:val="single" w:sz="6" w:space="0" w:color="auto"/>
            </w:tcBorders>
            <w:vAlign w:val="center"/>
            <w:hideMark/>
          </w:tcPr>
          <w:p w14:paraId="7EE27B51"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sz w:val="24"/>
                <w:szCs w:val="24"/>
              </w:rPr>
              <w:t>390,700</w:t>
            </w:r>
          </w:p>
        </w:tc>
        <w:tc>
          <w:tcPr>
            <w:tcW w:w="0" w:type="auto"/>
            <w:tcBorders>
              <w:top w:val="single" w:sz="6" w:space="0" w:color="auto"/>
              <w:left w:val="single" w:sz="6" w:space="0" w:color="auto"/>
              <w:bottom w:val="single" w:sz="6" w:space="0" w:color="auto"/>
              <w:right w:val="single" w:sz="6" w:space="0" w:color="auto"/>
            </w:tcBorders>
            <w:vAlign w:val="center"/>
            <w:hideMark/>
          </w:tcPr>
          <w:p w14:paraId="51A1CC42"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sz w:val="24"/>
                <w:szCs w:val="24"/>
              </w:rPr>
              <w:t>433,700</w:t>
            </w:r>
          </w:p>
        </w:tc>
        <w:tc>
          <w:tcPr>
            <w:tcW w:w="0" w:type="auto"/>
            <w:tcBorders>
              <w:top w:val="single" w:sz="6" w:space="0" w:color="auto"/>
              <w:left w:val="single" w:sz="6" w:space="0" w:color="auto"/>
              <w:bottom w:val="single" w:sz="6" w:space="0" w:color="auto"/>
              <w:right w:val="single" w:sz="6" w:space="0" w:color="auto"/>
            </w:tcBorders>
            <w:vAlign w:val="center"/>
            <w:hideMark/>
          </w:tcPr>
          <w:p w14:paraId="4725E74D"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sz w:val="24"/>
                <w:szCs w:val="24"/>
              </w:rPr>
              <w:t>437,400</w:t>
            </w:r>
          </w:p>
        </w:tc>
        <w:tc>
          <w:tcPr>
            <w:tcW w:w="0" w:type="auto"/>
            <w:tcBorders>
              <w:top w:val="single" w:sz="6" w:space="0" w:color="auto"/>
              <w:left w:val="single" w:sz="6" w:space="0" w:color="auto"/>
              <w:bottom w:val="single" w:sz="6" w:space="0" w:color="auto"/>
              <w:right w:val="single" w:sz="6" w:space="0" w:color="auto"/>
            </w:tcBorders>
            <w:vAlign w:val="center"/>
            <w:hideMark/>
          </w:tcPr>
          <w:p w14:paraId="14276152"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sz w:val="24"/>
                <w:szCs w:val="24"/>
              </w:rPr>
              <w:t>436,200</w:t>
            </w:r>
          </w:p>
        </w:tc>
      </w:tr>
      <w:tr w:rsidR="00DF1561" w:rsidRPr="00C24648" w14:paraId="63D564AB" w14:textId="77777777" w:rsidTr="00DF1561">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7101292D"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b/>
                <w:bCs/>
                <w:sz w:val="24"/>
                <w:szCs w:val="24"/>
              </w:rPr>
              <w:t>Sales Revenue</w:t>
            </w:r>
          </w:p>
        </w:tc>
        <w:tc>
          <w:tcPr>
            <w:tcW w:w="0" w:type="auto"/>
            <w:tcBorders>
              <w:top w:val="single" w:sz="6" w:space="0" w:color="auto"/>
              <w:left w:val="single" w:sz="6" w:space="0" w:color="auto"/>
              <w:bottom w:val="single" w:sz="6" w:space="0" w:color="auto"/>
              <w:right w:val="single" w:sz="6" w:space="0" w:color="auto"/>
            </w:tcBorders>
            <w:vAlign w:val="center"/>
            <w:hideMark/>
          </w:tcPr>
          <w:p w14:paraId="5495A7BF"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sz w:val="24"/>
                <w:szCs w:val="24"/>
              </w:rPr>
              <w:t>250,200</w:t>
            </w:r>
          </w:p>
        </w:tc>
        <w:tc>
          <w:tcPr>
            <w:tcW w:w="0" w:type="auto"/>
            <w:tcBorders>
              <w:top w:val="single" w:sz="6" w:space="0" w:color="auto"/>
              <w:left w:val="single" w:sz="6" w:space="0" w:color="auto"/>
              <w:bottom w:val="single" w:sz="6" w:space="0" w:color="auto"/>
              <w:right w:val="single" w:sz="6" w:space="0" w:color="auto"/>
            </w:tcBorders>
            <w:vAlign w:val="center"/>
            <w:hideMark/>
          </w:tcPr>
          <w:p w14:paraId="0C5122BB"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sz w:val="24"/>
                <w:szCs w:val="24"/>
              </w:rPr>
              <w:t>279,232</w:t>
            </w:r>
          </w:p>
        </w:tc>
        <w:tc>
          <w:tcPr>
            <w:tcW w:w="0" w:type="auto"/>
            <w:tcBorders>
              <w:top w:val="single" w:sz="6" w:space="0" w:color="auto"/>
              <w:left w:val="single" w:sz="6" w:space="0" w:color="auto"/>
              <w:bottom w:val="single" w:sz="6" w:space="0" w:color="auto"/>
              <w:right w:val="single" w:sz="6" w:space="0" w:color="auto"/>
            </w:tcBorders>
            <w:vAlign w:val="center"/>
            <w:hideMark/>
          </w:tcPr>
          <w:p w14:paraId="1FAE1955"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sz w:val="24"/>
                <w:szCs w:val="24"/>
              </w:rPr>
              <w:t>322,284</w:t>
            </w:r>
          </w:p>
        </w:tc>
        <w:tc>
          <w:tcPr>
            <w:tcW w:w="0" w:type="auto"/>
            <w:tcBorders>
              <w:top w:val="single" w:sz="6" w:space="0" w:color="auto"/>
              <w:left w:val="single" w:sz="6" w:space="0" w:color="auto"/>
              <w:bottom w:val="single" w:sz="6" w:space="0" w:color="auto"/>
              <w:right w:val="single" w:sz="6" w:space="0" w:color="auto"/>
            </w:tcBorders>
            <w:vAlign w:val="center"/>
            <w:hideMark/>
          </w:tcPr>
          <w:p w14:paraId="750E8A99"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sz w:val="24"/>
                <w:szCs w:val="24"/>
              </w:rPr>
              <w:t>324,700</w:t>
            </w:r>
          </w:p>
        </w:tc>
        <w:tc>
          <w:tcPr>
            <w:tcW w:w="0" w:type="auto"/>
            <w:tcBorders>
              <w:top w:val="single" w:sz="6" w:space="0" w:color="auto"/>
              <w:left w:val="single" w:sz="6" w:space="0" w:color="auto"/>
              <w:bottom w:val="single" w:sz="6" w:space="0" w:color="auto"/>
              <w:right w:val="single" w:sz="6" w:space="0" w:color="auto"/>
            </w:tcBorders>
            <w:vAlign w:val="center"/>
            <w:hideMark/>
          </w:tcPr>
          <w:p w14:paraId="49E7FCAD"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sz w:val="24"/>
                <w:szCs w:val="24"/>
              </w:rPr>
              <w:t>321,900</w:t>
            </w:r>
          </w:p>
        </w:tc>
      </w:tr>
    </w:tbl>
    <w:p w14:paraId="648FA77D" w14:textId="23D2A1F0" w:rsidR="00D017A1" w:rsidRDefault="00D017A1" w:rsidP="00897448">
      <w:pPr>
        <w:jc w:val="center"/>
      </w:pPr>
      <w:bookmarkStart w:id="27" w:name="_Toc227347045"/>
      <w:r>
        <w:rPr>
          <w:noProof/>
        </w:rPr>
        <w:drawing>
          <wp:inline distT="0" distB="0" distL="0" distR="0" wp14:anchorId="7FA0F9C7" wp14:editId="2F4A1447">
            <wp:extent cx="3257133" cy="1957890"/>
            <wp:effectExtent l="0" t="0" r="635" b="444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261039" cy="1960238"/>
                    </a:xfrm>
                    <a:prstGeom prst="rect">
                      <a:avLst/>
                    </a:prstGeom>
                    <a:noFill/>
                  </pic:spPr>
                </pic:pic>
              </a:graphicData>
            </a:graphic>
          </wp:inline>
        </w:drawing>
      </w:r>
    </w:p>
    <w:p w14:paraId="767E28B8" w14:textId="752014C5" w:rsidR="00D017A1" w:rsidRPr="00897448" w:rsidRDefault="00D017A1" w:rsidP="00897448">
      <w:pPr>
        <w:jc w:val="both"/>
        <w:rPr>
          <w:rFonts w:ascii="Arial" w:hAnsi="Arial" w:cs="Arial"/>
          <w:sz w:val="24"/>
          <w:szCs w:val="24"/>
        </w:rPr>
      </w:pPr>
      <w:r w:rsidRPr="00897448">
        <w:rPr>
          <w:rFonts w:ascii="Arial" w:hAnsi="Arial" w:cs="Arial"/>
          <w:sz w:val="24"/>
          <w:szCs w:val="24"/>
        </w:rPr>
        <w:t>Graph 7: A declining trend in cash flow strength ratios, indicating weakening capacity to generate cash relative to liabilities.</w:t>
      </w:r>
    </w:p>
    <w:p w14:paraId="45F5B88E" w14:textId="77777777" w:rsidR="00D017A1" w:rsidRDefault="00D017A1" w:rsidP="000326CF">
      <w:pPr>
        <w:pStyle w:val="Heading2"/>
        <w:spacing w:before="0" w:line="360" w:lineRule="auto"/>
        <w:contextualSpacing/>
        <w:jc w:val="both"/>
        <w:rPr>
          <w:rFonts w:ascii="Arial" w:hAnsi="Arial" w:cs="Arial"/>
          <w:sz w:val="24"/>
          <w:szCs w:val="24"/>
        </w:rPr>
      </w:pPr>
    </w:p>
    <w:p w14:paraId="5B849854" w14:textId="0F68141B" w:rsidR="00DF1561" w:rsidRPr="00C24648" w:rsidRDefault="00DF1561" w:rsidP="000326CF">
      <w:pPr>
        <w:pStyle w:val="Heading2"/>
        <w:spacing w:before="0" w:line="360" w:lineRule="auto"/>
        <w:contextualSpacing/>
        <w:jc w:val="both"/>
        <w:rPr>
          <w:rFonts w:ascii="Arial" w:hAnsi="Arial" w:cs="Arial"/>
          <w:sz w:val="24"/>
          <w:szCs w:val="24"/>
        </w:rPr>
      </w:pPr>
      <w:r w:rsidRPr="00C24648">
        <w:rPr>
          <w:rFonts w:ascii="Arial" w:hAnsi="Arial" w:cs="Arial"/>
          <w:sz w:val="24"/>
          <w:szCs w:val="24"/>
        </w:rPr>
        <w:t>Investment Appraisal Calculations</w:t>
      </w:r>
      <w:bookmarkEnd w:id="27"/>
    </w:p>
    <w:p w14:paraId="08D4C13C"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sz w:val="24"/>
          <w:szCs w:val="24"/>
        </w:rPr>
        <w:t>1. Net Present Value (NPV) &amp; Profitability Index (PI)</w:t>
      </w:r>
    </w:p>
    <w:p w14:paraId="6505D1CB" w14:textId="77777777" w:rsidR="00DF1561" w:rsidRPr="00C24648" w:rsidRDefault="00DF1561" w:rsidP="00C24648">
      <w:pPr>
        <w:pStyle w:val="NormalWeb"/>
        <w:spacing w:before="0" w:beforeAutospacing="0" w:after="0" w:afterAutospacing="0" w:line="360" w:lineRule="auto"/>
        <w:contextualSpacing/>
        <w:jc w:val="both"/>
        <w:rPr>
          <w:rFonts w:ascii="Arial" w:hAnsi="Arial" w:cs="Arial"/>
        </w:rPr>
      </w:pPr>
      <w:r w:rsidRPr="00C24648">
        <w:rPr>
          <w:rFonts w:ascii="Arial" w:hAnsi="Arial" w:cs="Arial"/>
          <w:b/>
          <w:bCs/>
        </w:rPr>
        <w:t>Assumptions:</w:t>
      </w:r>
      <w:r w:rsidRPr="00C24648">
        <w:rPr>
          <w:rFonts w:ascii="Arial" w:hAnsi="Arial" w:cs="Arial"/>
        </w:rPr>
        <w:t xml:space="preserve"> Discount Rate (</w:t>
      </w:r>
      <w:r w:rsidRPr="00C24648">
        <w:rPr>
          <w:rStyle w:val="math-inline"/>
          <w:rFonts w:ascii="Arial" w:hAnsi="Arial" w:cs="Arial"/>
        </w:rPr>
        <w:t>$r$</w:t>
      </w:r>
      <w:r w:rsidRPr="00C24648">
        <w:rPr>
          <w:rFonts w:ascii="Arial" w:hAnsi="Arial" w:cs="Arial"/>
        </w:rPr>
        <w:t>) = 10% (0.10). Initial Investment (</w:t>
      </w:r>
      <w:r w:rsidRPr="00C24648">
        <w:rPr>
          <w:rStyle w:val="math-inline"/>
          <w:rFonts w:ascii="Arial" w:hAnsi="Arial" w:cs="Arial"/>
        </w:rPr>
        <w:t>$I_0$</w:t>
      </w:r>
      <w:r w:rsidRPr="00C24648">
        <w:rPr>
          <w:rFonts w:ascii="Arial" w:hAnsi="Arial" w:cs="Arial"/>
        </w:rPr>
        <w:t>) = £50m.</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83"/>
        <w:gridCol w:w="1623"/>
        <w:gridCol w:w="1266"/>
        <w:gridCol w:w="984"/>
        <w:gridCol w:w="1272"/>
        <w:gridCol w:w="984"/>
        <w:gridCol w:w="1272"/>
        <w:gridCol w:w="1060"/>
      </w:tblGrid>
      <w:tr w:rsidR="00DF1561" w:rsidRPr="00C24648" w14:paraId="67F6D3FF" w14:textId="77777777" w:rsidTr="00DF1561">
        <w:trPr>
          <w:tblHeade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2B4E3F06" w14:textId="77777777" w:rsidR="00DF1561" w:rsidRPr="00C24648" w:rsidRDefault="00DF1561" w:rsidP="00C24648">
            <w:pPr>
              <w:spacing w:after="0" w:line="360" w:lineRule="auto"/>
              <w:contextualSpacing/>
              <w:jc w:val="both"/>
              <w:rPr>
                <w:rFonts w:ascii="Arial" w:hAnsi="Arial" w:cs="Arial"/>
                <w:sz w:val="24"/>
                <w:szCs w:val="24"/>
              </w:rPr>
            </w:pPr>
            <w:r w:rsidRPr="00C24648">
              <w:rPr>
                <w:rStyle w:val="Strong"/>
                <w:rFonts w:ascii="Arial" w:hAnsi="Arial" w:cs="Arial"/>
                <w:sz w:val="24"/>
                <w:szCs w:val="24"/>
              </w:rPr>
              <w:t>Year</w:t>
            </w:r>
          </w:p>
        </w:tc>
        <w:tc>
          <w:tcPr>
            <w:tcW w:w="0" w:type="auto"/>
            <w:tcBorders>
              <w:top w:val="single" w:sz="6" w:space="0" w:color="auto"/>
              <w:left w:val="single" w:sz="6" w:space="0" w:color="auto"/>
              <w:bottom w:val="single" w:sz="6" w:space="0" w:color="auto"/>
              <w:right w:val="single" w:sz="6" w:space="0" w:color="auto"/>
            </w:tcBorders>
            <w:vAlign w:val="center"/>
            <w:hideMark/>
          </w:tcPr>
          <w:p w14:paraId="73D4A0B1" w14:textId="77777777" w:rsidR="00DF1561" w:rsidRPr="00C24648" w:rsidRDefault="00DF1561" w:rsidP="00C24648">
            <w:pPr>
              <w:spacing w:after="0" w:line="360" w:lineRule="auto"/>
              <w:contextualSpacing/>
              <w:jc w:val="both"/>
              <w:rPr>
                <w:rFonts w:ascii="Arial" w:hAnsi="Arial" w:cs="Arial"/>
                <w:sz w:val="24"/>
                <w:szCs w:val="24"/>
              </w:rPr>
            </w:pPr>
            <w:r w:rsidRPr="00C24648">
              <w:rPr>
                <w:rStyle w:val="Strong"/>
                <w:rFonts w:ascii="Arial" w:hAnsi="Arial" w:cs="Arial"/>
                <w:sz w:val="24"/>
                <w:szCs w:val="24"/>
              </w:rPr>
              <w:t>Discount Factor (1.10)−t</w:t>
            </w:r>
          </w:p>
        </w:tc>
        <w:tc>
          <w:tcPr>
            <w:tcW w:w="0" w:type="auto"/>
            <w:tcBorders>
              <w:top w:val="single" w:sz="6" w:space="0" w:color="auto"/>
              <w:left w:val="single" w:sz="6" w:space="0" w:color="auto"/>
              <w:bottom w:val="single" w:sz="6" w:space="0" w:color="auto"/>
              <w:right w:val="single" w:sz="6" w:space="0" w:color="auto"/>
            </w:tcBorders>
            <w:vAlign w:val="center"/>
            <w:hideMark/>
          </w:tcPr>
          <w:p w14:paraId="3F25AC7F" w14:textId="77777777" w:rsidR="00DF1561" w:rsidRPr="00C24648" w:rsidRDefault="00DF1561" w:rsidP="00C24648">
            <w:pPr>
              <w:spacing w:after="0" w:line="360" w:lineRule="auto"/>
              <w:contextualSpacing/>
              <w:jc w:val="both"/>
              <w:rPr>
                <w:rFonts w:ascii="Arial" w:hAnsi="Arial" w:cs="Arial"/>
                <w:sz w:val="24"/>
                <w:szCs w:val="24"/>
              </w:rPr>
            </w:pPr>
            <w:r w:rsidRPr="00C24648">
              <w:rPr>
                <w:rStyle w:val="Strong"/>
                <w:rFonts w:ascii="Arial" w:hAnsi="Arial" w:cs="Arial"/>
                <w:sz w:val="24"/>
                <w:szCs w:val="24"/>
              </w:rPr>
              <w:t>Project A (Cash)</w:t>
            </w:r>
          </w:p>
        </w:tc>
        <w:tc>
          <w:tcPr>
            <w:tcW w:w="0" w:type="auto"/>
            <w:tcBorders>
              <w:top w:val="single" w:sz="6" w:space="0" w:color="auto"/>
              <w:left w:val="single" w:sz="6" w:space="0" w:color="auto"/>
              <w:bottom w:val="single" w:sz="6" w:space="0" w:color="auto"/>
              <w:right w:val="single" w:sz="6" w:space="0" w:color="auto"/>
            </w:tcBorders>
            <w:vAlign w:val="center"/>
            <w:hideMark/>
          </w:tcPr>
          <w:p w14:paraId="23576A44" w14:textId="77777777" w:rsidR="00DF1561" w:rsidRPr="00C24648" w:rsidRDefault="00DF1561" w:rsidP="00C24648">
            <w:pPr>
              <w:spacing w:after="0" w:line="360" w:lineRule="auto"/>
              <w:contextualSpacing/>
              <w:jc w:val="both"/>
              <w:rPr>
                <w:rFonts w:ascii="Arial" w:hAnsi="Arial" w:cs="Arial"/>
                <w:sz w:val="24"/>
                <w:szCs w:val="24"/>
              </w:rPr>
            </w:pPr>
            <w:r w:rsidRPr="00C24648">
              <w:rPr>
                <w:rStyle w:val="Strong"/>
                <w:rFonts w:ascii="Arial" w:hAnsi="Arial" w:cs="Arial"/>
                <w:sz w:val="24"/>
                <w:szCs w:val="24"/>
              </w:rPr>
              <w:t>PV (A)</w:t>
            </w:r>
          </w:p>
        </w:tc>
        <w:tc>
          <w:tcPr>
            <w:tcW w:w="0" w:type="auto"/>
            <w:tcBorders>
              <w:top w:val="single" w:sz="6" w:space="0" w:color="auto"/>
              <w:left w:val="single" w:sz="6" w:space="0" w:color="auto"/>
              <w:bottom w:val="single" w:sz="6" w:space="0" w:color="auto"/>
              <w:right w:val="single" w:sz="6" w:space="0" w:color="auto"/>
            </w:tcBorders>
            <w:vAlign w:val="center"/>
            <w:hideMark/>
          </w:tcPr>
          <w:p w14:paraId="6B947C48" w14:textId="77777777" w:rsidR="00DF1561" w:rsidRPr="00C24648" w:rsidRDefault="00DF1561" w:rsidP="00C24648">
            <w:pPr>
              <w:spacing w:after="0" w:line="360" w:lineRule="auto"/>
              <w:contextualSpacing/>
              <w:jc w:val="both"/>
              <w:rPr>
                <w:rFonts w:ascii="Arial" w:hAnsi="Arial" w:cs="Arial"/>
                <w:sz w:val="24"/>
                <w:szCs w:val="24"/>
              </w:rPr>
            </w:pPr>
            <w:r w:rsidRPr="00C24648">
              <w:rPr>
                <w:rStyle w:val="Strong"/>
                <w:rFonts w:ascii="Arial" w:hAnsi="Arial" w:cs="Arial"/>
                <w:sz w:val="24"/>
                <w:szCs w:val="24"/>
              </w:rPr>
              <w:t>Project B (Cash)</w:t>
            </w:r>
          </w:p>
        </w:tc>
        <w:tc>
          <w:tcPr>
            <w:tcW w:w="0" w:type="auto"/>
            <w:tcBorders>
              <w:top w:val="single" w:sz="6" w:space="0" w:color="auto"/>
              <w:left w:val="single" w:sz="6" w:space="0" w:color="auto"/>
              <w:bottom w:val="single" w:sz="6" w:space="0" w:color="auto"/>
              <w:right w:val="single" w:sz="6" w:space="0" w:color="auto"/>
            </w:tcBorders>
            <w:vAlign w:val="center"/>
            <w:hideMark/>
          </w:tcPr>
          <w:p w14:paraId="3A70BE3B" w14:textId="77777777" w:rsidR="00DF1561" w:rsidRPr="00C24648" w:rsidRDefault="00DF1561" w:rsidP="00C24648">
            <w:pPr>
              <w:spacing w:after="0" w:line="360" w:lineRule="auto"/>
              <w:contextualSpacing/>
              <w:jc w:val="both"/>
              <w:rPr>
                <w:rFonts w:ascii="Arial" w:hAnsi="Arial" w:cs="Arial"/>
                <w:sz w:val="24"/>
                <w:szCs w:val="24"/>
              </w:rPr>
            </w:pPr>
            <w:r w:rsidRPr="00C24648">
              <w:rPr>
                <w:rStyle w:val="Strong"/>
                <w:rFonts w:ascii="Arial" w:hAnsi="Arial" w:cs="Arial"/>
                <w:sz w:val="24"/>
                <w:szCs w:val="24"/>
              </w:rPr>
              <w:t>PV (B)</w:t>
            </w:r>
          </w:p>
        </w:tc>
        <w:tc>
          <w:tcPr>
            <w:tcW w:w="0" w:type="auto"/>
            <w:tcBorders>
              <w:top w:val="single" w:sz="6" w:space="0" w:color="auto"/>
              <w:left w:val="single" w:sz="6" w:space="0" w:color="auto"/>
              <w:bottom w:val="single" w:sz="6" w:space="0" w:color="auto"/>
              <w:right w:val="single" w:sz="6" w:space="0" w:color="auto"/>
            </w:tcBorders>
            <w:vAlign w:val="center"/>
            <w:hideMark/>
          </w:tcPr>
          <w:p w14:paraId="123EC2D1" w14:textId="77777777" w:rsidR="00DF1561" w:rsidRPr="00C24648" w:rsidRDefault="00DF1561" w:rsidP="00C24648">
            <w:pPr>
              <w:spacing w:after="0" w:line="360" w:lineRule="auto"/>
              <w:contextualSpacing/>
              <w:jc w:val="both"/>
              <w:rPr>
                <w:rFonts w:ascii="Arial" w:hAnsi="Arial" w:cs="Arial"/>
                <w:sz w:val="24"/>
                <w:szCs w:val="24"/>
              </w:rPr>
            </w:pPr>
            <w:r w:rsidRPr="00C24648">
              <w:rPr>
                <w:rStyle w:val="Strong"/>
                <w:rFonts w:ascii="Arial" w:hAnsi="Arial" w:cs="Arial"/>
                <w:sz w:val="24"/>
                <w:szCs w:val="24"/>
              </w:rPr>
              <w:t>Project C (Cash)</w:t>
            </w:r>
          </w:p>
        </w:tc>
        <w:tc>
          <w:tcPr>
            <w:tcW w:w="0" w:type="auto"/>
            <w:tcBorders>
              <w:top w:val="single" w:sz="6" w:space="0" w:color="auto"/>
              <w:left w:val="single" w:sz="6" w:space="0" w:color="auto"/>
              <w:bottom w:val="single" w:sz="6" w:space="0" w:color="auto"/>
              <w:right w:val="single" w:sz="6" w:space="0" w:color="auto"/>
            </w:tcBorders>
            <w:vAlign w:val="center"/>
            <w:hideMark/>
          </w:tcPr>
          <w:p w14:paraId="0CC47630" w14:textId="77777777" w:rsidR="00DF1561" w:rsidRPr="00C24648" w:rsidRDefault="00DF1561" w:rsidP="00C24648">
            <w:pPr>
              <w:spacing w:after="0" w:line="360" w:lineRule="auto"/>
              <w:contextualSpacing/>
              <w:jc w:val="both"/>
              <w:rPr>
                <w:rFonts w:ascii="Arial" w:hAnsi="Arial" w:cs="Arial"/>
                <w:sz w:val="24"/>
                <w:szCs w:val="24"/>
              </w:rPr>
            </w:pPr>
            <w:r w:rsidRPr="00C24648">
              <w:rPr>
                <w:rStyle w:val="Strong"/>
                <w:rFonts w:ascii="Arial" w:hAnsi="Arial" w:cs="Arial"/>
                <w:sz w:val="24"/>
                <w:szCs w:val="24"/>
              </w:rPr>
              <w:t>PV (C)</w:t>
            </w:r>
          </w:p>
        </w:tc>
      </w:tr>
      <w:tr w:rsidR="00DF1561" w:rsidRPr="00C24648" w14:paraId="649519CE" w14:textId="77777777" w:rsidTr="00DF1561">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032FBF33"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sz w:val="24"/>
                <w:szCs w:val="24"/>
              </w:rPr>
              <w:t>0</w:t>
            </w:r>
          </w:p>
        </w:tc>
        <w:tc>
          <w:tcPr>
            <w:tcW w:w="0" w:type="auto"/>
            <w:tcBorders>
              <w:top w:val="single" w:sz="6" w:space="0" w:color="auto"/>
              <w:left w:val="single" w:sz="6" w:space="0" w:color="auto"/>
              <w:bottom w:val="single" w:sz="6" w:space="0" w:color="auto"/>
              <w:right w:val="single" w:sz="6" w:space="0" w:color="auto"/>
            </w:tcBorders>
            <w:vAlign w:val="center"/>
            <w:hideMark/>
          </w:tcPr>
          <w:p w14:paraId="59C6A7AC"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sz w:val="24"/>
                <w:szCs w:val="24"/>
              </w:rPr>
              <w:t>1.000</w:t>
            </w:r>
          </w:p>
        </w:tc>
        <w:tc>
          <w:tcPr>
            <w:tcW w:w="0" w:type="auto"/>
            <w:tcBorders>
              <w:top w:val="single" w:sz="6" w:space="0" w:color="auto"/>
              <w:left w:val="single" w:sz="6" w:space="0" w:color="auto"/>
              <w:bottom w:val="single" w:sz="6" w:space="0" w:color="auto"/>
              <w:right w:val="single" w:sz="6" w:space="0" w:color="auto"/>
            </w:tcBorders>
            <w:vAlign w:val="center"/>
            <w:hideMark/>
          </w:tcPr>
          <w:p w14:paraId="351B4868"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sz w:val="24"/>
                <w:szCs w:val="24"/>
              </w:rPr>
              <w:t>(£50.00)</w:t>
            </w:r>
          </w:p>
        </w:tc>
        <w:tc>
          <w:tcPr>
            <w:tcW w:w="0" w:type="auto"/>
            <w:tcBorders>
              <w:top w:val="single" w:sz="6" w:space="0" w:color="auto"/>
              <w:left w:val="single" w:sz="6" w:space="0" w:color="auto"/>
              <w:bottom w:val="single" w:sz="6" w:space="0" w:color="auto"/>
              <w:right w:val="single" w:sz="6" w:space="0" w:color="auto"/>
            </w:tcBorders>
            <w:vAlign w:val="center"/>
            <w:hideMark/>
          </w:tcPr>
          <w:p w14:paraId="72B57CDE"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sz w:val="24"/>
                <w:szCs w:val="24"/>
              </w:rPr>
              <w:t>(£50.00)</w:t>
            </w:r>
          </w:p>
        </w:tc>
        <w:tc>
          <w:tcPr>
            <w:tcW w:w="0" w:type="auto"/>
            <w:tcBorders>
              <w:top w:val="single" w:sz="6" w:space="0" w:color="auto"/>
              <w:left w:val="single" w:sz="6" w:space="0" w:color="auto"/>
              <w:bottom w:val="single" w:sz="6" w:space="0" w:color="auto"/>
              <w:right w:val="single" w:sz="6" w:space="0" w:color="auto"/>
            </w:tcBorders>
            <w:vAlign w:val="center"/>
            <w:hideMark/>
          </w:tcPr>
          <w:p w14:paraId="37844E9B"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sz w:val="24"/>
                <w:szCs w:val="24"/>
              </w:rPr>
              <w:t>(£50.00)</w:t>
            </w:r>
          </w:p>
        </w:tc>
        <w:tc>
          <w:tcPr>
            <w:tcW w:w="0" w:type="auto"/>
            <w:tcBorders>
              <w:top w:val="single" w:sz="6" w:space="0" w:color="auto"/>
              <w:left w:val="single" w:sz="6" w:space="0" w:color="auto"/>
              <w:bottom w:val="single" w:sz="6" w:space="0" w:color="auto"/>
              <w:right w:val="single" w:sz="6" w:space="0" w:color="auto"/>
            </w:tcBorders>
            <w:vAlign w:val="center"/>
            <w:hideMark/>
          </w:tcPr>
          <w:p w14:paraId="69C850D2"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sz w:val="24"/>
                <w:szCs w:val="24"/>
              </w:rPr>
              <w:t>(£50.00)</w:t>
            </w:r>
          </w:p>
        </w:tc>
        <w:tc>
          <w:tcPr>
            <w:tcW w:w="0" w:type="auto"/>
            <w:tcBorders>
              <w:top w:val="single" w:sz="6" w:space="0" w:color="auto"/>
              <w:left w:val="single" w:sz="6" w:space="0" w:color="auto"/>
              <w:bottom w:val="single" w:sz="6" w:space="0" w:color="auto"/>
              <w:right w:val="single" w:sz="6" w:space="0" w:color="auto"/>
            </w:tcBorders>
            <w:vAlign w:val="center"/>
            <w:hideMark/>
          </w:tcPr>
          <w:p w14:paraId="44D17130"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sz w:val="24"/>
                <w:szCs w:val="24"/>
              </w:rPr>
              <w:t>(£50.00)</w:t>
            </w:r>
          </w:p>
        </w:tc>
        <w:tc>
          <w:tcPr>
            <w:tcW w:w="0" w:type="auto"/>
            <w:tcBorders>
              <w:top w:val="single" w:sz="6" w:space="0" w:color="auto"/>
              <w:left w:val="single" w:sz="6" w:space="0" w:color="auto"/>
              <w:bottom w:val="single" w:sz="6" w:space="0" w:color="auto"/>
              <w:right w:val="single" w:sz="6" w:space="0" w:color="auto"/>
            </w:tcBorders>
            <w:vAlign w:val="center"/>
            <w:hideMark/>
          </w:tcPr>
          <w:p w14:paraId="31F023AB"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sz w:val="24"/>
                <w:szCs w:val="24"/>
              </w:rPr>
              <w:t>(£50.00)</w:t>
            </w:r>
          </w:p>
        </w:tc>
      </w:tr>
      <w:tr w:rsidR="00DF1561" w:rsidRPr="00C24648" w14:paraId="3419CE2B" w14:textId="77777777" w:rsidTr="00DF1561">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470BE700"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sz w:val="24"/>
                <w:szCs w:val="24"/>
              </w:rPr>
              <w:t>1</w:t>
            </w:r>
          </w:p>
        </w:tc>
        <w:tc>
          <w:tcPr>
            <w:tcW w:w="0" w:type="auto"/>
            <w:tcBorders>
              <w:top w:val="single" w:sz="6" w:space="0" w:color="auto"/>
              <w:left w:val="single" w:sz="6" w:space="0" w:color="auto"/>
              <w:bottom w:val="single" w:sz="6" w:space="0" w:color="auto"/>
              <w:right w:val="single" w:sz="6" w:space="0" w:color="auto"/>
            </w:tcBorders>
            <w:vAlign w:val="center"/>
            <w:hideMark/>
          </w:tcPr>
          <w:p w14:paraId="2EA9CBCF"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sz w:val="24"/>
                <w:szCs w:val="24"/>
              </w:rPr>
              <w:t>0.9091</w:t>
            </w:r>
          </w:p>
        </w:tc>
        <w:tc>
          <w:tcPr>
            <w:tcW w:w="0" w:type="auto"/>
            <w:tcBorders>
              <w:top w:val="single" w:sz="6" w:space="0" w:color="auto"/>
              <w:left w:val="single" w:sz="6" w:space="0" w:color="auto"/>
              <w:bottom w:val="single" w:sz="6" w:space="0" w:color="auto"/>
              <w:right w:val="single" w:sz="6" w:space="0" w:color="auto"/>
            </w:tcBorders>
            <w:vAlign w:val="center"/>
            <w:hideMark/>
          </w:tcPr>
          <w:p w14:paraId="42FC91C0"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sz w:val="24"/>
                <w:szCs w:val="24"/>
              </w:rPr>
              <w:t>£10.00</w:t>
            </w:r>
          </w:p>
        </w:tc>
        <w:tc>
          <w:tcPr>
            <w:tcW w:w="0" w:type="auto"/>
            <w:tcBorders>
              <w:top w:val="single" w:sz="6" w:space="0" w:color="auto"/>
              <w:left w:val="single" w:sz="6" w:space="0" w:color="auto"/>
              <w:bottom w:val="single" w:sz="6" w:space="0" w:color="auto"/>
              <w:right w:val="single" w:sz="6" w:space="0" w:color="auto"/>
            </w:tcBorders>
            <w:vAlign w:val="center"/>
            <w:hideMark/>
          </w:tcPr>
          <w:p w14:paraId="6E704C83"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sz w:val="24"/>
                <w:szCs w:val="24"/>
              </w:rPr>
              <w:t>£9.09</w:t>
            </w:r>
          </w:p>
        </w:tc>
        <w:tc>
          <w:tcPr>
            <w:tcW w:w="0" w:type="auto"/>
            <w:tcBorders>
              <w:top w:val="single" w:sz="6" w:space="0" w:color="auto"/>
              <w:left w:val="single" w:sz="6" w:space="0" w:color="auto"/>
              <w:bottom w:val="single" w:sz="6" w:space="0" w:color="auto"/>
              <w:right w:val="single" w:sz="6" w:space="0" w:color="auto"/>
            </w:tcBorders>
            <w:vAlign w:val="center"/>
            <w:hideMark/>
          </w:tcPr>
          <w:p w14:paraId="65342EA8"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sz w:val="24"/>
                <w:szCs w:val="24"/>
              </w:rPr>
              <w:t>£11.00</w:t>
            </w:r>
          </w:p>
        </w:tc>
        <w:tc>
          <w:tcPr>
            <w:tcW w:w="0" w:type="auto"/>
            <w:tcBorders>
              <w:top w:val="single" w:sz="6" w:space="0" w:color="auto"/>
              <w:left w:val="single" w:sz="6" w:space="0" w:color="auto"/>
              <w:bottom w:val="single" w:sz="6" w:space="0" w:color="auto"/>
              <w:right w:val="single" w:sz="6" w:space="0" w:color="auto"/>
            </w:tcBorders>
            <w:vAlign w:val="center"/>
            <w:hideMark/>
          </w:tcPr>
          <w:p w14:paraId="1DEEC09E"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sz w:val="24"/>
                <w:szCs w:val="24"/>
              </w:rPr>
              <w:t>£10.00</w:t>
            </w:r>
          </w:p>
        </w:tc>
        <w:tc>
          <w:tcPr>
            <w:tcW w:w="0" w:type="auto"/>
            <w:tcBorders>
              <w:top w:val="single" w:sz="6" w:space="0" w:color="auto"/>
              <w:left w:val="single" w:sz="6" w:space="0" w:color="auto"/>
              <w:bottom w:val="single" w:sz="6" w:space="0" w:color="auto"/>
              <w:right w:val="single" w:sz="6" w:space="0" w:color="auto"/>
            </w:tcBorders>
            <w:vAlign w:val="center"/>
            <w:hideMark/>
          </w:tcPr>
          <w:p w14:paraId="6B604237"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sz w:val="24"/>
                <w:szCs w:val="24"/>
              </w:rPr>
              <w:t>£5.00</w:t>
            </w:r>
          </w:p>
        </w:tc>
        <w:tc>
          <w:tcPr>
            <w:tcW w:w="0" w:type="auto"/>
            <w:tcBorders>
              <w:top w:val="single" w:sz="6" w:space="0" w:color="auto"/>
              <w:left w:val="single" w:sz="6" w:space="0" w:color="auto"/>
              <w:bottom w:val="single" w:sz="6" w:space="0" w:color="auto"/>
              <w:right w:val="single" w:sz="6" w:space="0" w:color="auto"/>
            </w:tcBorders>
            <w:vAlign w:val="center"/>
            <w:hideMark/>
          </w:tcPr>
          <w:p w14:paraId="66D9297F"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sz w:val="24"/>
                <w:szCs w:val="24"/>
              </w:rPr>
              <w:t>£4.55</w:t>
            </w:r>
          </w:p>
        </w:tc>
      </w:tr>
      <w:tr w:rsidR="00DF1561" w:rsidRPr="00C24648" w14:paraId="582751A0" w14:textId="77777777" w:rsidTr="00DF1561">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5D072A13"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sz w:val="24"/>
                <w:szCs w:val="24"/>
              </w:rPr>
              <w:t>2</w:t>
            </w:r>
          </w:p>
        </w:tc>
        <w:tc>
          <w:tcPr>
            <w:tcW w:w="0" w:type="auto"/>
            <w:tcBorders>
              <w:top w:val="single" w:sz="6" w:space="0" w:color="auto"/>
              <w:left w:val="single" w:sz="6" w:space="0" w:color="auto"/>
              <w:bottom w:val="single" w:sz="6" w:space="0" w:color="auto"/>
              <w:right w:val="single" w:sz="6" w:space="0" w:color="auto"/>
            </w:tcBorders>
            <w:vAlign w:val="center"/>
            <w:hideMark/>
          </w:tcPr>
          <w:p w14:paraId="76E60EAA"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sz w:val="24"/>
                <w:szCs w:val="24"/>
              </w:rPr>
              <w:t>0.8264</w:t>
            </w:r>
          </w:p>
        </w:tc>
        <w:tc>
          <w:tcPr>
            <w:tcW w:w="0" w:type="auto"/>
            <w:tcBorders>
              <w:top w:val="single" w:sz="6" w:space="0" w:color="auto"/>
              <w:left w:val="single" w:sz="6" w:space="0" w:color="auto"/>
              <w:bottom w:val="single" w:sz="6" w:space="0" w:color="auto"/>
              <w:right w:val="single" w:sz="6" w:space="0" w:color="auto"/>
            </w:tcBorders>
            <w:vAlign w:val="center"/>
            <w:hideMark/>
          </w:tcPr>
          <w:p w14:paraId="72CD81F2"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sz w:val="24"/>
                <w:szCs w:val="24"/>
              </w:rPr>
              <w:t>£12.00</w:t>
            </w:r>
          </w:p>
        </w:tc>
        <w:tc>
          <w:tcPr>
            <w:tcW w:w="0" w:type="auto"/>
            <w:tcBorders>
              <w:top w:val="single" w:sz="6" w:space="0" w:color="auto"/>
              <w:left w:val="single" w:sz="6" w:space="0" w:color="auto"/>
              <w:bottom w:val="single" w:sz="6" w:space="0" w:color="auto"/>
              <w:right w:val="single" w:sz="6" w:space="0" w:color="auto"/>
            </w:tcBorders>
            <w:vAlign w:val="center"/>
            <w:hideMark/>
          </w:tcPr>
          <w:p w14:paraId="50FF1A39"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sz w:val="24"/>
                <w:szCs w:val="24"/>
              </w:rPr>
              <w:t>£9.92</w:t>
            </w:r>
          </w:p>
        </w:tc>
        <w:tc>
          <w:tcPr>
            <w:tcW w:w="0" w:type="auto"/>
            <w:tcBorders>
              <w:top w:val="single" w:sz="6" w:space="0" w:color="auto"/>
              <w:left w:val="single" w:sz="6" w:space="0" w:color="auto"/>
              <w:bottom w:val="single" w:sz="6" w:space="0" w:color="auto"/>
              <w:right w:val="single" w:sz="6" w:space="0" w:color="auto"/>
            </w:tcBorders>
            <w:vAlign w:val="center"/>
            <w:hideMark/>
          </w:tcPr>
          <w:p w14:paraId="659DD98B"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sz w:val="24"/>
                <w:szCs w:val="24"/>
              </w:rPr>
              <w:t>£11.00</w:t>
            </w:r>
          </w:p>
        </w:tc>
        <w:tc>
          <w:tcPr>
            <w:tcW w:w="0" w:type="auto"/>
            <w:tcBorders>
              <w:top w:val="single" w:sz="6" w:space="0" w:color="auto"/>
              <w:left w:val="single" w:sz="6" w:space="0" w:color="auto"/>
              <w:bottom w:val="single" w:sz="6" w:space="0" w:color="auto"/>
              <w:right w:val="single" w:sz="6" w:space="0" w:color="auto"/>
            </w:tcBorders>
            <w:vAlign w:val="center"/>
            <w:hideMark/>
          </w:tcPr>
          <w:p w14:paraId="73AF855B"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sz w:val="24"/>
                <w:szCs w:val="24"/>
              </w:rPr>
              <w:t>£9.09</w:t>
            </w:r>
          </w:p>
        </w:tc>
        <w:tc>
          <w:tcPr>
            <w:tcW w:w="0" w:type="auto"/>
            <w:tcBorders>
              <w:top w:val="single" w:sz="6" w:space="0" w:color="auto"/>
              <w:left w:val="single" w:sz="6" w:space="0" w:color="auto"/>
              <w:bottom w:val="single" w:sz="6" w:space="0" w:color="auto"/>
              <w:right w:val="single" w:sz="6" w:space="0" w:color="auto"/>
            </w:tcBorders>
            <w:vAlign w:val="center"/>
            <w:hideMark/>
          </w:tcPr>
          <w:p w14:paraId="2F9BE86C"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sz w:val="24"/>
                <w:szCs w:val="24"/>
              </w:rPr>
              <w:t>£10.00</w:t>
            </w:r>
          </w:p>
        </w:tc>
        <w:tc>
          <w:tcPr>
            <w:tcW w:w="0" w:type="auto"/>
            <w:tcBorders>
              <w:top w:val="single" w:sz="6" w:space="0" w:color="auto"/>
              <w:left w:val="single" w:sz="6" w:space="0" w:color="auto"/>
              <w:bottom w:val="single" w:sz="6" w:space="0" w:color="auto"/>
              <w:right w:val="single" w:sz="6" w:space="0" w:color="auto"/>
            </w:tcBorders>
            <w:vAlign w:val="center"/>
            <w:hideMark/>
          </w:tcPr>
          <w:p w14:paraId="0B305486"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sz w:val="24"/>
                <w:szCs w:val="24"/>
              </w:rPr>
              <w:t>£8.26</w:t>
            </w:r>
          </w:p>
        </w:tc>
      </w:tr>
      <w:tr w:rsidR="00DF1561" w:rsidRPr="00C24648" w14:paraId="0A151339" w14:textId="77777777" w:rsidTr="00DF1561">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777342C2"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sz w:val="24"/>
                <w:szCs w:val="24"/>
              </w:rPr>
              <w:t>3</w:t>
            </w:r>
          </w:p>
        </w:tc>
        <w:tc>
          <w:tcPr>
            <w:tcW w:w="0" w:type="auto"/>
            <w:tcBorders>
              <w:top w:val="single" w:sz="6" w:space="0" w:color="auto"/>
              <w:left w:val="single" w:sz="6" w:space="0" w:color="auto"/>
              <w:bottom w:val="single" w:sz="6" w:space="0" w:color="auto"/>
              <w:right w:val="single" w:sz="6" w:space="0" w:color="auto"/>
            </w:tcBorders>
            <w:vAlign w:val="center"/>
            <w:hideMark/>
          </w:tcPr>
          <w:p w14:paraId="1BD5124D"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sz w:val="24"/>
                <w:szCs w:val="24"/>
              </w:rPr>
              <w:t>0.7513</w:t>
            </w:r>
          </w:p>
        </w:tc>
        <w:tc>
          <w:tcPr>
            <w:tcW w:w="0" w:type="auto"/>
            <w:tcBorders>
              <w:top w:val="single" w:sz="6" w:space="0" w:color="auto"/>
              <w:left w:val="single" w:sz="6" w:space="0" w:color="auto"/>
              <w:bottom w:val="single" w:sz="6" w:space="0" w:color="auto"/>
              <w:right w:val="single" w:sz="6" w:space="0" w:color="auto"/>
            </w:tcBorders>
            <w:vAlign w:val="center"/>
            <w:hideMark/>
          </w:tcPr>
          <w:p w14:paraId="582BD755"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sz w:val="24"/>
                <w:szCs w:val="24"/>
              </w:rPr>
              <w:t>£14.00</w:t>
            </w:r>
          </w:p>
        </w:tc>
        <w:tc>
          <w:tcPr>
            <w:tcW w:w="0" w:type="auto"/>
            <w:tcBorders>
              <w:top w:val="single" w:sz="6" w:space="0" w:color="auto"/>
              <w:left w:val="single" w:sz="6" w:space="0" w:color="auto"/>
              <w:bottom w:val="single" w:sz="6" w:space="0" w:color="auto"/>
              <w:right w:val="single" w:sz="6" w:space="0" w:color="auto"/>
            </w:tcBorders>
            <w:vAlign w:val="center"/>
            <w:hideMark/>
          </w:tcPr>
          <w:p w14:paraId="24F0BD09"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sz w:val="24"/>
                <w:szCs w:val="24"/>
              </w:rPr>
              <w:t>£10.52</w:t>
            </w:r>
          </w:p>
        </w:tc>
        <w:tc>
          <w:tcPr>
            <w:tcW w:w="0" w:type="auto"/>
            <w:tcBorders>
              <w:top w:val="single" w:sz="6" w:space="0" w:color="auto"/>
              <w:left w:val="single" w:sz="6" w:space="0" w:color="auto"/>
              <w:bottom w:val="single" w:sz="6" w:space="0" w:color="auto"/>
              <w:right w:val="single" w:sz="6" w:space="0" w:color="auto"/>
            </w:tcBorders>
            <w:vAlign w:val="center"/>
            <w:hideMark/>
          </w:tcPr>
          <w:p w14:paraId="4290BDFD"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sz w:val="24"/>
                <w:szCs w:val="24"/>
              </w:rPr>
              <w:t>£11.00</w:t>
            </w:r>
          </w:p>
        </w:tc>
        <w:tc>
          <w:tcPr>
            <w:tcW w:w="0" w:type="auto"/>
            <w:tcBorders>
              <w:top w:val="single" w:sz="6" w:space="0" w:color="auto"/>
              <w:left w:val="single" w:sz="6" w:space="0" w:color="auto"/>
              <w:bottom w:val="single" w:sz="6" w:space="0" w:color="auto"/>
              <w:right w:val="single" w:sz="6" w:space="0" w:color="auto"/>
            </w:tcBorders>
            <w:vAlign w:val="center"/>
            <w:hideMark/>
          </w:tcPr>
          <w:p w14:paraId="45D563D5"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sz w:val="24"/>
                <w:szCs w:val="24"/>
              </w:rPr>
              <w:t>£8.26</w:t>
            </w:r>
          </w:p>
        </w:tc>
        <w:tc>
          <w:tcPr>
            <w:tcW w:w="0" w:type="auto"/>
            <w:tcBorders>
              <w:top w:val="single" w:sz="6" w:space="0" w:color="auto"/>
              <w:left w:val="single" w:sz="6" w:space="0" w:color="auto"/>
              <w:bottom w:val="single" w:sz="6" w:space="0" w:color="auto"/>
              <w:right w:val="single" w:sz="6" w:space="0" w:color="auto"/>
            </w:tcBorders>
            <w:vAlign w:val="center"/>
            <w:hideMark/>
          </w:tcPr>
          <w:p w14:paraId="2663C2D0"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sz w:val="24"/>
                <w:szCs w:val="24"/>
              </w:rPr>
              <w:t>£20.00</w:t>
            </w:r>
          </w:p>
        </w:tc>
        <w:tc>
          <w:tcPr>
            <w:tcW w:w="0" w:type="auto"/>
            <w:tcBorders>
              <w:top w:val="single" w:sz="6" w:space="0" w:color="auto"/>
              <w:left w:val="single" w:sz="6" w:space="0" w:color="auto"/>
              <w:bottom w:val="single" w:sz="6" w:space="0" w:color="auto"/>
              <w:right w:val="single" w:sz="6" w:space="0" w:color="auto"/>
            </w:tcBorders>
            <w:vAlign w:val="center"/>
            <w:hideMark/>
          </w:tcPr>
          <w:p w14:paraId="5C3576A2"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sz w:val="24"/>
                <w:szCs w:val="24"/>
              </w:rPr>
              <w:t>£15.03</w:t>
            </w:r>
          </w:p>
        </w:tc>
      </w:tr>
      <w:tr w:rsidR="00DF1561" w:rsidRPr="00C24648" w14:paraId="5233A35D" w14:textId="77777777" w:rsidTr="00DF1561">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658F3A89"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sz w:val="24"/>
                <w:szCs w:val="24"/>
              </w:rPr>
              <w:t>4</w:t>
            </w:r>
          </w:p>
        </w:tc>
        <w:tc>
          <w:tcPr>
            <w:tcW w:w="0" w:type="auto"/>
            <w:tcBorders>
              <w:top w:val="single" w:sz="6" w:space="0" w:color="auto"/>
              <w:left w:val="single" w:sz="6" w:space="0" w:color="auto"/>
              <w:bottom w:val="single" w:sz="6" w:space="0" w:color="auto"/>
              <w:right w:val="single" w:sz="6" w:space="0" w:color="auto"/>
            </w:tcBorders>
            <w:vAlign w:val="center"/>
            <w:hideMark/>
          </w:tcPr>
          <w:p w14:paraId="42C588E3"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sz w:val="24"/>
                <w:szCs w:val="24"/>
              </w:rPr>
              <w:t>0.6830</w:t>
            </w:r>
          </w:p>
        </w:tc>
        <w:tc>
          <w:tcPr>
            <w:tcW w:w="0" w:type="auto"/>
            <w:tcBorders>
              <w:top w:val="single" w:sz="6" w:space="0" w:color="auto"/>
              <w:left w:val="single" w:sz="6" w:space="0" w:color="auto"/>
              <w:bottom w:val="single" w:sz="6" w:space="0" w:color="auto"/>
              <w:right w:val="single" w:sz="6" w:space="0" w:color="auto"/>
            </w:tcBorders>
            <w:vAlign w:val="center"/>
            <w:hideMark/>
          </w:tcPr>
          <w:p w14:paraId="2F21549E"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sz w:val="24"/>
                <w:szCs w:val="24"/>
              </w:rPr>
              <w:t>£10.00</w:t>
            </w:r>
          </w:p>
        </w:tc>
        <w:tc>
          <w:tcPr>
            <w:tcW w:w="0" w:type="auto"/>
            <w:tcBorders>
              <w:top w:val="single" w:sz="6" w:space="0" w:color="auto"/>
              <w:left w:val="single" w:sz="6" w:space="0" w:color="auto"/>
              <w:bottom w:val="single" w:sz="6" w:space="0" w:color="auto"/>
              <w:right w:val="single" w:sz="6" w:space="0" w:color="auto"/>
            </w:tcBorders>
            <w:vAlign w:val="center"/>
            <w:hideMark/>
          </w:tcPr>
          <w:p w14:paraId="2CB7F74F"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sz w:val="24"/>
                <w:szCs w:val="24"/>
              </w:rPr>
              <w:t>£6.83</w:t>
            </w:r>
          </w:p>
        </w:tc>
        <w:tc>
          <w:tcPr>
            <w:tcW w:w="0" w:type="auto"/>
            <w:tcBorders>
              <w:top w:val="single" w:sz="6" w:space="0" w:color="auto"/>
              <w:left w:val="single" w:sz="6" w:space="0" w:color="auto"/>
              <w:bottom w:val="single" w:sz="6" w:space="0" w:color="auto"/>
              <w:right w:val="single" w:sz="6" w:space="0" w:color="auto"/>
            </w:tcBorders>
            <w:vAlign w:val="center"/>
            <w:hideMark/>
          </w:tcPr>
          <w:p w14:paraId="2897573C"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sz w:val="24"/>
                <w:szCs w:val="24"/>
              </w:rPr>
              <w:t>£11.00</w:t>
            </w:r>
          </w:p>
        </w:tc>
        <w:tc>
          <w:tcPr>
            <w:tcW w:w="0" w:type="auto"/>
            <w:tcBorders>
              <w:top w:val="single" w:sz="6" w:space="0" w:color="auto"/>
              <w:left w:val="single" w:sz="6" w:space="0" w:color="auto"/>
              <w:bottom w:val="single" w:sz="6" w:space="0" w:color="auto"/>
              <w:right w:val="single" w:sz="6" w:space="0" w:color="auto"/>
            </w:tcBorders>
            <w:vAlign w:val="center"/>
            <w:hideMark/>
          </w:tcPr>
          <w:p w14:paraId="50FA61DA"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sz w:val="24"/>
                <w:szCs w:val="24"/>
              </w:rPr>
              <w:t>£7.51</w:t>
            </w:r>
          </w:p>
        </w:tc>
        <w:tc>
          <w:tcPr>
            <w:tcW w:w="0" w:type="auto"/>
            <w:tcBorders>
              <w:top w:val="single" w:sz="6" w:space="0" w:color="auto"/>
              <w:left w:val="single" w:sz="6" w:space="0" w:color="auto"/>
              <w:bottom w:val="single" w:sz="6" w:space="0" w:color="auto"/>
              <w:right w:val="single" w:sz="6" w:space="0" w:color="auto"/>
            </w:tcBorders>
            <w:vAlign w:val="center"/>
            <w:hideMark/>
          </w:tcPr>
          <w:p w14:paraId="3088C5DB"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sz w:val="24"/>
                <w:szCs w:val="24"/>
              </w:rPr>
              <w:t>£25.00</w:t>
            </w:r>
          </w:p>
        </w:tc>
        <w:tc>
          <w:tcPr>
            <w:tcW w:w="0" w:type="auto"/>
            <w:tcBorders>
              <w:top w:val="single" w:sz="6" w:space="0" w:color="auto"/>
              <w:left w:val="single" w:sz="6" w:space="0" w:color="auto"/>
              <w:bottom w:val="single" w:sz="6" w:space="0" w:color="auto"/>
              <w:right w:val="single" w:sz="6" w:space="0" w:color="auto"/>
            </w:tcBorders>
            <w:vAlign w:val="center"/>
            <w:hideMark/>
          </w:tcPr>
          <w:p w14:paraId="0A1B3E59"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sz w:val="24"/>
                <w:szCs w:val="24"/>
              </w:rPr>
              <w:t>£17.08</w:t>
            </w:r>
          </w:p>
        </w:tc>
      </w:tr>
      <w:tr w:rsidR="00DF1561" w:rsidRPr="00C24648" w14:paraId="7A77C09C" w14:textId="77777777" w:rsidTr="00DF1561">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220F081F"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sz w:val="24"/>
                <w:szCs w:val="24"/>
              </w:rPr>
              <w:t>5</w:t>
            </w:r>
          </w:p>
        </w:tc>
        <w:tc>
          <w:tcPr>
            <w:tcW w:w="0" w:type="auto"/>
            <w:tcBorders>
              <w:top w:val="single" w:sz="6" w:space="0" w:color="auto"/>
              <w:left w:val="single" w:sz="6" w:space="0" w:color="auto"/>
              <w:bottom w:val="single" w:sz="6" w:space="0" w:color="auto"/>
              <w:right w:val="single" w:sz="6" w:space="0" w:color="auto"/>
            </w:tcBorders>
            <w:vAlign w:val="center"/>
            <w:hideMark/>
          </w:tcPr>
          <w:p w14:paraId="35B73EDD"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sz w:val="24"/>
                <w:szCs w:val="24"/>
              </w:rPr>
              <w:t>0.6209</w:t>
            </w:r>
          </w:p>
        </w:tc>
        <w:tc>
          <w:tcPr>
            <w:tcW w:w="0" w:type="auto"/>
            <w:tcBorders>
              <w:top w:val="single" w:sz="6" w:space="0" w:color="auto"/>
              <w:left w:val="single" w:sz="6" w:space="0" w:color="auto"/>
              <w:bottom w:val="single" w:sz="6" w:space="0" w:color="auto"/>
              <w:right w:val="single" w:sz="6" w:space="0" w:color="auto"/>
            </w:tcBorders>
            <w:vAlign w:val="center"/>
            <w:hideMark/>
          </w:tcPr>
          <w:p w14:paraId="51F38790"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sz w:val="24"/>
                <w:szCs w:val="24"/>
              </w:rPr>
              <w:t>£8.00</w:t>
            </w:r>
          </w:p>
        </w:tc>
        <w:tc>
          <w:tcPr>
            <w:tcW w:w="0" w:type="auto"/>
            <w:tcBorders>
              <w:top w:val="single" w:sz="6" w:space="0" w:color="auto"/>
              <w:left w:val="single" w:sz="6" w:space="0" w:color="auto"/>
              <w:bottom w:val="single" w:sz="6" w:space="0" w:color="auto"/>
              <w:right w:val="single" w:sz="6" w:space="0" w:color="auto"/>
            </w:tcBorders>
            <w:vAlign w:val="center"/>
            <w:hideMark/>
          </w:tcPr>
          <w:p w14:paraId="06A49301"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sz w:val="24"/>
                <w:szCs w:val="24"/>
              </w:rPr>
              <w:t>£4.97</w:t>
            </w:r>
          </w:p>
        </w:tc>
        <w:tc>
          <w:tcPr>
            <w:tcW w:w="0" w:type="auto"/>
            <w:tcBorders>
              <w:top w:val="single" w:sz="6" w:space="0" w:color="auto"/>
              <w:left w:val="single" w:sz="6" w:space="0" w:color="auto"/>
              <w:bottom w:val="single" w:sz="6" w:space="0" w:color="auto"/>
              <w:right w:val="single" w:sz="6" w:space="0" w:color="auto"/>
            </w:tcBorders>
            <w:vAlign w:val="center"/>
            <w:hideMark/>
          </w:tcPr>
          <w:p w14:paraId="72A85238"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sz w:val="24"/>
                <w:szCs w:val="24"/>
              </w:rPr>
              <w:t>£11.00</w:t>
            </w:r>
          </w:p>
        </w:tc>
        <w:tc>
          <w:tcPr>
            <w:tcW w:w="0" w:type="auto"/>
            <w:tcBorders>
              <w:top w:val="single" w:sz="6" w:space="0" w:color="auto"/>
              <w:left w:val="single" w:sz="6" w:space="0" w:color="auto"/>
              <w:bottom w:val="single" w:sz="6" w:space="0" w:color="auto"/>
              <w:right w:val="single" w:sz="6" w:space="0" w:color="auto"/>
            </w:tcBorders>
            <w:vAlign w:val="center"/>
            <w:hideMark/>
          </w:tcPr>
          <w:p w14:paraId="3E672BC6"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sz w:val="24"/>
                <w:szCs w:val="24"/>
              </w:rPr>
              <w:t>£6.83</w:t>
            </w:r>
          </w:p>
        </w:tc>
        <w:tc>
          <w:tcPr>
            <w:tcW w:w="0" w:type="auto"/>
            <w:tcBorders>
              <w:top w:val="single" w:sz="6" w:space="0" w:color="auto"/>
              <w:left w:val="single" w:sz="6" w:space="0" w:color="auto"/>
              <w:bottom w:val="single" w:sz="6" w:space="0" w:color="auto"/>
              <w:right w:val="single" w:sz="6" w:space="0" w:color="auto"/>
            </w:tcBorders>
            <w:vAlign w:val="center"/>
            <w:hideMark/>
          </w:tcPr>
          <w:p w14:paraId="17072778"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sz w:val="24"/>
                <w:szCs w:val="24"/>
              </w:rPr>
              <w:t>£17.00*</w:t>
            </w:r>
          </w:p>
        </w:tc>
        <w:tc>
          <w:tcPr>
            <w:tcW w:w="0" w:type="auto"/>
            <w:tcBorders>
              <w:top w:val="single" w:sz="6" w:space="0" w:color="auto"/>
              <w:left w:val="single" w:sz="6" w:space="0" w:color="auto"/>
              <w:bottom w:val="single" w:sz="6" w:space="0" w:color="auto"/>
              <w:right w:val="single" w:sz="6" w:space="0" w:color="auto"/>
            </w:tcBorders>
            <w:vAlign w:val="center"/>
            <w:hideMark/>
          </w:tcPr>
          <w:p w14:paraId="0881E696"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sz w:val="24"/>
                <w:szCs w:val="24"/>
              </w:rPr>
              <w:t>£10.56</w:t>
            </w:r>
          </w:p>
        </w:tc>
      </w:tr>
      <w:tr w:rsidR="00DF1561" w:rsidRPr="00C24648" w14:paraId="755A5799" w14:textId="77777777" w:rsidTr="00DF1561">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5F2522BF"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b/>
                <w:bCs/>
                <w:sz w:val="24"/>
                <w:szCs w:val="24"/>
              </w:rPr>
              <w:t>TOTAL</w:t>
            </w:r>
          </w:p>
        </w:tc>
        <w:tc>
          <w:tcPr>
            <w:tcW w:w="0" w:type="auto"/>
            <w:tcBorders>
              <w:top w:val="single" w:sz="6" w:space="0" w:color="auto"/>
              <w:left w:val="single" w:sz="6" w:space="0" w:color="auto"/>
              <w:bottom w:val="single" w:sz="6" w:space="0" w:color="auto"/>
              <w:right w:val="single" w:sz="6" w:space="0" w:color="auto"/>
            </w:tcBorders>
            <w:vAlign w:val="center"/>
            <w:hideMark/>
          </w:tcPr>
          <w:p w14:paraId="2EB2DFD1" w14:textId="77777777" w:rsidR="00DF1561" w:rsidRPr="00C24648" w:rsidRDefault="00DF1561" w:rsidP="00C24648">
            <w:pPr>
              <w:spacing w:after="0" w:line="360" w:lineRule="auto"/>
              <w:contextualSpacing/>
              <w:jc w:val="both"/>
              <w:rPr>
                <w:rFonts w:ascii="Arial" w:hAnsi="Arial" w:cs="Arial"/>
                <w:sz w:val="24"/>
                <w:szCs w:val="24"/>
              </w:rPr>
            </w:pPr>
          </w:p>
        </w:tc>
        <w:tc>
          <w:tcPr>
            <w:tcW w:w="0" w:type="auto"/>
            <w:tcBorders>
              <w:top w:val="single" w:sz="6" w:space="0" w:color="auto"/>
              <w:left w:val="single" w:sz="6" w:space="0" w:color="auto"/>
              <w:bottom w:val="single" w:sz="6" w:space="0" w:color="auto"/>
              <w:right w:val="single" w:sz="6" w:space="0" w:color="auto"/>
            </w:tcBorders>
            <w:vAlign w:val="center"/>
            <w:hideMark/>
          </w:tcPr>
          <w:p w14:paraId="1F411405" w14:textId="77777777" w:rsidR="00DF1561" w:rsidRPr="00C24648" w:rsidRDefault="00DF1561" w:rsidP="00C24648">
            <w:pPr>
              <w:spacing w:after="0" w:line="360" w:lineRule="auto"/>
              <w:contextualSpacing/>
              <w:jc w:val="both"/>
              <w:rPr>
                <w:rFonts w:ascii="Arial" w:hAnsi="Arial" w:cs="Arial"/>
                <w:sz w:val="24"/>
                <w:szCs w:val="24"/>
              </w:rPr>
            </w:pPr>
          </w:p>
        </w:tc>
        <w:tc>
          <w:tcPr>
            <w:tcW w:w="0" w:type="auto"/>
            <w:tcBorders>
              <w:top w:val="single" w:sz="6" w:space="0" w:color="auto"/>
              <w:left w:val="single" w:sz="6" w:space="0" w:color="auto"/>
              <w:bottom w:val="single" w:sz="6" w:space="0" w:color="auto"/>
              <w:right w:val="single" w:sz="6" w:space="0" w:color="auto"/>
            </w:tcBorders>
            <w:vAlign w:val="center"/>
            <w:hideMark/>
          </w:tcPr>
          <w:p w14:paraId="1EA9B50C"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b/>
                <w:bCs/>
                <w:sz w:val="24"/>
                <w:szCs w:val="24"/>
              </w:rPr>
              <w:t>-£8.67m</w:t>
            </w:r>
          </w:p>
        </w:tc>
        <w:tc>
          <w:tcPr>
            <w:tcW w:w="0" w:type="auto"/>
            <w:tcBorders>
              <w:top w:val="single" w:sz="6" w:space="0" w:color="auto"/>
              <w:left w:val="single" w:sz="6" w:space="0" w:color="auto"/>
              <w:bottom w:val="single" w:sz="6" w:space="0" w:color="auto"/>
              <w:right w:val="single" w:sz="6" w:space="0" w:color="auto"/>
            </w:tcBorders>
            <w:vAlign w:val="center"/>
            <w:hideMark/>
          </w:tcPr>
          <w:p w14:paraId="6F934DCC" w14:textId="77777777" w:rsidR="00DF1561" w:rsidRPr="00C24648" w:rsidRDefault="00DF1561" w:rsidP="00C24648">
            <w:pPr>
              <w:spacing w:after="0" w:line="360" w:lineRule="auto"/>
              <w:contextualSpacing/>
              <w:jc w:val="both"/>
              <w:rPr>
                <w:rFonts w:ascii="Arial" w:hAnsi="Arial" w:cs="Arial"/>
                <w:sz w:val="24"/>
                <w:szCs w:val="24"/>
              </w:rPr>
            </w:pPr>
          </w:p>
        </w:tc>
        <w:tc>
          <w:tcPr>
            <w:tcW w:w="0" w:type="auto"/>
            <w:tcBorders>
              <w:top w:val="single" w:sz="6" w:space="0" w:color="auto"/>
              <w:left w:val="single" w:sz="6" w:space="0" w:color="auto"/>
              <w:bottom w:val="single" w:sz="6" w:space="0" w:color="auto"/>
              <w:right w:val="single" w:sz="6" w:space="0" w:color="auto"/>
            </w:tcBorders>
            <w:vAlign w:val="center"/>
            <w:hideMark/>
          </w:tcPr>
          <w:p w14:paraId="011C6D0B"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b/>
                <w:bCs/>
                <w:sz w:val="24"/>
                <w:szCs w:val="24"/>
              </w:rPr>
              <w:t>-£8.31m</w:t>
            </w:r>
          </w:p>
        </w:tc>
        <w:tc>
          <w:tcPr>
            <w:tcW w:w="0" w:type="auto"/>
            <w:tcBorders>
              <w:top w:val="single" w:sz="6" w:space="0" w:color="auto"/>
              <w:left w:val="single" w:sz="6" w:space="0" w:color="auto"/>
              <w:bottom w:val="single" w:sz="6" w:space="0" w:color="auto"/>
              <w:right w:val="single" w:sz="6" w:space="0" w:color="auto"/>
            </w:tcBorders>
            <w:vAlign w:val="center"/>
            <w:hideMark/>
          </w:tcPr>
          <w:p w14:paraId="3A90020F" w14:textId="77777777" w:rsidR="00DF1561" w:rsidRPr="00C24648" w:rsidRDefault="00DF1561" w:rsidP="00C24648">
            <w:pPr>
              <w:spacing w:after="0" w:line="360" w:lineRule="auto"/>
              <w:contextualSpacing/>
              <w:jc w:val="both"/>
              <w:rPr>
                <w:rFonts w:ascii="Arial" w:hAnsi="Arial" w:cs="Arial"/>
                <w:sz w:val="24"/>
                <w:szCs w:val="24"/>
              </w:rPr>
            </w:pPr>
          </w:p>
        </w:tc>
        <w:tc>
          <w:tcPr>
            <w:tcW w:w="0" w:type="auto"/>
            <w:tcBorders>
              <w:top w:val="single" w:sz="6" w:space="0" w:color="auto"/>
              <w:left w:val="single" w:sz="6" w:space="0" w:color="auto"/>
              <w:bottom w:val="single" w:sz="6" w:space="0" w:color="auto"/>
              <w:right w:val="single" w:sz="6" w:space="0" w:color="auto"/>
            </w:tcBorders>
            <w:vAlign w:val="center"/>
            <w:hideMark/>
          </w:tcPr>
          <w:p w14:paraId="41ABC2BB"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b/>
                <w:bCs/>
                <w:sz w:val="24"/>
                <w:szCs w:val="24"/>
              </w:rPr>
              <w:t>+£5.48m</w:t>
            </w:r>
          </w:p>
        </w:tc>
      </w:tr>
    </w:tbl>
    <w:p w14:paraId="25DF765B" w14:textId="11E8C282" w:rsidR="00DF1561" w:rsidRPr="00C24648" w:rsidRDefault="00DF1561" w:rsidP="00C24648">
      <w:pPr>
        <w:pStyle w:val="NormalWeb"/>
        <w:numPr>
          <w:ilvl w:val="0"/>
          <w:numId w:val="3"/>
        </w:numPr>
        <w:spacing w:before="0" w:beforeAutospacing="0" w:after="0" w:afterAutospacing="0" w:line="360" w:lineRule="auto"/>
        <w:contextualSpacing/>
        <w:jc w:val="both"/>
        <w:rPr>
          <w:rFonts w:ascii="Arial" w:hAnsi="Arial" w:cs="Arial"/>
        </w:rPr>
      </w:pPr>
      <w:r w:rsidRPr="00C24648">
        <w:rPr>
          <w:rFonts w:ascii="Arial" w:hAnsi="Arial" w:cs="Arial"/>
          <w:b/>
          <w:bCs/>
        </w:rPr>
        <w:t>Project C PI:</w:t>
      </w:r>
      <w:r w:rsidRPr="00C24648">
        <w:rPr>
          <w:rFonts w:ascii="Arial" w:hAnsi="Arial" w:cs="Arial"/>
        </w:rPr>
        <w:t xml:space="preserve"> </w:t>
      </w:r>
      <w:r w:rsidRPr="00C24648">
        <w:rPr>
          <w:rStyle w:val="math-inline"/>
          <w:rFonts w:ascii="Arial" w:hAnsi="Arial" w:cs="Arial"/>
        </w:rPr>
        <w:t>Total PV of Inflows/Initial Investment = 55.48/50.00 =$</w:t>
      </w:r>
      <w:r w:rsidRPr="00C24648">
        <w:rPr>
          <w:rFonts w:ascii="Arial" w:hAnsi="Arial" w:cs="Arial"/>
        </w:rPr>
        <w:t xml:space="preserve"> </w:t>
      </w:r>
      <w:r w:rsidRPr="00C24648">
        <w:rPr>
          <w:rFonts w:ascii="Arial" w:hAnsi="Arial" w:cs="Arial"/>
          <w:b/>
          <w:bCs/>
        </w:rPr>
        <w:t>1.11</w:t>
      </w:r>
    </w:p>
    <w:p w14:paraId="08CC3896" w14:textId="38FF23C5" w:rsidR="00DF1561" w:rsidRPr="00C24648" w:rsidRDefault="00DF1561" w:rsidP="00C24648">
      <w:pPr>
        <w:spacing w:after="0" w:line="360" w:lineRule="auto"/>
        <w:contextualSpacing/>
        <w:jc w:val="both"/>
        <w:rPr>
          <w:rFonts w:ascii="Arial" w:hAnsi="Arial" w:cs="Arial"/>
          <w:sz w:val="24"/>
          <w:szCs w:val="24"/>
        </w:rPr>
      </w:pPr>
    </w:p>
    <w:p w14:paraId="1DA37676"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sz w:val="24"/>
          <w:szCs w:val="24"/>
        </w:rPr>
        <w:t>2. Payback Period (PBP)</w:t>
      </w:r>
    </w:p>
    <w:p w14:paraId="2304478A" w14:textId="77777777" w:rsidR="00DF1561" w:rsidRPr="00C24648" w:rsidRDefault="00DF1561" w:rsidP="00C24648">
      <w:pPr>
        <w:pStyle w:val="NormalWeb"/>
        <w:spacing w:before="0" w:beforeAutospacing="0" w:after="0" w:afterAutospacing="0" w:line="360" w:lineRule="auto"/>
        <w:contextualSpacing/>
        <w:jc w:val="both"/>
        <w:rPr>
          <w:rFonts w:ascii="Arial" w:hAnsi="Arial" w:cs="Arial"/>
        </w:rPr>
      </w:pPr>
      <w:r w:rsidRPr="00C24648">
        <w:rPr>
          <w:rFonts w:ascii="Arial" w:hAnsi="Arial" w:cs="Arial"/>
          <w:i/>
          <w:iCs/>
        </w:rPr>
        <w:t>Cumulative Cash Flow calculation to find the "break-even" point.</w:t>
      </w:r>
    </w:p>
    <w:p w14:paraId="76393539" w14:textId="77777777" w:rsidR="00DF1561" w:rsidRPr="00C24648" w:rsidRDefault="00DF1561" w:rsidP="00C24648">
      <w:pPr>
        <w:pStyle w:val="NormalWeb"/>
        <w:numPr>
          <w:ilvl w:val="0"/>
          <w:numId w:val="4"/>
        </w:numPr>
        <w:spacing w:before="0" w:beforeAutospacing="0" w:after="0" w:afterAutospacing="0" w:line="360" w:lineRule="auto"/>
        <w:contextualSpacing/>
        <w:jc w:val="both"/>
        <w:rPr>
          <w:rFonts w:ascii="Arial" w:hAnsi="Arial" w:cs="Arial"/>
        </w:rPr>
      </w:pPr>
      <w:r w:rsidRPr="00C24648">
        <w:rPr>
          <w:rFonts w:ascii="Arial" w:hAnsi="Arial" w:cs="Arial"/>
          <w:b/>
          <w:bCs/>
        </w:rPr>
        <w:t>Project A:</w:t>
      </w:r>
    </w:p>
    <w:p w14:paraId="0BBBBF7A" w14:textId="77777777" w:rsidR="00DF1561" w:rsidRPr="00C24648" w:rsidRDefault="00DF1561" w:rsidP="00C24648">
      <w:pPr>
        <w:pStyle w:val="NormalWeb"/>
        <w:numPr>
          <w:ilvl w:val="1"/>
          <w:numId w:val="4"/>
        </w:numPr>
        <w:spacing w:before="0" w:beforeAutospacing="0" w:after="0" w:afterAutospacing="0" w:line="360" w:lineRule="auto"/>
        <w:contextualSpacing/>
        <w:jc w:val="both"/>
        <w:rPr>
          <w:rFonts w:ascii="Arial" w:hAnsi="Arial" w:cs="Arial"/>
        </w:rPr>
      </w:pPr>
      <w:r w:rsidRPr="00C24648">
        <w:rPr>
          <w:rFonts w:ascii="Arial" w:hAnsi="Arial" w:cs="Arial"/>
        </w:rPr>
        <w:t>End of Year 4: £10+12+14+10 = £46m (Needs £4m more)</w:t>
      </w:r>
    </w:p>
    <w:p w14:paraId="3CAD50DC" w14:textId="79B60E45" w:rsidR="00DF1561" w:rsidRPr="00C24648" w:rsidRDefault="00DF1561" w:rsidP="00C24648">
      <w:pPr>
        <w:pStyle w:val="NormalWeb"/>
        <w:numPr>
          <w:ilvl w:val="1"/>
          <w:numId w:val="4"/>
        </w:numPr>
        <w:spacing w:before="0" w:beforeAutospacing="0" w:after="0" w:afterAutospacing="0" w:line="360" w:lineRule="auto"/>
        <w:contextualSpacing/>
        <w:jc w:val="both"/>
        <w:rPr>
          <w:rFonts w:ascii="Arial" w:hAnsi="Arial" w:cs="Arial"/>
        </w:rPr>
      </w:pPr>
      <w:r w:rsidRPr="00C24648">
        <w:rPr>
          <w:rFonts w:ascii="Arial" w:hAnsi="Arial" w:cs="Arial"/>
        </w:rPr>
        <w:t xml:space="preserve">Calculation: </w:t>
      </w:r>
      <w:r w:rsidRPr="00C24648">
        <w:rPr>
          <w:rStyle w:val="math-inline"/>
          <w:rFonts w:ascii="Arial" w:hAnsi="Arial" w:cs="Arial"/>
        </w:rPr>
        <w:t>$4 + (4/8) =$</w:t>
      </w:r>
      <w:r w:rsidRPr="00C24648">
        <w:rPr>
          <w:rFonts w:ascii="Arial" w:hAnsi="Arial" w:cs="Arial"/>
        </w:rPr>
        <w:t xml:space="preserve"> </w:t>
      </w:r>
      <w:r w:rsidRPr="00C24648">
        <w:rPr>
          <w:rFonts w:ascii="Arial" w:hAnsi="Arial" w:cs="Arial"/>
          <w:b/>
          <w:bCs/>
        </w:rPr>
        <w:t>4.5 Years</w:t>
      </w:r>
    </w:p>
    <w:p w14:paraId="6003E1D6" w14:textId="77777777" w:rsidR="00DF1561" w:rsidRPr="00C24648" w:rsidRDefault="00DF1561" w:rsidP="00C24648">
      <w:pPr>
        <w:pStyle w:val="NormalWeb"/>
        <w:numPr>
          <w:ilvl w:val="0"/>
          <w:numId w:val="4"/>
        </w:numPr>
        <w:spacing w:before="0" w:beforeAutospacing="0" w:after="0" w:afterAutospacing="0" w:line="360" w:lineRule="auto"/>
        <w:contextualSpacing/>
        <w:jc w:val="both"/>
        <w:rPr>
          <w:rFonts w:ascii="Arial" w:hAnsi="Arial" w:cs="Arial"/>
        </w:rPr>
      </w:pPr>
      <w:r w:rsidRPr="00C24648">
        <w:rPr>
          <w:rFonts w:ascii="Arial" w:hAnsi="Arial" w:cs="Arial"/>
          <w:b/>
          <w:bCs/>
        </w:rPr>
        <w:t>Project B:</w:t>
      </w:r>
    </w:p>
    <w:p w14:paraId="0FFBA763" w14:textId="77777777" w:rsidR="00DF1561" w:rsidRPr="00C24648" w:rsidRDefault="00DF1561" w:rsidP="00C24648">
      <w:pPr>
        <w:pStyle w:val="NormalWeb"/>
        <w:numPr>
          <w:ilvl w:val="1"/>
          <w:numId w:val="4"/>
        </w:numPr>
        <w:spacing w:before="0" w:beforeAutospacing="0" w:after="0" w:afterAutospacing="0" w:line="360" w:lineRule="auto"/>
        <w:contextualSpacing/>
        <w:jc w:val="both"/>
        <w:rPr>
          <w:rFonts w:ascii="Arial" w:hAnsi="Arial" w:cs="Arial"/>
        </w:rPr>
      </w:pPr>
      <w:r w:rsidRPr="00C24648">
        <w:rPr>
          <w:rFonts w:ascii="Arial" w:hAnsi="Arial" w:cs="Arial"/>
        </w:rPr>
        <w:t>End of Year 4: £11 × 4 = £44m (Needs £6m more)</w:t>
      </w:r>
    </w:p>
    <w:p w14:paraId="44512FDF" w14:textId="6795FCB0" w:rsidR="00DF1561" w:rsidRPr="00C24648" w:rsidRDefault="00DF1561" w:rsidP="00C24648">
      <w:pPr>
        <w:pStyle w:val="NormalWeb"/>
        <w:numPr>
          <w:ilvl w:val="1"/>
          <w:numId w:val="4"/>
        </w:numPr>
        <w:spacing w:before="0" w:beforeAutospacing="0" w:after="0" w:afterAutospacing="0" w:line="360" w:lineRule="auto"/>
        <w:contextualSpacing/>
        <w:jc w:val="both"/>
        <w:rPr>
          <w:rFonts w:ascii="Arial" w:hAnsi="Arial" w:cs="Arial"/>
        </w:rPr>
      </w:pPr>
      <w:r w:rsidRPr="00C24648">
        <w:rPr>
          <w:rFonts w:ascii="Arial" w:hAnsi="Arial" w:cs="Arial"/>
        </w:rPr>
        <w:t xml:space="preserve">Calculation: </w:t>
      </w:r>
      <w:r w:rsidRPr="00C24648">
        <w:rPr>
          <w:rStyle w:val="math-inline"/>
          <w:rFonts w:ascii="Arial" w:hAnsi="Arial" w:cs="Arial"/>
        </w:rPr>
        <w:t>$4 + (6/11) =$</w:t>
      </w:r>
      <w:r w:rsidRPr="00C24648">
        <w:rPr>
          <w:rFonts w:ascii="Arial" w:hAnsi="Arial" w:cs="Arial"/>
        </w:rPr>
        <w:t xml:space="preserve"> </w:t>
      </w:r>
      <w:r w:rsidRPr="00C24648">
        <w:rPr>
          <w:rFonts w:ascii="Arial" w:hAnsi="Arial" w:cs="Arial"/>
          <w:b/>
          <w:bCs/>
        </w:rPr>
        <w:t>4.55 Years</w:t>
      </w:r>
    </w:p>
    <w:p w14:paraId="79A64C9C" w14:textId="77777777" w:rsidR="00DF1561" w:rsidRPr="00C24648" w:rsidRDefault="00DF1561" w:rsidP="00C24648">
      <w:pPr>
        <w:pStyle w:val="NormalWeb"/>
        <w:numPr>
          <w:ilvl w:val="0"/>
          <w:numId w:val="4"/>
        </w:numPr>
        <w:spacing w:before="0" w:beforeAutospacing="0" w:after="0" w:afterAutospacing="0" w:line="360" w:lineRule="auto"/>
        <w:contextualSpacing/>
        <w:jc w:val="both"/>
        <w:rPr>
          <w:rFonts w:ascii="Arial" w:hAnsi="Arial" w:cs="Arial"/>
        </w:rPr>
      </w:pPr>
      <w:r w:rsidRPr="00C24648">
        <w:rPr>
          <w:rFonts w:ascii="Arial" w:hAnsi="Arial" w:cs="Arial"/>
          <w:b/>
          <w:bCs/>
        </w:rPr>
        <w:t>Project C:</w:t>
      </w:r>
    </w:p>
    <w:p w14:paraId="7BD5EB43" w14:textId="77777777" w:rsidR="00DF1561" w:rsidRPr="00C24648" w:rsidRDefault="00DF1561" w:rsidP="00C24648">
      <w:pPr>
        <w:pStyle w:val="NormalWeb"/>
        <w:numPr>
          <w:ilvl w:val="1"/>
          <w:numId w:val="4"/>
        </w:numPr>
        <w:spacing w:before="0" w:beforeAutospacing="0" w:after="0" w:afterAutospacing="0" w:line="360" w:lineRule="auto"/>
        <w:contextualSpacing/>
        <w:jc w:val="both"/>
        <w:rPr>
          <w:rFonts w:ascii="Arial" w:hAnsi="Arial" w:cs="Arial"/>
        </w:rPr>
      </w:pPr>
      <w:r w:rsidRPr="00C24648">
        <w:rPr>
          <w:rFonts w:ascii="Arial" w:hAnsi="Arial" w:cs="Arial"/>
        </w:rPr>
        <w:t>End of Year 3: £5+10+20 = £35m (Needs £15m more)</w:t>
      </w:r>
    </w:p>
    <w:p w14:paraId="58AF6D70" w14:textId="14684996" w:rsidR="00DF1561" w:rsidRPr="00C24648" w:rsidRDefault="00DF1561" w:rsidP="00C24648">
      <w:pPr>
        <w:pStyle w:val="NormalWeb"/>
        <w:numPr>
          <w:ilvl w:val="1"/>
          <w:numId w:val="4"/>
        </w:numPr>
        <w:spacing w:before="0" w:beforeAutospacing="0" w:after="0" w:afterAutospacing="0" w:line="360" w:lineRule="auto"/>
        <w:contextualSpacing/>
        <w:jc w:val="both"/>
        <w:rPr>
          <w:rFonts w:ascii="Arial" w:hAnsi="Arial" w:cs="Arial"/>
        </w:rPr>
      </w:pPr>
      <w:r w:rsidRPr="00C24648">
        <w:rPr>
          <w:rFonts w:ascii="Arial" w:hAnsi="Arial" w:cs="Arial"/>
        </w:rPr>
        <w:t xml:space="preserve">Calculation: </w:t>
      </w:r>
      <w:r w:rsidRPr="00C24648">
        <w:rPr>
          <w:rStyle w:val="math-inline"/>
          <w:rFonts w:ascii="Arial" w:hAnsi="Arial" w:cs="Arial"/>
        </w:rPr>
        <w:t>$3 + (15/25) =$</w:t>
      </w:r>
      <w:r w:rsidRPr="00C24648">
        <w:rPr>
          <w:rFonts w:ascii="Arial" w:hAnsi="Arial" w:cs="Arial"/>
        </w:rPr>
        <w:t xml:space="preserve"> </w:t>
      </w:r>
      <w:r w:rsidRPr="00C24648">
        <w:rPr>
          <w:rFonts w:ascii="Arial" w:hAnsi="Arial" w:cs="Arial"/>
          <w:b/>
          <w:bCs/>
        </w:rPr>
        <w:t>3.6 Years</w:t>
      </w:r>
    </w:p>
    <w:p w14:paraId="5D064484" w14:textId="6B9082D1" w:rsidR="00DF1561" w:rsidRPr="00C24648" w:rsidRDefault="00DF1561" w:rsidP="00C24648">
      <w:pPr>
        <w:spacing w:after="0" w:line="360" w:lineRule="auto"/>
        <w:contextualSpacing/>
        <w:jc w:val="both"/>
        <w:rPr>
          <w:rFonts w:ascii="Arial" w:hAnsi="Arial" w:cs="Arial"/>
          <w:sz w:val="24"/>
          <w:szCs w:val="24"/>
        </w:rPr>
      </w:pPr>
    </w:p>
    <w:p w14:paraId="547F6C32"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sz w:val="24"/>
          <w:szCs w:val="24"/>
        </w:rPr>
        <w:t>3. Accounting Rate of Return (ARR)</w:t>
      </w:r>
    </w:p>
    <w:p w14:paraId="376697C0" w14:textId="0265489C" w:rsidR="00DF1561" w:rsidRPr="00C24648" w:rsidRDefault="00DF1561" w:rsidP="00C24648">
      <w:pPr>
        <w:pStyle w:val="NormalWeb"/>
        <w:spacing w:before="0" w:beforeAutospacing="0" w:after="0" w:afterAutospacing="0" w:line="360" w:lineRule="auto"/>
        <w:contextualSpacing/>
        <w:jc w:val="both"/>
        <w:rPr>
          <w:rFonts w:ascii="Arial" w:hAnsi="Arial" w:cs="Arial"/>
        </w:rPr>
      </w:pPr>
      <w:r w:rsidRPr="00C24648">
        <w:rPr>
          <w:rFonts w:ascii="Arial" w:hAnsi="Arial" w:cs="Arial"/>
          <w:b/>
          <w:bCs/>
        </w:rPr>
        <w:lastRenderedPageBreak/>
        <w:t>Formula:</w:t>
      </w:r>
      <w:r w:rsidRPr="00C24648">
        <w:rPr>
          <w:rFonts w:ascii="Arial" w:hAnsi="Arial" w:cs="Arial"/>
        </w:rPr>
        <w:t xml:space="preserve"> (</w:t>
      </w:r>
      <w:r w:rsidRPr="00C24648">
        <w:rPr>
          <w:rStyle w:val="math-inline"/>
          <w:rFonts w:ascii="Arial" w:hAnsi="Arial" w:cs="Arial"/>
        </w:rPr>
        <w:t>Average Annual Accounting Profit/Average Investment)×100</w:t>
      </w:r>
    </w:p>
    <w:p w14:paraId="75D87591" w14:textId="77777777" w:rsidR="00DF1561" w:rsidRPr="00C24648" w:rsidRDefault="00DF1561" w:rsidP="00C24648">
      <w:pPr>
        <w:pStyle w:val="NormalWeb"/>
        <w:spacing w:before="0" w:beforeAutospacing="0" w:after="0" w:afterAutospacing="0" w:line="360" w:lineRule="auto"/>
        <w:contextualSpacing/>
        <w:jc w:val="both"/>
        <w:rPr>
          <w:rFonts w:ascii="Arial" w:hAnsi="Arial" w:cs="Arial"/>
        </w:rPr>
      </w:pPr>
      <w:r w:rsidRPr="00C24648">
        <w:rPr>
          <w:rFonts w:ascii="Arial" w:hAnsi="Arial" w:cs="Arial"/>
          <w:i/>
          <w:iCs/>
        </w:rPr>
        <w:t>Note: Depreciation = £50m / 5 years = £10m per year. Average Investment = £25m.</w:t>
      </w:r>
    </w:p>
    <w:p w14:paraId="0C232D32" w14:textId="77777777" w:rsidR="00DF1561" w:rsidRPr="00C24648" w:rsidRDefault="00DF1561" w:rsidP="00C24648">
      <w:pPr>
        <w:pStyle w:val="NormalWeb"/>
        <w:numPr>
          <w:ilvl w:val="0"/>
          <w:numId w:val="5"/>
        </w:numPr>
        <w:spacing w:before="0" w:beforeAutospacing="0" w:after="0" w:afterAutospacing="0" w:line="360" w:lineRule="auto"/>
        <w:contextualSpacing/>
        <w:jc w:val="both"/>
        <w:rPr>
          <w:rFonts w:ascii="Arial" w:hAnsi="Arial" w:cs="Arial"/>
        </w:rPr>
      </w:pPr>
      <w:r w:rsidRPr="00C24648">
        <w:rPr>
          <w:rFonts w:ascii="Arial" w:hAnsi="Arial" w:cs="Arial"/>
          <w:b/>
          <w:bCs/>
        </w:rPr>
        <w:t>Project C Profit Calculation:</w:t>
      </w:r>
    </w:p>
    <w:p w14:paraId="3C8991D5" w14:textId="77777777" w:rsidR="00DF1561" w:rsidRPr="00C24648" w:rsidRDefault="00DF1561" w:rsidP="00C24648">
      <w:pPr>
        <w:pStyle w:val="NormalWeb"/>
        <w:numPr>
          <w:ilvl w:val="1"/>
          <w:numId w:val="5"/>
        </w:numPr>
        <w:spacing w:before="0" w:beforeAutospacing="0" w:after="0" w:afterAutospacing="0" w:line="360" w:lineRule="auto"/>
        <w:contextualSpacing/>
        <w:jc w:val="both"/>
        <w:rPr>
          <w:rFonts w:ascii="Arial" w:hAnsi="Arial" w:cs="Arial"/>
        </w:rPr>
      </w:pPr>
      <w:r w:rsidRPr="00C24648">
        <w:rPr>
          <w:rFonts w:ascii="Arial" w:hAnsi="Arial" w:cs="Arial"/>
        </w:rPr>
        <w:t>Total Cash Inflow: £77.0m</w:t>
      </w:r>
    </w:p>
    <w:p w14:paraId="04AC7AD7" w14:textId="77777777" w:rsidR="00DF1561" w:rsidRPr="00C24648" w:rsidRDefault="00DF1561" w:rsidP="00C24648">
      <w:pPr>
        <w:pStyle w:val="NormalWeb"/>
        <w:numPr>
          <w:ilvl w:val="1"/>
          <w:numId w:val="5"/>
        </w:numPr>
        <w:spacing w:before="0" w:beforeAutospacing="0" w:after="0" w:afterAutospacing="0" w:line="360" w:lineRule="auto"/>
        <w:contextualSpacing/>
        <w:jc w:val="both"/>
        <w:rPr>
          <w:rFonts w:ascii="Arial" w:hAnsi="Arial" w:cs="Arial"/>
        </w:rPr>
      </w:pPr>
      <w:r w:rsidRPr="00C24648">
        <w:rPr>
          <w:rFonts w:ascii="Arial" w:hAnsi="Arial" w:cs="Arial"/>
        </w:rPr>
        <w:t>Total Profit: £77.0m - £50.0m = £27.0m</w:t>
      </w:r>
    </w:p>
    <w:p w14:paraId="67F13124" w14:textId="77777777" w:rsidR="00DF1561" w:rsidRPr="00C24648" w:rsidRDefault="00DF1561" w:rsidP="00C24648">
      <w:pPr>
        <w:pStyle w:val="NormalWeb"/>
        <w:numPr>
          <w:ilvl w:val="1"/>
          <w:numId w:val="5"/>
        </w:numPr>
        <w:spacing w:before="0" w:beforeAutospacing="0" w:after="0" w:afterAutospacing="0" w:line="360" w:lineRule="auto"/>
        <w:contextualSpacing/>
        <w:jc w:val="both"/>
        <w:rPr>
          <w:rFonts w:ascii="Arial" w:hAnsi="Arial" w:cs="Arial"/>
        </w:rPr>
      </w:pPr>
      <w:r w:rsidRPr="00C24648">
        <w:rPr>
          <w:rFonts w:ascii="Arial" w:hAnsi="Arial" w:cs="Arial"/>
        </w:rPr>
        <w:t>Avg. Annual Profit: £27.0m / 5 = £5.4m</w:t>
      </w:r>
    </w:p>
    <w:p w14:paraId="2AF72445" w14:textId="79A3324B" w:rsidR="00DF1561" w:rsidRPr="00C24648" w:rsidRDefault="00DF1561" w:rsidP="00C24648">
      <w:pPr>
        <w:pStyle w:val="NormalWeb"/>
        <w:numPr>
          <w:ilvl w:val="1"/>
          <w:numId w:val="5"/>
        </w:numPr>
        <w:spacing w:before="0" w:beforeAutospacing="0" w:after="0" w:afterAutospacing="0" w:line="360" w:lineRule="auto"/>
        <w:contextualSpacing/>
        <w:jc w:val="both"/>
        <w:rPr>
          <w:rFonts w:ascii="Arial" w:hAnsi="Arial" w:cs="Arial"/>
        </w:rPr>
      </w:pPr>
      <w:r w:rsidRPr="00C24648">
        <w:rPr>
          <w:rFonts w:ascii="Arial" w:hAnsi="Arial" w:cs="Arial"/>
          <w:b/>
          <w:bCs/>
        </w:rPr>
        <w:t>ARR:</w:t>
      </w:r>
      <w:r w:rsidRPr="00C24648">
        <w:rPr>
          <w:rFonts w:ascii="Arial" w:hAnsi="Arial" w:cs="Arial"/>
        </w:rPr>
        <w:t xml:space="preserve"> </w:t>
      </w:r>
      <w:r w:rsidRPr="00C24648">
        <w:rPr>
          <w:rStyle w:val="math-inline"/>
          <w:rFonts w:ascii="Arial" w:hAnsi="Arial" w:cs="Arial"/>
        </w:rPr>
        <w:t>(5.4/25.0) ×100 =$</w:t>
      </w:r>
      <w:r w:rsidRPr="00C24648">
        <w:rPr>
          <w:rFonts w:ascii="Arial" w:hAnsi="Arial" w:cs="Arial"/>
        </w:rPr>
        <w:t xml:space="preserve"> </w:t>
      </w:r>
      <w:r w:rsidRPr="00C24648">
        <w:rPr>
          <w:rFonts w:ascii="Arial" w:hAnsi="Arial" w:cs="Arial"/>
          <w:b/>
          <w:bCs/>
        </w:rPr>
        <w:t>21.6%</w:t>
      </w:r>
    </w:p>
    <w:p w14:paraId="66373E03" w14:textId="20136132" w:rsidR="00DF1561" w:rsidRPr="00C24648" w:rsidRDefault="00DF1561" w:rsidP="00C24648">
      <w:pPr>
        <w:spacing w:after="0" w:line="360" w:lineRule="auto"/>
        <w:contextualSpacing/>
        <w:jc w:val="both"/>
        <w:rPr>
          <w:rFonts w:ascii="Arial" w:hAnsi="Arial" w:cs="Arial"/>
          <w:sz w:val="24"/>
          <w:szCs w:val="24"/>
        </w:rPr>
      </w:pPr>
    </w:p>
    <w:p w14:paraId="7052D5D9"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sz w:val="24"/>
          <w:szCs w:val="24"/>
        </w:rPr>
        <w:t>4. Internal Rate of Return (IRR)</w:t>
      </w:r>
    </w:p>
    <w:p w14:paraId="34E2E117" w14:textId="77777777" w:rsidR="00DF1561" w:rsidRPr="00C24648" w:rsidRDefault="00DF1561" w:rsidP="00C24648">
      <w:pPr>
        <w:pStyle w:val="NormalWeb"/>
        <w:spacing w:before="0" w:beforeAutospacing="0" w:after="0" w:afterAutospacing="0" w:line="360" w:lineRule="auto"/>
        <w:contextualSpacing/>
        <w:jc w:val="both"/>
        <w:rPr>
          <w:rFonts w:ascii="Arial" w:hAnsi="Arial" w:cs="Arial"/>
        </w:rPr>
      </w:pPr>
      <w:r w:rsidRPr="00C24648">
        <w:rPr>
          <w:rFonts w:ascii="Arial" w:hAnsi="Arial" w:cs="Arial"/>
          <w:i/>
          <w:iCs/>
        </w:rPr>
        <w:t>Using Linear Interpolation between 10% (Positive NPV) and 20% (Negative NPV) for Project C.</w:t>
      </w:r>
    </w:p>
    <w:p w14:paraId="7EE2018C" w14:textId="77777777" w:rsidR="00DF1561" w:rsidRPr="00C24648" w:rsidRDefault="00DF1561" w:rsidP="00C24648">
      <w:pPr>
        <w:pStyle w:val="NormalWeb"/>
        <w:numPr>
          <w:ilvl w:val="0"/>
          <w:numId w:val="6"/>
        </w:numPr>
        <w:spacing w:before="0" w:beforeAutospacing="0" w:after="0" w:afterAutospacing="0" w:line="360" w:lineRule="auto"/>
        <w:contextualSpacing/>
        <w:jc w:val="both"/>
        <w:rPr>
          <w:rFonts w:ascii="Arial" w:hAnsi="Arial" w:cs="Arial"/>
        </w:rPr>
      </w:pPr>
      <w:r w:rsidRPr="00C24648">
        <w:rPr>
          <w:rFonts w:ascii="Arial" w:hAnsi="Arial" w:cs="Arial"/>
          <w:b/>
          <w:bCs/>
        </w:rPr>
        <w:t>NPV at 10%:</w:t>
      </w:r>
      <w:r w:rsidRPr="00C24648">
        <w:rPr>
          <w:rFonts w:ascii="Arial" w:hAnsi="Arial" w:cs="Arial"/>
        </w:rPr>
        <w:t xml:space="preserve"> +£5.48m</w:t>
      </w:r>
    </w:p>
    <w:p w14:paraId="3F626207" w14:textId="77777777" w:rsidR="00DF1561" w:rsidRPr="00C24648" w:rsidRDefault="00DF1561" w:rsidP="00C24648">
      <w:pPr>
        <w:pStyle w:val="NormalWeb"/>
        <w:numPr>
          <w:ilvl w:val="0"/>
          <w:numId w:val="6"/>
        </w:numPr>
        <w:spacing w:before="0" w:beforeAutospacing="0" w:after="0" w:afterAutospacing="0" w:line="360" w:lineRule="auto"/>
        <w:contextualSpacing/>
        <w:jc w:val="both"/>
        <w:rPr>
          <w:rFonts w:ascii="Arial" w:hAnsi="Arial" w:cs="Arial"/>
        </w:rPr>
      </w:pPr>
      <w:r w:rsidRPr="00C24648">
        <w:rPr>
          <w:rFonts w:ascii="Arial" w:hAnsi="Arial" w:cs="Arial"/>
          <w:b/>
          <w:bCs/>
        </w:rPr>
        <w:t>NPV at 20%:</w:t>
      </w:r>
      <w:r w:rsidRPr="00C24648">
        <w:rPr>
          <w:rFonts w:ascii="Arial" w:hAnsi="Arial" w:cs="Arial"/>
        </w:rPr>
        <w:t xml:space="preserve"> -£7.20m (estimated)</w:t>
      </w:r>
    </w:p>
    <w:p w14:paraId="3C577E49" w14:textId="70FEDDC1" w:rsidR="00DF1561" w:rsidRPr="00C24648" w:rsidRDefault="00DF1561" w:rsidP="00C24648">
      <w:pPr>
        <w:pStyle w:val="NormalWeb"/>
        <w:numPr>
          <w:ilvl w:val="0"/>
          <w:numId w:val="6"/>
        </w:numPr>
        <w:spacing w:before="0" w:beforeAutospacing="0" w:after="0" w:afterAutospacing="0" w:line="360" w:lineRule="auto"/>
        <w:contextualSpacing/>
        <w:jc w:val="both"/>
        <w:rPr>
          <w:rFonts w:ascii="Arial" w:hAnsi="Arial" w:cs="Arial"/>
          <w:lang w:val="pt-BR"/>
        </w:rPr>
      </w:pPr>
      <w:r w:rsidRPr="00C24648">
        <w:rPr>
          <w:rFonts w:ascii="Arial" w:hAnsi="Arial" w:cs="Arial"/>
          <w:b/>
          <w:bCs/>
          <w:lang w:val="pt-BR"/>
        </w:rPr>
        <w:t>Formula:</w:t>
      </w:r>
      <w:r w:rsidRPr="00C24648">
        <w:rPr>
          <w:rFonts w:ascii="Arial" w:hAnsi="Arial" w:cs="Arial"/>
          <w:lang w:val="pt-BR"/>
        </w:rPr>
        <w:t xml:space="preserve"> </w:t>
      </w:r>
      <w:r w:rsidRPr="00C24648">
        <w:rPr>
          <w:rStyle w:val="math-inline"/>
          <w:rFonts w:ascii="Arial" w:hAnsi="Arial" w:cs="Arial"/>
          <w:lang w:val="pt-BR"/>
        </w:rPr>
        <w:t>L + [NPV</w:t>
      </w:r>
      <w:r w:rsidRPr="00C24648">
        <w:rPr>
          <w:rStyle w:val="math-inline"/>
          <w:rFonts w:ascii="Arial" w:hAnsi="Arial" w:cs="Arial"/>
          <w:vertAlign w:val="subscript"/>
          <w:lang w:val="pt-BR"/>
        </w:rPr>
        <w:t xml:space="preserve">L </w:t>
      </w:r>
      <w:r w:rsidRPr="00C24648">
        <w:rPr>
          <w:rStyle w:val="math-inline"/>
          <w:rFonts w:ascii="Arial" w:hAnsi="Arial" w:cs="Arial"/>
          <w:lang w:val="pt-BR"/>
        </w:rPr>
        <w:t>/(NPV</w:t>
      </w:r>
      <w:r w:rsidRPr="00C24648">
        <w:rPr>
          <w:rStyle w:val="math-inline"/>
          <w:rFonts w:ascii="Arial" w:hAnsi="Arial" w:cs="Arial"/>
          <w:vertAlign w:val="subscript"/>
          <w:lang w:val="pt-BR"/>
        </w:rPr>
        <w:t>L</w:t>
      </w:r>
      <w:r w:rsidRPr="00C24648">
        <w:rPr>
          <w:rStyle w:val="math-inline"/>
          <w:rFonts w:ascii="Arial" w:hAnsi="Arial" w:cs="Arial"/>
          <w:lang w:val="pt-BR"/>
        </w:rPr>
        <w:t xml:space="preserve"> - NPV</w:t>
      </w:r>
      <w:r w:rsidRPr="00C24648">
        <w:rPr>
          <w:rStyle w:val="math-inline"/>
          <w:rFonts w:ascii="Arial" w:hAnsi="Arial" w:cs="Arial"/>
          <w:vertAlign w:val="subscript"/>
          <w:lang w:val="pt-BR"/>
        </w:rPr>
        <w:t>H</w:t>
      </w:r>
      <w:r w:rsidRPr="00C24648">
        <w:rPr>
          <w:rStyle w:val="math-inline"/>
          <w:rFonts w:ascii="Arial" w:hAnsi="Arial" w:cs="Arial"/>
          <w:lang w:val="pt-BR"/>
        </w:rPr>
        <w:t>) × (H - L)</w:t>
      </w:r>
    </w:p>
    <w:p w14:paraId="039484E6" w14:textId="643DAEDC" w:rsidR="00DF1561" w:rsidRPr="00C24648" w:rsidRDefault="00DF1561" w:rsidP="00C24648">
      <w:pPr>
        <w:pStyle w:val="NormalWeb"/>
        <w:numPr>
          <w:ilvl w:val="0"/>
          <w:numId w:val="6"/>
        </w:numPr>
        <w:spacing w:before="0" w:beforeAutospacing="0" w:after="0" w:afterAutospacing="0" w:line="360" w:lineRule="auto"/>
        <w:contextualSpacing/>
        <w:jc w:val="both"/>
        <w:rPr>
          <w:rFonts w:ascii="Arial" w:hAnsi="Arial" w:cs="Arial"/>
        </w:rPr>
      </w:pPr>
      <w:r w:rsidRPr="00C24648">
        <w:rPr>
          <w:rFonts w:ascii="Arial" w:hAnsi="Arial" w:cs="Arial"/>
          <w:b/>
          <w:bCs/>
        </w:rPr>
        <w:t>Calculation:</w:t>
      </w:r>
      <w:r w:rsidRPr="00C24648">
        <w:rPr>
          <w:rFonts w:ascii="Arial" w:hAnsi="Arial" w:cs="Arial"/>
        </w:rPr>
        <w:t xml:space="preserve"> </w:t>
      </w:r>
      <w:r w:rsidRPr="00C24648">
        <w:rPr>
          <w:rStyle w:val="math-inline"/>
          <w:rFonts w:ascii="Arial" w:hAnsi="Arial" w:cs="Arial"/>
        </w:rPr>
        <w:t>10 + [5.48/(5.48 - (-7.20)) × 10</w:t>
      </w:r>
    </w:p>
    <w:p w14:paraId="73BB1EE1" w14:textId="77777777" w:rsidR="00DF1561" w:rsidRPr="00C24648" w:rsidRDefault="00DF1561" w:rsidP="00C24648">
      <w:pPr>
        <w:pStyle w:val="NormalWeb"/>
        <w:numPr>
          <w:ilvl w:val="0"/>
          <w:numId w:val="6"/>
        </w:numPr>
        <w:spacing w:before="0" w:beforeAutospacing="0" w:after="0" w:afterAutospacing="0" w:line="360" w:lineRule="auto"/>
        <w:contextualSpacing/>
        <w:jc w:val="both"/>
        <w:rPr>
          <w:rFonts w:ascii="Arial" w:hAnsi="Arial" w:cs="Arial"/>
        </w:rPr>
      </w:pPr>
      <w:r w:rsidRPr="00C24648">
        <w:rPr>
          <w:rFonts w:ascii="Arial" w:hAnsi="Arial" w:cs="Arial"/>
          <w:b/>
          <w:bCs/>
        </w:rPr>
        <w:t>IRR for Project C:</w:t>
      </w:r>
      <w:r w:rsidRPr="00C24648">
        <w:rPr>
          <w:rFonts w:ascii="Arial" w:hAnsi="Arial" w:cs="Arial"/>
        </w:rPr>
        <w:t xml:space="preserve"> </w:t>
      </w:r>
      <w:r w:rsidRPr="00C24648">
        <w:rPr>
          <w:rFonts w:ascii="Arial" w:hAnsi="Arial" w:cs="Arial"/>
          <w:b/>
          <w:bCs/>
        </w:rPr>
        <w:t>14.32%</w:t>
      </w:r>
    </w:p>
    <w:p w14:paraId="6C9C87D6" w14:textId="3B9DC65B" w:rsidR="00DF1561" w:rsidRPr="00C24648" w:rsidRDefault="00DF1561" w:rsidP="00C24648">
      <w:pPr>
        <w:spacing w:after="0" w:line="360" w:lineRule="auto"/>
        <w:contextualSpacing/>
        <w:jc w:val="both"/>
        <w:rPr>
          <w:rFonts w:ascii="Arial" w:hAnsi="Arial" w:cs="Arial"/>
          <w:sz w:val="24"/>
          <w:szCs w:val="24"/>
        </w:rPr>
      </w:pPr>
    </w:p>
    <w:p w14:paraId="4C13FE60"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sz w:val="24"/>
          <w:szCs w:val="24"/>
        </w:rPr>
        <w:t>5. Capital Rationing Selection</w:t>
      </w:r>
    </w:p>
    <w:p w14:paraId="3612766D" w14:textId="77777777" w:rsidR="00DF1561" w:rsidRPr="00C24648" w:rsidRDefault="00DF1561" w:rsidP="00C24648">
      <w:pPr>
        <w:pStyle w:val="NormalWeb"/>
        <w:spacing w:before="0" w:beforeAutospacing="0" w:after="0" w:afterAutospacing="0" w:line="360" w:lineRule="auto"/>
        <w:contextualSpacing/>
        <w:jc w:val="both"/>
        <w:rPr>
          <w:rFonts w:ascii="Arial" w:hAnsi="Arial" w:cs="Arial"/>
        </w:rPr>
      </w:pPr>
      <w:r w:rsidRPr="00C24648">
        <w:rPr>
          <w:rFonts w:ascii="Arial" w:hAnsi="Arial" w:cs="Arial"/>
          <w:b/>
          <w:bCs/>
        </w:rPr>
        <w:t>Constraint:</w:t>
      </w:r>
      <w:r w:rsidRPr="00C24648">
        <w:rPr>
          <w:rFonts w:ascii="Arial" w:hAnsi="Arial" w:cs="Arial"/>
        </w:rPr>
        <w:t xml:space="preserve"> Max £100 million.</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932"/>
        <w:gridCol w:w="1980"/>
        <w:gridCol w:w="3099"/>
        <w:gridCol w:w="1106"/>
      </w:tblGrid>
      <w:tr w:rsidR="00DF1561" w:rsidRPr="00C24648" w14:paraId="60A2E9A8" w14:textId="77777777" w:rsidTr="00DF1561">
        <w:trPr>
          <w:tblHeade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7D560D5C" w14:textId="77777777" w:rsidR="00DF1561" w:rsidRPr="00C24648" w:rsidRDefault="00DF1561" w:rsidP="00C24648">
            <w:pPr>
              <w:spacing w:after="0" w:line="360" w:lineRule="auto"/>
              <w:contextualSpacing/>
              <w:jc w:val="both"/>
              <w:rPr>
                <w:rFonts w:ascii="Arial" w:hAnsi="Arial" w:cs="Arial"/>
                <w:sz w:val="24"/>
                <w:szCs w:val="24"/>
              </w:rPr>
            </w:pPr>
            <w:r w:rsidRPr="00C24648">
              <w:rPr>
                <w:rStyle w:val="Strong"/>
                <w:rFonts w:ascii="Arial" w:hAnsi="Arial" w:cs="Arial"/>
                <w:sz w:val="24"/>
                <w:szCs w:val="24"/>
              </w:rPr>
              <w:t>Portfolio Option</w:t>
            </w:r>
          </w:p>
        </w:tc>
        <w:tc>
          <w:tcPr>
            <w:tcW w:w="0" w:type="auto"/>
            <w:tcBorders>
              <w:top w:val="single" w:sz="6" w:space="0" w:color="auto"/>
              <w:left w:val="single" w:sz="6" w:space="0" w:color="auto"/>
              <w:bottom w:val="single" w:sz="6" w:space="0" w:color="auto"/>
              <w:right w:val="single" w:sz="6" w:space="0" w:color="auto"/>
            </w:tcBorders>
            <w:vAlign w:val="center"/>
            <w:hideMark/>
          </w:tcPr>
          <w:p w14:paraId="694B737D" w14:textId="77777777" w:rsidR="00DF1561" w:rsidRPr="00C24648" w:rsidRDefault="00DF1561" w:rsidP="00C24648">
            <w:pPr>
              <w:spacing w:after="0" w:line="360" w:lineRule="auto"/>
              <w:contextualSpacing/>
              <w:jc w:val="both"/>
              <w:rPr>
                <w:rFonts w:ascii="Arial" w:hAnsi="Arial" w:cs="Arial"/>
                <w:sz w:val="24"/>
                <w:szCs w:val="24"/>
              </w:rPr>
            </w:pPr>
            <w:r w:rsidRPr="00C24648">
              <w:rPr>
                <w:rStyle w:val="Strong"/>
                <w:rFonts w:ascii="Arial" w:hAnsi="Arial" w:cs="Arial"/>
                <w:sz w:val="24"/>
                <w:szCs w:val="24"/>
              </w:rPr>
              <w:t>Total Investment</w:t>
            </w:r>
          </w:p>
        </w:tc>
        <w:tc>
          <w:tcPr>
            <w:tcW w:w="0" w:type="auto"/>
            <w:tcBorders>
              <w:top w:val="single" w:sz="6" w:space="0" w:color="auto"/>
              <w:left w:val="single" w:sz="6" w:space="0" w:color="auto"/>
              <w:bottom w:val="single" w:sz="6" w:space="0" w:color="auto"/>
              <w:right w:val="single" w:sz="6" w:space="0" w:color="auto"/>
            </w:tcBorders>
            <w:vAlign w:val="center"/>
            <w:hideMark/>
          </w:tcPr>
          <w:p w14:paraId="0E9A6000" w14:textId="77777777" w:rsidR="00DF1561" w:rsidRPr="00C24648" w:rsidRDefault="00DF1561" w:rsidP="00C24648">
            <w:pPr>
              <w:spacing w:after="0" w:line="360" w:lineRule="auto"/>
              <w:contextualSpacing/>
              <w:jc w:val="both"/>
              <w:rPr>
                <w:rFonts w:ascii="Arial" w:hAnsi="Arial" w:cs="Arial"/>
                <w:sz w:val="24"/>
                <w:szCs w:val="24"/>
              </w:rPr>
            </w:pPr>
            <w:r w:rsidRPr="00C24648">
              <w:rPr>
                <w:rStyle w:val="Strong"/>
                <w:rFonts w:ascii="Arial" w:hAnsi="Arial" w:cs="Arial"/>
                <w:sz w:val="24"/>
                <w:szCs w:val="24"/>
              </w:rPr>
              <w:t>Total NPV</w:t>
            </w:r>
          </w:p>
        </w:tc>
        <w:tc>
          <w:tcPr>
            <w:tcW w:w="0" w:type="auto"/>
            <w:tcBorders>
              <w:top w:val="single" w:sz="6" w:space="0" w:color="auto"/>
              <w:left w:val="single" w:sz="6" w:space="0" w:color="auto"/>
              <w:bottom w:val="single" w:sz="6" w:space="0" w:color="auto"/>
              <w:right w:val="single" w:sz="6" w:space="0" w:color="auto"/>
            </w:tcBorders>
            <w:vAlign w:val="center"/>
            <w:hideMark/>
          </w:tcPr>
          <w:p w14:paraId="53618E74" w14:textId="77777777" w:rsidR="00DF1561" w:rsidRPr="00C24648" w:rsidRDefault="00DF1561" w:rsidP="00C24648">
            <w:pPr>
              <w:spacing w:after="0" w:line="360" w:lineRule="auto"/>
              <w:contextualSpacing/>
              <w:jc w:val="both"/>
              <w:rPr>
                <w:rFonts w:ascii="Arial" w:hAnsi="Arial" w:cs="Arial"/>
                <w:sz w:val="24"/>
                <w:szCs w:val="24"/>
              </w:rPr>
            </w:pPr>
            <w:r w:rsidRPr="00C24648">
              <w:rPr>
                <w:rStyle w:val="Strong"/>
                <w:rFonts w:ascii="Arial" w:hAnsi="Arial" w:cs="Arial"/>
                <w:sz w:val="24"/>
                <w:szCs w:val="24"/>
              </w:rPr>
              <w:t>Decision</w:t>
            </w:r>
          </w:p>
        </w:tc>
      </w:tr>
      <w:tr w:rsidR="00DF1561" w:rsidRPr="00C24648" w14:paraId="382144D0" w14:textId="77777777" w:rsidTr="00DF1561">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64EAB2FD"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sz w:val="24"/>
                <w:szCs w:val="24"/>
              </w:rPr>
              <w:t>Project C only</w:t>
            </w:r>
          </w:p>
        </w:tc>
        <w:tc>
          <w:tcPr>
            <w:tcW w:w="0" w:type="auto"/>
            <w:tcBorders>
              <w:top w:val="single" w:sz="6" w:space="0" w:color="auto"/>
              <w:left w:val="single" w:sz="6" w:space="0" w:color="auto"/>
              <w:bottom w:val="single" w:sz="6" w:space="0" w:color="auto"/>
              <w:right w:val="single" w:sz="6" w:space="0" w:color="auto"/>
            </w:tcBorders>
            <w:vAlign w:val="center"/>
            <w:hideMark/>
          </w:tcPr>
          <w:p w14:paraId="1AE16F66"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sz w:val="24"/>
                <w:szCs w:val="24"/>
              </w:rPr>
              <w:t>£50m</w:t>
            </w:r>
          </w:p>
        </w:tc>
        <w:tc>
          <w:tcPr>
            <w:tcW w:w="0" w:type="auto"/>
            <w:tcBorders>
              <w:top w:val="single" w:sz="6" w:space="0" w:color="auto"/>
              <w:left w:val="single" w:sz="6" w:space="0" w:color="auto"/>
              <w:bottom w:val="single" w:sz="6" w:space="0" w:color="auto"/>
              <w:right w:val="single" w:sz="6" w:space="0" w:color="auto"/>
            </w:tcBorders>
            <w:vAlign w:val="center"/>
            <w:hideMark/>
          </w:tcPr>
          <w:p w14:paraId="557B6D93"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sz w:val="24"/>
                <w:szCs w:val="24"/>
              </w:rPr>
              <w:t>+£5.48m</w:t>
            </w:r>
          </w:p>
        </w:tc>
        <w:tc>
          <w:tcPr>
            <w:tcW w:w="0" w:type="auto"/>
            <w:tcBorders>
              <w:top w:val="single" w:sz="6" w:space="0" w:color="auto"/>
              <w:left w:val="single" w:sz="6" w:space="0" w:color="auto"/>
              <w:bottom w:val="single" w:sz="6" w:space="0" w:color="auto"/>
              <w:right w:val="single" w:sz="6" w:space="0" w:color="auto"/>
            </w:tcBorders>
            <w:vAlign w:val="center"/>
            <w:hideMark/>
          </w:tcPr>
          <w:p w14:paraId="7B279237"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b/>
                <w:bCs/>
                <w:sz w:val="24"/>
                <w:szCs w:val="24"/>
              </w:rPr>
              <w:t>Optimal</w:t>
            </w:r>
          </w:p>
        </w:tc>
      </w:tr>
      <w:tr w:rsidR="00DF1561" w:rsidRPr="00C24648" w14:paraId="73F50C3E" w14:textId="77777777" w:rsidTr="00DF1561">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6F59AAB7"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sz w:val="24"/>
                <w:szCs w:val="24"/>
              </w:rPr>
              <w:t>Project C + A</w:t>
            </w:r>
          </w:p>
        </w:tc>
        <w:tc>
          <w:tcPr>
            <w:tcW w:w="0" w:type="auto"/>
            <w:tcBorders>
              <w:top w:val="single" w:sz="6" w:space="0" w:color="auto"/>
              <w:left w:val="single" w:sz="6" w:space="0" w:color="auto"/>
              <w:bottom w:val="single" w:sz="6" w:space="0" w:color="auto"/>
              <w:right w:val="single" w:sz="6" w:space="0" w:color="auto"/>
            </w:tcBorders>
            <w:vAlign w:val="center"/>
            <w:hideMark/>
          </w:tcPr>
          <w:p w14:paraId="5DF70F70"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sz w:val="24"/>
                <w:szCs w:val="24"/>
              </w:rPr>
              <w:t>£100m</w:t>
            </w:r>
          </w:p>
        </w:tc>
        <w:tc>
          <w:tcPr>
            <w:tcW w:w="0" w:type="auto"/>
            <w:tcBorders>
              <w:top w:val="single" w:sz="6" w:space="0" w:color="auto"/>
              <w:left w:val="single" w:sz="6" w:space="0" w:color="auto"/>
              <w:bottom w:val="single" w:sz="6" w:space="0" w:color="auto"/>
              <w:right w:val="single" w:sz="6" w:space="0" w:color="auto"/>
            </w:tcBorders>
            <w:vAlign w:val="center"/>
            <w:hideMark/>
          </w:tcPr>
          <w:p w14:paraId="6A181753"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sz w:val="24"/>
                <w:szCs w:val="24"/>
              </w:rPr>
              <w:t>+£5.48 + (-£8.67) = -£3.19m</w:t>
            </w:r>
          </w:p>
        </w:tc>
        <w:tc>
          <w:tcPr>
            <w:tcW w:w="0" w:type="auto"/>
            <w:tcBorders>
              <w:top w:val="single" w:sz="6" w:space="0" w:color="auto"/>
              <w:left w:val="single" w:sz="6" w:space="0" w:color="auto"/>
              <w:bottom w:val="single" w:sz="6" w:space="0" w:color="auto"/>
              <w:right w:val="single" w:sz="6" w:space="0" w:color="auto"/>
            </w:tcBorders>
            <w:vAlign w:val="center"/>
            <w:hideMark/>
          </w:tcPr>
          <w:p w14:paraId="3943AA9D"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sz w:val="24"/>
                <w:szCs w:val="24"/>
              </w:rPr>
              <w:t>Reject</w:t>
            </w:r>
          </w:p>
        </w:tc>
      </w:tr>
      <w:tr w:rsidR="00DF1561" w:rsidRPr="00C24648" w14:paraId="6886D0B5" w14:textId="77777777" w:rsidTr="00DF1561">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1AE3A41B"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sz w:val="24"/>
                <w:szCs w:val="24"/>
              </w:rPr>
              <w:t>Project C + B</w:t>
            </w:r>
          </w:p>
        </w:tc>
        <w:tc>
          <w:tcPr>
            <w:tcW w:w="0" w:type="auto"/>
            <w:tcBorders>
              <w:top w:val="single" w:sz="6" w:space="0" w:color="auto"/>
              <w:left w:val="single" w:sz="6" w:space="0" w:color="auto"/>
              <w:bottom w:val="single" w:sz="6" w:space="0" w:color="auto"/>
              <w:right w:val="single" w:sz="6" w:space="0" w:color="auto"/>
            </w:tcBorders>
            <w:vAlign w:val="center"/>
            <w:hideMark/>
          </w:tcPr>
          <w:p w14:paraId="2A1B63C5"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sz w:val="24"/>
                <w:szCs w:val="24"/>
              </w:rPr>
              <w:t>£100m</w:t>
            </w:r>
          </w:p>
        </w:tc>
        <w:tc>
          <w:tcPr>
            <w:tcW w:w="0" w:type="auto"/>
            <w:tcBorders>
              <w:top w:val="single" w:sz="6" w:space="0" w:color="auto"/>
              <w:left w:val="single" w:sz="6" w:space="0" w:color="auto"/>
              <w:bottom w:val="single" w:sz="6" w:space="0" w:color="auto"/>
              <w:right w:val="single" w:sz="6" w:space="0" w:color="auto"/>
            </w:tcBorders>
            <w:vAlign w:val="center"/>
            <w:hideMark/>
          </w:tcPr>
          <w:p w14:paraId="77CF4CBD"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sz w:val="24"/>
                <w:szCs w:val="24"/>
              </w:rPr>
              <w:t>+£5.48 + (-£8.31) = -£2.83m</w:t>
            </w:r>
          </w:p>
        </w:tc>
        <w:tc>
          <w:tcPr>
            <w:tcW w:w="0" w:type="auto"/>
            <w:tcBorders>
              <w:top w:val="single" w:sz="6" w:space="0" w:color="auto"/>
              <w:left w:val="single" w:sz="6" w:space="0" w:color="auto"/>
              <w:bottom w:val="single" w:sz="6" w:space="0" w:color="auto"/>
              <w:right w:val="single" w:sz="6" w:space="0" w:color="auto"/>
            </w:tcBorders>
            <w:vAlign w:val="center"/>
            <w:hideMark/>
          </w:tcPr>
          <w:p w14:paraId="66BFD622" w14:textId="77777777" w:rsidR="00DF1561" w:rsidRPr="00C24648" w:rsidRDefault="00DF1561" w:rsidP="00C24648">
            <w:pPr>
              <w:spacing w:after="0" w:line="360" w:lineRule="auto"/>
              <w:contextualSpacing/>
              <w:jc w:val="both"/>
              <w:rPr>
                <w:rFonts w:ascii="Arial" w:hAnsi="Arial" w:cs="Arial"/>
                <w:sz w:val="24"/>
                <w:szCs w:val="24"/>
              </w:rPr>
            </w:pPr>
            <w:r w:rsidRPr="00C24648">
              <w:rPr>
                <w:rFonts w:ascii="Arial" w:hAnsi="Arial" w:cs="Arial"/>
                <w:sz w:val="24"/>
                <w:szCs w:val="24"/>
              </w:rPr>
              <w:t>Reject</w:t>
            </w:r>
          </w:p>
        </w:tc>
      </w:tr>
    </w:tbl>
    <w:p w14:paraId="1701A159" w14:textId="77777777" w:rsidR="00DF1561" w:rsidRPr="00C24648" w:rsidRDefault="00DF1561" w:rsidP="00C24648">
      <w:pPr>
        <w:pStyle w:val="NormalWeb"/>
        <w:spacing w:before="0" w:beforeAutospacing="0" w:after="0" w:afterAutospacing="0" w:line="360" w:lineRule="auto"/>
        <w:contextualSpacing/>
        <w:jc w:val="both"/>
        <w:rPr>
          <w:rFonts w:ascii="Arial" w:hAnsi="Arial" w:cs="Arial"/>
        </w:rPr>
      </w:pPr>
      <w:r w:rsidRPr="00C24648">
        <w:rPr>
          <w:rFonts w:ascii="Arial" w:hAnsi="Arial" w:cs="Arial"/>
          <w:b/>
          <w:bCs/>
        </w:rPr>
        <w:t>Justification:</w:t>
      </w:r>
      <w:r w:rsidRPr="00C24648">
        <w:rPr>
          <w:rFonts w:ascii="Arial" w:hAnsi="Arial" w:cs="Arial"/>
        </w:rPr>
        <w:t xml:space="preserve"> Under the principle of value maximization, the Group should only invest in projects where </w:t>
      </w:r>
      <w:r w:rsidRPr="00C24648">
        <w:rPr>
          <w:rStyle w:val="math-inline"/>
          <w:rFonts w:ascii="Arial" w:hAnsi="Arial" w:cs="Arial"/>
        </w:rPr>
        <w:t>$NPV &gt; 0$</w:t>
      </w:r>
      <w:r w:rsidRPr="00C24648">
        <w:rPr>
          <w:rFonts w:ascii="Arial" w:hAnsi="Arial" w:cs="Arial"/>
        </w:rPr>
        <w:t>. Even with surplus capital, investing in Projects A or B would dilute the total value of the firm.</w:t>
      </w:r>
    </w:p>
    <w:p w14:paraId="477A469C" w14:textId="77777777" w:rsidR="00DF1561" w:rsidRPr="00C24648" w:rsidRDefault="00DF1561" w:rsidP="00C24648">
      <w:pPr>
        <w:spacing w:after="0" w:line="360" w:lineRule="auto"/>
        <w:contextualSpacing/>
        <w:jc w:val="both"/>
        <w:rPr>
          <w:rFonts w:ascii="Arial" w:hAnsi="Arial" w:cs="Arial"/>
          <w:sz w:val="24"/>
          <w:szCs w:val="24"/>
        </w:rPr>
      </w:pPr>
    </w:p>
    <w:p w14:paraId="141CB5F6" w14:textId="77777777" w:rsidR="00DF1561" w:rsidRPr="00C24648" w:rsidRDefault="00DF1561" w:rsidP="00C24648">
      <w:pPr>
        <w:spacing w:after="0" w:line="360" w:lineRule="auto"/>
        <w:contextualSpacing/>
        <w:jc w:val="both"/>
        <w:rPr>
          <w:rFonts w:ascii="Arial" w:hAnsi="Arial" w:cs="Arial"/>
          <w:sz w:val="24"/>
          <w:szCs w:val="24"/>
        </w:rPr>
      </w:pPr>
    </w:p>
    <w:p w14:paraId="585854B0" w14:textId="77777777" w:rsidR="00DF1561" w:rsidRPr="00C24648" w:rsidRDefault="00DF1561" w:rsidP="00C24648">
      <w:pPr>
        <w:spacing w:after="0" w:line="360" w:lineRule="auto"/>
        <w:contextualSpacing/>
        <w:jc w:val="both"/>
        <w:rPr>
          <w:rFonts w:ascii="Arial" w:hAnsi="Arial" w:cs="Arial"/>
          <w:sz w:val="24"/>
          <w:szCs w:val="24"/>
        </w:rPr>
      </w:pPr>
    </w:p>
    <w:p w14:paraId="2EBAF0BE" w14:textId="77777777" w:rsidR="00F95F29" w:rsidRPr="00C24648" w:rsidRDefault="00F95F29" w:rsidP="00C24648">
      <w:pPr>
        <w:spacing w:after="0" w:line="360" w:lineRule="auto"/>
        <w:contextualSpacing/>
        <w:jc w:val="both"/>
        <w:rPr>
          <w:rFonts w:ascii="Arial" w:hAnsi="Arial" w:cs="Arial"/>
          <w:sz w:val="24"/>
          <w:szCs w:val="24"/>
        </w:rPr>
      </w:pPr>
    </w:p>
    <w:sectPr w:rsidR="00F95F29" w:rsidRPr="00C24648">
      <w:footerReference w:type="defaul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AC31E2" w14:textId="77777777" w:rsidR="00F94AE7" w:rsidRDefault="00F94AE7" w:rsidP="00DF1561">
      <w:pPr>
        <w:spacing w:after="0" w:line="240" w:lineRule="auto"/>
      </w:pPr>
      <w:r>
        <w:separator/>
      </w:r>
    </w:p>
  </w:endnote>
  <w:endnote w:type="continuationSeparator" w:id="0">
    <w:p w14:paraId="39548A05" w14:textId="77777777" w:rsidR="00F94AE7" w:rsidRDefault="00F94AE7" w:rsidP="00DF15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48128225"/>
      <w:docPartObj>
        <w:docPartGallery w:val="Page Numbers (Bottom of Page)"/>
        <w:docPartUnique/>
      </w:docPartObj>
    </w:sdtPr>
    <w:sdtEndPr>
      <w:rPr>
        <w:noProof/>
      </w:rPr>
    </w:sdtEndPr>
    <w:sdtContent>
      <w:p w14:paraId="5782EAEA" w14:textId="0EA5C6ED" w:rsidR="00DF1561" w:rsidRDefault="00DF156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1F9C3E3" w14:textId="77777777" w:rsidR="00DF1561" w:rsidRDefault="00DF15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238ECC" w14:textId="77777777" w:rsidR="00F94AE7" w:rsidRDefault="00F94AE7" w:rsidP="00DF1561">
      <w:pPr>
        <w:spacing w:after="0" w:line="240" w:lineRule="auto"/>
      </w:pPr>
      <w:r>
        <w:separator/>
      </w:r>
    </w:p>
  </w:footnote>
  <w:footnote w:type="continuationSeparator" w:id="0">
    <w:p w14:paraId="67DBB5F9" w14:textId="77777777" w:rsidR="00F94AE7" w:rsidRDefault="00F94AE7" w:rsidP="00DF156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DB4449"/>
    <w:multiLevelType w:val="multilevel"/>
    <w:tmpl w:val="C7F6A3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8E711B5"/>
    <w:multiLevelType w:val="multilevel"/>
    <w:tmpl w:val="F850DB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37F770D"/>
    <w:multiLevelType w:val="multilevel"/>
    <w:tmpl w:val="23CCB46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1F65C65"/>
    <w:multiLevelType w:val="multilevel"/>
    <w:tmpl w:val="B14AE2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5CC0655"/>
    <w:multiLevelType w:val="multilevel"/>
    <w:tmpl w:val="5A7EFA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B365587"/>
    <w:multiLevelType w:val="multilevel"/>
    <w:tmpl w:val="DA2AF61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6D528F6"/>
    <w:multiLevelType w:val="multilevel"/>
    <w:tmpl w:val="5254EA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09510546">
    <w:abstractNumId w:val="3"/>
  </w:num>
  <w:num w:numId="2" w16cid:durableId="99834209">
    <w:abstractNumId w:val="1"/>
  </w:num>
  <w:num w:numId="3" w16cid:durableId="606082863">
    <w:abstractNumId w:val="0"/>
  </w:num>
  <w:num w:numId="4" w16cid:durableId="1147431547">
    <w:abstractNumId w:val="2"/>
  </w:num>
  <w:num w:numId="5" w16cid:durableId="1505584266">
    <w:abstractNumId w:val="5"/>
  </w:num>
  <w:num w:numId="6" w16cid:durableId="2136362380">
    <w:abstractNumId w:val="6"/>
  </w:num>
  <w:num w:numId="7" w16cid:durableId="125589240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34C6"/>
    <w:rsid w:val="000326CF"/>
    <w:rsid w:val="00096300"/>
    <w:rsid w:val="000B6661"/>
    <w:rsid w:val="000D7818"/>
    <w:rsid w:val="000E3C52"/>
    <w:rsid w:val="000F772B"/>
    <w:rsid w:val="001018CF"/>
    <w:rsid w:val="00104EA2"/>
    <w:rsid w:val="00115D80"/>
    <w:rsid w:val="001240B6"/>
    <w:rsid w:val="00132008"/>
    <w:rsid w:val="001454A2"/>
    <w:rsid w:val="001526C1"/>
    <w:rsid w:val="00161117"/>
    <w:rsid w:val="00222AC9"/>
    <w:rsid w:val="002B5B4B"/>
    <w:rsid w:val="00353721"/>
    <w:rsid w:val="003A5105"/>
    <w:rsid w:val="003B3EA7"/>
    <w:rsid w:val="003B5B69"/>
    <w:rsid w:val="003E5E23"/>
    <w:rsid w:val="005272C9"/>
    <w:rsid w:val="0057222C"/>
    <w:rsid w:val="005760E6"/>
    <w:rsid w:val="00577A72"/>
    <w:rsid w:val="005A263C"/>
    <w:rsid w:val="00650803"/>
    <w:rsid w:val="0065596F"/>
    <w:rsid w:val="00676CC2"/>
    <w:rsid w:val="00693D8D"/>
    <w:rsid w:val="006A2F1D"/>
    <w:rsid w:val="006B351B"/>
    <w:rsid w:val="006C1B87"/>
    <w:rsid w:val="006E45A0"/>
    <w:rsid w:val="006F42AA"/>
    <w:rsid w:val="007011D9"/>
    <w:rsid w:val="0072568B"/>
    <w:rsid w:val="00731EC3"/>
    <w:rsid w:val="007A294A"/>
    <w:rsid w:val="007A53E7"/>
    <w:rsid w:val="007C1107"/>
    <w:rsid w:val="007E6E4C"/>
    <w:rsid w:val="007F4160"/>
    <w:rsid w:val="0084596F"/>
    <w:rsid w:val="00847879"/>
    <w:rsid w:val="00857535"/>
    <w:rsid w:val="00897448"/>
    <w:rsid w:val="00897F7B"/>
    <w:rsid w:val="008B03BF"/>
    <w:rsid w:val="008D50A4"/>
    <w:rsid w:val="00936EBA"/>
    <w:rsid w:val="00987963"/>
    <w:rsid w:val="009944DA"/>
    <w:rsid w:val="009957B1"/>
    <w:rsid w:val="009A0D8D"/>
    <w:rsid w:val="009F4A30"/>
    <w:rsid w:val="00A85C12"/>
    <w:rsid w:val="00A90AC2"/>
    <w:rsid w:val="00AC2911"/>
    <w:rsid w:val="00AC6A20"/>
    <w:rsid w:val="00B20877"/>
    <w:rsid w:val="00B4777E"/>
    <w:rsid w:val="00B54794"/>
    <w:rsid w:val="00BD35C4"/>
    <w:rsid w:val="00BD5E56"/>
    <w:rsid w:val="00BE09E0"/>
    <w:rsid w:val="00BF5AB1"/>
    <w:rsid w:val="00BF73E5"/>
    <w:rsid w:val="00C24648"/>
    <w:rsid w:val="00C24E83"/>
    <w:rsid w:val="00C62BC2"/>
    <w:rsid w:val="00C71DD1"/>
    <w:rsid w:val="00C86DFD"/>
    <w:rsid w:val="00CD015C"/>
    <w:rsid w:val="00CD7930"/>
    <w:rsid w:val="00CE3C7A"/>
    <w:rsid w:val="00CF014C"/>
    <w:rsid w:val="00CF72E0"/>
    <w:rsid w:val="00D017A1"/>
    <w:rsid w:val="00D1574C"/>
    <w:rsid w:val="00D37CFF"/>
    <w:rsid w:val="00D656CA"/>
    <w:rsid w:val="00D9686E"/>
    <w:rsid w:val="00DF1561"/>
    <w:rsid w:val="00E9022D"/>
    <w:rsid w:val="00EB34C6"/>
    <w:rsid w:val="00EE7003"/>
    <w:rsid w:val="00F665F3"/>
    <w:rsid w:val="00F87482"/>
    <w:rsid w:val="00F94AE7"/>
    <w:rsid w:val="00F95F29"/>
    <w:rsid w:val="00FD638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DF6D7B"/>
  <w15:docId w15:val="{3267B5CC-FB4E-48E2-A95A-F7A127F6B0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EB34C6"/>
    <w:pPr>
      <w:spacing w:before="100" w:beforeAutospacing="1" w:after="100" w:afterAutospacing="1" w:line="240" w:lineRule="auto"/>
      <w:outlineLvl w:val="0"/>
    </w:pPr>
    <w:rPr>
      <w:rFonts w:ascii="Times New Roman" w:eastAsia="Times New Roman" w:hAnsi="Times New Roman" w:cs="Times New Roman"/>
      <w:b/>
      <w:bCs/>
      <w:kern w:val="36"/>
      <w:sz w:val="48"/>
      <w:szCs w:val="48"/>
      <w14:ligatures w14:val="none"/>
    </w:rPr>
  </w:style>
  <w:style w:type="paragraph" w:styleId="Heading2">
    <w:name w:val="heading 2"/>
    <w:basedOn w:val="Normal"/>
    <w:next w:val="Normal"/>
    <w:link w:val="Heading2Char"/>
    <w:uiPriority w:val="9"/>
    <w:unhideWhenUsed/>
    <w:qFormat/>
    <w:rsid w:val="007E6E4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86DF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DF1561"/>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34C6"/>
    <w:rPr>
      <w:rFonts w:ascii="Times New Roman" w:eastAsia="Times New Roman" w:hAnsi="Times New Roman" w:cs="Times New Roman"/>
      <w:b/>
      <w:bCs/>
      <w:kern w:val="36"/>
      <w:sz w:val="48"/>
      <w:szCs w:val="48"/>
      <w14:ligatures w14:val="none"/>
    </w:rPr>
  </w:style>
  <w:style w:type="paragraph" w:styleId="NormalWeb">
    <w:name w:val="Normal (Web)"/>
    <w:basedOn w:val="Normal"/>
    <w:uiPriority w:val="99"/>
    <w:unhideWhenUsed/>
    <w:rsid w:val="00EB34C6"/>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whitespace-normal">
    <w:name w:val="whitespace-normal"/>
    <w:basedOn w:val="DefaultParagraphFont"/>
    <w:rsid w:val="00EB34C6"/>
  </w:style>
  <w:style w:type="character" w:customStyle="1" w:styleId="Heading3Char">
    <w:name w:val="Heading 3 Char"/>
    <w:basedOn w:val="DefaultParagraphFont"/>
    <w:link w:val="Heading3"/>
    <w:uiPriority w:val="9"/>
    <w:rsid w:val="00C86DFD"/>
    <w:rPr>
      <w:rFonts w:asciiTheme="majorHAnsi" w:eastAsiaTheme="majorEastAsia" w:hAnsiTheme="majorHAnsi" w:cstheme="majorBidi"/>
      <w:color w:val="1F3763" w:themeColor="accent1" w:themeShade="7F"/>
      <w:sz w:val="24"/>
      <w:szCs w:val="24"/>
    </w:rPr>
  </w:style>
  <w:style w:type="character" w:styleId="Strong">
    <w:name w:val="Strong"/>
    <w:basedOn w:val="DefaultParagraphFont"/>
    <w:uiPriority w:val="22"/>
    <w:qFormat/>
    <w:rsid w:val="00C24E83"/>
    <w:rPr>
      <w:b/>
      <w:bCs/>
    </w:rPr>
  </w:style>
  <w:style w:type="character" w:customStyle="1" w:styleId="math-inline">
    <w:name w:val="math-inline"/>
    <w:basedOn w:val="DefaultParagraphFont"/>
    <w:rsid w:val="00C24E83"/>
  </w:style>
  <w:style w:type="character" w:customStyle="1" w:styleId="Heading2Char">
    <w:name w:val="Heading 2 Char"/>
    <w:basedOn w:val="DefaultParagraphFont"/>
    <w:link w:val="Heading2"/>
    <w:uiPriority w:val="9"/>
    <w:rsid w:val="007E6E4C"/>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DF156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5">
    <w:name w:val="Plain Table 5"/>
    <w:basedOn w:val="TableNormal"/>
    <w:uiPriority w:val="45"/>
    <w:rsid w:val="00DF1561"/>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character" w:customStyle="1" w:styleId="citation-271">
    <w:name w:val="citation-271"/>
    <w:basedOn w:val="DefaultParagraphFont"/>
    <w:rsid w:val="00DF1561"/>
  </w:style>
  <w:style w:type="character" w:customStyle="1" w:styleId="citation-270">
    <w:name w:val="citation-270"/>
    <w:basedOn w:val="DefaultParagraphFont"/>
    <w:rsid w:val="00DF1561"/>
  </w:style>
  <w:style w:type="character" w:customStyle="1" w:styleId="citation-269">
    <w:name w:val="citation-269"/>
    <w:basedOn w:val="DefaultParagraphFont"/>
    <w:rsid w:val="00DF1561"/>
  </w:style>
  <w:style w:type="character" w:customStyle="1" w:styleId="citation-268">
    <w:name w:val="citation-268"/>
    <w:basedOn w:val="DefaultParagraphFont"/>
    <w:rsid w:val="00DF1561"/>
  </w:style>
  <w:style w:type="character" w:customStyle="1" w:styleId="citation-267">
    <w:name w:val="citation-267"/>
    <w:basedOn w:val="DefaultParagraphFont"/>
    <w:rsid w:val="00DF1561"/>
  </w:style>
  <w:style w:type="character" w:customStyle="1" w:styleId="citation-266">
    <w:name w:val="citation-266"/>
    <w:basedOn w:val="DefaultParagraphFont"/>
    <w:rsid w:val="00DF1561"/>
  </w:style>
  <w:style w:type="character" w:customStyle="1" w:styleId="citation-265">
    <w:name w:val="citation-265"/>
    <w:basedOn w:val="DefaultParagraphFont"/>
    <w:rsid w:val="00DF1561"/>
  </w:style>
  <w:style w:type="character" w:customStyle="1" w:styleId="citation-264">
    <w:name w:val="citation-264"/>
    <w:basedOn w:val="DefaultParagraphFont"/>
    <w:rsid w:val="00DF1561"/>
  </w:style>
  <w:style w:type="character" w:customStyle="1" w:styleId="citation-263">
    <w:name w:val="citation-263"/>
    <w:basedOn w:val="DefaultParagraphFont"/>
    <w:rsid w:val="00DF1561"/>
  </w:style>
  <w:style w:type="character" w:customStyle="1" w:styleId="citation-262">
    <w:name w:val="citation-262"/>
    <w:basedOn w:val="DefaultParagraphFont"/>
    <w:rsid w:val="00DF1561"/>
  </w:style>
  <w:style w:type="character" w:customStyle="1" w:styleId="citation-237">
    <w:name w:val="citation-237"/>
    <w:basedOn w:val="DefaultParagraphFont"/>
    <w:rsid w:val="00DF1561"/>
  </w:style>
  <w:style w:type="character" w:customStyle="1" w:styleId="citation-236">
    <w:name w:val="citation-236"/>
    <w:basedOn w:val="DefaultParagraphFont"/>
    <w:rsid w:val="00DF1561"/>
  </w:style>
  <w:style w:type="character" w:customStyle="1" w:styleId="citation-235">
    <w:name w:val="citation-235"/>
    <w:basedOn w:val="DefaultParagraphFont"/>
    <w:rsid w:val="00DF1561"/>
  </w:style>
  <w:style w:type="character" w:customStyle="1" w:styleId="citation-234">
    <w:name w:val="citation-234"/>
    <w:basedOn w:val="DefaultParagraphFont"/>
    <w:rsid w:val="00DF1561"/>
  </w:style>
  <w:style w:type="character" w:customStyle="1" w:styleId="citation-233">
    <w:name w:val="citation-233"/>
    <w:basedOn w:val="DefaultParagraphFont"/>
    <w:rsid w:val="00DF1561"/>
  </w:style>
  <w:style w:type="character" w:customStyle="1" w:styleId="citation-232">
    <w:name w:val="citation-232"/>
    <w:basedOn w:val="DefaultParagraphFont"/>
    <w:rsid w:val="00DF1561"/>
  </w:style>
  <w:style w:type="character" w:customStyle="1" w:styleId="Heading4Char">
    <w:name w:val="Heading 4 Char"/>
    <w:basedOn w:val="DefaultParagraphFont"/>
    <w:link w:val="Heading4"/>
    <w:uiPriority w:val="9"/>
    <w:semiHidden/>
    <w:rsid w:val="00DF1561"/>
    <w:rPr>
      <w:rFonts w:asciiTheme="majorHAnsi" w:eastAsiaTheme="majorEastAsia" w:hAnsiTheme="majorHAnsi" w:cstheme="majorBidi"/>
      <w:i/>
      <w:iCs/>
      <w:color w:val="2F5496" w:themeColor="accent1" w:themeShade="BF"/>
    </w:rPr>
  </w:style>
  <w:style w:type="paragraph" w:styleId="Header">
    <w:name w:val="header"/>
    <w:basedOn w:val="Normal"/>
    <w:link w:val="HeaderChar"/>
    <w:uiPriority w:val="99"/>
    <w:unhideWhenUsed/>
    <w:rsid w:val="00DF1561"/>
    <w:pPr>
      <w:tabs>
        <w:tab w:val="center" w:pos="4680"/>
        <w:tab w:val="right" w:pos="9360"/>
      </w:tabs>
      <w:spacing w:after="0" w:line="240" w:lineRule="auto"/>
    </w:pPr>
  </w:style>
  <w:style w:type="character" w:customStyle="1" w:styleId="HeaderChar">
    <w:name w:val="Header Char"/>
    <w:basedOn w:val="DefaultParagraphFont"/>
    <w:link w:val="Header"/>
    <w:uiPriority w:val="99"/>
    <w:rsid w:val="00DF1561"/>
  </w:style>
  <w:style w:type="paragraph" w:styleId="Footer">
    <w:name w:val="footer"/>
    <w:basedOn w:val="Normal"/>
    <w:link w:val="FooterChar"/>
    <w:uiPriority w:val="99"/>
    <w:unhideWhenUsed/>
    <w:rsid w:val="00DF1561"/>
    <w:pPr>
      <w:tabs>
        <w:tab w:val="center" w:pos="4680"/>
        <w:tab w:val="right" w:pos="9360"/>
      </w:tabs>
      <w:spacing w:after="0" w:line="240" w:lineRule="auto"/>
    </w:pPr>
  </w:style>
  <w:style w:type="character" w:customStyle="1" w:styleId="FooterChar">
    <w:name w:val="Footer Char"/>
    <w:basedOn w:val="DefaultParagraphFont"/>
    <w:link w:val="Footer"/>
    <w:uiPriority w:val="99"/>
    <w:rsid w:val="00DF1561"/>
  </w:style>
  <w:style w:type="paragraph" w:styleId="TOCHeading">
    <w:name w:val="TOC Heading"/>
    <w:basedOn w:val="Heading1"/>
    <w:next w:val="Normal"/>
    <w:uiPriority w:val="39"/>
    <w:unhideWhenUsed/>
    <w:qFormat/>
    <w:rsid w:val="00DF1561"/>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Normal"/>
    <w:next w:val="Normal"/>
    <w:autoRedefine/>
    <w:uiPriority w:val="39"/>
    <w:unhideWhenUsed/>
    <w:rsid w:val="00DF1561"/>
    <w:pPr>
      <w:spacing w:after="100"/>
    </w:pPr>
  </w:style>
  <w:style w:type="paragraph" w:styleId="TOC2">
    <w:name w:val="toc 2"/>
    <w:basedOn w:val="Normal"/>
    <w:next w:val="Normal"/>
    <w:autoRedefine/>
    <w:uiPriority w:val="39"/>
    <w:unhideWhenUsed/>
    <w:rsid w:val="00DF1561"/>
    <w:pPr>
      <w:spacing w:after="100"/>
      <w:ind w:left="220"/>
    </w:pPr>
  </w:style>
  <w:style w:type="paragraph" w:styleId="TOC3">
    <w:name w:val="toc 3"/>
    <w:basedOn w:val="Normal"/>
    <w:next w:val="Normal"/>
    <w:autoRedefine/>
    <w:uiPriority w:val="39"/>
    <w:unhideWhenUsed/>
    <w:rsid w:val="00DF1561"/>
    <w:pPr>
      <w:spacing w:after="100"/>
      <w:ind w:left="440"/>
    </w:pPr>
  </w:style>
  <w:style w:type="character" w:styleId="Hyperlink">
    <w:name w:val="Hyperlink"/>
    <w:basedOn w:val="DefaultParagraphFont"/>
    <w:uiPriority w:val="99"/>
    <w:unhideWhenUsed/>
    <w:rsid w:val="00DF156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5419984">
      <w:bodyDiv w:val="1"/>
      <w:marLeft w:val="0"/>
      <w:marRight w:val="0"/>
      <w:marTop w:val="0"/>
      <w:marBottom w:val="0"/>
      <w:divBdr>
        <w:top w:val="none" w:sz="0" w:space="0" w:color="auto"/>
        <w:left w:val="none" w:sz="0" w:space="0" w:color="auto"/>
        <w:bottom w:val="none" w:sz="0" w:space="0" w:color="auto"/>
        <w:right w:val="none" w:sz="0" w:space="0" w:color="auto"/>
      </w:divBdr>
    </w:div>
    <w:div w:id="171531309">
      <w:bodyDiv w:val="1"/>
      <w:marLeft w:val="0"/>
      <w:marRight w:val="0"/>
      <w:marTop w:val="0"/>
      <w:marBottom w:val="0"/>
      <w:divBdr>
        <w:top w:val="none" w:sz="0" w:space="0" w:color="auto"/>
        <w:left w:val="none" w:sz="0" w:space="0" w:color="auto"/>
        <w:bottom w:val="none" w:sz="0" w:space="0" w:color="auto"/>
        <w:right w:val="none" w:sz="0" w:space="0" w:color="auto"/>
      </w:divBdr>
    </w:div>
    <w:div w:id="186912457">
      <w:bodyDiv w:val="1"/>
      <w:marLeft w:val="0"/>
      <w:marRight w:val="0"/>
      <w:marTop w:val="0"/>
      <w:marBottom w:val="0"/>
      <w:divBdr>
        <w:top w:val="none" w:sz="0" w:space="0" w:color="auto"/>
        <w:left w:val="none" w:sz="0" w:space="0" w:color="auto"/>
        <w:bottom w:val="none" w:sz="0" w:space="0" w:color="auto"/>
        <w:right w:val="none" w:sz="0" w:space="0" w:color="auto"/>
      </w:divBdr>
    </w:div>
    <w:div w:id="210382856">
      <w:bodyDiv w:val="1"/>
      <w:marLeft w:val="0"/>
      <w:marRight w:val="0"/>
      <w:marTop w:val="0"/>
      <w:marBottom w:val="0"/>
      <w:divBdr>
        <w:top w:val="none" w:sz="0" w:space="0" w:color="auto"/>
        <w:left w:val="none" w:sz="0" w:space="0" w:color="auto"/>
        <w:bottom w:val="none" w:sz="0" w:space="0" w:color="auto"/>
        <w:right w:val="none" w:sz="0" w:space="0" w:color="auto"/>
      </w:divBdr>
    </w:div>
    <w:div w:id="214699414">
      <w:bodyDiv w:val="1"/>
      <w:marLeft w:val="0"/>
      <w:marRight w:val="0"/>
      <w:marTop w:val="0"/>
      <w:marBottom w:val="0"/>
      <w:divBdr>
        <w:top w:val="none" w:sz="0" w:space="0" w:color="auto"/>
        <w:left w:val="none" w:sz="0" w:space="0" w:color="auto"/>
        <w:bottom w:val="none" w:sz="0" w:space="0" w:color="auto"/>
        <w:right w:val="none" w:sz="0" w:space="0" w:color="auto"/>
      </w:divBdr>
    </w:div>
    <w:div w:id="243270067">
      <w:bodyDiv w:val="1"/>
      <w:marLeft w:val="0"/>
      <w:marRight w:val="0"/>
      <w:marTop w:val="0"/>
      <w:marBottom w:val="0"/>
      <w:divBdr>
        <w:top w:val="none" w:sz="0" w:space="0" w:color="auto"/>
        <w:left w:val="none" w:sz="0" w:space="0" w:color="auto"/>
        <w:bottom w:val="none" w:sz="0" w:space="0" w:color="auto"/>
        <w:right w:val="none" w:sz="0" w:space="0" w:color="auto"/>
      </w:divBdr>
    </w:div>
    <w:div w:id="252280628">
      <w:bodyDiv w:val="1"/>
      <w:marLeft w:val="0"/>
      <w:marRight w:val="0"/>
      <w:marTop w:val="0"/>
      <w:marBottom w:val="0"/>
      <w:divBdr>
        <w:top w:val="none" w:sz="0" w:space="0" w:color="auto"/>
        <w:left w:val="none" w:sz="0" w:space="0" w:color="auto"/>
        <w:bottom w:val="none" w:sz="0" w:space="0" w:color="auto"/>
        <w:right w:val="none" w:sz="0" w:space="0" w:color="auto"/>
      </w:divBdr>
    </w:div>
    <w:div w:id="265618628">
      <w:bodyDiv w:val="1"/>
      <w:marLeft w:val="0"/>
      <w:marRight w:val="0"/>
      <w:marTop w:val="0"/>
      <w:marBottom w:val="0"/>
      <w:divBdr>
        <w:top w:val="none" w:sz="0" w:space="0" w:color="auto"/>
        <w:left w:val="none" w:sz="0" w:space="0" w:color="auto"/>
        <w:bottom w:val="none" w:sz="0" w:space="0" w:color="auto"/>
        <w:right w:val="none" w:sz="0" w:space="0" w:color="auto"/>
      </w:divBdr>
    </w:div>
    <w:div w:id="326057117">
      <w:bodyDiv w:val="1"/>
      <w:marLeft w:val="0"/>
      <w:marRight w:val="0"/>
      <w:marTop w:val="0"/>
      <w:marBottom w:val="0"/>
      <w:divBdr>
        <w:top w:val="none" w:sz="0" w:space="0" w:color="auto"/>
        <w:left w:val="none" w:sz="0" w:space="0" w:color="auto"/>
        <w:bottom w:val="none" w:sz="0" w:space="0" w:color="auto"/>
        <w:right w:val="none" w:sz="0" w:space="0" w:color="auto"/>
      </w:divBdr>
    </w:div>
    <w:div w:id="331422269">
      <w:bodyDiv w:val="1"/>
      <w:marLeft w:val="0"/>
      <w:marRight w:val="0"/>
      <w:marTop w:val="0"/>
      <w:marBottom w:val="0"/>
      <w:divBdr>
        <w:top w:val="none" w:sz="0" w:space="0" w:color="auto"/>
        <w:left w:val="none" w:sz="0" w:space="0" w:color="auto"/>
        <w:bottom w:val="none" w:sz="0" w:space="0" w:color="auto"/>
        <w:right w:val="none" w:sz="0" w:space="0" w:color="auto"/>
      </w:divBdr>
      <w:divsChild>
        <w:div w:id="384373304">
          <w:marLeft w:val="0"/>
          <w:marRight w:val="0"/>
          <w:marTop w:val="0"/>
          <w:marBottom w:val="0"/>
          <w:divBdr>
            <w:top w:val="none" w:sz="0" w:space="0" w:color="auto"/>
            <w:left w:val="none" w:sz="0" w:space="0" w:color="auto"/>
            <w:bottom w:val="none" w:sz="0" w:space="0" w:color="auto"/>
            <w:right w:val="none" w:sz="0" w:space="0" w:color="auto"/>
          </w:divBdr>
          <w:divsChild>
            <w:div w:id="243229520">
              <w:marLeft w:val="0"/>
              <w:marRight w:val="0"/>
              <w:marTop w:val="0"/>
              <w:marBottom w:val="0"/>
              <w:divBdr>
                <w:top w:val="none" w:sz="0" w:space="0" w:color="auto"/>
                <w:left w:val="none" w:sz="0" w:space="0" w:color="auto"/>
                <w:bottom w:val="none" w:sz="0" w:space="0" w:color="auto"/>
                <w:right w:val="none" w:sz="0" w:space="0" w:color="auto"/>
              </w:divBdr>
            </w:div>
          </w:divsChild>
        </w:div>
        <w:div w:id="1581796244">
          <w:marLeft w:val="0"/>
          <w:marRight w:val="0"/>
          <w:marTop w:val="0"/>
          <w:marBottom w:val="0"/>
          <w:divBdr>
            <w:top w:val="none" w:sz="0" w:space="0" w:color="auto"/>
            <w:left w:val="none" w:sz="0" w:space="0" w:color="auto"/>
            <w:bottom w:val="none" w:sz="0" w:space="0" w:color="auto"/>
            <w:right w:val="none" w:sz="0" w:space="0" w:color="auto"/>
          </w:divBdr>
          <w:divsChild>
            <w:div w:id="1006177824">
              <w:marLeft w:val="0"/>
              <w:marRight w:val="0"/>
              <w:marTop w:val="0"/>
              <w:marBottom w:val="0"/>
              <w:divBdr>
                <w:top w:val="none" w:sz="0" w:space="0" w:color="auto"/>
                <w:left w:val="none" w:sz="0" w:space="0" w:color="auto"/>
                <w:bottom w:val="none" w:sz="0" w:space="0" w:color="auto"/>
                <w:right w:val="none" w:sz="0" w:space="0" w:color="auto"/>
              </w:divBdr>
              <w:divsChild>
                <w:div w:id="849947753">
                  <w:marLeft w:val="0"/>
                  <w:marRight w:val="0"/>
                  <w:marTop w:val="0"/>
                  <w:marBottom w:val="0"/>
                  <w:divBdr>
                    <w:top w:val="none" w:sz="0" w:space="0" w:color="auto"/>
                    <w:left w:val="none" w:sz="0" w:space="0" w:color="auto"/>
                    <w:bottom w:val="none" w:sz="0" w:space="0" w:color="auto"/>
                    <w:right w:val="none" w:sz="0" w:space="0" w:color="auto"/>
                  </w:divBdr>
                  <w:divsChild>
                    <w:div w:id="272904941">
                      <w:marLeft w:val="0"/>
                      <w:marRight w:val="0"/>
                      <w:marTop w:val="0"/>
                      <w:marBottom w:val="0"/>
                      <w:divBdr>
                        <w:top w:val="none" w:sz="0" w:space="0" w:color="auto"/>
                        <w:left w:val="none" w:sz="0" w:space="0" w:color="auto"/>
                        <w:bottom w:val="none" w:sz="0" w:space="0" w:color="auto"/>
                        <w:right w:val="none" w:sz="0" w:space="0" w:color="auto"/>
                      </w:divBdr>
                      <w:divsChild>
                        <w:div w:id="1474180894">
                          <w:marLeft w:val="0"/>
                          <w:marRight w:val="0"/>
                          <w:marTop w:val="0"/>
                          <w:marBottom w:val="0"/>
                          <w:divBdr>
                            <w:top w:val="none" w:sz="0" w:space="0" w:color="auto"/>
                            <w:left w:val="none" w:sz="0" w:space="0" w:color="auto"/>
                            <w:bottom w:val="none" w:sz="0" w:space="0" w:color="auto"/>
                            <w:right w:val="none" w:sz="0" w:space="0" w:color="auto"/>
                          </w:divBdr>
                          <w:divsChild>
                            <w:div w:id="909777560">
                              <w:marLeft w:val="0"/>
                              <w:marRight w:val="0"/>
                              <w:marTop w:val="0"/>
                              <w:marBottom w:val="0"/>
                              <w:divBdr>
                                <w:top w:val="none" w:sz="0" w:space="0" w:color="auto"/>
                                <w:left w:val="none" w:sz="0" w:space="0" w:color="auto"/>
                                <w:bottom w:val="none" w:sz="0" w:space="0" w:color="auto"/>
                                <w:right w:val="none" w:sz="0" w:space="0" w:color="auto"/>
                              </w:divBdr>
                              <w:divsChild>
                                <w:div w:id="503936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97438494">
      <w:bodyDiv w:val="1"/>
      <w:marLeft w:val="0"/>
      <w:marRight w:val="0"/>
      <w:marTop w:val="0"/>
      <w:marBottom w:val="0"/>
      <w:divBdr>
        <w:top w:val="none" w:sz="0" w:space="0" w:color="auto"/>
        <w:left w:val="none" w:sz="0" w:space="0" w:color="auto"/>
        <w:bottom w:val="none" w:sz="0" w:space="0" w:color="auto"/>
        <w:right w:val="none" w:sz="0" w:space="0" w:color="auto"/>
      </w:divBdr>
    </w:div>
    <w:div w:id="408624978">
      <w:bodyDiv w:val="1"/>
      <w:marLeft w:val="0"/>
      <w:marRight w:val="0"/>
      <w:marTop w:val="0"/>
      <w:marBottom w:val="0"/>
      <w:divBdr>
        <w:top w:val="none" w:sz="0" w:space="0" w:color="auto"/>
        <w:left w:val="none" w:sz="0" w:space="0" w:color="auto"/>
        <w:bottom w:val="none" w:sz="0" w:space="0" w:color="auto"/>
        <w:right w:val="none" w:sz="0" w:space="0" w:color="auto"/>
      </w:divBdr>
      <w:divsChild>
        <w:div w:id="1815946651">
          <w:marLeft w:val="0"/>
          <w:marRight w:val="0"/>
          <w:marTop w:val="0"/>
          <w:marBottom w:val="0"/>
          <w:divBdr>
            <w:top w:val="none" w:sz="0" w:space="0" w:color="auto"/>
            <w:left w:val="none" w:sz="0" w:space="0" w:color="auto"/>
            <w:bottom w:val="none" w:sz="0" w:space="0" w:color="auto"/>
            <w:right w:val="none" w:sz="0" w:space="0" w:color="auto"/>
          </w:divBdr>
          <w:divsChild>
            <w:div w:id="616644598">
              <w:marLeft w:val="0"/>
              <w:marRight w:val="0"/>
              <w:marTop w:val="0"/>
              <w:marBottom w:val="0"/>
              <w:divBdr>
                <w:top w:val="none" w:sz="0" w:space="0" w:color="auto"/>
                <w:left w:val="none" w:sz="0" w:space="0" w:color="auto"/>
                <w:bottom w:val="none" w:sz="0" w:space="0" w:color="auto"/>
                <w:right w:val="none" w:sz="0" w:space="0" w:color="auto"/>
              </w:divBdr>
            </w:div>
          </w:divsChild>
        </w:div>
        <w:div w:id="1821995647">
          <w:marLeft w:val="0"/>
          <w:marRight w:val="0"/>
          <w:marTop w:val="0"/>
          <w:marBottom w:val="0"/>
          <w:divBdr>
            <w:top w:val="none" w:sz="0" w:space="0" w:color="auto"/>
            <w:left w:val="none" w:sz="0" w:space="0" w:color="auto"/>
            <w:bottom w:val="none" w:sz="0" w:space="0" w:color="auto"/>
            <w:right w:val="none" w:sz="0" w:space="0" w:color="auto"/>
          </w:divBdr>
          <w:divsChild>
            <w:div w:id="1232539238">
              <w:marLeft w:val="0"/>
              <w:marRight w:val="0"/>
              <w:marTop w:val="0"/>
              <w:marBottom w:val="0"/>
              <w:divBdr>
                <w:top w:val="none" w:sz="0" w:space="0" w:color="auto"/>
                <w:left w:val="none" w:sz="0" w:space="0" w:color="auto"/>
                <w:bottom w:val="none" w:sz="0" w:space="0" w:color="auto"/>
                <w:right w:val="none" w:sz="0" w:space="0" w:color="auto"/>
              </w:divBdr>
              <w:divsChild>
                <w:div w:id="2073965507">
                  <w:marLeft w:val="0"/>
                  <w:marRight w:val="0"/>
                  <w:marTop w:val="0"/>
                  <w:marBottom w:val="0"/>
                  <w:divBdr>
                    <w:top w:val="none" w:sz="0" w:space="0" w:color="auto"/>
                    <w:left w:val="none" w:sz="0" w:space="0" w:color="auto"/>
                    <w:bottom w:val="none" w:sz="0" w:space="0" w:color="auto"/>
                    <w:right w:val="none" w:sz="0" w:space="0" w:color="auto"/>
                  </w:divBdr>
                  <w:divsChild>
                    <w:div w:id="1984502058">
                      <w:marLeft w:val="0"/>
                      <w:marRight w:val="0"/>
                      <w:marTop w:val="0"/>
                      <w:marBottom w:val="0"/>
                      <w:divBdr>
                        <w:top w:val="none" w:sz="0" w:space="0" w:color="auto"/>
                        <w:left w:val="none" w:sz="0" w:space="0" w:color="auto"/>
                        <w:bottom w:val="none" w:sz="0" w:space="0" w:color="auto"/>
                        <w:right w:val="none" w:sz="0" w:space="0" w:color="auto"/>
                      </w:divBdr>
                      <w:divsChild>
                        <w:div w:id="1482770407">
                          <w:marLeft w:val="0"/>
                          <w:marRight w:val="0"/>
                          <w:marTop w:val="0"/>
                          <w:marBottom w:val="0"/>
                          <w:divBdr>
                            <w:top w:val="none" w:sz="0" w:space="0" w:color="auto"/>
                            <w:left w:val="none" w:sz="0" w:space="0" w:color="auto"/>
                            <w:bottom w:val="none" w:sz="0" w:space="0" w:color="auto"/>
                            <w:right w:val="none" w:sz="0" w:space="0" w:color="auto"/>
                          </w:divBdr>
                          <w:divsChild>
                            <w:div w:id="1722754280">
                              <w:marLeft w:val="0"/>
                              <w:marRight w:val="0"/>
                              <w:marTop w:val="0"/>
                              <w:marBottom w:val="0"/>
                              <w:divBdr>
                                <w:top w:val="none" w:sz="0" w:space="0" w:color="auto"/>
                                <w:left w:val="none" w:sz="0" w:space="0" w:color="auto"/>
                                <w:bottom w:val="none" w:sz="0" w:space="0" w:color="auto"/>
                                <w:right w:val="none" w:sz="0" w:space="0" w:color="auto"/>
                              </w:divBdr>
                              <w:divsChild>
                                <w:div w:id="1574855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49981193">
      <w:bodyDiv w:val="1"/>
      <w:marLeft w:val="0"/>
      <w:marRight w:val="0"/>
      <w:marTop w:val="0"/>
      <w:marBottom w:val="0"/>
      <w:divBdr>
        <w:top w:val="none" w:sz="0" w:space="0" w:color="auto"/>
        <w:left w:val="none" w:sz="0" w:space="0" w:color="auto"/>
        <w:bottom w:val="none" w:sz="0" w:space="0" w:color="auto"/>
        <w:right w:val="none" w:sz="0" w:space="0" w:color="auto"/>
      </w:divBdr>
    </w:div>
    <w:div w:id="595097389">
      <w:bodyDiv w:val="1"/>
      <w:marLeft w:val="0"/>
      <w:marRight w:val="0"/>
      <w:marTop w:val="0"/>
      <w:marBottom w:val="0"/>
      <w:divBdr>
        <w:top w:val="none" w:sz="0" w:space="0" w:color="auto"/>
        <w:left w:val="none" w:sz="0" w:space="0" w:color="auto"/>
        <w:bottom w:val="none" w:sz="0" w:space="0" w:color="auto"/>
        <w:right w:val="none" w:sz="0" w:space="0" w:color="auto"/>
      </w:divBdr>
      <w:divsChild>
        <w:div w:id="982390683">
          <w:marLeft w:val="0"/>
          <w:marRight w:val="0"/>
          <w:marTop w:val="0"/>
          <w:marBottom w:val="0"/>
          <w:divBdr>
            <w:top w:val="none" w:sz="0" w:space="0" w:color="auto"/>
            <w:left w:val="none" w:sz="0" w:space="0" w:color="auto"/>
            <w:bottom w:val="none" w:sz="0" w:space="0" w:color="auto"/>
            <w:right w:val="none" w:sz="0" w:space="0" w:color="auto"/>
          </w:divBdr>
          <w:divsChild>
            <w:div w:id="1088884892">
              <w:marLeft w:val="0"/>
              <w:marRight w:val="0"/>
              <w:marTop w:val="0"/>
              <w:marBottom w:val="0"/>
              <w:divBdr>
                <w:top w:val="none" w:sz="0" w:space="0" w:color="auto"/>
                <w:left w:val="none" w:sz="0" w:space="0" w:color="auto"/>
                <w:bottom w:val="none" w:sz="0" w:space="0" w:color="auto"/>
                <w:right w:val="none" w:sz="0" w:space="0" w:color="auto"/>
              </w:divBdr>
              <w:divsChild>
                <w:div w:id="1305546708">
                  <w:marLeft w:val="0"/>
                  <w:marRight w:val="0"/>
                  <w:marTop w:val="0"/>
                  <w:marBottom w:val="0"/>
                  <w:divBdr>
                    <w:top w:val="none" w:sz="0" w:space="0" w:color="auto"/>
                    <w:left w:val="none" w:sz="0" w:space="0" w:color="auto"/>
                    <w:bottom w:val="none" w:sz="0" w:space="0" w:color="auto"/>
                    <w:right w:val="none" w:sz="0" w:space="0" w:color="auto"/>
                  </w:divBdr>
                  <w:divsChild>
                    <w:div w:id="1300309554">
                      <w:marLeft w:val="0"/>
                      <w:marRight w:val="0"/>
                      <w:marTop w:val="0"/>
                      <w:marBottom w:val="0"/>
                      <w:divBdr>
                        <w:top w:val="none" w:sz="0" w:space="0" w:color="auto"/>
                        <w:left w:val="none" w:sz="0" w:space="0" w:color="auto"/>
                        <w:bottom w:val="none" w:sz="0" w:space="0" w:color="auto"/>
                        <w:right w:val="none" w:sz="0" w:space="0" w:color="auto"/>
                      </w:divBdr>
                      <w:divsChild>
                        <w:div w:id="66734397">
                          <w:marLeft w:val="0"/>
                          <w:marRight w:val="0"/>
                          <w:marTop w:val="0"/>
                          <w:marBottom w:val="0"/>
                          <w:divBdr>
                            <w:top w:val="none" w:sz="0" w:space="0" w:color="auto"/>
                            <w:left w:val="none" w:sz="0" w:space="0" w:color="auto"/>
                            <w:bottom w:val="none" w:sz="0" w:space="0" w:color="auto"/>
                            <w:right w:val="none" w:sz="0" w:space="0" w:color="auto"/>
                          </w:divBdr>
                          <w:divsChild>
                            <w:div w:id="191921277">
                              <w:marLeft w:val="0"/>
                              <w:marRight w:val="0"/>
                              <w:marTop w:val="0"/>
                              <w:marBottom w:val="0"/>
                              <w:divBdr>
                                <w:top w:val="none" w:sz="0" w:space="0" w:color="auto"/>
                                <w:left w:val="none" w:sz="0" w:space="0" w:color="auto"/>
                                <w:bottom w:val="none" w:sz="0" w:space="0" w:color="auto"/>
                                <w:right w:val="none" w:sz="0" w:space="0" w:color="auto"/>
                              </w:divBdr>
                              <w:divsChild>
                                <w:div w:id="1076589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64875258">
          <w:marLeft w:val="0"/>
          <w:marRight w:val="0"/>
          <w:marTop w:val="0"/>
          <w:marBottom w:val="0"/>
          <w:divBdr>
            <w:top w:val="none" w:sz="0" w:space="0" w:color="auto"/>
            <w:left w:val="none" w:sz="0" w:space="0" w:color="auto"/>
            <w:bottom w:val="none" w:sz="0" w:space="0" w:color="auto"/>
            <w:right w:val="none" w:sz="0" w:space="0" w:color="auto"/>
          </w:divBdr>
          <w:divsChild>
            <w:div w:id="232589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7246653">
      <w:bodyDiv w:val="1"/>
      <w:marLeft w:val="0"/>
      <w:marRight w:val="0"/>
      <w:marTop w:val="0"/>
      <w:marBottom w:val="0"/>
      <w:divBdr>
        <w:top w:val="none" w:sz="0" w:space="0" w:color="auto"/>
        <w:left w:val="none" w:sz="0" w:space="0" w:color="auto"/>
        <w:bottom w:val="none" w:sz="0" w:space="0" w:color="auto"/>
        <w:right w:val="none" w:sz="0" w:space="0" w:color="auto"/>
      </w:divBdr>
    </w:div>
    <w:div w:id="735979534">
      <w:bodyDiv w:val="1"/>
      <w:marLeft w:val="0"/>
      <w:marRight w:val="0"/>
      <w:marTop w:val="0"/>
      <w:marBottom w:val="0"/>
      <w:divBdr>
        <w:top w:val="none" w:sz="0" w:space="0" w:color="auto"/>
        <w:left w:val="none" w:sz="0" w:space="0" w:color="auto"/>
        <w:bottom w:val="none" w:sz="0" w:space="0" w:color="auto"/>
        <w:right w:val="none" w:sz="0" w:space="0" w:color="auto"/>
      </w:divBdr>
    </w:div>
    <w:div w:id="762073168">
      <w:bodyDiv w:val="1"/>
      <w:marLeft w:val="0"/>
      <w:marRight w:val="0"/>
      <w:marTop w:val="0"/>
      <w:marBottom w:val="0"/>
      <w:divBdr>
        <w:top w:val="none" w:sz="0" w:space="0" w:color="auto"/>
        <w:left w:val="none" w:sz="0" w:space="0" w:color="auto"/>
        <w:bottom w:val="none" w:sz="0" w:space="0" w:color="auto"/>
        <w:right w:val="none" w:sz="0" w:space="0" w:color="auto"/>
      </w:divBdr>
    </w:div>
    <w:div w:id="847791088">
      <w:bodyDiv w:val="1"/>
      <w:marLeft w:val="0"/>
      <w:marRight w:val="0"/>
      <w:marTop w:val="0"/>
      <w:marBottom w:val="0"/>
      <w:divBdr>
        <w:top w:val="none" w:sz="0" w:space="0" w:color="auto"/>
        <w:left w:val="none" w:sz="0" w:space="0" w:color="auto"/>
        <w:bottom w:val="none" w:sz="0" w:space="0" w:color="auto"/>
        <w:right w:val="none" w:sz="0" w:space="0" w:color="auto"/>
      </w:divBdr>
    </w:div>
    <w:div w:id="964845815">
      <w:bodyDiv w:val="1"/>
      <w:marLeft w:val="0"/>
      <w:marRight w:val="0"/>
      <w:marTop w:val="0"/>
      <w:marBottom w:val="0"/>
      <w:divBdr>
        <w:top w:val="none" w:sz="0" w:space="0" w:color="auto"/>
        <w:left w:val="none" w:sz="0" w:space="0" w:color="auto"/>
        <w:bottom w:val="none" w:sz="0" w:space="0" w:color="auto"/>
        <w:right w:val="none" w:sz="0" w:space="0" w:color="auto"/>
      </w:divBdr>
      <w:divsChild>
        <w:div w:id="1695374898">
          <w:marLeft w:val="0"/>
          <w:marRight w:val="0"/>
          <w:marTop w:val="0"/>
          <w:marBottom w:val="0"/>
          <w:divBdr>
            <w:top w:val="none" w:sz="0" w:space="0" w:color="auto"/>
            <w:left w:val="none" w:sz="0" w:space="0" w:color="auto"/>
            <w:bottom w:val="none" w:sz="0" w:space="0" w:color="auto"/>
            <w:right w:val="none" w:sz="0" w:space="0" w:color="auto"/>
          </w:divBdr>
          <w:divsChild>
            <w:div w:id="657616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1052904">
      <w:bodyDiv w:val="1"/>
      <w:marLeft w:val="0"/>
      <w:marRight w:val="0"/>
      <w:marTop w:val="0"/>
      <w:marBottom w:val="0"/>
      <w:divBdr>
        <w:top w:val="none" w:sz="0" w:space="0" w:color="auto"/>
        <w:left w:val="none" w:sz="0" w:space="0" w:color="auto"/>
        <w:bottom w:val="none" w:sz="0" w:space="0" w:color="auto"/>
        <w:right w:val="none" w:sz="0" w:space="0" w:color="auto"/>
      </w:divBdr>
    </w:div>
    <w:div w:id="1098983428">
      <w:bodyDiv w:val="1"/>
      <w:marLeft w:val="0"/>
      <w:marRight w:val="0"/>
      <w:marTop w:val="0"/>
      <w:marBottom w:val="0"/>
      <w:divBdr>
        <w:top w:val="none" w:sz="0" w:space="0" w:color="auto"/>
        <w:left w:val="none" w:sz="0" w:space="0" w:color="auto"/>
        <w:bottom w:val="none" w:sz="0" w:space="0" w:color="auto"/>
        <w:right w:val="none" w:sz="0" w:space="0" w:color="auto"/>
      </w:divBdr>
    </w:div>
    <w:div w:id="1133986192">
      <w:bodyDiv w:val="1"/>
      <w:marLeft w:val="0"/>
      <w:marRight w:val="0"/>
      <w:marTop w:val="0"/>
      <w:marBottom w:val="0"/>
      <w:divBdr>
        <w:top w:val="none" w:sz="0" w:space="0" w:color="auto"/>
        <w:left w:val="none" w:sz="0" w:space="0" w:color="auto"/>
        <w:bottom w:val="none" w:sz="0" w:space="0" w:color="auto"/>
        <w:right w:val="none" w:sz="0" w:space="0" w:color="auto"/>
      </w:divBdr>
      <w:divsChild>
        <w:div w:id="217520278">
          <w:marLeft w:val="0"/>
          <w:marRight w:val="0"/>
          <w:marTop w:val="0"/>
          <w:marBottom w:val="0"/>
          <w:divBdr>
            <w:top w:val="none" w:sz="0" w:space="0" w:color="auto"/>
            <w:left w:val="none" w:sz="0" w:space="0" w:color="auto"/>
            <w:bottom w:val="none" w:sz="0" w:space="0" w:color="auto"/>
            <w:right w:val="none" w:sz="0" w:space="0" w:color="auto"/>
          </w:divBdr>
          <w:divsChild>
            <w:div w:id="1518083268">
              <w:marLeft w:val="0"/>
              <w:marRight w:val="0"/>
              <w:marTop w:val="0"/>
              <w:marBottom w:val="0"/>
              <w:divBdr>
                <w:top w:val="none" w:sz="0" w:space="0" w:color="auto"/>
                <w:left w:val="none" w:sz="0" w:space="0" w:color="auto"/>
                <w:bottom w:val="none" w:sz="0" w:space="0" w:color="auto"/>
                <w:right w:val="none" w:sz="0" w:space="0" w:color="auto"/>
              </w:divBdr>
              <w:divsChild>
                <w:div w:id="1526168003">
                  <w:marLeft w:val="0"/>
                  <w:marRight w:val="0"/>
                  <w:marTop w:val="0"/>
                  <w:marBottom w:val="0"/>
                  <w:divBdr>
                    <w:top w:val="none" w:sz="0" w:space="0" w:color="auto"/>
                    <w:left w:val="none" w:sz="0" w:space="0" w:color="auto"/>
                    <w:bottom w:val="none" w:sz="0" w:space="0" w:color="auto"/>
                    <w:right w:val="none" w:sz="0" w:space="0" w:color="auto"/>
                  </w:divBdr>
                  <w:divsChild>
                    <w:div w:id="1286153211">
                      <w:marLeft w:val="0"/>
                      <w:marRight w:val="0"/>
                      <w:marTop w:val="0"/>
                      <w:marBottom w:val="0"/>
                      <w:divBdr>
                        <w:top w:val="none" w:sz="0" w:space="0" w:color="auto"/>
                        <w:left w:val="none" w:sz="0" w:space="0" w:color="auto"/>
                        <w:bottom w:val="none" w:sz="0" w:space="0" w:color="auto"/>
                        <w:right w:val="none" w:sz="0" w:space="0" w:color="auto"/>
                      </w:divBdr>
                      <w:divsChild>
                        <w:div w:id="380520768">
                          <w:marLeft w:val="0"/>
                          <w:marRight w:val="0"/>
                          <w:marTop w:val="0"/>
                          <w:marBottom w:val="0"/>
                          <w:divBdr>
                            <w:top w:val="none" w:sz="0" w:space="0" w:color="auto"/>
                            <w:left w:val="none" w:sz="0" w:space="0" w:color="auto"/>
                            <w:bottom w:val="none" w:sz="0" w:space="0" w:color="auto"/>
                            <w:right w:val="none" w:sz="0" w:space="0" w:color="auto"/>
                          </w:divBdr>
                          <w:divsChild>
                            <w:div w:id="1909145058">
                              <w:marLeft w:val="0"/>
                              <w:marRight w:val="0"/>
                              <w:marTop w:val="0"/>
                              <w:marBottom w:val="0"/>
                              <w:divBdr>
                                <w:top w:val="none" w:sz="0" w:space="0" w:color="auto"/>
                                <w:left w:val="none" w:sz="0" w:space="0" w:color="auto"/>
                                <w:bottom w:val="none" w:sz="0" w:space="0" w:color="auto"/>
                                <w:right w:val="none" w:sz="0" w:space="0" w:color="auto"/>
                              </w:divBdr>
                              <w:divsChild>
                                <w:div w:id="603224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14981059">
          <w:marLeft w:val="0"/>
          <w:marRight w:val="0"/>
          <w:marTop w:val="0"/>
          <w:marBottom w:val="0"/>
          <w:divBdr>
            <w:top w:val="none" w:sz="0" w:space="0" w:color="auto"/>
            <w:left w:val="none" w:sz="0" w:space="0" w:color="auto"/>
            <w:bottom w:val="none" w:sz="0" w:space="0" w:color="auto"/>
            <w:right w:val="none" w:sz="0" w:space="0" w:color="auto"/>
          </w:divBdr>
          <w:divsChild>
            <w:div w:id="449859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9418828">
      <w:bodyDiv w:val="1"/>
      <w:marLeft w:val="0"/>
      <w:marRight w:val="0"/>
      <w:marTop w:val="0"/>
      <w:marBottom w:val="0"/>
      <w:divBdr>
        <w:top w:val="none" w:sz="0" w:space="0" w:color="auto"/>
        <w:left w:val="none" w:sz="0" w:space="0" w:color="auto"/>
        <w:bottom w:val="none" w:sz="0" w:space="0" w:color="auto"/>
        <w:right w:val="none" w:sz="0" w:space="0" w:color="auto"/>
      </w:divBdr>
    </w:div>
    <w:div w:id="1310212180">
      <w:bodyDiv w:val="1"/>
      <w:marLeft w:val="0"/>
      <w:marRight w:val="0"/>
      <w:marTop w:val="0"/>
      <w:marBottom w:val="0"/>
      <w:divBdr>
        <w:top w:val="none" w:sz="0" w:space="0" w:color="auto"/>
        <w:left w:val="none" w:sz="0" w:space="0" w:color="auto"/>
        <w:bottom w:val="none" w:sz="0" w:space="0" w:color="auto"/>
        <w:right w:val="none" w:sz="0" w:space="0" w:color="auto"/>
      </w:divBdr>
    </w:div>
    <w:div w:id="1319529532">
      <w:bodyDiv w:val="1"/>
      <w:marLeft w:val="0"/>
      <w:marRight w:val="0"/>
      <w:marTop w:val="0"/>
      <w:marBottom w:val="0"/>
      <w:divBdr>
        <w:top w:val="none" w:sz="0" w:space="0" w:color="auto"/>
        <w:left w:val="none" w:sz="0" w:space="0" w:color="auto"/>
        <w:bottom w:val="none" w:sz="0" w:space="0" w:color="auto"/>
        <w:right w:val="none" w:sz="0" w:space="0" w:color="auto"/>
      </w:divBdr>
    </w:div>
    <w:div w:id="1323662095">
      <w:bodyDiv w:val="1"/>
      <w:marLeft w:val="0"/>
      <w:marRight w:val="0"/>
      <w:marTop w:val="0"/>
      <w:marBottom w:val="0"/>
      <w:divBdr>
        <w:top w:val="none" w:sz="0" w:space="0" w:color="auto"/>
        <w:left w:val="none" w:sz="0" w:space="0" w:color="auto"/>
        <w:bottom w:val="none" w:sz="0" w:space="0" w:color="auto"/>
        <w:right w:val="none" w:sz="0" w:space="0" w:color="auto"/>
      </w:divBdr>
    </w:div>
    <w:div w:id="1441294375">
      <w:bodyDiv w:val="1"/>
      <w:marLeft w:val="0"/>
      <w:marRight w:val="0"/>
      <w:marTop w:val="0"/>
      <w:marBottom w:val="0"/>
      <w:divBdr>
        <w:top w:val="none" w:sz="0" w:space="0" w:color="auto"/>
        <w:left w:val="none" w:sz="0" w:space="0" w:color="auto"/>
        <w:bottom w:val="none" w:sz="0" w:space="0" w:color="auto"/>
        <w:right w:val="none" w:sz="0" w:space="0" w:color="auto"/>
      </w:divBdr>
    </w:div>
    <w:div w:id="1463110189">
      <w:bodyDiv w:val="1"/>
      <w:marLeft w:val="0"/>
      <w:marRight w:val="0"/>
      <w:marTop w:val="0"/>
      <w:marBottom w:val="0"/>
      <w:divBdr>
        <w:top w:val="none" w:sz="0" w:space="0" w:color="auto"/>
        <w:left w:val="none" w:sz="0" w:space="0" w:color="auto"/>
        <w:bottom w:val="none" w:sz="0" w:space="0" w:color="auto"/>
        <w:right w:val="none" w:sz="0" w:space="0" w:color="auto"/>
      </w:divBdr>
    </w:div>
    <w:div w:id="1545211082">
      <w:bodyDiv w:val="1"/>
      <w:marLeft w:val="0"/>
      <w:marRight w:val="0"/>
      <w:marTop w:val="0"/>
      <w:marBottom w:val="0"/>
      <w:divBdr>
        <w:top w:val="none" w:sz="0" w:space="0" w:color="auto"/>
        <w:left w:val="none" w:sz="0" w:space="0" w:color="auto"/>
        <w:bottom w:val="none" w:sz="0" w:space="0" w:color="auto"/>
        <w:right w:val="none" w:sz="0" w:space="0" w:color="auto"/>
      </w:divBdr>
    </w:div>
    <w:div w:id="1562716757">
      <w:bodyDiv w:val="1"/>
      <w:marLeft w:val="0"/>
      <w:marRight w:val="0"/>
      <w:marTop w:val="0"/>
      <w:marBottom w:val="0"/>
      <w:divBdr>
        <w:top w:val="none" w:sz="0" w:space="0" w:color="auto"/>
        <w:left w:val="none" w:sz="0" w:space="0" w:color="auto"/>
        <w:bottom w:val="none" w:sz="0" w:space="0" w:color="auto"/>
        <w:right w:val="none" w:sz="0" w:space="0" w:color="auto"/>
      </w:divBdr>
    </w:div>
    <w:div w:id="1609199967">
      <w:bodyDiv w:val="1"/>
      <w:marLeft w:val="0"/>
      <w:marRight w:val="0"/>
      <w:marTop w:val="0"/>
      <w:marBottom w:val="0"/>
      <w:divBdr>
        <w:top w:val="none" w:sz="0" w:space="0" w:color="auto"/>
        <w:left w:val="none" w:sz="0" w:space="0" w:color="auto"/>
        <w:bottom w:val="none" w:sz="0" w:space="0" w:color="auto"/>
        <w:right w:val="none" w:sz="0" w:space="0" w:color="auto"/>
      </w:divBdr>
    </w:div>
    <w:div w:id="1632704868">
      <w:bodyDiv w:val="1"/>
      <w:marLeft w:val="0"/>
      <w:marRight w:val="0"/>
      <w:marTop w:val="0"/>
      <w:marBottom w:val="0"/>
      <w:divBdr>
        <w:top w:val="none" w:sz="0" w:space="0" w:color="auto"/>
        <w:left w:val="none" w:sz="0" w:space="0" w:color="auto"/>
        <w:bottom w:val="none" w:sz="0" w:space="0" w:color="auto"/>
        <w:right w:val="none" w:sz="0" w:space="0" w:color="auto"/>
      </w:divBdr>
    </w:div>
    <w:div w:id="1668972514">
      <w:bodyDiv w:val="1"/>
      <w:marLeft w:val="0"/>
      <w:marRight w:val="0"/>
      <w:marTop w:val="0"/>
      <w:marBottom w:val="0"/>
      <w:divBdr>
        <w:top w:val="none" w:sz="0" w:space="0" w:color="auto"/>
        <w:left w:val="none" w:sz="0" w:space="0" w:color="auto"/>
        <w:bottom w:val="none" w:sz="0" w:space="0" w:color="auto"/>
        <w:right w:val="none" w:sz="0" w:space="0" w:color="auto"/>
      </w:divBdr>
    </w:div>
    <w:div w:id="1911423538">
      <w:bodyDiv w:val="1"/>
      <w:marLeft w:val="0"/>
      <w:marRight w:val="0"/>
      <w:marTop w:val="0"/>
      <w:marBottom w:val="0"/>
      <w:divBdr>
        <w:top w:val="none" w:sz="0" w:space="0" w:color="auto"/>
        <w:left w:val="none" w:sz="0" w:space="0" w:color="auto"/>
        <w:bottom w:val="none" w:sz="0" w:space="0" w:color="auto"/>
        <w:right w:val="none" w:sz="0" w:space="0" w:color="auto"/>
      </w:divBdr>
      <w:divsChild>
        <w:div w:id="764229045">
          <w:marLeft w:val="0"/>
          <w:marRight w:val="0"/>
          <w:marTop w:val="0"/>
          <w:marBottom w:val="0"/>
          <w:divBdr>
            <w:top w:val="none" w:sz="0" w:space="0" w:color="auto"/>
            <w:left w:val="none" w:sz="0" w:space="0" w:color="auto"/>
            <w:bottom w:val="none" w:sz="0" w:space="0" w:color="auto"/>
            <w:right w:val="none" w:sz="0" w:space="0" w:color="auto"/>
          </w:divBdr>
        </w:div>
      </w:divsChild>
    </w:div>
    <w:div w:id="1936091161">
      <w:bodyDiv w:val="1"/>
      <w:marLeft w:val="0"/>
      <w:marRight w:val="0"/>
      <w:marTop w:val="0"/>
      <w:marBottom w:val="0"/>
      <w:divBdr>
        <w:top w:val="none" w:sz="0" w:space="0" w:color="auto"/>
        <w:left w:val="none" w:sz="0" w:space="0" w:color="auto"/>
        <w:bottom w:val="none" w:sz="0" w:space="0" w:color="auto"/>
        <w:right w:val="none" w:sz="0" w:space="0" w:color="auto"/>
      </w:divBdr>
    </w:div>
    <w:div w:id="209539192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3271D1-DAE2-4BDF-9670-20F2DA6867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365</TotalTime>
  <Pages>30</Pages>
  <Words>7870</Words>
  <Characters>44861</Characters>
  <Application>Microsoft Office Word</Application>
  <DocSecurity>0</DocSecurity>
  <Lines>373</Lines>
  <Paragraphs>105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52626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Shrutik Sanghani</cp:lastModifiedBy>
  <cp:revision>67</cp:revision>
  <dcterms:created xsi:type="dcterms:W3CDTF">2026-04-17T04:43:00Z</dcterms:created>
  <dcterms:modified xsi:type="dcterms:W3CDTF">2026-04-23T15:27:00Z</dcterms:modified>
</cp:coreProperties>
</file>