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C7B1D" w:rsidRDefault="00AC7B1D" w:rsidP="00122D1B">
      <w:pPr>
        <w:spacing w:after="0" w:line="240" w:lineRule="auto"/>
        <w:ind w:left="-180" w:right="-334"/>
        <w:jc w:val="center"/>
        <w:rPr>
          <w:rFonts w:ascii="Arial" w:eastAsia="SimSun" w:hAnsi="Arial" w:cs="Arial"/>
          <w:b/>
          <w:color w:val="000000"/>
          <w:sz w:val="28"/>
          <w:szCs w:val="28"/>
          <w:lang w:val="cy-GB" w:eastAsia="zh-CN"/>
        </w:rPr>
      </w:pPr>
      <w:bookmarkStart w:id="0" w:name="_GoBack"/>
      <w:bookmarkEnd w:id="0"/>
    </w:p>
    <w:p w:rsidR="00122D1B" w:rsidRPr="00847A10" w:rsidRDefault="00122D1B" w:rsidP="00122D1B">
      <w:pPr>
        <w:spacing w:after="0" w:line="240" w:lineRule="auto"/>
        <w:ind w:left="-180" w:right="-334"/>
        <w:jc w:val="center"/>
        <w:rPr>
          <w:rFonts w:ascii="Arial" w:eastAsia="SimSun" w:hAnsi="Arial" w:cs="Arial"/>
          <w:b/>
          <w:color w:val="000000"/>
          <w:sz w:val="28"/>
          <w:szCs w:val="28"/>
          <w:lang w:val="cy-GB" w:eastAsia="zh-CN"/>
        </w:rPr>
      </w:pPr>
      <w:r w:rsidRPr="00847A10">
        <w:rPr>
          <w:rFonts w:ascii="Arial" w:eastAsia="SimSun" w:hAnsi="Arial" w:cs="Arial"/>
          <w:b/>
          <w:color w:val="000000"/>
          <w:sz w:val="28"/>
          <w:szCs w:val="28"/>
          <w:lang w:val="cy-GB" w:eastAsia="zh-CN"/>
        </w:rPr>
        <w:t xml:space="preserve">Postgraduate/Distance Learning </w:t>
      </w:r>
    </w:p>
    <w:p w:rsidR="00122D1B" w:rsidRPr="00847A10" w:rsidRDefault="00122D1B" w:rsidP="00122D1B">
      <w:pPr>
        <w:spacing w:after="0" w:line="240" w:lineRule="auto"/>
        <w:ind w:left="-180" w:right="-334"/>
        <w:jc w:val="center"/>
        <w:rPr>
          <w:rFonts w:ascii="Arial" w:eastAsia="SimSun" w:hAnsi="Arial" w:cs="Arial"/>
          <w:b/>
          <w:color w:val="000000"/>
          <w:sz w:val="28"/>
          <w:szCs w:val="28"/>
          <w:lang w:eastAsia="zh-CN"/>
        </w:rPr>
      </w:pPr>
      <w:r w:rsidRPr="00847A10">
        <w:rPr>
          <w:rFonts w:ascii="Arial" w:eastAsia="SimSun" w:hAnsi="Arial" w:cs="Arial"/>
          <w:b/>
          <w:color w:val="000000"/>
          <w:sz w:val="28"/>
          <w:szCs w:val="28"/>
          <w:lang w:val="cy-GB" w:eastAsia="zh-CN"/>
        </w:rPr>
        <w:t>Assignment coversheet &amp; feedback form</w:t>
      </w:r>
    </w:p>
    <w:p w:rsidR="00122D1B" w:rsidRPr="00847A10" w:rsidRDefault="00122D1B" w:rsidP="00122D1B">
      <w:pPr>
        <w:rPr>
          <w:rFonts w:ascii="Arial" w:hAnsi="Arial" w:cs="Arial"/>
          <w:sz w:val="28"/>
          <w:szCs w:val="28"/>
          <w:lang w:val="cy-GB"/>
        </w:rPr>
      </w:pPr>
    </w:p>
    <w:p w:rsidR="00122D1B" w:rsidRPr="00847A10" w:rsidRDefault="00122D1B" w:rsidP="00122D1B">
      <w:pPr>
        <w:keepNext/>
        <w:spacing w:after="0" w:line="240" w:lineRule="auto"/>
        <w:ind w:left="720"/>
        <w:jc w:val="center"/>
        <w:outlineLvl w:val="2"/>
        <w:rPr>
          <w:rFonts w:ascii="Tahoma" w:eastAsia="SimSun" w:hAnsi="Tahoma" w:cs="Tahoma"/>
          <w:b/>
          <w:bCs/>
          <w:sz w:val="20"/>
          <w:szCs w:val="20"/>
          <w:lang w:val="cy-GB" w:eastAsia="zh-CN"/>
        </w:rPr>
      </w:pPr>
      <w:r w:rsidRPr="00847A10">
        <w:rPr>
          <w:rFonts w:ascii="Tahoma" w:eastAsia="SimSun" w:hAnsi="Tahoma" w:cs="Tahoma"/>
          <w:b/>
          <w:bCs/>
          <w:sz w:val="20"/>
          <w:szCs w:val="20"/>
          <w:lang w:val="cy-GB" w:eastAsia="zh-CN"/>
        </w:rPr>
        <w:t>THIS SHEET MUST BE THE FIRST PAGE OF THE ASSIGNMENT YOU ARE SUBMITTING  (DO NOT SEND AS A SEPARATE FILE)</w:t>
      </w:r>
    </w:p>
    <w:p w:rsidR="00122D1B" w:rsidRPr="00847A10" w:rsidRDefault="00122D1B" w:rsidP="00122D1B">
      <w:pPr>
        <w:keepNext/>
        <w:spacing w:after="0" w:line="240" w:lineRule="auto"/>
        <w:ind w:left="720"/>
        <w:jc w:val="center"/>
        <w:outlineLvl w:val="2"/>
        <w:rPr>
          <w:rFonts w:ascii="Trebuchet MS" w:eastAsia="SimSun" w:hAnsi="Trebuchet MS" w:cs="Tahoma"/>
          <w:b/>
          <w:bCs/>
          <w:sz w:val="20"/>
          <w:szCs w:val="20"/>
          <w:lang w:eastAsia="zh-CN"/>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2266"/>
        <w:gridCol w:w="1802"/>
      </w:tblGrid>
      <w:tr w:rsidR="00122D1B" w:rsidRPr="00847A10" w:rsidTr="00A77774">
        <w:trPr>
          <w:trHeight w:val="614"/>
        </w:trPr>
        <w:tc>
          <w:tcPr>
            <w:tcW w:w="8856" w:type="dxa"/>
            <w:gridSpan w:val="3"/>
            <w:tcBorders>
              <w:top w:val="single" w:sz="4" w:space="0" w:color="000000"/>
              <w:left w:val="single" w:sz="4" w:space="0" w:color="000000"/>
              <w:bottom w:val="single" w:sz="4" w:space="0" w:color="000000"/>
              <w:right w:val="single" w:sz="4" w:space="0" w:color="000000"/>
            </w:tcBorders>
            <w:hideMark/>
          </w:tcPr>
          <w:p w:rsidR="00122D1B" w:rsidRPr="00847A10" w:rsidRDefault="00122D1B" w:rsidP="00A77774">
            <w:pPr>
              <w:spacing w:after="0" w:line="240" w:lineRule="auto"/>
              <w:ind w:right="34"/>
              <w:rPr>
                <w:rFonts w:ascii="Arial" w:eastAsia="SimSun" w:hAnsi="Arial" w:cs="Arial"/>
                <w:color w:val="000000"/>
                <w:lang w:eastAsia="zh-CN"/>
              </w:rPr>
            </w:pPr>
            <w:r w:rsidRPr="00847A10">
              <w:rPr>
                <w:rFonts w:ascii="Arial" w:eastAsia="SimSun" w:hAnsi="Arial" w:cs="Arial"/>
                <w:b/>
                <w:color w:val="000000"/>
                <w:lang w:eastAsia="zh-CN"/>
              </w:rPr>
              <w:t>For completion by the student</w:t>
            </w:r>
            <w:r w:rsidRPr="00847A10">
              <w:rPr>
                <w:rFonts w:ascii="Arial" w:eastAsia="SimSun" w:hAnsi="Arial" w:cs="Arial"/>
                <w:color w:val="000000"/>
                <w:lang w:eastAsia="zh-CN"/>
              </w:rPr>
              <w:t>:</w:t>
            </w:r>
          </w:p>
        </w:tc>
      </w:tr>
      <w:tr w:rsidR="00122D1B" w:rsidRPr="00847A10" w:rsidTr="00A77774">
        <w:trPr>
          <w:trHeight w:val="718"/>
        </w:trPr>
        <w:tc>
          <w:tcPr>
            <w:tcW w:w="8856" w:type="dxa"/>
            <w:gridSpan w:val="3"/>
            <w:tcBorders>
              <w:top w:val="single" w:sz="4" w:space="0" w:color="000000"/>
              <w:left w:val="single" w:sz="4" w:space="0" w:color="000000"/>
              <w:bottom w:val="single" w:sz="4" w:space="0" w:color="000000"/>
              <w:right w:val="single" w:sz="4" w:space="0" w:color="000000"/>
            </w:tcBorders>
          </w:tcPr>
          <w:p w:rsidR="00122D1B" w:rsidRPr="00847A10" w:rsidRDefault="00122D1B" w:rsidP="00A77774">
            <w:pPr>
              <w:spacing w:after="0" w:line="240" w:lineRule="auto"/>
              <w:ind w:right="34"/>
              <w:rPr>
                <w:rFonts w:ascii="Arial" w:eastAsia="SimSun" w:hAnsi="Arial" w:cs="Arial"/>
                <w:color w:val="000000"/>
                <w:lang w:eastAsia="zh-CN"/>
              </w:rPr>
            </w:pPr>
            <w:r w:rsidRPr="00847A10">
              <w:rPr>
                <w:rFonts w:ascii="Arial" w:eastAsia="SimSun" w:hAnsi="Arial" w:cs="Arial"/>
                <w:color w:val="000000"/>
                <w:lang w:eastAsia="zh-CN"/>
              </w:rPr>
              <w:t xml:space="preserve">Student Name:                    </w:t>
            </w:r>
            <w:r>
              <w:rPr>
                <w:rFonts w:ascii="Arial" w:eastAsia="SimSun" w:hAnsi="Arial" w:cs="Arial"/>
                <w:color w:val="000000"/>
                <w:lang w:eastAsia="zh-CN"/>
              </w:rPr>
              <w:t>Stephanie AW Bradley</w:t>
            </w:r>
          </w:p>
          <w:p w:rsidR="00122D1B" w:rsidRPr="00847A10" w:rsidRDefault="00122D1B" w:rsidP="00A77774">
            <w:pPr>
              <w:spacing w:after="0" w:line="240" w:lineRule="auto"/>
              <w:ind w:right="34"/>
              <w:rPr>
                <w:rFonts w:ascii="Arial" w:eastAsia="SimSun" w:hAnsi="Arial" w:cs="Arial"/>
                <w:color w:val="000000"/>
                <w:lang w:eastAsia="zh-CN"/>
              </w:rPr>
            </w:pPr>
          </w:p>
          <w:p w:rsidR="00122D1B" w:rsidRPr="00847A10" w:rsidRDefault="00122D1B" w:rsidP="00A77774">
            <w:pPr>
              <w:spacing w:after="0" w:line="240" w:lineRule="auto"/>
              <w:ind w:right="34"/>
              <w:rPr>
                <w:rFonts w:ascii="Arial" w:eastAsia="SimSun" w:hAnsi="Arial" w:cs="Arial"/>
                <w:color w:val="000000"/>
                <w:lang w:eastAsia="zh-CN"/>
              </w:rPr>
            </w:pPr>
            <w:r w:rsidRPr="00847A10">
              <w:rPr>
                <w:rFonts w:ascii="Arial" w:eastAsia="SimSun" w:hAnsi="Arial" w:cs="Arial"/>
                <w:color w:val="000000"/>
                <w:lang w:eastAsia="zh-CN"/>
              </w:rPr>
              <w:t xml:space="preserve">Student </w:t>
            </w:r>
            <w:r w:rsidRPr="00847A10">
              <w:rPr>
                <w:rFonts w:ascii="Arial" w:eastAsia="SimSun" w:hAnsi="Arial" w:cs="Arial"/>
                <w:bCs/>
                <w:color w:val="000000"/>
                <w:u w:val="single"/>
                <w:lang w:eastAsia="zh-CN"/>
              </w:rPr>
              <w:t>University</w:t>
            </w:r>
            <w:r w:rsidRPr="00847A10">
              <w:rPr>
                <w:rFonts w:ascii="Arial" w:eastAsia="SimSun" w:hAnsi="Arial" w:cs="Arial"/>
                <w:color w:val="000000"/>
                <w:u w:val="single"/>
                <w:lang w:eastAsia="zh-CN"/>
              </w:rPr>
              <w:t xml:space="preserve"> </w:t>
            </w:r>
            <w:r w:rsidRPr="00847A10">
              <w:rPr>
                <w:rFonts w:ascii="Arial" w:eastAsia="SimSun" w:hAnsi="Arial" w:cs="Arial"/>
                <w:color w:val="000000"/>
                <w:lang w:eastAsia="zh-CN"/>
              </w:rPr>
              <w:t xml:space="preserve">Email: </w:t>
            </w:r>
            <w:r>
              <w:rPr>
                <w:rFonts w:ascii="Arial" w:eastAsia="SimSun" w:hAnsi="Arial" w:cs="Arial"/>
                <w:color w:val="000000"/>
                <w:lang w:eastAsia="zh-CN"/>
              </w:rPr>
              <w:t>25000970@student.uwtsd.ac.uk</w:t>
            </w:r>
          </w:p>
        </w:tc>
      </w:tr>
      <w:tr w:rsidR="00122D1B" w:rsidRPr="00847A10" w:rsidTr="00A77774">
        <w:trPr>
          <w:trHeight w:val="849"/>
        </w:trPr>
        <w:tc>
          <w:tcPr>
            <w:tcW w:w="4788" w:type="dxa"/>
            <w:tcBorders>
              <w:top w:val="single" w:sz="4" w:space="0" w:color="000000"/>
              <w:left w:val="single" w:sz="4" w:space="0" w:color="000000"/>
              <w:bottom w:val="single" w:sz="4" w:space="0" w:color="000000"/>
              <w:right w:val="single" w:sz="4" w:space="0" w:color="000000"/>
            </w:tcBorders>
          </w:tcPr>
          <w:p w:rsidR="00122D1B" w:rsidRPr="00847A10" w:rsidRDefault="00122D1B" w:rsidP="00A77774">
            <w:pPr>
              <w:spacing w:after="0" w:line="240" w:lineRule="auto"/>
              <w:ind w:right="34"/>
              <w:rPr>
                <w:rFonts w:ascii="Arial" w:eastAsia="SimSun" w:hAnsi="Arial" w:cs="Arial"/>
                <w:color w:val="000000"/>
                <w:lang w:eastAsia="zh-CN"/>
              </w:rPr>
            </w:pPr>
            <w:r w:rsidRPr="00847A10">
              <w:rPr>
                <w:rFonts w:ascii="Arial" w:eastAsia="SimSun" w:hAnsi="Arial" w:cs="Arial"/>
                <w:color w:val="000000"/>
                <w:lang w:eastAsia="zh-CN"/>
              </w:rPr>
              <w:t>Module code: CYCS7019</w:t>
            </w:r>
          </w:p>
          <w:p w:rsidR="00122D1B" w:rsidRPr="00847A10" w:rsidRDefault="00122D1B" w:rsidP="00A77774">
            <w:pPr>
              <w:spacing w:after="0" w:line="240" w:lineRule="auto"/>
              <w:ind w:right="34"/>
              <w:rPr>
                <w:rFonts w:ascii="Arial" w:eastAsia="SimSun" w:hAnsi="Arial" w:cs="Arial"/>
                <w:color w:val="000000"/>
                <w:lang w:eastAsia="zh-CN"/>
              </w:rPr>
            </w:pPr>
          </w:p>
          <w:p w:rsidR="00122D1B" w:rsidRPr="00847A10" w:rsidRDefault="00122D1B" w:rsidP="00A77774">
            <w:pPr>
              <w:spacing w:after="0" w:line="240" w:lineRule="auto"/>
              <w:ind w:right="34"/>
              <w:rPr>
                <w:rFonts w:ascii="Arial" w:eastAsia="SimSun" w:hAnsi="Arial" w:cs="Arial"/>
                <w:color w:val="000000"/>
                <w:lang w:eastAsia="zh-CN"/>
              </w:rPr>
            </w:pPr>
            <w:r w:rsidRPr="00847A10">
              <w:rPr>
                <w:rFonts w:ascii="Arial" w:eastAsia="SimSun" w:hAnsi="Arial" w:cs="Arial"/>
                <w:color w:val="000000"/>
                <w:lang w:eastAsia="zh-CN"/>
              </w:rPr>
              <w:t xml:space="preserve">Module title: </w:t>
            </w:r>
            <w:r w:rsidRPr="00847A10">
              <w:rPr>
                <w:rFonts w:ascii="Arial" w:eastAsia="SimSun" w:hAnsi="Arial" w:cs="Arial"/>
                <w:b/>
                <w:color w:val="000000"/>
                <w:lang w:eastAsia="zh-CN"/>
              </w:rPr>
              <w:t>Celtic Otherworld’s – from the Druids to the Monastic Voyage Tales.</w:t>
            </w:r>
          </w:p>
          <w:p w:rsidR="00122D1B" w:rsidRPr="00847A10" w:rsidRDefault="00122D1B" w:rsidP="00A77774">
            <w:pPr>
              <w:spacing w:after="0" w:line="240" w:lineRule="auto"/>
              <w:ind w:right="34"/>
              <w:rPr>
                <w:rFonts w:ascii="Arial" w:eastAsia="SimSun" w:hAnsi="Arial" w:cs="Arial"/>
                <w:color w:val="000000"/>
                <w:lang w:eastAsia="zh-CN"/>
              </w:rPr>
            </w:pPr>
          </w:p>
          <w:p w:rsidR="00122D1B" w:rsidRPr="00847A10" w:rsidRDefault="00122D1B" w:rsidP="00A77774">
            <w:pPr>
              <w:spacing w:after="0" w:line="240" w:lineRule="auto"/>
              <w:ind w:right="34"/>
              <w:rPr>
                <w:rFonts w:ascii="Arial" w:eastAsia="SimSun" w:hAnsi="Arial" w:cs="Arial"/>
                <w:color w:val="000000"/>
                <w:lang w:eastAsia="zh-CN"/>
              </w:rPr>
            </w:pPr>
          </w:p>
        </w:tc>
        <w:tc>
          <w:tcPr>
            <w:tcW w:w="2266" w:type="dxa"/>
            <w:tcBorders>
              <w:top w:val="single" w:sz="4" w:space="0" w:color="000000"/>
              <w:left w:val="single" w:sz="4" w:space="0" w:color="000000"/>
              <w:bottom w:val="single" w:sz="4" w:space="0" w:color="000000"/>
              <w:right w:val="single" w:sz="4" w:space="0" w:color="000000"/>
            </w:tcBorders>
            <w:hideMark/>
          </w:tcPr>
          <w:p w:rsidR="00122D1B" w:rsidRDefault="00122D1B" w:rsidP="00A77774">
            <w:pPr>
              <w:spacing w:after="0" w:line="240" w:lineRule="auto"/>
              <w:ind w:right="34"/>
              <w:rPr>
                <w:rFonts w:ascii="Arial" w:eastAsia="SimSun" w:hAnsi="Arial" w:cs="Arial"/>
                <w:color w:val="000000"/>
                <w:lang w:eastAsia="zh-CN"/>
              </w:rPr>
            </w:pPr>
            <w:r w:rsidRPr="00847A10">
              <w:rPr>
                <w:rFonts w:ascii="Arial" w:eastAsia="SimSun" w:hAnsi="Arial" w:cs="Arial"/>
                <w:color w:val="000000"/>
                <w:lang w:eastAsia="zh-CN"/>
              </w:rPr>
              <w:t>Student ID number:</w:t>
            </w:r>
          </w:p>
          <w:p w:rsidR="00122D1B" w:rsidRDefault="00122D1B" w:rsidP="00A77774">
            <w:pPr>
              <w:spacing w:after="0" w:line="240" w:lineRule="auto"/>
              <w:ind w:right="34"/>
              <w:rPr>
                <w:rFonts w:ascii="Arial" w:eastAsia="SimSun" w:hAnsi="Arial" w:cs="Arial"/>
                <w:color w:val="000000"/>
                <w:lang w:eastAsia="zh-CN"/>
              </w:rPr>
            </w:pPr>
          </w:p>
          <w:p w:rsidR="00122D1B" w:rsidRPr="00847A10" w:rsidRDefault="00122D1B" w:rsidP="00A77774">
            <w:pPr>
              <w:spacing w:after="0" w:line="240" w:lineRule="auto"/>
              <w:ind w:right="34"/>
              <w:rPr>
                <w:rFonts w:ascii="Arial" w:eastAsia="SimSun" w:hAnsi="Arial" w:cs="Arial"/>
                <w:color w:val="000000"/>
                <w:lang w:eastAsia="zh-CN"/>
              </w:rPr>
            </w:pPr>
            <w:r>
              <w:rPr>
                <w:rFonts w:ascii="Arial" w:eastAsia="SimSun" w:hAnsi="Arial" w:cs="Arial"/>
                <w:color w:val="000000"/>
                <w:lang w:eastAsia="zh-CN"/>
              </w:rPr>
              <w:t>25000970</w:t>
            </w:r>
          </w:p>
          <w:p w:rsidR="00122D1B" w:rsidRPr="00847A10" w:rsidRDefault="00122D1B" w:rsidP="00A77774">
            <w:pPr>
              <w:spacing w:after="0" w:line="240" w:lineRule="auto"/>
              <w:ind w:right="34"/>
              <w:rPr>
                <w:rFonts w:ascii="Arial" w:eastAsia="SimSun" w:hAnsi="Arial" w:cs="Arial"/>
                <w:color w:val="000000"/>
                <w:lang w:eastAsia="zh-CN"/>
              </w:rPr>
            </w:pPr>
          </w:p>
          <w:p w:rsidR="00122D1B" w:rsidRPr="00847A10" w:rsidRDefault="00122D1B" w:rsidP="00A77774">
            <w:pPr>
              <w:spacing w:after="0" w:line="240" w:lineRule="auto"/>
              <w:ind w:right="34"/>
              <w:rPr>
                <w:rFonts w:ascii="Arial" w:eastAsia="SimSun" w:hAnsi="Arial" w:cs="Arial"/>
                <w:color w:val="000000"/>
                <w:lang w:eastAsia="zh-CN"/>
              </w:rPr>
            </w:pPr>
          </w:p>
        </w:tc>
        <w:tc>
          <w:tcPr>
            <w:tcW w:w="1802" w:type="dxa"/>
            <w:tcBorders>
              <w:top w:val="single" w:sz="4" w:space="0" w:color="000000"/>
              <w:left w:val="single" w:sz="4" w:space="0" w:color="000000"/>
              <w:bottom w:val="single" w:sz="4" w:space="0" w:color="000000"/>
              <w:right w:val="single" w:sz="4" w:space="0" w:color="000000"/>
            </w:tcBorders>
            <w:hideMark/>
          </w:tcPr>
          <w:p w:rsidR="00122D1B" w:rsidRPr="00847A10" w:rsidRDefault="00122D1B" w:rsidP="00A77774">
            <w:pPr>
              <w:spacing w:after="0" w:line="240" w:lineRule="auto"/>
              <w:ind w:right="34"/>
              <w:rPr>
                <w:rFonts w:ascii="Arial" w:eastAsia="SimSun" w:hAnsi="Arial" w:cs="Arial"/>
                <w:color w:val="000000"/>
                <w:lang w:eastAsia="zh-CN"/>
              </w:rPr>
            </w:pPr>
            <w:r w:rsidRPr="00847A10">
              <w:rPr>
                <w:rFonts w:ascii="Arial" w:eastAsia="SimSun" w:hAnsi="Arial" w:cs="Arial"/>
                <w:color w:val="000000"/>
                <w:lang w:eastAsia="zh-CN"/>
              </w:rPr>
              <w:t>Educational support needs:</w:t>
            </w:r>
          </w:p>
          <w:p w:rsidR="00122D1B" w:rsidRPr="00847A10" w:rsidRDefault="00122D1B" w:rsidP="00A77774">
            <w:pPr>
              <w:spacing w:after="0" w:line="240" w:lineRule="auto"/>
              <w:ind w:right="34"/>
              <w:rPr>
                <w:rFonts w:ascii="Arial" w:eastAsia="SimSun" w:hAnsi="Arial" w:cs="Arial"/>
                <w:color w:val="000000"/>
                <w:lang w:eastAsia="zh-CN"/>
              </w:rPr>
            </w:pPr>
            <w:r w:rsidRPr="00847A10">
              <w:rPr>
                <w:rFonts w:ascii="Arial" w:eastAsia="SimSun" w:hAnsi="Arial" w:cs="Arial"/>
                <w:color w:val="000000"/>
                <w:lang w:eastAsia="zh-CN"/>
              </w:rPr>
              <w:t>Yes/No</w:t>
            </w:r>
          </w:p>
          <w:p w:rsidR="00122D1B" w:rsidRPr="00847A10" w:rsidRDefault="00122D1B" w:rsidP="00A77774">
            <w:pPr>
              <w:spacing w:after="0" w:line="240" w:lineRule="auto"/>
              <w:ind w:right="34"/>
              <w:rPr>
                <w:rFonts w:ascii="Arial" w:eastAsia="SimSun" w:hAnsi="Arial" w:cs="Arial"/>
                <w:color w:val="000000"/>
                <w:lang w:eastAsia="zh-CN"/>
              </w:rPr>
            </w:pPr>
          </w:p>
          <w:p w:rsidR="00122D1B" w:rsidRPr="00847A10" w:rsidRDefault="00122D1B" w:rsidP="00A77774">
            <w:pPr>
              <w:spacing w:after="0" w:line="240" w:lineRule="auto"/>
              <w:ind w:right="34"/>
              <w:rPr>
                <w:rFonts w:ascii="Arial" w:eastAsia="SimSun" w:hAnsi="Arial" w:cs="Arial"/>
                <w:color w:val="000000"/>
                <w:lang w:eastAsia="zh-CN"/>
              </w:rPr>
            </w:pPr>
            <w:r w:rsidRPr="00847A10">
              <w:rPr>
                <w:rFonts w:ascii="Arial" w:eastAsia="SimSun" w:hAnsi="Arial" w:cs="Arial"/>
                <w:color w:val="000000"/>
                <w:lang w:eastAsia="zh-CN"/>
              </w:rPr>
              <w:t>no</w:t>
            </w:r>
          </w:p>
        </w:tc>
      </w:tr>
      <w:tr w:rsidR="00122D1B" w:rsidRPr="00847A10" w:rsidTr="00A77774">
        <w:trPr>
          <w:trHeight w:val="1139"/>
        </w:trPr>
        <w:tc>
          <w:tcPr>
            <w:tcW w:w="8856" w:type="dxa"/>
            <w:gridSpan w:val="3"/>
            <w:tcBorders>
              <w:top w:val="single" w:sz="4" w:space="0" w:color="000000"/>
              <w:left w:val="single" w:sz="4" w:space="0" w:color="000000"/>
              <w:bottom w:val="single" w:sz="4" w:space="0" w:color="000000"/>
              <w:right w:val="single" w:sz="4" w:space="0" w:color="000000"/>
            </w:tcBorders>
          </w:tcPr>
          <w:p w:rsidR="00122D1B" w:rsidRPr="00847A10" w:rsidRDefault="00122D1B" w:rsidP="00A77774">
            <w:pPr>
              <w:spacing w:after="0" w:line="240" w:lineRule="auto"/>
              <w:ind w:right="34"/>
              <w:rPr>
                <w:rFonts w:ascii="Arial" w:eastAsia="SimSun" w:hAnsi="Arial" w:cs="Arial"/>
                <w:color w:val="000000"/>
                <w:lang w:eastAsia="zh-CN"/>
              </w:rPr>
            </w:pPr>
            <w:r w:rsidRPr="00847A10">
              <w:rPr>
                <w:rFonts w:ascii="Arial" w:eastAsia="SimSun" w:hAnsi="Arial" w:cs="Arial"/>
                <w:color w:val="000000"/>
                <w:lang w:eastAsia="zh-CN"/>
              </w:rPr>
              <w:t xml:space="preserve">Assignment title:           </w:t>
            </w:r>
            <w:r>
              <w:rPr>
                <w:rFonts w:ascii="Arial" w:eastAsia="SimSun" w:hAnsi="Arial" w:cs="Arial"/>
                <w:color w:val="000000"/>
                <w:lang w:eastAsia="zh-CN"/>
              </w:rPr>
              <w:t>Comm</w:t>
            </w:r>
            <w:r w:rsidRPr="00ED3435">
              <w:rPr>
                <w:rFonts w:ascii="Arial" w:eastAsia="SimSun" w:hAnsi="Arial" w:cs="Arial"/>
                <w:color w:val="000000"/>
                <w:lang w:eastAsia="zh-CN"/>
              </w:rPr>
              <w:t xml:space="preserve">entary: </w:t>
            </w:r>
            <w:r w:rsidRPr="00ED3435">
              <w:rPr>
                <w:rFonts w:ascii="Arial" w:eastAsia="SimSun" w:hAnsi="Arial" w:cs="Arial"/>
                <w:i/>
                <w:color w:val="000000"/>
                <w:lang w:eastAsia="zh-CN"/>
              </w:rPr>
              <w:t>Immram Curaig M</w:t>
            </w:r>
            <w:r>
              <w:rPr>
                <w:rFonts w:ascii="Arial" w:eastAsia="SimSun" w:hAnsi="Arial" w:cs="Arial"/>
                <w:i/>
                <w:color w:val="000000"/>
                <w:lang w:eastAsia="zh-CN"/>
              </w:rPr>
              <w:t>á</w:t>
            </w:r>
            <w:r w:rsidRPr="00ED3435">
              <w:rPr>
                <w:rFonts w:ascii="Arial" w:eastAsia="SimSun" w:hAnsi="Arial" w:cs="Arial"/>
                <w:i/>
                <w:color w:val="000000"/>
                <w:lang w:eastAsia="zh-CN"/>
              </w:rPr>
              <w:t>ele D</w:t>
            </w:r>
            <w:r>
              <w:rPr>
                <w:rFonts w:ascii="Arial" w:eastAsia="SimSun" w:hAnsi="Arial" w:cs="Arial"/>
                <w:i/>
                <w:color w:val="000000"/>
                <w:lang w:eastAsia="zh-CN"/>
              </w:rPr>
              <w:t>ú</w:t>
            </w:r>
            <w:r w:rsidRPr="00ED3435">
              <w:rPr>
                <w:rFonts w:ascii="Arial" w:eastAsia="SimSun" w:hAnsi="Arial" w:cs="Arial"/>
                <w:i/>
                <w:color w:val="000000"/>
                <w:lang w:eastAsia="zh-CN"/>
              </w:rPr>
              <w:t>in</w:t>
            </w:r>
          </w:p>
          <w:p w:rsidR="00122D1B" w:rsidRPr="00847A10" w:rsidRDefault="00122D1B" w:rsidP="00A77774">
            <w:pPr>
              <w:spacing w:after="0" w:line="240" w:lineRule="auto"/>
              <w:ind w:right="34"/>
              <w:rPr>
                <w:rFonts w:ascii="Arial" w:eastAsia="SimSun" w:hAnsi="Arial" w:cs="Arial"/>
                <w:color w:val="000000"/>
                <w:lang w:eastAsia="zh-CN"/>
              </w:rPr>
            </w:pPr>
          </w:p>
          <w:p w:rsidR="00122D1B" w:rsidRPr="00847A10" w:rsidRDefault="00122D1B" w:rsidP="00A77774">
            <w:pPr>
              <w:spacing w:after="0" w:line="240" w:lineRule="auto"/>
              <w:ind w:right="34"/>
              <w:rPr>
                <w:rFonts w:ascii="Arial" w:eastAsia="SimSun" w:hAnsi="Arial" w:cs="Arial"/>
                <w:color w:val="000000"/>
                <w:lang w:eastAsia="zh-CN"/>
              </w:rPr>
            </w:pPr>
            <w:r w:rsidRPr="00847A10">
              <w:rPr>
                <w:rFonts w:ascii="Arial" w:eastAsia="SimSun" w:hAnsi="Arial" w:cs="Arial"/>
                <w:color w:val="000000"/>
                <w:lang w:eastAsia="zh-CN"/>
              </w:rPr>
              <w:t>Assignment due date:</w:t>
            </w:r>
            <w:r>
              <w:rPr>
                <w:rFonts w:ascii="Arial" w:eastAsia="SimSun" w:hAnsi="Arial" w:cs="Arial"/>
                <w:color w:val="000000"/>
                <w:lang w:eastAsia="zh-CN"/>
              </w:rPr>
              <w:t xml:space="preserve"> 050418</w:t>
            </w:r>
          </w:p>
        </w:tc>
      </w:tr>
      <w:tr w:rsidR="00122D1B" w:rsidRPr="00847A10" w:rsidTr="00A77774">
        <w:trPr>
          <w:trHeight w:val="978"/>
        </w:trPr>
        <w:tc>
          <w:tcPr>
            <w:tcW w:w="8856" w:type="dxa"/>
            <w:gridSpan w:val="3"/>
            <w:tcBorders>
              <w:top w:val="single" w:sz="4" w:space="0" w:color="000000"/>
              <w:left w:val="single" w:sz="4" w:space="0" w:color="000000"/>
              <w:bottom w:val="single" w:sz="4" w:space="0" w:color="000000"/>
              <w:right w:val="single" w:sz="4" w:space="0" w:color="000000"/>
            </w:tcBorders>
            <w:hideMark/>
          </w:tcPr>
          <w:p w:rsidR="00122D1B" w:rsidRPr="00847A10" w:rsidRDefault="00122D1B" w:rsidP="00A77774">
            <w:pPr>
              <w:rPr>
                <w:rFonts w:ascii="Arial" w:hAnsi="Arial" w:cs="Arial"/>
              </w:rPr>
            </w:pPr>
            <w:r w:rsidRPr="00847A10">
              <w:rPr>
                <w:rFonts w:ascii="Arial" w:hAnsi="Arial" w:cs="Arial"/>
              </w:rPr>
              <w:t>This assignment is for the       1</w:t>
            </w:r>
            <w:r w:rsidRPr="00847A10">
              <w:rPr>
                <w:rFonts w:ascii="Arial" w:hAnsi="Arial" w:cs="Arial"/>
                <w:vertAlign w:val="superscript"/>
              </w:rPr>
              <w:t xml:space="preserve">st </w:t>
            </w:r>
            <w:r w:rsidR="00341876" w:rsidRPr="00847A10">
              <w:rPr>
                <w:rFonts w:ascii="Arial" w:hAnsi="Arial" w:cs="Arial"/>
              </w:rPr>
              <w:fldChar w:fldCharType="begin">
                <w:ffData>
                  <w:name w:val="Check13"/>
                  <w:enabled/>
                  <w:calcOnExit w:val="0"/>
                  <w:checkBox>
                    <w:sizeAuto/>
                    <w:default w:val="0"/>
                  </w:checkBox>
                </w:ffData>
              </w:fldChar>
            </w:r>
            <w:bookmarkStart w:id="1" w:name="Check13"/>
            <w:r w:rsidRPr="00847A10">
              <w:rPr>
                <w:rFonts w:ascii="Arial" w:hAnsi="Arial" w:cs="Arial"/>
              </w:rPr>
              <w:instrText xml:space="preserve"> FORMCHECKBOX </w:instrText>
            </w:r>
            <w:r w:rsidR="00E255EC">
              <w:rPr>
                <w:rFonts w:ascii="Arial" w:hAnsi="Arial" w:cs="Arial"/>
              </w:rPr>
            </w:r>
            <w:r w:rsidR="00E255EC">
              <w:rPr>
                <w:rFonts w:ascii="Arial" w:hAnsi="Arial" w:cs="Arial"/>
              </w:rPr>
              <w:fldChar w:fldCharType="separate"/>
            </w:r>
            <w:r w:rsidR="00341876" w:rsidRPr="00847A10">
              <w:rPr>
                <w:rFonts w:ascii="Times New Roman" w:hAnsi="Times New Roman" w:cs="Times New Roman"/>
                <w:sz w:val="24"/>
                <w:szCs w:val="24"/>
              </w:rPr>
              <w:fldChar w:fldCharType="end"/>
            </w:r>
            <w:bookmarkEnd w:id="1"/>
            <w:r w:rsidRPr="00847A10">
              <w:rPr>
                <w:rFonts w:ascii="Arial" w:hAnsi="Arial" w:cs="Arial"/>
              </w:rPr>
              <w:t xml:space="preserve">    2</w:t>
            </w:r>
            <w:r w:rsidRPr="00847A10">
              <w:rPr>
                <w:rFonts w:ascii="Arial" w:hAnsi="Arial" w:cs="Arial"/>
                <w:vertAlign w:val="superscript"/>
              </w:rPr>
              <w:t>nd</w:t>
            </w:r>
            <w:r w:rsidRPr="00847A10">
              <w:rPr>
                <w:rFonts w:ascii="Arial" w:hAnsi="Arial" w:cs="Arial"/>
              </w:rPr>
              <w:t xml:space="preserve">  </w:t>
            </w:r>
            <w:r w:rsidR="00341876" w:rsidRPr="00847A10">
              <w:rPr>
                <w:rFonts w:ascii="Arial" w:hAnsi="Arial" w:cs="Arial"/>
              </w:rPr>
              <w:fldChar w:fldCharType="begin">
                <w:ffData>
                  <w:name w:val="Check14"/>
                  <w:enabled/>
                  <w:calcOnExit w:val="0"/>
                  <w:checkBox>
                    <w:sizeAuto/>
                    <w:default w:val="0"/>
                  </w:checkBox>
                </w:ffData>
              </w:fldChar>
            </w:r>
            <w:bookmarkStart w:id="2" w:name="Check14"/>
            <w:r w:rsidRPr="00847A10">
              <w:rPr>
                <w:rFonts w:ascii="Arial" w:hAnsi="Arial" w:cs="Arial"/>
              </w:rPr>
              <w:instrText xml:space="preserve"> FORMCHECKBOX </w:instrText>
            </w:r>
            <w:r w:rsidR="00E255EC">
              <w:rPr>
                <w:rFonts w:ascii="Arial" w:hAnsi="Arial" w:cs="Arial"/>
              </w:rPr>
            </w:r>
            <w:r w:rsidR="00E255EC">
              <w:rPr>
                <w:rFonts w:ascii="Arial" w:hAnsi="Arial" w:cs="Arial"/>
              </w:rPr>
              <w:fldChar w:fldCharType="separate"/>
            </w:r>
            <w:r w:rsidR="00341876" w:rsidRPr="00847A10">
              <w:rPr>
                <w:rFonts w:ascii="Times New Roman" w:hAnsi="Times New Roman" w:cs="Times New Roman"/>
                <w:sz w:val="24"/>
                <w:szCs w:val="24"/>
              </w:rPr>
              <w:fldChar w:fldCharType="end"/>
            </w:r>
            <w:bookmarkEnd w:id="2"/>
            <w:r w:rsidRPr="00847A10">
              <w:rPr>
                <w:rFonts w:ascii="Arial" w:hAnsi="Arial" w:cs="Arial"/>
              </w:rPr>
              <w:t xml:space="preserve">     3</w:t>
            </w:r>
            <w:r w:rsidRPr="00847A10">
              <w:rPr>
                <w:rFonts w:ascii="Arial" w:hAnsi="Arial" w:cs="Arial"/>
                <w:vertAlign w:val="superscript"/>
              </w:rPr>
              <w:t>rd</w:t>
            </w:r>
            <w:r w:rsidRPr="00847A10">
              <w:rPr>
                <w:rFonts w:ascii="Arial" w:hAnsi="Arial" w:cs="Arial"/>
              </w:rPr>
              <w:t xml:space="preserve">  </w:t>
            </w:r>
            <w:r w:rsidR="00341876" w:rsidRPr="00847A10">
              <w:rPr>
                <w:rFonts w:ascii="Arial" w:hAnsi="Arial" w:cs="Arial"/>
              </w:rPr>
              <w:fldChar w:fldCharType="begin">
                <w:ffData>
                  <w:name w:val="Check15"/>
                  <w:enabled/>
                  <w:calcOnExit w:val="0"/>
                  <w:checkBox>
                    <w:sizeAuto/>
                    <w:default w:val="0"/>
                  </w:checkBox>
                </w:ffData>
              </w:fldChar>
            </w:r>
            <w:bookmarkStart w:id="3" w:name="Check15"/>
            <w:r w:rsidRPr="00847A10">
              <w:rPr>
                <w:rFonts w:ascii="Arial" w:hAnsi="Arial" w:cs="Arial"/>
              </w:rPr>
              <w:instrText xml:space="preserve"> FORMCHECKBOX </w:instrText>
            </w:r>
            <w:r w:rsidR="00E255EC">
              <w:rPr>
                <w:rFonts w:ascii="Arial" w:hAnsi="Arial" w:cs="Arial"/>
              </w:rPr>
            </w:r>
            <w:r w:rsidR="00E255EC">
              <w:rPr>
                <w:rFonts w:ascii="Arial" w:hAnsi="Arial" w:cs="Arial"/>
              </w:rPr>
              <w:fldChar w:fldCharType="separate"/>
            </w:r>
            <w:r w:rsidR="00341876" w:rsidRPr="00847A10">
              <w:rPr>
                <w:rFonts w:ascii="Times New Roman" w:hAnsi="Times New Roman" w:cs="Times New Roman"/>
                <w:sz w:val="24"/>
                <w:szCs w:val="24"/>
              </w:rPr>
              <w:fldChar w:fldCharType="end"/>
            </w:r>
            <w:bookmarkEnd w:id="3"/>
            <w:r w:rsidRPr="00847A10">
              <w:rPr>
                <w:rFonts w:ascii="Arial" w:hAnsi="Arial" w:cs="Arial"/>
              </w:rPr>
              <w:t xml:space="preserve">      4</w:t>
            </w:r>
            <w:r w:rsidRPr="00847A10">
              <w:rPr>
                <w:rFonts w:ascii="Arial" w:hAnsi="Arial" w:cs="Arial"/>
                <w:vertAlign w:val="superscript"/>
              </w:rPr>
              <w:t>th</w:t>
            </w:r>
            <w:r w:rsidRPr="00847A10">
              <w:rPr>
                <w:rFonts w:ascii="Arial" w:hAnsi="Arial" w:cs="Arial"/>
              </w:rPr>
              <w:t xml:space="preserve"> </w:t>
            </w:r>
            <w:r w:rsidR="00341876" w:rsidRPr="00847A10">
              <w:rPr>
                <w:rFonts w:ascii="Arial" w:hAnsi="Arial" w:cs="Arial"/>
              </w:rPr>
              <w:fldChar w:fldCharType="begin">
                <w:ffData>
                  <w:name w:val="Check16"/>
                  <w:enabled/>
                  <w:calcOnExit w:val="0"/>
                  <w:checkBox>
                    <w:sizeAuto/>
                    <w:default w:val="0"/>
                  </w:checkBox>
                </w:ffData>
              </w:fldChar>
            </w:r>
            <w:bookmarkStart w:id="4" w:name="Check16"/>
            <w:r w:rsidRPr="00847A10">
              <w:rPr>
                <w:rFonts w:ascii="Arial" w:hAnsi="Arial" w:cs="Arial"/>
              </w:rPr>
              <w:instrText xml:space="preserve"> FORMCHECKBOX </w:instrText>
            </w:r>
            <w:r w:rsidR="00E255EC">
              <w:rPr>
                <w:rFonts w:ascii="Arial" w:hAnsi="Arial" w:cs="Arial"/>
              </w:rPr>
            </w:r>
            <w:r w:rsidR="00E255EC">
              <w:rPr>
                <w:rFonts w:ascii="Arial" w:hAnsi="Arial" w:cs="Arial"/>
              </w:rPr>
              <w:fldChar w:fldCharType="separate"/>
            </w:r>
            <w:r w:rsidR="00341876" w:rsidRPr="00847A10">
              <w:rPr>
                <w:rFonts w:ascii="Times New Roman" w:hAnsi="Times New Roman" w:cs="Times New Roman"/>
                <w:sz w:val="24"/>
                <w:szCs w:val="24"/>
              </w:rPr>
              <w:fldChar w:fldCharType="end"/>
            </w:r>
            <w:bookmarkEnd w:id="4"/>
            <w:r w:rsidRPr="00847A10">
              <w:rPr>
                <w:rFonts w:ascii="Arial" w:hAnsi="Arial" w:cs="Arial"/>
              </w:rPr>
              <w:t xml:space="preserve">      5</w:t>
            </w:r>
            <w:r w:rsidRPr="00847A10">
              <w:rPr>
                <w:rFonts w:ascii="Arial" w:hAnsi="Arial" w:cs="Arial"/>
                <w:vertAlign w:val="superscript"/>
              </w:rPr>
              <w:t>th</w:t>
            </w:r>
            <w:r w:rsidRPr="00847A10">
              <w:rPr>
                <w:rFonts w:ascii="Arial" w:hAnsi="Arial" w:cs="Arial"/>
              </w:rPr>
              <w:t xml:space="preserve"> </w:t>
            </w:r>
            <w:r w:rsidR="00341876" w:rsidRPr="00847A10">
              <w:rPr>
                <w:rFonts w:ascii="Arial" w:hAnsi="Arial" w:cs="Arial"/>
              </w:rPr>
              <w:fldChar w:fldCharType="begin">
                <w:ffData>
                  <w:name w:val="Check17"/>
                  <w:enabled/>
                  <w:calcOnExit w:val="0"/>
                  <w:checkBox>
                    <w:sizeAuto/>
                    <w:default w:val="0"/>
                  </w:checkBox>
                </w:ffData>
              </w:fldChar>
            </w:r>
            <w:bookmarkStart w:id="5" w:name="Check17"/>
            <w:r w:rsidRPr="00847A10">
              <w:rPr>
                <w:rFonts w:ascii="Arial" w:hAnsi="Arial" w:cs="Arial"/>
              </w:rPr>
              <w:instrText xml:space="preserve"> FORMCHECKBOX </w:instrText>
            </w:r>
            <w:r w:rsidR="00E255EC">
              <w:rPr>
                <w:rFonts w:ascii="Arial" w:hAnsi="Arial" w:cs="Arial"/>
              </w:rPr>
            </w:r>
            <w:r w:rsidR="00E255EC">
              <w:rPr>
                <w:rFonts w:ascii="Arial" w:hAnsi="Arial" w:cs="Arial"/>
              </w:rPr>
              <w:fldChar w:fldCharType="separate"/>
            </w:r>
            <w:r w:rsidR="00341876" w:rsidRPr="00847A10">
              <w:rPr>
                <w:rFonts w:ascii="Times New Roman" w:hAnsi="Times New Roman" w:cs="Times New Roman"/>
                <w:sz w:val="24"/>
                <w:szCs w:val="24"/>
              </w:rPr>
              <w:fldChar w:fldCharType="end"/>
            </w:r>
            <w:bookmarkEnd w:id="5"/>
            <w:r w:rsidRPr="00847A10">
              <w:rPr>
                <w:rFonts w:ascii="Arial" w:hAnsi="Arial" w:cs="Arial"/>
              </w:rPr>
              <w:t xml:space="preserve">      6</w:t>
            </w:r>
            <w:r w:rsidRPr="00847A10">
              <w:rPr>
                <w:rFonts w:ascii="Arial" w:hAnsi="Arial" w:cs="Arial"/>
                <w:vertAlign w:val="superscript"/>
              </w:rPr>
              <w:t>th</w:t>
            </w:r>
            <w:r w:rsidRPr="00847A10">
              <w:rPr>
                <w:rFonts w:ascii="Arial" w:hAnsi="Arial" w:cs="Arial"/>
              </w:rPr>
              <w:t xml:space="preserve"> </w:t>
            </w:r>
            <w:r>
              <w:rPr>
                <w:rFonts w:ascii="Calibri" w:hAnsi="Calibri" w:cs="Tahoma"/>
                <w:b/>
                <w:sz w:val="24"/>
                <w:szCs w:val="24"/>
              </w:rPr>
              <w:t>√</w:t>
            </w:r>
            <w:r w:rsidR="00341876" w:rsidRPr="00847A10">
              <w:rPr>
                <w:rFonts w:ascii="Arial" w:hAnsi="Arial" w:cs="Arial"/>
              </w:rPr>
              <w:fldChar w:fldCharType="begin">
                <w:ffData>
                  <w:name w:val="Check18"/>
                  <w:enabled/>
                  <w:calcOnExit w:val="0"/>
                  <w:checkBox>
                    <w:sizeAuto/>
                    <w:default w:val="0"/>
                  </w:checkBox>
                </w:ffData>
              </w:fldChar>
            </w:r>
            <w:bookmarkStart w:id="6" w:name="Check18"/>
            <w:r w:rsidRPr="00847A10">
              <w:rPr>
                <w:rFonts w:ascii="Arial" w:hAnsi="Arial" w:cs="Arial"/>
              </w:rPr>
              <w:instrText xml:space="preserve"> FORMCHECKBOX </w:instrText>
            </w:r>
            <w:r w:rsidR="00E255EC">
              <w:rPr>
                <w:rFonts w:ascii="Arial" w:hAnsi="Arial" w:cs="Arial"/>
              </w:rPr>
            </w:r>
            <w:r w:rsidR="00E255EC">
              <w:rPr>
                <w:rFonts w:ascii="Arial" w:hAnsi="Arial" w:cs="Arial"/>
              </w:rPr>
              <w:fldChar w:fldCharType="separate"/>
            </w:r>
            <w:r w:rsidR="00341876" w:rsidRPr="00847A10">
              <w:rPr>
                <w:rFonts w:ascii="Times New Roman" w:hAnsi="Times New Roman" w:cs="Times New Roman"/>
                <w:sz w:val="24"/>
                <w:szCs w:val="24"/>
              </w:rPr>
              <w:fldChar w:fldCharType="end"/>
            </w:r>
            <w:bookmarkEnd w:id="6"/>
            <w:r w:rsidRPr="00847A10">
              <w:rPr>
                <w:rFonts w:ascii="Arial" w:hAnsi="Arial" w:cs="Arial"/>
                <w:b/>
              </w:rPr>
              <w:t xml:space="preserve">   </w:t>
            </w:r>
            <w:r w:rsidRPr="00847A10">
              <w:rPr>
                <w:rFonts w:ascii="Arial" w:hAnsi="Arial" w:cs="Arial"/>
              </w:rPr>
              <w:t>module of the degree</w:t>
            </w:r>
          </w:p>
        </w:tc>
      </w:tr>
      <w:tr w:rsidR="00122D1B" w:rsidRPr="00847A10" w:rsidTr="00A77774">
        <w:trPr>
          <w:trHeight w:val="978"/>
        </w:trPr>
        <w:tc>
          <w:tcPr>
            <w:tcW w:w="8856" w:type="dxa"/>
            <w:gridSpan w:val="3"/>
            <w:tcBorders>
              <w:top w:val="single" w:sz="4" w:space="0" w:color="000000"/>
              <w:left w:val="single" w:sz="4" w:space="0" w:color="000000"/>
              <w:bottom w:val="single" w:sz="4" w:space="0" w:color="000000"/>
              <w:right w:val="single" w:sz="4" w:space="0" w:color="000000"/>
            </w:tcBorders>
            <w:shd w:val="clear" w:color="auto" w:fill="D9D9D9"/>
            <w:hideMark/>
          </w:tcPr>
          <w:p w:rsidR="00122D1B" w:rsidRPr="00847A10" w:rsidRDefault="00122D1B" w:rsidP="00A77774">
            <w:pPr>
              <w:spacing w:after="0" w:line="240" w:lineRule="auto"/>
              <w:ind w:right="34"/>
              <w:rPr>
                <w:rFonts w:ascii="Arial" w:eastAsia="SimSun" w:hAnsi="Arial" w:cs="Arial"/>
                <w:color w:val="000000"/>
                <w:lang w:eastAsia="zh-CN"/>
              </w:rPr>
            </w:pPr>
            <w:r w:rsidRPr="00847A10">
              <w:rPr>
                <w:rFonts w:ascii="Arial" w:eastAsia="SimSun" w:hAnsi="Arial" w:cs="Arial"/>
                <w:color w:val="000000"/>
                <w:lang w:eastAsia="zh-CN"/>
              </w:rPr>
              <w:t>I confirm that this is my original work and that I have adhered to the University policy on plagiarism.</w:t>
            </w:r>
          </w:p>
          <w:p w:rsidR="00122D1B" w:rsidRDefault="00122D1B" w:rsidP="00A77774">
            <w:pPr>
              <w:spacing w:after="0" w:line="240" w:lineRule="auto"/>
              <w:ind w:right="34"/>
              <w:rPr>
                <w:rFonts w:ascii="Arial" w:eastAsia="SimSun" w:hAnsi="Arial" w:cs="Arial"/>
                <w:color w:val="000000"/>
                <w:lang w:eastAsia="zh-CN"/>
              </w:rPr>
            </w:pPr>
            <w:r w:rsidRPr="00847A10">
              <w:rPr>
                <w:rFonts w:ascii="Arial" w:eastAsia="SimSun" w:hAnsi="Arial" w:cs="Arial"/>
                <w:color w:val="000000"/>
                <w:lang w:eastAsia="zh-CN"/>
              </w:rPr>
              <w:t>Signed ………</w:t>
            </w:r>
            <w:r>
              <w:rPr>
                <w:rFonts w:ascii="Arial" w:eastAsia="SimSun" w:hAnsi="Arial" w:cs="Arial"/>
                <w:color w:val="000000"/>
                <w:lang w:eastAsia="zh-CN"/>
              </w:rPr>
              <w:t>.......SAW Bradley......................................................................................</w:t>
            </w:r>
          </w:p>
          <w:p w:rsidR="00122D1B" w:rsidRDefault="00122D1B" w:rsidP="00A77774">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 if you are submitting this form via email, please tick this box √</w:t>
            </w:r>
            <w:r w:rsidRPr="005979EE">
              <w:rPr>
                <w:rFonts w:ascii="Calibri" w:hAnsi="Calibri" w:cs="Calibri"/>
                <w:b/>
                <w:sz w:val="44"/>
                <w:szCs w:val="44"/>
              </w:rPr>
              <w:t>□</w:t>
            </w:r>
          </w:p>
          <w:p w:rsidR="00122D1B" w:rsidRPr="00847A10" w:rsidRDefault="00122D1B" w:rsidP="00A77774">
            <w:pPr>
              <w:spacing w:after="0" w:line="240" w:lineRule="auto"/>
              <w:ind w:right="34"/>
              <w:rPr>
                <w:rFonts w:ascii="Arial" w:eastAsia="SimSun" w:hAnsi="Arial" w:cs="Arial"/>
                <w:color w:val="000000"/>
                <w:lang w:eastAsia="zh-CN"/>
              </w:rPr>
            </w:pPr>
            <w:r>
              <w:rPr>
                <w:rFonts w:ascii="Calibri" w:hAnsi="Calibri" w:cs="Tahoma"/>
                <w:b/>
                <w:sz w:val="24"/>
                <w:szCs w:val="24"/>
              </w:rPr>
              <w:t>(as a substitute for your signature) to confirm that you agree to the above declaration.</w:t>
            </w:r>
          </w:p>
        </w:tc>
      </w:tr>
    </w:tbl>
    <w:p w:rsidR="00122D1B" w:rsidRDefault="00122D1B" w:rsidP="00122D1B"/>
    <w:p w:rsidR="00122D1B" w:rsidRDefault="00122D1B" w:rsidP="00122D1B"/>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5211"/>
        <w:gridCol w:w="3645"/>
      </w:tblGrid>
      <w:tr w:rsidR="00122D1B" w:rsidTr="00A77774">
        <w:trPr>
          <w:trHeight w:val="3972"/>
        </w:trPr>
        <w:tc>
          <w:tcPr>
            <w:tcW w:w="8856" w:type="dxa"/>
            <w:gridSpan w:val="2"/>
            <w:tcBorders>
              <w:top w:val="single" w:sz="4" w:space="0" w:color="000000"/>
              <w:left w:val="single" w:sz="4" w:space="0" w:color="000000"/>
              <w:bottom w:val="single" w:sz="4" w:space="0" w:color="000000"/>
              <w:right w:val="single" w:sz="4" w:space="0" w:color="000000"/>
            </w:tcBorders>
          </w:tcPr>
          <w:p w:rsidR="00122D1B" w:rsidRDefault="00122D1B" w:rsidP="00A77774">
            <w:pPr>
              <w:pStyle w:val="NormalWeb"/>
              <w:spacing w:before="0" w:beforeAutospacing="0" w:after="0" w:afterAutospacing="0"/>
              <w:rPr>
                <w:rFonts w:ascii="Arial" w:hAnsi="Arial" w:cs="Arial"/>
                <w:b/>
                <w:sz w:val="22"/>
                <w:szCs w:val="22"/>
              </w:rPr>
            </w:pPr>
          </w:p>
          <w:p w:rsidR="00122D1B" w:rsidRDefault="00122D1B" w:rsidP="00A77774">
            <w:pPr>
              <w:rPr>
                <w:rFonts w:ascii="Arial" w:hAnsi="Arial"/>
              </w:rPr>
            </w:pPr>
            <w:r>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122D1B" w:rsidTr="00A77774">
              <w:tc>
                <w:tcPr>
                  <w:tcW w:w="6970" w:type="dxa"/>
                  <w:tcBorders>
                    <w:top w:val="single" w:sz="4" w:space="0" w:color="auto"/>
                    <w:left w:val="single" w:sz="4" w:space="0" w:color="auto"/>
                    <w:bottom w:val="single" w:sz="4" w:space="0" w:color="auto"/>
                    <w:right w:val="single" w:sz="4" w:space="0" w:color="auto"/>
                  </w:tcBorders>
                </w:tcPr>
                <w:p w:rsidR="00122D1B" w:rsidRDefault="00122D1B" w:rsidP="00A77774">
                  <w:pPr>
                    <w:rPr>
                      <w:rFonts w:ascii="Arial" w:hAnsi="Arial"/>
                      <w:sz w:val="20"/>
                      <w:szCs w:val="20"/>
                    </w:rPr>
                  </w:pPr>
                </w:p>
                <w:p w:rsidR="00122D1B" w:rsidRDefault="00122D1B" w:rsidP="00A77774">
                  <w:pPr>
                    <w:rPr>
                      <w:rFonts w:ascii="Arial" w:hAnsi="Arial"/>
                      <w:sz w:val="20"/>
                      <w:szCs w:val="20"/>
                    </w:rPr>
                  </w:pPr>
                  <w:r>
                    <w:rPr>
                      <w:rFonts w:ascii="Arial" w:hAnsi="Arial"/>
                      <w:sz w:val="20"/>
                      <w:szCs w:val="20"/>
                    </w:rPr>
                    <w:t>1</w:t>
                  </w:r>
                  <w:r>
                    <w:rPr>
                      <w:rFonts w:ascii="Arial" w:hAnsi="Arial"/>
                      <w:sz w:val="20"/>
                      <w:szCs w:val="20"/>
                      <w:vertAlign w:val="superscript"/>
                    </w:rPr>
                    <w:t>st</w:t>
                  </w:r>
                  <w:r>
                    <w:rPr>
                      <w:rFonts w:ascii="Arial" w:hAnsi="Arial"/>
                      <w:sz w:val="20"/>
                      <w:szCs w:val="20"/>
                    </w:rPr>
                    <w:t xml:space="preserve"> Marker’s Provisional mark</w:t>
                  </w:r>
                </w:p>
              </w:tc>
              <w:tc>
                <w:tcPr>
                  <w:tcW w:w="1660" w:type="dxa"/>
                  <w:tcBorders>
                    <w:top w:val="single" w:sz="4" w:space="0" w:color="auto"/>
                    <w:left w:val="single" w:sz="4" w:space="0" w:color="auto"/>
                    <w:bottom w:val="single" w:sz="4" w:space="0" w:color="auto"/>
                    <w:right w:val="single" w:sz="4" w:space="0" w:color="auto"/>
                  </w:tcBorders>
                </w:tcPr>
                <w:p w:rsidR="00122D1B" w:rsidRDefault="00122D1B" w:rsidP="00A77774">
                  <w:pPr>
                    <w:rPr>
                      <w:rFonts w:ascii="Arial" w:hAnsi="Arial"/>
                      <w:sz w:val="20"/>
                      <w:szCs w:val="20"/>
                    </w:rPr>
                  </w:pPr>
                </w:p>
              </w:tc>
            </w:tr>
            <w:tr w:rsidR="00122D1B" w:rsidTr="00A77774">
              <w:tc>
                <w:tcPr>
                  <w:tcW w:w="6970" w:type="dxa"/>
                  <w:tcBorders>
                    <w:top w:val="single" w:sz="4" w:space="0" w:color="auto"/>
                    <w:left w:val="single" w:sz="4" w:space="0" w:color="auto"/>
                    <w:bottom w:val="single" w:sz="4" w:space="0" w:color="auto"/>
                    <w:right w:val="single" w:sz="4" w:space="0" w:color="auto"/>
                  </w:tcBorders>
                </w:tcPr>
                <w:p w:rsidR="00122D1B" w:rsidRDefault="00122D1B" w:rsidP="00A77774">
                  <w:pPr>
                    <w:rPr>
                      <w:rFonts w:ascii="Arial" w:hAnsi="Arial"/>
                      <w:sz w:val="20"/>
                      <w:szCs w:val="20"/>
                    </w:rPr>
                  </w:pPr>
                </w:p>
                <w:p w:rsidR="00122D1B" w:rsidRDefault="00122D1B" w:rsidP="00A77774">
                  <w:pPr>
                    <w:rPr>
                      <w:rFonts w:ascii="Arial" w:hAnsi="Arial"/>
                      <w:sz w:val="20"/>
                      <w:szCs w:val="20"/>
                    </w:rPr>
                  </w:pPr>
                  <w:r>
                    <w:rPr>
                      <w:rFonts w:ascii="Arial" w:hAnsi="Arial"/>
                      <w:sz w:val="20"/>
                      <w:szCs w:val="20"/>
                    </w:rPr>
                    <w:t>2</w:t>
                  </w:r>
                  <w:r>
                    <w:rPr>
                      <w:rFonts w:ascii="Arial" w:hAnsi="Arial"/>
                      <w:sz w:val="20"/>
                      <w:szCs w:val="20"/>
                      <w:vertAlign w:val="superscript"/>
                    </w:rPr>
                    <w:t>nd</w:t>
                  </w:r>
                  <w:r>
                    <w:rPr>
                      <w:rFonts w:ascii="Arial" w:hAnsi="Arial"/>
                      <w:sz w:val="20"/>
                      <w:szCs w:val="20"/>
                    </w:rPr>
                    <w:t xml:space="preserve"> Marker’s/Moderator’s provisional mark</w:t>
                  </w:r>
                </w:p>
              </w:tc>
              <w:tc>
                <w:tcPr>
                  <w:tcW w:w="1660" w:type="dxa"/>
                  <w:tcBorders>
                    <w:top w:val="single" w:sz="4" w:space="0" w:color="auto"/>
                    <w:left w:val="single" w:sz="4" w:space="0" w:color="auto"/>
                    <w:bottom w:val="single" w:sz="4" w:space="0" w:color="auto"/>
                    <w:right w:val="single" w:sz="4" w:space="0" w:color="auto"/>
                  </w:tcBorders>
                </w:tcPr>
                <w:p w:rsidR="00122D1B" w:rsidRDefault="00122D1B" w:rsidP="00A77774">
                  <w:pPr>
                    <w:rPr>
                      <w:rFonts w:ascii="Arial" w:hAnsi="Arial"/>
                      <w:sz w:val="20"/>
                      <w:szCs w:val="20"/>
                    </w:rPr>
                  </w:pPr>
                </w:p>
              </w:tc>
            </w:tr>
            <w:tr w:rsidR="00122D1B" w:rsidTr="00A77774">
              <w:tc>
                <w:tcPr>
                  <w:tcW w:w="6970" w:type="dxa"/>
                  <w:tcBorders>
                    <w:top w:val="single" w:sz="4" w:space="0" w:color="auto"/>
                    <w:left w:val="single" w:sz="4" w:space="0" w:color="auto"/>
                    <w:bottom w:val="single" w:sz="4" w:space="0" w:color="auto"/>
                    <w:right w:val="single" w:sz="4" w:space="0" w:color="auto"/>
                  </w:tcBorders>
                </w:tcPr>
                <w:p w:rsidR="00122D1B" w:rsidRDefault="00122D1B" w:rsidP="00A77774">
                  <w:pPr>
                    <w:rPr>
                      <w:rFonts w:ascii="Arial" w:hAnsi="Arial"/>
                      <w:sz w:val="20"/>
                      <w:szCs w:val="20"/>
                    </w:rPr>
                  </w:pPr>
                </w:p>
                <w:p w:rsidR="00122D1B" w:rsidRDefault="00122D1B" w:rsidP="00A77774">
                  <w:pPr>
                    <w:rPr>
                      <w:rFonts w:ascii="Arial" w:hAnsi="Arial"/>
                      <w:sz w:val="20"/>
                      <w:szCs w:val="20"/>
                    </w:rPr>
                  </w:pPr>
                  <w:r>
                    <w:rPr>
                      <w:rFonts w:ascii="Arial" w:hAnsi="Arial"/>
                      <w:sz w:val="20"/>
                      <w:szCs w:val="20"/>
                    </w:rPr>
                    <w:t>External Examiner’s mark (if relevant)</w:t>
                  </w:r>
                </w:p>
              </w:tc>
              <w:tc>
                <w:tcPr>
                  <w:tcW w:w="1660" w:type="dxa"/>
                  <w:tcBorders>
                    <w:top w:val="single" w:sz="4" w:space="0" w:color="auto"/>
                    <w:left w:val="single" w:sz="4" w:space="0" w:color="auto"/>
                    <w:bottom w:val="single" w:sz="4" w:space="0" w:color="auto"/>
                    <w:right w:val="single" w:sz="4" w:space="0" w:color="auto"/>
                  </w:tcBorders>
                </w:tcPr>
                <w:p w:rsidR="00122D1B" w:rsidRDefault="00122D1B" w:rsidP="00A77774">
                  <w:pPr>
                    <w:rPr>
                      <w:rFonts w:ascii="Arial" w:hAnsi="Arial"/>
                      <w:sz w:val="20"/>
                      <w:szCs w:val="20"/>
                    </w:rPr>
                  </w:pPr>
                </w:p>
              </w:tc>
            </w:tr>
            <w:tr w:rsidR="00122D1B" w:rsidTr="00A77774">
              <w:tc>
                <w:tcPr>
                  <w:tcW w:w="6970" w:type="dxa"/>
                  <w:tcBorders>
                    <w:top w:val="single" w:sz="4" w:space="0" w:color="auto"/>
                    <w:left w:val="single" w:sz="4" w:space="0" w:color="auto"/>
                    <w:bottom w:val="single" w:sz="4" w:space="0" w:color="auto"/>
                    <w:right w:val="single" w:sz="4" w:space="0" w:color="auto"/>
                  </w:tcBorders>
                </w:tcPr>
                <w:p w:rsidR="00122D1B" w:rsidRDefault="00122D1B" w:rsidP="00A77774">
                  <w:pPr>
                    <w:rPr>
                      <w:rFonts w:ascii="Arial" w:hAnsi="Arial"/>
                      <w:sz w:val="20"/>
                      <w:szCs w:val="20"/>
                    </w:rPr>
                  </w:pPr>
                </w:p>
                <w:p w:rsidR="00122D1B" w:rsidRDefault="00122D1B" w:rsidP="00A77774">
                  <w:pPr>
                    <w:rPr>
                      <w:rFonts w:ascii="Arial" w:hAnsi="Arial"/>
                      <w:b/>
                      <w:sz w:val="20"/>
                      <w:szCs w:val="20"/>
                    </w:rPr>
                  </w:pPr>
                  <w:r>
                    <w:rPr>
                      <w:rFonts w:ascii="Arial" w:hAnsi="Arial"/>
                      <w:b/>
                      <w:sz w:val="20"/>
                      <w:szCs w:val="20"/>
                    </w:rPr>
                    <w:t>Final Mark</w:t>
                  </w:r>
                </w:p>
                <w:p w:rsidR="00122D1B" w:rsidRDefault="00122D1B" w:rsidP="00A77774">
                  <w:pPr>
                    <w:rPr>
                      <w:rFonts w:ascii="Arial" w:hAnsi="Arial"/>
                      <w:sz w:val="20"/>
                      <w:szCs w:val="20"/>
                    </w:rPr>
                  </w:pPr>
                </w:p>
              </w:tc>
              <w:tc>
                <w:tcPr>
                  <w:tcW w:w="1660" w:type="dxa"/>
                  <w:tcBorders>
                    <w:top w:val="single" w:sz="4" w:space="0" w:color="auto"/>
                    <w:left w:val="single" w:sz="4" w:space="0" w:color="auto"/>
                    <w:bottom w:val="single" w:sz="4" w:space="0" w:color="auto"/>
                    <w:right w:val="single" w:sz="4" w:space="0" w:color="auto"/>
                  </w:tcBorders>
                </w:tcPr>
                <w:p w:rsidR="00122D1B" w:rsidRDefault="00122D1B" w:rsidP="00A77774">
                  <w:pPr>
                    <w:rPr>
                      <w:rFonts w:ascii="Arial" w:hAnsi="Arial"/>
                      <w:sz w:val="20"/>
                      <w:szCs w:val="20"/>
                    </w:rPr>
                  </w:pPr>
                </w:p>
              </w:tc>
            </w:tr>
          </w:tbl>
          <w:p w:rsidR="00122D1B" w:rsidRDefault="00122D1B" w:rsidP="00A77774">
            <w:pPr>
              <w:pStyle w:val="NormalWeb"/>
              <w:spacing w:before="0" w:beforeAutospacing="0" w:after="0" w:afterAutospacing="0"/>
              <w:ind w:left="142" w:right="34"/>
              <w:rPr>
                <w:rFonts w:ascii="Arial" w:hAnsi="Arial" w:cs="Arial"/>
                <w:b/>
                <w:sz w:val="22"/>
                <w:szCs w:val="22"/>
              </w:rPr>
            </w:pPr>
          </w:p>
          <w:p w:rsidR="00122D1B" w:rsidRDefault="00122D1B" w:rsidP="00A77774">
            <w:pPr>
              <w:pStyle w:val="NormalWeb"/>
              <w:spacing w:before="0" w:beforeAutospacing="0" w:after="0" w:afterAutospacing="0"/>
              <w:ind w:left="142" w:right="34"/>
              <w:rPr>
                <w:rFonts w:ascii="Arial" w:hAnsi="Arial" w:cs="Arial"/>
                <w:sz w:val="22"/>
                <w:szCs w:val="22"/>
              </w:rPr>
            </w:pPr>
            <w:r>
              <w:rPr>
                <w:rFonts w:ascii="Arial" w:hAnsi="Arial" w:cs="Arial"/>
                <w:b/>
                <w:sz w:val="22"/>
                <w:szCs w:val="22"/>
              </w:rPr>
              <w:t>NB.</w:t>
            </w:r>
            <w:r>
              <w:rPr>
                <w:rFonts w:ascii="Arial" w:hAnsi="Arial" w:cs="Arial"/>
                <w:sz w:val="22"/>
                <w:szCs w:val="22"/>
              </w:rPr>
              <w:t xml:space="preserve">  All marks are provisional until confirmed by the Final Examination Board.</w:t>
            </w:r>
          </w:p>
          <w:p w:rsidR="00122D1B" w:rsidRDefault="00122D1B" w:rsidP="00A77774">
            <w:pPr>
              <w:pStyle w:val="NormalWeb"/>
              <w:spacing w:before="0" w:beforeAutospacing="0" w:after="0" w:afterAutospacing="0"/>
              <w:rPr>
                <w:rFonts w:ascii="Arial" w:hAnsi="Arial" w:cs="Arial"/>
                <w:b/>
                <w:sz w:val="22"/>
                <w:szCs w:val="22"/>
              </w:rPr>
            </w:pPr>
          </w:p>
          <w:p w:rsidR="00122D1B" w:rsidRDefault="00122D1B" w:rsidP="00A77774">
            <w:pPr>
              <w:pStyle w:val="NormalWeb"/>
              <w:spacing w:before="0" w:beforeAutospacing="0" w:after="0" w:afterAutospacing="0"/>
              <w:rPr>
                <w:rFonts w:ascii="Arial" w:hAnsi="Arial" w:cs="Arial"/>
                <w:b/>
                <w:sz w:val="22"/>
                <w:szCs w:val="22"/>
              </w:rPr>
            </w:pPr>
          </w:p>
          <w:p w:rsidR="00122D1B" w:rsidRDefault="00122D1B" w:rsidP="00A77774">
            <w:pPr>
              <w:pStyle w:val="NormalWeb"/>
              <w:spacing w:before="0" w:beforeAutospacing="0" w:after="0" w:afterAutospacing="0"/>
              <w:rPr>
                <w:rFonts w:ascii="Arial" w:hAnsi="Arial" w:cs="Arial"/>
                <w:b/>
                <w:sz w:val="22"/>
                <w:szCs w:val="22"/>
              </w:rPr>
            </w:pPr>
            <w:r>
              <w:rPr>
                <w:rFonts w:ascii="Arial" w:hAnsi="Arial" w:cs="Arial"/>
                <w:b/>
                <w:sz w:val="22"/>
                <w:szCs w:val="22"/>
              </w:rPr>
              <w:t>For completion by Marker 1 :</w:t>
            </w:r>
          </w:p>
          <w:p w:rsidR="00122D1B" w:rsidRDefault="00122D1B" w:rsidP="00A77774">
            <w:pPr>
              <w:pStyle w:val="NormalWeb"/>
              <w:rPr>
                <w:rFonts w:ascii="Arial" w:hAnsi="Arial" w:cs="Arial"/>
                <w:sz w:val="22"/>
                <w:szCs w:val="22"/>
              </w:rPr>
            </w:pPr>
          </w:p>
          <w:p w:rsidR="00122D1B" w:rsidRDefault="00122D1B" w:rsidP="00A77774">
            <w:pPr>
              <w:pStyle w:val="NormalWeb"/>
              <w:rPr>
                <w:rFonts w:ascii="Arial" w:hAnsi="Arial" w:cs="Arial"/>
                <w:sz w:val="22"/>
                <w:szCs w:val="22"/>
              </w:rPr>
            </w:pPr>
          </w:p>
          <w:p w:rsidR="00122D1B" w:rsidRDefault="00122D1B" w:rsidP="00A77774">
            <w:pPr>
              <w:pStyle w:val="NormalWeb"/>
              <w:rPr>
                <w:rFonts w:ascii="Arial" w:hAnsi="Arial" w:cs="Arial"/>
                <w:sz w:val="22"/>
                <w:szCs w:val="22"/>
              </w:rPr>
            </w:pPr>
          </w:p>
        </w:tc>
      </w:tr>
      <w:tr w:rsidR="00122D1B" w:rsidTr="00A77774">
        <w:trPr>
          <w:trHeight w:val="492"/>
        </w:trPr>
        <w:tc>
          <w:tcPr>
            <w:tcW w:w="5211" w:type="dxa"/>
            <w:tcBorders>
              <w:top w:val="single" w:sz="4" w:space="0" w:color="000000"/>
              <w:left w:val="single" w:sz="4" w:space="0" w:color="000000"/>
              <w:bottom w:val="single" w:sz="4" w:space="0" w:color="000000"/>
              <w:right w:val="single" w:sz="4" w:space="0" w:color="000000"/>
            </w:tcBorders>
            <w:hideMark/>
          </w:tcPr>
          <w:p w:rsidR="00122D1B" w:rsidRDefault="00122D1B" w:rsidP="00A77774">
            <w:pPr>
              <w:pStyle w:val="NormalWeb"/>
              <w:spacing w:beforeAutospacing="0" w:afterAutospacing="0"/>
              <w:ind w:left="142" w:right="34"/>
              <w:rPr>
                <w:rFonts w:ascii="Arial" w:hAnsi="Arial" w:cs="Arial"/>
                <w:sz w:val="22"/>
                <w:szCs w:val="22"/>
              </w:rPr>
            </w:pPr>
            <w:r>
              <w:rPr>
                <w:rFonts w:ascii="Arial" w:hAnsi="Arial" w:cs="Arial"/>
                <w:sz w:val="22"/>
                <w:szCs w:val="22"/>
              </w:rPr>
              <w:t>Marker’s Signature:</w:t>
            </w:r>
          </w:p>
        </w:tc>
        <w:tc>
          <w:tcPr>
            <w:tcW w:w="3645" w:type="dxa"/>
            <w:tcBorders>
              <w:top w:val="single" w:sz="4" w:space="0" w:color="000000"/>
              <w:left w:val="single" w:sz="4" w:space="0" w:color="000000"/>
              <w:bottom w:val="single" w:sz="4" w:space="0" w:color="000000"/>
              <w:right w:val="single" w:sz="4" w:space="0" w:color="000000"/>
            </w:tcBorders>
            <w:hideMark/>
          </w:tcPr>
          <w:p w:rsidR="00122D1B" w:rsidRDefault="00122D1B" w:rsidP="00A77774">
            <w:pPr>
              <w:pStyle w:val="NormalWeb"/>
              <w:spacing w:beforeAutospacing="0" w:after="0" w:afterAutospacing="0"/>
              <w:ind w:left="142" w:right="34"/>
              <w:rPr>
                <w:rFonts w:ascii="Arial" w:hAnsi="Arial" w:cs="Arial"/>
                <w:sz w:val="22"/>
                <w:szCs w:val="22"/>
              </w:rPr>
            </w:pPr>
            <w:r>
              <w:rPr>
                <w:rFonts w:ascii="Arial" w:hAnsi="Arial" w:cs="Arial"/>
                <w:sz w:val="22"/>
                <w:szCs w:val="22"/>
              </w:rPr>
              <w:t xml:space="preserve">Date: </w:t>
            </w:r>
          </w:p>
        </w:tc>
      </w:tr>
      <w:tr w:rsidR="00122D1B" w:rsidTr="00A77774">
        <w:tc>
          <w:tcPr>
            <w:tcW w:w="8856" w:type="dxa"/>
            <w:gridSpan w:val="2"/>
            <w:tcBorders>
              <w:top w:val="single" w:sz="4" w:space="0" w:color="000000"/>
              <w:left w:val="single" w:sz="4" w:space="0" w:color="000000"/>
              <w:bottom w:val="single" w:sz="4" w:space="0" w:color="000000"/>
              <w:right w:val="single" w:sz="4" w:space="0" w:color="000000"/>
            </w:tcBorders>
          </w:tcPr>
          <w:p w:rsidR="00122D1B" w:rsidRDefault="00122D1B" w:rsidP="00A77774">
            <w:pPr>
              <w:pStyle w:val="NormalWeb"/>
              <w:spacing w:before="0" w:beforeAutospacing="0" w:after="0" w:afterAutospacing="0"/>
              <w:ind w:right="-334"/>
              <w:rPr>
                <w:rFonts w:ascii="Arial" w:hAnsi="Arial" w:cs="Arial"/>
                <w:bCs/>
                <w:i/>
                <w:sz w:val="22"/>
                <w:szCs w:val="22"/>
              </w:rPr>
            </w:pPr>
          </w:p>
          <w:p w:rsidR="00122D1B" w:rsidRDefault="00122D1B" w:rsidP="00A77774">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Marker 2/Moderator:</w:t>
            </w:r>
          </w:p>
          <w:p w:rsidR="00122D1B" w:rsidRDefault="00122D1B" w:rsidP="00A77774">
            <w:pPr>
              <w:pStyle w:val="NormalWeb"/>
              <w:spacing w:before="0" w:beforeAutospacing="0" w:after="0" w:afterAutospacing="0"/>
              <w:ind w:right="-334"/>
              <w:rPr>
                <w:rFonts w:ascii="Arial" w:hAnsi="Arial" w:cs="Arial"/>
                <w:b/>
                <w:bCs/>
                <w:sz w:val="22"/>
                <w:szCs w:val="22"/>
              </w:rPr>
            </w:pPr>
          </w:p>
          <w:p w:rsidR="00122D1B" w:rsidRDefault="00122D1B" w:rsidP="00A77774">
            <w:pPr>
              <w:pStyle w:val="NormalWeb"/>
              <w:spacing w:before="0" w:beforeAutospacing="0" w:after="0" w:afterAutospacing="0"/>
              <w:ind w:right="-334"/>
              <w:rPr>
                <w:rFonts w:ascii="Arial" w:hAnsi="Arial" w:cs="Arial"/>
                <w:bCs/>
                <w:sz w:val="22"/>
                <w:szCs w:val="22"/>
              </w:rPr>
            </w:pPr>
          </w:p>
          <w:p w:rsidR="00122D1B" w:rsidRDefault="00122D1B" w:rsidP="00A77774">
            <w:pPr>
              <w:pStyle w:val="NormalWeb"/>
              <w:spacing w:before="0" w:beforeAutospacing="0" w:after="0" w:afterAutospacing="0"/>
              <w:ind w:right="-334"/>
              <w:rPr>
                <w:rFonts w:ascii="Arial" w:hAnsi="Arial" w:cs="Arial"/>
                <w:bCs/>
                <w:sz w:val="22"/>
                <w:szCs w:val="22"/>
              </w:rPr>
            </w:pPr>
          </w:p>
          <w:p w:rsidR="00122D1B" w:rsidRDefault="00122D1B" w:rsidP="00A77774">
            <w:pPr>
              <w:pStyle w:val="NormalWeb"/>
              <w:spacing w:before="0" w:beforeAutospacing="0" w:after="0" w:afterAutospacing="0"/>
              <w:ind w:right="-334"/>
              <w:rPr>
                <w:rFonts w:ascii="Arial" w:hAnsi="Arial" w:cs="Arial"/>
                <w:bCs/>
                <w:sz w:val="22"/>
                <w:szCs w:val="22"/>
              </w:rPr>
            </w:pPr>
          </w:p>
          <w:p w:rsidR="00122D1B" w:rsidRDefault="00122D1B" w:rsidP="00A77774">
            <w:pPr>
              <w:pStyle w:val="NormalWeb"/>
              <w:spacing w:before="0" w:beforeAutospacing="0" w:after="0" w:afterAutospacing="0"/>
              <w:ind w:right="-334"/>
              <w:rPr>
                <w:rFonts w:ascii="Arial" w:hAnsi="Arial" w:cs="Arial"/>
                <w:bCs/>
                <w:sz w:val="22"/>
                <w:szCs w:val="22"/>
              </w:rPr>
            </w:pPr>
          </w:p>
          <w:p w:rsidR="00122D1B" w:rsidRDefault="00122D1B" w:rsidP="00A77774">
            <w:pPr>
              <w:pStyle w:val="NormalWeb"/>
              <w:spacing w:before="0" w:beforeAutospacing="0" w:after="0" w:afterAutospacing="0"/>
              <w:ind w:right="-334"/>
              <w:rPr>
                <w:rFonts w:ascii="Arial" w:hAnsi="Arial" w:cs="Arial"/>
                <w:bCs/>
                <w:sz w:val="22"/>
                <w:szCs w:val="22"/>
              </w:rPr>
            </w:pPr>
          </w:p>
        </w:tc>
      </w:tr>
      <w:tr w:rsidR="00122D1B" w:rsidTr="00A77774">
        <w:trPr>
          <w:trHeight w:val="720"/>
        </w:trPr>
        <w:tc>
          <w:tcPr>
            <w:tcW w:w="5211" w:type="dxa"/>
            <w:tcBorders>
              <w:top w:val="single" w:sz="4" w:space="0" w:color="000000"/>
              <w:left w:val="single" w:sz="4" w:space="0" w:color="000000"/>
              <w:bottom w:val="single" w:sz="4" w:space="0" w:color="000000"/>
              <w:right w:val="single" w:sz="4" w:space="0" w:color="000000"/>
            </w:tcBorders>
            <w:hideMark/>
          </w:tcPr>
          <w:p w:rsidR="00122D1B" w:rsidRDefault="00122D1B" w:rsidP="00A77774">
            <w:pPr>
              <w:pStyle w:val="NormalWeb"/>
              <w:spacing w:before="0" w:beforeAutospacing="0" w:after="0" w:afterAutospacing="0"/>
              <w:ind w:right="-334"/>
              <w:rPr>
                <w:rFonts w:ascii="Arial" w:hAnsi="Arial" w:cs="Arial"/>
                <w:bCs/>
                <w:sz w:val="22"/>
                <w:szCs w:val="22"/>
              </w:rPr>
            </w:pPr>
            <w:r>
              <w:rPr>
                <w:rFonts w:ascii="Arial" w:hAnsi="Arial" w:cs="Arial"/>
                <w:bCs/>
                <w:sz w:val="22"/>
                <w:szCs w:val="22"/>
              </w:rPr>
              <w:t xml:space="preserve">Marker’s Signature:  </w:t>
            </w:r>
          </w:p>
        </w:tc>
        <w:tc>
          <w:tcPr>
            <w:tcW w:w="3645" w:type="dxa"/>
            <w:tcBorders>
              <w:top w:val="single" w:sz="4" w:space="0" w:color="000000"/>
              <w:left w:val="single" w:sz="4" w:space="0" w:color="000000"/>
              <w:bottom w:val="single" w:sz="4" w:space="0" w:color="000000"/>
              <w:right w:val="single" w:sz="4" w:space="0" w:color="000000"/>
            </w:tcBorders>
            <w:hideMark/>
          </w:tcPr>
          <w:p w:rsidR="00122D1B" w:rsidRDefault="00122D1B" w:rsidP="00A77774">
            <w:pPr>
              <w:pStyle w:val="NormalWeb"/>
              <w:spacing w:before="0" w:beforeAutospacing="0" w:after="0" w:afterAutospacing="0"/>
              <w:ind w:right="-334"/>
              <w:rPr>
                <w:rFonts w:ascii="Arial" w:hAnsi="Arial" w:cs="Arial"/>
                <w:bCs/>
                <w:sz w:val="22"/>
                <w:szCs w:val="22"/>
              </w:rPr>
            </w:pPr>
            <w:r>
              <w:rPr>
                <w:rFonts w:ascii="Arial" w:hAnsi="Arial" w:cs="Arial"/>
                <w:bCs/>
                <w:sz w:val="22"/>
                <w:szCs w:val="22"/>
              </w:rPr>
              <w:t xml:space="preserve">Date: </w:t>
            </w:r>
          </w:p>
        </w:tc>
      </w:tr>
      <w:tr w:rsidR="00122D1B" w:rsidTr="00A77774">
        <w:trPr>
          <w:trHeight w:val="720"/>
        </w:trPr>
        <w:tc>
          <w:tcPr>
            <w:tcW w:w="8856" w:type="dxa"/>
            <w:gridSpan w:val="2"/>
            <w:tcBorders>
              <w:top w:val="single" w:sz="4" w:space="0" w:color="000000"/>
              <w:left w:val="single" w:sz="4" w:space="0" w:color="000000"/>
              <w:bottom w:val="single" w:sz="4" w:space="0" w:color="000000"/>
              <w:right w:val="single" w:sz="4" w:space="0" w:color="000000"/>
            </w:tcBorders>
          </w:tcPr>
          <w:p w:rsidR="00122D1B" w:rsidRDefault="00122D1B" w:rsidP="00A77774">
            <w:pPr>
              <w:rPr>
                <w:rFonts w:ascii="Arial" w:hAnsi="Arial" w:cs="Arial"/>
                <w:b/>
              </w:rPr>
            </w:pPr>
            <w:r>
              <w:rPr>
                <w:rFonts w:ascii="Arial" w:hAnsi="Arial" w:cs="Arial"/>
                <w:b/>
              </w:rPr>
              <w:t>External Examiner’s comments (if relevant)</w:t>
            </w:r>
          </w:p>
          <w:p w:rsidR="00122D1B" w:rsidRDefault="00122D1B" w:rsidP="00A77774">
            <w:pPr>
              <w:pStyle w:val="NormalWeb"/>
              <w:spacing w:before="0" w:beforeAutospacing="0" w:after="0" w:afterAutospacing="0"/>
              <w:ind w:right="-334"/>
              <w:rPr>
                <w:rFonts w:ascii="Arial" w:hAnsi="Arial" w:cs="Arial"/>
                <w:bCs/>
                <w:sz w:val="22"/>
                <w:szCs w:val="22"/>
              </w:rPr>
            </w:pPr>
          </w:p>
          <w:p w:rsidR="00122D1B" w:rsidRDefault="00122D1B" w:rsidP="00A77774">
            <w:pPr>
              <w:pStyle w:val="NormalWeb"/>
              <w:spacing w:before="0" w:beforeAutospacing="0" w:after="0" w:afterAutospacing="0"/>
              <w:ind w:right="-334"/>
              <w:rPr>
                <w:rFonts w:ascii="Arial" w:hAnsi="Arial" w:cs="Arial"/>
                <w:bCs/>
                <w:sz w:val="22"/>
                <w:szCs w:val="22"/>
              </w:rPr>
            </w:pPr>
          </w:p>
          <w:p w:rsidR="00122D1B" w:rsidRDefault="00122D1B" w:rsidP="00A77774">
            <w:pPr>
              <w:pStyle w:val="NormalWeb"/>
              <w:spacing w:before="0" w:beforeAutospacing="0" w:after="0" w:afterAutospacing="0"/>
              <w:ind w:right="-334"/>
              <w:rPr>
                <w:rFonts w:ascii="Arial" w:hAnsi="Arial" w:cs="Arial"/>
                <w:bCs/>
                <w:sz w:val="22"/>
                <w:szCs w:val="22"/>
              </w:rPr>
            </w:pPr>
          </w:p>
          <w:p w:rsidR="00122D1B" w:rsidRDefault="00122D1B" w:rsidP="00A77774">
            <w:pPr>
              <w:pStyle w:val="NormalWeb"/>
              <w:spacing w:before="0" w:beforeAutospacing="0" w:after="0" w:afterAutospacing="0"/>
              <w:ind w:right="-334"/>
              <w:rPr>
                <w:rFonts w:ascii="Arial" w:hAnsi="Arial" w:cs="Arial"/>
                <w:bCs/>
                <w:sz w:val="22"/>
                <w:szCs w:val="22"/>
              </w:rPr>
            </w:pPr>
          </w:p>
          <w:p w:rsidR="00122D1B" w:rsidRDefault="00122D1B" w:rsidP="00A77774">
            <w:pPr>
              <w:pStyle w:val="NormalWeb"/>
              <w:spacing w:before="0" w:beforeAutospacing="0" w:after="0" w:afterAutospacing="0"/>
              <w:ind w:right="-334"/>
              <w:rPr>
                <w:rFonts w:ascii="Arial" w:hAnsi="Arial" w:cs="Arial"/>
                <w:bCs/>
                <w:sz w:val="22"/>
                <w:szCs w:val="22"/>
              </w:rPr>
            </w:pPr>
          </w:p>
          <w:p w:rsidR="00122D1B" w:rsidRDefault="00122D1B" w:rsidP="00A77774">
            <w:pPr>
              <w:pStyle w:val="NormalWeb"/>
              <w:spacing w:before="0" w:beforeAutospacing="0" w:after="0" w:afterAutospacing="0"/>
              <w:ind w:right="-334"/>
              <w:rPr>
                <w:rFonts w:ascii="Arial" w:hAnsi="Arial" w:cs="Arial"/>
                <w:bCs/>
                <w:sz w:val="22"/>
                <w:szCs w:val="22"/>
              </w:rPr>
            </w:pPr>
          </w:p>
        </w:tc>
      </w:tr>
      <w:tr w:rsidR="00122D1B" w:rsidTr="00A77774">
        <w:trPr>
          <w:trHeight w:val="720"/>
        </w:trPr>
        <w:tc>
          <w:tcPr>
            <w:tcW w:w="5211" w:type="dxa"/>
            <w:tcBorders>
              <w:top w:val="single" w:sz="4" w:space="0" w:color="000000"/>
              <w:left w:val="single" w:sz="4" w:space="0" w:color="000000"/>
              <w:bottom w:val="single" w:sz="4" w:space="0" w:color="000000"/>
              <w:right w:val="single" w:sz="4" w:space="0" w:color="000000"/>
            </w:tcBorders>
            <w:hideMark/>
          </w:tcPr>
          <w:p w:rsidR="00122D1B" w:rsidRDefault="00122D1B" w:rsidP="00A77774">
            <w:pPr>
              <w:rPr>
                <w:rFonts w:ascii="Arial" w:hAnsi="Arial" w:cs="Arial"/>
              </w:rPr>
            </w:pPr>
            <w:r>
              <w:rPr>
                <w:rFonts w:ascii="Arial" w:hAnsi="Arial" w:cs="Arial"/>
              </w:rPr>
              <w:t>External Examiner’s Signature:</w:t>
            </w:r>
          </w:p>
        </w:tc>
        <w:tc>
          <w:tcPr>
            <w:tcW w:w="3645" w:type="dxa"/>
            <w:tcBorders>
              <w:top w:val="single" w:sz="4" w:space="0" w:color="000000"/>
              <w:left w:val="single" w:sz="4" w:space="0" w:color="000000"/>
              <w:bottom w:val="single" w:sz="4" w:space="0" w:color="000000"/>
              <w:right w:val="single" w:sz="4" w:space="0" w:color="000000"/>
            </w:tcBorders>
            <w:hideMark/>
          </w:tcPr>
          <w:p w:rsidR="00122D1B" w:rsidRDefault="00122D1B" w:rsidP="00A77774">
            <w:pPr>
              <w:rPr>
                <w:rFonts w:ascii="Arial" w:hAnsi="Arial" w:cs="Arial"/>
              </w:rPr>
            </w:pPr>
            <w:r>
              <w:rPr>
                <w:rFonts w:ascii="Arial" w:hAnsi="Arial" w:cs="Arial"/>
              </w:rPr>
              <w:t>Date:</w:t>
            </w:r>
          </w:p>
        </w:tc>
      </w:tr>
    </w:tbl>
    <w:p w:rsidR="00122D1B" w:rsidRDefault="00122D1B" w:rsidP="00122D1B"/>
    <w:p w:rsidR="00AC4178" w:rsidRDefault="00AC4178" w:rsidP="00122D1B"/>
    <w:p w:rsidR="00D728E2" w:rsidRPr="00AC7B1D" w:rsidRDefault="008C3442" w:rsidP="00D728E2">
      <w:pPr>
        <w:spacing w:before="100" w:beforeAutospacing="1" w:after="100" w:afterAutospacing="1" w:line="240" w:lineRule="auto"/>
        <w:jc w:val="center"/>
        <w:rPr>
          <w:rFonts w:eastAsia="Times New Roman" w:cs="Times New Roman"/>
          <w:sz w:val="28"/>
          <w:szCs w:val="24"/>
          <w:u w:val="single"/>
          <w:lang w:eastAsia="en-GB"/>
        </w:rPr>
      </w:pPr>
      <w:r>
        <w:rPr>
          <w:rFonts w:eastAsia="Times New Roman" w:cs="Times New Roman"/>
          <w:sz w:val="28"/>
          <w:szCs w:val="24"/>
          <w:u w:val="single"/>
          <w:lang w:eastAsia="en-GB"/>
        </w:rPr>
        <w:t xml:space="preserve">Echoes of the </w:t>
      </w:r>
      <w:r w:rsidR="00D728E2" w:rsidRPr="00D759ED">
        <w:rPr>
          <w:rFonts w:eastAsia="Times New Roman" w:cs="Times New Roman"/>
          <w:sz w:val="28"/>
          <w:szCs w:val="24"/>
          <w:u w:val="single"/>
          <w:lang w:eastAsia="en-GB"/>
        </w:rPr>
        <w:t>Otherworld</w:t>
      </w:r>
      <w:r>
        <w:rPr>
          <w:rFonts w:eastAsia="Times New Roman" w:cs="Times New Roman"/>
          <w:sz w:val="28"/>
          <w:szCs w:val="24"/>
          <w:u w:val="single"/>
          <w:lang w:eastAsia="en-GB"/>
        </w:rPr>
        <w:t xml:space="preserve"> </w:t>
      </w:r>
      <w:r w:rsidR="00D728E2" w:rsidRPr="00D759ED">
        <w:rPr>
          <w:rFonts w:eastAsia="Times New Roman" w:cs="Times New Roman"/>
          <w:sz w:val="28"/>
          <w:szCs w:val="24"/>
          <w:u w:val="single"/>
          <w:lang w:eastAsia="en-GB"/>
        </w:rPr>
        <w:t xml:space="preserve">in the Voyager Tale of </w:t>
      </w:r>
      <w:r w:rsidR="00D728E2" w:rsidRPr="000566B7">
        <w:rPr>
          <w:rFonts w:eastAsia="Times New Roman" w:cs="Times New Roman"/>
          <w:i/>
          <w:sz w:val="28"/>
          <w:szCs w:val="24"/>
          <w:u w:val="single"/>
          <w:lang w:eastAsia="en-GB"/>
        </w:rPr>
        <w:t>Máele Dúin</w:t>
      </w:r>
      <w:r w:rsidR="00AC7B1D">
        <w:rPr>
          <w:rFonts w:eastAsia="Times New Roman" w:cs="Times New Roman"/>
          <w:sz w:val="28"/>
          <w:szCs w:val="24"/>
          <w:u w:val="single"/>
          <w:lang w:eastAsia="en-GB"/>
        </w:rPr>
        <w:t>: A Commentary</w:t>
      </w:r>
    </w:p>
    <w:p w:rsidR="000C5629" w:rsidRDefault="000C5629" w:rsidP="00D728E2">
      <w:pPr>
        <w:spacing w:before="100" w:beforeAutospacing="1" w:after="100" w:afterAutospacing="1" w:line="240" w:lineRule="auto"/>
        <w:jc w:val="center"/>
        <w:rPr>
          <w:rFonts w:eastAsia="Times New Roman" w:cs="Times New Roman"/>
          <w:sz w:val="24"/>
          <w:szCs w:val="24"/>
          <w:lang w:eastAsia="en-GB"/>
        </w:rPr>
      </w:pPr>
    </w:p>
    <w:p w:rsidR="00AC4178" w:rsidRDefault="00AC4178" w:rsidP="00D728E2">
      <w:pPr>
        <w:spacing w:before="100" w:beforeAutospacing="1" w:after="100" w:afterAutospacing="1" w:line="240" w:lineRule="auto"/>
        <w:jc w:val="center"/>
        <w:rPr>
          <w:rFonts w:eastAsia="Times New Roman" w:cs="Times New Roman"/>
          <w:sz w:val="24"/>
          <w:szCs w:val="24"/>
          <w:lang w:eastAsia="en-GB"/>
        </w:rPr>
      </w:pPr>
    </w:p>
    <w:p w:rsidR="00AC4178" w:rsidRPr="00AC4178" w:rsidRDefault="00AC4178" w:rsidP="00AC4178">
      <w:pPr>
        <w:jc w:val="center"/>
        <w:rPr>
          <w:sz w:val="20"/>
          <w:u w:val="single"/>
        </w:rPr>
      </w:pPr>
      <w:r w:rsidRPr="00AC4178">
        <w:rPr>
          <w:sz w:val="20"/>
          <w:u w:val="single"/>
        </w:rPr>
        <w:t>List of Abbreviations Used:</w:t>
      </w:r>
    </w:p>
    <w:p w:rsidR="00AC4178" w:rsidRPr="00AC4178" w:rsidRDefault="00AC4178" w:rsidP="00AC4178">
      <w:pPr>
        <w:jc w:val="center"/>
        <w:rPr>
          <w:sz w:val="20"/>
          <w:u w:val="single"/>
        </w:rPr>
      </w:pPr>
    </w:p>
    <w:p w:rsidR="00AC4178" w:rsidRPr="00AC4178" w:rsidRDefault="00AC4178" w:rsidP="00AC4178">
      <w:pPr>
        <w:jc w:val="center"/>
        <w:rPr>
          <w:i/>
          <w:sz w:val="20"/>
        </w:rPr>
      </w:pPr>
      <w:r w:rsidRPr="00AC4178">
        <w:rPr>
          <w:sz w:val="20"/>
        </w:rPr>
        <w:t xml:space="preserve">MD: </w:t>
      </w:r>
      <w:r w:rsidRPr="00AC4178">
        <w:rPr>
          <w:i/>
          <w:sz w:val="20"/>
        </w:rPr>
        <w:t>Immram Curaig Máele Dúin</w:t>
      </w:r>
    </w:p>
    <w:p w:rsidR="00AC4178" w:rsidRPr="00AC4178" w:rsidRDefault="00AC4178" w:rsidP="00AC4178">
      <w:pPr>
        <w:jc w:val="center"/>
        <w:rPr>
          <w:sz w:val="20"/>
        </w:rPr>
      </w:pPr>
      <w:r w:rsidRPr="00AC4178">
        <w:rPr>
          <w:sz w:val="20"/>
        </w:rPr>
        <w:t>MS: manuscript</w:t>
      </w:r>
    </w:p>
    <w:p w:rsidR="00AC4178" w:rsidRPr="00AC4178" w:rsidRDefault="00AC4178" w:rsidP="00AC4178">
      <w:pPr>
        <w:jc w:val="center"/>
        <w:rPr>
          <w:sz w:val="20"/>
        </w:rPr>
      </w:pPr>
      <w:r w:rsidRPr="00AC4178">
        <w:rPr>
          <w:sz w:val="20"/>
        </w:rPr>
        <w:t xml:space="preserve">LH: </w:t>
      </w:r>
      <w:r w:rsidRPr="00AC4178">
        <w:rPr>
          <w:i/>
          <w:sz w:val="20"/>
        </w:rPr>
        <w:t xml:space="preserve">Lebor na Huidre </w:t>
      </w:r>
      <w:r w:rsidRPr="00AC4178">
        <w:rPr>
          <w:sz w:val="20"/>
        </w:rPr>
        <w:t>MS23 E25, Dublin Royal Academy.</w:t>
      </w:r>
    </w:p>
    <w:p w:rsidR="00AC4178" w:rsidRPr="00AC4178" w:rsidRDefault="00AC4178" w:rsidP="00AC4178">
      <w:pPr>
        <w:jc w:val="center"/>
        <w:rPr>
          <w:sz w:val="20"/>
        </w:rPr>
      </w:pPr>
      <w:r w:rsidRPr="00AC4178">
        <w:rPr>
          <w:sz w:val="20"/>
        </w:rPr>
        <w:t>YL: Yellow Book of Lecan MS1318, Dublin Trinity College.</w:t>
      </w:r>
    </w:p>
    <w:p w:rsidR="00AC4178" w:rsidRPr="00AC4178" w:rsidRDefault="00AC4178" w:rsidP="00AC4178">
      <w:pPr>
        <w:jc w:val="center"/>
        <w:rPr>
          <w:sz w:val="20"/>
        </w:rPr>
      </w:pPr>
      <w:r w:rsidRPr="00AC4178">
        <w:rPr>
          <w:sz w:val="20"/>
        </w:rPr>
        <w:t>H: Harleian 5280 12-20, British Library</w:t>
      </w:r>
    </w:p>
    <w:p w:rsidR="00AC4178" w:rsidRPr="00AC4178" w:rsidRDefault="00AC4178" w:rsidP="00AC4178">
      <w:pPr>
        <w:jc w:val="center"/>
        <w:rPr>
          <w:sz w:val="20"/>
        </w:rPr>
      </w:pPr>
      <w:r w:rsidRPr="00AC4178">
        <w:rPr>
          <w:sz w:val="20"/>
        </w:rPr>
        <w:t>E: Egerton 1782 124-5, British Library</w:t>
      </w:r>
    </w:p>
    <w:p w:rsidR="00AC4178" w:rsidRPr="00AC4178" w:rsidRDefault="00AC4178" w:rsidP="00AC4178">
      <w:pPr>
        <w:jc w:val="center"/>
        <w:rPr>
          <w:i/>
          <w:sz w:val="20"/>
        </w:rPr>
      </w:pPr>
      <w:r w:rsidRPr="00AC4178">
        <w:rPr>
          <w:sz w:val="20"/>
        </w:rPr>
        <w:t xml:space="preserve">NB: </w:t>
      </w:r>
      <w:r w:rsidRPr="00AC4178">
        <w:rPr>
          <w:i/>
          <w:sz w:val="20"/>
        </w:rPr>
        <w:t>Navigatio Sancti Brendani</w:t>
      </w:r>
    </w:p>
    <w:p w:rsidR="00AC4178" w:rsidRPr="00AC4178" w:rsidRDefault="00AC4178" w:rsidP="00AC4178">
      <w:pPr>
        <w:jc w:val="center"/>
        <w:rPr>
          <w:sz w:val="20"/>
        </w:rPr>
      </w:pPr>
      <w:r w:rsidRPr="00AC4178">
        <w:rPr>
          <w:sz w:val="20"/>
        </w:rPr>
        <w:t xml:space="preserve">CDS: </w:t>
      </w:r>
      <w:r w:rsidRPr="00AC4178">
        <w:rPr>
          <w:i/>
          <w:sz w:val="20"/>
        </w:rPr>
        <w:t>Cín Dromna Snechta</w:t>
      </w:r>
      <w:r w:rsidRPr="00AC4178">
        <w:rPr>
          <w:sz w:val="20"/>
        </w:rPr>
        <w:t xml:space="preserve"> (no longer extant)</w:t>
      </w:r>
    </w:p>
    <w:p w:rsidR="00AC4178" w:rsidRPr="00AC4178" w:rsidRDefault="00AC4178" w:rsidP="00AC4178">
      <w:pPr>
        <w:jc w:val="center"/>
        <w:rPr>
          <w:i/>
          <w:sz w:val="20"/>
        </w:rPr>
      </w:pPr>
      <w:r w:rsidRPr="00AC4178">
        <w:rPr>
          <w:sz w:val="20"/>
        </w:rPr>
        <w:t xml:space="preserve">UC: </w:t>
      </w:r>
      <w:r w:rsidRPr="00AC4178">
        <w:rPr>
          <w:i/>
          <w:sz w:val="20"/>
        </w:rPr>
        <w:t>Immram Curaig Ui Corra</w:t>
      </w:r>
    </w:p>
    <w:p w:rsidR="00AC4178" w:rsidRPr="00AC4178" w:rsidRDefault="00AC4178" w:rsidP="00AC4178">
      <w:pPr>
        <w:jc w:val="center"/>
        <w:rPr>
          <w:i/>
          <w:sz w:val="20"/>
        </w:rPr>
      </w:pPr>
      <w:r w:rsidRPr="00AC4178">
        <w:rPr>
          <w:sz w:val="20"/>
        </w:rPr>
        <w:t>IB</w:t>
      </w:r>
      <w:r w:rsidRPr="00AC4178">
        <w:rPr>
          <w:i/>
          <w:sz w:val="20"/>
        </w:rPr>
        <w:t>: Imram Brain maic Febail</w:t>
      </w:r>
    </w:p>
    <w:p w:rsidR="00AC4178" w:rsidRPr="00AC4178" w:rsidRDefault="00AC4178" w:rsidP="00AC4178">
      <w:pPr>
        <w:jc w:val="center"/>
        <w:rPr>
          <w:i/>
          <w:sz w:val="20"/>
        </w:rPr>
      </w:pPr>
      <w:r w:rsidRPr="00AC4178">
        <w:rPr>
          <w:sz w:val="20"/>
        </w:rPr>
        <w:t>EC</w:t>
      </w:r>
      <w:r w:rsidRPr="00AC4178">
        <w:rPr>
          <w:i/>
          <w:sz w:val="20"/>
        </w:rPr>
        <w:t>: Echtra Condla</w:t>
      </w:r>
    </w:p>
    <w:p w:rsidR="00AC4178" w:rsidRDefault="00AC4178" w:rsidP="00AC4178">
      <w:pPr>
        <w:jc w:val="center"/>
        <w:rPr>
          <w:i/>
          <w:sz w:val="20"/>
        </w:rPr>
      </w:pPr>
    </w:p>
    <w:p w:rsidR="001B7B2A" w:rsidRPr="00AC4178" w:rsidRDefault="001B7B2A" w:rsidP="00AC4178">
      <w:pPr>
        <w:jc w:val="center"/>
        <w:rPr>
          <w:i/>
          <w:sz w:val="20"/>
        </w:rPr>
      </w:pPr>
    </w:p>
    <w:p w:rsidR="00AC4178" w:rsidRPr="00AC4178" w:rsidRDefault="00AC4178" w:rsidP="001B7B2A">
      <w:pPr>
        <w:rPr>
          <w:sz w:val="20"/>
          <w:u w:val="single"/>
        </w:rPr>
      </w:pPr>
      <w:r w:rsidRPr="00AC4178">
        <w:rPr>
          <w:sz w:val="20"/>
          <w:u w:val="single"/>
        </w:rPr>
        <w:t>Definitions</w:t>
      </w:r>
    </w:p>
    <w:p w:rsidR="00AC4178" w:rsidRPr="00AC4178" w:rsidRDefault="00AC4178" w:rsidP="001B7B2A">
      <w:pPr>
        <w:rPr>
          <w:sz w:val="20"/>
          <w:u w:val="single"/>
        </w:rPr>
      </w:pPr>
    </w:p>
    <w:p w:rsidR="00AC4178" w:rsidRPr="00AC4178" w:rsidRDefault="00AC4178" w:rsidP="001B7B2A">
      <w:pPr>
        <w:rPr>
          <w:sz w:val="20"/>
        </w:rPr>
      </w:pPr>
      <w:r w:rsidRPr="00AC4178">
        <w:rPr>
          <w:i/>
          <w:sz w:val="20"/>
        </w:rPr>
        <w:t>Immrama</w:t>
      </w:r>
      <w:r w:rsidRPr="00AC4178">
        <w:rPr>
          <w:sz w:val="20"/>
        </w:rPr>
        <w:t xml:space="preserve"> (sing. </w:t>
      </w:r>
      <w:r w:rsidRPr="00AC4178">
        <w:rPr>
          <w:i/>
          <w:sz w:val="20"/>
        </w:rPr>
        <w:t>immram</w:t>
      </w:r>
      <w:r w:rsidRPr="00AC4178">
        <w:rPr>
          <w:sz w:val="20"/>
        </w:rPr>
        <w:t>):  “rowing about”. Tales of sea voyages into supernatural places.</w:t>
      </w:r>
    </w:p>
    <w:p w:rsidR="00AC4178" w:rsidRPr="00AC4178" w:rsidRDefault="00AC4178" w:rsidP="001B7B2A">
      <w:pPr>
        <w:rPr>
          <w:sz w:val="20"/>
        </w:rPr>
      </w:pPr>
    </w:p>
    <w:p w:rsidR="00AC4178" w:rsidRPr="00AC4178" w:rsidRDefault="00AC4178" w:rsidP="001B7B2A">
      <w:pPr>
        <w:rPr>
          <w:sz w:val="20"/>
        </w:rPr>
      </w:pPr>
      <w:r w:rsidRPr="00AC4178">
        <w:rPr>
          <w:i/>
          <w:sz w:val="20"/>
        </w:rPr>
        <w:t>Echtrae</w:t>
      </w:r>
      <w:r w:rsidRPr="00AC4178">
        <w:rPr>
          <w:sz w:val="20"/>
        </w:rPr>
        <w:t xml:space="preserve"> (sing. </w:t>
      </w:r>
      <w:r w:rsidRPr="00AC4178">
        <w:rPr>
          <w:i/>
          <w:sz w:val="20"/>
        </w:rPr>
        <w:t>echtra</w:t>
      </w:r>
      <w:r w:rsidRPr="00AC4178">
        <w:rPr>
          <w:sz w:val="20"/>
        </w:rPr>
        <w:t>): Adventures in the Otherworld.</w:t>
      </w:r>
    </w:p>
    <w:p w:rsidR="008E3F50" w:rsidRPr="00AC4178" w:rsidRDefault="008E3F50" w:rsidP="001B7B2A">
      <w:pPr>
        <w:spacing w:before="100" w:beforeAutospacing="1" w:after="100" w:afterAutospacing="1" w:line="240" w:lineRule="auto"/>
        <w:rPr>
          <w:rFonts w:eastAsia="Times New Roman" w:cs="Times New Roman"/>
          <w:sz w:val="20"/>
          <w:szCs w:val="24"/>
          <w:lang w:eastAsia="en-GB"/>
        </w:rPr>
      </w:pPr>
    </w:p>
    <w:p w:rsidR="00AC7B1D" w:rsidRDefault="00AC7B1D" w:rsidP="00D728E2">
      <w:pPr>
        <w:spacing w:before="100" w:beforeAutospacing="1" w:after="100" w:afterAutospacing="1" w:line="240" w:lineRule="auto"/>
        <w:jc w:val="center"/>
        <w:rPr>
          <w:rFonts w:eastAsia="Times New Roman" w:cs="Times New Roman"/>
          <w:i/>
          <w:sz w:val="28"/>
          <w:szCs w:val="24"/>
          <w:u w:val="single"/>
          <w:lang w:eastAsia="en-GB"/>
        </w:rPr>
      </w:pPr>
    </w:p>
    <w:p w:rsidR="00D728E2" w:rsidRPr="00D728E2" w:rsidRDefault="008C3442" w:rsidP="00D728E2">
      <w:pPr>
        <w:pStyle w:val="ListParagraph"/>
        <w:numPr>
          <w:ilvl w:val="0"/>
          <w:numId w:val="1"/>
        </w:numPr>
        <w:jc w:val="center"/>
        <w:rPr>
          <w:b/>
          <w:sz w:val="28"/>
        </w:rPr>
      </w:pPr>
      <w:r>
        <w:rPr>
          <w:b/>
          <w:sz w:val="28"/>
        </w:rPr>
        <w:lastRenderedPageBreak/>
        <w:t xml:space="preserve">A Rich and Varied Yarn </w:t>
      </w:r>
    </w:p>
    <w:p w:rsidR="006901E0" w:rsidRPr="00D60DC2" w:rsidRDefault="006901E0" w:rsidP="00B76A46">
      <w:pPr>
        <w:spacing w:line="360" w:lineRule="auto"/>
      </w:pPr>
      <w:r w:rsidRPr="00D60DC2">
        <w:rPr>
          <w:i/>
        </w:rPr>
        <w:t>Máele Dúin</w:t>
      </w:r>
      <w:r w:rsidRPr="00D60DC2">
        <w:t xml:space="preserve"> is a</w:t>
      </w:r>
      <w:r w:rsidR="00D60DC2" w:rsidRPr="00D60DC2">
        <w:t xml:space="preserve"> Christian</w:t>
      </w:r>
      <w:r w:rsidR="00E613F8" w:rsidRPr="00E613F8">
        <w:t xml:space="preserve"> </w:t>
      </w:r>
      <w:r w:rsidR="00E613F8" w:rsidRPr="00D60DC2">
        <w:t xml:space="preserve">allegorical tale of a sea voyage which, in parts, closely mirrors the medieval best seller </w:t>
      </w:r>
      <w:r w:rsidR="00E613F8" w:rsidRPr="00D60DC2">
        <w:rPr>
          <w:i/>
        </w:rPr>
        <w:t>Navigatio Sancti Brendani</w:t>
      </w:r>
      <w:r w:rsidR="00E613F8" w:rsidRPr="00D60DC2">
        <w:t>.</w:t>
      </w:r>
      <w:r w:rsidR="00D60DC2" w:rsidRPr="00D60DC2">
        <w:rPr>
          <w:rStyle w:val="FootnoteReference"/>
        </w:rPr>
        <w:footnoteReference w:id="1"/>
      </w:r>
      <w:r w:rsidRPr="00D60DC2">
        <w:t xml:space="preserve"> In both texts the protagonist and his men visit </w:t>
      </w:r>
      <w:r w:rsidR="007E5B20" w:rsidRPr="00D60DC2">
        <w:t>a succession of islands</w:t>
      </w:r>
      <w:r w:rsidR="007E5B20" w:rsidRPr="00D60DC2">
        <w:rPr>
          <w:rStyle w:val="FootnoteReference"/>
        </w:rPr>
        <w:footnoteReference w:id="2"/>
      </w:r>
      <w:r w:rsidRPr="00D60DC2">
        <w:t>, having taken on three too many companions, who are lost one by one. The comrades have encounters with fantastical elements</w:t>
      </w:r>
      <w:r w:rsidR="00E613F8" w:rsidRPr="00E613F8">
        <w:t xml:space="preserve"> </w:t>
      </w:r>
      <w:r w:rsidR="00E613F8" w:rsidRPr="00D60DC2">
        <w:t>in each episode.</w:t>
      </w:r>
      <w:r w:rsidR="00EE1DE0">
        <w:rPr>
          <w:rStyle w:val="FootnoteReference"/>
        </w:rPr>
        <w:footnoteReference w:id="3"/>
      </w:r>
      <w:r w:rsidRPr="00D60DC2">
        <w:t xml:space="preserve"> </w:t>
      </w:r>
    </w:p>
    <w:p w:rsidR="006901E0" w:rsidRPr="00D60DC2" w:rsidRDefault="00EE1DE0" w:rsidP="00B76A46">
      <w:pPr>
        <w:spacing w:line="360" w:lineRule="auto"/>
      </w:pPr>
      <w:r>
        <w:t xml:space="preserve">In the frame tale, </w:t>
      </w:r>
      <w:r w:rsidR="006901E0" w:rsidRPr="00D60DC2">
        <w:t xml:space="preserve">Máele Dúin, progeny of a nun raped by a raider, fostered to a queen, is incited to revenge the death of his father but after his voyage chooses forgiveness, which suggests the purpose of the tale as a transformational journey.  </w:t>
      </w:r>
      <w:r w:rsidR="007E5B20" w:rsidRPr="00D60DC2">
        <w:t>Much speculation abounds as to the original date of its composition</w:t>
      </w:r>
      <w:r w:rsidR="007E5B20" w:rsidRPr="00D60DC2">
        <w:rPr>
          <w:rStyle w:val="FootnoteReference"/>
        </w:rPr>
        <w:footnoteReference w:id="4"/>
      </w:r>
      <w:r w:rsidR="007E5B20" w:rsidRPr="00D60DC2">
        <w:t>.</w:t>
      </w:r>
      <w:r w:rsidR="0021572F">
        <w:t xml:space="preserve"> Whilst m</w:t>
      </w:r>
      <w:r w:rsidR="006901E0" w:rsidRPr="00D60DC2">
        <w:t xml:space="preserve">any scholars agree that the </w:t>
      </w:r>
      <w:r w:rsidR="006901E0" w:rsidRPr="00D60DC2">
        <w:rPr>
          <w:i/>
        </w:rPr>
        <w:t>Navigatio</w:t>
      </w:r>
      <w:r w:rsidR="006901E0" w:rsidRPr="00D60DC2">
        <w:t xml:space="preserve"> was the </w:t>
      </w:r>
      <w:r w:rsidR="007E5B20" w:rsidRPr="00D60DC2">
        <w:t xml:space="preserve">religious precursor for the secular </w:t>
      </w:r>
      <w:r w:rsidR="007E5B20" w:rsidRPr="00D60DC2">
        <w:rPr>
          <w:i/>
        </w:rPr>
        <w:t>Máele Dúin</w:t>
      </w:r>
      <w:r w:rsidR="007E5B20" w:rsidRPr="00D60DC2">
        <w:rPr>
          <w:rStyle w:val="FootnoteReference"/>
        </w:rPr>
        <w:footnoteReference w:id="5"/>
      </w:r>
      <w:r w:rsidR="0021572F">
        <w:t xml:space="preserve">, </w:t>
      </w:r>
      <w:r w:rsidR="007E5B20" w:rsidRPr="00D60DC2">
        <w:t>others</w:t>
      </w:r>
      <w:r w:rsidR="004707F0">
        <w:t>, myself included,</w:t>
      </w:r>
      <w:r w:rsidR="00D760E8" w:rsidRPr="00D760E8">
        <w:t xml:space="preserve"> </w:t>
      </w:r>
      <w:r w:rsidR="00D760E8" w:rsidRPr="00D60DC2">
        <w:t>believe there are elements in MD</w:t>
      </w:r>
      <w:r w:rsidR="00D760E8" w:rsidRPr="00D60DC2">
        <w:rPr>
          <w:i/>
        </w:rPr>
        <w:t xml:space="preserve"> </w:t>
      </w:r>
      <w:r w:rsidR="00D760E8" w:rsidRPr="00D60DC2">
        <w:t>that would have been in existence long before NB was composed.</w:t>
      </w:r>
      <w:r w:rsidR="007E5B20" w:rsidRPr="00D60DC2">
        <w:rPr>
          <w:rStyle w:val="FootnoteReference"/>
        </w:rPr>
        <w:footnoteReference w:id="6"/>
      </w:r>
      <w:r w:rsidR="006901E0" w:rsidRPr="00D60DC2">
        <w:t xml:space="preserve"> </w:t>
      </w:r>
    </w:p>
    <w:p w:rsidR="006901E0" w:rsidRPr="006901E0" w:rsidRDefault="006901E0" w:rsidP="00A43FA5">
      <w:pPr>
        <w:spacing w:line="360" w:lineRule="auto"/>
        <w:rPr>
          <w:b/>
          <w:color w:val="FF0000"/>
        </w:rPr>
      </w:pPr>
      <w:r w:rsidRPr="00D60DC2">
        <w:lastRenderedPageBreak/>
        <w:t>The 8-10</w:t>
      </w:r>
      <w:r w:rsidRPr="00D60DC2">
        <w:rPr>
          <w:vertAlign w:val="superscript"/>
        </w:rPr>
        <w:t>th</w:t>
      </w:r>
      <w:r w:rsidRPr="00D60DC2">
        <w:t xml:space="preserve"> century </w:t>
      </w:r>
      <w:r w:rsidRPr="00D60DC2">
        <w:rPr>
          <w:i/>
        </w:rPr>
        <w:t>immrama,</w:t>
      </w:r>
      <w:r w:rsidRPr="00D60DC2">
        <w:t xml:space="preserve"> to which MD belongs</w:t>
      </w:r>
      <w:r w:rsidR="00FD0B82">
        <w:rPr>
          <w:rStyle w:val="FootnoteReference"/>
        </w:rPr>
        <w:footnoteReference w:id="7"/>
      </w:r>
      <w:r w:rsidRPr="00D60DC2">
        <w:t xml:space="preserve">, are Christian products of a time of great change, including monastic pilgrimage, ocean exploration, and Viking raids; a time when knowledge of diverse traditions, from </w:t>
      </w:r>
      <w:r w:rsidR="007F0283">
        <w:t xml:space="preserve">those in </w:t>
      </w:r>
      <w:r w:rsidRPr="00D60DC2">
        <w:t>written Latin, G</w:t>
      </w:r>
      <w:r w:rsidR="00447121">
        <w:t>reek and Anglo Saxon, to</w:t>
      </w:r>
      <w:r w:rsidRPr="003A182C">
        <w:t xml:space="preserve"> </w:t>
      </w:r>
      <w:r w:rsidR="007F0283">
        <w:t xml:space="preserve">perhaps Norse and native </w:t>
      </w:r>
      <w:r w:rsidRPr="003A182C">
        <w:t>oral teachings</w:t>
      </w:r>
      <w:r w:rsidRPr="006901E0">
        <w:rPr>
          <w:b/>
        </w:rPr>
        <w:t xml:space="preserve"> </w:t>
      </w:r>
      <w:r w:rsidRPr="003A182C">
        <w:t>was available</w:t>
      </w:r>
      <w:r w:rsidR="00447121">
        <w:rPr>
          <w:rStyle w:val="FootnoteReference"/>
        </w:rPr>
        <w:footnoteReference w:id="8"/>
      </w:r>
      <w:r w:rsidRPr="003A182C">
        <w:t>.</w:t>
      </w:r>
      <w:r w:rsidRPr="006901E0">
        <w:rPr>
          <w:b/>
        </w:rPr>
        <w:t xml:space="preserve"> </w:t>
      </w:r>
      <w:r w:rsidR="00D45568">
        <w:t>C</w:t>
      </w:r>
      <w:r w:rsidRPr="00FE2024">
        <w:t>lerics</w:t>
      </w:r>
      <w:r w:rsidR="00BE5399">
        <w:t xml:space="preserve">, recording </w:t>
      </w:r>
      <w:r w:rsidR="00D45568">
        <w:t>I</w:t>
      </w:r>
      <w:r w:rsidR="00BE5399">
        <w:t>rish literature in</w:t>
      </w:r>
      <w:r w:rsidR="00FE2024" w:rsidRPr="00FE2024">
        <w:t xml:space="preserve"> Latin</w:t>
      </w:r>
      <w:r w:rsidR="001A1687">
        <w:t xml:space="preserve"> from the </w:t>
      </w:r>
      <w:r w:rsidR="00BE5399">
        <w:t>seventh century</w:t>
      </w:r>
      <w:r w:rsidR="00A2543E" w:rsidRPr="00A2543E">
        <w:t xml:space="preserve"> </w:t>
      </w:r>
      <w:r w:rsidR="00A2543E">
        <w:t xml:space="preserve">could have been </w:t>
      </w:r>
      <w:r w:rsidR="00A2543E" w:rsidRPr="00FE2024">
        <w:t>copying</w:t>
      </w:r>
      <w:r w:rsidR="00A2543E">
        <w:t xml:space="preserve"> from fifth century ogam</w:t>
      </w:r>
      <w:r w:rsidR="00A2543E" w:rsidRPr="00EC1A13">
        <w:t xml:space="preserve"> </w:t>
      </w:r>
      <w:r w:rsidR="00A2543E">
        <w:t>as well as taking down stories from the oral tradition.</w:t>
      </w:r>
      <w:r w:rsidR="00BE5399">
        <w:rPr>
          <w:rStyle w:val="FootnoteReference"/>
        </w:rPr>
        <w:footnoteReference w:id="9"/>
      </w:r>
    </w:p>
    <w:p w:rsidR="006901E0" w:rsidRPr="00D60DC2" w:rsidRDefault="006901E0" w:rsidP="00A43FA5">
      <w:pPr>
        <w:spacing w:line="360" w:lineRule="auto"/>
      </w:pPr>
      <w:r w:rsidRPr="00D60DC2">
        <w:t xml:space="preserve">MD exists in two fragments in LH, from before 1106, </w:t>
      </w:r>
      <w:r w:rsidR="007E5B20" w:rsidRPr="00D60DC2">
        <w:t>used by Stokes</w:t>
      </w:r>
      <w:r w:rsidR="007E5B20" w:rsidRPr="00D60DC2">
        <w:rPr>
          <w:rStyle w:val="FootnoteReference"/>
        </w:rPr>
        <w:footnoteReference w:id="10"/>
      </w:r>
      <w:r w:rsidR="007E5B20" w:rsidRPr="00D60DC2">
        <w:t xml:space="preserve"> </w:t>
      </w:r>
      <w:r w:rsidRPr="00D60DC2">
        <w:t>in his 1898 translation, together with an almost complete</w:t>
      </w:r>
      <w:r w:rsidR="00573DC9">
        <w:t xml:space="preserve"> </w:t>
      </w:r>
      <w:r w:rsidR="00573DC9" w:rsidRPr="00D60DC2">
        <w:t>version in the fourteenth c</w:t>
      </w:r>
      <w:r w:rsidR="00573DC9">
        <w:t>entury YL, in prose and verse</w:t>
      </w:r>
      <w:r w:rsidR="00573DC9" w:rsidRPr="00D60DC2">
        <w:t>, and H, a sixteenth century copy of an original, common to YL.</w:t>
      </w:r>
      <w:r w:rsidR="007E5B20" w:rsidRPr="00D60DC2">
        <w:rPr>
          <w:rStyle w:val="FootnoteReference"/>
        </w:rPr>
        <w:footnoteReference w:id="11"/>
      </w:r>
      <w:r w:rsidRPr="00D60DC2">
        <w:t xml:space="preserve"> </w:t>
      </w:r>
    </w:p>
    <w:p w:rsidR="006901E0" w:rsidRDefault="006901E0" w:rsidP="00A43FA5">
      <w:pPr>
        <w:spacing w:line="360" w:lineRule="auto"/>
      </w:pPr>
      <w:r w:rsidRPr="001578A1">
        <w:t>One of a small group of secular</w:t>
      </w:r>
      <w:r w:rsidRPr="001578A1">
        <w:rPr>
          <w:i/>
        </w:rPr>
        <w:t xml:space="preserve"> immrama </w:t>
      </w:r>
      <w:r w:rsidR="009A0665">
        <w:t>that begin</w:t>
      </w:r>
      <w:r w:rsidRPr="001578A1">
        <w:t xml:space="preserve"> with a </w:t>
      </w:r>
      <w:r w:rsidR="001578A1" w:rsidRPr="001578A1">
        <w:t>crime,</w:t>
      </w:r>
      <w:r w:rsidR="001578A1" w:rsidRPr="001578A1">
        <w:rPr>
          <w:rStyle w:val="FootnoteReference"/>
        </w:rPr>
        <w:footnoteReference w:id="12"/>
      </w:r>
      <w:r w:rsidRPr="001578A1">
        <w:t xml:space="preserve"> MD is unique in that </w:t>
      </w:r>
      <w:r w:rsidR="007E5B20" w:rsidRPr="001578A1">
        <w:t>it</w:t>
      </w:r>
      <w:r w:rsidRPr="001578A1">
        <w:t xml:space="preserve"> was written down as prose </w:t>
      </w:r>
      <w:r w:rsidRPr="001578A1">
        <w:rPr>
          <w:i/>
        </w:rPr>
        <w:t>before</w:t>
      </w:r>
      <w:r w:rsidRPr="001578A1">
        <w:t xml:space="preserve"> a poetic version appeared</w:t>
      </w:r>
      <w:r w:rsidR="00776BFD">
        <w:rPr>
          <w:rStyle w:val="FootnoteReference"/>
        </w:rPr>
        <w:footnoteReference w:id="13"/>
      </w:r>
      <w:r w:rsidRPr="001578A1">
        <w:t xml:space="preserve">.  It reads like a selection of storyteller’s </w:t>
      </w:r>
      <w:r w:rsidRPr="001578A1">
        <w:lastRenderedPageBreak/>
        <w:t>notes with some portions considerably longer and more complete than others</w:t>
      </w:r>
      <w:r w:rsidR="001578A1">
        <w:t>.</w:t>
      </w:r>
      <w:r w:rsidR="001578A1" w:rsidRPr="001578A1">
        <w:t xml:space="preserve"> </w:t>
      </w:r>
      <w:r w:rsidR="001578A1" w:rsidRPr="001578A1">
        <w:rPr>
          <w:rStyle w:val="FootnoteReference"/>
        </w:rPr>
        <w:footnoteReference w:id="14"/>
      </w:r>
      <w:r w:rsidRPr="001578A1">
        <w:t xml:space="preserve"> Johnston, however, believes it was always a written tale, not written from </w:t>
      </w:r>
      <w:r w:rsidR="001578A1" w:rsidRPr="001578A1">
        <w:t>oral tradition</w:t>
      </w:r>
      <w:r w:rsidR="001578A1" w:rsidRPr="001578A1">
        <w:rPr>
          <w:rStyle w:val="FootnoteReference"/>
        </w:rPr>
        <w:footnoteReference w:id="15"/>
      </w:r>
      <w:r w:rsidRPr="001578A1">
        <w:t>. It is, according to van Hamel</w:t>
      </w:r>
      <w:r w:rsidR="00A2543E">
        <w:t xml:space="preserve"> </w:t>
      </w:r>
      <w:r w:rsidR="00A2543E" w:rsidRPr="001578A1">
        <w:t>“perhaps the only early Irish prose-tale of which an author</w:t>
      </w:r>
      <w:r w:rsidR="00A2543E">
        <w:t xml:space="preserve"> [Aed Finn] </w:t>
      </w:r>
      <w:r w:rsidR="00A2543E" w:rsidRPr="001578A1">
        <w:t>is named.”</w:t>
      </w:r>
      <w:r w:rsidR="00EE1DE0">
        <w:rPr>
          <w:rStyle w:val="FootnoteReference"/>
        </w:rPr>
        <w:footnoteReference w:id="16"/>
      </w:r>
    </w:p>
    <w:p w:rsidR="00AC7B1D" w:rsidRDefault="00AC7B1D" w:rsidP="00AC7B1D">
      <w:pPr>
        <w:pStyle w:val="ListParagraph"/>
        <w:spacing w:line="360" w:lineRule="auto"/>
        <w:rPr>
          <w:b/>
          <w:sz w:val="28"/>
        </w:rPr>
      </w:pPr>
    </w:p>
    <w:p w:rsidR="00D728E2" w:rsidRPr="000566B7" w:rsidRDefault="008C3442" w:rsidP="00A43FA5">
      <w:pPr>
        <w:pStyle w:val="ListParagraph"/>
        <w:numPr>
          <w:ilvl w:val="0"/>
          <w:numId w:val="1"/>
        </w:numPr>
        <w:spacing w:line="360" w:lineRule="auto"/>
        <w:jc w:val="center"/>
        <w:rPr>
          <w:b/>
          <w:sz w:val="28"/>
        </w:rPr>
      </w:pPr>
      <w:r>
        <w:rPr>
          <w:b/>
          <w:sz w:val="28"/>
        </w:rPr>
        <w:t xml:space="preserve">Choosing the Weave: </w:t>
      </w:r>
      <w:r w:rsidR="000566B7">
        <w:rPr>
          <w:b/>
          <w:sz w:val="28"/>
        </w:rPr>
        <w:t xml:space="preserve">Echoes </w:t>
      </w:r>
      <w:r w:rsidR="00C2732F">
        <w:rPr>
          <w:b/>
          <w:sz w:val="28"/>
        </w:rPr>
        <w:t xml:space="preserve">of the Otherworld </w:t>
      </w:r>
    </w:p>
    <w:p w:rsidR="00851A0C" w:rsidRDefault="00851A0C" w:rsidP="00A43FA5">
      <w:pPr>
        <w:spacing w:line="360" w:lineRule="auto"/>
        <w:rPr>
          <w:color w:val="00B050"/>
        </w:rPr>
      </w:pPr>
      <w:r w:rsidRPr="00851A0C">
        <w:t>Motifs in MD can be grouped into thos</w:t>
      </w:r>
      <w:r w:rsidR="00C2732F">
        <w:t xml:space="preserve">e which find a parallel in NB, </w:t>
      </w:r>
      <w:r w:rsidRPr="00851A0C">
        <w:t xml:space="preserve">such as the </w:t>
      </w:r>
      <w:r w:rsidR="00C2732F">
        <w:t>island of black and white sheep</w:t>
      </w:r>
      <w:r w:rsidRPr="00851A0C">
        <w:t>, those which echo the tale of</w:t>
      </w:r>
      <w:r w:rsidRPr="00851A0C">
        <w:rPr>
          <w:i/>
        </w:rPr>
        <w:t xml:space="preserve"> </w:t>
      </w:r>
      <w:r w:rsidRPr="00851A0C">
        <w:t>the earlier</w:t>
      </w:r>
      <w:r w:rsidR="00567F4D">
        <w:t xml:space="preserve"> IB</w:t>
      </w:r>
      <w:r w:rsidR="00DB54D0">
        <w:rPr>
          <w:rStyle w:val="FootnoteReference"/>
        </w:rPr>
        <w:footnoteReference w:id="17"/>
      </w:r>
      <w:r w:rsidR="00DB54D0">
        <w:t xml:space="preserve"> </w:t>
      </w:r>
      <w:r w:rsidR="00C2732F">
        <w:t xml:space="preserve">, </w:t>
      </w:r>
      <w:r w:rsidRPr="00851A0C">
        <w:t>with its long passage concerning a sojourn in the land of women</w:t>
      </w:r>
      <w:r w:rsidR="00303F73">
        <w:rPr>
          <w:rStyle w:val="FootnoteReference"/>
        </w:rPr>
        <w:footnoteReference w:id="18"/>
      </w:r>
      <w:r w:rsidRPr="00851A0C">
        <w:t>, and those that have the early tale of Cormac</w:t>
      </w:r>
      <w:r w:rsidR="00B804E9" w:rsidRPr="00B804E9">
        <w:t xml:space="preserve"> </w:t>
      </w:r>
      <w:r w:rsidR="00B804E9" w:rsidRPr="00851A0C">
        <w:t>as the source, for example, the 3 latecomers.</w:t>
      </w:r>
      <w:r w:rsidR="00B804E9" w:rsidRPr="00851A0C">
        <w:rPr>
          <w:rStyle w:val="FootnoteReference"/>
        </w:rPr>
        <w:footnoteReference w:id="19"/>
      </w:r>
      <w:r w:rsidRPr="00851A0C">
        <w:t xml:space="preserve"> There are, too, passages unique to MD, such as the sinless maiden who feeds him and his men but refuses to sleep with </w:t>
      </w:r>
      <w:r>
        <w:t>him.</w:t>
      </w:r>
      <w:r>
        <w:rPr>
          <w:rStyle w:val="FootnoteReference"/>
        </w:rPr>
        <w:footnoteReference w:id="20"/>
      </w:r>
    </w:p>
    <w:p w:rsidR="00851A0C" w:rsidRDefault="00851A0C" w:rsidP="00A43FA5">
      <w:pPr>
        <w:spacing w:line="360" w:lineRule="auto"/>
      </w:pPr>
      <w:r>
        <w:lastRenderedPageBreak/>
        <w:t>Aldhouse-Green</w:t>
      </w:r>
      <w:r>
        <w:rPr>
          <w:rStyle w:val="FootnoteReference"/>
        </w:rPr>
        <w:footnoteReference w:id="21"/>
      </w:r>
      <w:r>
        <w:t xml:space="preserve">  has outlined the challenges of identifying the providence of motifs in medieval texts. Mac Cana</w:t>
      </w:r>
      <w:r w:rsidR="00BE75C6" w:rsidRPr="00BE75C6">
        <w:t xml:space="preserve"> </w:t>
      </w:r>
      <w:r w:rsidR="00BE75C6">
        <w:t>and Yocum</w:t>
      </w:r>
      <w:r w:rsidR="00BE75C6">
        <w:rPr>
          <w:rStyle w:val="FootnoteReference"/>
        </w:rPr>
        <w:t xml:space="preserve"> </w:t>
      </w:r>
      <w:r w:rsidR="00BE75C6">
        <w:t>give us clear criteria for identifying Irish elements within the voyager tales.</w:t>
      </w:r>
      <w:r>
        <w:rPr>
          <w:rStyle w:val="FootnoteReference"/>
        </w:rPr>
        <w:footnoteReference w:id="22"/>
      </w:r>
      <w:r>
        <w:t xml:space="preserve"> </w:t>
      </w:r>
    </w:p>
    <w:p w:rsidR="00851A0C" w:rsidRDefault="00851A0C" w:rsidP="00A43FA5">
      <w:pPr>
        <w:spacing w:line="360" w:lineRule="auto"/>
      </w:pPr>
      <w:r>
        <w:t>At the risk of being accused of ‘mining’ the tales</w:t>
      </w:r>
      <w:r w:rsidR="00186015">
        <w:t>,</w:t>
      </w:r>
      <w:r w:rsidR="00186015" w:rsidRPr="00186015">
        <w:t xml:space="preserve"> </w:t>
      </w:r>
      <w:r w:rsidR="00186015">
        <w:t>as an oral storyteller I prefer the metaphor of picking out threads of our ancestors’ relationship to nature.</w:t>
      </w:r>
      <w:r>
        <w:rPr>
          <w:rStyle w:val="FootnoteReference"/>
        </w:rPr>
        <w:footnoteReference w:id="23"/>
      </w:r>
      <w:r w:rsidR="00186015">
        <w:t xml:space="preserve"> </w:t>
      </w:r>
      <w:r w:rsidR="00B1587D">
        <w:t>Themes within MD and NB</w:t>
      </w:r>
      <w:r w:rsidR="00776BFD">
        <w:t>,</w:t>
      </w:r>
      <w:r w:rsidR="00B1587D">
        <w:t xml:space="preserve"> deal with </w:t>
      </w:r>
      <w:r>
        <w:t>dea</w:t>
      </w:r>
      <w:r w:rsidR="00776BFD">
        <w:t>th, transformation,</w:t>
      </w:r>
      <w:r>
        <w:t xml:space="preserve"> and rebirth; motifs of the triple goddes</w:t>
      </w:r>
      <w:r w:rsidRPr="00DB6D89">
        <w:t>s</w:t>
      </w:r>
      <w:r w:rsidRPr="00DB6D89">
        <w:rPr>
          <w:rStyle w:val="FootnoteReference"/>
        </w:rPr>
        <w:footnoteReference w:id="24"/>
      </w:r>
      <w:r w:rsidRPr="00DB6D89">
        <w:t>.</w:t>
      </w:r>
      <w:r w:rsidRPr="00851A0C">
        <w:rPr>
          <w:color w:val="FF0000"/>
        </w:rPr>
        <w:t xml:space="preserve"> </w:t>
      </w:r>
    </w:p>
    <w:p w:rsidR="00851A0C" w:rsidRDefault="00851A0C" w:rsidP="00A43FA5">
      <w:pPr>
        <w:spacing w:line="360" w:lineRule="auto"/>
      </w:pPr>
      <w:r>
        <w:t>Traces of ancient gods linger</w:t>
      </w:r>
      <w:r w:rsidR="001A1687">
        <w:rPr>
          <w:rStyle w:val="FootnoteReference"/>
        </w:rPr>
        <w:footnoteReference w:id="25"/>
      </w:r>
      <w:r>
        <w:t>; the myth of the ever young Mac Oc</w:t>
      </w:r>
      <w:r w:rsidR="00EF0756" w:rsidRPr="00EF0756">
        <w:t xml:space="preserve"> </w:t>
      </w:r>
      <w:r w:rsidR="00EF0756">
        <w:t>with his beautiful singing birds,</w:t>
      </w:r>
      <w:r>
        <w:rPr>
          <w:rStyle w:val="FootnoteReference"/>
        </w:rPr>
        <w:footnoteReference w:id="26"/>
      </w:r>
      <w:r>
        <w:t xml:space="preserve"> Manannan and his silvery musical branch</w:t>
      </w:r>
      <w:r w:rsidR="00EF0756" w:rsidRPr="00EF0756">
        <w:t xml:space="preserve"> </w:t>
      </w:r>
      <w:r w:rsidR="00EF0756">
        <w:t>an</w:t>
      </w:r>
      <w:r w:rsidR="00EF0756" w:rsidRPr="000F034E">
        <w:t>d his divine son Mongán.</w:t>
      </w:r>
      <w:r w:rsidR="00EF0756">
        <w:rPr>
          <w:rStyle w:val="FootnoteReference"/>
        </w:rPr>
        <w:footnoteReference w:id="27"/>
      </w:r>
    </w:p>
    <w:p w:rsidR="00E00C74" w:rsidRDefault="008D0200" w:rsidP="00A43FA5">
      <w:pPr>
        <w:spacing w:line="360" w:lineRule="auto"/>
      </w:pPr>
      <w:r>
        <w:lastRenderedPageBreak/>
        <w:t>I follow Oskamp in considering</w:t>
      </w:r>
      <w:r w:rsidR="000F034E">
        <w:t xml:space="preserve"> the island of women</w:t>
      </w:r>
      <w:r>
        <w:t xml:space="preserve">, </w:t>
      </w:r>
      <w:r w:rsidR="009768CE">
        <w:t>the branch</w:t>
      </w:r>
      <w:r w:rsidR="00EA6E92" w:rsidRPr="00EA6E92">
        <w:t xml:space="preserve"> </w:t>
      </w:r>
      <w:r w:rsidR="00EA6E92">
        <w:t>and magical music as early motifs</w:t>
      </w:r>
      <w:r w:rsidR="00EA6E92" w:rsidRPr="0049672B">
        <w:t>,</w:t>
      </w:r>
      <w:r w:rsidR="00EA6E92" w:rsidRPr="00EA6E92">
        <w:t xml:space="preserve"> </w:t>
      </w:r>
      <w:r w:rsidR="00EA6E92">
        <w:t>albeit appropriated in MD for a Christian purpose in a rather garbled fashion</w:t>
      </w:r>
      <w:r w:rsidR="00EA6E92" w:rsidRPr="0049672B">
        <w:rPr>
          <w:rStyle w:val="FootnoteReference"/>
        </w:rPr>
        <w:t xml:space="preserve"> </w:t>
      </w:r>
      <w:r w:rsidR="00EA6E92" w:rsidRPr="0049672B">
        <w:rPr>
          <w:rStyle w:val="FootnoteReference"/>
        </w:rPr>
        <w:footnoteReference w:id="28"/>
      </w:r>
      <w:r w:rsidR="00297841">
        <w:t>.</w:t>
      </w:r>
    </w:p>
    <w:p w:rsidR="00D728E2" w:rsidRDefault="00D728E2" w:rsidP="00A43FA5">
      <w:pPr>
        <w:pStyle w:val="ListParagraph"/>
        <w:numPr>
          <w:ilvl w:val="1"/>
          <w:numId w:val="1"/>
        </w:numPr>
        <w:spacing w:line="360" w:lineRule="auto"/>
        <w:rPr>
          <w:b/>
          <w:sz w:val="28"/>
        </w:rPr>
      </w:pPr>
      <w:r>
        <w:rPr>
          <w:b/>
          <w:sz w:val="28"/>
        </w:rPr>
        <w:t xml:space="preserve">The </w:t>
      </w:r>
      <w:r w:rsidR="005F1751">
        <w:rPr>
          <w:b/>
          <w:sz w:val="28"/>
        </w:rPr>
        <w:t xml:space="preserve">Blossoming </w:t>
      </w:r>
      <w:r>
        <w:rPr>
          <w:b/>
          <w:sz w:val="28"/>
        </w:rPr>
        <w:t>Branch</w:t>
      </w:r>
    </w:p>
    <w:p w:rsidR="000F034E" w:rsidRDefault="00717D15" w:rsidP="00A43FA5">
      <w:pPr>
        <w:spacing w:line="360" w:lineRule="auto"/>
      </w:pPr>
      <w:r>
        <w:t xml:space="preserve">Without </w:t>
      </w:r>
      <w:r w:rsidR="00AF2F36">
        <w:t xml:space="preserve">prior </w:t>
      </w:r>
      <w:r w:rsidR="008B376F">
        <w:t xml:space="preserve">knowledge of other </w:t>
      </w:r>
      <w:r w:rsidR="009C7E9E">
        <w:t>Celtic</w:t>
      </w:r>
      <w:r w:rsidR="00BB59F3" w:rsidRPr="00BB59F3">
        <w:t xml:space="preserve"> </w:t>
      </w:r>
      <w:r w:rsidR="00BB59F3">
        <w:t>tales the reference to a magical branch in MD would perhaps go unnoticed.</w:t>
      </w:r>
      <w:r w:rsidR="00BB59F3">
        <w:rPr>
          <w:rStyle w:val="FootnoteReference"/>
        </w:rPr>
        <w:footnoteReference w:id="29"/>
      </w:r>
      <w:r w:rsidR="00BB59F3">
        <w:t xml:space="preserve"> </w:t>
      </w:r>
      <w:r w:rsidR="009C7E9E">
        <w:t xml:space="preserve"> </w:t>
      </w:r>
    </w:p>
    <w:p w:rsidR="000F034E" w:rsidRPr="000F034E" w:rsidRDefault="000F034E" w:rsidP="00A43FA5">
      <w:pPr>
        <w:spacing w:line="360" w:lineRule="auto"/>
        <w:jc w:val="center"/>
        <w:rPr>
          <w:i/>
        </w:rPr>
      </w:pPr>
      <w:r w:rsidRPr="000F034E">
        <w:rPr>
          <w:i/>
        </w:rPr>
        <w:lastRenderedPageBreak/>
        <w:t xml:space="preserve">He found a </w:t>
      </w:r>
      <w:r w:rsidR="000563BE">
        <w:rPr>
          <w:i/>
        </w:rPr>
        <w:t xml:space="preserve">[magical] </w:t>
      </w:r>
      <w:r w:rsidRPr="000F034E">
        <w:rPr>
          <w:i/>
        </w:rPr>
        <w:t>c</w:t>
      </w:r>
      <w:r w:rsidR="000563BE">
        <w:rPr>
          <w:i/>
        </w:rPr>
        <w:t>luster of apples at the end of the</w:t>
      </w:r>
      <w:r w:rsidRPr="000F034E">
        <w:rPr>
          <w:i/>
        </w:rPr>
        <w:t xml:space="preserve"> rod</w:t>
      </w:r>
      <w:r w:rsidR="0024736D">
        <w:rPr>
          <w:rStyle w:val="FootnoteReference"/>
          <w:i/>
        </w:rPr>
        <w:footnoteReference w:id="30"/>
      </w:r>
    </w:p>
    <w:p w:rsidR="00F16426" w:rsidRPr="00F16426" w:rsidRDefault="00F16426" w:rsidP="00A43FA5">
      <w:pPr>
        <w:spacing w:line="360" w:lineRule="auto"/>
      </w:pPr>
      <w:r w:rsidRPr="00F16426">
        <w:t>T</w:t>
      </w:r>
      <w:r w:rsidR="00AF2F36" w:rsidRPr="00F16426">
        <w:t>he magical branch makes i</w:t>
      </w:r>
      <w:r w:rsidR="00713A08" w:rsidRPr="00F16426">
        <w:t xml:space="preserve">ts appearance in all </w:t>
      </w:r>
      <w:r w:rsidR="00AF2F36" w:rsidRPr="00F16426">
        <w:t xml:space="preserve">Irish and Welsh </w:t>
      </w:r>
      <w:r w:rsidR="00C455AC" w:rsidRPr="00F16426">
        <w:t xml:space="preserve">Otherworld </w:t>
      </w:r>
      <w:r w:rsidR="00AF2F36" w:rsidRPr="00F16426">
        <w:t>journey</w:t>
      </w:r>
      <w:r w:rsidR="00713A08" w:rsidRPr="00F16426">
        <w:t xml:space="preserve"> tales</w:t>
      </w:r>
      <w:r w:rsidR="00AF2F36" w:rsidRPr="00F16426">
        <w:t xml:space="preserve"> as the item which either gives a character entrance to the Otherworld</w:t>
      </w:r>
      <w:r w:rsidR="00823DD2" w:rsidRPr="00823DD2">
        <w:t xml:space="preserve"> </w:t>
      </w:r>
      <w:r w:rsidR="00823DD2" w:rsidRPr="00F16426">
        <w:t>or remains with him afterwards</w:t>
      </w:r>
      <w:r w:rsidR="00823DD2">
        <w:t>, i</w:t>
      </w:r>
      <w:r w:rsidR="00823DD2" w:rsidRPr="00A867CB">
        <w:t>t also</w:t>
      </w:r>
      <w:r w:rsidR="00823DD2" w:rsidRPr="00F16426">
        <w:t xml:space="preserve"> gives supernatural personages power to in</w:t>
      </w:r>
      <w:r w:rsidR="00823DD2">
        <w:t>fluence human</w:t>
      </w:r>
      <w:r w:rsidR="00823DD2" w:rsidRPr="00F16426">
        <w:t>s, usually by sleep inducing healing</w:t>
      </w:r>
      <w:r w:rsidR="00823DD2">
        <w:t xml:space="preserve"> music.</w:t>
      </w:r>
      <w:r w:rsidR="00823DD2">
        <w:rPr>
          <w:rStyle w:val="FootnoteReference"/>
        </w:rPr>
        <w:footnoteReference w:id="31"/>
      </w:r>
      <w:r w:rsidR="00AF2F36" w:rsidRPr="00F16426">
        <w:t xml:space="preserve"> </w:t>
      </w:r>
      <w:r w:rsidR="00C130B1">
        <w:t xml:space="preserve">In MD the sleep-inducing </w:t>
      </w:r>
      <w:r w:rsidRPr="00F16426">
        <w:t>music appears separately: in verse 17</w:t>
      </w:r>
      <w:r w:rsidR="00943951">
        <w:t>,</w:t>
      </w:r>
      <w:r w:rsidR="00943951" w:rsidRPr="00943951">
        <w:t xml:space="preserve"> </w:t>
      </w:r>
      <w:r w:rsidR="00943951" w:rsidRPr="00F16426">
        <w:t>hinting at the sinless maiden being an Otherworldly woman.</w:t>
      </w:r>
      <w:r w:rsidR="008055CD">
        <w:rPr>
          <w:rStyle w:val="FootnoteReference"/>
        </w:rPr>
        <w:footnoteReference w:id="32"/>
      </w:r>
      <w:r w:rsidRPr="00F16426">
        <w:rPr>
          <w:color w:val="00B050"/>
        </w:rPr>
        <w:t xml:space="preserve"> </w:t>
      </w:r>
      <w:r w:rsidRPr="00F16426">
        <w:t>In IB and EC</w:t>
      </w:r>
      <w:r w:rsidR="00943951" w:rsidRPr="00943951">
        <w:t xml:space="preserve"> </w:t>
      </w:r>
      <w:r w:rsidR="00943951" w:rsidRPr="00F16426">
        <w:t>women are the link to the Otherworld</w:t>
      </w:r>
      <w:r w:rsidR="00943951">
        <w:t>.</w:t>
      </w:r>
      <w:r w:rsidRPr="00F16426">
        <w:t xml:space="preserve"> </w:t>
      </w:r>
      <w:r w:rsidRPr="00F16426">
        <w:rPr>
          <w:rStyle w:val="FootnoteReference"/>
        </w:rPr>
        <w:footnoteReference w:id="33"/>
      </w:r>
      <w:r w:rsidRPr="00F16426">
        <w:t xml:space="preserve"> </w:t>
      </w:r>
      <w:r w:rsidR="00C130B1">
        <w:t>They offer the magical</w:t>
      </w:r>
      <w:r w:rsidRPr="00F16426">
        <w:t xml:space="preserve"> branch</w:t>
      </w:r>
      <w:r w:rsidR="002B1DF8">
        <w:t>,</w:t>
      </w:r>
      <w:r w:rsidRPr="00F16426">
        <w:t xml:space="preserve"> </w:t>
      </w:r>
      <w:r w:rsidR="00920C1A">
        <w:t xml:space="preserve">perhaps </w:t>
      </w:r>
      <w:r w:rsidRPr="00F16426">
        <w:t>as a symbolic promise of regeneration, or sovereignty, through their fertility</w:t>
      </w:r>
      <w:r w:rsidR="00DB54D0">
        <w:rPr>
          <w:rStyle w:val="FootnoteReference"/>
        </w:rPr>
        <w:footnoteReference w:id="34"/>
      </w:r>
      <w:r w:rsidRPr="00F16426">
        <w:t>.</w:t>
      </w:r>
    </w:p>
    <w:p w:rsidR="00D728E2" w:rsidRDefault="00D728E2" w:rsidP="00A43FA5">
      <w:pPr>
        <w:pStyle w:val="ListParagraph"/>
        <w:numPr>
          <w:ilvl w:val="1"/>
          <w:numId w:val="1"/>
        </w:numPr>
        <w:spacing w:line="360" w:lineRule="auto"/>
        <w:rPr>
          <w:b/>
          <w:sz w:val="28"/>
        </w:rPr>
      </w:pPr>
      <w:r>
        <w:rPr>
          <w:b/>
          <w:sz w:val="28"/>
        </w:rPr>
        <w:t>Otherworld Women</w:t>
      </w:r>
      <w:r w:rsidR="005F1751">
        <w:rPr>
          <w:b/>
          <w:sz w:val="28"/>
        </w:rPr>
        <w:t xml:space="preserve"> as Initiators</w:t>
      </w:r>
    </w:p>
    <w:p w:rsidR="000C5629" w:rsidRPr="00DB54D0" w:rsidRDefault="000C5629" w:rsidP="00A43FA5">
      <w:pPr>
        <w:spacing w:line="360" w:lineRule="auto"/>
      </w:pPr>
      <w:r w:rsidRPr="00DB54D0">
        <w:t>The Isle of Women</w:t>
      </w:r>
      <w:r w:rsidR="00E568AC" w:rsidRPr="00E568AC">
        <w:t xml:space="preserve"> </w:t>
      </w:r>
      <w:r w:rsidR="00E568AC">
        <w:t>is a substantial</w:t>
      </w:r>
      <w:r w:rsidR="00E568AC" w:rsidRPr="00DB54D0">
        <w:t xml:space="preserve"> text in MD.</w:t>
      </w:r>
      <w:r w:rsidR="00E568AC" w:rsidRPr="00DB54D0">
        <w:rPr>
          <w:rStyle w:val="FootnoteReference"/>
        </w:rPr>
        <w:footnoteReference w:id="35"/>
      </w:r>
      <w:r w:rsidR="00E568AC" w:rsidRPr="00DB54D0">
        <w:t xml:space="preserve"> </w:t>
      </w:r>
      <w:r w:rsidRPr="00DB54D0">
        <w:t>In it, the queen persuades MD to remain her lover</w:t>
      </w:r>
      <w:r w:rsidR="00E568AC" w:rsidRPr="00E568AC">
        <w:t xml:space="preserve"> </w:t>
      </w:r>
      <w:r w:rsidR="00E568AC" w:rsidRPr="00DB54D0">
        <w:t xml:space="preserve">for </w:t>
      </w:r>
      <w:r w:rsidR="00E568AC">
        <w:t>‘thrice three months’,</w:t>
      </w:r>
      <w:r w:rsidR="00E568AC" w:rsidRPr="00DB54D0">
        <w:t xml:space="preserve"> before the companions manage </w:t>
      </w:r>
      <w:r w:rsidR="00E568AC">
        <w:t xml:space="preserve">to </w:t>
      </w:r>
      <w:r w:rsidR="00E568AC" w:rsidRPr="00DB54D0">
        <w:t xml:space="preserve">escape. </w:t>
      </w:r>
      <w:r w:rsidR="00E568AC" w:rsidRPr="00DB54D0">
        <w:rPr>
          <w:rStyle w:val="FootnoteReference"/>
        </w:rPr>
        <w:footnoteReference w:id="36"/>
      </w:r>
      <w:r w:rsidRPr="00DB54D0">
        <w:t xml:space="preserve"> </w:t>
      </w:r>
    </w:p>
    <w:p w:rsidR="0092377A" w:rsidRPr="00C53EFA" w:rsidRDefault="000C5629" w:rsidP="00A43FA5">
      <w:pPr>
        <w:spacing w:line="360" w:lineRule="auto"/>
      </w:pPr>
      <w:r w:rsidRPr="00DB54D0">
        <w:lastRenderedPageBreak/>
        <w:t xml:space="preserve">The presentation of the pagan myth of </w:t>
      </w:r>
      <w:r w:rsidRPr="00DB54D0">
        <w:rPr>
          <w:i/>
        </w:rPr>
        <w:t>Tir na mBan</w:t>
      </w:r>
      <w:r w:rsidR="00AF4DCF">
        <w:rPr>
          <w:rStyle w:val="FootnoteReference"/>
          <w:i/>
        </w:rPr>
        <w:footnoteReference w:id="37"/>
      </w:r>
      <w:r w:rsidRPr="00DB54D0">
        <w:t>, alongside a representation of a</w:t>
      </w:r>
      <w:r w:rsidR="001226A6">
        <w:t xml:space="preserve"> woman</w:t>
      </w:r>
      <w:r w:rsidRPr="00DB54D0">
        <w:rPr>
          <w:rStyle w:val="FootnoteReference"/>
        </w:rPr>
        <w:footnoteReference w:id="38"/>
      </w:r>
      <w:r w:rsidRPr="00DB54D0">
        <w:t xml:space="preserve"> with contemporary Christian values</w:t>
      </w:r>
      <w:r w:rsidR="000563BE">
        <w:t>, in the motif of the sinless maiden,</w:t>
      </w:r>
      <w:r w:rsidRPr="00DB54D0">
        <w:t xml:space="preserve"> may have been used as a devi</w:t>
      </w:r>
      <w:r w:rsidR="006A2949">
        <w:t>ce</w:t>
      </w:r>
      <w:r w:rsidR="00DB0091">
        <w:t xml:space="preserve"> to speak to readers of varied</w:t>
      </w:r>
      <w:r w:rsidRPr="00DB54D0">
        <w:t xml:space="preserve"> sympathies</w:t>
      </w:r>
      <w:r w:rsidRPr="00DB54D0">
        <w:rPr>
          <w:rStyle w:val="FootnoteReference"/>
        </w:rPr>
        <w:footnoteReference w:id="39"/>
      </w:r>
      <w:r w:rsidRPr="00DB54D0">
        <w:t>.</w:t>
      </w:r>
      <w:r w:rsidR="001226A6">
        <w:t xml:space="preserve">  Yet both episodes </w:t>
      </w:r>
      <w:r w:rsidR="00E426C9">
        <w:t xml:space="preserve">parallel </w:t>
      </w:r>
      <w:r w:rsidR="001226A6">
        <w:t xml:space="preserve">tales of </w:t>
      </w:r>
      <w:r w:rsidR="005947F8" w:rsidRPr="00DB54D0">
        <w:t>Annwn and</w:t>
      </w:r>
      <w:r w:rsidRPr="00DB54D0">
        <w:t xml:space="preserve"> </w:t>
      </w:r>
      <w:r w:rsidR="008000C3" w:rsidRPr="00DB54D0">
        <w:t>priestesses on islands</w:t>
      </w:r>
      <w:r w:rsidR="001226A6">
        <w:t xml:space="preserve"> pointing</w:t>
      </w:r>
      <w:r w:rsidR="009768CE" w:rsidRPr="00DB54D0">
        <w:t xml:space="preserve"> to a common </w:t>
      </w:r>
      <w:r w:rsidR="00E426C9">
        <w:t>pagan</w:t>
      </w:r>
      <w:r w:rsidRPr="00DB54D0">
        <w:t xml:space="preserve"> </w:t>
      </w:r>
      <w:r w:rsidR="009768CE" w:rsidRPr="00DB54D0">
        <w:t>source.</w:t>
      </w:r>
      <w:r w:rsidR="00EC45BD" w:rsidRPr="00DB54D0">
        <w:rPr>
          <w:rStyle w:val="FootnoteReference"/>
        </w:rPr>
        <w:footnoteReference w:id="40"/>
      </w:r>
      <w:r w:rsidR="008000C3" w:rsidRPr="00DB54D0">
        <w:t xml:space="preserve"> </w:t>
      </w:r>
      <w:r w:rsidR="0092377A" w:rsidRPr="00DB54D0">
        <w:t>Perhaps these tales are in some way connected to goddess worship and divi</w:t>
      </w:r>
      <w:r w:rsidR="0092377A" w:rsidRPr="008B376F">
        <w:t>ne marriage</w:t>
      </w:r>
      <w:r w:rsidR="0092377A" w:rsidRPr="008B376F">
        <w:rPr>
          <w:rStyle w:val="FootnoteReference"/>
        </w:rPr>
        <w:footnoteReference w:id="41"/>
      </w:r>
      <w:r w:rsidR="0092377A" w:rsidRPr="00C53EFA">
        <w:t xml:space="preserve">. In Pre-Christian Ireland kingship was conferred by marriage </w:t>
      </w:r>
      <w:r w:rsidR="00C53EFA">
        <w:t>-</w:t>
      </w:r>
      <w:r w:rsidR="0092377A" w:rsidRPr="00C53EFA">
        <w:t>to- the- land rites.</w:t>
      </w:r>
      <w:r w:rsidR="0092377A" w:rsidRPr="00C53EFA">
        <w:rPr>
          <w:rStyle w:val="FootnoteReference"/>
        </w:rPr>
        <w:footnoteReference w:id="42"/>
      </w:r>
    </w:p>
    <w:p w:rsidR="000C5629" w:rsidRPr="00DB54D0" w:rsidRDefault="000C5629" w:rsidP="00A43FA5">
      <w:pPr>
        <w:spacing w:line="360" w:lineRule="auto"/>
      </w:pPr>
      <w:r w:rsidRPr="008B376F">
        <w:t xml:space="preserve"> In MD the branch of apples is not handed to him, but found. In Brendan, on the other hand, both branch and women have been </w:t>
      </w:r>
      <w:r w:rsidR="00DB54D0" w:rsidRPr="008B376F">
        <w:t>lost altogether</w:t>
      </w:r>
      <w:r w:rsidR="00E568AC" w:rsidRPr="00E568AC">
        <w:t xml:space="preserve"> </w:t>
      </w:r>
      <w:r w:rsidR="00E568AC" w:rsidRPr="008B376F">
        <w:t>suggesting the author of MD had access to elements the author of NB didn’t, or chose to ignore</w:t>
      </w:r>
      <w:r w:rsidR="00E568AC">
        <w:t>.</w:t>
      </w:r>
      <w:r w:rsidR="00E568AC" w:rsidRPr="008B376F">
        <w:rPr>
          <w:rStyle w:val="FootnoteReference"/>
        </w:rPr>
        <w:footnoteReference w:id="43"/>
      </w:r>
      <w:r w:rsidR="00E568AC" w:rsidRPr="008B376F">
        <w:t xml:space="preserve"> </w:t>
      </w:r>
      <w:r w:rsidRPr="008B376F">
        <w:t>The author of MD</w:t>
      </w:r>
      <w:r w:rsidR="00DB54D0" w:rsidRPr="008B376F">
        <w:t>, however, choos</w:t>
      </w:r>
      <w:r w:rsidR="00DB54D0" w:rsidRPr="00DB54D0">
        <w:t xml:space="preserve">es to </w:t>
      </w:r>
      <w:r w:rsidRPr="00DB54D0">
        <w:t xml:space="preserve">keep the </w:t>
      </w:r>
      <w:r w:rsidR="00DB54D0" w:rsidRPr="00DB54D0">
        <w:t xml:space="preserve">theme </w:t>
      </w:r>
      <w:r w:rsidRPr="00DB54D0">
        <w:t xml:space="preserve">as an extended part of his narrative, suggesting an assumed relevance to his readers, even though its link to the branch appears severed. </w:t>
      </w:r>
    </w:p>
    <w:p w:rsidR="000C5629" w:rsidRPr="008000C3" w:rsidRDefault="008000C3" w:rsidP="00A43FA5">
      <w:pPr>
        <w:spacing w:line="360" w:lineRule="auto"/>
      </w:pPr>
      <w:r>
        <w:t xml:space="preserve"> </w:t>
      </w:r>
      <w:r w:rsidR="00870FB9">
        <w:t xml:space="preserve"> </w:t>
      </w:r>
    </w:p>
    <w:p w:rsidR="00D728E2" w:rsidRDefault="00D728E2" w:rsidP="00A43FA5">
      <w:pPr>
        <w:pStyle w:val="ListParagraph"/>
        <w:numPr>
          <w:ilvl w:val="1"/>
          <w:numId w:val="1"/>
        </w:numPr>
        <w:spacing w:line="360" w:lineRule="auto"/>
        <w:rPr>
          <w:b/>
          <w:sz w:val="28"/>
        </w:rPr>
      </w:pPr>
      <w:r>
        <w:rPr>
          <w:b/>
          <w:sz w:val="28"/>
        </w:rPr>
        <w:t>Birds</w:t>
      </w:r>
      <w:r w:rsidR="005F1751">
        <w:rPr>
          <w:b/>
          <w:sz w:val="28"/>
        </w:rPr>
        <w:t xml:space="preserve"> as Portents</w:t>
      </w:r>
      <w:r w:rsidR="000566B7">
        <w:rPr>
          <w:b/>
          <w:sz w:val="28"/>
        </w:rPr>
        <w:t xml:space="preserve"> </w:t>
      </w:r>
    </w:p>
    <w:p w:rsidR="00BC6177" w:rsidRPr="00752F85" w:rsidRDefault="00BC6177" w:rsidP="00A43FA5">
      <w:pPr>
        <w:spacing w:line="360" w:lineRule="auto"/>
        <w:jc w:val="both"/>
      </w:pPr>
      <w:r w:rsidRPr="00752F85">
        <w:lastRenderedPageBreak/>
        <w:t>Birds, mentioned several times in MD,</w:t>
      </w:r>
      <w:r w:rsidR="002555CA" w:rsidRPr="002555CA">
        <w:t xml:space="preserve"> </w:t>
      </w:r>
      <w:r w:rsidR="002555CA" w:rsidRPr="00752F85">
        <w:t>in addition to being a universal theme</w:t>
      </w:r>
      <w:r w:rsidR="002555CA" w:rsidRPr="00752F85">
        <w:rPr>
          <w:rStyle w:val="FootnoteReference"/>
        </w:rPr>
        <w:t xml:space="preserve"> </w:t>
      </w:r>
      <w:r w:rsidR="002555CA" w:rsidRPr="00752F85">
        <w:t>in early goddess worship, were seen as portents</w:t>
      </w:r>
      <w:r w:rsidR="002555CA" w:rsidRPr="002555CA">
        <w:t xml:space="preserve"> </w:t>
      </w:r>
      <w:r w:rsidR="002555CA" w:rsidRPr="00752F85">
        <w:t>of death</w:t>
      </w:r>
      <w:r w:rsidR="002555CA" w:rsidRPr="002555CA">
        <w:t xml:space="preserve"> </w:t>
      </w:r>
      <w:r w:rsidR="002555CA" w:rsidRPr="00752F85">
        <w:t>and rebirth by the druids Christian clergy replaced</w:t>
      </w:r>
      <w:r w:rsidR="008001B0">
        <w:t>.</w:t>
      </w:r>
      <w:r w:rsidR="002555CA" w:rsidRPr="00752F85">
        <w:rPr>
          <w:rStyle w:val="FootnoteReference"/>
        </w:rPr>
        <w:t xml:space="preserve"> </w:t>
      </w:r>
      <w:r w:rsidR="002555CA" w:rsidRPr="00752F85">
        <w:rPr>
          <w:rStyle w:val="FootnoteReference"/>
        </w:rPr>
        <w:footnoteReference w:id="44"/>
      </w:r>
      <w:r w:rsidRPr="00752F85">
        <w:t xml:space="preserve">  </w:t>
      </w:r>
    </w:p>
    <w:p w:rsidR="007F2CD0" w:rsidRDefault="00BC6177" w:rsidP="007F2CD0">
      <w:pPr>
        <w:spacing w:line="360" w:lineRule="auto"/>
        <w:jc w:val="both"/>
        <w:rPr>
          <w:color w:val="0070C0"/>
        </w:rPr>
      </w:pPr>
      <w:r w:rsidRPr="00752F85">
        <w:t xml:space="preserve"> Singing birds, as in verse 18,</w:t>
      </w:r>
      <w:r w:rsidRPr="00752F85">
        <w:rPr>
          <w:rStyle w:val="FootnoteReference"/>
        </w:rPr>
        <w:footnoteReference w:id="45"/>
      </w:r>
      <w:r w:rsidRPr="00752F85">
        <w:t xml:space="preserve"> are a common theme in early Irish and Welsh tales</w:t>
      </w:r>
      <w:r w:rsidR="007F2CD0" w:rsidRPr="007F2CD0">
        <w:t xml:space="preserve"> </w:t>
      </w:r>
      <w:r w:rsidR="007F2CD0" w:rsidRPr="00752F85">
        <w:t>where references could hint at sky myth.</w:t>
      </w:r>
      <w:r w:rsidRPr="00752F85">
        <w:rPr>
          <w:rStyle w:val="FootnoteReference"/>
        </w:rPr>
        <w:footnoteReference w:id="46"/>
      </w:r>
      <w:r w:rsidRPr="00752F85">
        <w:t xml:space="preserve"> There is no space here to go into detail, but the notion of birds </w:t>
      </w:r>
      <w:r w:rsidR="00DA4585">
        <w:t>coming across to</w:t>
      </w:r>
      <w:r w:rsidRPr="00752F85">
        <w:t xml:space="preserve"> </w:t>
      </w:r>
      <w:r w:rsidR="00DA4585">
        <w:t>br</w:t>
      </w:r>
      <w:r w:rsidRPr="00752F85">
        <w:t>eed in spring</w:t>
      </w:r>
      <w:r w:rsidR="007F2CD0" w:rsidRPr="007F2CD0">
        <w:t xml:space="preserve"> </w:t>
      </w:r>
      <w:r w:rsidR="007F2CD0">
        <w:t>or migrating</w:t>
      </w:r>
      <w:r w:rsidR="007F2CD0" w:rsidRPr="00752F85">
        <w:t xml:space="preserve"> from colder climes as winter comes</w:t>
      </w:r>
      <w:r w:rsidR="007F2CD0" w:rsidRPr="007F2CD0">
        <w:t xml:space="preserve"> </w:t>
      </w:r>
      <w:r w:rsidR="007F2CD0" w:rsidRPr="00752F85">
        <w:t>would situate these myths in time and space.</w:t>
      </w:r>
      <w:r w:rsidR="007F2CD0" w:rsidRPr="00752F85">
        <w:rPr>
          <w:rStyle w:val="FootnoteReference"/>
        </w:rPr>
        <w:footnoteReference w:id="47"/>
      </w:r>
      <w:r w:rsidR="00A764FC">
        <w:t xml:space="preserve"> </w:t>
      </w:r>
      <w:r w:rsidRPr="00752F85">
        <w:t xml:space="preserve">The singing birds in MD are “black and dun and </w:t>
      </w:r>
      <w:r w:rsidR="00752F85" w:rsidRPr="00752F85">
        <w:t>speckled”</w:t>
      </w:r>
      <w:r w:rsidR="00752F85" w:rsidRPr="00752F85">
        <w:rPr>
          <w:rStyle w:val="FootnoteReference"/>
        </w:rPr>
        <w:footnoteReference w:id="48"/>
      </w:r>
      <w:r w:rsidRPr="00752F85">
        <w:t xml:space="preserve">. What is fascinating </w:t>
      </w:r>
      <w:r w:rsidRPr="00752F85">
        <w:lastRenderedPageBreak/>
        <w:t xml:space="preserve">is that the name of the poison tongued member of the clergy who incited MD to take his voyage of revenge, Briccne, means “speckled or </w:t>
      </w:r>
      <w:r w:rsidR="00752F85" w:rsidRPr="00752F85">
        <w:t>tawny”</w:t>
      </w:r>
      <w:r w:rsidR="007F2CD0" w:rsidRPr="007F2CD0">
        <w:t xml:space="preserve"> </w:t>
      </w:r>
      <w:r w:rsidR="007F2CD0" w:rsidRPr="00752F85">
        <w:t>and was an epithet of Bran.</w:t>
      </w:r>
      <w:r w:rsidR="007F2CD0" w:rsidRPr="00752F85">
        <w:rPr>
          <w:rStyle w:val="FootnoteReference"/>
        </w:rPr>
        <w:footnoteReference w:id="49"/>
      </w:r>
    </w:p>
    <w:p w:rsidR="00BC6177" w:rsidRPr="00BC6177" w:rsidRDefault="00752F85" w:rsidP="00A43FA5">
      <w:pPr>
        <w:spacing w:line="360" w:lineRule="auto"/>
        <w:jc w:val="both"/>
      </w:pPr>
      <w:r w:rsidRPr="00752F85">
        <w:rPr>
          <w:color w:val="FF0000"/>
        </w:rPr>
        <w:t xml:space="preserve"> </w:t>
      </w:r>
      <w:r w:rsidR="003D22CB">
        <w:t xml:space="preserve">Birds-as-souls is </w:t>
      </w:r>
      <w:r w:rsidR="00BC6177" w:rsidRPr="00BC6177">
        <w:t>a</w:t>
      </w:r>
      <w:r w:rsidR="003D22CB">
        <w:t>n Irish</w:t>
      </w:r>
      <w:r w:rsidR="00BC6177" w:rsidRPr="00BC6177">
        <w:t xml:space="preserve"> theme, </w:t>
      </w:r>
      <w:r w:rsidR="003D22CB">
        <w:t>and</w:t>
      </w:r>
      <w:r w:rsidR="00BC6177" w:rsidRPr="00BC6177">
        <w:t xml:space="preserve"> if pre-Christian peoples once perceived the Isle of Man and its islets, kingdom of Manannan, an Otherworld, then what might be preserved here is a remnant of a localised Otherworld myth from the seaboard of the Irish sea</w:t>
      </w:r>
      <w:r w:rsidR="00BC6177" w:rsidRPr="00BC6177">
        <w:rPr>
          <w:rStyle w:val="FootnoteReference"/>
        </w:rPr>
        <w:footnoteReference w:id="50"/>
      </w:r>
      <w:r w:rsidR="00BC6177" w:rsidRPr="00BC6177">
        <w:t xml:space="preserve">. </w:t>
      </w:r>
    </w:p>
    <w:p w:rsidR="00AC7B1D" w:rsidRDefault="006E0359" w:rsidP="00A43FA5">
      <w:pPr>
        <w:spacing w:line="360" w:lineRule="auto"/>
        <w:jc w:val="both"/>
        <w:rPr>
          <w:color w:val="00B050"/>
        </w:rPr>
      </w:pPr>
      <w:r w:rsidRPr="005947F8">
        <w:rPr>
          <w:color w:val="00B050"/>
        </w:rPr>
        <w:t xml:space="preserve"> </w:t>
      </w:r>
    </w:p>
    <w:p w:rsidR="00D84331" w:rsidRPr="001D151C" w:rsidRDefault="00D84331" w:rsidP="00A43FA5">
      <w:pPr>
        <w:pStyle w:val="ListParagraph"/>
        <w:numPr>
          <w:ilvl w:val="0"/>
          <w:numId w:val="1"/>
        </w:numPr>
        <w:spacing w:line="360" w:lineRule="auto"/>
        <w:jc w:val="center"/>
        <w:rPr>
          <w:b/>
          <w:sz w:val="28"/>
        </w:rPr>
      </w:pPr>
      <w:r w:rsidRPr="001D151C">
        <w:rPr>
          <w:b/>
          <w:sz w:val="28"/>
        </w:rPr>
        <w:t>Concluding Threads</w:t>
      </w:r>
    </w:p>
    <w:p w:rsidR="00844E1E" w:rsidRDefault="00844E1E" w:rsidP="00A43FA5">
      <w:pPr>
        <w:spacing w:line="360" w:lineRule="auto"/>
        <w:rPr>
          <w:sz w:val="24"/>
        </w:rPr>
      </w:pPr>
      <w:r>
        <w:rPr>
          <w:sz w:val="24"/>
        </w:rPr>
        <w:t>MD</w:t>
      </w:r>
      <w:r w:rsidR="002848E3">
        <w:rPr>
          <w:sz w:val="24"/>
        </w:rPr>
        <w:t xml:space="preserve"> is a</w:t>
      </w:r>
      <w:r w:rsidR="00F84CB5" w:rsidRPr="00F84CB5">
        <w:rPr>
          <w:sz w:val="24"/>
        </w:rPr>
        <w:t xml:space="preserve"> tale of transformation</w:t>
      </w:r>
      <w:r w:rsidR="00F671B2" w:rsidRPr="00F671B2">
        <w:rPr>
          <w:sz w:val="24"/>
        </w:rPr>
        <w:t xml:space="preserve"> </w:t>
      </w:r>
      <w:r w:rsidR="00F671B2">
        <w:rPr>
          <w:sz w:val="24"/>
        </w:rPr>
        <w:t>mirroring the ecclesiastical tale of NB</w:t>
      </w:r>
      <w:r w:rsidR="00F671B2" w:rsidRPr="00F84CB5">
        <w:rPr>
          <w:sz w:val="24"/>
        </w:rPr>
        <w:t>.</w:t>
      </w:r>
      <w:r w:rsidR="00F84CB5">
        <w:rPr>
          <w:rStyle w:val="FootnoteReference"/>
          <w:sz w:val="24"/>
        </w:rPr>
        <w:footnoteReference w:id="51"/>
      </w:r>
      <w:r w:rsidR="00F84CB5">
        <w:rPr>
          <w:sz w:val="24"/>
        </w:rPr>
        <w:t xml:space="preserve"> </w:t>
      </w:r>
      <w:r>
        <w:rPr>
          <w:sz w:val="24"/>
        </w:rPr>
        <w:t>Though many features could be said to run parallel</w:t>
      </w:r>
      <w:r w:rsidR="002848E3">
        <w:rPr>
          <w:sz w:val="24"/>
        </w:rPr>
        <w:t xml:space="preserve"> in </w:t>
      </w:r>
      <w:r>
        <w:rPr>
          <w:sz w:val="24"/>
        </w:rPr>
        <w:t>the tale</w:t>
      </w:r>
      <w:r w:rsidR="002848E3">
        <w:rPr>
          <w:sz w:val="24"/>
        </w:rPr>
        <w:t>s</w:t>
      </w:r>
      <w:r>
        <w:rPr>
          <w:sz w:val="24"/>
        </w:rPr>
        <w:t>, others do not.</w:t>
      </w:r>
    </w:p>
    <w:p w:rsidR="00844E1E" w:rsidRDefault="008B376F" w:rsidP="00A43FA5">
      <w:pPr>
        <w:spacing w:line="360" w:lineRule="auto"/>
        <w:rPr>
          <w:sz w:val="24"/>
        </w:rPr>
      </w:pPr>
      <w:r>
        <w:rPr>
          <w:sz w:val="24"/>
        </w:rPr>
        <w:t>It is essentially a redemption</w:t>
      </w:r>
      <w:r w:rsidR="00844E1E">
        <w:rPr>
          <w:sz w:val="24"/>
        </w:rPr>
        <w:t xml:space="preserve"> tale told to instil the Christian value of forgiveness. Otherworld motifs such as singing birds, branches and supernatural women</w:t>
      </w:r>
      <w:r w:rsidR="00131F77" w:rsidRPr="00131F77">
        <w:rPr>
          <w:sz w:val="24"/>
        </w:rPr>
        <w:t xml:space="preserve"> </w:t>
      </w:r>
      <w:r w:rsidR="00131F77">
        <w:rPr>
          <w:sz w:val="24"/>
        </w:rPr>
        <w:t>however, may belong to the pagan tradition</w:t>
      </w:r>
      <w:r w:rsidR="00131F77" w:rsidRPr="00131F77">
        <w:rPr>
          <w:sz w:val="24"/>
        </w:rPr>
        <w:t xml:space="preserve"> </w:t>
      </w:r>
      <w:r w:rsidR="00131F77">
        <w:rPr>
          <w:sz w:val="24"/>
        </w:rPr>
        <w:t>in which humankind had</w:t>
      </w:r>
      <w:r w:rsidR="00131F77" w:rsidRPr="007E046A">
        <w:rPr>
          <w:sz w:val="24"/>
        </w:rPr>
        <w:t xml:space="preserve"> </w:t>
      </w:r>
      <w:r w:rsidR="00131F77">
        <w:rPr>
          <w:sz w:val="24"/>
        </w:rPr>
        <w:t>an innate understanding of the cyclical nature of birth, death and rebirth</w:t>
      </w:r>
      <w:r w:rsidR="004B78B5" w:rsidRPr="004B78B5">
        <w:rPr>
          <w:sz w:val="24"/>
        </w:rPr>
        <w:t xml:space="preserve"> </w:t>
      </w:r>
      <w:r w:rsidR="004B78B5">
        <w:rPr>
          <w:sz w:val="24"/>
        </w:rPr>
        <w:t>with woman seen as the intermediary, the living embodiment of the land and its seasons.</w:t>
      </w:r>
      <w:r w:rsidR="00131F77">
        <w:rPr>
          <w:rStyle w:val="FootnoteReference"/>
          <w:sz w:val="24"/>
        </w:rPr>
        <w:footnoteReference w:id="52"/>
      </w:r>
    </w:p>
    <w:p w:rsidR="00AC4178" w:rsidRDefault="00AC4178" w:rsidP="00AC4178">
      <w:pPr>
        <w:spacing w:line="360" w:lineRule="auto"/>
        <w:jc w:val="center"/>
        <w:rPr>
          <w:sz w:val="28"/>
          <w:u w:val="single"/>
        </w:rPr>
      </w:pPr>
      <w:r w:rsidRPr="00AC4178">
        <w:rPr>
          <w:sz w:val="28"/>
          <w:u w:val="single"/>
        </w:rPr>
        <w:lastRenderedPageBreak/>
        <w:t>Bibliography</w:t>
      </w:r>
    </w:p>
    <w:p w:rsidR="00BA4FE1" w:rsidRDefault="00BA4FE1" w:rsidP="00BA4FE1">
      <w:pPr>
        <w:pStyle w:val="ListParagraph"/>
        <w:numPr>
          <w:ilvl w:val="0"/>
          <w:numId w:val="3"/>
        </w:numPr>
        <w:rPr>
          <w:b/>
          <w:bCs/>
        </w:rPr>
      </w:pPr>
      <w:r w:rsidRPr="006E7F3A">
        <w:rPr>
          <w:b/>
          <w:bCs/>
        </w:rPr>
        <w:t>Printed Primary Sources</w:t>
      </w:r>
    </w:p>
    <w:p w:rsidR="00BA4FE1" w:rsidRDefault="00BA4FE1" w:rsidP="00BA4FE1">
      <w:pPr>
        <w:rPr>
          <w:bCs/>
        </w:rPr>
      </w:pPr>
      <w:r w:rsidRPr="00B64C86">
        <w:rPr>
          <w:bCs/>
          <w:i/>
        </w:rPr>
        <w:t>Culhwch and Olwen</w:t>
      </w:r>
      <w:r>
        <w:rPr>
          <w:bCs/>
          <w:i/>
        </w:rPr>
        <w:t>,</w:t>
      </w:r>
      <w:r>
        <w:rPr>
          <w:bCs/>
        </w:rPr>
        <w:t xml:space="preserve"> eds. </w:t>
      </w:r>
      <w:r w:rsidRPr="00B64C86">
        <w:rPr>
          <w:bCs/>
        </w:rPr>
        <w:t>Bromwich</w:t>
      </w:r>
      <w:r>
        <w:rPr>
          <w:bCs/>
        </w:rPr>
        <w:t>, Rachel and</w:t>
      </w:r>
      <w:r w:rsidRPr="00B64C86">
        <w:rPr>
          <w:bCs/>
        </w:rPr>
        <w:t xml:space="preserve"> Evans</w:t>
      </w:r>
      <w:r>
        <w:rPr>
          <w:bCs/>
        </w:rPr>
        <w:t>, D, Simon, (Cardiff: University of Wales Press, 1992)</w:t>
      </w:r>
    </w:p>
    <w:p w:rsidR="00BA4FE1" w:rsidRDefault="00BA4FE1" w:rsidP="00BA4FE1">
      <w:pPr>
        <w:rPr>
          <w:bCs/>
        </w:rPr>
      </w:pPr>
      <w:r>
        <w:rPr>
          <w:bCs/>
          <w:i/>
        </w:rPr>
        <w:t xml:space="preserve">Culhwch ac Olwen, </w:t>
      </w:r>
      <w:r>
        <w:rPr>
          <w:bCs/>
        </w:rPr>
        <w:t>eds.</w:t>
      </w:r>
      <w:r w:rsidRPr="00B64C86">
        <w:rPr>
          <w:bCs/>
        </w:rPr>
        <w:t xml:space="preserve"> Bromwic</w:t>
      </w:r>
      <w:r>
        <w:rPr>
          <w:bCs/>
        </w:rPr>
        <w:t>h, Rachel and</w:t>
      </w:r>
      <w:r w:rsidRPr="00B64C86">
        <w:rPr>
          <w:bCs/>
        </w:rPr>
        <w:t xml:space="preserve"> Evans</w:t>
      </w:r>
      <w:r>
        <w:rPr>
          <w:bCs/>
        </w:rPr>
        <w:t>, D. Simon, 3</w:t>
      </w:r>
      <w:r w:rsidRPr="00B64C86">
        <w:rPr>
          <w:bCs/>
          <w:vertAlign w:val="superscript"/>
        </w:rPr>
        <w:t>rd</w:t>
      </w:r>
      <w:r>
        <w:rPr>
          <w:bCs/>
        </w:rPr>
        <w:t xml:space="preserve"> edn. (Caerdydd: Gwasg Prisfysgol Cymru, 2012)</w:t>
      </w:r>
    </w:p>
    <w:p w:rsidR="00B03E17" w:rsidRDefault="00B03E17" w:rsidP="00B03E17">
      <w:r w:rsidRPr="00E462FB">
        <w:t xml:space="preserve"> Immram Curaig Mail D</w:t>
      </w:r>
      <w:r>
        <w:t>ú</w:t>
      </w:r>
      <w:r w:rsidRPr="00E462FB">
        <w:t>in</w:t>
      </w:r>
      <w:r>
        <w:t>, the text of, v</w:t>
      </w:r>
      <w:r w:rsidRPr="00E462FB">
        <w:t xml:space="preserve">an Hamel, A.G., </w:t>
      </w:r>
      <w:r>
        <w:t xml:space="preserve">in </w:t>
      </w:r>
      <w:r w:rsidRPr="00E462FB">
        <w:rPr>
          <w:i/>
        </w:rPr>
        <w:t>É</w:t>
      </w:r>
      <w:r>
        <w:rPr>
          <w:i/>
        </w:rPr>
        <w:t>tudes Celtiqu</w:t>
      </w:r>
      <w:r w:rsidRPr="007F0543">
        <w:rPr>
          <w:i/>
        </w:rPr>
        <w:t xml:space="preserve">e </w:t>
      </w:r>
      <w:r w:rsidRPr="007F0543">
        <w:t>3:</w:t>
      </w:r>
      <w:r>
        <w:t xml:space="preserve"> (1938) 1-20</w:t>
      </w:r>
    </w:p>
    <w:p w:rsidR="00BA4FE1" w:rsidRPr="0068615C" w:rsidRDefault="00BA4FE1" w:rsidP="00BA4FE1">
      <w:pPr>
        <w:rPr>
          <w:bCs/>
        </w:rPr>
      </w:pPr>
      <w:r w:rsidRPr="0068615C">
        <w:rPr>
          <w:bCs/>
          <w:i/>
        </w:rPr>
        <w:t>Preiddeu Annwn</w:t>
      </w:r>
      <w:r w:rsidRPr="0068615C">
        <w:rPr>
          <w:bCs/>
        </w:rPr>
        <w:t>, Haycock, M.,</w:t>
      </w:r>
      <w:r>
        <w:rPr>
          <w:bCs/>
        </w:rPr>
        <w:t xml:space="preserve"> ed, trans, in ‘’Preiddeu Annwn’ and the Figure of Taliesin’, </w:t>
      </w:r>
      <w:r w:rsidRPr="0068615C">
        <w:rPr>
          <w:bCs/>
          <w:i/>
        </w:rPr>
        <w:t>Studia Celtica</w:t>
      </w:r>
      <w:r>
        <w:rPr>
          <w:bCs/>
        </w:rPr>
        <w:t xml:space="preserve"> 18/19 (1983-4), 60-77</w:t>
      </w:r>
    </w:p>
    <w:p w:rsidR="00BA4FE1" w:rsidRDefault="00BA4FE1" w:rsidP="00BA4FE1">
      <w:pPr>
        <w:rPr>
          <w:bCs/>
        </w:rPr>
      </w:pPr>
      <w:r>
        <w:rPr>
          <w:i/>
        </w:rPr>
        <w:t>Prophecies from the Book of Taliesin</w:t>
      </w:r>
      <w:r>
        <w:t>,</w:t>
      </w:r>
      <w:r w:rsidRPr="0068615C">
        <w:t xml:space="preserve"> </w:t>
      </w:r>
      <w:r>
        <w:t>Haycock, M., ed, trans, (Aberystwyth: CMCS Publications, 2013)</w:t>
      </w:r>
    </w:p>
    <w:p w:rsidR="00BA4FE1" w:rsidRDefault="00BA4FE1" w:rsidP="00A9559F">
      <w:pPr>
        <w:shd w:val="clear" w:color="auto" w:fill="FEFDFA"/>
        <w:spacing w:line="240" w:lineRule="auto"/>
        <w:rPr>
          <w:rStyle w:val="exlavailabilitycallnumber"/>
          <w:rFonts w:cs="Arial"/>
          <w:bdr w:val="none" w:sz="0" w:space="0" w:color="auto" w:frame="1"/>
        </w:rPr>
      </w:pPr>
      <w:r w:rsidRPr="006A1A87">
        <w:rPr>
          <w:rStyle w:val="exlavailabilitycallnumber"/>
          <w:rFonts w:cs="Arial"/>
          <w:i/>
          <w:bdr w:val="none" w:sz="0" w:space="0" w:color="auto" w:frame="1"/>
        </w:rPr>
        <w:t xml:space="preserve">Teigue mac Cein’s Adventure </w:t>
      </w:r>
      <w:r w:rsidRPr="006A1A87">
        <w:rPr>
          <w:rStyle w:val="exlavailabilitycallnumber"/>
          <w:rFonts w:cs="Arial"/>
          <w:bdr w:val="none" w:sz="0" w:space="0" w:color="auto" w:frame="1"/>
        </w:rPr>
        <w:t>in O’Grady, S.H. ed &amp; trans,</w:t>
      </w:r>
      <w:r w:rsidRPr="006A1A87">
        <w:rPr>
          <w:rStyle w:val="exlavailabilitycallnumber"/>
          <w:rFonts w:cs="Arial"/>
          <w:i/>
          <w:bdr w:val="none" w:sz="0" w:space="0" w:color="auto" w:frame="1"/>
        </w:rPr>
        <w:t xml:space="preserve"> Silva Gadelica </w:t>
      </w:r>
      <w:r w:rsidRPr="006A1A87">
        <w:rPr>
          <w:rStyle w:val="exlavailabilitycallnumber"/>
          <w:rFonts w:cs="Arial"/>
          <w:bdr w:val="none" w:sz="0" w:space="0" w:color="auto" w:frame="1"/>
        </w:rPr>
        <w:t>(London: Williams &amp; Norgate, 1892) Xvii pp385-400</w:t>
      </w:r>
    </w:p>
    <w:p w:rsidR="00BA4FE1" w:rsidRDefault="00BA4FE1" w:rsidP="00BA4FE1">
      <w:r w:rsidRPr="004927D7">
        <w:rPr>
          <w:i/>
        </w:rPr>
        <w:t>The Bible: King James illustrated Holy Bible</w:t>
      </w:r>
      <w:r>
        <w:t xml:space="preserve"> (Cambridge: Cambridge University Press, nd)</w:t>
      </w:r>
    </w:p>
    <w:p w:rsidR="00BA4FE1" w:rsidRDefault="00BA4FE1" w:rsidP="00A9559F">
      <w:pPr>
        <w:spacing w:line="240" w:lineRule="auto"/>
      </w:pPr>
      <w:r w:rsidRPr="006A1A87">
        <w:rPr>
          <w:rFonts w:eastAsia="Times New Roman" w:cs="Times New Roman"/>
          <w:bCs/>
          <w:i/>
          <w:kern w:val="36"/>
          <w:lang w:eastAsia="en-GB"/>
        </w:rPr>
        <w:t>The Obsolescence of Oracles</w:t>
      </w:r>
      <w:r>
        <w:rPr>
          <w:rFonts w:eastAsia="Times New Roman" w:cs="Times New Roman"/>
          <w:bCs/>
          <w:i/>
          <w:kern w:val="36"/>
          <w:lang w:eastAsia="en-GB"/>
        </w:rPr>
        <w:t>,</w:t>
      </w:r>
      <w:r w:rsidRPr="006A1A87">
        <w:rPr>
          <w:rFonts w:ascii="Times New Roman" w:eastAsia="Times New Roman" w:hAnsi="Times New Roman" w:cs="Times New Roman"/>
          <w:sz w:val="42"/>
          <w:szCs w:val="42"/>
          <w:lang w:eastAsia="en-GB"/>
        </w:rPr>
        <w:t xml:space="preserve"> </w:t>
      </w:r>
      <w:r w:rsidRPr="006A1A87">
        <w:rPr>
          <w:rFonts w:eastAsia="Times New Roman" w:cs="Times New Roman"/>
          <w:bCs/>
          <w:lang w:eastAsia="en-GB"/>
        </w:rPr>
        <w:t>Plutarch, </w:t>
      </w:r>
      <w:r>
        <w:rPr>
          <w:rFonts w:eastAsia="Times New Roman" w:cs="Times New Roman"/>
          <w:bCs/>
          <w:lang w:eastAsia="en-GB"/>
        </w:rPr>
        <w:t xml:space="preserve">in </w:t>
      </w:r>
      <w:r w:rsidRPr="006A1A87">
        <w:rPr>
          <w:rFonts w:eastAsia="Times New Roman" w:cs="Times New Roman"/>
          <w:bCs/>
          <w:i/>
          <w:lang w:eastAsia="en-GB"/>
        </w:rPr>
        <w:t>Moralia</w:t>
      </w:r>
      <w:r>
        <w:rPr>
          <w:rFonts w:eastAsia="Times New Roman" w:cs="Times New Roman"/>
          <w:bCs/>
          <w:lang w:eastAsia="en-GB"/>
        </w:rPr>
        <w:t xml:space="preserve"> (</w:t>
      </w:r>
      <w:r w:rsidRPr="006A1A87">
        <w:rPr>
          <w:rFonts w:eastAsia="Times New Roman" w:cs="Times New Roman"/>
          <w:lang w:eastAsia="en-GB"/>
        </w:rPr>
        <w:t xml:space="preserve">Loeb Classical Library </w:t>
      </w:r>
      <w:r>
        <w:rPr>
          <w:rFonts w:eastAsia="Times New Roman" w:cs="Times New Roman"/>
          <w:lang w:eastAsia="en-GB"/>
        </w:rPr>
        <w:t>V, 1936) pp347</w:t>
      </w:r>
      <w:r>
        <w:rPr>
          <w:rFonts w:eastAsia="Times New Roman" w:cs="Times New Roman"/>
          <w:lang w:eastAsia="en-GB"/>
        </w:rPr>
        <w:noBreakHyphen/>
        <w:t>501.</w:t>
      </w:r>
      <w:r w:rsidRPr="006A1A87">
        <w:rPr>
          <w:rFonts w:eastAsia="Times New Roman" w:cs="Times New Roman"/>
          <w:lang w:eastAsia="en-GB"/>
        </w:rPr>
        <w:t xml:space="preserve"> The Greek text and the English translation (by F. C. Babbitt) are now in the public domain pursuant to the 1978 revision of the U. S. Copyright Code, </w:t>
      </w:r>
      <w:r w:rsidRPr="001D1217">
        <w:rPr>
          <w:rFonts w:eastAsia="Times New Roman" w:cs="Times New Roman"/>
          <w:lang w:eastAsia="en-GB"/>
        </w:rPr>
        <w:t>since the copyright expired in 1964</w:t>
      </w:r>
      <w:r>
        <w:rPr>
          <w:rFonts w:eastAsia="Times New Roman" w:cs="Times New Roman"/>
          <w:lang w:eastAsia="en-GB"/>
        </w:rPr>
        <w:t xml:space="preserve">   [Online at </w:t>
      </w:r>
      <w:hyperlink r:id="rId8" w:history="1">
        <w:r w:rsidRPr="00B40F46">
          <w:rPr>
            <w:rStyle w:val="Hyperlink"/>
          </w:rPr>
          <w:t>http://penelope.uchicago.edu/Thayer/E/Roman/Texts/Plutarch/Moralia/De_defectu_oraculorum*.html</w:t>
        </w:r>
      </w:hyperlink>
      <w:r>
        <w:t xml:space="preserve">] &lt;Accessed on 280218&gt; </w:t>
      </w:r>
    </w:p>
    <w:p w:rsidR="00BA4FE1" w:rsidRPr="00D7534B" w:rsidRDefault="00BA4FE1" w:rsidP="00A9559F">
      <w:pPr>
        <w:spacing w:line="240" w:lineRule="auto"/>
      </w:pPr>
      <w:r>
        <w:rPr>
          <w:i/>
        </w:rPr>
        <w:t>The Mabinogion</w:t>
      </w:r>
      <w:r>
        <w:t xml:space="preserve">, trans. Lady Charlotte Guest, Transcribed from the 1849 edition text by David Price, email </w:t>
      </w:r>
      <w:hyperlink r:id="rId9" w:history="1">
        <w:r w:rsidRPr="00597AD4">
          <w:rPr>
            <w:rStyle w:val="Hyperlink"/>
          </w:rPr>
          <w:t>ccx074@coventry.ac.uk</w:t>
        </w:r>
      </w:hyperlink>
      <w:r>
        <w:t xml:space="preserve"> (Project Gutenberg, 2002) [Online: </w:t>
      </w:r>
      <w:hyperlink r:id="rId10" w:history="1">
        <w:r w:rsidRPr="00597AD4">
          <w:rPr>
            <w:rStyle w:val="Hyperlink"/>
          </w:rPr>
          <w:t>http://public-library.uk/pdfs/7/661.pdf</w:t>
        </w:r>
      </w:hyperlink>
      <w:r>
        <w:t xml:space="preserve"> ] &lt;Accessed 300318&gt; </w:t>
      </w:r>
    </w:p>
    <w:p w:rsidR="00BA4FE1" w:rsidRDefault="00BA4FE1" w:rsidP="00BA4FE1">
      <w:pPr>
        <w:rPr>
          <w:bCs/>
        </w:rPr>
      </w:pPr>
      <w:r w:rsidRPr="00DE69A2">
        <w:rPr>
          <w:bCs/>
          <w:i/>
        </w:rPr>
        <w:t>The Mabinogion</w:t>
      </w:r>
      <w:r>
        <w:rPr>
          <w:bCs/>
          <w:i/>
        </w:rPr>
        <w:t>,</w:t>
      </w:r>
      <w:r>
        <w:rPr>
          <w:bCs/>
        </w:rPr>
        <w:t xml:space="preserve"> trans. Jones, Gwyn and Jones, Thomas, (London: Everyman’s Library, 1949)</w:t>
      </w:r>
    </w:p>
    <w:p w:rsidR="00BA4FE1" w:rsidRPr="00DE69A2" w:rsidRDefault="00BA4FE1" w:rsidP="00BA4FE1">
      <w:pPr>
        <w:rPr>
          <w:bCs/>
        </w:rPr>
      </w:pPr>
      <w:r w:rsidRPr="00DE69A2">
        <w:rPr>
          <w:bCs/>
          <w:i/>
        </w:rPr>
        <w:t>The Mabinogion</w:t>
      </w:r>
      <w:r>
        <w:rPr>
          <w:bCs/>
          <w:i/>
        </w:rPr>
        <w:t xml:space="preserve">, </w:t>
      </w:r>
      <w:r>
        <w:rPr>
          <w:bCs/>
        </w:rPr>
        <w:t>trans. Davies, Sioned, (Oxford, Oxford University Press, 2007)</w:t>
      </w:r>
    </w:p>
    <w:p w:rsidR="00BA4FE1" w:rsidRDefault="00BA4FE1" w:rsidP="00BA4FE1">
      <w:pPr>
        <w:rPr>
          <w:bCs/>
          <w:i/>
        </w:rPr>
      </w:pPr>
      <w:r w:rsidRPr="00180023">
        <w:rPr>
          <w:bCs/>
          <w:i/>
        </w:rPr>
        <w:t>The Voyage of Bran Son of Febal to the Land of the Living</w:t>
      </w:r>
      <w:r>
        <w:rPr>
          <w:bCs/>
          <w:i/>
        </w:rPr>
        <w:t xml:space="preserve">, </w:t>
      </w:r>
      <w:r>
        <w:rPr>
          <w:bCs/>
        </w:rPr>
        <w:t>ed. t</w:t>
      </w:r>
      <w:r w:rsidRPr="00180023">
        <w:rPr>
          <w:bCs/>
        </w:rPr>
        <w:t>rans.</w:t>
      </w:r>
      <w:r>
        <w:rPr>
          <w:bCs/>
        </w:rPr>
        <w:t xml:space="preserve"> Meyer, Kuno, (London: David Nutt, 1895)</w:t>
      </w:r>
      <w:r w:rsidRPr="00180023">
        <w:rPr>
          <w:bCs/>
        </w:rPr>
        <w:t xml:space="preserve"> </w:t>
      </w:r>
      <w:r>
        <w:rPr>
          <w:bCs/>
          <w:i/>
        </w:rPr>
        <w:t xml:space="preserve"> </w:t>
      </w:r>
    </w:p>
    <w:p w:rsidR="00BA4FE1" w:rsidRPr="00E462FB" w:rsidRDefault="00BA4FE1" w:rsidP="00A9559F">
      <w:pPr>
        <w:spacing w:line="240" w:lineRule="auto"/>
        <w:rPr>
          <w:bCs/>
        </w:rPr>
      </w:pPr>
      <w:r w:rsidRPr="00E462FB">
        <w:rPr>
          <w:bCs/>
          <w:i/>
        </w:rPr>
        <w:t xml:space="preserve">The </w:t>
      </w:r>
      <w:r>
        <w:rPr>
          <w:bCs/>
          <w:i/>
        </w:rPr>
        <w:t xml:space="preserve">Voyage of Máel Dúin’s Boat, </w:t>
      </w:r>
      <w:r>
        <w:rPr>
          <w:bCs/>
        </w:rPr>
        <w:t xml:space="preserve">trans. Whitely Stokes, </w:t>
      </w:r>
      <w:r w:rsidRPr="00E462FB">
        <w:rPr>
          <w:bCs/>
          <w:i/>
        </w:rPr>
        <w:t>Revue Celtique</w:t>
      </w:r>
      <w:r>
        <w:rPr>
          <w:bCs/>
          <w:i/>
        </w:rPr>
        <w:t xml:space="preserve">  </w:t>
      </w:r>
      <w:r w:rsidRPr="00E462FB">
        <w:rPr>
          <w:b/>
          <w:bCs/>
        </w:rPr>
        <w:t>9</w:t>
      </w:r>
      <w:r>
        <w:rPr>
          <w:bCs/>
        </w:rPr>
        <w:t xml:space="preserve">: (1888), pp447-495; </w:t>
      </w:r>
      <w:r w:rsidRPr="00E462FB">
        <w:rPr>
          <w:b/>
          <w:bCs/>
        </w:rPr>
        <w:t>10</w:t>
      </w:r>
      <w:r>
        <w:rPr>
          <w:bCs/>
        </w:rPr>
        <w:t>: (1889), pp50-95, 264</w:t>
      </w:r>
    </w:p>
    <w:p w:rsidR="00BA4FE1" w:rsidRPr="00D1212D" w:rsidRDefault="00BA4FE1" w:rsidP="00A9559F">
      <w:pPr>
        <w:spacing w:line="240" w:lineRule="auto"/>
        <w:rPr>
          <w:bCs/>
        </w:rPr>
      </w:pPr>
      <w:r w:rsidRPr="00D1212D">
        <w:rPr>
          <w:bCs/>
          <w:i/>
        </w:rPr>
        <w:t>The Voyage of</w:t>
      </w:r>
      <w:r>
        <w:rPr>
          <w:bCs/>
        </w:rPr>
        <w:t xml:space="preserve"> </w:t>
      </w:r>
      <w:r>
        <w:rPr>
          <w:bCs/>
          <w:i/>
        </w:rPr>
        <w:t>Máel Dúin, ed. &amp; trans .</w:t>
      </w:r>
      <w:r>
        <w:rPr>
          <w:bCs/>
        </w:rPr>
        <w:t xml:space="preserve">Oskamp, H.P.A., (Groningen: Walters-Noordholf, 1970) </w:t>
      </w:r>
      <w:r w:rsidRPr="007C22C5">
        <w:rPr>
          <w:bCs/>
        </w:rPr>
        <w:t xml:space="preserve">Part 2 text and translation </w:t>
      </w:r>
      <w:r>
        <w:rPr>
          <w:bCs/>
        </w:rPr>
        <w:t>pp</w:t>
      </w:r>
      <w:r w:rsidRPr="007C22C5">
        <w:rPr>
          <w:bCs/>
        </w:rPr>
        <w:t>99-180</w:t>
      </w:r>
    </w:p>
    <w:p w:rsidR="00BA4FE1" w:rsidRPr="00180023" w:rsidRDefault="00BA4FE1" w:rsidP="00BA4FE1">
      <w:pPr>
        <w:rPr>
          <w:bCs/>
        </w:rPr>
      </w:pPr>
      <w:r>
        <w:rPr>
          <w:bCs/>
          <w:i/>
        </w:rPr>
        <w:lastRenderedPageBreak/>
        <w:t>The Voyage of St Brendan</w:t>
      </w:r>
      <w:r>
        <w:rPr>
          <w:bCs/>
        </w:rPr>
        <w:t>, trans.</w:t>
      </w:r>
      <w:r w:rsidRPr="00E0046F">
        <w:rPr>
          <w:bCs/>
        </w:rPr>
        <w:t xml:space="preserve"> O’Donoghue</w:t>
      </w:r>
      <w:r>
        <w:rPr>
          <w:bCs/>
        </w:rPr>
        <w:t xml:space="preserve">, Denis, in </w:t>
      </w:r>
      <w:r w:rsidRPr="00E0046F">
        <w:rPr>
          <w:bCs/>
          <w:i/>
        </w:rPr>
        <w:t>Brendaniana</w:t>
      </w:r>
      <w:r>
        <w:rPr>
          <w:bCs/>
        </w:rPr>
        <w:t>, (Dublin: 1893)</w:t>
      </w:r>
    </w:p>
    <w:p w:rsidR="00BA4FE1" w:rsidRDefault="00BA4FE1" w:rsidP="00A9559F">
      <w:pPr>
        <w:spacing w:line="240" w:lineRule="auto"/>
        <w:rPr>
          <w:bCs/>
        </w:rPr>
      </w:pPr>
      <w:r w:rsidRPr="00BA724A">
        <w:rPr>
          <w:bCs/>
          <w:i/>
        </w:rPr>
        <w:t>The Voyage of Saint Brendan</w:t>
      </w:r>
      <w:r>
        <w:rPr>
          <w:bCs/>
        </w:rPr>
        <w:t>, trans. O’Meara, John, O., 3</w:t>
      </w:r>
      <w:r w:rsidRPr="00A76475">
        <w:rPr>
          <w:bCs/>
          <w:vertAlign w:val="superscript"/>
        </w:rPr>
        <w:t>rd</w:t>
      </w:r>
      <w:r>
        <w:rPr>
          <w:bCs/>
        </w:rPr>
        <w:t xml:space="preserve"> edn (Buckinghamshire: Colin Smythe Limited, 1991)</w:t>
      </w:r>
    </w:p>
    <w:p w:rsidR="00045A22" w:rsidRDefault="00045A22" w:rsidP="00045A22">
      <w:pPr>
        <w:spacing w:line="240" w:lineRule="auto"/>
        <w:rPr>
          <w:bCs/>
        </w:rPr>
      </w:pPr>
      <w:r w:rsidRPr="00DE55E2">
        <w:rPr>
          <w:bCs/>
          <w:i/>
        </w:rPr>
        <w:t>Trioedd Ynys Prydein</w:t>
      </w:r>
      <w:r>
        <w:rPr>
          <w:bCs/>
          <w:i/>
        </w:rPr>
        <w:t xml:space="preserve">: The Triads of the Island of Britain, </w:t>
      </w:r>
      <w:r>
        <w:rPr>
          <w:bCs/>
        </w:rPr>
        <w:t>Bromwich, R., 4</w:t>
      </w:r>
      <w:r w:rsidRPr="00BC79CF">
        <w:rPr>
          <w:bCs/>
          <w:vertAlign w:val="superscript"/>
        </w:rPr>
        <w:t>th</w:t>
      </w:r>
      <w:r>
        <w:rPr>
          <w:bCs/>
        </w:rPr>
        <w:t xml:space="preserve"> edn, (Cardiff: University of Wales Press, 2014)</w:t>
      </w:r>
    </w:p>
    <w:p w:rsidR="00406377" w:rsidRPr="00BC79CF" w:rsidRDefault="00406377" w:rsidP="00045A22">
      <w:pPr>
        <w:spacing w:line="240" w:lineRule="auto"/>
        <w:rPr>
          <w:bCs/>
        </w:rPr>
      </w:pPr>
    </w:p>
    <w:p w:rsidR="00BA4FE1" w:rsidRPr="006E7F3A" w:rsidRDefault="00BA4FE1" w:rsidP="00BA4FE1">
      <w:pPr>
        <w:rPr>
          <w:b/>
          <w:bCs/>
        </w:rPr>
      </w:pPr>
    </w:p>
    <w:p w:rsidR="00BA4FE1" w:rsidRPr="006E7F3A" w:rsidRDefault="00BA4FE1" w:rsidP="00BA4FE1">
      <w:pPr>
        <w:pStyle w:val="ListParagraph"/>
        <w:numPr>
          <w:ilvl w:val="0"/>
          <w:numId w:val="3"/>
        </w:numPr>
        <w:rPr>
          <w:b/>
          <w:bCs/>
        </w:rPr>
      </w:pPr>
      <w:r w:rsidRPr="006E7F3A">
        <w:rPr>
          <w:b/>
          <w:bCs/>
        </w:rPr>
        <w:t>Secondary Works</w:t>
      </w:r>
    </w:p>
    <w:p w:rsidR="00BA4FE1" w:rsidRDefault="00BA4FE1" w:rsidP="00BA4FE1">
      <w:pPr>
        <w:pStyle w:val="Default"/>
        <w:rPr>
          <w:rFonts w:asciiTheme="minorHAnsi" w:hAnsiTheme="minorHAnsi"/>
          <w:color w:val="auto"/>
          <w:sz w:val="22"/>
          <w:szCs w:val="22"/>
        </w:rPr>
      </w:pPr>
      <w:r w:rsidRPr="008832DF">
        <w:rPr>
          <w:rFonts w:asciiTheme="minorHAnsi" w:hAnsiTheme="minorHAnsi"/>
          <w:bCs/>
          <w:color w:val="auto"/>
          <w:sz w:val="22"/>
          <w:szCs w:val="22"/>
        </w:rPr>
        <w:t xml:space="preserve">Adderley, M., </w:t>
      </w:r>
      <w:r>
        <w:rPr>
          <w:rFonts w:asciiTheme="minorHAnsi" w:hAnsiTheme="minorHAnsi"/>
          <w:bCs/>
          <w:color w:val="auto"/>
          <w:sz w:val="22"/>
          <w:szCs w:val="22"/>
        </w:rPr>
        <w:t>‘</w:t>
      </w:r>
      <w:r w:rsidRPr="008832DF">
        <w:rPr>
          <w:rFonts w:asciiTheme="minorHAnsi" w:hAnsiTheme="minorHAnsi"/>
          <w:bCs/>
          <w:color w:val="auto"/>
          <w:sz w:val="22"/>
          <w:szCs w:val="22"/>
        </w:rPr>
        <w:t>Singing to the Silent Sentinel: “Preiddeu Annwn” and the Oral Tradition</w:t>
      </w:r>
      <w:r>
        <w:rPr>
          <w:rFonts w:asciiTheme="minorHAnsi" w:hAnsiTheme="minorHAnsi"/>
          <w:bCs/>
          <w:color w:val="auto"/>
          <w:sz w:val="22"/>
          <w:szCs w:val="22"/>
        </w:rPr>
        <w:t>’</w:t>
      </w:r>
      <w:r w:rsidRPr="008832DF">
        <w:rPr>
          <w:rFonts w:asciiTheme="minorHAnsi" w:hAnsiTheme="minorHAnsi"/>
          <w:bCs/>
          <w:color w:val="auto"/>
          <w:sz w:val="22"/>
          <w:szCs w:val="22"/>
        </w:rPr>
        <w:t>,</w:t>
      </w:r>
      <w:r>
        <w:rPr>
          <w:rFonts w:asciiTheme="minorHAnsi" w:hAnsiTheme="minorHAnsi"/>
          <w:bCs/>
          <w:color w:val="auto"/>
          <w:sz w:val="22"/>
          <w:szCs w:val="22"/>
        </w:rPr>
        <w:t xml:space="preserve"> in</w:t>
      </w:r>
      <w:r w:rsidRPr="008832DF">
        <w:rPr>
          <w:rFonts w:asciiTheme="minorHAnsi" w:hAnsiTheme="minorHAnsi"/>
          <w:bCs/>
          <w:color w:val="auto"/>
          <w:sz w:val="22"/>
          <w:szCs w:val="22"/>
        </w:rPr>
        <w:t xml:space="preserve"> </w:t>
      </w:r>
      <w:r w:rsidRPr="008832DF">
        <w:rPr>
          <w:rFonts w:asciiTheme="minorHAnsi" w:hAnsiTheme="minorHAnsi"/>
          <w:bCs/>
          <w:i/>
          <w:color w:val="auto"/>
          <w:sz w:val="22"/>
          <w:szCs w:val="22"/>
        </w:rPr>
        <w:t>The Review of English Studies</w:t>
      </w:r>
      <w:r w:rsidRPr="008832DF">
        <w:rPr>
          <w:rFonts w:asciiTheme="minorHAnsi" w:hAnsiTheme="minorHAnsi"/>
          <w:bCs/>
          <w:color w:val="auto"/>
          <w:sz w:val="22"/>
          <w:szCs w:val="22"/>
        </w:rPr>
        <w:t>,</w:t>
      </w:r>
      <w:r w:rsidRPr="008832DF">
        <w:rPr>
          <w:rFonts w:asciiTheme="minorHAnsi" w:hAnsiTheme="minorHAnsi"/>
          <w:bCs/>
          <w:i/>
          <w:color w:val="auto"/>
          <w:sz w:val="22"/>
          <w:szCs w:val="22"/>
        </w:rPr>
        <w:t xml:space="preserve"> New Series,</w:t>
      </w:r>
      <w:r w:rsidRPr="008832DF">
        <w:rPr>
          <w:rFonts w:asciiTheme="minorHAnsi" w:hAnsiTheme="minorHAnsi"/>
          <w:bCs/>
          <w:color w:val="auto"/>
          <w:sz w:val="22"/>
          <w:szCs w:val="22"/>
        </w:rPr>
        <w:t xml:space="preserve"> 60 (244): (April 2009) 175-193. [Online: </w:t>
      </w:r>
      <w:hyperlink r:id="rId11" w:history="1">
        <w:r w:rsidRPr="008832DF">
          <w:rPr>
            <w:rStyle w:val="Hyperlink"/>
            <w:rFonts w:asciiTheme="minorHAnsi" w:hAnsiTheme="minorHAnsi"/>
            <w:color w:val="0070C0"/>
            <w:sz w:val="22"/>
            <w:szCs w:val="22"/>
          </w:rPr>
          <w:t>http://www.jstor.org/stable/40267537</w:t>
        </w:r>
      </w:hyperlink>
      <w:r w:rsidRPr="008832DF">
        <w:rPr>
          <w:rFonts w:asciiTheme="minorHAnsi" w:hAnsiTheme="minorHAnsi"/>
          <w:color w:val="auto"/>
          <w:sz w:val="22"/>
          <w:szCs w:val="22"/>
        </w:rPr>
        <w:t xml:space="preserve"> ] &lt;Accessed 07-01-2018 13:50 UTC&gt; </w:t>
      </w:r>
    </w:p>
    <w:p w:rsidR="00BA4FE1" w:rsidRDefault="00BA4FE1" w:rsidP="00BA4FE1">
      <w:pPr>
        <w:pStyle w:val="Default"/>
        <w:rPr>
          <w:rFonts w:asciiTheme="minorHAnsi" w:hAnsiTheme="minorHAnsi"/>
          <w:color w:val="auto"/>
          <w:sz w:val="22"/>
          <w:szCs w:val="22"/>
        </w:rPr>
      </w:pPr>
    </w:p>
    <w:p w:rsidR="00BA4FE1" w:rsidRDefault="00BA4FE1" w:rsidP="00BA4FE1">
      <w:pPr>
        <w:pStyle w:val="Default"/>
        <w:rPr>
          <w:rFonts w:asciiTheme="minorHAnsi" w:hAnsiTheme="minorHAnsi"/>
          <w:color w:val="auto"/>
          <w:sz w:val="22"/>
          <w:szCs w:val="22"/>
        </w:rPr>
      </w:pPr>
      <w:r>
        <w:rPr>
          <w:rFonts w:asciiTheme="minorHAnsi" w:hAnsiTheme="minorHAnsi"/>
          <w:color w:val="auto"/>
          <w:sz w:val="22"/>
          <w:szCs w:val="22"/>
        </w:rPr>
        <w:t>Aldhouse-Green, M., ‘Pagan Celtic Religion and Early Celtic Myth: Connections or Coincidence?’ in</w:t>
      </w:r>
      <w:r w:rsidRPr="00D96B51">
        <w:rPr>
          <w:rFonts w:asciiTheme="minorHAnsi" w:hAnsiTheme="minorHAnsi"/>
          <w:color w:val="auto"/>
          <w:sz w:val="22"/>
          <w:szCs w:val="22"/>
        </w:rPr>
        <w:t xml:space="preserve"> Black, R., Gillies, W., &amp; O’Maolaiagh, R.,</w:t>
      </w:r>
      <w:r>
        <w:rPr>
          <w:rFonts w:asciiTheme="minorHAnsi" w:hAnsiTheme="minorHAnsi"/>
          <w:color w:val="auto"/>
          <w:sz w:val="22"/>
          <w:szCs w:val="22"/>
        </w:rPr>
        <w:t xml:space="preserve"> eds, </w:t>
      </w:r>
      <w:r>
        <w:rPr>
          <w:rFonts w:asciiTheme="minorHAnsi" w:hAnsiTheme="minorHAnsi"/>
          <w:i/>
          <w:color w:val="auto"/>
          <w:sz w:val="22"/>
          <w:szCs w:val="22"/>
        </w:rPr>
        <w:t>Celtic Connections: Procee</w:t>
      </w:r>
      <w:r w:rsidRPr="00D96B51">
        <w:rPr>
          <w:rFonts w:asciiTheme="minorHAnsi" w:hAnsiTheme="minorHAnsi"/>
          <w:i/>
          <w:color w:val="auto"/>
          <w:sz w:val="22"/>
          <w:szCs w:val="22"/>
        </w:rPr>
        <w:t>dings of the Tenth International Congress of Celtic Studies</w:t>
      </w:r>
      <w:r>
        <w:rPr>
          <w:rFonts w:asciiTheme="minorHAnsi" w:hAnsiTheme="minorHAnsi"/>
          <w:i/>
          <w:color w:val="auto"/>
          <w:sz w:val="22"/>
          <w:szCs w:val="22"/>
        </w:rPr>
        <w:t xml:space="preserve">, </w:t>
      </w:r>
      <w:r w:rsidRPr="00D96B51">
        <w:rPr>
          <w:rFonts w:asciiTheme="minorHAnsi" w:hAnsiTheme="minorHAnsi"/>
          <w:color w:val="auto"/>
          <w:sz w:val="22"/>
          <w:szCs w:val="22"/>
        </w:rPr>
        <w:t>1,</w:t>
      </w:r>
      <w:r>
        <w:rPr>
          <w:rFonts w:asciiTheme="minorHAnsi" w:hAnsiTheme="minorHAnsi"/>
          <w:color w:val="auto"/>
          <w:sz w:val="22"/>
          <w:szCs w:val="22"/>
        </w:rPr>
        <w:t xml:space="preserve"> </w:t>
      </w:r>
      <w:r w:rsidRPr="00D96B51">
        <w:rPr>
          <w:rFonts w:asciiTheme="minorHAnsi" w:hAnsiTheme="minorHAnsi"/>
          <w:color w:val="auto"/>
          <w:sz w:val="22"/>
          <w:szCs w:val="22"/>
        </w:rPr>
        <w:t>(East Linton</w:t>
      </w:r>
      <w:r>
        <w:rPr>
          <w:rFonts w:asciiTheme="minorHAnsi" w:hAnsiTheme="minorHAnsi"/>
          <w:color w:val="auto"/>
          <w:sz w:val="22"/>
          <w:szCs w:val="22"/>
        </w:rPr>
        <w:t>: Tuckwell Press, 1999) 82-90.</w:t>
      </w:r>
    </w:p>
    <w:p w:rsidR="00BA4FE1" w:rsidRDefault="00BA4FE1" w:rsidP="00BA4FE1">
      <w:pPr>
        <w:pStyle w:val="Default"/>
        <w:rPr>
          <w:rFonts w:asciiTheme="minorHAnsi" w:hAnsiTheme="minorHAnsi"/>
          <w:color w:val="auto"/>
          <w:sz w:val="22"/>
          <w:szCs w:val="22"/>
        </w:rPr>
      </w:pPr>
    </w:p>
    <w:p w:rsidR="00BA4FE1" w:rsidRPr="008832DF" w:rsidRDefault="00BA4FE1" w:rsidP="00A9559F">
      <w:pPr>
        <w:spacing w:line="240" w:lineRule="auto"/>
      </w:pPr>
      <w:r w:rsidRPr="00FA081C">
        <w:rPr>
          <w:shd w:val="clear" w:color="auto" w:fill="FFFFFF"/>
        </w:rPr>
        <w:t>Anon.</w:t>
      </w:r>
      <w:r>
        <w:rPr>
          <w:shd w:val="clear" w:color="auto" w:fill="FFFFFF"/>
        </w:rPr>
        <w:t>,</w:t>
      </w:r>
      <w:r w:rsidRPr="00FA081C">
        <w:rPr>
          <w:shd w:val="clear" w:color="auto" w:fill="FFFFFF"/>
        </w:rPr>
        <w:t xml:space="preserve"> </w:t>
      </w:r>
      <w:r>
        <w:rPr>
          <w:shd w:val="clear" w:color="auto" w:fill="FFFFFF"/>
        </w:rPr>
        <w:t>‘</w:t>
      </w:r>
      <w:r w:rsidRPr="00FA081C">
        <w:rPr>
          <w:shd w:val="clear" w:color="auto" w:fill="FFFFFF"/>
        </w:rPr>
        <w:t>Prophecies from the Book of</w:t>
      </w:r>
      <w:r>
        <w:rPr>
          <w:shd w:val="clear" w:color="auto" w:fill="FFFFFF"/>
        </w:rPr>
        <w:t xml:space="preserve"> Taliesin’, in </w:t>
      </w:r>
      <w:r w:rsidRPr="00FA081C">
        <w:rPr>
          <w:i/>
          <w:iCs/>
          <w:shd w:val="clear" w:color="auto" w:fill="FFFFFF"/>
        </w:rPr>
        <w:t>Medium Aevum, </w:t>
      </w:r>
      <w:r w:rsidRPr="002D6EF2">
        <w:rPr>
          <w:bCs/>
          <w:shd w:val="clear" w:color="auto" w:fill="FFFFFF"/>
        </w:rPr>
        <w:t>85</w:t>
      </w:r>
      <w:r w:rsidRPr="00FA081C">
        <w:rPr>
          <w:shd w:val="clear" w:color="auto" w:fill="FFFFFF"/>
        </w:rPr>
        <w:t>(1)</w:t>
      </w:r>
      <w:r>
        <w:rPr>
          <w:shd w:val="clear" w:color="auto" w:fill="FFFFFF"/>
        </w:rPr>
        <w:t>:</w:t>
      </w:r>
      <w:r w:rsidRPr="00855FF9">
        <w:rPr>
          <w:shd w:val="clear" w:color="auto" w:fill="FFFFFF"/>
        </w:rPr>
        <w:t xml:space="preserve"> </w:t>
      </w:r>
      <w:r>
        <w:rPr>
          <w:shd w:val="clear" w:color="auto" w:fill="FFFFFF"/>
        </w:rPr>
        <w:t>(2016)</w:t>
      </w:r>
      <w:r w:rsidRPr="00FA081C">
        <w:rPr>
          <w:shd w:val="clear" w:color="auto" w:fill="FFFFFF"/>
        </w:rPr>
        <w:t xml:space="preserve"> 173-174.</w:t>
      </w:r>
      <w:r>
        <w:rPr>
          <w:shd w:val="clear" w:color="auto" w:fill="FFFFFF"/>
        </w:rPr>
        <w:t xml:space="preserve"> [Online:</w:t>
      </w:r>
      <w:r w:rsidRPr="00FA081C">
        <w:rPr>
          <w:shd w:val="clear" w:color="auto" w:fill="FFFFFF"/>
        </w:rPr>
        <w:t xml:space="preserve"> </w:t>
      </w:r>
      <w:hyperlink r:id="rId12" w:history="1">
        <w:r w:rsidRPr="00855FF9">
          <w:rPr>
            <w:rStyle w:val="Hyperlink"/>
            <w:color w:val="548DD4" w:themeColor="text2" w:themeTint="99"/>
            <w:shd w:val="clear" w:color="auto" w:fill="FFFFFF"/>
          </w:rPr>
          <w:t>https://search-proquest-com.ezproxy.uwtsd.ac.uk/docview/1822071509?accountid=130472&amp;rfr_id=info%3Axri%2Fsid%3Aprimo</w:t>
        </w:r>
      </w:hyperlink>
      <w:r>
        <w:t>]</w:t>
      </w:r>
      <w:r w:rsidRPr="00FA081C">
        <w:rPr>
          <w:shd w:val="clear" w:color="auto" w:fill="FFFFFF"/>
        </w:rPr>
        <w:t xml:space="preserve"> </w:t>
      </w:r>
      <w:r>
        <w:rPr>
          <w:shd w:val="clear" w:color="auto" w:fill="FFFFFF"/>
        </w:rPr>
        <w:t>&lt;Accessed:</w:t>
      </w:r>
      <w:r w:rsidRPr="00FA081C">
        <w:rPr>
          <w:shd w:val="clear" w:color="auto" w:fill="FFFFFF"/>
        </w:rPr>
        <w:t xml:space="preserve"> 070118</w:t>
      </w:r>
      <w:r>
        <w:rPr>
          <w:shd w:val="clear" w:color="auto" w:fill="FFFFFF"/>
        </w:rPr>
        <w:t>&gt;</w:t>
      </w:r>
    </w:p>
    <w:p w:rsidR="00BA4FE1" w:rsidRDefault="00BA4FE1" w:rsidP="00A9559F">
      <w:pPr>
        <w:spacing w:line="240" w:lineRule="auto"/>
        <w:rPr>
          <w:rFonts w:cs="Times"/>
          <w:spacing w:val="3"/>
          <w:shd w:val="clear" w:color="auto" w:fill="FFFFFF"/>
        </w:rPr>
      </w:pPr>
      <w:r w:rsidRPr="008832DF">
        <w:rPr>
          <w:rFonts w:cs="Times"/>
          <w:spacing w:val="3"/>
          <w:shd w:val="clear" w:color="auto" w:fill="FFFFFF"/>
        </w:rPr>
        <w:t>Anthony, D. W., </w:t>
      </w:r>
      <w:r w:rsidRPr="008832DF">
        <w:rPr>
          <w:rFonts w:cs="Times"/>
          <w:i/>
          <w:iCs/>
          <w:spacing w:val="3"/>
          <w:shd w:val="clear" w:color="auto" w:fill="FFFFFF"/>
        </w:rPr>
        <w:t xml:space="preserve">The Horse, the Wheel, and Language: How Bronze-Age Riders From the Eurasian Steppes Shaped the Modern World </w:t>
      </w:r>
      <w:r w:rsidRPr="008832DF">
        <w:rPr>
          <w:rFonts w:cs="Times"/>
          <w:spacing w:val="3"/>
          <w:shd w:val="clear" w:color="auto" w:fill="FFFFFF"/>
        </w:rPr>
        <w:t>(</w:t>
      </w:r>
      <w:r>
        <w:rPr>
          <w:rFonts w:cs="Times"/>
          <w:spacing w:val="3"/>
          <w:shd w:val="clear" w:color="auto" w:fill="FFFFFF"/>
        </w:rPr>
        <w:t xml:space="preserve">Princeton: </w:t>
      </w:r>
      <w:r w:rsidRPr="008832DF">
        <w:rPr>
          <w:rFonts w:cs="Times"/>
          <w:spacing w:val="3"/>
          <w:shd w:val="clear" w:color="auto" w:fill="FFFFFF"/>
        </w:rPr>
        <w:t>Princeton Univ. Press, 2007)</w:t>
      </w:r>
    </w:p>
    <w:p w:rsidR="00BA4FE1" w:rsidRDefault="00BA4FE1" w:rsidP="00BA4FE1">
      <w:pPr>
        <w:pStyle w:val="Pa2"/>
        <w:rPr>
          <w:rFonts w:asciiTheme="minorHAnsi" w:hAnsiTheme="minorHAnsi" w:cs="Gill Sans MT"/>
          <w:color w:val="000000"/>
          <w:sz w:val="22"/>
          <w:szCs w:val="28"/>
        </w:rPr>
      </w:pPr>
      <w:r w:rsidRPr="00D84033">
        <w:rPr>
          <w:rFonts w:asciiTheme="minorHAnsi" w:hAnsiTheme="minorHAnsi" w:cs="Gill Sans MT"/>
          <w:b/>
          <w:bCs/>
          <w:color w:val="000000"/>
          <w:sz w:val="22"/>
          <w:szCs w:val="22"/>
        </w:rPr>
        <w:t xml:space="preserve"> </w:t>
      </w:r>
      <w:r w:rsidRPr="00D84033">
        <w:rPr>
          <w:rFonts w:asciiTheme="minorHAnsi" w:hAnsiTheme="minorHAnsi" w:cs="Gill Sans MT"/>
          <w:bCs/>
          <w:color w:val="000000"/>
          <w:sz w:val="22"/>
          <w:szCs w:val="22"/>
        </w:rPr>
        <w:t xml:space="preserve">Bernhardt-House, Phillip, A., </w:t>
      </w:r>
      <w:r>
        <w:rPr>
          <w:rFonts w:asciiTheme="minorHAnsi" w:hAnsiTheme="minorHAnsi" w:cs="Gill Sans MT"/>
          <w:bCs/>
          <w:color w:val="000000"/>
          <w:sz w:val="22"/>
          <w:szCs w:val="22"/>
        </w:rPr>
        <w:t>‘</w:t>
      </w:r>
      <w:r w:rsidRPr="00D84033">
        <w:rPr>
          <w:rFonts w:asciiTheme="minorHAnsi" w:hAnsiTheme="minorHAnsi" w:cs="Gill Sans MT"/>
          <w:color w:val="000000"/>
          <w:sz w:val="22"/>
          <w:szCs w:val="22"/>
        </w:rPr>
        <w:t>Warriors, Words, and Wood:</w:t>
      </w:r>
      <w:r>
        <w:rPr>
          <w:rFonts w:asciiTheme="minorHAnsi" w:hAnsiTheme="minorHAnsi" w:cs="Gill Sans MT"/>
          <w:color w:val="000000"/>
          <w:sz w:val="22"/>
          <w:szCs w:val="22"/>
        </w:rPr>
        <w:t xml:space="preserve"> </w:t>
      </w:r>
      <w:r w:rsidRPr="00D84033">
        <w:rPr>
          <w:rFonts w:asciiTheme="minorHAnsi" w:hAnsiTheme="minorHAnsi" w:cs="Gill Sans MT"/>
          <w:color w:val="000000"/>
          <w:sz w:val="22"/>
          <w:szCs w:val="22"/>
        </w:rPr>
        <w:t>Oral and Literary Wisdom in the Exploits of Irish Mythological Warriors</w:t>
      </w:r>
      <w:r>
        <w:rPr>
          <w:rFonts w:asciiTheme="minorHAnsi" w:hAnsiTheme="minorHAnsi" w:cs="Gill Sans MT"/>
          <w:color w:val="000000"/>
          <w:sz w:val="22"/>
          <w:szCs w:val="22"/>
        </w:rPr>
        <w:t>’ in</w:t>
      </w:r>
      <w:r w:rsidRPr="00D84033">
        <w:rPr>
          <w:rFonts w:asciiTheme="minorHAnsi" w:hAnsiTheme="minorHAnsi" w:cs="Gill Sans MT"/>
          <w:i/>
          <w:color w:val="000000"/>
          <w:sz w:val="22"/>
          <w:szCs w:val="28"/>
        </w:rPr>
        <w:t xml:space="preserve"> </w:t>
      </w:r>
      <w:r w:rsidRPr="006D1772">
        <w:rPr>
          <w:rFonts w:asciiTheme="minorHAnsi" w:hAnsiTheme="minorHAnsi" w:cs="Gill Sans MT"/>
          <w:i/>
          <w:color w:val="000000"/>
          <w:sz w:val="22"/>
          <w:szCs w:val="28"/>
        </w:rPr>
        <w:t>Studia Celtica Fennica</w:t>
      </w:r>
      <w:r w:rsidRPr="006D1772">
        <w:rPr>
          <w:rFonts w:asciiTheme="minorHAnsi" w:hAnsiTheme="minorHAnsi" w:cs="Gill Sans MT"/>
          <w:color w:val="000000"/>
          <w:sz w:val="22"/>
          <w:szCs w:val="28"/>
        </w:rPr>
        <w:t xml:space="preserve"> </w:t>
      </w:r>
      <w:r w:rsidRPr="002D6EF2">
        <w:rPr>
          <w:rFonts w:asciiTheme="minorHAnsi" w:hAnsiTheme="minorHAnsi" w:cs="Gill Sans MT"/>
          <w:color w:val="000000"/>
          <w:sz w:val="22"/>
          <w:szCs w:val="28"/>
        </w:rPr>
        <w:t>VI:</w:t>
      </w:r>
      <w:r>
        <w:rPr>
          <w:rFonts w:asciiTheme="minorHAnsi" w:hAnsiTheme="minorHAnsi" w:cs="Gill Sans MT"/>
          <w:b/>
          <w:color w:val="000000"/>
          <w:sz w:val="22"/>
          <w:szCs w:val="28"/>
        </w:rPr>
        <w:t xml:space="preserve"> </w:t>
      </w:r>
      <w:r>
        <w:rPr>
          <w:rFonts w:asciiTheme="minorHAnsi" w:hAnsiTheme="minorHAnsi" w:cs="Gill Sans MT"/>
          <w:color w:val="000000"/>
          <w:sz w:val="22"/>
          <w:szCs w:val="28"/>
        </w:rPr>
        <w:t>(</w:t>
      </w:r>
      <w:r w:rsidRPr="006D1772">
        <w:rPr>
          <w:rFonts w:asciiTheme="minorHAnsi" w:hAnsiTheme="minorHAnsi" w:cs="Gill Sans MT"/>
          <w:color w:val="000000"/>
          <w:sz w:val="22"/>
          <w:szCs w:val="28"/>
        </w:rPr>
        <w:t>2009</w:t>
      </w:r>
      <w:r>
        <w:rPr>
          <w:rFonts w:asciiTheme="minorHAnsi" w:hAnsiTheme="minorHAnsi" w:cs="Gill Sans MT"/>
          <w:color w:val="000000"/>
          <w:sz w:val="22"/>
          <w:szCs w:val="28"/>
        </w:rPr>
        <w:t xml:space="preserve">) 5-19. [Online: </w:t>
      </w:r>
      <w:hyperlink r:id="rId13" w:history="1">
        <w:r w:rsidRPr="00597AD4">
          <w:rPr>
            <w:rStyle w:val="Hyperlink"/>
            <w:rFonts w:asciiTheme="minorHAnsi" w:hAnsiTheme="minorHAnsi" w:cs="Gill Sans MT"/>
            <w:sz w:val="22"/>
            <w:szCs w:val="28"/>
          </w:rPr>
          <w:t>file:///C:/Users/User/Downloads/7546-Article%20Text-18256-1-10-20130114.pdf</w:t>
        </w:r>
      </w:hyperlink>
      <w:r>
        <w:rPr>
          <w:rFonts w:asciiTheme="minorHAnsi" w:hAnsiTheme="minorHAnsi" w:cs="Gill Sans MT"/>
          <w:color w:val="000000"/>
          <w:sz w:val="22"/>
          <w:szCs w:val="28"/>
        </w:rPr>
        <w:t>] &lt;Accessed 28 March 2018&gt;</w:t>
      </w:r>
    </w:p>
    <w:p w:rsidR="00BA4FE1" w:rsidRPr="00D84033" w:rsidRDefault="00BA4FE1" w:rsidP="00BA4FE1">
      <w:pPr>
        <w:pStyle w:val="Default"/>
      </w:pPr>
    </w:p>
    <w:p w:rsidR="00BA4FE1" w:rsidRDefault="00BA4FE1" w:rsidP="00A9559F">
      <w:pPr>
        <w:spacing w:line="240" w:lineRule="auto"/>
        <w:rPr>
          <w:shd w:val="clear" w:color="auto" w:fill="FFFFFF"/>
        </w:rPr>
      </w:pPr>
      <w:r w:rsidRPr="008832DF">
        <w:rPr>
          <w:shd w:val="clear" w:color="auto" w:fill="FFFFFF"/>
        </w:rPr>
        <w:t>B</w:t>
      </w:r>
      <w:r>
        <w:rPr>
          <w:shd w:val="clear" w:color="auto" w:fill="FFFFFF"/>
        </w:rPr>
        <w:t>ertuca</w:t>
      </w:r>
      <w:r w:rsidRPr="008832DF">
        <w:rPr>
          <w:shd w:val="clear" w:color="auto" w:fill="FFFFFF"/>
        </w:rPr>
        <w:t xml:space="preserve">, D.J., </w:t>
      </w:r>
      <w:r>
        <w:rPr>
          <w:shd w:val="clear" w:color="auto" w:fill="FFFFFF"/>
        </w:rPr>
        <w:t>‘</w:t>
      </w:r>
      <w:r w:rsidRPr="008832DF">
        <w:rPr>
          <w:shd w:val="clear" w:color="auto" w:fill="FFFFFF"/>
        </w:rPr>
        <w:t>Hy Brasil: The Metamorphosis of an Island from Carto</w:t>
      </w:r>
      <w:r>
        <w:rPr>
          <w:shd w:val="clear" w:color="auto" w:fill="FFFFFF"/>
        </w:rPr>
        <w:t>graphic Error to Celtic Elysium’,</w:t>
      </w:r>
      <w:r w:rsidRPr="008832DF">
        <w:rPr>
          <w:shd w:val="clear" w:color="auto" w:fill="FFFFFF"/>
        </w:rPr>
        <w:t> </w:t>
      </w:r>
      <w:r w:rsidRPr="008832DF">
        <w:rPr>
          <w:i/>
          <w:iCs/>
          <w:shd w:val="clear" w:color="auto" w:fill="FFFFFF"/>
        </w:rPr>
        <w:t>The Globe, </w:t>
      </w:r>
      <w:r w:rsidRPr="002D6EF2">
        <w:rPr>
          <w:shd w:val="clear" w:color="auto" w:fill="FFFFFF"/>
        </w:rPr>
        <w:t>74:</w:t>
      </w:r>
      <w:r>
        <w:rPr>
          <w:shd w:val="clear" w:color="auto" w:fill="FFFFFF"/>
        </w:rPr>
        <w:t xml:space="preserve"> (2014)</w:t>
      </w:r>
      <w:r w:rsidRPr="008832DF">
        <w:rPr>
          <w:shd w:val="clear" w:color="auto" w:fill="FFFFFF"/>
        </w:rPr>
        <w:t xml:space="preserve"> 52-53. </w:t>
      </w:r>
      <w:r>
        <w:rPr>
          <w:shd w:val="clear" w:color="auto" w:fill="FFFFFF"/>
        </w:rPr>
        <w:t>[Online:</w:t>
      </w:r>
      <w:r w:rsidRPr="008832DF">
        <w:rPr>
          <w:shd w:val="clear" w:color="auto" w:fill="FFFFFF"/>
        </w:rPr>
        <w:t xml:space="preserve"> </w:t>
      </w:r>
      <w:hyperlink r:id="rId14" w:history="1">
        <w:r w:rsidRPr="00B747A4">
          <w:rPr>
            <w:rStyle w:val="Hyperlink"/>
            <w:color w:val="548DD4" w:themeColor="text2" w:themeTint="99"/>
            <w:shd w:val="clear" w:color="auto" w:fill="FFFFFF"/>
          </w:rPr>
          <w:t>https://search-proquest-com.ezproxy.uwtsd.ac.uk/docview/1679408007?accountid=130472&amp;rfr_id=info%3Axri%2Fsid%3Aprimo</w:t>
        </w:r>
      </w:hyperlink>
      <w:r>
        <w:t>]&lt;A</w:t>
      </w:r>
      <w:r w:rsidRPr="008832DF">
        <w:rPr>
          <w:shd w:val="clear" w:color="auto" w:fill="FFFFFF"/>
        </w:rPr>
        <w:t>ccessed 30</w:t>
      </w:r>
      <w:r>
        <w:rPr>
          <w:shd w:val="clear" w:color="auto" w:fill="FFFFFF"/>
        </w:rPr>
        <w:t xml:space="preserve"> December 20</w:t>
      </w:r>
      <w:r w:rsidRPr="008832DF">
        <w:rPr>
          <w:shd w:val="clear" w:color="auto" w:fill="FFFFFF"/>
        </w:rPr>
        <w:t>17</w:t>
      </w:r>
      <w:r>
        <w:rPr>
          <w:shd w:val="clear" w:color="auto" w:fill="FFFFFF"/>
        </w:rPr>
        <w:t>&gt;</w:t>
      </w:r>
      <w:r w:rsidRPr="008832DF">
        <w:rPr>
          <w:shd w:val="clear" w:color="auto" w:fill="FFFFFF"/>
        </w:rPr>
        <w:t xml:space="preserve"> </w:t>
      </w:r>
      <w:r>
        <w:rPr>
          <w:shd w:val="clear" w:color="auto" w:fill="FFFFFF"/>
        </w:rPr>
        <w:t xml:space="preserve"> </w:t>
      </w:r>
    </w:p>
    <w:p w:rsidR="00D334C5" w:rsidRDefault="00D334C5" w:rsidP="00D334C5">
      <w:pPr>
        <w:pStyle w:val="Default"/>
        <w:rPr>
          <w:rFonts w:asciiTheme="minorHAnsi" w:hAnsiTheme="minorHAnsi"/>
          <w:color w:val="auto"/>
          <w:sz w:val="22"/>
          <w:szCs w:val="22"/>
        </w:rPr>
      </w:pPr>
      <w:r w:rsidRPr="00D96B51">
        <w:rPr>
          <w:rFonts w:asciiTheme="minorHAnsi" w:hAnsiTheme="minorHAnsi"/>
          <w:color w:val="auto"/>
          <w:sz w:val="22"/>
          <w:szCs w:val="22"/>
        </w:rPr>
        <w:t>Black, R., Gillies, W., &amp; O’Maolaiagh, R.,</w:t>
      </w:r>
      <w:r>
        <w:rPr>
          <w:rFonts w:asciiTheme="minorHAnsi" w:hAnsiTheme="minorHAnsi"/>
          <w:color w:val="auto"/>
          <w:sz w:val="22"/>
          <w:szCs w:val="22"/>
        </w:rPr>
        <w:t xml:space="preserve"> eds, </w:t>
      </w:r>
      <w:r>
        <w:rPr>
          <w:rFonts w:asciiTheme="minorHAnsi" w:hAnsiTheme="minorHAnsi"/>
          <w:i/>
          <w:color w:val="auto"/>
          <w:sz w:val="22"/>
          <w:szCs w:val="22"/>
        </w:rPr>
        <w:t>Celtic Connections: Procee</w:t>
      </w:r>
      <w:r w:rsidRPr="00D96B51">
        <w:rPr>
          <w:rFonts w:asciiTheme="minorHAnsi" w:hAnsiTheme="minorHAnsi"/>
          <w:i/>
          <w:color w:val="auto"/>
          <w:sz w:val="22"/>
          <w:szCs w:val="22"/>
        </w:rPr>
        <w:t>dings of the Tenth International Congress of Celtic Studies</w:t>
      </w:r>
      <w:r>
        <w:rPr>
          <w:rFonts w:asciiTheme="minorHAnsi" w:hAnsiTheme="minorHAnsi"/>
          <w:i/>
          <w:color w:val="auto"/>
          <w:sz w:val="22"/>
          <w:szCs w:val="22"/>
        </w:rPr>
        <w:t xml:space="preserve">, </w:t>
      </w:r>
      <w:r w:rsidRPr="00D96B51">
        <w:rPr>
          <w:rFonts w:asciiTheme="minorHAnsi" w:hAnsiTheme="minorHAnsi"/>
          <w:color w:val="auto"/>
          <w:sz w:val="22"/>
          <w:szCs w:val="22"/>
        </w:rPr>
        <w:t>1,</w:t>
      </w:r>
      <w:r>
        <w:rPr>
          <w:rFonts w:asciiTheme="minorHAnsi" w:hAnsiTheme="minorHAnsi"/>
          <w:color w:val="auto"/>
          <w:sz w:val="22"/>
          <w:szCs w:val="22"/>
        </w:rPr>
        <w:t xml:space="preserve"> </w:t>
      </w:r>
      <w:r w:rsidRPr="00D96B51">
        <w:rPr>
          <w:rFonts w:asciiTheme="minorHAnsi" w:hAnsiTheme="minorHAnsi"/>
          <w:color w:val="auto"/>
          <w:sz w:val="22"/>
          <w:szCs w:val="22"/>
        </w:rPr>
        <w:t>(East Linton</w:t>
      </w:r>
      <w:r>
        <w:rPr>
          <w:rFonts w:asciiTheme="minorHAnsi" w:hAnsiTheme="minorHAnsi"/>
          <w:color w:val="auto"/>
          <w:sz w:val="22"/>
          <w:szCs w:val="22"/>
        </w:rPr>
        <w:t>: Tuckwell Press, 1999) 82-90.</w:t>
      </w:r>
    </w:p>
    <w:p w:rsidR="00D334C5" w:rsidRDefault="00D334C5" w:rsidP="00D334C5">
      <w:pPr>
        <w:pStyle w:val="Default"/>
        <w:rPr>
          <w:rFonts w:asciiTheme="minorHAnsi" w:hAnsiTheme="minorHAnsi"/>
          <w:color w:val="auto"/>
          <w:sz w:val="22"/>
          <w:szCs w:val="22"/>
        </w:rPr>
      </w:pPr>
    </w:p>
    <w:p w:rsidR="00BA4FE1" w:rsidRDefault="00BA4FE1" w:rsidP="00A9559F">
      <w:pPr>
        <w:spacing w:line="240" w:lineRule="auto"/>
        <w:rPr>
          <w:shd w:val="clear" w:color="auto" w:fill="FFFFFF"/>
        </w:rPr>
      </w:pPr>
      <w:r>
        <w:rPr>
          <w:shd w:val="clear" w:color="auto" w:fill="FFFFFF"/>
        </w:rPr>
        <w:t>Blackie, Sharon, ‘</w:t>
      </w:r>
      <w:r w:rsidRPr="009B3D18">
        <w:rPr>
          <w:shd w:val="clear" w:color="auto" w:fill="FFFFFF"/>
        </w:rPr>
        <w:t>The Otherworld in the Celtic Tradition</w:t>
      </w:r>
      <w:r>
        <w:rPr>
          <w:shd w:val="clear" w:color="auto" w:fill="FFFFFF"/>
        </w:rPr>
        <w:t xml:space="preserve">’, [Online]. Available:  </w:t>
      </w:r>
      <w:hyperlink r:id="rId15" w:history="1">
        <w:r w:rsidRPr="00597AD4">
          <w:rPr>
            <w:rStyle w:val="Hyperlink"/>
            <w:shd w:val="clear" w:color="auto" w:fill="FFFFFF"/>
          </w:rPr>
          <w:t>https://hedgewalking.org/2018/03/14/the-otherworld/</w:t>
        </w:r>
      </w:hyperlink>
      <w:r>
        <w:rPr>
          <w:shd w:val="clear" w:color="auto" w:fill="FFFFFF"/>
        </w:rPr>
        <w:t xml:space="preserve">  &lt;Accessed 14 March 2018&gt; </w:t>
      </w:r>
    </w:p>
    <w:p w:rsidR="00BA4FE1" w:rsidRDefault="00BA4FE1" w:rsidP="00A9559F">
      <w:pPr>
        <w:spacing w:line="240" w:lineRule="auto"/>
        <w:rPr>
          <w:shd w:val="clear" w:color="auto" w:fill="FFFFFF"/>
        </w:rPr>
      </w:pPr>
      <w:r>
        <w:rPr>
          <w:shd w:val="clear" w:color="auto" w:fill="FFFFFF"/>
        </w:rPr>
        <w:t xml:space="preserve">Blackie, Sharon, </w:t>
      </w:r>
      <w:r w:rsidRPr="009B3D18">
        <w:rPr>
          <w:shd w:val="clear" w:color="auto" w:fill="FFFFFF"/>
        </w:rPr>
        <w:t>‘Celebrating Spring: Spring Equinox and the Cailleach</w:t>
      </w:r>
      <w:r>
        <w:rPr>
          <w:shd w:val="clear" w:color="auto" w:fill="FFFFFF"/>
        </w:rPr>
        <w:t xml:space="preserve">’, [Online]. Available: </w:t>
      </w:r>
      <w:hyperlink r:id="rId16" w:history="1">
        <w:r w:rsidRPr="00597AD4">
          <w:rPr>
            <w:rStyle w:val="Hyperlink"/>
            <w:shd w:val="clear" w:color="auto" w:fill="FFFFFF"/>
          </w:rPr>
          <w:t>http://thehedgeschool.org/Blog/celebrating-spring-spring-equinox-and-the-cailleach/</w:t>
        </w:r>
      </w:hyperlink>
      <w:r>
        <w:rPr>
          <w:shd w:val="clear" w:color="auto" w:fill="FFFFFF"/>
        </w:rPr>
        <w:t xml:space="preserve"> &lt;Accessed 20 March 2018&gt; </w:t>
      </w:r>
    </w:p>
    <w:p w:rsidR="00BA4FE1" w:rsidRPr="0039632E" w:rsidRDefault="00BA4FE1" w:rsidP="00A9559F">
      <w:pPr>
        <w:shd w:val="clear" w:color="auto" w:fill="FFFFFF"/>
        <w:spacing w:line="240" w:lineRule="auto"/>
      </w:pPr>
      <w:r>
        <w:t xml:space="preserve">Bonwick, J., </w:t>
      </w:r>
      <w:r>
        <w:rPr>
          <w:i/>
        </w:rPr>
        <w:t>Irish Druids and Old Irish Religions,</w:t>
      </w:r>
      <w:r w:rsidRPr="008C0398">
        <w:t xml:space="preserve"> (London: Griffin, Farran, 1894)</w:t>
      </w:r>
      <w:r>
        <w:t>, available at</w:t>
      </w:r>
      <w:r w:rsidRPr="008C0398">
        <w:t xml:space="preserve">  </w:t>
      </w:r>
      <w:hyperlink r:id="rId17" w:history="1">
        <w:r w:rsidRPr="008C0398">
          <w:rPr>
            <w:rStyle w:val="Hyperlink"/>
          </w:rPr>
          <w:t>http://www.sacred-texts.com/pag/idr/index.htm</w:t>
        </w:r>
      </w:hyperlink>
      <w:r>
        <w:t xml:space="preserve">  &lt;Accessed </w:t>
      </w:r>
      <w:r w:rsidRPr="008C0398">
        <w:t>4</w:t>
      </w:r>
      <w:r>
        <w:t xml:space="preserve"> April 20</w:t>
      </w:r>
      <w:r w:rsidRPr="008C0398">
        <w:t>18&gt;</w:t>
      </w:r>
      <w:r>
        <w:rPr>
          <w:i/>
        </w:rPr>
        <w:t xml:space="preserve">  </w:t>
      </w:r>
    </w:p>
    <w:p w:rsidR="00BA4FE1" w:rsidRDefault="00BA4FE1" w:rsidP="00BA4FE1">
      <w:pPr>
        <w:autoSpaceDE w:val="0"/>
        <w:autoSpaceDN w:val="0"/>
        <w:adjustRightInd w:val="0"/>
        <w:spacing w:after="0" w:line="240" w:lineRule="auto"/>
        <w:rPr>
          <w:rFonts w:cs="GentiumBasic"/>
        </w:rPr>
      </w:pPr>
      <w:r>
        <w:rPr>
          <w:rFonts w:cs="GentiumBasic-Italic"/>
          <w:iCs/>
        </w:rPr>
        <w:lastRenderedPageBreak/>
        <w:t>Borsje, J.</w:t>
      </w:r>
      <w:r w:rsidRPr="009040C7">
        <w:rPr>
          <w:rFonts w:cs="GentiumBasic-Italic"/>
          <w:iCs/>
        </w:rPr>
        <w:t xml:space="preserve">, </w:t>
      </w:r>
      <w:r>
        <w:rPr>
          <w:rFonts w:cs="GentiumBasic-Italic"/>
          <w:iCs/>
        </w:rPr>
        <w:t>‘</w:t>
      </w:r>
      <w:r w:rsidRPr="00AE2626">
        <w:rPr>
          <w:rFonts w:cs="SerlioLH"/>
        </w:rPr>
        <w:t>Celtic Spells and Counterspells</w:t>
      </w:r>
      <w:r>
        <w:rPr>
          <w:rFonts w:cs="SerlioLH"/>
        </w:rPr>
        <w:t>’</w:t>
      </w:r>
      <w:r w:rsidRPr="00AE2626">
        <w:rPr>
          <w:rFonts w:cs="SerlioLH"/>
        </w:rPr>
        <w:t xml:space="preserve"> </w:t>
      </w:r>
      <w:r w:rsidRPr="009040C7">
        <w:rPr>
          <w:rFonts w:cs="SerlioLH"/>
        </w:rPr>
        <w:t xml:space="preserve">in </w:t>
      </w:r>
      <w:r w:rsidRPr="009040C7">
        <w:rPr>
          <w:rFonts w:cs="Futura-Book"/>
        </w:rPr>
        <w:t>Bergholm</w:t>
      </w:r>
      <w:r>
        <w:rPr>
          <w:rFonts w:cs="Futura-Book"/>
        </w:rPr>
        <w:t xml:space="preserve">, A., and </w:t>
      </w:r>
      <w:r w:rsidRPr="009040C7">
        <w:rPr>
          <w:rFonts w:cs="Futura-Book"/>
        </w:rPr>
        <w:t>Ritari</w:t>
      </w:r>
      <w:r>
        <w:rPr>
          <w:rFonts w:cs="Futura-Book"/>
        </w:rPr>
        <w:t xml:space="preserve">, K., </w:t>
      </w:r>
      <w:r w:rsidRPr="009040C7">
        <w:rPr>
          <w:rFonts w:cs="Futura-Book"/>
        </w:rPr>
        <w:t>ed</w:t>
      </w:r>
      <w:r>
        <w:rPr>
          <w:rFonts w:cs="Futura-Book"/>
        </w:rPr>
        <w:t xml:space="preserve">s, </w:t>
      </w:r>
      <w:r w:rsidRPr="00AE2626">
        <w:rPr>
          <w:rFonts w:cs="Lithos-Regular"/>
          <w:i/>
        </w:rPr>
        <w:t>New Approaches to Celtic Religion and Mythology:</w:t>
      </w:r>
      <w:r>
        <w:rPr>
          <w:rFonts w:cs="Lithos-Regular"/>
          <w:i/>
        </w:rPr>
        <w:t xml:space="preserve"> </w:t>
      </w:r>
      <w:r w:rsidRPr="00AE2626">
        <w:rPr>
          <w:rFonts w:cs="Futura-Book"/>
          <w:i/>
        </w:rPr>
        <w:t>Understanding Celtic Religion Revisiting the Pagan Past</w:t>
      </w:r>
      <w:r>
        <w:rPr>
          <w:rFonts w:cs="Futura-Book"/>
        </w:rPr>
        <w:t>, (</w:t>
      </w:r>
      <w:r w:rsidRPr="009040C7">
        <w:rPr>
          <w:rFonts w:cs="GentiumBasic"/>
        </w:rPr>
        <w:t>Cardiff</w:t>
      </w:r>
      <w:r>
        <w:rPr>
          <w:rFonts w:cs="GentiumBasic"/>
        </w:rPr>
        <w:t>:</w:t>
      </w:r>
      <w:r w:rsidRPr="009040C7">
        <w:rPr>
          <w:rFonts w:cs="GentiumBasic"/>
        </w:rPr>
        <w:t xml:space="preserve"> </w:t>
      </w:r>
      <w:r>
        <w:rPr>
          <w:rFonts w:cs="GentiumBasic"/>
        </w:rPr>
        <w:t>U</w:t>
      </w:r>
      <w:r w:rsidRPr="009040C7">
        <w:rPr>
          <w:rFonts w:cs="GentiumBasic"/>
        </w:rPr>
        <w:t xml:space="preserve">niversity of </w:t>
      </w:r>
      <w:r>
        <w:rPr>
          <w:rFonts w:cs="GentiumBasic"/>
        </w:rPr>
        <w:t>W</w:t>
      </w:r>
      <w:r w:rsidRPr="009040C7">
        <w:rPr>
          <w:rFonts w:cs="GentiumBasic"/>
        </w:rPr>
        <w:t xml:space="preserve">ales </w:t>
      </w:r>
      <w:r>
        <w:rPr>
          <w:rFonts w:cs="GentiumBasic"/>
        </w:rPr>
        <w:t>P</w:t>
      </w:r>
      <w:r w:rsidRPr="009040C7">
        <w:rPr>
          <w:rFonts w:cs="GentiumBasic"/>
        </w:rPr>
        <w:t>ress</w:t>
      </w:r>
      <w:r>
        <w:rPr>
          <w:rFonts w:cs="GentiumBasic"/>
        </w:rPr>
        <w:t>,</w:t>
      </w:r>
      <w:r w:rsidRPr="009040C7">
        <w:rPr>
          <w:rFonts w:cs="GentiumBasic"/>
        </w:rPr>
        <w:t xml:space="preserve"> 2015</w:t>
      </w:r>
      <w:r>
        <w:rPr>
          <w:rFonts w:cs="GentiumBasic"/>
        </w:rPr>
        <w:t xml:space="preserve">), available at </w:t>
      </w:r>
      <w:hyperlink r:id="rId18" w:history="1">
        <w:r w:rsidRPr="00092458">
          <w:rPr>
            <w:rStyle w:val="Hyperlink"/>
            <w:rFonts w:cs="GentiumBasic"/>
          </w:rPr>
          <w:t>https://www.academia.edu/19783791/Celtic_Spells_and_Counterspells</w:t>
        </w:r>
      </w:hyperlink>
      <w:r>
        <w:rPr>
          <w:rFonts w:cs="GentiumBasic"/>
        </w:rPr>
        <w:t xml:space="preserve">   &lt;Accessed 3 October 2017&gt;</w:t>
      </w:r>
    </w:p>
    <w:p w:rsidR="00BA4FE1" w:rsidRDefault="00BA4FE1" w:rsidP="00BA4FE1">
      <w:pPr>
        <w:autoSpaceDE w:val="0"/>
        <w:autoSpaceDN w:val="0"/>
        <w:adjustRightInd w:val="0"/>
        <w:spacing w:after="0" w:line="240" w:lineRule="auto"/>
        <w:rPr>
          <w:rFonts w:cs="GentiumBasic"/>
        </w:rPr>
      </w:pPr>
    </w:p>
    <w:p w:rsidR="00BA4FE1" w:rsidRDefault="00BA4FE1" w:rsidP="00BA4FE1">
      <w:pPr>
        <w:autoSpaceDE w:val="0"/>
        <w:autoSpaceDN w:val="0"/>
        <w:adjustRightInd w:val="0"/>
        <w:spacing w:after="0" w:line="240" w:lineRule="auto"/>
        <w:rPr>
          <w:shd w:val="clear" w:color="auto" w:fill="FFFFFF"/>
        </w:rPr>
      </w:pPr>
      <w:r>
        <w:rPr>
          <w:shd w:val="clear" w:color="auto" w:fill="FFFFFF"/>
        </w:rPr>
        <w:t xml:space="preserve">Breatnach, C., ‘The Transmission and Structure of </w:t>
      </w:r>
      <w:r>
        <w:rPr>
          <w:i/>
          <w:shd w:val="clear" w:color="auto" w:fill="FFFFFF"/>
        </w:rPr>
        <w:t xml:space="preserve">Immram Curaig Ua Corra’ </w:t>
      </w:r>
      <w:r>
        <w:rPr>
          <w:shd w:val="clear" w:color="auto" w:fill="FFFFFF"/>
        </w:rPr>
        <w:t xml:space="preserve">in Mc Cana.P. ed, </w:t>
      </w:r>
      <w:r>
        <w:rPr>
          <w:i/>
          <w:shd w:val="clear" w:color="auto" w:fill="FFFFFF"/>
        </w:rPr>
        <w:t>Ériu</w:t>
      </w:r>
      <w:r>
        <w:rPr>
          <w:shd w:val="clear" w:color="auto" w:fill="FFFFFF"/>
        </w:rPr>
        <w:t xml:space="preserve"> Vol LIII</w:t>
      </w:r>
      <w:r w:rsidR="005A456E">
        <w:rPr>
          <w:shd w:val="clear" w:color="auto" w:fill="FFFFFF"/>
        </w:rPr>
        <w:t xml:space="preserve">: </w:t>
      </w:r>
      <w:r>
        <w:rPr>
          <w:shd w:val="clear" w:color="auto" w:fill="FFFFFF"/>
        </w:rPr>
        <w:t>(Dublin: Royal Irish Academy, 2003)</w:t>
      </w:r>
      <w:r w:rsidR="005A456E">
        <w:rPr>
          <w:shd w:val="clear" w:color="auto" w:fill="FFFFFF"/>
        </w:rPr>
        <w:t>, 91-107</w:t>
      </w:r>
    </w:p>
    <w:p w:rsidR="00BA4FE1" w:rsidRDefault="00BA4FE1" w:rsidP="00BA4FE1">
      <w:pPr>
        <w:autoSpaceDE w:val="0"/>
        <w:autoSpaceDN w:val="0"/>
        <w:adjustRightInd w:val="0"/>
        <w:spacing w:after="0" w:line="240" w:lineRule="auto"/>
        <w:rPr>
          <w:shd w:val="clear" w:color="auto" w:fill="FFFFFF"/>
        </w:rPr>
      </w:pPr>
    </w:p>
    <w:p w:rsidR="00BA4FE1" w:rsidRPr="005C611F" w:rsidRDefault="00BA4FE1" w:rsidP="00A9559F">
      <w:pPr>
        <w:shd w:val="clear" w:color="auto" w:fill="FFFFFF"/>
        <w:spacing w:line="240" w:lineRule="auto"/>
        <w:ind w:right="150"/>
        <w:textAlignment w:val="top"/>
        <w:rPr>
          <w:rFonts w:cs="Times"/>
          <w:bCs/>
          <w:spacing w:val="3"/>
        </w:rPr>
      </w:pPr>
      <w:r>
        <w:rPr>
          <w:rFonts w:cs="GillSans"/>
        </w:rPr>
        <w:t xml:space="preserve">Bridgeman, A., and Ritari, K., eds. </w:t>
      </w:r>
      <w:r w:rsidRPr="00B73EFC">
        <w:rPr>
          <w:rFonts w:cs="GillSans"/>
          <w:i/>
        </w:rPr>
        <w:t>Understanding Celtic Religion: Revisiting the Pagan Past</w:t>
      </w:r>
      <w:r>
        <w:rPr>
          <w:rFonts w:cs="GillSans"/>
        </w:rPr>
        <w:t>, New Approaches to Celtic Religion and Mythology Series, (Cardiff: University of Wales, 2015)</w:t>
      </w:r>
    </w:p>
    <w:p w:rsidR="00BA4FE1" w:rsidRDefault="00BA4FE1" w:rsidP="00A9559F">
      <w:pPr>
        <w:spacing w:line="240" w:lineRule="auto"/>
      </w:pPr>
      <w:r w:rsidRPr="00B41348">
        <w:t>Brown, Patrick,</w:t>
      </w:r>
      <w:r>
        <w:rPr>
          <w:color w:val="FF0000"/>
        </w:rPr>
        <w:t xml:space="preserve"> ‘</w:t>
      </w:r>
      <w:r w:rsidRPr="00B8639A">
        <w:t>The Taking of the Sid Mound</w:t>
      </w:r>
      <w:r>
        <w:t>’</w:t>
      </w:r>
      <w:r>
        <w:rPr>
          <w:color w:val="FF0000"/>
        </w:rPr>
        <w:t xml:space="preserve"> </w:t>
      </w:r>
      <w:r w:rsidRPr="00B8639A">
        <w:t>[Online]</w:t>
      </w:r>
      <w:r>
        <w:rPr>
          <w:color w:val="FF0000"/>
        </w:rPr>
        <w:t xml:space="preserve"> </w:t>
      </w:r>
      <w:hyperlink r:id="rId19" w:history="1">
        <w:r w:rsidRPr="00C51CF8">
          <w:rPr>
            <w:rStyle w:val="Hyperlink"/>
          </w:rPr>
          <w:t>https://ulstercycle.wordpress.com/2009/11/07/the-taking-of-the-sid-mound/</w:t>
        </w:r>
      </w:hyperlink>
      <w:r>
        <w:t xml:space="preserve">  &lt;Accessed 5 March 2018&gt;</w:t>
      </w:r>
    </w:p>
    <w:p w:rsidR="00BA4FE1" w:rsidRPr="0045403C" w:rsidRDefault="00BA4FE1" w:rsidP="00BA4FE1">
      <w:pPr>
        <w:rPr>
          <w:color w:val="548DD4" w:themeColor="text2" w:themeTint="99"/>
          <w:shd w:val="clear" w:color="auto" w:fill="FFFFFF"/>
        </w:rPr>
      </w:pPr>
      <w:r w:rsidRPr="00B41348">
        <w:t xml:space="preserve">Campion, N., </w:t>
      </w:r>
      <w:r>
        <w:t>‘</w:t>
      </w:r>
      <w:r w:rsidRPr="00B41348">
        <w:t>Review of Fiery Shapes: Celestial Portents and Astrology in Ireland and Wales 700–1700. Mark Williams</w:t>
      </w:r>
      <w:r>
        <w:t>’</w:t>
      </w:r>
      <w:r w:rsidRPr="00B41348">
        <w:t xml:space="preserve"> In </w:t>
      </w:r>
      <w:r w:rsidRPr="00B41348">
        <w:rPr>
          <w:i/>
        </w:rPr>
        <w:t xml:space="preserve">Journal for the History of Astronomy </w:t>
      </w:r>
      <w:r w:rsidRPr="00B41348">
        <w:t xml:space="preserve">Vo1 43 </w:t>
      </w:r>
      <w:r>
        <w:t>(3), (</w:t>
      </w:r>
      <w:r w:rsidRPr="00B41348">
        <w:t>2011</w:t>
      </w:r>
      <w:r>
        <w:t>)</w:t>
      </w:r>
      <w:r w:rsidRPr="00B41348">
        <w:t xml:space="preserve"> (Oxford</w:t>
      </w:r>
      <w:r>
        <w:t>: Oxford University Press,</w:t>
      </w:r>
      <w:r w:rsidRPr="00B41348">
        <w:t xml:space="preserve"> 2010)</w:t>
      </w:r>
      <w:r w:rsidRPr="0045403C">
        <w:rPr>
          <w:color w:val="548DD4" w:themeColor="text2" w:themeTint="99"/>
        </w:rPr>
        <w:t xml:space="preserve">. </w:t>
      </w:r>
    </w:p>
    <w:p w:rsidR="00BA4FE1" w:rsidRDefault="00BA4FE1" w:rsidP="00A9559F">
      <w:pPr>
        <w:spacing w:line="240" w:lineRule="auto"/>
        <w:rPr>
          <w:shd w:val="clear" w:color="auto" w:fill="FFFFFF"/>
        </w:rPr>
      </w:pPr>
      <w:r>
        <w:rPr>
          <w:shd w:val="clear" w:color="auto" w:fill="FFFFFF"/>
        </w:rPr>
        <w:t xml:space="preserve">Carey, J., ‘Time, Space and the Otherworld’, </w:t>
      </w:r>
      <w:r>
        <w:rPr>
          <w:i/>
          <w:shd w:val="clear" w:color="auto" w:fill="FFFFFF"/>
        </w:rPr>
        <w:t xml:space="preserve">Proceedings of the Harvard Celtic Colloqium </w:t>
      </w:r>
      <w:r w:rsidRPr="00BD3AF5">
        <w:rPr>
          <w:shd w:val="clear" w:color="auto" w:fill="FFFFFF"/>
        </w:rPr>
        <w:t>7:</w:t>
      </w:r>
      <w:r>
        <w:rPr>
          <w:shd w:val="clear" w:color="auto" w:fill="FFFFFF"/>
        </w:rPr>
        <w:t xml:space="preserve"> (1987), 1-27.</w:t>
      </w:r>
    </w:p>
    <w:p w:rsidR="00BA4FE1" w:rsidRDefault="00BA4FE1" w:rsidP="00A9559F">
      <w:pPr>
        <w:shd w:val="clear" w:color="auto" w:fill="FFFFFF"/>
        <w:spacing w:line="240" w:lineRule="auto"/>
      </w:pPr>
      <w:r>
        <w:rPr>
          <w:shd w:val="clear" w:color="auto" w:fill="FFFFFF"/>
        </w:rPr>
        <w:t>Carey, J., ‘</w:t>
      </w:r>
      <w:r w:rsidRPr="008C0398">
        <w:rPr>
          <w:shd w:val="clear" w:color="auto" w:fill="FFFFFF"/>
        </w:rPr>
        <w:t>The Old Gods of Ireland in the Later Middle Ages</w:t>
      </w:r>
      <w:r>
        <w:rPr>
          <w:shd w:val="clear" w:color="auto" w:fill="FFFFFF"/>
        </w:rPr>
        <w:t>’</w:t>
      </w:r>
      <w:r>
        <w:rPr>
          <w:i/>
          <w:shd w:val="clear" w:color="auto" w:fill="FFFFFF"/>
        </w:rPr>
        <w:t xml:space="preserve"> </w:t>
      </w:r>
      <w:r>
        <w:rPr>
          <w:shd w:val="clear" w:color="auto" w:fill="FFFFFF"/>
        </w:rPr>
        <w:t xml:space="preserve">in </w:t>
      </w:r>
      <w:r w:rsidRPr="003235EF">
        <w:rPr>
          <w:rFonts w:cs="Futura-Book"/>
        </w:rPr>
        <w:t>Bergholm</w:t>
      </w:r>
      <w:r>
        <w:rPr>
          <w:rFonts w:cs="Futura-Book"/>
        </w:rPr>
        <w:t xml:space="preserve">, A., and  </w:t>
      </w:r>
      <w:r w:rsidRPr="003235EF">
        <w:rPr>
          <w:rFonts w:cs="Futura-Book"/>
        </w:rPr>
        <w:t>Ritari</w:t>
      </w:r>
      <w:r>
        <w:rPr>
          <w:rFonts w:cs="Futura-Book"/>
        </w:rPr>
        <w:t>, K., eds,</w:t>
      </w:r>
      <w:r w:rsidRPr="003235EF">
        <w:rPr>
          <w:rFonts w:cs="Futura-Book"/>
        </w:rPr>
        <w:t xml:space="preserve"> </w:t>
      </w:r>
      <w:r w:rsidRPr="008C0398">
        <w:rPr>
          <w:rFonts w:cs="Lithos-Regular"/>
          <w:i/>
        </w:rPr>
        <w:t xml:space="preserve">New Approaches to Celtic Religion and Mythology: </w:t>
      </w:r>
      <w:r w:rsidRPr="008C0398">
        <w:rPr>
          <w:rFonts w:cs="Futura-Book"/>
          <w:i/>
        </w:rPr>
        <w:t>Understanding Celtic Religion Revisiting the Pagan Past</w:t>
      </w:r>
      <w:r>
        <w:rPr>
          <w:rFonts w:cs="Futura-Book"/>
        </w:rPr>
        <w:t>. (</w:t>
      </w:r>
      <w:r w:rsidRPr="003235EF">
        <w:rPr>
          <w:rFonts w:cs="GentiumBasic"/>
        </w:rPr>
        <w:t>Cardiff</w:t>
      </w:r>
      <w:r>
        <w:rPr>
          <w:rFonts w:cs="GentiumBasic"/>
        </w:rPr>
        <w:t>: U</w:t>
      </w:r>
      <w:r w:rsidRPr="003235EF">
        <w:rPr>
          <w:rFonts w:cs="GentiumBasic"/>
        </w:rPr>
        <w:t>niversity of</w:t>
      </w:r>
      <w:r>
        <w:rPr>
          <w:rFonts w:cs="GentiumBasic"/>
        </w:rPr>
        <w:t xml:space="preserve"> W</w:t>
      </w:r>
      <w:r w:rsidRPr="003235EF">
        <w:rPr>
          <w:rFonts w:cs="GentiumBasic"/>
        </w:rPr>
        <w:t xml:space="preserve">ales </w:t>
      </w:r>
      <w:r>
        <w:rPr>
          <w:rFonts w:cs="GentiumBasic"/>
        </w:rPr>
        <w:t>P</w:t>
      </w:r>
      <w:r w:rsidRPr="003235EF">
        <w:rPr>
          <w:rFonts w:cs="GentiumBasic"/>
        </w:rPr>
        <w:t>ress</w:t>
      </w:r>
      <w:r>
        <w:rPr>
          <w:rFonts w:cs="GentiumBasic"/>
        </w:rPr>
        <w:t>,</w:t>
      </w:r>
      <w:r w:rsidRPr="003235EF">
        <w:rPr>
          <w:rFonts w:cs="GentiumBasic"/>
        </w:rPr>
        <w:t xml:space="preserve"> 2015</w:t>
      </w:r>
      <w:r>
        <w:rPr>
          <w:rFonts w:cs="GentiumBasic"/>
        </w:rPr>
        <w:t>), available at</w:t>
      </w:r>
      <w:r w:rsidRPr="003235EF">
        <w:t xml:space="preserve"> </w:t>
      </w:r>
      <w:hyperlink r:id="rId20" w:history="1">
        <w:r w:rsidRPr="00597AD4">
          <w:rPr>
            <w:rStyle w:val="Hyperlink"/>
            <w:rFonts w:cs="GentiumBasic"/>
          </w:rPr>
          <w:t>https://www-dawsonera-com.ezproxy.uwtsd.ac.uk/readonline/9781783167937</w:t>
        </w:r>
      </w:hyperlink>
      <w:r>
        <w:rPr>
          <w:rFonts w:cs="GentiumBasic"/>
        </w:rPr>
        <w:t xml:space="preserve">  </w:t>
      </w:r>
      <w:r>
        <w:t>&lt;Accessed 28 March 2018&gt;</w:t>
      </w:r>
    </w:p>
    <w:p w:rsidR="00BA4FE1" w:rsidRPr="00BE743F" w:rsidRDefault="00BA4FE1" w:rsidP="00A9559F">
      <w:pPr>
        <w:spacing w:line="240" w:lineRule="auto"/>
      </w:pPr>
      <w:r>
        <w:t>Carney, J.</w:t>
      </w:r>
      <w:r w:rsidRPr="00BE743F">
        <w:t xml:space="preserve">, </w:t>
      </w:r>
      <w:r>
        <w:t>‘Review of</w:t>
      </w:r>
      <w:r>
        <w:rPr>
          <w:i/>
        </w:rPr>
        <w:t xml:space="preserve"> Navigatio Sancti Brendani Abbatis’, </w:t>
      </w:r>
      <w:r w:rsidRPr="008C0398">
        <w:t xml:space="preserve">in </w:t>
      </w:r>
      <w:r>
        <w:t xml:space="preserve"> Wooding, J.M., ed, </w:t>
      </w:r>
      <w:r>
        <w:rPr>
          <w:i/>
        </w:rPr>
        <w:t>The Otherworld Journey in Early Irish Literature</w:t>
      </w:r>
      <w:r>
        <w:t>, (Dublin: Four Courts Press, 2000)</w:t>
      </w:r>
    </w:p>
    <w:p w:rsidR="00BA4FE1" w:rsidRDefault="00BA4FE1" w:rsidP="00BA4FE1">
      <w:pPr>
        <w:rPr>
          <w:shd w:val="clear" w:color="auto" w:fill="FFFFFF"/>
        </w:rPr>
      </w:pPr>
      <w:r>
        <w:rPr>
          <w:shd w:val="clear" w:color="auto" w:fill="FFFFFF"/>
        </w:rPr>
        <w:t>Chadwick, N.</w:t>
      </w:r>
      <w:r w:rsidRPr="00C34832">
        <w:rPr>
          <w:shd w:val="clear" w:color="auto" w:fill="FFFFFF"/>
        </w:rPr>
        <w:t xml:space="preserve">, </w:t>
      </w:r>
      <w:r w:rsidRPr="00C34832">
        <w:rPr>
          <w:i/>
          <w:shd w:val="clear" w:color="auto" w:fill="FFFFFF"/>
        </w:rPr>
        <w:t>The Celts</w:t>
      </w:r>
      <w:r>
        <w:rPr>
          <w:i/>
          <w:shd w:val="clear" w:color="auto" w:fill="FFFFFF"/>
        </w:rPr>
        <w:t>,</w:t>
      </w:r>
      <w:r w:rsidRPr="00C34832">
        <w:rPr>
          <w:shd w:val="clear" w:color="auto" w:fill="FFFFFF"/>
        </w:rPr>
        <w:t xml:space="preserve"> 2</w:t>
      </w:r>
      <w:r w:rsidRPr="00C34832">
        <w:rPr>
          <w:shd w:val="clear" w:color="auto" w:fill="FFFFFF"/>
          <w:vertAlign w:val="superscript"/>
        </w:rPr>
        <w:t>nd</w:t>
      </w:r>
      <w:r w:rsidRPr="00C34832">
        <w:rPr>
          <w:shd w:val="clear" w:color="auto" w:fill="FFFFFF"/>
        </w:rPr>
        <w:t xml:space="preserve"> edn</w:t>
      </w:r>
      <w:r>
        <w:rPr>
          <w:shd w:val="clear" w:color="auto" w:fill="FFFFFF"/>
        </w:rPr>
        <w:t>,</w:t>
      </w:r>
      <w:r w:rsidRPr="00C34832">
        <w:rPr>
          <w:shd w:val="clear" w:color="auto" w:fill="FFFFFF"/>
        </w:rPr>
        <w:t xml:space="preserve"> (London: Penguin, 1997)</w:t>
      </w:r>
    </w:p>
    <w:p w:rsidR="00BA4FE1" w:rsidRPr="00C34832" w:rsidRDefault="00BA4FE1" w:rsidP="00BA4FE1">
      <w:pPr>
        <w:rPr>
          <w:shd w:val="clear" w:color="auto" w:fill="FFFFFF"/>
        </w:rPr>
      </w:pPr>
      <w:r>
        <w:t xml:space="preserve">Chadwick, N., </w:t>
      </w:r>
      <w:r w:rsidRPr="00E122F0">
        <w:rPr>
          <w:i/>
        </w:rPr>
        <w:t>The Druids</w:t>
      </w:r>
      <w:r>
        <w:rPr>
          <w:i/>
        </w:rPr>
        <w:t xml:space="preserve"> </w:t>
      </w:r>
      <w:r w:rsidRPr="00DE7D24">
        <w:t>2</w:t>
      </w:r>
      <w:r w:rsidRPr="00DE7D24">
        <w:rPr>
          <w:vertAlign w:val="superscript"/>
        </w:rPr>
        <w:t>nd</w:t>
      </w:r>
      <w:r w:rsidRPr="00DE7D24">
        <w:t xml:space="preserve"> edn,</w:t>
      </w:r>
      <w:r>
        <w:t xml:space="preserve"> (Cardiff: University of Wales Press, 1997)</w:t>
      </w:r>
    </w:p>
    <w:p w:rsidR="00BA4FE1" w:rsidRPr="00C34832" w:rsidRDefault="00BA4FE1" w:rsidP="00BA4FE1">
      <w:r w:rsidRPr="00C34832">
        <w:rPr>
          <w:rStyle w:val="instancename"/>
          <w:rFonts w:cs="Arial"/>
          <w:shd w:val="clear" w:color="auto" w:fill="FFFFFF"/>
        </w:rPr>
        <w:t xml:space="preserve">Charles-Edwards, T., </w:t>
      </w:r>
      <w:r>
        <w:rPr>
          <w:rStyle w:val="instancename"/>
          <w:rFonts w:cs="Arial"/>
          <w:shd w:val="clear" w:color="auto" w:fill="FFFFFF"/>
        </w:rPr>
        <w:t>‘</w:t>
      </w:r>
      <w:r w:rsidRPr="00C34832">
        <w:rPr>
          <w:rStyle w:val="instancename"/>
          <w:rFonts w:cs="Arial"/>
          <w:shd w:val="clear" w:color="auto" w:fill="FFFFFF"/>
        </w:rPr>
        <w:t xml:space="preserve">The Social Background to Irish </w:t>
      </w:r>
      <w:r w:rsidRPr="00DE7D24">
        <w:rPr>
          <w:rStyle w:val="instancename"/>
          <w:rFonts w:cs="Arial"/>
          <w:i/>
          <w:shd w:val="clear" w:color="auto" w:fill="FFFFFF"/>
        </w:rPr>
        <w:t>Peregrinatio</w:t>
      </w:r>
      <w:r>
        <w:rPr>
          <w:rStyle w:val="instancename"/>
          <w:rFonts w:cs="Arial"/>
          <w:shd w:val="clear" w:color="auto" w:fill="FFFFFF"/>
        </w:rPr>
        <w:t>’</w:t>
      </w:r>
      <w:r w:rsidRPr="00C34832">
        <w:rPr>
          <w:rStyle w:val="instancename"/>
          <w:rFonts w:cs="Arial"/>
          <w:shd w:val="clear" w:color="auto" w:fill="FFFFFF"/>
        </w:rPr>
        <w:t xml:space="preserve">, </w:t>
      </w:r>
      <w:r w:rsidRPr="00C34832">
        <w:rPr>
          <w:rStyle w:val="instancename"/>
          <w:rFonts w:cs="Arial"/>
          <w:i/>
          <w:shd w:val="clear" w:color="auto" w:fill="FFFFFF"/>
        </w:rPr>
        <w:t>Celtica</w:t>
      </w:r>
      <w:r w:rsidRPr="00C34832">
        <w:rPr>
          <w:rStyle w:val="instancename"/>
          <w:rFonts w:cs="Arial"/>
          <w:shd w:val="clear" w:color="auto" w:fill="FFFFFF"/>
        </w:rPr>
        <w:t xml:space="preserve"> </w:t>
      </w:r>
      <w:r w:rsidRPr="00DE7D24">
        <w:rPr>
          <w:rStyle w:val="instancename"/>
          <w:rFonts w:cs="Arial"/>
          <w:shd w:val="clear" w:color="auto" w:fill="FFFFFF"/>
        </w:rPr>
        <w:t>11:</w:t>
      </w:r>
      <w:r w:rsidRPr="00C34832">
        <w:rPr>
          <w:rStyle w:val="instancename"/>
          <w:rFonts w:cs="Arial"/>
          <w:shd w:val="clear" w:color="auto" w:fill="FFFFFF"/>
        </w:rPr>
        <w:t xml:space="preserve"> (1976), 43-59</w:t>
      </w:r>
    </w:p>
    <w:p w:rsidR="00BA4FE1" w:rsidRPr="0021402D" w:rsidRDefault="00BA4FE1" w:rsidP="00BA4FE1">
      <w:pPr>
        <w:rPr>
          <w:shd w:val="clear" w:color="auto" w:fill="FFFFFF"/>
        </w:rPr>
      </w:pPr>
      <w:r>
        <w:rPr>
          <w:shd w:val="clear" w:color="auto" w:fill="FFFFFF"/>
        </w:rPr>
        <w:t xml:space="preserve">Charles-Edwards, T.M., </w:t>
      </w:r>
      <w:r w:rsidRPr="0021402D">
        <w:rPr>
          <w:i/>
          <w:shd w:val="clear" w:color="auto" w:fill="FFFFFF"/>
        </w:rPr>
        <w:t>Early Christian Ireland</w:t>
      </w:r>
      <w:r>
        <w:rPr>
          <w:i/>
          <w:shd w:val="clear" w:color="auto" w:fill="FFFFFF"/>
        </w:rPr>
        <w:t xml:space="preserve">, </w:t>
      </w:r>
      <w:r>
        <w:rPr>
          <w:shd w:val="clear" w:color="auto" w:fill="FFFFFF"/>
        </w:rPr>
        <w:t>(Cambridge: Cambridge University Press, 2000)</w:t>
      </w:r>
    </w:p>
    <w:p w:rsidR="00BA4FE1" w:rsidRDefault="00BA4FE1" w:rsidP="00A9559F">
      <w:pPr>
        <w:spacing w:line="240" w:lineRule="auto"/>
      </w:pPr>
      <w:r w:rsidRPr="008832DF">
        <w:t xml:space="preserve"> Creighton</w:t>
      </w:r>
      <w:r>
        <w:t>, J.,</w:t>
      </w:r>
      <w:r w:rsidRPr="008832DF">
        <w:t xml:space="preserve"> </w:t>
      </w:r>
      <w:r>
        <w:t>‘</w:t>
      </w:r>
      <w:r w:rsidRPr="008832DF">
        <w:t>Visions of Power: Imagery and Symbols in Late Iron Age Britain</w:t>
      </w:r>
      <w:r>
        <w:t xml:space="preserve">’, </w:t>
      </w:r>
      <w:r w:rsidRPr="00B747A4">
        <w:rPr>
          <w:i/>
        </w:rPr>
        <w:t>Britannia</w:t>
      </w:r>
      <w:r>
        <w:t xml:space="preserve">, </w:t>
      </w:r>
      <w:r w:rsidRPr="008832DF">
        <w:t>26</w:t>
      </w:r>
      <w:r>
        <w:t xml:space="preserve">: (1995) </w:t>
      </w:r>
      <w:r w:rsidRPr="008832DF">
        <w:t>285-301</w:t>
      </w:r>
      <w:r>
        <w:t xml:space="preserve">. [Online: </w:t>
      </w:r>
      <w:r w:rsidRPr="00B747A4">
        <w:rPr>
          <w:color w:val="548DD4" w:themeColor="text2" w:themeTint="99"/>
        </w:rPr>
        <w:t>http://www.jstor.org/stable/526880</w:t>
      </w:r>
      <w:r>
        <w:t xml:space="preserve">] &lt;Accessed: </w:t>
      </w:r>
      <w:r w:rsidRPr="008832DF">
        <w:t>7</w:t>
      </w:r>
      <w:r>
        <w:t xml:space="preserve"> January </w:t>
      </w:r>
      <w:r w:rsidRPr="008832DF">
        <w:t>2018</w:t>
      </w:r>
      <w:r>
        <w:t>&gt;</w:t>
      </w:r>
    </w:p>
    <w:p w:rsidR="00BA4FE1" w:rsidRPr="00DB5244" w:rsidRDefault="00BA4FE1" w:rsidP="00BA4FE1">
      <w:r>
        <w:t xml:space="preserve">Cunliffe, B., </w:t>
      </w:r>
      <w:r>
        <w:rPr>
          <w:i/>
        </w:rPr>
        <w:t xml:space="preserve">Facing the Ocean: The Atlantic and it Peoples, </w:t>
      </w:r>
      <w:r>
        <w:t>(Oxford: Oxford University Press, 2001)</w:t>
      </w:r>
    </w:p>
    <w:tbl>
      <w:tblPr>
        <w:tblW w:w="5000" w:type="pct"/>
        <w:jc w:val="center"/>
        <w:tblCellSpacing w:w="0" w:type="dxa"/>
        <w:shd w:val="clear" w:color="auto" w:fill="FFFFFF"/>
        <w:tblCellMar>
          <w:top w:w="30" w:type="dxa"/>
          <w:left w:w="30" w:type="dxa"/>
          <w:bottom w:w="30" w:type="dxa"/>
          <w:right w:w="30" w:type="dxa"/>
        </w:tblCellMar>
        <w:tblLook w:val="04A0" w:firstRow="1" w:lastRow="0" w:firstColumn="1" w:lastColumn="0" w:noHBand="0" w:noVBand="1"/>
      </w:tblPr>
      <w:tblGrid>
        <w:gridCol w:w="8959"/>
        <w:gridCol w:w="127"/>
      </w:tblGrid>
      <w:tr w:rsidR="00BA4FE1" w:rsidRPr="00BF7A2C" w:rsidTr="00A77774">
        <w:trPr>
          <w:trHeight w:val="285"/>
          <w:tblCellSpacing w:w="0" w:type="dxa"/>
          <w:jc w:val="center"/>
        </w:trPr>
        <w:tc>
          <w:tcPr>
            <w:tcW w:w="4930" w:type="pct"/>
            <w:shd w:val="clear" w:color="auto" w:fill="FFFFFF"/>
            <w:hideMark/>
          </w:tcPr>
          <w:p w:rsidR="00BA4FE1" w:rsidRPr="00BF7A2C" w:rsidRDefault="00BA4FE1" w:rsidP="00A9559F">
            <w:pPr>
              <w:spacing w:before="100" w:beforeAutospacing="1" w:after="100" w:afterAutospacing="1" w:line="240" w:lineRule="auto"/>
              <w:rPr>
                <w:rFonts w:eastAsia="Times New Roman" w:cs="Times New Roman"/>
                <w:color w:val="000000"/>
                <w:lang w:eastAsia="en-GB"/>
              </w:rPr>
            </w:pPr>
            <w:r w:rsidRPr="002D21A1">
              <w:rPr>
                <w:rFonts w:eastAsia="Times New Roman" w:cs="Arial"/>
                <w:bCs/>
                <w:lang w:eastAsia="en-GB"/>
              </w:rPr>
              <w:t xml:space="preserve">Dillon, M., and Chadwick, N., ‘Celtic Religion and Mythology and the Literature of the Otherworld’ in </w:t>
            </w:r>
            <w:r w:rsidRPr="002D21A1">
              <w:rPr>
                <w:rFonts w:eastAsia="Times New Roman" w:cs="Arial"/>
                <w:bCs/>
                <w:i/>
                <w:iCs/>
                <w:lang w:eastAsia="en-GB"/>
              </w:rPr>
              <w:t>The Celtic Realms </w:t>
            </w:r>
            <w:r w:rsidRPr="002D21A1">
              <w:rPr>
                <w:rFonts w:eastAsia="Times New Roman" w:cs="Arial"/>
                <w:bCs/>
                <w:lang w:eastAsia="en-GB"/>
              </w:rPr>
              <w:t>[History and Civilisation], (London: Weidenfeld &amp; Nicholson 1967) Chap. 7, available at</w:t>
            </w:r>
            <w:r w:rsidRPr="00BF7A2C">
              <w:rPr>
                <w:rFonts w:eastAsia="Times New Roman" w:cs="Times New Roman"/>
                <w:color w:val="000000"/>
                <w:lang w:eastAsia="en-GB"/>
              </w:rPr>
              <w:t> </w:t>
            </w:r>
            <w:hyperlink r:id="rId21" w:history="1">
              <w:r w:rsidRPr="00BF7A2C">
                <w:rPr>
                  <w:rStyle w:val="Hyperlink"/>
                  <w:rFonts w:eastAsia="Times New Roman" w:cs="Times New Roman"/>
                  <w:lang w:eastAsia="en-GB"/>
                </w:rPr>
                <w:t>http://www.ricorso.net/rx/library/criticism/classic/Celtiana/Dillon_M/C_Realms/C_Realms03.htm</w:t>
              </w:r>
            </w:hyperlink>
            <w:r w:rsidRPr="00BF7A2C">
              <w:t xml:space="preserve"> &lt;A</w:t>
            </w:r>
            <w:r w:rsidRPr="00BF7A2C">
              <w:rPr>
                <w:rFonts w:eastAsia="Times New Roman" w:cs="Times New Roman"/>
                <w:color w:val="000000"/>
                <w:lang w:eastAsia="en-GB"/>
              </w:rPr>
              <w:t>ccessed 22</w:t>
            </w:r>
            <w:r>
              <w:rPr>
                <w:rFonts w:eastAsia="Times New Roman" w:cs="Times New Roman"/>
                <w:color w:val="000000"/>
                <w:lang w:eastAsia="en-GB"/>
              </w:rPr>
              <w:t xml:space="preserve"> January 20</w:t>
            </w:r>
            <w:r w:rsidRPr="00BF7A2C">
              <w:rPr>
                <w:rFonts w:eastAsia="Times New Roman" w:cs="Times New Roman"/>
                <w:color w:val="000000"/>
                <w:lang w:eastAsia="en-GB"/>
              </w:rPr>
              <w:t xml:space="preserve">18&gt; </w:t>
            </w:r>
          </w:p>
        </w:tc>
        <w:tc>
          <w:tcPr>
            <w:tcW w:w="70" w:type="pct"/>
            <w:shd w:val="clear" w:color="auto" w:fill="FFFFFF"/>
            <w:hideMark/>
          </w:tcPr>
          <w:p w:rsidR="00BA4FE1" w:rsidRPr="00BF7A2C" w:rsidRDefault="00BA4FE1" w:rsidP="00A9559F">
            <w:pPr>
              <w:spacing w:after="0" w:line="240" w:lineRule="auto"/>
              <w:jc w:val="center"/>
              <w:rPr>
                <w:rFonts w:eastAsia="Times New Roman" w:cs="Times New Roman"/>
                <w:lang w:eastAsia="en-GB"/>
              </w:rPr>
            </w:pPr>
            <w:r w:rsidRPr="00BF7A2C">
              <w:rPr>
                <w:rFonts w:eastAsia="Times New Roman" w:cs="Times New Roman"/>
                <w:lang w:eastAsia="en-GB"/>
              </w:rPr>
              <w:t>[</w:t>
            </w:r>
          </w:p>
        </w:tc>
      </w:tr>
    </w:tbl>
    <w:p w:rsidR="00BA4FE1" w:rsidRDefault="00BA4FE1" w:rsidP="00BA4FE1">
      <w:pPr>
        <w:autoSpaceDE w:val="0"/>
        <w:autoSpaceDN w:val="0"/>
        <w:adjustRightInd w:val="0"/>
        <w:spacing w:after="0" w:line="240" w:lineRule="auto"/>
        <w:rPr>
          <w:rFonts w:cs="Times New Roman"/>
        </w:rPr>
      </w:pPr>
    </w:p>
    <w:p w:rsidR="00BA4FE1" w:rsidRPr="00E122F0" w:rsidRDefault="00BA4FE1" w:rsidP="00BA4FE1">
      <w:pPr>
        <w:autoSpaceDE w:val="0"/>
        <w:autoSpaceDN w:val="0"/>
        <w:adjustRightInd w:val="0"/>
        <w:spacing w:after="0" w:line="240" w:lineRule="auto"/>
        <w:rPr>
          <w:rFonts w:cs="Georgia"/>
        </w:rPr>
      </w:pPr>
      <w:r w:rsidRPr="00E122F0">
        <w:rPr>
          <w:rFonts w:cs="Times New Roman"/>
        </w:rPr>
        <w:t>Duignan, L</w:t>
      </w:r>
      <w:r>
        <w:rPr>
          <w:rFonts w:cs="Times New Roman"/>
        </w:rPr>
        <w:t xml:space="preserve">., </w:t>
      </w:r>
      <w:r w:rsidRPr="00B61DD8">
        <w:rPr>
          <w:rFonts w:cs="Times New Roman"/>
        </w:rPr>
        <w:t>T</w:t>
      </w:r>
      <w:r w:rsidRPr="00B61DD8">
        <w:rPr>
          <w:rFonts w:cs="Georgia"/>
        </w:rPr>
        <w:t xml:space="preserve">he </w:t>
      </w:r>
      <w:r w:rsidRPr="00B61DD8">
        <w:rPr>
          <w:rFonts w:cs="Times New Roman"/>
          <w:bCs/>
          <w:iCs/>
        </w:rPr>
        <w:t xml:space="preserve">Echtrae </w:t>
      </w:r>
      <w:r w:rsidRPr="00B61DD8">
        <w:rPr>
          <w:rFonts w:cs="Georgia"/>
        </w:rPr>
        <w:t>as an Early Irish Literary Genre</w:t>
      </w:r>
      <w:r>
        <w:rPr>
          <w:rFonts w:cs="Georgia"/>
        </w:rPr>
        <w:t>, (unpublished PhD,</w:t>
      </w:r>
      <w:r w:rsidRPr="00B61DD8">
        <w:rPr>
          <w:rFonts w:cs="Times New Roman"/>
        </w:rPr>
        <w:t xml:space="preserve"> </w:t>
      </w:r>
      <w:r>
        <w:rPr>
          <w:rFonts w:cs="Times New Roman"/>
        </w:rPr>
        <w:t xml:space="preserve">The National University of Ireland, </w:t>
      </w:r>
      <w:r w:rsidRPr="00E122F0">
        <w:rPr>
          <w:rFonts w:cs="Times New Roman"/>
        </w:rPr>
        <w:t>Maynooth</w:t>
      </w:r>
      <w:r>
        <w:rPr>
          <w:rFonts w:cs="Times New Roman"/>
        </w:rPr>
        <w:t>, 2010).</w:t>
      </w:r>
    </w:p>
    <w:p w:rsidR="00BA4FE1" w:rsidRPr="00E122F0" w:rsidRDefault="00BA4FE1" w:rsidP="00BA4FE1">
      <w:pPr>
        <w:autoSpaceDE w:val="0"/>
        <w:autoSpaceDN w:val="0"/>
        <w:adjustRightInd w:val="0"/>
        <w:spacing w:after="0" w:line="240" w:lineRule="auto"/>
        <w:rPr>
          <w:rFonts w:cs="Times New Roman"/>
        </w:rPr>
      </w:pPr>
    </w:p>
    <w:p w:rsidR="00BA4FE1" w:rsidRDefault="00BA4FE1" w:rsidP="00BA4FE1">
      <w:r w:rsidRPr="002444CA">
        <w:lastRenderedPageBreak/>
        <w:t>Duignan,</w:t>
      </w:r>
      <w:r>
        <w:t xml:space="preserve"> L.,</w:t>
      </w:r>
      <w:r w:rsidRPr="002444CA">
        <w:t xml:space="preserve"> </w:t>
      </w:r>
      <w:r w:rsidRPr="0029581F">
        <w:rPr>
          <w:i/>
        </w:rPr>
        <w:t>The Echtrae as an Early Irish literary genre</w:t>
      </w:r>
      <w:r w:rsidRPr="002444CA">
        <w:t xml:space="preserve"> (</w:t>
      </w:r>
      <w:r>
        <w:t xml:space="preserve">Leidorf: </w:t>
      </w:r>
      <w:r w:rsidRPr="002444CA">
        <w:t>Rahden/Westf</w:t>
      </w:r>
      <w:r>
        <w:t>,</w:t>
      </w:r>
      <w:r w:rsidRPr="002444CA">
        <w:t xml:space="preserve"> </w:t>
      </w:r>
      <w:r>
        <w:t>2011)</w:t>
      </w:r>
    </w:p>
    <w:p w:rsidR="00BA4FE1" w:rsidRPr="00074EA0" w:rsidRDefault="00BA4FE1" w:rsidP="00BA4FE1">
      <w:r>
        <w:t>Dumville, D., ‘</w:t>
      </w:r>
      <w:r>
        <w:rPr>
          <w:i/>
        </w:rPr>
        <w:t>Echtrae a</w:t>
      </w:r>
      <w:r>
        <w:t xml:space="preserve">nd </w:t>
      </w:r>
      <w:r>
        <w:rPr>
          <w:i/>
        </w:rPr>
        <w:t>Immram</w:t>
      </w:r>
      <w:r>
        <w:t xml:space="preserve"> Some Problems of Definition’ in</w:t>
      </w:r>
      <w:r w:rsidRPr="006D1379">
        <w:rPr>
          <w:i/>
        </w:rPr>
        <w:t xml:space="preserve"> Ériu</w:t>
      </w:r>
      <w:r>
        <w:t xml:space="preserve"> </w:t>
      </w:r>
      <w:r w:rsidRPr="00B61DD8">
        <w:t>27</w:t>
      </w:r>
      <w:r>
        <w:rPr>
          <w:b/>
        </w:rPr>
        <w:t>:</w:t>
      </w:r>
      <w:r w:rsidRPr="006D1379">
        <w:rPr>
          <w:b/>
        </w:rPr>
        <w:t xml:space="preserve"> </w:t>
      </w:r>
      <w:r>
        <w:rPr>
          <w:b/>
        </w:rPr>
        <w:t>(</w:t>
      </w:r>
      <w:r>
        <w:t>1976) 73-94</w:t>
      </w:r>
    </w:p>
    <w:p w:rsidR="00BA4FE1" w:rsidRPr="00E122F0" w:rsidRDefault="00BA4FE1" w:rsidP="00A9559F">
      <w:pPr>
        <w:spacing w:line="240" w:lineRule="auto"/>
      </w:pPr>
      <w:r>
        <w:rPr>
          <w:shd w:val="clear" w:color="auto" w:fill="FFFFFF"/>
        </w:rPr>
        <w:t>Dunn</w:t>
      </w:r>
      <w:r w:rsidRPr="00E122F0">
        <w:rPr>
          <w:shd w:val="clear" w:color="auto" w:fill="FFFFFF"/>
        </w:rPr>
        <w:t>, J.,</w:t>
      </w:r>
      <w:r>
        <w:rPr>
          <w:shd w:val="clear" w:color="auto" w:fill="FFFFFF"/>
        </w:rPr>
        <w:t>’</w:t>
      </w:r>
      <w:r w:rsidRPr="00E122F0">
        <w:rPr>
          <w:shd w:val="clear" w:color="auto" w:fill="FFFFFF"/>
        </w:rPr>
        <w:t xml:space="preserve"> The Brendan Problem</w:t>
      </w:r>
      <w:r>
        <w:rPr>
          <w:shd w:val="clear" w:color="auto" w:fill="FFFFFF"/>
        </w:rPr>
        <w:t>’</w:t>
      </w:r>
      <w:r w:rsidRPr="00B61DD8">
        <w:rPr>
          <w:shd w:val="clear" w:color="auto" w:fill="FFFFFF"/>
        </w:rPr>
        <w:t>, </w:t>
      </w:r>
      <w:r w:rsidRPr="00B61DD8">
        <w:rPr>
          <w:i/>
          <w:iCs/>
          <w:shd w:val="clear" w:color="auto" w:fill="FFFFFF"/>
        </w:rPr>
        <w:t>Catholic Historical Review, </w:t>
      </w:r>
      <w:r w:rsidRPr="00B61DD8">
        <w:rPr>
          <w:bCs/>
          <w:shd w:val="clear" w:color="auto" w:fill="FFFFFF"/>
        </w:rPr>
        <w:t>6</w:t>
      </w:r>
      <w:r w:rsidRPr="00B61DD8">
        <w:rPr>
          <w:shd w:val="clear" w:color="auto" w:fill="FFFFFF"/>
        </w:rPr>
        <w:t>:</w:t>
      </w:r>
      <w:r w:rsidRPr="00E122F0">
        <w:rPr>
          <w:shd w:val="clear" w:color="auto" w:fill="FFFFFF"/>
        </w:rPr>
        <w:t xml:space="preserve"> (1920)</w:t>
      </w:r>
      <w:r>
        <w:rPr>
          <w:shd w:val="clear" w:color="auto" w:fill="FFFFFF"/>
        </w:rPr>
        <w:t xml:space="preserve"> </w:t>
      </w:r>
      <w:r w:rsidRPr="00B61DD8">
        <w:rPr>
          <w:shd w:val="clear" w:color="auto" w:fill="FFFFFF"/>
        </w:rPr>
        <w:t>395</w:t>
      </w:r>
      <w:r w:rsidRPr="00E122F0">
        <w:rPr>
          <w:color w:val="FF0000"/>
          <w:shd w:val="clear" w:color="auto" w:fill="FFFFFF"/>
        </w:rPr>
        <w:t>.</w:t>
      </w:r>
      <w:r>
        <w:rPr>
          <w:color w:val="FF0000"/>
          <w:shd w:val="clear" w:color="auto" w:fill="FFFFFF"/>
        </w:rPr>
        <w:t xml:space="preserve"> </w:t>
      </w:r>
      <w:r w:rsidRPr="00E122F0">
        <w:t xml:space="preserve">[Online: </w:t>
      </w:r>
      <w:hyperlink r:id="rId22" w:history="1">
        <w:r w:rsidRPr="00E122F0">
          <w:rPr>
            <w:rStyle w:val="Hyperlink"/>
          </w:rPr>
          <w:t>http://eprints.maynoothuniversity.ie/7801/1/Leonie%20Duignan.pdf</w:t>
        </w:r>
      </w:hyperlink>
      <w:r w:rsidRPr="00E122F0">
        <w:t>]</w:t>
      </w:r>
      <w:r>
        <w:t xml:space="preserve"> </w:t>
      </w:r>
      <w:r w:rsidRPr="00E122F0">
        <w:t>&lt;Accessed: 28</w:t>
      </w:r>
      <w:r>
        <w:t xml:space="preserve"> February 20</w:t>
      </w:r>
      <w:r w:rsidRPr="00E122F0">
        <w:t>18&gt;</w:t>
      </w:r>
    </w:p>
    <w:p w:rsidR="00BA4FE1" w:rsidRPr="00613A7D" w:rsidRDefault="00BA4FE1" w:rsidP="00BA4FE1">
      <w:r>
        <w:t xml:space="preserve">Freeman,P., </w:t>
      </w:r>
      <w:r>
        <w:rPr>
          <w:i/>
        </w:rPr>
        <w:t xml:space="preserve">The World of Saint Patrick  </w:t>
      </w:r>
      <w:r>
        <w:t xml:space="preserve">(Oxford Scholarship Online, 2014) [Online: </w:t>
      </w:r>
      <w:hyperlink r:id="rId23" w:history="1">
        <w:r w:rsidRPr="00613A7D">
          <w:rPr>
            <w:rStyle w:val="Hyperlink"/>
          </w:rPr>
          <w:t>http://www.oxfordscholarship.com.ezproxy.uwtsd.ac.uk/view/10.1093/acprof:oso/9780199372584.001.0001/acprof-9780199372584-chapter-6</w:t>
        </w:r>
      </w:hyperlink>
      <w:r>
        <w:t xml:space="preserve">] &lt;Accessed: 30 March 2018&gt; </w:t>
      </w:r>
      <w:r w:rsidRPr="00613A7D">
        <w:t xml:space="preserve"> </w:t>
      </w:r>
    </w:p>
    <w:p w:rsidR="00BA4FE1" w:rsidRDefault="00BA4FE1" w:rsidP="00BA4FE1">
      <w:r>
        <w:t xml:space="preserve">Freitag, B., </w:t>
      </w:r>
      <w:r w:rsidRPr="00A76475">
        <w:rPr>
          <w:i/>
        </w:rPr>
        <w:t>Hy Brasil: The Metamorphosis of an Island</w:t>
      </w:r>
      <w:r>
        <w:rPr>
          <w:i/>
        </w:rPr>
        <w:t xml:space="preserve"> </w:t>
      </w:r>
      <w:r>
        <w:t>(Amsterdam, New York: Rodopi, 2013)</w:t>
      </w:r>
    </w:p>
    <w:p w:rsidR="00BA4FE1" w:rsidRDefault="00BA4FE1" w:rsidP="00A9559F">
      <w:pPr>
        <w:spacing w:line="240" w:lineRule="auto"/>
      </w:pPr>
      <w:r>
        <w:t xml:space="preserve">Freitag, B., </w:t>
      </w:r>
      <w:r w:rsidRPr="00F90D1B">
        <w:rPr>
          <w:i/>
        </w:rPr>
        <w:t>Sheela-Na-Gigs: Unravelling an Enigma</w:t>
      </w:r>
      <w:r>
        <w:rPr>
          <w:i/>
        </w:rPr>
        <w:t xml:space="preserve"> </w:t>
      </w:r>
      <w:r>
        <w:t>(Abingdon: Routledge, 2004)</w:t>
      </w:r>
    </w:p>
    <w:p w:rsidR="00BA4FE1" w:rsidRPr="008832DF" w:rsidRDefault="00BA4FE1" w:rsidP="00A9559F">
      <w:pPr>
        <w:shd w:val="clear" w:color="auto" w:fill="FEFDFA"/>
        <w:spacing w:line="240" w:lineRule="auto"/>
        <w:rPr>
          <w:rStyle w:val="exlavailabilitycallnumber"/>
          <w:rFonts w:cs="Arial"/>
          <w:bdr w:val="none" w:sz="0" w:space="0" w:color="auto" w:frame="1"/>
        </w:rPr>
      </w:pPr>
      <w:r w:rsidRPr="008832DF">
        <w:rPr>
          <w:rStyle w:val="exlavailabilitycallnumber"/>
          <w:rFonts w:cs="Arial"/>
          <w:bdr w:val="none" w:sz="0" w:space="0" w:color="auto" w:frame="1"/>
        </w:rPr>
        <w:t>Gimbutas</w:t>
      </w:r>
      <w:r>
        <w:rPr>
          <w:rStyle w:val="exlavailabilitycallnumber"/>
          <w:rFonts w:cs="Arial"/>
          <w:bdr w:val="none" w:sz="0" w:space="0" w:color="auto" w:frame="1"/>
        </w:rPr>
        <w:t>,</w:t>
      </w:r>
      <w:r w:rsidRPr="008832DF">
        <w:rPr>
          <w:rStyle w:val="exlavailabilitycallnumber"/>
          <w:rFonts w:cs="Arial"/>
          <w:bdr w:val="none" w:sz="0" w:space="0" w:color="auto" w:frame="1"/>
        </w:rPr>
        <w:t xml:space="preserve"> M</w:t>
      </w:r>
      <w:r>
        <w:rPr>
          <w:rStyle w:val="exlavailabilitycallnumber"/>
          <w:rFonts w:cs="Arial"/>
          <w:bdr w:val="none" w:sz="0" w:space="0" w:color="auto" w:frame="1"/>
        </w:rPr>
        <w:t>.,</w:t>
      </w:r>
      <w:r w:rsidRPr="008832DF">
        <w:rPr>
          <w:rStyle w:val="exlavailabilitycallnumber"/>
          <w:rFonts w:cs="Arial"/>
          <w:bdr w:val="none" w:sz="0" w:space="0" w:color="auto" w:frame="1"/>
        </w:rPr>
        <w:t xml:space="preserve"> </w:t>
      </w:r>
      <w:r w:rsidRPr="004166AD">
        <w:rPr>
          <w:rStyle w:val="exlavailabilitycallnumber"/>
          <w:rFonts w:cs="Arial"/>
          <w:i/>
          <w:bdr w:val="none" w:sz="0" w:space="0" w:color="auto" w:frame="1"/>
        </w:rPr>
        <w:t>The Goddesses and Gods of Old Europe Myths and Cult images</w:t>
      </w:r>
      <w:r>
        <w:rPr>
          <w:rStyle w:val="exlavailabilitycallnumber"/>
          <w:rFonts w:cs="Arial"/>
          <w:i/>
          <w:bdr w:val="none" w:sz="0" w:space="0" w:color="auto" w:frame="1"/>
        </w:rPr>
        <w:t xml:space="preserve">, </w:t>
      </w:r>
      <w:r w:rsidRPr="008363D3">
        <w:rPr>
          <w:rStyle w:val="exlavailabilitycallnumber"/>
          <w:rFonts w:cs="Arial"/>
          <w:bdr w:val="none" w:sz="0" w:space="0" w:color="auto" w:frame="1"/>
        </w:rPr>
        <w:t>2</w:t>
      </w:r>
      <w:r w:rsidRPr="008363D3">
        <w:rPr>
          <w:rStyle w:val="exlavailabilitycallnumber"/>
          <w:rFonts w:cs="Arial"/>
          <w:bdr w:val="none" w:sz="0" w:space="0" w:color="auto" w:frame="1"/>
          <w:vertAlign w:val="superscript"/>
        </w:rPr>
        <w:t>nd</w:t>
      </w:r>
      <w:r w:rsidRPr="008363D3">
        <w:rPr>
          <w:rStyle w:val="exlavailabilitycallnumber"/>
          <w:rFonts w:cs="Arial"/>
          <w:bdr w:val="none" w:sz="0" w:space="0" w:color="auto" w:frame="1"/>
        </w:rPr>
        <w:t xml:space="preserve"> edn,</w:t>
      </w:r>
      <w:r w:rsidRPr="008832DF">
        <w:rPr>
          <w:rStyle w:val="exlavailabilitycallnumber"/>
          <w:rFonts w:cs="Arial"/>
          <w:bdr w:val="none" w:sz="0" w:space="0" w:color="auto" w:frame="1"/>
        </w:rPr>
        <w:t xml:space="preserve"> </w:t>
      </w:r>
      <w:r>
        <w:rPr>
          <w:rStyle w:val="exlavailabilitycallnumber"/>
          <w:rFonts w:cs="Arial"/>
          <w:bdr w:val="none" w:sz="0" w:space="0" w:color="auto" w:frame="1"/>
        </w:rPr>
        <w:t xml:space="preserve">(London: </w:t>
      </w:r>
      <w:r w:rsidRPr="008832DF">
        <w:rPr>
          <w:rStyle w:val="exlavailabilitycallnumber"/>
          <w:rFonts w:cs="Arial"/>
          <w:bdr w:val="none" w:sz="0" w:space="0" w:color="auto" w:frame="1"/>
        </w:rPr>
        <w:t>Thames and Hudson</w:t>
      </w:r>
      <w:r>
        <w:rPr>
          <w:rStyle w:val="exlavailabilitycallnumber"/>
          <w:rFonts w:cs="Arial"/>
          <w:bdr w:val="none" w:sz="0" w:space="0" w:color="auto" w:frame="1"/>
        </w:rPr>
        <w:t>,</w:t>
      </w:r>
      <w:r w:rsidRPr="008832DF">
        <w:rPr>
          <w:rStyle w:val="exlavailabilitycallnumber"/>
          <w:rFonts w:cs="Arial"/>
          <w:bdr w:val="none" w:sz="0" w:space="0" w:color="auto" w:frame="1"/>
        </w:rPr>
        <w:t xml:space="preserve"> 1996</w:t>
      </w:r>
      <w:r>
        <w:rPr>
          <w:rStyle w:val="exlavailabilitycallnumber"/>
          <w:rFonts w:cs="Arial"/>
          <w:bdr w:val="none" w:sz="0" w:space="0" w:color="auto" w:frame="1"/>
        </w:rPr>
        <w:t>)</w:t>
      </w:r>
      <w:r w:rsidRPr="008832DF">
        <w:rPr>
          <w:rStyle w:val="exlavailabilitycallnumber"/>
          <w:rFonts w:cs="Arial"/>
          <w:bdr w:val="none" w:sz="0" w:space="0" w:color="auto" w:frame="1"/>
        </w:rPr>
        <w:t xml:space="preserve"> </w:t>
      </w:r>
    </w:p>
    <w:p w:rsidR="00BA4FE1" w:rsidRDefault="00BA4FE1" w:rsidP="00A9559F">
      <w:pPr>
        <w:shd w:val="clear" w:color="auto" w:fill="FEFDFA"/>
        <w:spacing w:line="240" w:lineRule="auto"/>
        <w:rPr>
          <w:rStyle w:val="exlavailabilitycallnumber"/>
          <w:rFonts w:cs="Arial"/>
          <w:color w:val="FF0000"/>
          <w:bdr w:val="none" w:sz="0" w:space="0" w:color="auto" w:frame="1"/>
        </w:rPr>
      </w:pPr>
      <w:r w:rsidRPr="008832DF">
        <w:rPr>
          <w:rStyle w:val="exlavailabilitycallnumber"/>
          <w:rFonts w:cs="Arial"/>
          <w:bdr w:val="none" w:sz="0" w:space="0" w:color="auto" w:frame="1"/>
        </w:rPr>
        <w:t>Gimbutas, M.</w:t>
      </w:r>
      <w:r>
        <w:rPr>
          <w:rStyle w:val="exlavailabilitycallnumber"/>
          <w:rFonts w:cs="Arial"/>
          <w:bdr w:val="none" w:sz="0" w:space="0" w:color="auto" w:frame="1"/>
        </w:rPr>
        <w:t>,</w:t>
      </w:r>
      <w:r w:rsidRPr="008832DF">
        <w:rPr>
          <w:rStyle w:val="exlavailabilitycallnumber"/>
          <w:rFonts w:cs="Arial"/>
          <w:bdr w:val="none" w:sz="0" w:space="0" w:color="auto" w:frame="1"/>
        </w:rPr>
        <w:t xml:space="preserve"> </w:t>
      </w:r>
      <w:r w:rsidRPr="00B76C52">
        <w:rPr>
          <w:rStyle w:val="exlavailabilitycallnumber"/>
          <w:rFonts w:cs="Arial"/>
          <w:i/>
          <w:bdr w:val="none" w:sz="0" w:space="0" w:color="auto" w:frame="1"/>
        </w:rPr>
        <w:t>The Language of the Goddess</w:t>
      </w:r>
      <w:r>
        <w:rPr>
          <w:rStyle w:val="exlavailabilitycallnumber"/>
          <w:rFonts w:cs="Arial"/>
          <w:bdr w:val="none" w:sz="0" w:space="0" w:color="auto" w:frame="1"/>
        </w:rPr>
        <w:t xml:space="preserve"> 2</w:t>
      </w:r>
      <w:r w:rsidRPr="008363D3">
        <w:rPr>
          <w:rStyle w:val="exlavailabilitycallnumber"/>
          <w:rFonts w:cs="Arial"/>
          <w:bdr w:val="none" w:sz="0" w:space="0" w:color="auto" w:frame="1"/>
          <w:vertAlign w:val="superscript"/>
        </w:rPr>
        <w:t>nd</w:t>
      </w:r>
      <w:r>
        <w:rPr>
          <w:rStyle w:val="exlavailabilitycallnumber"/>
          <w:rFonts w:cs="Arial"/>
          <w:bdr w:val="none" w:sz="0" w:space="0" w:color="auto" w:frame="1"/>
        </w:rPr>
        <w:t xml:space="preserve"> edn, (London:</w:t>
      </w:r>
      <w:r w:rsidRPr="008832DF">
        <w:rPr>
          <w:rStyle w:val="exlavailabilitycallnumber"/>
          <w:rFonts w:cs="Arial"/>
          <w:bdr w:val="none" w:sz="0" w:space="0" w:color="auto" w:frame="1"/>
        </w:rPr>
        <w:t xml:space="preserve"> Thames and Hudson</w:t>
      </w:r>
      <w:r>
        <w:rPr>
          <w:rStyle w:val="exlavailabilitycallnumber"/>
          <w:rFonts w:cs="Arial"/>
          <w:bdr w:val="none" w:sz="0" w:space="0" w:color="auto" w:frame="1"/>
        </w:rPr>
        <w:t>,</w:t>
      </w:r>
      <w:r w:rsidRPr="008832DF">
        <w:rPr>
          <w:rStyle w:val="exlavailabilitycallnumber"/>
          <w:rFonts w:cs="Arial"/>
          <w:bdr w:val="none" w:sz="0" w:space="0" w:color="auto" w:frame="1"/>
        </w:rPr>
        <w:t xml:space="preserve"> 2001</w:t>
      </w:r>
      <w:r>
        <w:rPr>
          <w:rStyle w:val="exlavailabilitycallnumber"/>
          <w:rFonts w:cs="Arial"/>
          <w:bdr w:val="none" w:sz="0" w:space="0" w:color="auto" w:frame="1"/>
        </w:rPr>
        <w:t>)</w:t>
      </w:r>
    </w:p>
    <w:p w:rsidR="00BA4FE1" w:rsidRPr="008C0E50" w:rsidRDefault="00BA4FE1" w:rsidP="00A9559F">
      <w:pPr>
        <w:shd w:val="clear" w:color="auto" w:fill="FEFDFA"/>
        <w:spacing w:line="240" w:lineRule="auto"/>
        <w:rPr>
          <w:rStyle w:val="exlavailabilitycallnumber"/>
          <w:rFonts w:cs="Arial"/>
          <w:bdr w:val="none" w:sz="0" w:space="0" w:color="auto" w:frame="1"/>
        </w:rPr>
      </w:pPr>
      <w:r w:rsidRPr="008C0E50">
        <w:rPr>
          <w:rStyle w:val="exlavailabilitycallnumber"/>
          <w:rFonts w:cs="Arial"/>
          <w:bdr w:val="none" w:sz="0" w:space="0" w:color="auto" w:frame="1"/>
        </w:rPr>
        <w:t xml:space="preserve">Green, M., </w:t>
      </w:r>
      <w:r>
        <w:rPr>
          <w:rStyle w:val="exlavailabilitycallnumber"/>
          <w:rFonts w:cs="Arial"/>
          <w:bdr w:val="none" w:sz="0" w:space="0" w:color="auto" w:frame="1"/>
        </w:rPr>
        <w:t xml:space="preserve">ed, </w:t>
      </w:r>
      <w:r w:rsidRPr="008C0E50">
        <w:rPr>
          <w:rStyle w:val="exlavailabilitycallnumber"/>
          <w:rFonts w:cs="Arial"/>
          <w:bdr w:val="none" w:sz="0" w:space="0" w:color="auto" w:frame="1"/>
        </w:rPr>
        <w:t>The Celtic World</w:t>
      </w:r>
      <w:r>
        <w:rPr>
          <w:rStyle w:val="exlavailabilitycallnumber"/>
          <w:rFonts w:cs="Arial"/>
          <w:bdr w:val="none" w:sz="0" w:space="0" w:color="auto" w:frame="1"/>
        </w:rPr>
        <w:t xml:space="preserve"> (London: Routledge,1995)</w:t>
      </w:r>
    </w:p>
    <w:p w:rsidR="00BA4FE1" w:rsidRPr="00E209B2" w:rsidRDefault="00BA4FE1" w:rsidP="00BA4FE1">
      <w:pPr>
        <w:pStyle w:val="Heading2"/>
        <w:shd w:val="clear" w:color="auto" w:fill="FFFFFE"/>
        <w:spacing w:before="0"/>
        <w:rPr>
          <w:rFonts w:asciiTheme="minorHAnsi" w:hAnsiTheme="minorHAnsi" w:cs="Arial"/>
          <w:b w:val="0"/>
          <w:color w:val="auto"/>
          <w:sz w:val="22"/>
          <w:szCs w:val="22"/>
          <w:bdr w:val="none" w:sz="0" w:space="0" w:color="auto" w:frame="1"/>
        </w:rPr>
      </w:pPr>
      <w:r w:rsidRPr="007D11A2">
        <w:rPr>
          <w:rFonts w:asciiTheme="minorHAnsi" w:hAnsiTheme="minorHAnsi" w:cs="Arial"/>
          <w:b w:val="0"/>
          <w:color w:val="auto"/>
          <w:sz w:val="22"/>
          <w:szCs w:val="22"/>
        </w:rPr>
        <w:t>Haeussler, R.</w:t>
      </w:r>
      <w:r>
        <w:rPr>
          <w:rFonts w:asciiTheme="minorHAnsi" w:hAnsiTheme="minorHAnsi" w:cs="Arial"/>
          <w:b w:val="0"/>
          <w:color w:val="auto"/>
          <w:sz w:val="22"/>
          <w:szCs w:val="22"/>
        </w:rPr>
        <w:t xml:space="preserve"> &amp;</w:t>
      </w:r>
      <w:r w:rsidRPr="007D11A2">
        <w:rPr>
          <w:rFonts w:asciiTheme="minorHAnsi" w:hAnsiTheme="minorHAnsi" w:cs="Arial"/>
          <w:b w:val="0"/>
          <w:color w:val="auto"/>
          <w:sz w:val="22"/>
          <w:szCs w:val="22"/>
        </w:rPr>
        <w:t xml:space="preserve"> King, T.,</w:t>
      </w:r>
      <w:r w:rsidRPr="007D11A2">
        <w:rPr>
          <w:rStyle w:val="exlavailabilitycallnumber"/>
          <w:rFonts w:asciiTheme="minorHAnsi" w:hAnsiTheme="minorHAnsi" w:cs="Arial"/>
          <w:b w:val="0"/>
          <w:color w:val="auto"/>
          <w:sz w:val="22"/>
          <w:szCs w:val="22"/>
          <w:bdr w:val="none" w:sz="0" w:space="0" w:color="auto" w:frame="1"/>
        </w:rPr>
        <w:t xml:space="preserve"> eds, </w:t>
      </w:r>
      <w:r w:rsidRPr="007D11A2">
        <w:rPr>
          <w:rStyle w:val="exlavailabilitycallnumber"/>
          <w:rFonts w:asciiTheme="minorHAnsi" w:hAnsiTheme="minorHAnsi" w:cs="Arial"/>
          <w:b w:val="0"/>
          <w:i/>
          <w:color w:val="auto"/>
          <w:sz w:val="22"/>
          <w:szCs w:val="22"/>
          <w:bdr w:val="none" w:sz="0" w:space="0" w:color="auto" w:frame="1"/>
        </w:rPr>
        <w:t>Celtic Religions in the Roman Period: Personal, Local, and Global</w:t>
      </w:r>
      <w:r>
        <w:rPr>
          <w:rStyle w:val="exlavailabilitycallnumber"/>
          <w:rFonts w:asciiTheme="minorHAnsi" w:hAnsiTheme="minorHAnsi" w:cs="Arial"/>
          <w:b w:val="0"/>
          <w:i/>
          <w:color w:val="auto"/>
          <w:sz w:val="22"/>
          <w:szCs w:val="22"/>
          <w:bdr w:val="none" w:sz="0" w:space="0" w:color="auto" w:frame="1"/>
        </w:rPr>
        <w:t>,</w:t>
      </w:r>
      <w:r w:rsidRPr="007D11A2">
        <w:rPr>
          <w:rStyle w:val="exlavailabilitycallnumber"/>
          <w:rFonts w:asciiTheme="minorHAnsi" w:hAnsiTheme="minorHAnsi" w:cs="Arial"/>
          <w:b w:val="0"/>
          <w:color w:val="auto"/>
          <w:sz w:val="22"/>
          <w:szCs w:val="22"/>
          <w:bdr w:val="none" w:sz="0" w:space="0" w:color="auto" w:frame="1"/>
        </w:rPr>
        <w:t xml:space="preserve"> (</w:t>
      </w:r>
      <w:r>
        <w:rPr>
          <w:rStyle w:val="exlavailabilitycallnumber"/>
          <w:rFonts w:asciiTheme="minorHAnsi" w:hAnsiTheme="minorHAnsi" w:cs="Arial"/>
          <w:b w:val="0"/>
          <w:color w:val="auto"/>
          <w:sz w:val="22"/>
          <w:szCs w:val="22"/>
          <w:bdr w:val="none" w:sz="0" w:space="0" w:color="auto" w:frame="1"/>
        </w:rPr>
        <w:t>Aberystwyth</w:t>
      </w:r>
      <w:r w:rsidRPr="007D11A2">
        <w:rPr>
          <w:rStyle w:val="exlavailabilitycallnumber"/>
          <w:rFonts w:asciiTheme="minorHAnsi" w:hAnsiTheme="minorHAnsi" w:cs="Arial"/>
          <w:b w:val="0"/>
          <w:color w:val="auto"/>
          <w:sz w:val="22"/>
          <w:szCs w:val="22"/>
          <w:bdr w:val="none" w:sz="0" w:space="0" w:color="auto" w:frame="1"/>
        </w:rPr>
        <w:t xml:space="preserve">: Celtic </w:t>
      </w:r>
      <w:r>
        <w:rPr>
          <w:rStyle w:val="exlavailabilitycallnumber"/>
          <w:rFonts w:asciiTheme="minorHAnsi" w:hAnsiTheme="minorHAnsi" w:cs="Arial"/>
          <w:b w:val="0"/>
          <w:color w:val="auto"/>
          <w:sz w:val="22"/>
          <w:szCs w:val="22"/>
          <w:bdr w:val="none" w:sz="0" w:space="0" w:color="auto" w:frame="1"/>
        </w:rPr>
        <w:t xml:space="preserve">Studies </w:t>
      </w:r>
      <w:r w:rsidRPr="007D11A2">
        <w:rPr>
          <w:rStyle w:val="exlavailabilitycallnumber"/>
          <w:rFonts w:asciiTheme="minorHAnsi" w:hAnsiTheme="minorHAnsi" w:cs="Arial"/>
          <w:b w:val="0"/>
          <w:color w:val="auto"/>
          <w:sz w:val="22"/>
          <w:szCs w:val="22"/>
          <w:bdr w:val="none" w:sz="0" w:space="0" w:color="auto" w:frame="1"/>
        </w:rPr>
        <w:t>Publications, 2017)</w:t>
      </w:r>
    </w:p>
    <w:p w:rsidR="00BA4FE1" w:rsidRPr="007D11A2" w:rsidRDefault="00BA4FE1" w:rsidP="00BA4FE1">
      <w:pPr>
        <w:rPr>
          <w:sz w:val="10"/>
        </w:rPr>
      </w:pPr>
    </w:p>
    <w:p w:rsidR="00BA4FE1" w:rsidRDefault="00BA4FE1" w:rsidP="00BA4FE1">
      <w:pPr>
        <w:rPr>
          <w:color w:val="FF0000"/>
        </w:rPr>
      </w:pPr>
      <w:r w:rsidRPr="008832DF">
        <w:t>Harpur, J.</w:t>
      </w:r>
      <w:r>
        <w:t>,</w:t>
      </w:r>
      <w:r w:rsidRPr="008832DF">
        <w:t xml:space="preserve"> </w:t>
      </w:r>
      <w:r w:rsidRPr="00FA081C">
        <w:rPr>
          <w:i/>
        </w:rPr>
        <w:t>Sacred Tracks: 2000 years of Christian Pilgrimage</w:t>
      </w:r>
      <w:r w:rsidRPr="008832DF">
        <w:t xml:space="preserve"> </w:t>
      </w:r>
      <w:r>
        <w:t>(</w:t>
      </w:r>
      <w:r w:rsidRPr="008832DF">
        <w:t>Berkeley, University of California Press</w:t>
      </w:r>
      <w:r>
        <w:t>, 2002)</w:t>
      </w:r>
      <w:r w:rsidRPr="008832DF">
        <w:t xml:space="preserve"> </w:t>
      </w:r>
    </w:p>
    <w:p w:rsidR="00BA4FE1" w:rsidRDefault="00BA4FE1" w:rsidP="00BA4FE1">
      <w:r w:rsidRPr="002C1575">
        <w:t>Haycock, M., ‘</w:t>
      </w:r>
      <w:r w:rsidRPr="002C1575">
        <w:rPr>
          <w:rFonts w:cs="Arial"/>
        </w:rPr>
        <w:t>Merlin [Myrddin] (supp. fl. 6th cent.), poet and seer’, </w:t>
      </w:r>
      <w:r w:rsidRPr="002C1575">
        <w:rPr>
          <w:rStyle w:val="Emphasis"/>
          <w:rFonts w:cs="Arial"/>
        </w:rPr>
        <w:t>Oxford Dictionary of National Biography.</w:t>
      </w:r>
      <w:r w:rsidRPr="002C1575">
        <w:t xml:space="preserve"> [Online: </w:t>
      </w:r>
      <w:hyperlink r:id="rId24" w:history="1">
        <w:r w:rsidRPr="00C51CF8">
          <w:rPr>
            <w:rStyle w:val="Hyperlink"/>
          </w:rPr>
          <w:t>http://www.oxforddnb.com.ezproxy.uwtsd.ac.uk/view/10.1093/ref:odnb/9780198614128.001.0001/odnb-9780198614128-e-19711</w:t>
        </w:r>
      </w:hyperlink>
      <w:r>
        <w:t>]</w:t>
      </w:r>
      <w:r w:rsidRPr="008832DF">
        <w:t xml:space="preserve"> </w:t>
      </w:r>
      <w:r>
        <w:t>&lt;A</w:t>
      </w:r>
      <w:r w:rsidRPr="008832DF">
        <w:t>ccessed 07</w:t>
      </w:r>
      <w:r>
        <w:t xml:space="preserve"> January 20</w:t>
      </w:r>
      <w:r w:rsidRPr="008832DF">
        <w:t>18</w:t>
      </w:r>
      <w:r>
        <w:t>&gt;</w:t>
      </w:r>
    </w:p>
    <w:p w:rsidR="00BA4FE1" w:rsidRDefault="00BA4FE1" w:rsidP="00BA4FE1">
      <w:r>
        <w:t xml:space="preserve">Haycock, M., ‘‘Preiddeu Annwn’ and the Figure of Taliesen’ in </w:t>
      </w:r>
      <w:r>
        <w:rPr>
          <w:i/>
        </w:rPr>
        <w:t>Studia Celtica</w:t>
      </w:r>
      <w:r>
        <w:t xml:space="preserve"> </w:t>
      </w:r>
      <w:r w:rsidRPr="000F7F45">
        <w:t>18/19</w:t>
      </w:r>
      <w:r>
        <w:t>: (1983-1984)</w:t>
      </w:r>
    </w:p>
    <w:p w:rsidR="00BA4FE1" w:rsidRPr="00D96B51" w:rsidRDefault="00BA4FE1" w:rsidP="00BA4FE1">
      <w:pPr>
        <w:pStyle w:val="Default"/>
        <w:rPr>
          <w:rFonts w:asciiTheme="minorHAnsi" w:hAnsiTheme="minorHAnsi"/>
          <w:i/>
          <w:color w:val="auto"/>
          <w:sz w:val="22"/>
          <w:szCs w:val="22"/>
        </w:rPr>
      </w:pPr>
      <w:r w:rsidRPr="00D96B51">
        <w:rPr>
          <w:rFonts w:asciiTheme="minorHAnsi" w:hAnsiTheme="minorHAnsi"/>
          <w:sz w:val="22"/>
          <w:szCs w:val="22"/>
        </w:rPr>
        <w:t xml:space="preserve">Herbert, M., </w:t>
      </w:r>
      <w:r>
        <w:rPr>
          <w:rFonts w:asciiTheme="minorHAnsi" w:hAnsiTheme="minorHAnsi"/>
          <w:sz w:val="22"/>
          <w:szCs w:val="22"/>
        </w:rPr>
        <w:t>‘</w:t>
      </w:r>
      <w:r w:rsidRPr="00D96B51">
        <w:rPr>
          <w:rFonts w:asciiTheme="minorHAnsi" w:hAnsiTheme="minorHAnsi"/>
          <w:sz w:val="22"/>
          <w:szCs w:val="22"/>
        </w:rPr>
        <w:t xml:space="preserve">Literary Sea-Voyages and Early Munster Hagiography </w:t>
      </w:r>
      <w:r>
        <w:rPr>
          <w:rFonts w:asciiTheme="minorHAnsi" w:hAnsiTheme="minorHAnsi"/>
          <w:sz w:val="22"/>
          <w:szCs w:val="22"/>
        </w:rPr>
        <w:t>‘i</w:t>
      </w:r>
      <w:r>
        <w:rPr>
          <w:rFonts w:asciiTheme="minorHAnsi" w:hAnsiTheme="minorHAnsi"/>
          <w:color w:val="auto"/>
          <w:sz w:val="22"/>
          <w:szCs w:val="22"/>
        </w:rPr>
        <w:t>n</w:t>
      </w:r>
      <w:r w:rsidRPr="00D96B51">
        <w:rPr>
          <w:rFonts w:asciiTheme="minorHAnsi" w:hAnsiTheme="minorHAnsi"/>
          <w:color w:val="auto"/>
          <w:sz w:val="22"/>
          <w:szCs w:val="22"/>
        </w:rPr>
        <w:t xml:space="preserve"> Black, R., Gillies, W., </w:t>
      </w:r>
      <w:r>
        <w:rPr>
          <w:rFonts w:asciiTheme="minorHAnsi" w:hAnsiTheme="minorHAnsi"/>
          <w:color w:val="auto"/>
          <w:sz w:val="22"/>
          <w:szCs w:val="22"/>
        </w:rPr>
        <w:t xml:space="preserve">and </w:t>
      </w:r>
      <w:r w:rsidRPr="00D96B51">
        <w:rPr>
          <w:rFonts w:asciiTheme="minorHAnsi" w:hAnsiTheme="minorHAnsi"/>
          <w:color w:val="auto"/>
          <w:sz w:val="22"/>
          <w:szCs w:val="22"/>
        </w:rPr>
        <w:t>O’Maolaiagh, R.,</w:t>
      </w:r>
      <w:r>
        <w:rPr>
          <w:rFonts w:asciiTheme="minorHAnsi" w:hAnsiTheme="minorHAnsi"/>
          <w:color w:val="auto"/>
          <w:sz w:val="22"/>
          <w:szCs w:val="22"/>
        </w:rPr>
        <w:t xml:space="preserve"> eds, </w:t>
      </w:r>
      <w:r w:rsidRPr="00D96B51">
        <w:rPr>
          <w:rFonts w:asciiTheme="minorHAnsi" w:hAnsiTheme="minorHAnsi"/>
          <w:i/>
          <w:color w:val="auto"/>
          <w:sz w:val="22"/>
          <w:szCs w:val="22"/>
        </w:rPr>
        <w:t xml:space="preserve">Celtic Connections: Proceedings of the Tenth International Congress of Celtic Studies, </w:t>
      </w:r>
      <w:r w:rsidRPr="00D96B51">
        <w:rPr>
          <w:rFonts w:asciiTheme="minorHAnsi" w:hAnsiTheme="minorHAnsi"/>
          <w:color w:val="auto"/>
          <w:sz w:val="22"/>
          <w:szCs w:val="22"/>
        </w:rPr>
        <w:t>1, (East</w:t>
      </w:r>
      <w:r>
        <w:rPr>
          <w:rFonts w:asciiTheme="minorHAnsi" w:hAnsiTheme="minorHAnsi"/>
          <w:color w:val="auto"/>
          <w:sz w:val="22"/>
          <w:szCs w:val="22"/>
        </w:rPr>
        <w:t xml:space="preserve"> Linton: Tuckwell Press, 1999) </w:t>
      </w:r>
      <w:r w:rsidRPr="00D96B51">
        <w:rPr>
          <w:rFonts w:asciiTheme="minorHAnsi" w:hAnsiTheme="minorHAnsi"/>
          <w:color w:val="auto"/>
          <w:sz w:val="22"/>
          <w:szCs w:val="22"/>
        </w:rPr>
        <w:t>182-189</w:t>
      </w:r>
    </w:p>
    <w:p w:rsidR="00BA4FE1" w:rsidRDefault="00BA4FE1" w:rsidP="00BA4FE1">
      <w:pPr>
        <w:pStyle w:val="Default"/>
      </w:pPr>
      <w:r>
        <w:rPr>
          <w:rFonts w:asciiTheme="minorHAnsi" w:hAnsiTheme="minorHAnsi"/>
          <w:color w:val="auto"/>
          <w:sz w:val="22"/>
          <w:szCs w:val="22"/>
        </w:rPr>
        <w:t xml:space="preserve"> </w:t>
      </w:r>
    </w:p>
    <w:p w:rsidR="00BA4FE1" w:rsidRPr="00367077" w:rsidRDefault="00BA4FE1" w:rsidP="00A9559F">
      <w:pPr>
        <w:spacing w:line="240" w:lineRule="auto"/>
      </w:pPr>
      <w:r w:rsidRPr="00367077">
        <w:t>Hillers, B., Hopkins, P., Hunter, J.,</w:t>
      </w:r>
      <w:r>
        <w:t xml:space="preserve"> ‘Voyages Between Heaven and Hell: Navigating the Early Irish </w:t>
      </w:r>
      <w:r w:rsidRPr="00426EC1">
        <w:rPr>
          <w:i/>
        </w:rPr>
        <w:t>Immram</w:t>
      </w:r>
      <w:r>
        <w:t xml:space="preserve"> tales’:</w:t>
      </w:r>
      <w:r w:rsidRPr="00367077">
        <w:t xml:space="preserve">  </w:t>
      </w:r>
      <w:r w:rsidRPr="00367077">
        <w:rPr>
          <w:i/>
        </w:rPr>
        <w:t>Proceedings of the Harvard Celtic Colloquium (April 28</w:t>
      </w:r>
      <w:r w:rsidRPr="00367077">
        <w:rPr>
          <w:i/>
          <w:vertAlign w:val="superscript"/>
        </w:rPr>
        <w:t>th</w:t>
      </w:r>
      <w:r w:rsidRPr="00367077">
        <w:rPr>
          <w:i/>
        </w:rPr>
        <w:t xml:space="preserve"> – May 1</w:t>
      </w:r>
      <w:r w:rsidRPr="00367077">
        <w:rPr>
          <w:i/>
          <w:vertAlign w:val="superscript"/>
        </w:rPr>
        <w:t>st</w:t>
      </w:r>
      <w:r w:rsidRPr="00367077">
        <w:rPr>
          <w:i/>
        </w:rPr>
        <w:t xml:space="preserve"> 1993)</w:t>
      </w:r>
      <w:r>
        <w:rPr>
          <w:i/>
        </w:rPr>
        <w:t xml:space="preserve"> </w:t>
      </w:r>
      <w:r w:rsidRPr="0006494F">
        <w:t>13</w:t>
      </w:r>
      <w:r>
        <w:t>,</w:t>
      </w:r>
      <w:r w:rsidRPr="00367077">
        <w:t xml:space="preserve"> (Harvard:  the Department of Celtic Languages and Literatures Faculty of Arts and Sciences, Harvard University, 1993)</w:t>
      </w:r>
    </w:p>
    <w:p w:rsidR="00BA4FE1" w:rsidRDefault="00BA4FE1" w:rsidP="00A9559F">
      <w:pPr>
        <w:spacing w:line="240" w:lineRule="auto"/>
      </w:pPr>
      <w:r>
        <w:t>Hornell, J.</w:t>
      </w:r>
      <w:r w:rsidRPr="00C04361">
        <w:t>,</w:t>
      </w:r>
      <w:r>
        <w:t xml:space="preserve"> ‘The Curraghs of Ireland’, in </w:t>
      </w:r>
      <w:r>
        <w:rPr>
          <w:i/>
        </w:rPr>
        <w:t>The Quarterly Journal of the Society for Nautical Research</w:t>
      </w:r>
      <w:r>
        <w:t xml:space="preserve"> reprinted from </w:t>
      </w:r>
      <w:r>
        <w:rPr>
          <w:i/>
        </w:rPr>
        <w:t xml:space="preserve">The Mariner’s Mirror </w:t>
      </w:r>
      <w:r>
        <w:t xml:space="preserve">vol XXIV:III,(1), (1938) [Online at </w:t>
      </w:r>
      <w:hyperlink r:id="rId25" w:history="1">
        <w:r w:rsidRPr="00597AD4">
          <w:rPr>
            <w:rStyle w:val="Hyperlink"/>
          </w:rPr>
          <w:t>http://www.texascoritani.com/British_Coracles_and_Irish_Curraghs.pdf</w:t>
        </w:r>
      </w:hyperlink>
      <w:r>
        <w:t xml:space="preserve"> ] &lt;Accessed 28 March 2018&gt;</w:t>
      </w:r>
    </w:p>
    <w:p w:rsidR="00BA4FE1" w:rsidRPr="007B2A67" w:rsidRDefault="00BA4FE1" w:rsidP="00BA4FE1">
      <w:pPr>
        <w:pStyle w:val="Default"/>
        <w:rPr>
          <w:rFonts w:asciiTheme="minorHAnsi" w:hAnsiTheme="minorHAnsi"/>
          <w:sz w:val="22"/>
          <w:szCs w:val="22"/>
        </w:rPr>
      </w:pPr>
      <w:r>
        <w:rPr>
          <w:rFonts w:asciiTheme="minorHAnsi" w:hAnsiTheme="minorHAnsi"/>
          <w:sz w:val="22"/>
          <w:szCs w:val="22"/>
        </w:rPr>
        <w:t>Hull, E.</w:t>
      </w:r>
      <w:r w:rsidRPr="007B2A67">
        <w:rPr>
          <w:rFonts w:asciiTheme="minorHAnsi" w:hAnsiTheme="minorHAnsi"/>
          <w:sz w:val="22"/>
          <w:szCs w:val="22"/>
        </w:rPr>
        <w:t xml:space="preserve">, </w:t>
      </w:r>
      <w:r>
        <w:rPr>
          <w:rFonts w:asciiTheme="minorHAnsi" w:hAnsiTheme="minorHAnsi"/>
          <w:sz w:val="22"/>
          <w:szCs w:val="22"/>
        </w:rPr>
        <w:t>‘</w:t>
      </w:r>
      <w:r w:rsidRPr="007B2A67">
        <w:rPr>
          <w:rFonts w:asciiTheme="minorHAnsi" w:hAnsiTheme="minorHAnsi"/>
          <w:sz w:val="22"/>
          <w:szCs w:val="22"/>
        </w:rPr>
        <w:t>Whitley Stokes</w:t>
      </w:r>
      <w:r>
        <w:rPr>
          <w:rFonts w:asciiTheme="minorHAnsi" w:hAnsiTheme="minorHAnsi"/>
          <w:sz w:val="22"/>
          <w:szCs w:val="22"/>
        </w:rPr>
        <w:t xml:space="preserve">’ </w:t>
      </w:r>
      <w:r w:rsidRPr="007B2A67">
        <w:rPr>
          <w:rFonts w:asciiTheme="minorHAnsi" w:hAnsiTheme="minorHAnsi"/>
          <w:sz w:val="22"/>
          <w:szCs w:val="22"/>
        </w:rPr>
        <w:t xml:space="preserve">in </w:t>
      </w:r>
      <w:r w:rsidRPr="007B2A67">
        <w:rPr>
          <w:rFonts w:asciiTheme="minorHAnsi" w:hAnsiTheme="minorHAnsi"/>
          <w:i/>
          <w:sz w:val="22"/>
          <w:szCs w:val="22"/>
        </w:rPr>
        <w:t>Folklore</w:t>
      </w:r>
      <w:r w:rsidRPr="007B2A67">
        <w:rPr>
          <w:rFonts w:asciiTheme="minorHAnsi" w:hAnsiTheme="minorHAnsi"/>
          <w:sz w:val="22"/>
          <w:szCs w:val="22"/>
        </w:rPr>
        <w:t xml:space="preserve">, Vol. 20, </w:t>
      </w:r>
      <w:r>
        <w:rPr>
          <w:rFonts w:asciiTheme="minorHAnsi" w:hAnsiTheme="minorHAnsi"/>
          <w:sz w:val="22"/>
          <w:szCs w:val="22"/>
        </w:rPr>
        <w:t>(</w:t>
      </w:r>
      <w:r w:rsidRPr="007B2A67">
        <w:rPr>
          <w:rFonts w:asciiTheme="minorHAnsi" w:hAnsiTheme="minorHAnsi"/>
          <w:sz w:val="22"/>
          <w:szCs w:val="22"/>
        </w:rPr>
        <w:t>3</w:t>
      </w:r>
      <w:r>
        <w:rPr>
          <w:rFonts w:asciiTheme="minorHAnsi" w:hAnsiTheme="minorHAnsi"/>
          <w:sz w:val="22"/>
          <w:szCs w:val="22"/>
        </w:rPr>
        <w:t xml:space="preserve">). </w:t>
      </w:r>
      <w:r w:rsidRPr="007B2A67">
        <w:rPr>
          <w:rFonts w:asciiTheme="minorHAnsi" w:hAnsiTheme="minorHAnsi"/>
          <w:sz w:val="22"/>
          <w:szCs w:val="22"/>
        </w:rPr>
        <w:t xml:space="preserve"> (1909), 356-360</w:t>
      </w:r>
    </w:p>
    <w:p w:rsidR="00BA4FE1" w:rsidRDefault="00BA4FE1" w:rsidP="00BA4FE1">
      <w:pPr>
        <w:pStyle w:val="Default"/>
        <w:rPr>
          <w:rFonts w:asciiTheme="minorHAnsi" w:hAnsiTheme="minorHAnsi"/>
          <w:sz w:val="22"/>
          <w:szCs w:val="22"/>
        </w:rPr>
      </w:pPr>
      <w:r>
        <w:rPr>
          <w:rFonts w:asciiTheme="minorHAnsi" w:hAnsiTheme="minorHAnsi"/>
          <w:sz w:val="22"/>
          <w:szCs w:val="22"/>
        </w:rPr>
        <w:t xml:space="preserve">[Online: </w:t>
      </w:r>
      <w:r w:rsidRPr="007B2A67">
        <w:rPr>
          <w:rFonts w:asciiTheme="minorHAnsi" w:hAnsiTheme="minorHAnsi"/>
          <w:sz w:val="22"/>
          <w:szCs w:val="22"/>
        </w:rPr>
        <w:t xml:space="preserve"> </w:t>
      </w:r>
      <w:hyperlink r:id="rId26" w:history="1">
        <w:r w:rsidRPr="007B2A67">
          <w:rPr>
            <w:rStyle w:val="Hyperlink"/>
            <w:rFonts w:asciiTheme="minorHAnsi" w:hAnsiTheme="minorHAnsi"/>
            <w:sz w:val="22"/>
            <w:szCs w:val="22"/>
          </w:rPr>
          <w:t>http://www.jstor.org/stable/1254095</w:t>
        </w:r>
      </w:hyperlink>
      <w:r w:rsidRPr="007B2A67">
        <w:rPr>
          <w:rFonts w:asciiTheme="minorHAnsi" w:hAnsiTheme="minorHAnsi"/>
          <w:sz w:val="22"/>
          <w:szCs w:val="22"/>
        </w:rPr>
        <w:t>] &lt;Ac</w:t>
      </w:r>
      <w:r>
        <w:rPr>
          <w:rFonts w:asciiTheme="minorHAnsi" w:hAnsiTheme="minorHAnsi"/>
          <w:sz w:val="22"/>
          <w:szCs w:val="22"/>
        </w:rPr>
        <w:t xml:space="preserve">cessed: </w:t>
      </w:r>
      <w:r w:rsidRPr="007B2A67">
        <w:rPr>
          <w:rFonts w:asciiTheme="minorHAnsi" w:hAnsiTheme="minorHAnsi"/>
          <w:sz w:val="22"/>
          <w:szCs w:val="22"/>
        </w:rPr>
        <w:t>1</w:t>
      </w:r>
      <w:r>
        <w:rPr>
          <w:rFonts w:asciiTheme="minorHAnsi" w:hAnsiTheme="minorHAnsi"/>
          <w:sz w:val="22"/>
          <w:szCs w:val="22"/>
        </w:rPr>
        <w:t xml:space="preserve"> February </w:t>
      </w:r>
      <w:r w:rsidRPr="007B2A67">
        <w:rPr>
          <w:rFonts w:asciiTheme="minorHAnsi" w:hAnsiTheme="minorHAnsi"/>
          <w:sz w:val="22"/>
          <w:szCs w:val="22"/>
        </w:rPr>
        <w:t xml:space="preserve">2018&gt; </w:t>
      </w:r>
    </w:p>
    <w:p w:rsidR="00A9559F" w:rsidRPr="007B2A67" w:rsidRDefault="00A9559F" w:rsidP="00BA4FE1">
      <w:pPr>
        <w:pStyle w:val="Default"/>
        <w:rPr>
          <w:rFonts w:asciiTheme="minorHAnsi" w:hAnsiTheme="minorHAnsi"/>
          <w:sz w:val="22"/>
          <w:szCs w:val="22"/>
        </w:rPr>
      </w:pPr>
    </w:p>
    <w:p w:rsidR="00BA4FE1" w:rsidRPr="00C72D1D" w:rsidRDefault="00BA4FE1" w:rsidP="00A9559F">
      <w:pPr>
        <w:shd w:val="clear" w:color="auto" w:fill="FEFDFA"/>
        <w:spacing w:line="240" w:lineRule="auto"/>
        <w:rPr>
          <w:rStyle w:val="exlavailabilitycallnumber"/>
          <w:rFonts w:cs="Arial"/>
          <w:color w:val="FF0000"/>
          <w:bdr w:val="none" w:sz="0" w:space="0" w:color="auto" w:frame="1"/>
        </w:rPr>
      </w:pPr>
      <w:r w:rsidRPr="00C72D1D">
        <w:rPr>
          <w:rStyle w:val="exlavailabilitycallnumber"/>
          <w:rFonts w:cs="Arial"/>
          <w:bdr w:val="none" w:sz="0" w:space="0" w:color="auto" w:frame="1"/>
        </w:rPr>
        <w:lastRenderedPageBreak/>
        <w:t>Hutton, R.,</w:t>
      </w:r>
      <w:r w:rsidRPr="00C72D1D">
        <w:rPr>
          <w:rStyle w:val="exlavailabilitycallnumber"/>
          <w:rFonts w:cs="Arial"/>
          <w:i/>
          <w:bdr w:val="none" w:sz="0" w:space="0" w:color="auto" w:frame="1"/>
        </w:rPr>
        <w:t xml:space="preserve"> Blood and Mistletoe: the History of the Druids in Britain, </w:t>
      </w:r>
      <w:r w:rsidRPr="00C72D1D">
        <w:rPr>
          <w:rStyle w:val="exlavailabilitycallnumber"/>
          <w:rFonts w:cs="Arial"/>
          <w:bdr w:val="none" w:sz="0" w:space="0" w:color="auto" w:frame="1"/>
        </w:rPr>
        <w:t>2</w:t>
      </w:r>
      <w:r w:rsidRPr="00C72D1D">
        <w:rPr>
          <w:rStyle w:val="exlavailabilitycallnumber"/>
          <w:rFonts w:cs="Arial"/>
          <w:bdr w:val="none" w:sz="0" w:space="0" w:color="auto" w:frame="1"/>
          <w:vertAlign w:val="superscript"/>
        </w:rPr>
        <w:t>nd</w:t>
      </w:r>
      <w:r w:rsidRPr="00C72D1D">
        <w:rPr>
          <w:rStyle w:val="exlavailabilitycallnumber"/>
          <w:rFonts w:cs="Arial"/>
          <w:bdr w:val="none" w:sz="0" w:space="0" w:color="auto" w:frame="1"/>
        </w:rPr>
        <w:t xml:space="preserve"> edn,  (London: Yale University Press, 2011) </w:t>
      </w:r>
    </w:p>
    <w:p w:rsidR="00BA4FE1" w:rsidRPr="00C72D1D" w:rsidRDefault="00BA4FE1" w:rsidP="00A9559F">
      <w:pPr>
        <w:shd w:val="clear" w:color="auto" w:fill="FEFDFA"/>
        <w:spacing w:line="240" w:lineRule="auto"/>
        <w:rPr>
          <w:color w:val="FF0000"/>
          <w:shd w:val="clear" w:color="auto" w:fill="FFFFFF"/>
        </w:rPr>
      </w:pPr>
      <w:r w:rsidRPr="00C72D1D">
        <w:rPr>
          <w:shd w:val="clear" w:color="auto" w:fill="FFFFFF"/>
        </w:rPr>
        <w:t xml:space="preserve">Iannello, F., </w:t>
      </w:r>
      <w:r>
        <w:rPr>
          <w:shd w:val="clear" w:color="auto" w:fill="FFFFFF"/>
        </w:rPr>
        <w:t xml:space="preserve"> English Abstract of ‘</w:t>
      </w:r>
      <w:r w:rsidRPr="00C72D1D">
        <w:rPr>
          <w:shd w:val="clear" w:color="auto" w:fill="FFFFFF"/>
        </w:rPr>
        <w:t>Il processo di cristianizzazione dell'aldilà celtico e delle divinità marine irlandesi nella Navigatio sancti Brendani/The Christianization Process of the Celtic Otherworld and Irish Sea-Gods in the Navigatio Sancti Brendani</w:t>
      </w:r>
      <w:r>
        <w:rPr>
          <w:shd w:val="clear" w:color="auto" w:fill="FFFFFF"/>
        </w:rPr>
        <w:t>’</w:t>
      </w:r>
      <w:r w:rsidRPr="00C72D1D">
        <w:rPr>
          <w:shd w:val="clear" w:color="auto" w:fill="FFFFFF"/>
        </w:rPr>
        <w:t xml:space="preserve">, in </w:t>
      </w:r>
      <w:r w:rsidRPr="00C72D1D">
        <w:rPr>
          <w:i/>
          <w:iCs/>
          <w:shd w:val="clear" w:color="auto" w:fill="FFFFFF"/>
        </w:rPr>
        <w:t>'Ilu, Revista de Ciencias de las Religiones, </w:t>
      </w:r>
      <w:r w:rsidRPr="00C72D1D">
        <w:rPr>
          <w:bCs/>
          <w:shd w:val="clear" w:color="auto" w:fill="FFFFFF"/>
        </w:rPr>
        <w:t>16</w:t>
      </w:r>
      <w:r w:rsidRPr="00C72D1D">
        <w:rPr>
          <w:shd w:val="clear" w:color="auto" w:fill="FFFFFF"/>
        </w:rPr>
        <w:t>, (2011): 127-151</w:t>
      </w:r>
    </w:p>
    <w:p w:rsidR="00BA4FE1" w:rsidRDefault="00BA4FE1" w:rsidP="00A9559F">
      <w:pPr>
        <w:spacing w:line="240" w:lineRule="auto"/>
      </w:pPr>
      <w:r>
        <w:rPr>
          <w:rFonts w:cs="ArnoPro"/>
          <w:color w:val="000000"/>
        </w:rPr>
        <w:t>Ireland, D,</w:t>
      </w:r>
      <w:r w:rsidRPr="00C72D1D">
        <w:rPr>
          <w:rFonts w:cs="ArnoPro"/>
          <w:color w:val="000000"/>
        </w:rPr>
        <w:t xml:space="preserve"> E.</w:t>
      </w:r>
      <w:r>
        <w:rPr>
          <w:rFonts w:cs="ArnoPro"/>
          <w:color w:val="000000"/>
        </w:rPr>
        <w:t>,</w:t>
      </w:r>
      <w:r>
        <w:t xml:space="preserve"> ‘</w:t>
      </w:r>
      <w:r w:rsidRPr="00DE7D24">
        <w:t xml:space="preserve">Navigating the use of biblical numerology in </w:t>
      </w:r>
      <w:r w:rsidRPr="00DE7D24">
        <w:rPr>
          <w:i/>
        </w:rPr>
        <w:t>Nauigatio Sancti Brendani</w:t>
      </w:r>
      <w:r>
        <w:t>’, (unpublished Theology Graduate thesis, Ireland Providence College, 2015).  [Online:</w:t>
      </w:r>
      <w:r w:rsidRPr="00DE7D24">
        <w:rPr>
          <w:color w:val="548DD4" w:themeColor="text2" w:themeTint="99"/>
        </w:rPr>
        <w:t xml:space="preserve"> </w:t>
      </w:r>
      <w:hyperlink r:id="rId27" w:history="1">
        <w:r w:rsidRPr="00DE7D24">
          <w:rPr>
            <w:rStyle w:val="Hyperlink"/>
            <w:color w:val="548DD4" w:themeColor="text2" w:themeTint="99"/>
          </w:rPr>
          <w:t>direlan1@providence.edu</w:t>
        </w:r>
      </w:hyperlink>
      <w:r w:rsidRPr="00DE7D24">
        <w:rPr>
          <w:color w:val="548DD4" w:themeColor="text2" w:themeTint="99"/>
        </w:rPr>
        <w:t xml:space="preserve">, </w:t>
      </w:r>
      <w:hyperlink r:id="rId28" w:history="1">
        <w:r w:rsidRPr="00DE7D24">
          <w:rPr>
            <w:rStyle w:val="Hyperlink"/>
            <w:color w:val="548DD4" w:themeColor="text2" w:themeTint="99"/>
          </w:rPr>
          <w:t>https://digitalcommons.providence.edu/theology_graduate_theses/7/</w:t>
        </w:r>
      </w:hyperlink>
      <w:r>
        <w:t xml:space="preserve">], &lt;Accessed: 28 February 2018&gt; </w:t>
      </w:r>
    </w:p>
    <w:p w:rsidR="00BA4FE1" w:rsidRDefault="00BA4FE1" w:rsidP="00BA4FE1">
      <w:pPr>
        <w:autoSpaceDE w:val="0"/>
        <w:autoSpaceDN w:val="0"/>
        <w:adjustRightInd w:val="0"/>
        <w:spacing w:after="0" w:line="240" w:lineRule="auto"/>
        <w:rPr>
          <w:rFonts w:cs="ArnoPro"/>
          <w:color w:val="000000"/>
        </w:rPr>
      </w:pPr>
      <w:r>
        <w:rPr>
          <w:rFonts w:cs="ArnoPro"/>
          <w:color w:val="000000"/>
        </w:rPr>
        <w:t>Jacobs, N., ‘</w:t>
      </w:r>
      <w:r w:rsidRPr="00584E5E">
        <w:rPr>
          <w:rFonts w:cs="ArnoPro"/>
          <w:i/>
          <w:color w:val="000000"/>
        </w:rPr>
        <w:t>‘The Seafarer’ and the Birds</w:t>
      </w:r>
      <w:r>
        <w:rPr>
          <w:rFonts w:cs="ArnoPro"/>
          <w:color w:val="000000"/>
        </w:rPr>
        <w:t xml:space="preserve"> in</w:t>
      </w:r>
      <w:r w:rsidRPr="00584E5E">
        <w:rPr>
          <w:b/>
        </w:rPr>
        <w:t xml:space="preserve"> </w:t>
      </w:r>
      <w:r w:rsidRPr="00584E5E">
        <w:t>The Voyage of St Brenda</w:t>
      </w:r>
      <w:r w:rsidRPr="0006494F">
        <w:t xml:space="preserve">n’ in </w:t>
      </w:r>
      <w:r w:rsidRPr="0006494F">
        <w:rPr>
          <w:rFonts w:cs="Arial"/>
          <w:i/>
        </w:rPr>
        <w:t>Celtica</w:t>
      </w:r>
      <w:r w:rsidRPr="0006494F">
        <w:rPr>
          <w:rFonts w:cs="Arial"/>
        </w:rPr>
        <w:t>, 23: (1999): Essays in honour of James Patrick Carney</w:t>
      </w:r>
      <w:r w:rsidRPr="00584E5E">
        <w:rPr>
          <w:rFonts w:cs="Arial"/>
          <w:color w:val="333333"/>
        </w:rPr>
        <w:t xml:space="preserve"> </w:t>
      </w:r>
      <w:r w:rsidRPr="00584E5E">
        <w:t>[O</w:t>
      </w:r>
      <w:r w:rsidRPr="008F580A">
        <w:t xml:space="preserve">nline: </w:t>
      </w:r>
      <w:hyperlink r:id="rId29" w:history="1">
        <w:r w:rsidRPr="008F580A">
          <w:rPr>
            <w:rStyle w:val="Hyperlink"/>
          </w:rPr>
          <w:t>https://www.dias.ie/wp-content/uploads/webstore/celt/pubs/celtica/c23/c23-369.pdf</w:t>
        </w:r>
      </w:hyperlink>
      <w:r w:rsidRPr="008F580A">
        <w:t xml:space="preserve"> ] &lt;Accessed 2</w:t>
      </w:r>
      <w:r>
        <w:t>9 March 20</w:t>
      </w:r>
      <w:r w:rsidRPr="008F580A">
        <w:t>18&gt;</w:t>
      </w:r>
    </w:p>
    <w:p w:rsidR="00BA4FE1" w:rsidRDefault="00BA4FE1" w:rsidP="00BA4FE1">
      <w:pPr>
        <w:autoSpaceDE w:val="0"/>
        <w:autoSpaceDN w:val="0"/>
        <w:adjustRightInd w:val="0"/>
        <w:spacing w:after="0" w:line="240" w:lineRule="auto"/>
        <w:rPr>
          <w:rFonts w:cs="ArnoPro"/>
          <w:color w:val="000000"/>
        </w:rPr>
      </w:pPr>
    </w:p>
    <w:p w:rsidR="00BA4FE1" w:rsidRPr="00D20AEB" w:rsidRDefault="00BA4FE1" w:rsidP="00BA4FE1">
      <w:pPr>
        <w:autoSpaceDE w:val="0"/>
        <w:autoSpaceDN w:val="0"/>
        <w:adjustRightInd w:val="0"/>
        <w:spacing w:after="0" w:line="240" w:lineRule="auto"/>
        <w:rPr>
          <w:shd w:val="clear" w:color="auto" w:fill="FFFFFF"/>
        </w:rPr>
      </w:pPr>
      <w:r>
        <w:rPr>
          <w:shd w:val="clear" w:color="auto" w:fill="FFFFFF"/>
        </w:rPr>
        <w:t>Johnston, E.</w:t>
      </w:r>
      <w:r w:rsidRPr="00D20AEB">
        <w:rPr>
          <w:shd w:val="clear" w:color="auto" w:fill="FFFFFF"/>
        </w:rPr>
        <w:t xml:space="preserve">, </w:t>
      </w:r>
      <w:r w:rsidRPr="00382017">
        <w:rPr>
          <w:i/>
          <w:shd w:val="clear" w:color="auto" w:fill="FFFFFF"/>
        </w:rPr>
        <w:t>A Sailor on the Seas of Faith: The Individual and the Church in the Voyage of Mael Dúin</w:t>
      </w:r>
      <w:r w:rsidRPr="00D20AEB">
        <w:rPr>
          <w:shd w:val="clear" w:color="auto" w:fill="FFFFFF"/>
        </w:rPr>
        <w:t xml:space="preserve">, </w:t>
      </w:r>
      <w:r>
        <w:rPr>
          <w:shd w:val="clear" w:color="auto" w:fill="FFFFFF"/>
        </w:rPr>
        <w:t>(</w:t>
      </w:r>
      <w:r w:rsidRPr="00D20AEB">
        <w:rPr>
          <w:shd w:val="clear" w:color="auto" w:fill="FFFFFF"/>
        </w:rPr>
        <w:t>UCD Press</w:t>
      </w:r>
      <w:r>
        <w:rPr>
          <w:shd w:val="clear" w:color="auto" w:fill="FFFFFF"/>
        </w:rPr>
        <w:t>,</w:t>
      </w:r>
      <w:r w:rsidRPr="00D20AEB">
        <w:rPr>
          <w:shd w:val="clear" w:color="auto" w:fill="FFFFFF"/>
        </w:rPr>
        <w:t xml:space="preserve"> 2003) </w:t>
      </w:r>
      <w:r>
        <w:rPr>
          <w:shd w:val="clear" w:color="auto" w:fill="FFFFFF"/>
        </w:rPr>
        <w:t xml:space="preserve">available at </w:t>
      </w:r>
      <w:hyperlink r:id="rId30" w:history="1">
        <w:r w:rsidRPr="00D20AEB">
          <w:rPr>
            <w:rStyle w:val="Hyperlink"/>
            <w:shd w:val="clear" w:color="auto" w:fill="FFFFFF"/>
          </w:rPr>
          <w:t>http://www.ucdpress.ie/display.asp?K=9781900621878&amp;sfl=eh_cat_class&amp;st1=B100&amp;=53&amp;dc=135</w:t>
        </w:r>
      </w:hyperlink>
      <w:r w:rsidRPr="00D20AEB">
        <w:rPr>
          <w:shd w:val="clear" w:color="auto" w:fill="FFFFFF"/>
        </w:rPr>
        <w:t xml:space="preserve"> ]</w:t>
      </w:r>
      <w:r>
        <w:rPr>
          <w:shd w:val="clear" w:color="auto" w:fill="FFFFFF"/>
        </w:rPr>
        <w:t xml:space="preserve"> </w:t>
      </w:r>
      <w:r w:rsidRPr="00D20AEB">
        <w:rPr>
          <w:shd w:val="clear" w:color="auto" w:fill="FFFFFF"/>
        </w:rPr>
        <w:t>&lt;Accessed 11</w:t>
      </w:r>
      <w:r>
        <w:rPr>
          <w:shd w:val="clear" w:color="auto" w:fill="FFFFFF"/>
        </w:rPr>
        <w:t xml:space="preserve"> February 20</w:t>
      </w:r>
      <w:r w:rsidRPr="00D20AEB">
        <w:rPr>
          <w:shd w:val="clear" w:color="auto" w:fill="FFFFFF"/>
        </w:rPr>
        <w:t>18&gt;</w:t>
      </w:r>
    </w:p>
    <w:p w:rsidR="00BA4FE1" w:rsidRDefault="00BA4FE1" w:rsidP="00BA4FE1">
      <w:pPr>
        <w:pStyle w:val="Default"/>
        <w:rPr>
          <w:sz w:val="23"/>
          <w:szCs w:val="23"/>
        </w:rPr>
      </w:pPr>
    </w:p>
    <w:p w:rsidR="00BA4FE1" w:rsidRPr="00D20AEB" w:rsidRDefault="00BA4FE1" w:rsidP="00BA4FE1">
      <w:pPr>
        <w:pStyle w:val="Default"/>
        <w:rPr>
          <w:rFonts w:asciiTheme="minorHAnsi" w:hAnsiTheme="minorHAnsi"/>
          <w:sz w:val="22"/>
          <w:szCs w:val="22"/>
        </w:rPr>
      </w:pPr>
      <w:r>
        <w:rPr>
          <w:rFonts w:asciiTheme="minorHAnsi" w:hAnsiTheme="minorHAnsi"/>
          <w:sz w:val="22"/>
          <w:szCs w:val="22"/>
        </w:rPr>
        <w:t>Kitchell, Jr., K.</w:t>
      </w:r>
      <w:r w:rsidRPr="00D20AEB">
        <w:rPr>
          <w:rFonts w:asciiTheme="minorHAnsi" w:hAnsiTheme="minorHAnsi"/>
          <w:sz w:val="22"/>
          <w:szCs w:val="22"/>
        </w:rPr>
        <w:t xml:space="preserve"> F., </w:t>
      </w:r>
      <w:r>
        <w:rPr>
          <w:rFonts w:asciiTheme="minorHAnsi" w:hAnsiTheme="minorHAnsi"/>
          <w:sz w:val="22"/>
          <w:szCs w:val="22"/>
        </w:rPr>
        <w:t>‘</w:t>
      </w:r>
      <w:r w:rsidRPr="00D20AEB">
        <w:rPr>
          <w:rFonts w:asciiTheme="minorHAnsi" w:hAnsiTheme="minorHAnsi"/>
          <w:sz w:val="22"/>
          <w:szCs w:val="22"/>
        </w:rPr>
        <w:t>V</w:t>
      </w:r>
      <w:r w:rsidRPr="00D20AEB">
        <w:rPr>
          <w:rFonts w:asciiTheme="minorHAnsi" w:hAnsiTheme="minorHAnsi"/>
          <w:sz w:val="22"/>
          <w:szCs w:val="23"/>
        </w:rPr>
        <w:t xml:space="preserve">irgil's </w:t>
      </w:r>
      <w:r>
        <w:rPr>
          <w:rFonts w:asciiTheme="minorHAnsi" w:hAnsiTheme="minorHAnsi"/>
          <w:sz w:val="22"/>
          <w:szCs w:val="23"/>
        </w:rPr>
        <w:t>B</w:t>
      </w:r>
      <w:r w:rsidRPr="00D20AEB">
        <w:rPr>
          <w:rFonts w:asciiTheme="minorHAnsi" w:hAnsiTheme="minorHAnsi"/>
          <w:sz w:val="22"/>
          <w:szCs w:val="23"/>
        </w:rPr>
        <w:t xml:space="preserve">allasting </w:t>
      </w:r>
      <w:r>
        <w:rPr>
          <w:rFonts w:asciiTheme="minorHAnsi" w:hAnsiTheme="minorHAnsi"/>
          <w:sz w:val="22"/>
          <w:szCs w:val="23"/>
        </w:rPr>
        <w:t>B</w:t>
      </w:r>
      <w:r w:rsidRPr="00D20AEB">
        <w:rPr>
          <w:rFonts w:asciiTheme="minorHAnsi" w:hAnsiTheme="minorHAnsi"/>
          <w:sz w:val="22"/>
          <w:szCs w:val="23"/>
        </w:rPr>
        <w:t>ees</w:t>
      </w:r>
      <w:r>
        <w:rPr>
          <w:rFonts w:asciiTheme="minorHAnsi" w:hAnsiTheme="minorHAnsi"/>
          <w:sz w:val="22"/>
          <w:szCs w:val="23"/>
        </w:rPr>
        <w:t xml:space="preserve">’, </w:t>
      </w:r>
      <w:r w:rsidRPr="00D20AEB">
        <w:rPr>
          <w:rFonts w:asciiTheme="minorHAnsi" w:hAnsiTheme="minorHAnsi"/>
          <w:i/>
          <w:sz w:val="22"/>
          <w:szCs w:val="22"/>
        </w:rPr>
        <w:t xml:space="preserve"> Vergilius (1959-)</w:t>
      </w:r>
      <w:r>
        <w:rPr>
          <w:sz w:val="23"/>
          <w:szCs w:val="23"/>
        </w:rPr>
        <w:t>,</w:t>
      </w:r>
      <w:r w:rsidRPr="00D20AEB">
        <w:rPr>
          <w:rFonts w:asciiTheme="minorHAnsi" w:hAnsiTheme="minorHAnsi"/>
          <w:sz w:val="22"/>
          <w:szCs w:val="22"/>
        </w:rPr>
        <w:t xml:space="preserve"> 34</w:t>
      </w:r>
      <w:r>
        <w:rPr>
          <w:rFonts w:asciiTheme="minorHAnsi" w:hAnsiTheme="minorHAnsi"/>
          <w:sz w:val="22"/>
          <w:szCs w:val="22"/>
        </w:rPr>
        <w:t>: (</w:t>
      </w:r>
      <w:r w:rsidRPr="00D20AEB">
        <w:rPr>
          <w:rFonts w:asciiTheme="minorHAnsi" w:hAnsiTheme="minorHAnsi"/>
          <w:sz w:val="22"/>
          <w:szCs w:val="22"/>
        </w:rPr>
        <w:t>The Vergilian Society</w:t>
      </w:r>
      <w:r>
        <w:rPr>
          <w:rFonts w:asciiTheme="minorHAnsi" w:hAnsiTheme="minorHAnsi"/>
          <w:sz w:val="22"/>
          <w:szCs w:val="22"/>
        </w:rPr>
        <w:t>, 1988),</w:t>
      </w:r>
      <w:r w:rsidRPr="00D20AEB">
        <w:rPr>
          <w:rFonts w:asciiTheme="minorHAnsi" w:hAnsiTheme="minorHAnsi"/>
          <w:sz w:val="22"/>
          <w:szCs w:val="22"/>
        </w:rPr>
        <w:t xml:space="preserve"> 36-43</w:t>
      </w:r>
    </w:p>
    <w:p w:rsidR="00BA4FE1" w:rsidRDefault="00BA4FE1" w:rsidP="00BA4FE1">
      <w:pPr>
        <w:pStyle w:val="Default"/>
        <w:rPr>
          <w:rFonts w:asciiTheme="minorHAnsi" w:hAnsiTheme="minorHAnsi"/>
          <w:sz w:val="22"/>
          <w:szCs w:val="22"/>
        </w:rPr>
      </w:pPr>
      <w:r>
        <w:rPr>
          <w:rFonts w:asciiTheme="minorHAnsi" w:hAnsiTheme="minorHAnsi"/>
          <w:sz w:val="22"/>
          <w:szCs w:val="22"/>
        </w:rPr>
        <w:t xml:space="preserve">[Online at </w:t>
      </w:r>
      <w:hyperlink r:id="rId31" w:history="1">
        <w:r w:rsidRPr="00597AD4">
          <w:rPr>
            <w:rStyle w:val="Hyperlink"/>
            <w:rFonts w:asciiTheme="minorHAnsi" w:hAnsiTheme="minorHAnsi"/>
            <w:sz w:val="22"/>
            <w:szCs w:val="22"/>
          </w:rPr>
          <w:t>http://www.jstor.org/stable/41592350</w:t>
        </w:r>
      </w:hyperlink>
      <w:r>
        <w:rPr>
          <w:rFonts w:asciiTheme="minorHAnsi" w:hAnsiTheme="minorHAnsi"/>
          <w:sz w:val="22"/>
          <w:szCs w:val="22"/>
        </w:rPr>
        <w:t xml:space="preserve"> ] </w:t>
      </w:r>
      <w:r w:rsidRPr="00D20AEB">
        <w:rPr>
          <w:rFonts w:asciiTheme="minorHAnsi" w:hAnsiTheme="minorHAnsi"/>
          <w:sz w:val="22"/>
          <w:szCs w:val="22"/>
        </w:rPr>
        <w:t>&lt;Accessed: 28</w:t>
      </w:r>
      <w:r>
        <w:rPr>
          <w:rFonts w:asciiTheme="minorHAnsi" w:hAnsiTheme="minorHAnsi"/>
          <w:sz w:val="22"/>
          <w:szCs w:val="22"/>
        </w:rPr>
        <w:t xml:space="preserve"> March </w:t>
      </w:r>
      <w:r w:rsidRPr="00D20AEB">
        <w:rPr>
          <w:rFonts w:asciiTheme="minorHAnsi" w:hAnsiTheme="minorHAnsi"/>
          <w:sz w:val="22"/>
          <w:szCs w:val="22"/>
        </w:rPr>
        <w:t>2018&gt;</w:t>
      </w:r>
    </w:p>
    <w:p w:rsidR="00BA4FE1" w:rsidRDefault="00BA4FE1" w:rsidP="00BA4FE1">
      <w:pPr>
        <w:pStyle w:val="Default"/>
        <w:rPr>
          <w:rFonts w:asciiTheme="minorHAnsi" w:hAnsiTheme="minorHAnsi"/>
          <w:sz w:val="22"/>
          <w:szCs w:val="22"/>
        </w:rPr>
      </w:pPr>
    </w:p>
    <w:p w:rsidR="00BA4FE1" w:rsidRDefault="00BA4FE1" w:rsidP="00A9559F">
      <w:pPr>
        <w:spacing w:line="240" w:lineRule="auto"/>
      </w:pPr>
      <w:r>
        <w:t xml:space="preserve">Koch, J.T.  &amp; Carey, J., eds, </w:t>
      </w:r>
      <w:r w:rsidRPr="00B41348">
        <w:rPr>
          <w:i/>
        </w:rPr>
        <w:t>The Celtic Heroic Age: Literary Sources for Ancient Celtic Europe &amp; Early Ireland and Wales</w:t>
      </w:r>
      <w:r>
        <w:t>, (Aberystwyth: Celtic Studies Publications, 2003)</w:t>
      </w:r>
    </w:p>
    <w:p w:rsidR="00BA4FE1" w:rsidRPr="00B33BD4" w:rsidRDefault="00BA4FE1" w:rsidP="00BA4FE1">
      <w:pPr>
        <w:autoSpaceDE w:val="0"/>
        <w:autoSpaceDN w:val="0"/>
        <w:adjustRightInd w:val="0"/>
        <w:spacing w:after="0" w:line="240" w:lineRule="auto"/>
        <w:rPr>
          <w:rFonts w:cs="AdvP7C34"/>
        </w:rPr>
      </w:pPr>
      <w:r w:rsidRPr="00B33BD4">
        <w:t>Lines, J., ‘</w:t>
      </w:r>
      <w:r w:rsidRPr="00B33BD4">
        <w:rPr>
          <w:rFonts w:cs="AdvP7C2E"/>
        </w:rPr>
        <w:t xml:space="preserve">Barbara Freitag, </w:t>
      </w:r>
      <w:r w:rsidRPr="00B33BD4">
        <w:rPr>
          <w:rFonts w:cs="AdvP7C34"/>
        </w:rPr>
        <w:t>Hy Brasil: The Metamorphosis of an Island from</w:t>
      </w:r>
    </w:p>
    <w:p w:rsidR="00BA4FE1" w:rsidRPr="00B33BD4" w:rsidRDefault="00BA4FE1" w:rsidP="00BA4FE1">
      <w:pPr>
        <w:autoSpaceDE w:val="0"/>
        <w:autoSpaceDN w:val="0"/>
        <w:adjustRightInd w:val="0"/>
        <w:spacing w:after="0" w:line="240" w:lineRule="auto"/>
        <w:rPr>
          <w:rFonts w:cs="AdvP7C2E"/>
        </w:rPr>
      </w:pPr>
      <w:r w:rsidRPr="00B33BD4">
        <w:rPr>
          <w:rFonts w:cs="AdvP7C34"/>
        </w:rPr>
        <w:t>Cartographic Error to Celtic Elysium</w:t>
      </w:r>
      <w:r w:rsidRPr="00B33BD4">
        <w:rPr>
          <w:rFonts w:cs="AdvP7C2E"/>
        </w:rPr>
        <w:t>( Amsterdam: Rodopi, 2013)</w:t>
      </w:r>
      <w:r>
        <w:rPr>
          <w:rFonts w:cs="AdvP7C2E"/>
        </w:rPr>
        <w:t>’</w:t>
      </w:r>
      <w:r w:rsidRPr="0006494F">
        <w:rPr>
          <w:rFonts w:cs="AdvP7C2E"/>
        </w:rPr>
        <w:t xml:space="preserve"> in  </w:t>
      </w:r>
      <w:r w:rsidRPr="0006494F">
        <w:rPr>
          <w:rFonts w:cs="AdvP7C2E"/>
          <w:i/>
        </w:rPr>
        <w:t>Irish University Review</w:t>
      </w:r>
      <w:r w:rsidRPr="0006494F">
        <w:t xml:space="preserve">: 46 (2), 404-408, (2016), </w:t>
      </w:r>
      <w:r>
        <w:t>[Online</w:t>
      </w:r>
      <w:r w:rsidRPr="00B33BD4">
        <w:rPr>
          <w:color w:val="333333"/>
        </w:rPr>
        <w:t xml:space="preserve"> </w:t>
      </w:r>
      <w:hyperlink r:id="rId32" w:history="1">
        <w:r w:rsidRPr="00B33BD4">
          <w:rPr>
            <w:rStyle w:val="Hyperlink"/>
          </w:rPr>
          <w:t>https://web-b-ebscohost-com.ezproxy.uwtsd.ac.uk/ehost/pdfviewer/pdfviewer?vid=1&amp;sid=b70fafda-6fca-4055-b025-d97bee3b1dd4%40sessionmgr120</w:t>
        </w:r>
      </w:hyperlink>
      <w:r w:rsidRPr="00B33BD4">
        <w:rPr>
          <w:color w:val="333333"/>
        </w:rPr>
        <w:t xml:space="preserve"> ] &lt;Accessed on 24 January 2018&gt;</w:t>
      </w:r>
    </w:p>
    <w:p w:rsidR="00BA4FE1" w:rsidRDefault="00BA4FE1" w:rsidP="00BA4FE1">
      <w:pPr>
        <w:pStyle w:val="Default"/>
        <w:tabs>
          <w:tab w:val="left" w:pos="6075"/>
        </w:tabs>
        <w:rPr>
          <w:shd w:val="clear" w:color="auto" w:fill="FFFFFF"/>
        </w:rPr>
      </w:pPr>
      <w:r>
        <w:rPr>
          <w:shd w:val="clear" w:color="auto" w:fill="FFFFFF"/>
        </w:rPr>
        <w:tab/>
      </w:r>
    </w:p>
    <w:p w:rsidR="00BA4FE1" w:rsidRPr="0006494F" w:rsidRDefault="00BA4FE1" w:rsidP="00BA4FE1">
      <w:pPr>
        <w:shd w:val="clear" w:color="auto" w:fill="FFFFFF"/>
        <w:rPr>
          <w:rFonts w:cs="Arial"/>
        </w:rPr>
      </w:pPr>
      <w:r w:rsidRPr="0006494F">
        <w:rPr>
          <w:rFonts w:cs="Arial"/>
        </w:rPr>
        <w:t xml:space="preserve">Mac an Bhaird, A., ‘Varia II. Tadhg mac Céin and the Badgers’ in </w:t>
      </w:r>
      <w:r w:rsidRPr="0006494F">
        <w:rPr>
          <w:rStyle w:val="HTMLCite"/>
          <w:rFonts w:cs="Arial"/>
        </w:rPr>
        <w:t xml:space="preserve">Ériu </w:t>
      </w:r>
      <w:r w:rsidRPr="0006494F">
        <w:rPr>
          <w:rStyle w:val="HTMLCite"/>
          <w:rFonts w:cs="Arial"/>
          <w:i w:val="0"/>
        </w:rPr>
        <w:t>31:</w:t>
      </w:r>
      <w:r w:rsidRPr="0006494F">
        <w:rPr>
          <w:rStyle w:val="HTMLCite"/>
          <w:rFonts w:cs="Arial"/>
          <w:b/>
          <w:i w:val="0"/>
        </w:rPr>
        <w:t xml:space="preserve"> </w:t>
      </w:r>
      <w:r w:rsidRPr="0006494F">
        <w:rPr>
          <w:rStyle w:val="HTMLCite"/>
          <w:rFonts w:cs="Arial"/>
          <w:i w:val="0"/>
        </w:rPr>
        <w:t>(1980) 150-155</w:t>
      </w:r>
    </w:p>
    <w:p w:rsidR="00BA4FE1" w:rsidRPr="0006494F" w:rsidRDefault="00BA4FE1" w:rsidP="00BA4FE1">
      <w:pPr>
        <w:pStyle w:val="Default"/>
        <w:tabs>
          <w:tab w:val="left" w:pos="6075"/>
        </w:tabs>
        <w:rPr>
          <w:rFonts w:asciiTheme="minorHAnsi" w:hAnsiTheme="minorHAnsi" w:cs="Arial"/>
          <w:color w:val="auto"/>
          <w:sz w:val="22"/>
          <w:szCs w:val="22"/>
        </w:rPr>
      </w:pPr>
      <w:r w:rsidRPr="0006494F">
        <w:rPr>
          <w:rFonts w:asciiTheme="minorHAnsi" w:hAnsiTheme="minorHAnsi"/>
          <w:color w:val="auto"/>
          <w:sz w:val="22"/>
          <w:szCs w:val="22"/>
          <w:shd w:val="clear" w:color="auto" w:fill="FFFFFF"/>
        </w:rPr>
        <w:t>MacCana, P., ‘Mongan Mac Fiachna and</w:t>
      </w:r>
      <w:r w:rsidRPr="0006494F">
        <w:rPr>
          <w:rFonts w:asciiTheme="minorHAnsi" w:hAnsiTheme="minorHAnsi"/>
          <w:i/>
          <w:color w:val="auto"/>
          <w:sz w:val="22"/>
          <w:szCs w:val="22"/>
          <w:shd w:val="clear" w:color="auto" w:fill="FFFFFF"/>
        </w:rPr>
        <w:t xml:space="preserve"> Immram Brain’</w:t>
      </w:r>
      <w:r w:rsidRPr="0006494F">
        <w:rPr>
          <w:rFonts w:asciiTheme="minorHAnsi" w:hAnsiTheme="minorHAnsi"/>
          <w:color w:val="auto"/>
          <w:sz w:val="22"/>
          <w:szCs w:val="22"/>
          <w:shd w:val="clear" w:color="auto" w:fill="FFFFFF"/>
        </w:rPr>
        <w:t xml:space="preserve"> in </w:t>
      </w:r>
      <w:r w:rsidRPr="0006494F">
        <w:rPr>
          <w:rStyle w:val="HTMLCite"/>
          <w:rFonts w:asciiTheme="minorHAnsi" w:hAnsiTheme="minorHAnsi" w:cs="Arial"/>
          <w:color w:val="auto"/>
          <w:sz w:val="22"/>
          <w:szCs w:val="22"/>
        </w:rPr>
        <w:t xml:space="preserve">Ériu </w:t>
      </w:r>
      <w:r w:rsidRPr="0006494F">
        <w:rPr>
          <w:rFonts w:asciiTheme="minorHAnsi" w:hAnsiTheme="minorHAnsi" w:cs="Arial"/>
          <w:color w:val="auto"/>
          <w:sz w:val="22"/>
          <w:szCs w:val="22"/>
        </w:rPr>
        <w:t xml:space="preserve">23: (1972) 102-142 </w:t>
      </w:r>
    </w:p>
    <w:p w:rsidR="00BA4FE1" w:rsidRPr="0006494F" w:rsidRDefault="00BA4FE1" w:rsidP="00BA4FE1">
      <w:pPr>
        <w:pStyle w:val="Default"/>
        <w:tabs>
          <w:tab w:val="left" w:pos="6075"/>
        </w:tabs>
        <w:rPr>
          <w:rFonts w:asciiTheme="minorHAnsi" w:hAnsiTheme="minorHAnsi" w:cs="Arial"/>
          <w:color w:val="auto"/>
          <w:sz w:val="22"/>
          <w:szCs w:val="22"/>
        </w:rPr>
      </w:pPr>
    </w:p>
    <w:p w:rsidR="00BA4FE1" w:rsidRPr="0006494F" w:rsidRDefault="00BA4FE1" w:rsidP="00BA4FE1">
      <w:pPr>
        <w:shd w:val="clear" w:color="auto" w:fill="FFFFFF"/>
        <w:rPr>
          <w:shd w:val="clear" w:color="auto" w:fill="FFFFFF"/>
        </w:rPr>
      </w:pPr>
      <w:r w:rsidRPr="0006494F">
        <w:rPr>
          <w:shd w:val="clear" w:color="auto" w:fill="FFFFFF"/>
        </w:rPr>
        <w:t xml:space="preserve">Mac Cana, P., ‘On the ‘Prehistory’ of </w:t>
      </w:r>
      <w:r w:rsidRPr="0006494F">
        <w:rPr>
          <w:i/>
          <w:shd w:val="clear" w:color="auto" w:fill="FFFFFF"/>
        </w:rPr>
        <w:t xml:space="preserve">Immram Brain’, </w:t>
      </w:r>
      <w:r w:rsidRPr="0006494F">
        <w:rPr>
          <w:shd w:val="clear" w:color="auto" w:fill="FFFFFF"/>
        </w:rPr>
        <w:t xml:space="preserve">in </w:t>
      </w:r>
      <w:r w:rsidRPr="0006494F">
        <w:rPr>
          <w:i/>
          <w:shd w:val="clear" w:color="auto" w:fill="FFFFFF"/>
        </w:rPr>
        <w:t>Ériu</w:t>
      </w:r>
      <w:r w:rsidRPr="0006494F">
        <w:rPr>
          <w:shd w:val="clear" w:color="auto" w:fill="FFFFFF"/>
        </w:rPr>
        <w:t xml:space="preserve"> 26: (1975) 33-52 </w:t>
      </w:r>
    </w:p>
    <w:p w:rsidR="00BA4FE1" w:rsidRPr="0006494F" w:rsidRDefault="00BA4FE1" w:rsidP="00A9559F">
      <w:pPr>
        <w:shd w:val="clear" w:color="auto" w:fill="FFFFFF"/>
        <w:spacing w:line="240" w:lineRule="auto"/>
        <w:rPr>
          <w:rFonts w:ascii="Arial" w:eastAsia="Times New Roman" w:hAnsi="Arial" w:cs="Arial"/>
          <w:sz w:val="21"/>
          <w:szCs w:val="21"/>
          <w:lang w:eastAsia="en-GB"/>
        </w:rPr>
      </w:pPr>
      <w:r w:rsidRPr="0006494F">
        <w:rPr>
          <w:shd w:val="clear" w:color="auto" w:fill="FFFFFF"/>
        </w:rPr>
        <w:t xml:space="preserve">Mac Cana, P., ‘The Sinless Otherworld of </w:t>
      </w:r>
      <w:r w:rsidRPr="0006494F">
        <w:rPr>
          <w:i/>
          <w:shd w:val="clear" w:color="auto" w:fill="FFFFFF"/>
        </w:rPr>
        <w:t>Immram Brain’</w:t>
      </w:r>
      <w:r w:rsidRPr="0006494F">
        <w:rPr>
          <w:shd w:val="clear" w:color="auto" w:fill="FFFFFF"/>
        </w:rPr>
        <w:t xml:space="preserve"> in </w:t>
      </w:r>
      <w:r w:rsidRPr="0006494F">
        <w:rPr>
          <w:rFonts w:eastAsia="Times New Roman" w:cs="Arial"/>
          <w:i/>
          <w:iCs/>
          <w:lang w:eastAsia="en-GB"/>
        </w:rPr>
        <w:t xml:space="preserve">Ériu </w:t>
      </w:r>
      <w:r w:rsidRPr="0006494F">
        <w:rPr>
          <w:rFonts w:eastAsia="Times New Roman" w:cs="Arial"/>
          <w:lang w:eastAsia="en-GB"/>
        </w:rPr>
        <w:t>27: (1976) 95-115</w:t>
      </w:r>
    </w:p>
    <w:p w:rsidR="00BA4FE1" w:rsidRPr="00532BE1" w:rsidRDefault="00BA4FE1" w:rsidP="00A9559F">
      <w:pPr>
        <w:shd w:val="clear" w:color="auto" w:fill="FEFDFA"/>
        <w:spacing w:line="240" w:lineRule="auto"/>
        <w:rPr>
          <w:shd w:val="clear" w:color="auto" w:fill="FFFFFF"/>
        </w:rPr>
      </w:pPr>
      <w:r w:rsidRPr="00711D90">
        <w:rPr>
          <w:shd w:val="clear" w:color="auto" w:fill="FFFFFF"/>
        </w:rPr>
        <w:t xml:space="preserve"> </w:t>
      </w:r>
      <w:r>
        <w:rPr>
          <w:shd w:val="clear" w:color="auto" w:fill="FFFFFF"/>
        </w:rPr>
        <w:t xml:space="preserve">McCone, K., </w:t>
      </w:r>
      <w:r w:rsidRPr="00532BE1">
        <w:rPr>
          <w:i/>
          <w:shd w:val="clear" w:color="auto" w:fill="FFFFFF"/>
        </w:rPr>
        <w:t>Pagan Past and Christian Present in Early Irish Literature</w:t>
      </w:r>
      <w:r>
        <w:rPr>
          <w:shd w:val="clear" w:color="auto" w:fill="FFFFFF"/>
        </w:rPr>
        <w:t>, (Maynooth: Department of Old Irish, National University of Ireland, 2000)</w:t>
      </w:r>
    </w:p>
    <w:p w:rsidR="00BA4FE1" w:rsidRPr="0055539D" w:rsidRDefault="00BA4FE1" w:rsidP="00A9559F">
      <w:pPr>
        <w:pStyle w:val="Default"/>
        <w:spacing w:before="400"/>
        <w:rPr>
          <w:rFonts w:asciiTheme="minorHAnsi" w:hAnsiTheme="minorHAnsi"/>
          <w:sz w:val="22"/>
          <w:szCs w:val="22"/>
        </w:rPr>
      </w:pPr>
      <w:r>
        <w:t xml:space="preserve"> </w:t>
      </w:r>
      <w:r>
        <w:rPr>
          <w:rFonts w:asciiTheme="minorHAnsi" w:hAnsiTheme="minorHAnsi"/>
          <w:sz w:val="22"/>
          <w:szCs w:val="22"/>
        </w:rPr>
        <w:t>McGinn , B.</w:t>
      </w:r>
      <w:r w:rsidRPr="0055539D">
        <w:rPr>
          <w:rFonts w:asciiTheme="minorHAnsi" w:hAnsiTheme="minorHAnsi"/>
          <w:sz w:val="22"/>
          <w:szCs w:val="22"/>
        </w:rPr>
        <w:t xml:space="preserve">, </w:t>
      </w:r>
      <w:r>
        <w:rPr>
          <w:rFonts w:asciiTheme="minorHAnsi" w:hAnsiTheme="minorHAnsi"/>
          <w:sz w:val="22"/>
          <w:szCs w:val="22"/>
        </w:rPr>
        <w:t>‘</w:t>
      </w:r>
      <w:r w:rsidRPr="0055539D">
        <w:rPr>
          <w:rFonts w:asciiTheme="minorHAnsi" w:hAnsiTheme="minorHAnsi"/>
          <w:sz w:val="22"/>
          <w:szCs w:val="22"/>
        </w:rPr>
        <w:t>Ocean and Desert as Symbols of Mystical Absorption in the Christian Tradition</w:t>
      </w:r>
      <w:r>
        <w:rPr>
          <w:rFonts w:asciiTheme="minorHAnsi" w:hAnsiTheme="minorHAnsi"/>
          <w:sz w:val="22"/>
          <w:szCs w:val="22"/>
        </w:rPr>
        <w:t>’</w:t>
      </w:r>
      <w:r w:rsidRPr="0055539D">
        <w:rPr>
          <w:rFonts w:asciiTheme="minorHAnsi" w:hAnsiTheme="minorHAnsi"/>
          <w:sz w:val="22"/>
          <w:szCs w:val="22"/>
        </w:rPr>
        <w:t xml:space="preserve"> </w:t>
      </w:r>
      <w:r w:rsidRPr="0055539D">
        <w:rPr>
          <w:rFonts w:asciiTheme="minorHAnsi" w:hAnsiTheme="minorHAnsi"/>
          <w:i/>
          <w:sz w:val="22"/>
          <w:szCs w:val="22"/>
        </w:rPr>
        <w:t>The Journal of Religion</w:t>
      </w:r>
      <w:r>
        <w:rPr>
          <w:rFonts w:asciiTheme="minorHAnsi" w:hAnsiTheme="minorHAnsi"/>
          <w:sz w:val="22"/>
          <w:szCs w:val="22"/>
        </w:rPr>
        <w:t>,  74 (</w:t>
      </w:r>
      <w:r w:rsidRPr="0055539D">
        <w:rPr>
          <w:rFonts w:asciiTheme="minorHAnsi" w:hAnsiTheme="minorHAnsi"/>
          <w:sz w:val="22"/>
          <w:szCs w:val="22"/>
        </w:rPr>
        <w:t>2</w:t>
      </w:r>
      <w:r>
        <w:rPr>
          <w:rFonts w:asciiTheme="minorHAnsi" w:hAnsiTheme="minorHAnsi"/>
          <w:sz w:val="22"/>
          <w:szCs w:val="22"/>
        </w:rPr>
        <w:t>): (</w:t>
      </w:r>
      <w:r w:rsidRPr="0055539D">
        <w:rPr>
          <w:rFonts w:asciiTheme="minorHAnsi" w:hAnsiTheme="minorHAnsi"/>
          <w:sz w:val="22"/>
          <w:szCs w:val="22"/>
        </w:rPr>
        <w:t>The University of Chicago Press</w:t>
      </w:r>
      <w:r>
        <w:rPr>
          <w:rFonts w:asciiTheme="minorHAnsi" w:hAnsiTheme="minorHAnsi"/>
          <w:sz w:val="22"/>
          <w:szCs w:val="22"/>
        </w:rPr>
        <w:t>, 1994),</w:t>
      </w:r>
      <w:r w:rsidRPr="0055539D">
        <w:rPr>
          <w:rFonts w:asciiTheme="minorHAnsi" w:hAnsiTheme="minorHAnsi"/>
          <w:sz w:val="22"/>
          <w:szCs w:val="22"/>
        </w:rPr>
        <w:t>155-181</w:t>
      </w:r>
      <w:r>
        <w:rPr>
          <w:rFonts w:asciiTheme="minorHAnsi" w:hAnsiTheme="minorHAnsi"/>
          <w:sz w:val="22"/>
          <w:szCs w:val="22"/>
        </w:rPr>
        <w:t xml:space="preserve"> [Online:</w:t>
      </w:r>
      <w:r w:rsidRPr="0055539D">
        <w:rPr>
          <w:rFonts w:asciiTheme="minorHAnsi" w:hAnsiTheme="minorHAnsi"/>
          <w:sz w:val="22"/>
          <w:szCs w:val="22"/>
        </w:rPr>
        <w:t xml:space="preserve"> </w:t>
      </w:r>
    </w:p>
    <w:p w:rsidR="00BA4FE1" w:rsidRDefault="00BA4FE1" w:rsidP="00A9559F">
      <w:pPr>
        <w:pStyle w:val="Default"/>
        <w:rPr>
          <w:rFonts w:asciiTheme="minorHAnsi" w:hAnsiTheme="minorHAnsi"/>
          <w:sz w:val="22"/>
          <w:szCs w:val="22"/>
        </w:rPr>
      </w:pPr>
      <w:r w:rsidRPr="0055539D">
        <w:rPr>
          <w:rFonts w:asciiTheme="minorHAnsi" w:hAnsiTheme="minorHAnsi"/>
          <w:sz w:val="22"/>
          <w:szCs w:val="22"/>
        </w:rPr>
        <w:t xml:space="preserve"> </w:t>
      </w:r>
      <w:hyperlink r:id="rId33" w:history="1">
        <w:r w:rsidRPr="0055539D">
          <w:rPr>
            <w:rStyle w:val="Hyperlink"/>
            <w:rFonts w:asciiTheme="minorHAnsi" w:hAnsiTheme="minorHAnsi"/>
            <w:sz w:val="22"/>
            <w:szCs w:val="22"/>
          </w:rPr>
          <w:t>http://www.jstor.org/stable/1205274</w:t>
        </w:r>
      </w:hyperlink>
      <w:r w:rsidRPr="0055539D">
        <w:rPr>
          <w:rFonts w:asciiTheme="minorHAnsi" w:hAnsiTheme="minorHAnsi"/>
          <w:sz w:val="22"/>
          <w:szCs w:val="22"/>
        </w:rPr>
        <w:t xml:space="preserve"> </w:t>
      </w:r>
      <w:r>
        <w:rPr>
          <w:rFonts w:asciiTheme="minorHAnsi" w:hAnsiTheme="minorHAnsi"/>
          <w:sz w:val="22"/>
          <w:szCs w:val="22"/>
        </w:rPr>
        <w:t>] &lt;</w:t>
      </w:r>
      <w:r w:rsidRPr="0055539D">
        <w:rPr>
          <w:rFonts w:asciiTheme="minorHAnsi" w:hAnsiTheme="minorHAnsi"/>
          <w:sz w:val="22"/>
          <w:szCs w:val="22"/>
        </w:rPr>
        <w:t>Accessed 1</w:t>
      </w:r>
      <w:r>
        <w:rPr>
          <w:rFonts w:asciiTheme="minorHAnsi" w:hAnsiTheme="minorHAnsi"/>
          <w:sz w:val="22"/>
          <w:szCs w:val="22"/>
        </w:rPr>
        <w:t xml:space="preserve"> March 2</w:t>
      </w:r>
      <w:r w:rsidRPr="0055539D">
        <w:rPr>
          <w:rFonts w:asciiTheme="minorHAnsi" w:hAnsiTheme="minorHAnsi"/>
          <w:sz w:val="22"/>
          <w:szCs w:val="22"/>
        </w:rPr>
        <w:t>018</w:t>
      </w:r>
      <w:r>
        <w:rPr>
          <w:rFonts w:asciiTheme="minorHAnsi" w:hAnsiTheme="minorHAnsi"/>
          <w:sz w:val="22"/>
          <w:szCs w:val="22"/>
        </w:rPr>
        <w:t>&gt;</w:t>
      </w:r>
      <w:r w:rsidRPr="0055539D">
        <w:rPr>
          <w:rFonts w:asciiTheme="minorHAnsi" w:hAnsiTheme="minorHAnsi"/>
          <w:sz w:val="22"/>
          <w:szCs w:val="22"/>
        </w:rPr>
        <w:t xml:space="preserve"> </w:t>
      </w:r>
    </w:p>
    <w:p w:rsidR="00BA4FE1" w:rsidRDefault="00BA4FE1" w:rsidP="00BA4FE1">
      <w:pPr>
        <w:pStyle w:val="Default"/>
        <w:rPr>
          <w:rFonts w:asciiTheme="minorHAnsi" w:hAnsiTheme="minorHAnsi"/>
          <w:sz w:val="22"/>
          <w:szCs w:val="22"/>
        </w:rPr>
      </w:pPr>
    </w:p>
    <w:p w:rsidR="00BA4FE1" w:rsidRPr="006578B0" w:rsidRDefault="00BA4FE1" w:rsidP="00A9559F">
      <w:pPr>
        <w:spacing w:line="240" w:lineRule="auto"/>
      </w:pPr>
      <w:r w:rsidRPr="006578B0">
        <w:rPr>
          <w:rStyle w:val="exlavailabilitycallnumber"/>
          <w:rFonts w:cs="Arial"/>
          <w:bdr w:val="none" w:sz="0" w:space="0" w:color="auto" w:frame="1"/>
        </w:rPr>
        <w:t>McGrath, C.,</w:t>
      </w:r>
      <w:r w:rsidRPr="006578B0">
        <w:rPr>
          <w:rFonts w:cs="GillSansMT"/>
        </w:rPr>
        <w:t xml:space="preserve"> ‘The Apple in Early Irish Narrative Tradition: A Thoroughly Christian Symbol?’ In </w:t>
      </w:r>
      <w:r w:rsidRPr="006578B0">
        <w:rPr>
          <w:rFonts w:cs="GillSansMT"/>
          <w:i/>
        </w:rPr>
        <w:t>Studia Celtica Fennica</w:t>
      </w:r>
      <w:r w:rsidRPr="006578B0">
        <w:rPr>
          <w:rFonts w:cs="GillSansMT"/>
        </w:rPr>
        <w:t xml:space="preserve"> VII: (2010), 18-25 [Online: </w:t>
      </w:r>
      <w:hyperlink r:id="rId34" w:history="1">
        <w:r w:rsidRPr="006578B0">
          <w:rPr>
            <w:rStyle w:val="Hyperlink"/>
          </w:rPr>
          <w:t>http://www.sfks.org/SC_VI_2009_24112010.pdf</w:t>
        </w:r>
      </w:hyperlink>
      <w:r>
        <w:t xml:space="preserve"> ] &lt;Accessed </w:t>
      </w:r>
      <w:r w:rsidRPr="006578B0">
        <w:t>5</w:t>
      </w:r>
      <w:r>
        <w:t xml:space="preserve"> and 29 March 20</w:t>
      </w:r>
      <w:r w:rsidRPr="006578B0">
        <w:t>18&gt;</w:t>
      </w:r>
    </w:p>
    <w:p w:rsidR="00BA4FE1" w:rsidRDefault="00BA4FE1" w:rsidP="00BA4FE1">
      <w:r>
        <w:lastRenderedPageBreak/>
        <w:t xml:space="preserve">Mackillop, J., </w:t>
      </w:r>
      <w:r w:rsidRPr="003D1DDA">
        <w:rPr>
          <w:i/>
        </w:rPr>
        <w:t>Dictionary of Celtic Mythology</w:t>
      </w:r>
      <w:r>
        <w:t>, (Oxford:  Oxford University Press, 1998) 15-16</w:t>
      </w:r>
    </w:p>
    <w:p w:rsidR="00BA4FE1" w:rsidRPr="00EA442B" w:rsidRDefault="00E255EC" w:rsidP="00A9559F">
      <w:pPr>
        <w:spacing w:line="240" w:lineRule="auto"/>
        <w:textAlignment w:val="baseline"/>
        <w:rPr>
          <w:rFonts w:cs="Helvetica"/>
        </w:rPr>
      </w:pPr>
      <w:hyperlink r:id="rId35" w:tooltip="Search for Mackley, Jude S." w:history="1">
        <w:r w:rsidR="00BA4FE1" w:rsidRPr="00EA442B">
          <w:rPr>
            <w:rStyle w:val="Hyperlink"/>
            <w:rFonts w:cs="Helvetica"/>
            <w:color w:val="auto"/>
            <w:bdr w:val="none" w:sz="0" w:space="0" w:color="auto" w:frame="1"/>
          </w:rPr>
          <w:t>Mackley, J. S.</w:t>
        </w:r>
      </w:hyperlink>
      <w:r w:rsidR="00BA4FE1" w:rsidRPr="00EA442B">
        <w:t>, ‘</w:t>
      </w:r>
      <w:r w:rsidR="00BA4FE1" w:rsidRPr="00EA442B">
        <w:rPr>
          <w:rFonts w:cs="Helvetica"/>
        </w:rPr>
        <w:t xml:space="preserve">Book Review </w:t>
      </w:r>
      <w:hyperlink r:id="rId36" w:tooltip="Search for SEAFARING Saint, The (Book)" w:history="1">
        <w:r w:rsidR="00BA4FE1" w:rsidRPr="00EA442B">
          <w:rPr>
            <w:rStyle w:val="Hyperlink"/>
            <w:rFonts w:cs="Helvetica"/>
            <w:color w:val="auto"/>
            <w:bdr w:val="none" w:sz="0" w:space="0" w:color="auto" w:frame="1"/>
          </w:rPr>
          <w:t>SEAFARING Saint, The (Book)</w:t>
        </w:r>
      </w:hyperlink>
      <w:r w:rsidR="00BA4FE1" w:rsidRPr="00EA442B">
        <w:t xml:space="preserve"> </w:t>
      </w:r>
      <w:r w:rsidR="00BA4FE1" w:rsidRPr="00EA442B">
        <w:rPr>
          <w:rFonts w:cs="Helvetica"/>
        </w:rPr>
        <w:t xml:space="preserve">Reviews the book 'The Seafaring Saint: Sources and Analogues of the Twelfth Century 'Voyage of Saint Brendan', by Clara Strijbosch and translated by Thea Summerfield.’ </w:t>
      </w:r>
      <w:r w:rsidR="00BA4FE1">
        <w:rPr>
          <w:rFonts w:cs="Helvetica"/>
        </w:rPr>
        <w:t xml:space="preserve">in </w:t>
      </w:r>
      <w:r w:rsidR="00BA4FE1" w:rsidRPr="00EA442B">
        <w:rPr>
          <w:i/>
        </w:rPr>
        <w:t xml:space="preserve"> </w:t>
      </w:r>
      <w:hyperlink r:id="rId37" w:tooltip="Search for Medium Aevum" w:history="1">
        <w:r w:rsidR="00BA4FE1" w:rsidRPr="00EA442B">
          <w:rPr>
            <w:rStyle w:val="Hyperlink"/>
            <w:rFonts w:cs="Helvetica"/>
            <w:i/>
            <w:color w:val="auto"/>
            <w:bdr w:val="none" w:sz="0" w:space="0" w:color="auto" w:frame="1"/>
          </w:rPr>
          <w:t>Medium Aevum</w:t>
        </w:r>
      </w:hyperlink>
      <w:r w:rsidR="00BA4FE1" w:rsidRPr="00EA442B">
        <w:rPr>
          <w:i/>
        </w:rPr>
        <w:t xml:space="preserve"> </w:t>
      </w:r>
      <w:r w:rsidR="00BA4FE1" w:rsidRPr="00EA442B">
        <w:t xml:space="preserve">71 (1): </w:t>
      </w:r>
      <w:r w:rsidR="00BA4FE1" w:rsidRPr="00EA442B">
        <w:rPr>
          <w:rFonts w:cs="Helvetica"/>
          <w:i/>
        </w:rPr>
        <w:t xml:space="preserve"> (</w:t>
      </w:r>
      <w:r w:rsidR="00BA4FE1" w:rsidRPr="00EA442B">
        <w:rPr>
          <w:rFonts w:cs="Helvetica"/>
        </w:rPr>
        <w:t>2002), 160</w:t>
      </w:r>
    </w:p>
    <w:p w:rsidR="00BA4FE1" w:rsidRPr="00685EF3" w:rsidRDefault="00BA4FE1" w:rsidP="00A9559F">
      <w:pPr>
        <w:autoSpaceDE w:val="0"/>
        <w:autoSpaceDN w:val="0"/>
        <w:adjustRightInd w:val="0"/>
        <w:spacing w:after="0" w:line="240" w:lineRule="auto"/>
        <w:rPr>
          <w:rFonts w:cs="Times New Roman"/>
          <w:i/>
        </w:rPr>
      </w:pPr>
      <w:r w:rsidRPr="00685EF3">
        <w:rPr>
          <w:rFonts w:cs="Times New Roman"/>
          <w:iCs/>
        </w:rPr>
        <w:t xml:space="preserve">Mac Mathúna, S., ‘Review of:  </w:t>
      </w:r>
      <w:r w:rsidRPr="00685EF3">
        <w:rPr>
          <w:rFonts w:cs="Times New Roman"/>
          <w:i/>
          <w:iCs/>
        </w:rPr>
        <w:t xml:space="preserve">The Seafaring Saint: Sources and Analogues of the Twelfth-Century Voyage of Saint Brendan. </w:t>
      </w:r>
      <w:r w:rsidRPr="00685EF3">
        <w:rPr>
          <w:rFonts w:cs="Times New Roman"/>
          <w:i/>
        </w:rPr>
        <w:t>By Clara Strijbosch. Translated by Thea Summerfield,</w:t>
      </w:r>
    </w:p>
    <w:p w:rsidR="00BA4FE1" w:rsidRPr="00685EF3" w:rsidRDefault="00BA4FE1" w:rsidP="00A9559F">
      <w:pPr>
        <w:shd w:val="clear" w:color="auto" w:fill="FFFFFF"/>
        <w:spacing w:line="240" w:lineRule="auto"/>
        <w:rPr>
          <w:rFonts w:eastAsia="Times New Roman" w:cs="Arial"/>
          <w:lang w:eastAsia="en-GB"/>
        </w:rPr>
      </w:pPr>
      <w:r w:rsidRPr="00685EF3">
        <w:rPr>
          <w:rFonts w:cs="Times New Roman"/>
          <w:i/>
        </w:rPr>
        <w:t xml:space="preserve">(Dublin: Four Courts Press, Distributed by ISBS, Portland, Oregon, 2000)’ in </w:t>
      </w:r>
      <w:r w:rsidRPr="00685EF3">
        <w:rPr>
          <w:rFonts w:eastAsia="Times New Roman" w:cs="Arial"/>
          <w:i/>
          <w:lang w:eastAsia="en-GB"/>
        </w:rPr>
        <w:t>The Catholic Historical Review</w:t>
      </w:r>
      <w:r w:rsidRPr="00685EF3">
        <w:rPr>
          <w:rFonts w:eastAsia="Times New Roman" w:cs="Arial"/>
          <w:lang w:eastAsia="en-GB"/>
        </w:rPr>
        <w:t>,</w:t>
      </w:r>
      <w:r w:rsidRPr="00685EF3">
        <w:rPr>
          <w:color w:val="333333"/>
        </w:rPr>
        <w:t>91 (1):</w:t>
      </w:r>
      <w:r w:rsidRPr="00685EF3">
        <w:rPr>
          <w:rFonts w:eastAsia="Times New Roman" w:cs="Arial"/>
          <w:lang w:eastAsia="en-GB"/>
        </w:rPr>
        <w:t xml:space="preserve"> (2005)</w:t>
      </w:r>
      <w:r w:rsidRPr="00685EF3">
        <w:rPr>
          <w:color w:val="333333"/>
        </w:rPr>
        <w:t>, 138-139</w:t>
      </w:r>
      <w:r>
        <w:rPr>
          <w:color w:val="333333"/>
        </w:rPr>
        <w:t>,</w:t>
      </w:r>
      <w:r w:rsidRPr="00685EF3">
        <w:rPr>
          <w:rFonts w:eastAsia="Times New Roman" w:cs="Arial"/>
          <w:color w:val="006621"/>
          <w:lang w:eastAsia="en-GB"/>
        </w:rPr>
        <w:t xml:space="preserve"> </w:t>
      </w:r>
      <w:r w:rsidRPr="00685EF3">
        <w:rPr>
          <w:rFonts w:eastAsia="Times New Roman" w:cs="Arial"/>
          <w:lang w:eastAsia="en-GB"/>
        </w:rPr>
        <w:t xml:space="preserve"> [Online at</w:t>
      </w:r>
      <w:r w:rsidRPr="00685EF3">
        <w:t xml:space="preserve"> </w:t>
      </w:r>
      <w:hyperlink r:id="rId38" w:anchor="AN=16742984&amp;db=rlh" w:history="1">
        <w:r w:rsidRPr="00685EF3">
          <w:rPr>
            <w:rStyle w:val="Hyperlink"/>
            <w:rFonts w:eastAsia="Times New Roman" w:cs="Arial"/>
            <w:lang w:eastAsia="en-GB"/>
          </w:rPr>
          <w:t>https://web-b-ebscohost-com.ezproxy.uwtsd.ac.uk/ehost/detail/detail?vid=0&amp;sid=61a99982-9051-4928-9f7c-08baecd79acd%40sessionmgr104&amp;bdata=JnNpdGU9ZWhvc3QtbGl2ZQ%3d%3d#AN=16742984&amp;db=rlh</w:t>
        </w:r>
      </w:hyperlink>
      <w:r w:rsidRPr="00685EF3">
        <w:rPr>
          <w:rFonts w:eastAsia="Times New Roman" w:cs="Arial"/>
          <w:color w:val="006621"/>
          <w:lang w:eastAsia="en-GB"/>
        </w:rPr>
        <w:t xml:space="preserve"> ]</w:t>
      </w:r>
      <w:r>
        <w:rPr>
          <w:rFonts w:eastAsia="Times New Roman" w:cs="Arial"/>
          <w:lang w:eastAsia="en-GB"/>
        </w:rPr>
        <w:t xml:space="preserve"> &lt;Accessed  </w:t>
      </w:r>
      <w:r w:rsidRPr="00685EF3">
        <w:rPr>
          <w:rFonts w:eastAsia="Times New Roman" w:cs="Arial"/>
          <w:lang w:eastAsia="en-GB"/>
        </w:rPr>
        <w:t>5</w:t>
      </w:r>
      <w:r>
        <w:rPr>
          <w:rFonts w:eastAsia="Times New Roman" w:cs="Arial"/>
          <w:lang w:eastAsia="en-GB"/>
        </w:rPr>
        <w:t xml:space="preserve"> March 20</w:t>
      </w:r>
      <w:r w:rsidRPr="00685EF3">
        <w:rPr>
          <w:rFonts w:eastAsia="Times New Roman" w:cs="Arial"/>
          <w:lang w:eastAsia="en-GB"/>
        </w:rPr>
        <w:t>18&gt;</w:t>
      </w:r>
    </w:p>
    <w:p w:rsidR="00BA4FE1" w:rsidRPr="00F673E3" w:rsidRDefault="00BA4FE1" w:rsidP="00A9559F">
      <w:pPr>
        <w:shd w:val="clear" w:color="auto" w:fill="FFFFFF"/>
        <w:spacing w:line="240" w:lineRule="auto"/>
        <w:rPr>
          <w:rFonts w:ascii="Arial" w:eastAsia="Times New Roman" w:hAnsi="Arial" w:cs="Arial"/>
          <w:color w:val="006621"/>
          <w:sz w:val="20"/>
          <w:szCs w:val="20"/>
          <w:lang w:eastAsia="en-GB"/>
        </w:rPr>
      </w:pPr>
      <w:r w:rsidRPr="00FC2407">
        <w:t>Mac Mathúna, S.</w:t>
      </w:r>
      <w:r>
        <w:t xml:space="preserve"> </w:t>
      </w:r>
      <w:r w:rsidRPr="00E122F0">
        <w:rPr>
          <w:i/>
        </w:rPr>
        <w:t>Immram Brain: Bran’s Journey to the Land of the Women</w:t>
      </w:r>
      <w:r>
        <w:t xml:space="preserve">, (Tübingen: Niemeyer , 1985) </w:t>
      </w:r>
    </w:p>
    <w:p w:rsidR="00BA4FE1" w:rsidRDefault="00BA4FE1" w:rsidP="00BA4FE1">
      <w:pPr>
        <w:shd w:val="clear" w:color="auto" w:fill="FEFDFA"/>
        <w:spacing w:line="390" w:lineRule="atLeast"/>
        <w:rPr>
          <w:rStyle w:val="exlavailabilitycallnumber"/>
          <w:rFonts w:cs="Arial"/>
          <w:color w:val="FF0000"/>
          <w:bdr w:val="none" w:sz="0" w:space="0" w:color="auto" w:frame="1"/>
        </w:rPr>
      </w:pPr>
      <w:r w:rsidRPr="008832DF">
        <w:rPr>
          <w:rStyle w:val="exlavailabilitycallnumber"/>
          <w:rFonts w:cs="Arial"/>
          <w:bdr w:val="none" w:sz="0" w:space="0" w:color="auto" w:frame="1"/>
        </w:rPr>
        <w:t>McNeill,</w:t>
      </w:r>
      <w:r>
        <w:rPr>
          <w:rStyle w:val="exlavailabilitycallnumber"/>
          <w:rFonts w:cs="Arial"/>
          <w:bdr w:val="none" w:sz="0" w:space="0" w:color="auto" w:frame="1"/>
        </w:rPr>
        <w:t xml:space="preserve"> </w:t>
      </w:r>
      <w:r w:rsidRPr="008832DF">
        <w:rPr>
          <w:rStyle w:val="exlavailabilitycallnumber"/>
          <w:rFonts w:cs="Arial"/>
          <w:bdr w:val="none" w:sz="0" w:space="0" w:color="auto" w:frame="1"/>
        </w:rPr>
        <w:t>F.M.</w:t>
      </w:r>
      <w:r>
        <w:rPr>
          <w:rStyle w:val="exlavailabilitycallnumber"/>
          <w:rFonts w:cs="Arial"/>
          <w:bdr w:val="none" w:sz="0" w:space="0" w:color="auto" w:frame="1"/>
        </w:rPr>
        <w:t xml:space="preserve">, </w:t>
      </w:r>
      <w:r w:rsidRPr="00855FF9">
        <w:rPr>
          <w:rStyle w:val="exlavailabilitycallnumber"/>
          <w:rFonts w:cs="Arial"/>
          <w:i/>
          <w:bdr w:val="none" w:sz="0" w:space="0" w:color="auto" w:frame="1"/>
        </w:rPr>
        <w:t>The Silver Bough</w:t>
      </w:r>
      <w:r w:rsidRPr="008832DF">
        <w:rPr>
          <w:rStyle w:val="exlavailabilitycallnumber"/>
          <w:rFonts w:cs="Arial"/>
          <w:bdr w:val="none" w:sz="0" w:space="0" w:color="auto" w:frame="1"/>
        </w:rPr>
        <w:t xml:space="preserve"> </w:t>
      </w:r>
      <w:r>
        <w:rPr>
          <w:rStyle w:val="exlavailabilitycallnumber"/>
          <w:rFonts w:cs="Arial"/>
          <w:bdr w:val="none" w:sz="0" w:space="0" w:color="auto" w:frame="1"/>
        </w:rPr>
        <w:t>3</w:t>
      </w:r>
      <w:r w:rsidRPr="00855FF9">
        <w:rPr>
          <w:rStyle w:val="exlavailabilitycallnumber"/>
          <w:rFonts w:cs="Arial"/>
          <w:bdr w:val="none" w:sz="0" w:space="0" w:color="auto" w:frame="1"/>
          <w:vertAlign w:val="superscript"/>
        </w:rPr>
        <w:t>rd</w:t>
      </w:r>
      <w:r>
        <w:rPr>
          <w:rStyle w:val="exlavailabilitycallnumber"/>
          <w:rFonts w:cs="Arial"/>
          <w:bdr w:val="none" w:sz="0" w:space="0" w:color="auto" w:frame="1"/>
        </w:rPr>
        <w:t xml:space="preserve"> edn, (</w:t>
      </w:r>
      <w:r w:rsidRPr="008832DF">
        <w:rPr>
          <w:rStyle w:val="exlavailabilitycallnumber"/>
          <w:rFonts w:cs="Arial"/>
          <w:bdr w:val="none" w:sz="0" w:space="0" w:color="auto" w:frame="1"/>
        </w:rPr>
        <w:t>Edinburgh</w:t>
      </w:r>
      <w:r>
        <w:rPr>
          <w:rStyle w:val="exlavailabilitycallnumber"/>
          <w:rFonts w:cs="Arial"/>
          <w:bdr w:val="none" w:sz="0" w:space="0" w:color="auto" w:frame="1"/>
        </w:rPr>
        <w:t>:</w:t>
      </w:r>
      <w:r w:rsidRPr="008832DF">
        <w:rPr>
          <w:rStyle w:val="exlavailabilitycallnumber"/>
          <w:rFonts w:cs="Arial"/>
          <w:bdr w:val="none" w:sz="0" w:space="0" w:color="auto" w:frame="1"/>
        </w:rPr>
        <w:t xml:space="preserve"> Canon</w:t>
      </w:r>
      <w:r>
        <w:rPr>
          <w:rStyle w:val="exlavailabilitycallnumber"/>
          <w:rFonts w:cs="Arial"/>
          <w:bdr w:val="none" w:sz="0" w:space="0" w:color="auto" w:frame="1"/>
        </w:rPr>
        <w:t xml:space="preserve"> </w:t>
      </w:r>
      <w:r w:rsidRPr="008832DF">
        <w:rPr>
          <w:rStyle w:val="exlavailabilitycallnumber"/>
          <w:rFonts w:cs="Arial"/>
          <w:bdr w:val="none" w:sz="0" w:space="0" w:color="auto" w:frame="1"/>
        </w:rPr>
        <w:t xml:space="preserve">Gate Classics, </w:t>
      </w:r>
      <w:r>
        <w:rPr>
          <w:rStyle w:val="exlavailabilitycallnumber"/>
          <w:rFonts w:cs="Arial"/>
          <w:bdr w:val="none" w:sz="0" w:space="0" w:color="auto" w:frame="1"/>
        </w:rPr>
        <w:t xml:space="preserve">1989) </w:t>
      </w:r>
    </w:p>
    <w:p w:rsidR="00BA4FE1" w:rsidRDefault="00BA4FE1" w:rsidP="00A9559F">
      <w:pPr>
        <w:shd w:val="clear" w:color="auto" w:fill="FEFDFA"/>
        <w:spacing w:line="240" w:lineRule="auto"/>
        <w:rPr>
          <w:rStyle w:val="exlavailabilitycallnumber"/>
          <w:rFonts w:cs="Arial"/>
          <w:bdr w:val="none" w:sz="0" w:space="0" w:color="auto" w:frame="1"/>
        </w:rPr>
      </w:pPr>
      <w:r w:rsidRPr="00783D7E">
        <w:rPr>
          <w:rStyle w:val="exlavailabilitycallnumber"/>
          <w:rFonts w:cs="Arial"/>
          <w:bdr w:val="none" w:sz="0" w:space="0" w:color="auto" w:frame="1"/>
        </w:rPr>
        <w:t>Matthew</w:t>
      </w:r>
      <w:r>
        <w:rPr>
          <w:rStyle w:val="exlavailabilitycallnumber"/>
          <w:rFonts w:cs="Arial"/>
          <w:bdr w:val="none" w:sz="0" w:space="0" w:color="auto" w:frame="1"/>
        </w:rPr>
        <w:t>s</w:t>
      </w:r>
      <w:r w:rsidRPr="00783D7E">
        <w:rPr>
          <w:rStyle w:val="exlavailabilitycallnumber"/>
          <w:rFonts w:cs="Arial"/>
          <w:bdr w:val="none" w:sz="0" w:space="0" w:color="auto" w:frame="1"/>
        </w:rPr>
        <w:t xml:space="preserve">, Caitlin, </w:t>
      </w:r>
      <w:r w:rsidRPr="00783D7E">
        <w:rPr>
          <w:rStyle w:val="exlavailabilitycallnumber"/>
          <w:rFonts w:cs="Arial"/>
          <w:i/>
          <w:bdr w:val="none" w:sz="0" w:space="0" w:color="auto" w:frame="1"/>
        </w:rPr>
        <w:t>The Celtic Book of the Dead</w:t>
      </w:r>
      <w:r>
        <w:rPr>
          <w:rStyle w:val="exlavailabilitycallnumber"/>
          <w:rFonts w:cs="Arial"/>
          <w:i/>
          <w:bdr w:val="none" w:sz="0" w:space="0" w:color="auto" w:frame="1"/>
        </w:rPr>
        <w:t>: A Guide for your Voyage to the Celtic Otherworld</w:t>
      </w:r>
      <w:r>
        <w:rPr>
          <w:rStyle w:val="exlavailabilitycallnumber"/>
          <w:rFonts w:cs="Arial"/>
          <w:bdr w:val="none" w:sz="0" w:space="0" w:color="auto" w:frame="1"/>
        </w:rPr>
        <w:t xml:space="preserve"> </w:t>
      </w:r>
      <w:r w:rsidRPr="00783D7E">
        <w:rPr>
          <w:rStyle w:val="exlavailabilitycallnumber"/>
          <w:rFonts w:cs="Arial"/>
          <w:bdr w:val="none" w:sz="0" w:space="0" w:color="auto" w:frame="1"/>
        </w:rPr>
        <w:t xml:space="preserve">(New York: St </w:t>
      </w:r>
      <w:r>
        <w:rPr>
          <w:rStyle w:val="exlavailabilitycallnumber"/>
          <w:rFonts w:cs="Arial"/>
          <w:bdr w:val="none" w:sz="0" w:space="0" w:color="auto" w:frame="1"/>
        </w:rPr>
        <w:t>M</w:t>
      </w:r>
      <w:r w:rsidRPr="00783D7E">
        <w:rPr>
          <w:rStyle w:val="exlavailabilitycallnumber"/>
          <w:rFonts w:cs="Arial"/>
          <w:bdr w:val="none" w:sz="0" w:space="0" w:color="auto" w:frame="1"/>
        </w:rPr>
        <w:t>artin</w:t>
      </w:r>
      <w:r>
        <w:rPr>
          <w:rStyle w:val="exlavailabilitycallnumber"/>
          <w:rFonts w:cs="Arial"/>
          <w:bdr w:val="none" w:sz="0" w:space="0" w:color="auto" w:frame="1"/>
        </w:rPr>
        <w:t>’</w:t>
      </w:r>
      <w:r w:rsidRPr="00783D7E">
        <w:rPr>
          <w:rStyle w:val="exlavailabilitycallnumber"/>
          <w:rFonts w:cs="Arial"/>
          <w:bdr w:val="none" w:sz="0" w:space="0" w:color="auto" w:frame="1"/>
        </w:rPr>
        <w:t>s</w:t>
      </w:r>
      <w:r>
        <w:rPr>
          <w:rStyle w:val="exlavailabilitycallnumber"/>
          <w:rFonts w:cs="Arial"/>
          <w:bdr w:val="none" w:sz="0" w:space="0" w:color="auto" w:frame="1"/>
        </w:rPr>
        <w:t xml:space="preserve"> </w:t>
      </w:r>
      <w:r w:rsidRPr="00783D7E">
        <w:rPr>
          <w:rStyle w:val="exlavailabilitycallnumber"/>
          <w:rFonts w:cs="Arial"/>
          <w:bdr w:val="none" w:sz="0" w:space="0" w:color="auto" w:frame="1"/>
        </w:rPr>
        <w:t>Press</w:t>
      </w:r>
      <w:r>
        <w:rPr>
          <w:rStyle w:val="exlavailabilitycallnumber"/>
          <w:rFonts w:cs="Arial"/>
          <w:bdr w:val="none" w:sz="0" w:space="0" w:color="auto" w:frame="1"/>
        </w:rPr>
        <w:t>, 1992)</w:t>
      </w:r>
    </w:p>
    <w:p w:rsidR="00A52F6D" w:rsidRDefault="00A52F6D" w:rsidP="00A52F6D">
      <w:pPr>
        <w:shd w:val="clear" w:color="auto" w:fill="FEFDFA"/>
        <w:spacing w:line="240" w:lineRule="auto"/>
      </w:pPr>
      <w:r>
        <w:t xml:space="preserve">Murphy, A., The Cygnus Enigma, Mythical Ireland.com. Available: </w:t>
      </w:r>
      <w:hyperlink r:id="rId39" w:history="1">
        <w:r w:rsidRPr="00092458">
          <w:rPr>
            <w:rStyle w:val="Hyperlink"/>
          </w:rPr>
          <w:t>https://mythicalireland.com/astronomy/the-cygnus-enigma/</w:t>
        </w:r>
      </w:hyperlink>
      <w:r>
        <w:t xml:space="preserve"> &lt;Accessed300318&gt;</w:t>
      </w:r>
    </w:p>
    <w:p w:rsidR="00576212" w:rsidRDefault="00576212" w:rsidP="00A9559F">
      <w:pPr>
        <w:autoSpaceDE w:val="0"/>
        <w:autoSpaceDN w:val="0"/>
        <w:adjustRightInd w:val="0"/>
        <w:spacing w:after="0" w:line="240" w:lineRule="auto"/>
        <w:rPr>
          <w:rFonts w:cs="Arial"/>
        </w:rPr>
      </w:pPr>
      <w:r>
        <w:rPr>
          <w:rStyle w:val="exlavailabilitycallnumber"/>
          <w:rFonts w:cs="Arial"/>
          <w:bdr w:val="none" w:sz="0" w:space="0" w:color="auto" w:frame="1"/>
        </w:rPr>
        <w:t>Nash Briggs, D., ‘</w:t>
      </w:r>
      <w:r w:rsidRPr="001C1163">
        <w:rPr>
          <w:rFonts w:cs="Arial"/>
        </w:rPr>
        <w:t xml:space="preserve">Reading the images on Iron </w:t>
      </w:r>
      <w:r>
        <w:rPr>
          <w:rFonts w:cs="Arial"/>
        </w:rPr>
        <w:t>Age</w:t>
      </w:r>
      <w:r w:rsidRPr="001C1163">
        <w:rPr>
          <w:rFonts w:cs="Arial"/>
        </w:rPr>
        <w:t xml:space="preserve"> coins: One Eye</w:t>
      </w:r>
      <w:r>
        <w:rPr>
          <w:rFonts w:cs="Arial"/>
        </w:rPr>
        <w:t xml:space="preserve">’ in </w:t>
      </w:r>
      <w:r w:rsidRPr="001C1163">
        <w:rPr>
          <w:rFonts w:cs="Arial"/>
          <w:i/>
        </w:rPr>
        <w:t>Chris Rudd List</w:t>
      </w:r>
      <w:r>
        <w:rPr>
          <w:rFonts w:cs="Arial"/>
          <w:i/>
        </w:rPr>
        <w:t xml:space="preserve"> </w:t>
      </w:r>
      <w:r>
        <w:rPr>
          <w:rFonts w:cs="Arial"/>
        </w:rPr>
        <w:t xml:space="preserve">112: (2010) [Online: </w:t>
      </w:r>
      <w:hyperlink r:id="rId40" w:history="1">
        <w:r w:rsidRPr="00597AD4">
          <w:rPr>
            <w:rStyle w:val="Hyperlink"/>
            <w:rFonts w:cs="Arial"/>
          </w:rPr>
          <w:t>https://www.academia.edu/27787447/Reading_the_images_on_Iron_Age_coins_4._One_eye</w:t>
        </w:r>
      </w:hyperlink>
      <w:r>
        <w:rPr>
          <w:rFonts w:cs="Arial"/>
        </w:rPr>
        <w:t xml:space="preserve"> ] &lt;Accessed 11 February 2018&gt;</w:t>
      </w:r>
    </w:p>
    <w:p w:rsidR="00576212" w:rsidRDefault="00576212" w:rsidP="00576212">
      <w:pPr>
        <w:autoSpaceDE w:val="0"/>
        <w:autoSpaceDN w:val="0"/>
        <w:adjustRightInd w:val="0"/>
        <w:spacing w:after="0" w:line="240" w:lineRule="auto"/>
        <w:rPr>
          <w:rFonts w:cs="Arial"/>
        </w:rPr>
      </w:pPr>
    </w:p>
    <w:p w:rsidR="00576212" w:rsidRPr="001C1163" w:rsidRDefault="00576212" w:rsidP="00A9559F">
      <w:pPr>
        <w:spacing w:line="240" w:lineRule="auto"/>
        <w:rPr>
          <w:rFonts w:ascii="Arial" w:hAnsi="Arial" w:cs="Arial"/>
          <w:sz w:val="43"/>
          <w:szCs w:val="43"/>
        </w:rPr>
      </w:pPr>
      <w:r>
        <w:rPr>
          <w:rFonts w:cs="Arial"/>
        </w:rPr>
        <w:t>Nash Briggs, D., ‘The Chronology of Celtic Coinage in Gaul: The Avernian ‘Hegemony’ Reconsidered’ Reprinted from the</w:t>
      </w:r>
      <w:r w:rsidRPr="00F637FD">
        <w:rPr>
          <w:rFonts w:cs="Arial"/>
          <w:i/>
        </w:rPr>
        <w:t xml:space="preserve"> Numismatic Chronicle</w:t>
      </w:r>
      <w:r>
        <w:rPr>
          <w:rFonts w:cs="Arial"/>
          <w:i/>
        </w:rPr>
        <w:t>,</w:t>
      </w:r>
      <w:r>
        <w:rPr>
          <w:rFonts w:cs="Arial"/>
        </w:rPr>
        <w:t xml:space="preserve"> 7</w:t>
      </w:r>
      <w:r w:rsidRPr="00B41348">
        <w:rPr>
          <w:rFonts w:cs="Arial"/>
          <w:vertAlign w:val="superscript"/>
        </w:rPr>
        <w:t>th</w:t>
      </w:r>
      <w:r>
        <w:rPr>
          <w:rFonts w:cs="Arial"/>
        </w:rPr>
        <w:t xml:space="preserve"> series, XV: (1975),  [Online: </w:t>
      </w:r>
      <w:hyperlink r:id="rId41" w:history="1">
        <w:r w:rsidRPr="00597AD4">
          <w:rPr>
            <w:rStyle w:val="Hyperlink"/>
            <w:rFonts w:cs="Arial"/>
          </w:rPr>
          <w:t>https://www.academia.edu/36087709/Nash_1975_Arverni_NC</w:t>
        </w:r>
      </w:hyperlink>
      <w:r>
        <w:rPr>
          <w:rFonts w:cs="Arial"/>
        </w:rPr>
        <w:t>] &lt;Accessed</w:t>
      </w:r>
      <w:r>
        <w:t xml:space="preserve"> 6 March 2018&gt;</w:t>
      </w:r>
    </w:p>
    <w:p w:rsidR="00576212" w:rsidRPr="0055539D" w:rsidRDefault="00576212" w:rsidP="00A9559F">
      <w:pPr>
        <w:shd w:val="clear" w:color="auto" w:fill="FFFFFF"/>
        <w:spacing w:line="240" w:lineRule="auto"/>
      </w:pPr>
      <w:r w:rsidRPr="0055539D">
        <w:rPr>
          <w:rStyle w:val="exlavailabilitycallnumber"/>
          <w:rFonts w:cs="Arial"/>
          <w:bdr w:val="none" w:sz="0" w:space="0" w:color="auto" w:frame="1"/>
        </w:rPr>
        <w:t>Nagy, J, F.,</w:t>
      </w:r>
      <w:r>
        <w:rPr>
          <w:rStyle w:val="exlavailabilitycallnumber"/>
          <w:rFonts w:cs="Arial"/>
          <w:bdr w:val="none" w:sz="0" w:space="0" w:color="auto" w:frame="1"/>
        </w:rPr>
        <w:t xml:space="preserve"> ‘</w:t>
      </w:r>
      <w:r w:rsidRPr="00023635">
        <w:rPr>
          <w:rStyle w:val="exlavailabilitycallnumber"/>
          <w:rFonts w:cs="Arial"/>
          <w:bdr w:val="none" w:sz="0" w:space="0" w:color="auto" w:frame="1"/>
        </w:rPr>
        <w:t>Staging the Otherworld in Medieval Irish Tradition</w:t>
      </w:r>
      <w:r>
        <w:rPr>
          <w:rStyle w:val="exlavailabilitycallnumber"/>
          <w:rFonts w:cs="Arial"/>
          <w:bdr w:val="none" w:sz="0" w:space="0" w:color="auto" w:frame="1"/>
        </w:rPr>
        <w:t xml:space="preserve">’ in </w:t>
      </w:r>
      <w:r w:rsidRPr="003235EF">
        <w:rPr>
          <w:rFonts w:cs="Futura-Book"/>
        </w:rPr>
        <w:t>Bergholm</w:t>
      </w:r>
      <w:r>
        <w:rPr>
          <w:rFonts w:cs="Futura-Book"/>
        </w:rPr>
        <w:t xml:space="preserve"> , A., and</w:t>
      </w:r>
      <w:r w:rsidRPr="00023635">
        <w:rPr>
          <w:rFonts w:cs="Futura-Book"/>
        </w:rPr>
        <w:t xml:space="preserve"> </w:t>
      </w:r>
      <w:r w:rsidRPr="003235EF">
        <w:rPr>
          <w:rFonts w:cs="Futura-Book"/>
        </w:rPr>
        <w:t>Ritari</w:t>
      </w:r>
      <w:r>
        <w:rPr>
          <w:rFonts w:cs="Futura-Book"/>
        </w:rPr>
        <w:t xml:space="preserve">, K., eds, </w:t>
      </w:r>
      <w:r w:rsidRPr="003235EF">
        <w:rPr>
          <w:rFonts w:cs="Futura-Book"/>
        </w:rPr>
        <w:t xml:space="preserve"> </w:t>
      </w:r>
      <w:r w:rsidRPr="00023635">
        <w:rPr>
          <w:rFonts w:cs="Lithos-Regular"/>
          <w:i/>
        </w:rPr>
        <w:t xml:space="preserve">New Approaches to Celtic Religion and Mythology: </w:t>
      </w:r>
      <w:r w:rsidRPr="00023635">
        <w:rPr>
          <w:rFonts w:cs="Futura-Book"/>
          <w:i/>
        </w:rPr>
        <w:t>Understanding Celtic Religion Revisiting the Pagan Past</w:t>
      </w:r>
      <w:r>
        <w:rPr>
          <w:rFonts w:cs="Futura-Book"/>
        </w:rPr>
        <w:t>. (</w:t>
      </w:r>
      <w:r w:rsidRPr="003235EF">
        <w:rPr>
          <w:rFonts w:cs="GentiumBasic"/>
        </w:rPr>
        <w:t>Cardiff</w:t>
      </w:r>
      <w:r>
        <w:rPr>
          <w:rFonts w:cs="GentiumBasic"/>
        </w:rPr>
        <w:t>: U</w:t>
      </w:r>
      <w:r w:rsidRPr="003235EF">
        <w:rPr>
          <w:rFonts w:cs="GentiumBasic"/>
        </w:rPr>
        <w:t>niversity of</w:t>
      </w:r>
      <w:r>
        <w:rPr>
          <w:rFonts w:cs="GentiumBasic"/>
        </w:rPr>
        <w:t xml:space="preserve"> W</w:t>
      </w:r>
      <w:r w:rsidRPr="003235EF">
        <w:rPr>
          <w:rFonts w:cs="GentiumBasic"/>
        </w:rPr>
        <w:t xml:space="preserve">ales </w:t>
      </w:r>
      <w:r>
        <w:rPr>
          <w:rFonts w:cs="GentiumBasic"/>
        </w:rPr>
        <w:t>P</w:t>
      </w:r>
      <w:r w:rsidRPr="003235EF">
        <w:rPr>
          <w:rFonts w:cs="GentiumBasic"/>
        </w:rPr>
        <w:t>ress</w:t>
      </w:r>
      <w:r>
        <w:rPr>
          <w:rFonts w:cs="GentiumBasic"/>
        </w:rPr>
        <w:t>,</w:t>
      </w:r>
      <w:r w:rsidRPr="003235EF">
        <w:rPr>
          <w:rFonts w:cs="GentiumBasic"/>
        </w:rPr>
        <w:t xml:space="preserve"> 2015</w:t>
      </w:r>
      <w:r>
        <w:rPr>
          <w:rFonts w:cs="GentiumBasic"/>
        </w:rPr>
        <w:t xml:space="preserve">), available at </w:t>
      </w:r>
      <w:hyperlink r:id="rId42" w:history="1">
        <w:r w:rsidRPr="00597AD4">
          <w:rPr>
            <w:rStyle w:val="Hyperlink"/>
            <w:rFonts w:cs="GentiumBasic"/>
          </w:rPr>
          <w:t>https://www-dawsonera-com.ezproxy.uwtsd.ac.uk/readonline/9781783167937</w:t>
        </w:r>
      </w:hyperlink>
      <w:r>
        <w:rPr>
          <w:rFonts w:cs="GentiumBasic"/>
        </w:rPr>
        <w:t xml:space="preserve"> </w:t>
      </w:r>
      <w:r>
        <w:t>&lt;Accessed 28 March 2018&gt;</w:t>
      </w:r>
    </w:p>
    <w:p w:rsidR="00576212" w:rsidRDefault="00576212" w:rsidP="00A9559F">
      <w:pPr>
        <w:shd w:val="clear" w:color="auto" w:fill="FFFFFF"/>
        <w:spacing w:line="240" w:lineRule="auto"/>
        <w:ind w:right="150"/>
        <w:textAlignment w:val="top"/>
        <w:rPr>
          <w:rFonts w:cs="Times"/>
          <w:bCs/>
          <w:spacing w:val="3"/>
        </w:rPr>
      </w:pPr>
      <w:r w:rsidRPr="008832DF">
        <w:rPr>
          <w:rStyle w:val="exlavailabilitycallnumber"/>
          <w:rFonts w:cs="Arial"/>
          <w:bdr w:val="none" w:sz="0" w:space="0" w:color="auto" w:frame="1"/>
        </w:rPr>
        <w:t>November, J</w:t>
      </w:r>
      <w:r>
        <w:rPr>
          <w:rStyle w:val="exlavailabilitycallnumber"/>
          <w:rFonts w:cs="Arial"/>
          <w:bdr w:val="none" w:sz="0" w:space="0" w:color="auto" w:frame="1"/>
        </w:rPr>
        <w:t>.</w:t>
      </w:r>
      <w:r w:rsidRPr="008832DF">
        <w:rPr>
          <w:rStyle w:val="exlavailabilitycallnumber"/>
          <w:rFonts w:cs="Arial"/>
          <w:bdr w:val="none" w:sz="0" w:space="0" w:color="auto" w:frame="1"/>
        </w:rPr>
        <w:t xml:space="preserve">, </w:t>
      </w:r>
      <w:r>
        <w:rPr>
          <w:rStyle w:val="exlavailabilitycallnumber"/>
          <w:rFonts w:cs="Arial"/>
          <w:bdr w:val="none" w:sz="0" w:space="0" w:color="auto" w:frame="1"/>
        </w:rPr>
        <w:t>‘</w:t>
      </w:r>
      <w:r w:rsidRPr="008832DF">
        <w:rPr>
          <w:rFonts w:cs="Times"/>
          <w:bCs/>
          <w:spacing w:val="3"/>
        </w:rPr>
        <w:t>Human evolution: Ancient DNA steps into the language debate</w:t>
      </w:r>
      <w:r>
        <w:rPr>
          <w:rFonts w:cs="Times"/>
          <w:bCs/>
          <w:spacing w:val="3"/>
        </w:rPr>
        <w:t>’</w:t>
      </w:r>
      <w:r w:rsidRPr="008832DF">
        <w:rPr>
          <w:rFonts w:cs="Times"/>
          <w:bCs/>
          <w:spacing w:val="3"/>
        </w:rPr>
        <w:t xml:space="preserve"> </w:t>
      </w:r>
      <w:r w:rsidRPr="00855FF9">
        <w:rPr>
          <w:rFonts w:cs="Times"/>
          <w:bCs/>
          <w:i/>
          <w:spacing w:val="3"/>
        </w:rPr>
        <w:t>Nature</w:t>
      </w:r>
      <w:r w:rsidRPr="008832DF">
        <w:rPr>
          <w:rFonts w:cs="Times"/>
          <w:bCs/>
          <w:spacing w:val="3"/>
        </w:rPr>
        <w:t xml:space="preserve"> 522</w:t>
      </w:r>
      <w:r>
        <w:rPr>
          <w:rFonts w:cs="Times"/>
          <w:bCs/>
          <w:spacing w:val="3"/>
        </w:rPr>
        <w:t>:</w:t>
      </w:r>
      <w:r w:rsidRPr="008832DF">
        <w:rPr>
          <w:rFonts w:cs="Times"/>
          <w:bCs/>
          <w:spacing w:val="3"/>
        </w:rPr>
        <w:t xml:space="preserve"> </w:t>
      </w:r>
      <w:r>
        <w:rPr>
          <w:rFonts w:cs="Times"/>
          <w:bCs/>
          <w:spacing w:val="3"/>
        </w:rPr>
        <w:t>(</w:t>
      </w:r>
      <w:r w:rsidRPr="008832DF">
        <w:rPr>
          <w:rStyle w:val="exlavailabilitycallnumber"/>
          <w:rFonts w:cs="Arial"/>
          <w:bdr w:val="none" w:sz="0" w:space="0" w:color="auto" w:frame="1"/>
        </w:rPr>
        <w:t>2015</w:t>
      </w:r>
      <w:r>
        <w:rPr>
          <w:rStyle w:val="exlavailabilitycallnumber"/>
          <w:rFonts w:cs="Arial"/>
          <w:bdr w:val="none" w:sz="0" w:space="0" w:color="auto" w:frame="1"/>
        </w:rPr>
        <w:t>)</w:t>
      </w:r>
      <w:r w:rsidRPr="00855FF9">
        <w:rPr>
          <w:rFonts w:cs="Times"/>
          <w:bCs/>
          <w:spacing w:val="3"/>
        </w:rPr>
        <w:t xml:space="preserve"> </w:t>
      </w:r>
      <w:r w:rsidRPr="008832DF">
        <w:rPr>
          <w:rFonts w:cs="Times"/>
          <w:bCs/>
          <w:spacing w:val="3"/>
        </w:rPr>
        <w:t xml:space="preserve">164-165 </w:t>
      </w:r>
      <w:r>
        <w:rPr>
          <w:rFonts w:cs="Times"/>
          <w:bCs/>
          <w:spacing w:val="3"/>
        </w:rPr>
        <w:t xml:space="preserve">[Online: </w:t>
      </w:r>
      <w:hyperlink r:id="rId43" w:history="1">
        <w:r w:rsidRPr="00855FF9">
          <w:rPr>
            <w:rStyle w:val="Hyperlink"/>
            <w:rFonts w:cs="Times"/>
            <w:bCs/>
            <w:color w:val="548DD4" w:themeColor="text2" w:themeTint="99"/>
            <w:spacing w:val="3"/>
          </w:rPr>
          <w:t>https://www.nature.com/articles/522164a</w:t>
        </w:r>
      </w:hyperlink>
      <w:r w:rsidRPr="00855FF9">
        <w:t>]</w:t>
      </w:r>
      <w:r>
        <w:t xml:space="preserve"> </w:t>
      </w:r>
      <w:r>
        <w:rPr>
          <w:rFonts w:cs="Times"/>
          <w:bCs/>
          <w:spacing w:val="3"/>
        </w:rPr>
        <w:t xml:space="preserve">&lt;Accessed </w:t>
      </w:r>
      <w:r w:rsidRPr="008832DF">
        <w:rPr>
          <w:rFonts w:cs="Times"/>
          <w:bCs/>
          <w:spacing w:val="3"/>
        </w:rPr>
        <w:t>7</w:t>
      </w:r>
      <w:r>
        <w:rPr>
          <w:rFonts w:cs="Times"/>
          <w:bCs/>
          <w:spacing w:val="3"/>
        </w:rPr>
        <w:t xml:space="preserve"> January 20</w:t>
      </w:r>
      <w:r w:rsidRPr="008832DF">
        <w:rPr>
          <w:rFonts w:cs="Times"/>
          <w:bCs/>
          <w:spacing w:val="3"/>
        </w:rPr>
        <w:t>18</w:t>
      </w:r>
      <w:r>
        <w:rPr>
          <w:rFonts w:cs="Times"/>
          <w:bCs/>
          <w:spacing w:val="3"/>
        </w:rPr>
        <w:t>&gt;</w:t>
      </w:r>
      <w:r w:rsidRPr="008832DF">
        <w:rPr>
          <w:rFonts w:cs="Times"/>
          <w:bCs/>
          <w:spacing w:val="3"/>
        </w:rPr>
        <w:t xml:space="preserve"> </w:t>
      </w:r>
    </w:p>
    <w:p w:rsidR="00BA4FE1" w:rsidRDefault="00BA4FE1" w:rsidP="00A9559F">
      <w:pPr>
        <w:shd w:val="clear" w:color="auto" w:fill="FEFDFA"/>
        <w:spacing w:line="240" w:lineRule="auto"/>
        <w:rPr>
          <w:rStyle w:val="exlavailabilitycallnumber"/>
          <w:rFonts w:cs="Arial"/>
          <w:bdr w:val="none" w:sz="0" w:space="0" w:color="auto" w:frame="1"/>
        </w:rPr>
      </w:pPr>
      <w:r>
        <w:rPr>
          <w:rStyle w:val="exlavailabilitycallnumber"/>
          <w:rFonts w:cs="Arial"/>
          <w:bdr w:val="none" w:sz="0" w:space="0" w:color="auto" w:frame="1"/>
        </w:rPr>
        <w:t xml:space="preserve">O’Cathasaigh, T., </w:t>
      </w:r>
      <w:r w:rsidRPr="00AB33CF">
        <w:rPr>
          <w:rStyle w:val="exlavailabilitycallnumber"/>
          <w:rFonts w:cs="Arial"/>
          <w:i/>
          <w:bdr w:val="none" w:sz="0" w:space="0" w:color="auto" w:frame="1"/>
        </w:rPr>
        <w:t>Coire Sois</w:t>
      </w:r>
      <w:r>
        <w:rPr>
          <w:rStyle w:val="exlavailabilitycallnumber"/>
          <w:rFonts w:cs="Arial"/>
          <w:i/>
          <w:bdr w:val="none" w:sz="0" w:space="0" w:color="auto" w:frame="1"/>
        </w:rPr>
        <w:t>,</w:t>
      </w:r>
      <w:r w:rsidRPr="00AB33CF">
        <w:rPr>
          <w:rStyle w:val="exlavailabilitycallnumber"/>
          <w:rFonts w:cs="Arial"/>
          <w:i/>
          <w:bdr w:val="none" w:sz="0" w:space="0" w:color="auto" w:frame="1"/>
        </w:rPr>
        <w:t xml:space="preserve"> the Cauldron of Knowledge: A Companion to Early Irish Saga</w:t>
      </w:r>
      <w:r>
        <w:rPr>
          <w:rStyle w:val="exlavailabilitycallnumber"/>
          <w:rFonts w:cs="Arial"/>
          <w:i/>
          <w:bdr w:val="none" w:sz="0" w:space="0" w:color="auto" w:frame="1"/>
        </w:rPr>
        <w:t xml:space="preserve"> </w:t>
      </w:r>
      <w:r w:rsidRPr="00505D43">
        <w:rPr>
          <w:rStyle w:val="exlavailabilitycallnumber"/>
          <w:rFonts w:cs="Arial"/>
          <w:bdr w:val="none" w:sz="0" w:space="0" w:color="auto" w:frame="1"/>
        </w:rPr>
        <w:t>(No</w:t>
      </w:r>
      <w:r>
        <w:rPr>
          <w:rStyle w:val="exlavailabilitycallnumber"/>
          <w:rFonts w:cs="Arial"/>
          <w:bdr w:val="none" w:sz="0" w:space="0" w:color="auto" w:frame="1"/>
        </w:rPr>
        <w:t>t</w:t>
      </w:r>
      <w:r w:rsidRPr="00505D43">
        <w:rPr>
          <w:rStyle w:val="exlavailabilitycallnumber"/>
          <w:rFonts w:cs="Arial"/>
          <w:bdr w:val="none" w:sz="0" w:space="0" w:color="auto" w:frame="1"/>
        </w:rPr>
        <w:t>re</w:t>
      </w:r>
      <w:r>
        <w:rPr>
          <w:rStyle w:val="exlavailabilitycallnumber"/>
          <w:rFonts w:cs="Arial"/>
          <w:bdr w:val="none" w:sz="0" w:space="0" w:color="auto" w:frame="1"/>
        </w:rPr>
        <w:t xml:space="preserve"> Dame, Indiana: University of Notre Dame Press,2014)</w:t>
      </w:r>
    </w:p>
    <w:p w:rsidR="00BA4FE1" w:rsidRDefault="00BA4FE1" w:rsidP="00A9559F">
      <w:pPr>
        <w:shd w:val="clear" w:color="auto" w:fill="FEFDFA"/>
        <w:spacing w:line="240" w:lineRule="auto"/>
        <w:rPr>
          <w:rStyle w:val="exlavailabilitycallnumber"/>
          <w:rFonts w:cs="Arial"/>
          <w:bdr w:val="none" w:sz="0" w:space="0" w:color="auto" w:frame="1"/>
        </w:rPr>
      </w:pPr>
      <w:r>
        <w:rPr>
          <w:rStyle w:val="exlavailabilitycallnumber"/>
          <w:rFonts w:cs="Arial"/>
          <w:bdr w:val="none" w:sz="0" w:space="0" w:color="auto" w:frame="1"/>
        </w:rPr>
        <w:t xml:space="preserve">Ó Crualaoich, G., </w:t>
      </w:r>
      <w:r w:rsidRPr="00F30FB5">
        <w:rPr>
          <w:rStyle w:val="exlavailabilitycallnumber"/>
          <w:rFonts w:cs="Arial"/>
          <w:i/>
          <w:bdr w:val="none" w:sz="0" w:space="0" w:color="auto" w:frame="1"/>
        </w:rPr>
        <w:t>The Book of the Cailleach</w:t>
      </w:r>
      <w:r>
        <w:rPr>
          <w:rStyle w:val="exlavailabilitycallnumber"/>
          <w:rFonts w:cs="Arial"/>
          <w:i/>
          <w:bdr w:val="none" w:sz="0" w:space="0" w:color="auto" w:frame="1"/>
        </w:rPr>
        <w:t>: Stories of the Wise-Woman healer</w:t>
      </w:r>
      <w:r w:rsidRPr="00F30FB5">
        <w:rPr>
          <w:rStyle w:val="exlavailabilitycallnumber"/>
          <w:rFonts w:cs="Arial"/>
          <w:bdr w:val="none" w:sz="0" w:space="0" w:color="auto" w:frame="1"/>
        </w:rPr>
        <w:t xml:space="preserve"> (Cork: Cork University Press, 2003)</w:t>
      </w:r>
    </w:p>
    <w:p w:rsidR="00576212" w:rsidRDefault="00576212" w:rsidP="00576212">
      <w:pPr>
        <w:pStyle w:val="Default"/>
        <w:rPr>
          <w:rFonts w:asciiTheme="minorHAnsi" w:hAnsiTheme="minorHAnsi" w:cs="Sylfaen"/>
          <w:sz w:val="22"/>
          <w:szCs w:val="22"/>
        </w:rPr>
      </w:pPr>
      <w:r w:rsidRPr="001F7397">
        <w:rPr>
          <w:rFonts w:asciiTheme="minorHAnsi" w:hAnsiTheme="minorHAnsi" w:cs="Times"/>
          <w:bCs/>
          <w:spacing w:val="3"/>
          <w:sz w:val="22"/>
          <w:szCs w:val="22"/>
        </w:rPr>
        <w:t xml:space="preserve">O’Donnell, T. C., </w:t>
      </w:r>
      <w:r w:rsidRPr="001F7397">
        <w:rPr>
          <w:rFonts w:asciiTheme="minorHAnsi" w:hAnsiTheme="minorHAnsi" w:cs="Sylfaen"/>
          <w:i/>
          <w:sz w:val="22"/>
          <w:szCs w:val="22"/>
        </w:rPr>
        <w:t xml:space="preserve">The Affect of Fosterage in Medieval Ireland, (unpublished PhD thesis, </w:t>
      </w:r>
      <w:r w:rsidRPr="001F7397">
        <w:rPr>
          <w:rFonts w:asciiTheme="minorHAnsi" w:hAnsiTheme="minorHAnsi" w:cs="Sylfaen"/>
          <w:sz w:val="22"/>
          <w:szCs w:val="22"/>
        </w:rPr>
        <w:t>University College London, 2016)</w:t>
      </w:r>
    </w:p>
    <w:p w:rsidR="00576212" w:rsidRPr="001F7397" w:rsidRDefault="00576212" w:rsidP="00576212">
      <w:pPr>
        <w:pStyle w:val="Default"/>
        <w:rPr>
          <w:rFonts w:asciiTheme="minorHAnsi" w:hAnsiTheme="minorHAnsi" w:cs="Sylfaen"/>
          <w:sz w:val="22"/>
          <w:szCs w:val="22"/>
        </w:rPr>
      </w:pPr>
    </w:p>
    <w:p w:rsidR="00BA4FE1" w:rsidRPr="00210AAE" w:rsidRDefault="00BA4FE1" w:rsidP="00576212">
      <w:pPr>
        <w:shd w:val="clear" w:color="auto" w:fill="FEFDFA"/>
        <w:spacing w:line="240" w:lineRule="auto"/>
        <w:rPr>
          <w:rStyle w:val="exlavailabilitycallnumber"/>
          <w:rFonts w:cs="Arial"/>
          <w:i/>
          <w:bdr w:val="none" w:sz="0" w:space="0" w:color="auto" w:frame="1"/>
        </w:rPr>
      </w:pPr>
      <w:r>
        <w:rPr>
          <w:rStyle w:val="exlavailabilitycallnumber"/>
          <w:rFonts w:cs="Arial"/>
          <w:bdr w:val="none" w:sz="0" w:space="0" w:color="auto" w:frame="1"/>
        </w:rPr>
        <w:t xml:space="preserve">Olsen, K.E., ‘Female Voices from the Otherworld: The Role of Women in the Early Irish Echtrai’, in  Olsen, K.E., &amp; Veenstra, J. R., eds, </w:t>
      </w:r>
      <w:r>
        <w:rPr>
          <w:rStyle w:val="exlavailabilitycallnumber"/>
          <w:rFonts w:cs="Arial"/>
          <w:i/>
          <w:bdr w:val="none" w:sz="0" w:space="0" w:color="auto" w:frame="1"/>
        </w:rPr>
        <w:t>Airy Nothings: Imagining the Otherworld of Faerie from the Middle Ages to the Age of Reason: essays in honour of Alasdair A.</w:t>
      </w:r>
      <w:r w:rsidR="00576212">
        <w:rPr>
          <w:rStyle w:val="exlavailabilitycallnumber"/>
          <w:rFonts w:cs="Arial"/>
          <w:i/>
          <w:bdr w:val="none" w:sz="0" w:space="0" w:color="auto" w:frame="1"/>
        </w:rPr>
        <w:t xml:space="preserve"> </w:t>
      </w:r>
      <w:r>
        <w:rPr>
          <w:rStyle w:val="exlavailabilitycallnumber"/>
          <w:rFonts w:cs="Arial"/>
          <w:i/>
          <w:bdr w:val="none" w:sz="0" w:space="0" w:color="auto" w:frame="1"/>
        </w:rPr>
        <w:t>McDonald</w:t>
      </w:r>
      <w:r>
        <w:rPr>
          <w:rStyle w:val="exlavailabilitycallnumber"/>
          <w:rFonts w:cs="Arial"/>
          <w:bdr w:val="none" w:sz="0" w:space="0" w:color="auto" w:frame="1"/>
        </w:rPr>
        <w:t>, (Leiden; Boston: Brill,2014)</w:t>
      </w:r>
      <w:r>
        <w:rPr>
          <w:rStyle w:val="exlavailabilitycallnumber"/>
          <w:rFonts w:cs="Arial"/>
          <w:i/>
          <w:bdr w:val="none" w:sz="0" w:space="0" w:color="auto" w:frame="1"/>
        </w:rPr>
        <w:t xml:space="preserve"> </w:t>
      </w:r>
    </w:p>
    <w:p w:rsidR="00BA4FE1" w:rsidRDefault="00BA4FE1" w:rsidP="00BA4FE1">
      <w:pPr>
        <w:shd w:val="clear" w:color="auto" w:fill="FFFFFF"/>
        <w:rPr>
          <w:rStyle w:val="exlavailabilitycallnumber"/>
          <w:rFonts w:cs="Arial"/>
          <w:bdr w:val="none" w:sz="0" w:space="0" w:color="auto" w:frame="1"/>
        </w:rPr>
      </w:pPr>
      <w:r>
        <w:rPr>
          <w:rStyle w:val="exlavailabilitycallnumber"/>
          <w:rFonts w:cs="Arial"/>
          <w:bdr w:val="none" w:sz="0" w:space="0" w:color="auto" w:frame="1"/>
        </w:rPr>
        <w:lastRenderedPageBreak/>
        <w:t xml:space="preserve">O’Meara, J.J., &amp; Wooding, J., ‘The Latin Version, in Barron, W.R.J., &amp; Burgess, G.S., eds, </w:t>
      </w:r>
      <w:r w:rsidRPr="0047045B">
        <w:rPr>
          <w:rStyle w:val="exlavailabilitycallnumber"/>
          <w:rFonts w:cs="Arial"/>
          <w:i/>
          <w:bdr w:val="none" w:sz="0" w:space="0" w:color="auto" w:frame="1"/>
        </w:rPr>
        <w:t>The Voyage of Saint Brendan: Representative Versions of the legend in the English Translation</w:t>
      </w:r>
      <w:r>
        <w:rPr>
          <w:rStyle w:val="exlavailabilitycallnumber"/>
          <w:rFonts w:cs="Arial"/>
          <w:bdr w:val="none" w:sz="0" w:space="0" w:color="auto" w:frame="1"/>
        </w:rPr>
        <w:t>’  (Exeter: University of Exeter, 2002), 13-25</w:t>
      </w:r>
    </w:p>
    <w:p w:rsidR="00BA4FE1" w:rsidRPr="00631C56" w:rsidRDefault="00BA4FE1" w:rsidP="00A9559F">
      <w:pPr>
        <w:shd w:val="clear" w:color="auto" w:fill="FFFFFF"/>
        <w:spacing w:line="240" w:lineRule="auto"/>
        <w:ind w:right="150"/>
        <w:textAlignment w:val="top"/>
        <w:rPr>
          <w:rFonts w:cs="GillSans"/>
        </w:rPr>
      </w:pPr>
      <w:r w:rsidRPr="00631C56">
        <w:rPr>
          <w:rFonts w:cs="GillSans"/>
        </w:rPr>
        <w:t>Parkins</w:t>
      </w:r>
      <w:r>
        <w:rPr>
          <w:rFonts w:cs="GillSans"/>
        </w:rPr>
        <w:t>on, R.,</w:t>
      </w:r>
      <w:r w:rsidRPr="00631C56">
        <w:rPr>
          <w:rFonts w:cs="GillSans"/>
        </w:rPr>
        <w:t xml:space="preserve"> </w:t>
      </w:r>
      <w:r w:rsidRPr="00621B6D">
        <w:rPr>
          <w:rFonts w:cs="GillSans"/>
        </w:rPr>
        <w:t>The Voyage of Mael Duin</w:t>
      </w:r>
      <w:r w:rsidRPr="00631C56">
        <w:rPr>
          <w:rFonts w:cs="GillSans"/>
        </w:rPr>
        <w:t>,</w:t>
      </w:r>
      <w:r>
        <w:rPr>
          <w:rFonts w:cs="GillSans"/>
        </w:rPr>
        <w:t xml:space="preserve"> Imaginary Journeys.co.uk, available at</w:t>
      </w:r>
      <w:r w:rsidRPr="00631C56">
        <w:rPr>
          <w:rFonts w:cs="GillSans"/>
        </w:rPr>
        <w:t xml:space="preserve"> </w:t>
      </w:r>
      <w:hyperlink r:id="rId44" w:history="1">
        <w:r w:rsidRPr="00597AD4">
          <w:rPr>
            <w:rStyle w:val="Hyperlink"/>
            <w:rFonts w:cs="GillSans"/>
          </w:rPr>
          <w:t>http://www.imaginaryjourneys.co.uk/wp-content/uploads/2013/03/Maeldun-download-2.pdf</w:t>
        </w:r>
      </w:hyperlink>
      <w:r>
        <w:rPr>
          <w:rFonts w:cs="GillSans"/>
        </w:rPr>
        <w:t xml:space="preserve"> ] &lt;Accessed 29 March 2018&gt;</w:t>
      </w:r>
    </w:p>
    <w:p w:rsidR="00BA4FE1" w:rsidRDefault="00BA4FE1" w:rsidP="00A9559F">
      <w:pPr>
        <w:shd w:val="clear" w:color="auto" w:fill="FFFFFF"/>
        <w:spacing w:line="240" w:lineRule="auto"/>
        <w:ind w:right="150"/>
        <w:textAlignment w:val="top"/>
        <w:rPr>
          <w:rFonts w:cs="GillSans"/>
        </w:rPr>
      </w:pPr>
      <w:r>
        <w:rPr>
          <w:rFonts w:cs="GillSans"/>
        </w:rPr>
        <w:t>Pax Leon, S.</w:t>
      </w:r>
      <w:r w:rsidRPr="00631C56">
        <w:rPr>
          <w:rFonts w:cs="GillSans"/>
        </w:rPr>
        <w:t xml:space="preserve">, </w:t>
      </w:r>
      <w:r>
        <w:rPr>
          <w:rFonts w:cs="GillSans"/>
        </w:rPr>
        <w:t>‘</w:t>
      </w:r>
      <w:r w:rsidRPr="00631C56">
        <w:rPr>
          <w:rFonts w:cs="GillSans"/>
        </w:rPr>
        <w:t xml:space="preserve">Faroese </w:t>
      </w:r>
      <w:r w:rsidRPr="00631C56">
        <w:rPr>
          <w:rFonts w:cs="GillSans"/>
          <w:i/>
        </w:rPr>
        <w:t xml:space="preserve">skjaldur </w:t>
      </w:r>
      <w:r w:rsidRPr="00631C56">
        <w:rPr>
          <w:rFonts w:cs="GillSans"/>
        </w:rPr>
        <w:t>An endangered tradition of the North Atlantic</w:t>
      </w:r>
      <w:r>
        <w:rPr>
          <w:rFonts w:cs="GillSans"/>
        </w:rPr>
        <w:t>’</w:t>
      </w:r>
      <w:r w:rsidRPr="00631C56">
        <w:rPr>
          <w:rFonts w:cs="GillSans"/>
        </w:rPr>
        <w:t xml:space="preserve">, World Oral </w:t>
      </w:r>
      <w:r>
        <w:rPr>
          <w:rFonts w:cs="GillSans"/>
        </w:rPr>
        <w:t xml:space="preserve">Literary Project – voices of vanishing worlds – occasional paper 1, Cambridge, Cambridge University Press, (2010) [online:  </w:t>
      </w:r>
      <w:hyperlink r:id="rId45" w:history="1">
        <w:r w:rsidRPr="00092458">
          <w:rPr>
            <w:rStyle w:val="Hyperlink"/>
            <w:rFonts w:cs="GillSans"/>
          </w:rPr>
          <w:t>https://www.repository.cam.ac.uk/bitstream/handle/1810/225600/WOLP_OP_01.pdf</w:t>
        </w:r>
      </w:hyperlink>
      <w:r>
        <w:rPr>
          <w:rFonts w:cs="GillSans"/>
        </w:rPr>
        <w:t xml:space="preserve"> ] &lt;Accessed March 2018&gt;</w:t>
      </w:r>
    </w:p>
    <w:p w:rsidR="00BA4FE1" w:rsidRPr="009A0F57" w:rsidRDefault="00BA4FE1" w:rsidP="00BA4FE1">
      <w:pPr>
        <w:pStyle w:val="Heading1"/>
        <w:shd w:val="clear" w:color="auto" w:fill="FFFFFF"/>
        <w:spacing w:before="0" w:beforeAutospacing="0" w:after="263" w:afterAutospacing="0" w:line="300" w:lineRule="atLeast"/>
        <w:rPr>
          <w:rFonts w:asciiTheme="minorHAnsi" w:hAnsiTheme="minorHAnsi" w:cs="Arial"/>
          <w:b w:val="0"/>
          <w:color w:val="333333"/>
          <w:sz w:val="22"/>
          <w:szCs w:val="22"/>
        </w:rPr>
      </w:pPr>
      <w:r w:rsidRPr="009805ED">
        <w:rPr>
          <w:rFonts w:asciiTheme="minorHAnsi" w:hAnsiTheme="minorHAnsi" w:cs="Arial"/>
          <w:b w:val="0"/>
          <w:sz w:val="22"/>
          <w:szCs w:val="22"/>
        </w:rPr>
        <w:t>Peete Cross, T., ‘The Celtic Origin of the Lay of Yonec’ i</w:t>
      </w:r>
      <w:r w:rsidRPr="009805ED">
        <w:rPr>
          <w:rStyle w:val="HTMLCite"/>
          <w:rFonts w:asciiTheme="minorHAnsi" w:hAnsiTheme="minorHAnsi" w:cs="Arial"/>
          <w:b w:val="0"/>
          <w:i w:val="0"/>
          <w:sz w:val="22"/>
          <w:szCs w:val="22"/>
        </w:rPr>
        <w:t xml:space="preserve">n </w:t>
      </w:r>
      <w:r w:rsidRPr="009805ED">
        <w:rPr>
          <w:rStyle w:val="HTMLCite"/>
          <w:rFonts w:asciiTheme="minorHAnsi" w:hAnsiTheme="minorHAnsi" w:cs="Arial"/>
          <w:b w:val="0"/>
          <w:sz w:val="22"/>
          <w:szCs w:val="22"/>
        </w:rPr>
        <w:t xml:space="preserve">Studies in Philology </w:t>
      </w:r>
      <w:r w:rsidRPr="009805ED">
        <w:rPr>
          <w:rFonts w:asciiTheme="minorHAnsi" w:hAnsiTheme="minorHAnsi" w:cs="Arial"/>
          <w:b w:val="0"/>
          <w:sz w:val="22"/>
          <w:szCs w:val="22"/>
        </w:rPr>
        <w:t>11: (1913), 26-60,  [Online:</w:t>
      </w:r>
      <w:r w:rsidRPr="009A0F57">
        <w:rPr>
          <w:rFonts w:asciiTheme="minorHAnsi" w:hAnsiTheme="minorHAnsi" w:cs="Arial"/>
          <w:b w:val="0"/>
          <w:color w:val="333333"/>
          <w:sz w:val="22"/>
          <w:szCs w:val="22"/>
        </w:rPr>
        <w:t xml:space="preserve"> </w:t>
      </w:r>
      <w:hyperlink r:id="rId46" w:history="1">
        <w:r w:rsidRPr="009A0F57">
          <w:rPr>
            <w:rStyle w:val="Hyperlink"/>
            <w:rFonts w:asciiTheme="minorHAnsi" w:hAnsiTheme="minorHAnsi" w:cs="Arial"/>
            <w:b w:val="0"/>
            <w:sz w:val="22"/>
            <w:szCs w:val="22"/>
          </w:rPr>
          <w:t>http://www.jstor.org.ezproxy.uwtsd.ac.uk/stable/4171667</w:t>
        </w:r>
      </w:hyperlink>
      <w:r w:rsidRPr="009A0F57">
        <w:rPr>
          <w:rFonts w:asciiTheme="minorHAnsi" w:hAnsiTheme="minorHAnsi" w:cs="Arial"/>
          <w:b w:val="0"/>
          <w:color w:val="333333"/>
          <w:sz w:val="22"/>
          <w:szCs w:val="22"/>
        </w:rPr>
        <w:t xml:space="preserve">] </w:t>
      </w:r>
      <w:r w:rsidRPr="009805ED">
        <w:rPr>
          <w:rFonts w:asciiTheme="minorHAnsi" w:hAnsiTheme="minorHAnsi" w:cs="Arial"/>
          <w:b w:val="0"/>
          <w:sz w:val="22"/>
          <w:szCs w:val="22"/>
        </w:rPr>
        <w:t>&lt;Accessed 28 March 2018&gt;</w:t>
      </w:r>
    </w:p>
    <w:p w:rsidR="00BA4FE1" w:rsidRDefault="00BA4FE1" w:rsidP="00BA4FE1">
      <w:pPr>
        <w:shd w:val="clear" w:color="auto" w:fill="FFFFFF"/>
        <w:ind w:right="150"/>
        <w:textAlignment w:val="top"/>
        <w:rPr>
          <w:rFonts w:cs="Times"/>
          <w:bCs/>
          <w:spacing w:val="3"/>
        </w:rPr>
      </w:pPr>
      <w:r>
        <w:rPr>
          <w:rFonts w:cs="Times"/>
          <w:bCs/>
          <w:spacing w:val="3"/>
        </w:rPr>
        <w:t xml:space="preserve">Ross, A. </w:t>
      </w:r>
      <w:r w:rsidRPr="0021402D">
        <w:rPr>
          <w:rFonts w:cs="Times"/>
          <w:bCs/>
          <w:i/>
          <w:spacing w:val="3"/>
        </w:rPr>
        <w:t>Pagan Celtic Britain</w:t>
      </w:r>
      <w:r>
        <w:rPr>
          <w:rFonts w:cs="Times"/>
          <w:bCs/>
          <w:i/>
          <w:spacing w:val="3"/>
        </w:rPr>
        <w:t xml:space="preserve"> </w:t>
      </w:r>
      <w:r>
        <w:rPr>
          <w:rFonts w:cs="Times"/>
          <w:bCs/>
          <w:spacing w:val="3"/>
        </w:rPr>
        <w:t>2</w:t>
      </w:r>
      <w:r w:rsidRPr="0021402D">
        <w:rPr>
          <w:rFonts w:cs="Times"/>
          <w:bCs/>
          <w:spacing w:val="3"/>
          <w:vertAlign w:val="superscript"/>
        </w:rPr>
        <w:t>nd</w:t>
      </w:r>
      <w:r>
        <w:rPr>
          <w:rFonts w:cs="Times"/>
          <w:bCs/>
          <w:spacing w:val="3"/>
        </w:rPr>
        <w:t xml:space="preserve"> edn (Chicago: Academy Chicago Publishers, 1996)</w:t>
      </w:r>
    </w:p>
    <w:p w:rsidR="00BA4FE1" w:rsidRPr="00065246" w:rsidRDefault="00BA4FE1" w:rsidP="00A9559F">
      <w:pPr>
        <w:shd w:val="clear" w:color="auto" w:fill="FFFFFF"/>
        <w:spacing w:line="240" w:lineRule="auto"/>
        <w:ind w:right="150"/>
        <w:textAlignment w:val="top"/>
        <w:rPr>
          <w:rFonts w:cs="Times"/>
          <w:bCs/>
          <w:spacing w:val="3"/>
        </w:rPr>
      </w:pPr>
      <w:r>
        <w:rPr>
          <w:rFonts w:cs="Times"/>
          <w:bCs/>
          <w:spacing w:val="3"/>
        </w:rPr>
        <w:t xml:space="preserve">Sayers, W., ‘Netherworld and Otherworld in Early Irish Literature’, in </w:t>
      </w:r>
      <w:r w:rsidRPr="00065246">
        <w:rPr>
          <w:rFonts w:cs="Times"/>
          <w:bCs/>
          <w:i/>
          <w:spacing w:val="3"/>
        </w:rPr>
        <w:t>Zeitschrift fur celtische Philologie</w:t>
      </w:r>
      <w:r>
        <w:rPr>
          <w:rFonts w:cs="Times"/>
          <w:bCs/>
          <w:i/>
          <w:spacing w:val="3"/>
        </w:rPr>
        <w:t xml:space="preserve"> </w:t>
      </w:r>
      <w:r w:rsidRPr="00044C4E">
        <w:rPr>
          <w:rFonts w:cs="Times"/>
          <w:bCs/>
          <w:spacing w:val="3"/>
        </w:rPr>
        <w:t>59:</w:t>
      </w:r>
      <w:r>
        <w:rPr>
          <w:rFonts w:cs="Times"/>
          <w:b/>
          <w:bCs/>
          <w:spacing w:val="3"/>
        </w:rPr>
        <w:t xml:space="preserve"> </w:t>
      </w:r>
      <w:r>
        <w:rPr>
          <w:rFonts w:cs="Times"/>
          <w:bCs/>
          <w:spacing w:val="3"/>
        </w:rPr>
        <w:t>(2012) 210-230</w:t>
      </w:r>
    </w:p>
    <w:p w:rsidR="00BA4FE1" w:rsidRDefault="00BA4FE1" w:rsidP="00A9559F">
      <w:pPr>
        <w:shd w:val="clear" w:color="auto" w:fill="FFFFFF"/>
        <w:spacing w:line="240" w:lineRule="auto"/>
        <w:ind w:right="150"/>
        <w:textAlignment w:val="top"/>
      </w:pPr>
      <w:r w:rsidRPr="00A9559F">
        <w:rPr>
          <w:rFonts w:ascii="Verdana" w:hAnsi="Verdana"/>
          <w:sz w:val="18"/>
          <w:szCs w:val="18"/>
          <w:shd w:val="clear" w:color="auto" w:fill="FFFFFF"/>
        </w:rPr>
        <w:t>Sayers, W.,</w:t>
      </w:r>
      <w:r w:rsidRPr="00E00DF8">
        <w:rPr>
          <w:rFonts w:ascii="Verdana" w:hAnsi="Verdana"/>
          <w:color w:val="FF0000"/>
          <w:sz w:val="18"/>
          <w:szCs w:val="18"/>
          <w:shd w:val="clear" w:color="auto" w:fill="FFFFFF"/>
        </w:rPr>
        <w:t xml:space="preserve"> </w:t>
      </w:r>
      <w:r w:rsidRPr="00044C4E">
        <w:rPr>
          <w:shd w:val="clear" w:color="auto" w:fill="FFFFFF"/>
        </w:rPr>
        <w:t>‘</w:t>
      </w:r>
      <w:r>
        <w:rPr>
          <w:shd w:val="clear" w:color="auto" w:fill="FFFFFF"/>
        </w:rPr>
        <w:t>M</w:t>
      </w:r>
      <w:r w:rsidRPr="00044C4E">
        <w:rPr>
          <w:shd w:val="clear" w:color="auto" w:fill="FFFFFF"/>
        </w:rPr>
        <w:t xml:space="preserve">esocosms and the </w:t>
      </w:r>
      <w:r>
        <w:rPr>
          <w:shd w:val="clear" w:color="auto" w:fill="FFFFFF"/>
        </w:rPr>
        <w:t>Organization of Interior Space in Early I</w:t>
      </w:r>
      <w:r w:rsidRPr="00044C4E">
        <w:rPr>
          <w:shd w:val="clear" w:color="auto" w:fill="FFFFFF"/>
        </w:rPr>
        <w:t>reland’</w:t>
      </w:r>
      <w:r w:rsidRPr="00E00DF8">
        <w:rPr>
          <w:rFonts w:ascii="Verdana" w:hAnsi="Verdana"/>
          <w:color w:val="FF0000"/>
          <w:sz w:val="18"/>
          <w:szCs w:val="18"/>
          <w:shd w:val="clear" w:color="auto" w:fill="FFFFFF"/>
        </w:rPr>
        <w:t> </w:t>
      </w:r>
      <w:r>
        <w:rPr>
          <w:shd w:val="clear" w:color="auto" w:fill="FFFFFF"/>
        </w:rPr>
        <w:t>i</w:t>
      </w:r>
      <w:r w:rsidRPr="00044C4E">
        <w:rPr>
          <w:shd w:val="clear" w:color="auto" w:fill="FFFFFF"/>
        </w:rPr>
        <w:t xml:space="preserve">n </w:t>
      </w:r>
      <w:r w:rsidRPr="00044C4E">
        <w:rPr>
          <w:i/>
          <w:shd w:val="clear" w:color="auto" w:fill="FFFFFF"/>
        </w:rPr>
        <w:t>Traditio</w:t>
      </w:r>
      <w:r>
        <w:rPr>
          <w:shd w:val="clear" w:color="auto" w:fill="FFFFFF"/>
        </w:rPr>
        <w:t xml:space="preserve"> 70</w:t>
      </w:r>
      <w:r w:rsidRPr="00044C4E">
        <w:rPr>
          <w:shd w:val="clear" w:color="auto" w:fill="FFFFFF"/>
        </w:rPr>
        <w:t>: (2015): 75-110</w:t>
      </w:r>
      <w:r w:rsidRPr="00044C4E">
        <w:t xml:space="preserve"> </w:t>
      </w:r>
      <w:r>
        <w:rPr>
          <w:color w:val="FF0000"/>
        </w:rPr>
        <w:t xml:space="preserve"> </w:t>
      </w:r>
      <w:r w:rsidRPr="00E00DF8">
        <w:t>[Online:</w:t>
      </w:r>
      <w:r>
        <w:rPr>
          <w:color w:val="FF0000"/>
        </w:rPr>
        <w:t xml:space="preserve"> </w:t>
      </w:r>
      <w:hyperlink r:id="rId47" w:history="1">
        <w:r w:rsidRPr="00C51CF8">
          <w:rPr>
            <w:rStyle w:val="Hyperlink"/>
          </w:rPr>
          <w:t>https://search-proquest-com.ezproxy.uwtsd.ac.uk/docview/1781337255/fulltextPDF/917889FB99C540B6PQ/1?accountid=130472</w:t>
        </w:r>
      </w:hyperlink>
      <w:r>
        <w:rPr>
          <w:color w:val="FF0000"/>
        </w:rPr>
        <w:t xml:space="preserve">] </w:t>
      </w:r>
      <w:r w:rsidRPr="00E00DF8">
        <w:t xml:space="preserve">&lt;Accessed : </w:t>
      </w:r>
      <w:r>
        <w:t xml:space="preserve"> </w:t>
      </w:r>
      <w:r w:rsidRPr="00E00DF8">
        <w:t>5</w:t>
      </w:r>
      <w:r>
        <w:t xml:space="preserve"> March 20</w:t>
      </w:r>
      <w:r w:rsidRPr="00E00DF8">
        <w:t>18&gt;</w:t>
      </w:r>
    </w:p>
    <w:p w:rsidR="00BA4FE1" w:rsidRDefault="00BA4FE1" w:rsidP="00A9559F">
      <w:pPr>
        <w:shd w:val="clear" w:color="auto" w:fill="FFFFFF"/>
        <w:spacing w:line="240" w:lineRule="auto"/>
        <w:ind w:right="150"/>
        <w:textAlignment w:val="top"/>
      </w:pPr>
      <w:r>
        <w:t xml:space="preserve">Sims-Williams, P., ‘Celtomania and Celtoscepticism;  in </w:t>
      </w:r>
      <w:r>
        <w:rPr>
          <w:i/>
        </w:rPr>
        <w:t xml:space="preserve">Cambrian Medieval  Celtic Studies, </w:t>
      </w:r>
      <w:r w:rsidRPr="00847840">
        <w:t>36:</w:t>
      </w:r>
      <w:r>
        <w:t xml:space="preserve"> (</w:t>
      </w:r>
      <w:r w:rsidRPr="00C94147">
        <w:t>1998),</w:t>
      </w:r>
      <w:r>
        <w:t xml:space="preserve"> 1-35</w:t>
      </w:r>
    </w:p>
    <w:p w:rsidR="00BA4FE1" w:rsidRDefault="00BA4FE1" w:rsidP="00A9559F">
      <w:pPr>
        <w:shd w:val="clear" w:color="auto" w:fill="FFFFFF"/>
        <w:spacing w:line="240" w:lineRule="auto"/>
      </w:pPr>
      <w:r w:rsidRPr="0029581F">
        <w:t xml:space="preserve"> Sims-Williams, P., </w:t>
      </w:r>
      <w:r>
        <w:t>‘</w:t>
      </w:r>
      <w:r w:rsidRPr="0029581F">
        <w:t>Bronze- and Iron-Age Celtic-Speakers: what don’t we know, what can’t we know, and what could we know? Language, genetics and archaeology in the twenty-first century</w:t>
      </w:r>
      <w:r>
        <w:t>’</w:t>
      </w:r>
      <w:r w:rsidRPr="0029581F">
        <w:t xml:space="preserve">, </w:t>
      </w:r>
      <w:r>
        <w:t xml:space="preserve">in </w:t>
      </w:r>
      <w:r w:rsidRPr="0029581F">
        <w:rPr>
          <w:i/>
        </w:rPr>
        <w:t>The Antiquaries Journal</w:t>
      </w:r>
      <w:r w:rsidRPr="0029581F">
        <w:t xml:space="preserve">, 92: (2012), 427–49 [Online:  </w:t>
      </w:r>
      <w:hyperlink r:id="rId48" w:history="1">
        <w:r w:rsidRPr="0029581F">
          <w:rPr>
            <w:rStyle w:val="Hyperlink"/>
            <w:bCs/>
          </w:rPr>
          <w:t>https://search-proquest-com.ezproxy.uwtsd.ac.uk/docview/1289680845?accountid=130472&amp;rfr_id=info%3Axri%2Fsid%3Aprimo</w:t>
        </w:r>
      </w:hyperlink>
      <w:r w:rsidRPr="0029581F">
        <w:t>] &lt;Accessed 22</w:t>
      </w:r>
      <w:r>
        <w:t xml:space="preserve"> January 20</w:t>
      </w:r>
      <w:r w:rsidRPr="0029581F">
        <w:t>18 &amp; 12</w:t>
      </w:r>
      <w:r>
        <w:t xml:space="preserve"> February 20</w:t>
      </w:r>
      <w:r w:rsidRPr="0029581F">
        <w:t xml:space="preserve">18&gt; </w:t>
      </w:r>
    </w:p>
    <w:p w:rsidR="00BA4FE1" w:rsidRPr="00E122F0" w:rsidRDefault="00BA4FE1" w:rsidP="00A9559F">
      <w:pPr>
        <w:shd w:val="clear" w:color="auto" w:fill="FFFFFF"/>
        <w:spacing w:line="240" w:lineRule="auto"/>
      </w:pPr>
      <w:r>
        <w:t xml:space="preserve">Sims-Williams, P., ‘The Early Welsh Arthurian Poems’ in </w:t>
      </w:r>
      <w:r w:rsidRPr="00E122F0">
        <w:rPr>
          <w:i/>
        </w:rPr>
        <w:t>The Arthur of the Welsh</w:t>
      </w:r>
      <w:r>
        <w:rPr>
          <w:i/>
        </w:rPr>
        <w:t>’</w:t>
      </w:r>
      <w:r>
        <w:t xml:space="preserve">, eds, Bromwich, R., Jarman, A.O.H., and Roberts, B.F., </w:t>
      </w:r>
      <w:r w:rsidRPr="00276B34">
        <w:t>(Cardiff: University of Wales Press, 1991)</w:t>
      </w:r>
      <w:r>
        <w:t xml:space="preserve"> 33-71</w:t>
      </w:r>
    </w:p>
    <w:p w:rsidR="00BA4FE1" w:rsidRDefault="00BA4FE1" w:rsidP="00A9559F">
      <w:pPr>
        <w:shd w:val="clear" w:color="auto" w:fill="FFFFFF"/>
        <w:spacing w:line="240" w:lineRule="auto"/>
      </w:pPr>
      <w:r w:rsidRPr="00521B13">
        <w:t>Sjoestedt, Marie-Louise</w:t>
      </w:r>
      <w:r>
        <w:t xml:space="preserve">, trans, Dillon, M., </w:t>
      </w:r>
      <w:r>
        <w:rPr>
          <w:i/>
        </w:rPr>
        <w:t xml:space="preserve">Gods and Heroes of the Celts, </w:t>
      </w:r>
      <w:r>
        <w:t>(Dublin: Four Courts Press, 1994 [1949])</w:t>
      </w:r>
    </w:p>
    <w:p w:rsidR="00BA4FE1" w:rsidRPr="0055539D" w:rsidRDefault="00BA4FE1" w:rsidP="00A9559F">
      <w:pPr>
        <w:shd w:val="clear" w:color="auto" w:fill="FFFFFF"/>
        <w:spacing w:line="240" w:lineRule="auto"/>
      </w:pPr>
      <w:r>
        <w:t>Stacey, R.</w:t>
      </w:r>
      <w:r w:rsidRPr="0055539D">
        <w:t>, C</w:t>
      </w:r>
      <w:r>
        <w:t>.</w:t>
      </w:r>
      <w:r w:rsidRPr="0055539D">
        <w:t>,</w:t>
      </w:r>
      <w:r>
        <w:t xml:space="preserve"> </w:t>
      </w:r>
      <w:r w:rsidRPr="003B7B66">
        <w:t>‘Ancient Irish Law Revisited: Rereading the Laws of Status and Franchise</w:t>
      </w:r>
      <w:r>
        <w:t>’</w:t>
      </w:r>
      <w:r w:rsidRPr="003B7B66">
        <w:t xml:space="preserve"> </w:t>
      </w:r>
      <w:r>
        <w:t>in</w:t>
      </w:r>
      <w:r w:rsidRPr="003235EF">
        <w:rPr>
          <w:rFonts w:cs="Futura-Book"/>
        </w:rPr>
        <w:t xml:space="preserve"> Bergholm</w:t>
      </w:r>
      <w:r>
        <w:rPr>
          <w:rFonts w:cs="Futura-Book"/>
        </w:rPr>
        <w:t xml:space="preserve">, A., and Ritari, K., </w:t>
      </w:r>
      <w:r w:rsidRPr="003B7B66">
        <w:rPr>
          <w:rFonts w:cs="Lithos-Regular"/>
          <w:i/>
        </w:rPr>
        <w:t xml:space="preserve"> </w:t>
      </w:r>
      <w:r w:rsidRPr="003B7B66">
        <w:rPr>
          <w:rFonts w:cs="Lithos-Regular"/>
        </w:rPr>
        <w:t xml:space="preserve">eds, </w:t>
      </w:r>
      <w:r w:rsidRPr="003B7B66">
        <w:rPr>
          <w:rFonts w:cs="Lithos-Regular"/>
          <w:i/>
        </w:rPr>
        <w:t xml:space="preserve">New Approaches to Celtic Religion and Mythology: </w:t>
      </w:r>
      <w:r w:rsidRPr="003B7B66">
        <w:rPr>
          <w:rFonts w:cs="Futura-Book"/>
          <w:i/>
        </w:rPr>
        <w:t>Understanding Celtic Religion Revisiting the Pagan Past.</w:t>
      </w:r>
      <w:r>
        <w:rPr>
          <w:rFonts w:cs="Futura-Book"/>
        </w:rPr>
        <w:t xml:space="preserve"> (</w:t>
      </w:r>
      <w:r w:rsidRPr="003235EF">
        <w:rPr>
          <w:rFonts w:cs="GentiumBasic"/>
        </w:rPr>
        <w:t>Cardiff</w:t>
      </w:r>
      <w:r>
        <w:rPr>
          <w:rFonts w:cs="GentiumBasic"/>
        </w:rPr>
        <w:t>: U</w:t>
      </w:r>
      <w:r w:rsidRPr="003235EF">
        <w:rPr>
          <w:rFonts w:cs="GentiumBasic"/>
        </w:rPr>
        <w:t>niversity of</w:t>
      </w:r>
      <w:r>
        <w:rPr>
          <w:rFonts w:cs="GentiumBasic"/>
        </w:rPr>
        <w:t xml:space="preserve"> W</w:t>
      </w:r>
      <w:r w:rsidRPr="003235EF">
        <w:rPr>
          <w:rFonts w:cs="GentiumBasic"/>
        </w:rPr>
        <w:t xml:space="preserve">ales </w:t>
      </w:r>
      <w:r>
        <w:rPr>
          <w:rFonts w:cs="GentiumBasic"/>
        </w:rPr>
        <w:t>P</w:t>
      </w:r>
      <w:r w:rsidRPr="003235EF">
        <w:rPr>
          <w:rFonts w:cs="GentiumBasic"/>
        </w:rPr>
        <w:t>ress</w:t>
      </w:r>
      <w:r>
        <w:rPr>
          <w:rFonts w:cs="GentiumBasic"/>
        </w:rPr>
        <w:t>,</w:t>
      </w:r>
      <w:r w:rsidRPr="003235EF">
        <w:rPr>
          <w:rFonts w:cs="GentiumBasic"/>
        </w:rPr>
        <w:t xml:space="preserve"> 2015</w:t>
      </w:r>
      <w:r>
        <w:rPr>
          <w:rFonts w:cs="GentiumBasic"/>
        </w:rPr>
        <w:t>) [Online at:</w:t>
      </w:r>
      <w:r w:rsidRPr="003235EF">
        <w:t xml:space="preserve"> </w:t>
      </w:r>
      <w:hyperlink r:id="rId49" w:history="1">
        <w:r w:rsidRPr="00597AD4">
          <w:rPr>
            <w:rStyle w:val="Hyperlink"/>
            <w:rFonts w:cs="GentiumBasic"/>
          </w:rPr>
          <w:t>https://www-dawsonera-com.ezproxy.uwtsd.ac.uk/readonline/9781783167937</w:t>
        </w:r>
      </w:hyperlink>
      <w:r>
        <w:rPr>
          <w:rFonts w:cs="GentiumBasic"/>
        </w:rPr>
        <w:t xml:space="preserve"> ] </w:t>
      </w:r>
      <w:r>
        <w:t>&lt;Accessed 28 March 2018&gt;</w:t>
      </w:r>
    </w:p>
    <w:p w:rsidR="00BA4FE1" w:rsidRDefault="00BA4FE1" w:rsidP="00A9559F">
      <w:pPr>
        <w:spacing w:line="240" w:lineRule="auto"/>
        <w:textAlignment w:val="baseline"/>
      </w:pPr>
      <w:r w:rsidRPr="008832DF">
        <w:t xml:space="preserve"> Stout,</w:t>
      </w:r>
      <w:r>
        <w:t xml:space="preserve"> A., R</w:t>
      </w:r>
      <w:r w:rsidRPr="008832DF">
        <w:t>eview of </w:t>
      </w:r>
      <w:r w:rsidRPr="008832DF">
        <w:rPr>
          <w:rStyle w:val="Emphasis"/>
          <w:bdr w:val="none" w:sz="0" w:space="0" w:color="auto" w:frame="1"/>
        </w:rPr>
        <w:t>Blood and Mistletoe: The History of the Druids in Britain</w:t>
      </w:r>
      <w:r w:rsidRPr="008832DF">
        <w:t>, (review no. 846)</w:t>
      </w:r>
      <w:r w:rsidRPr="008832DF">
        <w:br/>
      </w:r>
      <w:r>
        <w:t xml:space="preserve">available at </w:t>
      </w:r>
      <w:r w:rsidRPr="0005761B">
        <w:rPr>
          <w:color w:val="548DD4" w:themeColor="text2" w:themeTint="99"/>
        </w:rPr>
        <w:t xml:space="preserve"> </w:t>
      </w:r>
      <w:hyperlink r:id="rId50" w:history="1">
        <w:r w:rsidRPr="0005761B">
          <w:rPr>
            <w:rStyle w:val="Hyperlink"/>
            <w:color w:val="548DD4" w:themeColor="text2" w:themeTint="99"/>
          </w:rPr>
          <w:t>http://www.history.ac.uk/reviews/review/846</w:t>
        </w:r>
      </w:hyperlink>
      <w:r w:rsidRPr="0005761B">
        <w:rPr>
          <w:color w:val="548DD4" w:themeColor="text2" w:themeTint="99"/>
        </w:rPr>
        <w:t xml:space="preserve"> </w:t>
      </w:r>
      <w:r>
        <w:t xml:space="preserve"> &lt;A</w:t>
      </w:r>
      <w:r w:rsidRPr="008832DF">
        <w:t>ccessed: 10 January, 2018</w:t>
      </w:r>
      <w:r>
        <w:t>&gt;</w:t>
      </w:r>
    </w:p>
    <w:p w:rsidR="00BA4FE1" w:rsidRDefault="00BA4FE1" w:rsidP="00BA4FE1">
      <w:pPr>
        <w:pStyle w:val="Heading1"/>
        <w:spacing w:before="0" w:beforeAutospacing="0" w:after="300" w:afterAutospacing="0"/>
        <w:rPr>
          <w:rFonts w:asciiTheme="minorHAnsi" w:hAnsiTheme="minorHAnsi"/>
          <w:b w:val="0"/>
          <w:sz w:val="22"/>
          <w:szCs w:val="22"/>
        </w:rPr>
      </w:pPr>
      <w:r w:rsidRPr="008F580A">
        <w:rPr>
          <w:rFonts w:asciiTheme="minorHAnsi" w:hAnsiTheme="minorHAnsi"/>
          <w:b w:val="0"/>
          <w:sz w:val="22"/>
          <w:szCs w:val="22"/>
        </w:rPr>
        <w:t xml:space="preserve">Strijbosch, Clara, </w:t>
      </w:r>
      <w:r>
        <w:rPr>
          <w:rFonts w:asciiTheme="minorHAnsi" w:hAnsiTheme="minorHAnsi"/>
          <w:b w:val="0"/>
          <w:sz w:val="22"/>
          <w:szCs w:val="22"/>
        </w:rPr>
        <w:t>‘</w:t>
      </w:r>
      <w:r w:rsidRPr="008F580A">
        <w:rPr>
          <w:rFonts w:asciiTheme="minorHAnsi" w:hAnsiTheme="minorHAnsi"/>
          <w:b w:val="0"/>
          <w:i/>
          <w:sz w:val="22"/>
          <w:szCs w:val="22"/>
        </w:rPr>
        <w:t>The Heathen Giant</w:t>
      </w:r>
      <w:r w:rsidRPr="008F580A">
        <w:rPr>
          <w:rFonts w:asciiTheme="minorHAnsi" w:hAnsiTheme="minorHAnsi"/>
          <w:b w:val="0"/>
          <w:sz w:val="22"/>
          <w:szCs w:val="22"/>
        </w:rPr>
        <w:t xml:space="preserve"> in The Voyage of St Brendan</w:t>
      </w:r>
      <w:r>
        <w:rPr>
          <w:rFonts w:asciiTheme="minorHAnsi" w:hAnsiTheme="minorHAnsi"/>
          <w:b w:val="0"/>
          <w:sz w:val="22"/>
          <w:szCs w:val="22"/>
        </w:rPr>
        <w:t>’</w:t>
      </w:r>
      <w:r w:rsidRPr="008F580A">
        <w:rPr>
          <w:rFonts w:asciiTheme="minorHAnsi" w:hAnsiTheme="minorHAnsi"/>
          <w:b w:val="0"/>
          <w:sz w:val="22"/>
          <w:szCs w:val="22"/>
        </w:rPr>
        <w:t xml:space="preserve"> in </w:t>
      </w:r>
      <w:r w:rsidRPr="008F580A">
        <w:rPr>
          <w:rFonts w:asciiTheme="minorHAnsi" w:hAnsiTheme="minorHAnsi" w:cs="Arial"/>
          <w:b w:val="0"/>
          <w:i/>
          <w:color w:val="333333"/>
          <w:sz w:val="22"/>
          <w:szCs w:val="22"/>
        </w:rPr>
        <w:t>Celtica</w:t>
      </w:r>
      <w:r w:rsidRPr="008F580A">
        <w:rPr>
          <w:rFonts w:asciiTheme="minorHAnsi" w:hAnsiTheme="minorHAnsi" w:cs="Arial"/>
          <w:b w:val="0"/>
          <w:color w:val="333333"/>
          <w:sz w:val="22"/>
          <w:szCs w:val="22"/>
        </w:rPr>
        <w:t xml:space="preserve"> Volume 23</w:t>
      </w:r>
      <w:r>
        <w:rPr>
          <w:rFonts w:asciiTheme="minorHAnsi" w:hAnsiTheme="minorHAnsi" w:cs="Arial"/>
          <w:b w:val="0"/>
          <w:color w:val="333333"/>
          <w:sz w:val="22"/>
          <w:szCs w:val="22"/>
        </w:rPr>
        <w:t>:</w:t>
      </w:r>
      <w:r w:rsidRPr="008F580A">
        <w:rPr>
          <w:rFonts w:asciiTheme="minorHAnsi" w:hAnsiTheme="minorHAnsi" w:cs="Arial"/>
          <w:b w:val="0"/>
          <w:color w:val="333333"/>
          <w:sz w:val="22"/>
          <w:szCs w:val="22"/>
        </w:rPr>
        <w:t xml:space="preserve"> (1999): Essays in honour of James Patrick Carney</w:t>
      </w:r>
      <w:r>
        <w:rPr>
          <w:rFonts w:asciiTheme="minorHAnsi" w:hAnsiTheme="minorHAnsi" w:cs="Arial"/>
          <w:b w:val="0"/>
          <w:color w:val="333333"/>
          <w:sz w:val="22"/>
          <w:szCs w:val="22"/>
        </w:rPr>
        <w:t xml:space="preserve"> </w:t>
      </w:r>
      <w:r w:rsidRPr="008F580A">
        <w:rPr>
          <w:rFonts w:asciiTheme="minorHAnsi" w:hAnsiTheme="minorHAnsi"/>
          <w:b w:val="0"/>
          <w:sz w:val="22"/>
          <w:szCs w:val="22"/>
        </w:rPr>
        <w:t xml:space="preserve">[Online: </w:t>
      </w:r>
      <w:hyperlink r:id="rId51" w:history="1">
        <w:r w:rsidRPr="008F580A">
          <w:rPr>
            <w:rStyle w:val="Hyperlink"/>
            <w:rFonts w:asciiTheme="minorHAnsi" w:hAnsiTheme="minorHAnsi"/>
            <w:b w:val="0"/>
            <w:sz w:val="22"/>
            <w:szCs w:val="22"/>
          </w:rPr>
          <w:t>https://www.dias.ie/wp-content/uploads/webstore/celt/pubs/celtica/c23/c23-369.pdf</w:t>
        </w:r>
      </w:hyperlink>
      <w:r w:rsidRPr="008F580A">
        <w:rPr>
          <w:rFonts w:asciiTheme="minorHAnsi" w:hAnsiTheme="minorHAnsi"/>
          <w:b w:val="0"/>
          <w:sz w:val="22"/>
          <w:szCs w:val="22"/>
        </w:rPr>
        <w:t xml:space="preserve"> ] &lt;Accessed 28</w:t>
      </w:r>
      <w:r>
        <w:rPr>
          <w:rFonts w:asciiTheme="minorHAnsi" w:hAnsiTheme="minorHAnsi"/>
          <w:b w:val="0"/>
          <w:sz w:val="22"/>
          <w:szCs w:val="22"/>
        </w:rPr>
        <w:t xml:space="preserve"> March 20</w:t>
      </w:r>
      <w:r w:rsidRPr="008F580A">
        <w:rPr>
          <w:rFonts w:asciiTheme="minorHAnsi" w:hAnsiTheme="minorHAnsi"/>
          <w:b w:val="0"/>
          <w:sz w:val="22"/>
          <w:szCs w:val="22"/>
        </w:rPr>
        <w:t>18&gt;</w:t>
      </w:r>
    </w:p>
    <w:p w:rsidR="00BA4FE1" w:rsidRPr="00501879" w:rsidRDefault="00BA4FE1" w:rsidP="00BA4FE1">
      <w:pPr>
        <w:pStyle w:val="Heading1"/>
        <w:spacing w:before="0" w:beforeAutospacing="0" w:after="300" w:afterAutospacing="0"/>
        <w:rPr>
          <w:rFonts w:asciiTheme="minorHAnsi" w:hAnsiTheme="minorHAnsi"/>
          <w:b w:val="0"/>
          <w:sz w:val="22"/>
          <w:szCs w:val="22"/>
        </w:rPr>
      </w:pPr>
      <w:r w:rsidRPr="00501879">
        <w:rPr>
          <w:rFonts w:asciiTheme="minorHAnsi" w:hAnsiTheme="minorHAnsi"/>
          <w:b w:val="0"/>
          <w:sz w:val="22"/>
          <w:szCs w:val="22"/>
        </w:rPr>
        <w:lastRenderedPageBreak/>
        <w:t xml:space="preserve">Strijbosch, C., </w:t>
      </w:r>
      <w:r w:rsidRPr="007F0543">
        <w:rPr>
          <w:rFonts w:asciiTheme="minorHAnsi" w:hAnsiTheme="minorHAnsi"/>
          <w:b w:val="0"/>
          <w:sz w:val="22"/>
          <w:szCs w:val="22"/>
        </w:rPr>
        <w:t>trans. Summerfield.T.,</w:t>
      </w:r>
      <w:r>
        <w:rPr>
          <w:rFonts w:asciiTheme="minorHAnsi" w:hAnsiTheme="minorHAnsi"/>
          <w:b w:val="0"/>
          <w:sz w:val="22"/>
          <w:szCs w:val="22"/>
        </w:rPr>
        <w:t xml:space="preserve"> </w:t>
      </w:r>
      <w:r w:rsidRPr="00501879">
        <w:rPr>
          <w:rFonts w:asciiTheme="minorHAnsi" w:hAnsiTheme="minorHAnsi"/>
          <w:b w:val="0"/>
          <w:i/>
          <w:sz w:val="22"/>
          <w:szCs w:val="22"/>
        </w:rPr>
        <w:t>The Seafaring Saint; Sources and Analogues of the Twelfth-century Voyage of Saint Brendan</w:t>
      </w:r>
      <w:r w:rsidRPr="007F0543">
        <w:rPr>
          <w:rFonts w:asciiTheme="minorHAnsi" w:hAnsiTheme="minorHAnsi"/>
          <w:b w:val="0"/>
          <w:sz w:val="22"/>
          <w:szCs w:val="22"/>
        </w:rPr>
        <w:t xml:space="preserve">, </w:t>
      </w:r>
      <w:r w:rsidRPr="00501879">
        <w:rPr>
          <w:rFonts w:asciiTheme="minorHAnsi" w:hAnsiTheme="minorHAnsi"/>
          <w:b w:val="0"/>
          <w:sz w:val="22"/>
          <w:szCs w:val="22"/>
        </w:rPr>
        <w:t>(Dublin: Four Courts Press, 2000)</w:t>
      </w:r>
    </w:p>
    <w:p w:rsidR="00BA4FE1" w:rsidRPr="00501879" w:rsidRDefault="00BA4FE1" w:rsidP="00A9559F">
      <w:pPr>
        <w:spacing w:line="240" w:lineRule="auto"/>
        <w:textAlignment w:val="baseline"/>
      </w:pPr>
      <w:r>
        <w:rPr>
          <w:rFonts w:cs="ArialUnicodeMS"/>
        </w:rPr>
        <w:t xml:space="preserve"> Sumner, N., Hillers, B.,</w:t>
      </w:r>
      <w:r w:rsidRPr="00501879">
        <w:rPr>
          <w:rFonts w:cs="ArialUnicodeMS"/>
        </w:rPr>
        <w:t xml:space="preserve"> &amp; McKenna, C</w:t>
      </w:r>
      <w:r>
        <w:rPr>
          <w:rFonts w:cs="ArialUnicodeMS"/>
        </w:rPr>
        <w:t>.</w:t>
      </w:r>
      <w:r w:rsidRPr="00501879">
        <w:rPr>
          <w:rFonts w:cs="ArialUnicodeMS"/>
        </w:rPr>
        <w:t xml:space="preserve"> </w:t>
      </w:r>
      <w:r>
        <w:rPr>
          <w:rFonts w:cs="ArialUnicodeMS"/>
        </w:rPr>
        <w:t>‘</w:t>
      </w:r>
      <w:r w:rsidRPr="00501879">
        <w:rPr>
          <w:rFonts w:cs="ArialUnicodeMS"/>
        </w:rPr>
        <w:t>A Night of Storytelling and Years in the ‘Z-Closet’: The Re-discovery and Restoration of Oidhche Sheanchais, Robert Flaherty's ‘Lost’ Irish Folklore Film</w:t>
      </w:r>
      <w:r>
        <w:rPr>
          <w:rFonts w:cs="ArialUnicodeMS"/>
        </w:rPr>
        <w:t>’</w:t>
      </w:r>
      <w:r w:rsidRPr="00501879">
        <w:rPr>
          <w:rFonts w:cs="ArialUnicodeMS"/>
        </w:rPr>
        <w:t>,</w:t>
      </w:r>
      <w:r>
        <w:rPr>
          <w:rFonts w:cs="ArialUnicodeMS"/>
        </w:rPr>
        <w:t xml:space="preserve"> in</w:t>
      </w:r>
      <w:r w:rsidRPr="00501879">
        <w:rPr>
          <w:rFonts w:cs="ArialUnicodeMS"/>
        </w:rPr>
        <w:t xml:space="preserve"> </w:t>
      </w:r>
      <w:r w:rsidRPr="00501879">
        <w:rPr>
          <w:rFonts w:cs="ArialUnicodeMS"/>
          <w:i/>
        </w:rPr>
        <w:t>Folklore</w:t>
      </w:r>
      <w:r w:rsidRPr="00501879">
        <w:rPr>
          <w:rFonts w:cs="ArialUnicodeMS"/>
        </w:rPr>
        <w:t>, (2015) 126:1, 1-19</w:t>
      </w:r>
      <w:r>
        <w:rPr>
          <w:rFonts w:cs="ArialUnicodeMS"/>
        </w:rPr>
        <w:t>,</w:t>
      </w:r>
      <w:r w:rsidRPr="00501879">
        <w:rPr>
          <w:rFonts w:cs="ArialUnicodeMS"/>
        </w:rPr>
        <w:t xml:space="preserve"> [Online: </w:t>
      </w:r>
      <w:r w:rsidRPr="00501879">
        <w:rPr>
          <w:rFonts w:cs="OpenSans-Semibold"/>
        </w:rPr>
        <w:t xml:space="preserve"> </w:t>
      </w:r>
      <w:hyperlink r:id="rId52" w:history="1">
        <w:r w:rsidRPr="00501879">
          <w:rPr>
            <w:rStyle w:val="Hyperlink"/>
            <w:rFonts w:cs="OpenSans"/>
          </w:rPr>
          <w:t>https://doi.org/10.1080/0015587X.2014.1001214</w:t>
        </w:r>
      </w:hyperlink>
      <w:r>
        <w:rPr>
          <w:rFonts w:cs="OpenSans"/>
        </w:rPr>
        <w:t xml:space="preserve">] &lt;Accessed </w:t>
      </w:r>
      <w:r w:rsidRPr="00501879">
        <w:rPr>
          <w:rFonts w:cs="OpenSans"/>
        </w:rPr>
        <w:t>6</w:t>
      </w:r>
      <w:r>
        <w:rPr>
          <w:rFonts w:cs="OpenSans"/>
        </w:rPr>
        <w:t xml:space="preserve"> March 20</w:t>
      </w:r>
      <w:r w:rsidRPr="00501879">
        <w:rPr>
          <w:rFonts w:cs="OpenSans"/>
        </w:rPr>
        <w:t>18&gt;</w:t>
      </w:r>
    </w:p>
    <w:p w:rsidR="00BA4FE1" w:rsidRPr="007F70A2" w:rsidRDefault="00BA4FE1" w:rsidP="00BA4FE1">
      <w:pPr>
        <w:pStyle w:val="Default"/>
        <w:rPr>
          <w:rFonts w:asciiTheme="minorHAnsi" w:hAnsiTheme="minorHAnsi"/>
          <w:sz w:val="22"/>
          <w:szCs w:val="22"/>
        </w:rPr>
      </w:pPr>
      <w:r w:rsidRPr="007F70A2">
        <w:rPr>
          <w:rFonts w:asciiTheme="minorHAnsi" w:hAnsiTheme="minorHAnsi"/>
          <w:sz w:val="22"/>
          <w:szCs w:val="22"/>
        </w:rPr>
        <w:t>Thompson</w:t>
      </w:r>
      <w:r>
        <w:rPr>
          <w:rFonts w:asciiTheme="minorHAnsi" w:hAnsiTheme="minorHAnsi"/>
          <w:sz w:val="22"/>
          <w:szCs w:val="22"/>
        </w:rPr>
        <w:t>,</w:t>
      </w:r>
      <w:r w:rsidRPr="007F70A2">
        <w:rPr>
          <w:rFonts w:asciiTheme="minorHAnsi" w:hAnsiTheme="minorHAnsi"/>
          <w:sz w:val="22"/>
          <w:szCs w:val="22"/>
        </w:rPr>
        <w:t xml:space="preserve"> E. A.</w:t>
      </w:r>
      <w:r>
        <w:rPr>
          <w:rFonts w:asciiTheme="minorHAnsi" w:hAnsiTheme="minorHAnsi"/>
          <w:sz w:val="22"/>
          <w:szCs w:val="22"/>
        </w:rPr>
        <w:t>,</w:t>
      </w:r>
      <w:r w:rsidRPr="007F70A2">
        <w:rPr>
          <w:rFonts w:asciiTheme="minorHAnsi" w:hAnsiTheme="minorHAnsi"/>
          <w:sz w:val="22"/>
          <w:szCs w:val="22"/>
        </w:rPr>
        <w:t xml:space="preserve"> </w:t>
      </w:r>
      <w:r>
        <w:rPr>
          <w:rFonts w:asciiTheme="minorHAnsi" w:hAnsiTheme="minorHAnsi"/>
          <w:sz w:val="22"/>
          <w:szCs w:val="22"/>
        </w:rPr>
        <w:t>‘</w:t>
      </w:r>
      <w:r w:rsidRPr="007F70A2">
        <w:rPr>
          <w:rFonts w:asciiTheme="minorHAnsi" w:hAnsiTheme="minorHAnsi"/>
          <w:sz w:val="22"/>
          <w:szCs w:val="22"/>
        </w:rPr>
        <w:t>Procopius on Brittia and Britannia</w:t>
      </w:r>
      <w:r>
        <w:rPr>
          <w:rFonts w:asciiTheme="minorHAnsi" w:hAnsiTheme="minorHAnsi"/>
          <w:sz w:val="22"/>
          <w:szCs w:val="22"/>
        </w:rPr>
        <w:t>’,</w:t>
      </w:r>
      <w:r w:rsidRPr="007F70A2">
        <w:rPr>
          <w:rFonts w:asciiTheme="minorHAnsi" w:hAnsiTheme="minorHAnsi"/>
          <w:sz w:val="22"/>
          <w:szCs w:val="22"/>
        </w:rPr>
        <w:t xml:space="preserve"> in </w:t>
      </w:r>
      <w:r w:rsidRPr="007F70A2">
        <w:rPr>
          <w:rFonts w:asciiTheme="minorHAnsi" w:hAnsiTheme="minorHAnsi"/>
          <w:i/>
          <w:sz w:val="22"/>
          <w:szCs w:val="22"/>
        </w:rPr>
        <w:t>The Classical Quarterly</w:t>
      </w:r>
      <w:r w:rsidRPr="007F70A2">
        <w:rPr>
          <w:rFonts w:asciiTheme="minorHAnsi" w:hAnsiTheme="minorHAnsi"/>
          <w:sz w:val="22"/>
          <w:szCs w:val="22"/>
        </w:rPr>
        <w:t xml:space="preserve">, </w:t>
      </w:r>
      <w:r w:rsidRPr="00501879">
        <w:rPr>
          <w:rFonts w:asciiTheme="minorHAnsi" w:hAnsiTheme="minorHAnsi"/>
          <w:sz w:val="22"/>
          <w:szCs w:val="22"/>
        </w:rPr>
        <w:t>30</w:t>
      </w:r>
      <w:r>
        <w:rPr>
          <w:rFonts w:asciiTheme="minorHAnsi" w:hAnsiTheme="minorHAnsi"/>
          <w:sz w:val="22"/>
          <w:szCs w:val="22"/>
        </w:rPr>
        <w:t>: (</w:t>
      </w:r>
      <w:r w:rsidRPr="007F70A2">
        <w:rPr>
          <w:rFonts w:asciiTheme="minorHAnsi" w:hAnsiTheme="minorHAnsi"/>
          <w:sz w:val="22"/>
          <w:szCs w:val="22"/>
        </w:rPr>
        <w:t>2</w:t>
      </w:r>
      <w:r>
        <w:rPr>
          <w:rFonts w:asciiTheme="minorHAnsi" w:hAnsiTheme="minorHAnsi"/>
          <w:sz w:val="22"/>
          <w:szCs w:val="22"/>
        </w:rPr>
        <w:t>), (</w:t>
      </w:r>
      <w:r w:rsidRPr="007F70A2">
        <w:rPr>
          <w:rFonts w:asciiTheme="minorHAnsi" w:hAnsiTheme="minorHAnsi"/>
          <w:sz w:val="22"/>
          <w:szCs w:val="22"/>
        </w:rPr>
        <w:t>Cambridge University Press on behalf of The Classical Association</w:t>
      </w:r>
      <w:r>
        <w:rPr>
          <w:rFonts w:asciiTheme="minorHAnsi" w:hAnsiTheme="minorHAnsi"/>
          <w:sz w:val="22"/>
          <w:szCs w:val="22"/>
        </w:rPr>
        <w:t>, 1980)</w:t>
      </w:r>
      <w:r w:rsidRPr="007F70A2">
        <w:rPr>
          <w:rFonts w:asciiTheme="minorHAnsi" w:hAnsiTheme="minorHAnsi"/>
          <w:sz w:val="22"/>
          <w:szCs w:val="22"/>
        </w:rPr>
        <w:t xml:space="preserve">, pp. 498-507 </w:t>
      </w:r>
    </w:p>
    <w:p w:rsidR="00BA4FE1" w:rsidRDefault="00BA4FE1" w:rsidP="00BA4FE1">
      <w:pPr>
        <w:pStyle w:val="Default"/>
        <w:rPr>
          <w:rFonts w:asciiTheme="minorHAnsi" w:hAnsiTheme="minorHAnsi"/>
          <w:sz w:val="22"/>
          <w:szCs w:val="22"/>
        </w:rPr>
      </w:pPr>
      <w:r w:rsidRPr="007F70A2">
        <w:rPr>
          <w:rFonts w:asciiTheme="minorHAnsi" w:hAnsiTheme="minorHAnsi"/>
          <w:sz w:val="22"/>
          <w:szCs w:val="22"/>
        </w:rPr>
        <w:t xml:space="preserve"> [Online: </w:t>
      </w:r>
      <w:hyperlink r:id="rId53" w:history="1">
        <w:r w:rsidRPr="007F70A2">
          <w:rPr>
            <w:rStyle w:val="Hyperlink"/>
            <w:rFonts w:asciiTheme="minorHAnsi" w:hAnsiTheme="minorHAnsi"/>
            <w:sz w:val="22"/>
            <w:szCs w:val="22"/>
          </w:rPr>
          <w:t>http://www.jstor.org/stable/638518</w:t>
        </w:r>
      </w:hyperlink>
      <w:r w:rsidRPr="007F70A2">
        <w:rPr>
          <w:rFonts w:asciiTheme="minorHAnsi" w:hAnsiTheme="minorHAnsi"/>
          <w:sz w:val="22"/>
          <w:szCs w:val="22"/>
        </w:rPr>
        <w:t>] &lt;Accessed: 28</w:t>
      </w:r>
      <w:r>
        <w:rPr>
          <w:rFonts w:asciiTheme="minorHAnsi" w:hAnsiTheme="minorHAnsi"/>
          <w:sz w:val="22"/>
          <w:szCs w:val="22"/>
        </w:rPr>
        <w:t xml:space="preserve"> February </w:t>
      </w:r>
      <w:r w:rsidRPr="007F70A2">
        <w:rPr>
          <w:rFonts w:asciiTheme="minorHAnsi" w:hAnsiTheme="minorHAnsi"/>
          <w:sz w:val="22"/>
          <w:szCs w:val="22"/>
        </w:rPr>
        <w:t xml:space="preserve">2018&gt;  </w:t>
      </w:r>
    </w:p>
    <w:p w:rsidR="00BA4FE1" w:rsidRDefault="00BA4FE1" w:rsidP="00BA4FE1">
      <w:pPr>
        <w:pStyle w:val="Default"/>
        <w:rPr>
          <w:rFonts w:cs="Arial"/>
        </w:rPr>
      </w:pPr>
    </w:p>
    <w:p w:rsidR="00576212" w:rsidRPr="00DA2BEB" w:rsidRDefault="00576212" w:rsidP="00A9559F">
      <w:pPr>
        <w:spacing w:line="240" w:lineRule="auto"/>
        <w:rPr>
          <w:rFonts w:ascii="Arial" w:hAnsi="Arial" w:cs="Arial"/>
          <w:color w:val="000000"/>
          <w:sz w:val="23"/>
          <w:szCs w:val="23"/>
        </w:rPr>
      </w:pPr>
      <w:r>
        <w:rPr>
          <w:rFonts w:cs="Arial"/>
          <w:color w:val="000000"/>
        </w:rPr>
        <w:t>Thompson, L.</w:t>
      </w:r>
      <w:r w:rsidRPr="00432030">
        <w:rPr>
          <w:rFonts w:cs="Arial"/>
          <w:color w:val="000000"/>
        </w:rPr>
        <w:t xml:space="preserve">, The </w:t>
      </w:r>
      <w:r w:rsidRPr="00432030">
        <w:rPr>
          <w:rFonts w:cs="Arial"/>
          <w:i/>
          <w:iCs/>
          <w:color w:val="000000"/>
        </w:rPr>
        <w:t xml:space="preserve">Mari Lwyd </w:t>
      </w:r>
      <w:r w:rsidRPr="00432030">
        <w:rPr>
          <w:rFonts w:cs="Arial"/>
          <w:color w:val="000000"/>
        </w:rPr>
        <w:t>and the Horse Queen: Palimpsests of Ancient ideas</w:t>
      </w:r>
      <w:r>
        <w:rPr>
          <w:rFonts w:cs="Arial"/>
          <w:color w:val="000000"/>
        </w:rPr>
        <w:t xml:space="preserve">, (unpublished MA thesis, </w:t>
      </w:r>
      <w:r w:rsidRPr="00432030">
        <w:rPr>
          <w:rFonts w:cs="Arial"/>
          <w:color w:val="000000"/>
        </w:rPr>
        <w:t>the University of Wales Trinity Saint David</w:t>
      </w:r>
      <w:r>
        <w:rPr>
          <w:rFonts w:cs="Arial"/>
          <w:color w:val="000000"/>
        </w:rPr>
        <w:t>, 2012).</w:t>
      </w:r>
      <w:r w:rsidRPr="00432030">
        <w:rPr>
          <w:rFonts w:cs="Arial"/>
          <w:color w:val="000000"/>
        </w:rPr>
        <w:t xml:space="preserve"> </w:t>
      </w:r>
    </w:p>
    <w:p w:rsidR="00BA4FE1" w:rsidRDefault="00BA4FE1" w:rsidP="00A9559F">
      <w:pPr>
        <w:spacing w:line="240" w:lineRule="auto"/>
        <w:rPr>
          <w:color w:val="FF0000"/>
        </w:rPr>
      </w:pPr>
      <w:r>
        <w:t xml:space="preserve">Tierney, J., ‘The Celtic Ethnography of Posidonius’, </w:t>
      </w:r>
      <w:r w:rsidRPr="00517457">
        <w:rPr>
          <w:i/>
        </w:rPr>
        <w:t>Proceedings of the Royal Irish Academy</w:t>
      </w:r>
      <w:r>
        <w:rPr>
          <w:i/>
        </w:rPr>
        <w:t>,</w:t>
      </w:r>
      <w:r>
        <w:t xml:space="preserve"> 60 (Section C #5):</w:t>
      </w:r>
      <w:r w:rsidRPr="00517457">
        <w:rPr>
          <w:color w:val="FF0000"/>
        </w:rPr>
        <w:t xml:space="preserve"> </w:t>
      </w:r>
      <w:r w:rsidRPr="00BF776D">
        <w:t>(Dublin, 1960)</w:t>
      </w:r>
    </w:p>
    <w:p w:rsidR="00BA4FE1" w:rsidRDefault="00BA4FE1" w:rsidP="00A9559F">
      <w:pPr>
        <w:autoSpaceDE w:val="0"/>
        <w:autoSpaceDN w:val="0"/>
        <w:adjustRightInd w:val="0"/>
        <w:spacing w:after="0" w:line="240" w:lineRule="auto"/>
        <w:rPr>
          <w:rFonts w:cs="Times New Roman"/>
          <w:bCs/>
        </w:rPr>
      </w:pPr>
      <w:r w:rsidRPr="00C046DD">
        <w:rPr>
          <w:rFonts w:cs="Times New Roman"/>
          <w:bCs/>
        </w:rPr>
        <w:t xml:space="preserve">Warner, R., </w:t>
      </w:r>
      <w:r>
        <w:rPr>
          <w:rFonts w:cs="Times New Roman"/>
          <w:bCs/>
        </w:rPr>
        <w:t>‘</w:t>
      </w:r>
      <w:r w:rsidRPr="00C046DD">
        <w:rPr>
          <w:rFonts w:cs="Times New Roman"/>
          <w:bCs/>
        </w:rPr>
        <w:t>The Broighter hoard – a question of ownership</w:t>
      </w:r>
      <w:r>
        <w:rPr>
          <w:rFonts w:cs="Times New Roman"/>
          <w:bCs/>
        </w:rPr>
        <w:t xml:space="preserve">’, in O’Brien, G., </w:t>
      </w:r>
      <w:r w:rsidRPr="00C046DD">
        <w:rPr>
          <w:rFonts w:cs="Times New Roman"/>
          <w:bCs/>
        </w:rPr>
        <w:t>ed</w:t>
      </w:r>
      <w:r>
        <w:rPr>
          <w:rFonts w:cs="Times New Roman"/>
          <w:bCs/>
        </w:rPr>
        <w:t>,</w:t>
      </w:r>
      <w:r w:rsidRPr="00C046DD">
        <w:rPr>
          <w:rFonts w:cs="Times New Roman"/>
          <w:bCs/>
        </w:rPr>
        <w:t xml:space="preserve"> </w:t>
      </w:r>
      <w:r w:rsidRPr="00C046DD">
        <w:rPr>
          <w:rFonts w:cs="Times New Roman"/>
          <w:bCs/>
          <w:i/>
          <w:iCs/>
        </w:rPr>
        <w:t>Derry &amp; Londonderry: History and</w:t>
      </w:r>
      <w:r>
        <w:rPr>
          <w:rFonts w:cs="Times New Roman"/>
          <w:bCs/>
          <w:i/>
          <w:iCs/>
        </w:rPr>
        <w:t xml:space="preserve"> </w:t>
      </w:r>
      <w:r w:rsidRPr="00C046DD">
        <w:rPr>
          <w:rFonts w:cs="Times New Roman"/>
          <w:bCs/>
          <w:i/>
          <w:iCs/>
        </w:rPr>
        <w:t xml:space="preserve">Society </w:t>
      </w:r>
      <w:r>
        <w:rPr>
          <w:rFonts w:cs="Times New Roman"/>
          <w:bCs/>
        </w:rPr>
        <w:t>(Dublin:</w:t>
      </w:r>
      <w:r w:rsidRPr="00C046DD">
        <w:rPr>
          <w:rFonts w:cs="Times New Roman"/>
          <w:bCs/>
        </w:rPr>
        <w:t xml:space="preserve"> Geography Publications, 1999), 69-90. </w:t>
      </w:r>
      <w:r>
        <w:rPr>
          <w:rFonts w:cs="Times New Roman"/>
          <w:bCs/>
        </w:rPr>
        <w:t xml:space="preserve">[Online: </w:t>
      </w:r>
      <w:hyperlink r:id="rId54" w:history="1">
        <w:r w:rsidRPr="00597AD4">
          <w:rPr>
            <w:rStyle w:val="Hyperlink"/>
            <w:rFonts w:cs="Times New Roman"/>
            <w:bCs/>
          </w:rPr>
          <w:t>https://www.academia.edu/7149570/The_Broighter_hoard_-_a_question_of_ownership</w:t>
        </w:r>
      </w:hyperlink>
      <w:r>
        <w:rPr>
          <w:rFonts w:cs="Times New Roman"/>
          <w:bCs/>
        </w:rPr>
        <w:t xml:space="preserve">] </w:t>
      </w:r>
      <w:r w:rsidRPr="00C046DD">
        <w:rPr>
          <w:rFonts w:cs="Times New Roman"/>
          <w:bCs/>
        </w:rPr>
        <w:t>&lt;Accessed 10</w:t>
      </w:r>
      <w:r>
        <w:rPr>
          <w:rFonts w:cs="Times New Roman"/>
          <w:bCs/>
        </w:rPr>
        <w:t xml:space="preserve"> March 20</w:t>
      </w:r>
      <w:r w:rsidRPr="00C046DD">
        <w:rPr>
          <w:rFonts w:cs="Times New Roman"/>
          <w:bCs/>
        </w:rPr>
        <w:t>18&gt;</w:t>
      </w:r>
    </w:p>
    <w:p w:rsidR="00BA4FE1" w:rsidRPr="00C046DD" w:rsidRDefault="00BA4FE1" w:rsidP="00BA4FE1">
      <w:pPr>
        <w:autoSpaceDE w:val="0"/>
        <w:autoSpaceDN w:val="0"/>
        <w:adjustRightInd w:val="0"/>
        <w:spacing w:after="0" w:line="240" w:lineRule="auto"/>
        <w:rPr>
          <w:i/>
        </w:rPr>
      </w:pPr>
    </w:p>
    <w:p w:rsidR="00BA4FE1" w:rsidRDefault="00BA4FE1" w:rsidP="00A9559F">
      <w:pPr>
        <w:spacing w:line="240" w:lineRule="auto"/>
      </w:pPr>
      <w:r w:rsidRPr="000910B5">
        <w:t>Warner, Moles and Chapman</w:t>
      </w:r>
      <w:r>
        <w:t>, ‘</w:t>
      </w:r>
      <w:r w:rsidRPr="000910B5">
        <w:t>Evidence for Early Bronze Age Tin and Gold Extraction</w:t>
      </w:r>
      <w:r>
        <w:t xml:space="preserve"> in the Mourne Mountains, County Down’, </w:t>
      </w:r>
      <w:r w:rsidRPr="00517457">
        <w:rPr>
          <w:i/>
        </w:rPr>
        <w:t>Journal of the Mining Heritage Trust of Ireland</w:t>
      </w:r>
      <w:r w:rsidRPr="000910B5">
        <w:t xml:space="preserve"> </w:t>
      </w:r>
      <w:r>
        <w:t>, 10: (</w:t>
      </w:r>
      <w:r w:rsidRPr="000910B5">
        <w:t>2010</w:t>
      </w:r>
      <w:r>
        <w:t xml:space="preserve">) 29-36   [Online at: </w:t>
      </w:r>
      <w:hyperlink r:id="rId55" w:history="1">
        <w:r w:rsidRPr="00C51CF8">
          <w:rPr>
            <w:rStyle w:val="Hyperlink"/>
          </w:rPr>
          <w:t>https://s3.amazonaws.com/academia.edu.documents/33804431/Tin_Gold.pdf?AWSAccessKeyId=AKIAIWOWYYGZ2Y53UL3A&amp;Expires=1507829143&amp;Signature=H35DK0R%2B1o%2F8N7Knob6Kkx6TInc%3D&amp;response-content-disposition=inline%3B%20filename%3DEvidence_for_Early_Bronze_Age_tin_and_go.pdf</w:t>
        </w:r>
      </w:hyperlink>
      <w:r>
        <w:t>]</w:t>
      </w:r>
    </w:p>
    <w:p w:rsidR="00BA4FE1" w:rsidRDefault="00BA4FE1" w:rsidP="00A9559F">
      <w:pPr>
        <w:spacing w:line="240" w:lineRule="auto"/>
      </w:pPr>
      <w:r>
        <w:t xml:space="preserve">&lt;Accessed 12 October 2017&gt; </w:t>
      </w:r>
    </w:p>
    <w:p w:rsidR="00BA4FE1" w:rsidRDefault="00BA4FE1" w:rsidP="00BA4FE1">
      <w:pPr>
        <w:autoSpaceDE w:val="0"/>
        <w:autoSpaceDN w:val="0"/>
        <w:adjustRightInd w:val="0"/>
        <w:spacing w:after="0" w:line="240" w:lineRule="auto"/>
      </w:pPr>
      <w:r>
        <w:t xml:space="preserve">Webster, Jane, </w:t>
      </w:r>
      <w:r w:rsidRPr="00302A84">
        <w:t>‘A Dirty Window on the Iron Age? Recent Developments in the Archaeology of Pre-Roman Celtic Religion</w:t>
      </w:r>
      <w:r>
        <w:t>,</w:t>
      </w:r>
      <w:r>
        <w:rPr>
          <w:i/>
        </w:rPr>
        <w:t xml:space="preserve">’ </w:t>
      </w:r>
      <w:r>
        <w:t xml:space="preserve">in </w:t>
      </w:r>
      <w:r w:rsidRPr="00302A84">
        <w:rPr>
          <w:rFonts w:cs="Lithos-Regular"/>
          <w:i/>
        </w:rPr>
        <w:t xml:space="preserve">New Approaches to Celtic Religion and Mythology: </w:t>
      </w:r>
      <w:r w:rsidRPr="00302A84">
        <w:rPr>
          <w:rFonts w:cs="Futura-Book"/>
          <w:i/>
        </w:rPr>
        <w:t>Understanding Celtic Religion Revisiting the Pagan Past.</w:t>
      </w:r>
      <w:r>
        <w:rPr>
          <w:rFonts w:cs="Futura-Book"/>
        </w:rPr>
        <w:t xml:space="preserve"> Eds,</w:t>
      </w:r>
      <w:r w:rsidRPr="003235EF">
        <w:rPr>
          <w:rFonts w:cs="Futura-Book"/>
        </w:rPr>
        <w:t xml:space="preserve"> Bergholm</w:t>
      </w:r>
      <w:r>
        <w:rPr>
          <w:rFonts w:cs="Futura-Book"/>
        </w:rPr>
        <w:t>, A., and</w:t>
      </w:r>
      <w:r w:rsidRPr="003235EF">
        <w:rPr>
          <w:rFonts w:cs="Futura-Book"/>
        </w:rPr>
        <w:t xml:space="preserve"> Ritari</w:t>
      </w:r>
      <w:r>
        <w:rPr>
          <w:rFonts w:cs="Futura-Book"/>
        </w:rPr>
        <w:t>, K.,</w:t>
      </w:r>
      <w:r w:rsidRPr="003235EF">
        <w:rPr>
          <w:rFonts w:cs="Futura-Book"/>
        </w:rPr>
        <w:t xml:space="preserve"> and </w:t>
      </w:r>
      <w:r>
        <w:rPr>
          <w:rFonts w:cs="Futura-Book"/>
        </w:rPr>
        <w:t>(</w:t>
      </w:r>
      <w:r w:rsidRPr="003235EF">
        <w:rPr>
          <w:rFonts w:cs="GentiumBasic"/>
        </w:rPr>
        <w:t>Cardiff</w:t>
      </w:r>
      <w:r>
        <w:rPr>
          <w:rFonts w:cs="GentiumBasic"/>
        </w:rPr>
        <w:t>: U</w:t>
      </w:r>
      <w:r w:rsidRPr="003235EF">
        <w:rPr>
          <w:rFonts w:cs="GentiumBasic"/>
        </w:rPr>
        <w:t>niversity of</w:t>
      </w:r>
      <w:r>
        <w:rPr>
          <w:rFonts w:cs="GentiumBasic"/>
        </w:rPr>
        <w:t xml:space="preserve"> W</w:t>
      </w:r>
      <w:r w:rsidRPr="003235EF">
        <w:rPr>
          <w:rFonts w:cs="GentiumBasic"/>
        </w:rPr>
        <w:t xml:space="preserve">ales </w:t>
      </w:r>
      <w:r>
        <w:rPr>
          <w:rFonts w:cs="GentiumBasic"/>
        </w:rPr>
        <w:t>P</w:t>
      </w:r>
      <w:r w:rsidRPr="003235EF">
        <w:rPr>
          <w:rFonts w:cs="GentiumBasic"/>
        </w:rPr>
        <w:t>ress</w:t>
      </w:r>
      <w:r>
        <w:rPr>
          <w:rFonts w:cs="GentiumBasic"/>
        </w:rPr>
        <w:t>,</w:t>
      </w:r>
      <w:r w:rsidRPr="003235EF">
        <w:rPr>
          <w:rFonts w:cs="GentiumBasic"/>
        </w:rPr>
        <w:t xml:space="preserve"> 2015</w:t>
      </w:r>
      <w:r>
        <w:rPr>
          <w:rFonts w:cs="GentiumBasic"/>
        </w:rPr>
        <w:t xml:space="preserve">), available at </w:t>
      </w:r>
      <w:r w:rsidRPr="003235EF">
        <w:t xml:space="preserve"> </w:t>
      </w:r>
      <w:hyperlink r:id="rId56" w:history="1">
        <w:r w:rsidRPr="00597AD4">
          <w:rPr>
            <w:rStyle w:val="Hyperlink"/>
            <w:rFonts w:cs="GentiumBasic"/>
          </w:rPr>
          <w:t>https://www-dawsonera-com.ezproxy.uwtsd.ac.uk/readonline/9781783167937</w:t>
        </w:r>
      </w:hyperlink>
      <w:r>
        <w:rPr>
          <w:rFonts w:cs="GentiumBasic"/>
        </w:rPr>
        <w:t xml:space="preserve">  </w:t>
      </w:r>
      <w:r>
        <w:t>&lt;Accessed 28 March 2018&gt;</w:t>
      </w:r>
    </w:p>
    <w:p w:rsidR="00BA4FE1" w:rsidRPr="003235EF" w:rsidRDefault="00BA4FE1" w:rsidP="00BA4FE1">
      <w:pPr>
        <w:autoSpaceDE w:val="0"/>
        <w:autoSpaceDN w:val="0"/>
        <w:adjustRightInd w:val="0"/>
        <w:spacing w:after="0" w:line="240" w:lineRule="auto"/>
      </w:pPr>
    </w:p>
    <w:p w:rsidR="00BA4FE1" w:rsidRDefault="00BA4FE1" w:rsidP="00A9559F">
      <w:pPr>
        <w:spacing w:line="240" w:lineRule="auto"/>
      </w:pPr>
      <w:r>
        <w:t xml:space="preserve">Williams, M., </w:t>
      </w:r>
      <w:r w:rsidRPr="006F792F">
        <w:rPr>
          <w:i/>
        </w:rPr>
        <w:t>Ireland’s Immortal</w:t>
      </w:r>
      <w:r>
        <w:rPr>
          <w:i/>
        </w:rPr>
        <w:t>: a history of the gods of Irish Myth</w:t>
      </w:r>
      <w:r>
        <w:t xml:space="preserve"> (Oxford: Princeton University Press, 2016)</w:t>
      </w:r>
    </w:p>
    <w:p w:rsidR="00BA4FE1" w:rsidRDefault="00BA4FE1" w:rsidP="00A9559F">
      <w:pPr>
        <w:spacing w:line="240" w:lineRule="auto"/>
        <w:textAlignment w:val="baseline"/>
      </w:pPr>
      <w:r>
        <w:t xml:space="preserve">Wooding, J.M., ed, </w:t>
      </w:r>
      <w:r w:rsidRPr="003C4705">
        <w:rPr>
          <w:i/>
        </w:rPr>
        <w:t>The Otherworld Voyage</w:t>
      </w:r>
      <w:r>
        <w:rPr>
          <w:i/>
        </w:rPr>
        <w:t xml:space="preserve"> in Early Irish Literature: An Anthology of Criticism </w:t>
      </w:r>
      <w:r>
        <w:t>(Dublin: Four Courts Press, 2000)</w:t>
      </w:r>
    </w:p>
    <w:p w:rsidR="00BA4FE1" w:rsidRDefault="00BA4FE1" w:rsidP="00A9559F">
      <w:pPr>
        <w:pStyle w:val="Pa1"/>
        <w:spacing w:line="240" w:lineRule="auto"/>
        <w:rPr>
          <w:rFonts w:asciiTheme="minorHAnsi" w:hAnsiTheme="minorHAnsi" w:cs="Gill Sans MT"/>
          <w:color w:val="000000"/>
          <w:sz w:val="22"/>
          <w:szCs w:val="28"/>
        </w:rPr>
      </w:pPr>
      <w:r w:rsidRPr="006D1772">
        <w:rPr>
          <w:rFonts w:asciiTheme="minorHAnsi" w:hAnsiTheme="minorHAnsi"/>
          <w:sz w:val="22"/>
          <w:szCs w:val="22"/>
        </w:rPr>
        <w:t xml:space="preserve">Wooding, J.M., </w:t>
      </w:r>
      <w:r>
        <w:rPr>
          <w:rFonts w:asciiTheme="minorHAnsi" w:hAnsiTheme="minorHAnsi"/>
          <w:sz w:val="22"/>
          <w:szCs w:val="22"/>
        </w:rPr>
        <w:t>‘</w:t>
      </w:r>
      <w:r w:rsidRPr="006D1772">
        <w:rPr>
          <w:rFonts w:asciiTheme="minorHAnsi" w:hAnsiTheme="minorHAnsi"/>
          <w:sz w:val="22"/>
          <w:szCs w:val="22"/>
        </w:rPr>
        <w:t>Reapproaching the Pagan Celtic Past</w:t>
      </w:r>
      <w:r w:rsidRPr="006D1772">
        <w:rPr>
          <w:rFonts w:asciiTheme="minorHAnsi" w:hAnsiTheme="minorHAnsi" w:cs="Gill Sans MT"/>
          <w:color w:val="000000"/>
          <w:sz w:val="22"/>
          <w:szCs w:val="22"/>
        </w:rPr>
        <w:t xml:space="preserve"> – Anti-Nativism, Asterisk Reality and the Late-Antiquity Paradigm</w:t>
      </w:r>
      <w:r>
        <w:rPr>
          <w:rFonts w:asciiTheme="minorHAnsi" w:hAnsiTheme="minorHAnsi" w:cs="Gill Sans MT"/>
          <w:color w:val="000000"/>
          <w:sz w:val="22"/>
          <w:szCs w:val="22"/>
        </w:rPr>
        <w:t>’</w:t>
      </w:r>
      <w:r w:rsidRPr="006D1772">
        <w:rPr>
          <w:rFonts w:asciiTheme="minorHAnsi" w:hAnsiTheme="minorHAnsi" w:cs="Gill Sans MT"/>
          <w:color w:val="000000"/>
          <w:sz w:val="22"/>
          <w:szCs w:val="22"/>
        </w:rPr>
        <w:t xml:space="preserve"> </w:t>
      </w:r>
      <w:r>
        <w:rPr>
          <w:rFonts w:asciiTheme="minorHAnsi" w:hAnsiTheme="minorHAnsi" w:cs="Gill Sans MT"/>
          <w:color w:val="000000"/>
          <w:sz w:val="22"/>
          <w:szCs w:val="22"/>
        </w:rPr>
        <w:t xml:space="preserve"> in </w:t>
      </w:r>
      <w:r w:rsidRPr="006D1772">
        <w:rPr>
          <w:rFonts w:asciiTheme="minorHAnsi" w:hAnsiTheme="minorHAnsi" w:cs="Gill Sans MT"/>
          <w:i/>
          <w:color w:val="000000"/>
          <w:sz w:val="22"/>
          <w:szCs w:val="28"/>
        </w:rPr>
        <w:t>Studia Celtica Fennica</w:t>
      </w:r>
      <w:r w:rsidRPr="006D1772">
        <w:rPr>
          <w:rFonts w:asciiTheme="minorHAnsi" w:hAnsiTheme="minorHAnsi" w:cs="Gill Sans MT"/>
          <w:color w:val="000000"/>
          <w:sz w:val="22"/>
          <w:szCs w:val="28"/>
        </w:rPr>
        <w:t xml:space="preserve"> VI</w:t>
      </w:r>
      <w:r>
        <w:rPr>
          <w:rFonts w:asciiTheme="minorHAnsi" w:hAnsiTheme="minorHAnsi" w:cs="Gill Sans MT"/>
          <w:color w:val="000000"/>
          <w:sz w:val="22"/>
          <w:szCs w:val="28"/>
        </w:rPr>
        <w:t>:</w:t>
      </w:r>
      <w:r w:rsidRPr="006D1772">
        <w:rPr>
          <w:rFonts w:asciiTheme="minorHAnsi" w:hAnsiTheme="minorHAnsi" w:cs="Gill Sans MT"/>
          <w:color w:val="000000"/>
          <w:sz w:val="22"/>
          <w:szCs w:val="28"/>
        </w:rPr>
        <w:t xml:space="preserve"> </w:t>
      </w:r>
      <w:r>
        <w:rPr>
          <w:rFonts w:asciiTheme="minorHAnsi" w:hAnsiTheme="minorHAnsi" w:cs="Gill Sans MT"/>
          <w:color w:val="000000"/>
          <w:sz w:val="22"/>
          <w:szCs w:val="28"/>
        </w:rPr>
        <w:t>(</w:t>
      </w:r>
      <w:r w:rsidRPr="006D1772">
        <w:rPr>
          <w:rFonts w:asciiTheme="minorHAnsi" w:hAnsiTheme="minorHAnsi" w:cs="Gill Sans MT"/>
          <w:color w:val="000000"/>
          <w:sz w:val="22"/>
          <w:szCs w:val="28"/>
        </w:rPr>
        <w:t>2009</w:t>
      </w:r>
      <w:r>
        <w:rPr>
          <w:rFonts w:asciiTheme="minorHAnsi" w:hAnsiTheme="minorHAnsi" w:cs="Gill Sans MT"/>
          <w:color w:val="000000"/>
          <w:sz w:val="22"/>
          <w:szCs w:val="28"/>
        </w:rPr>
        <w:t xml:space="preserve">), 61-74  [Online: </w:t>
      </w:r>
      <w:hyperlink r:id="rId57" w:history="1">
        <w:r w:rsidRPr="00597AD4">
          <w:rPr>
            <w:rStyle w:val="Hyperlink"/>
            <w:rFonts w:asciiTheme="minorHAnsi" w:hAnsiTheme="minorHAnsi" w:cs="Gill Sans MT"/>
            <w:sz w:val="22"/>
            <w:szCs w:val="28"/>
          </w:rPr>
          <w:t>http://www.sfks.org/SC_VI_2009_24112010.pdf</w:t>
        </w:r>
      </w:hyperlink>
      <w:r>
        <w:rPr>
          <w:rFonts w:asciiTheme="minorHAnsi" w:hAnsiTheme="minorHAnsi" w:cs="Gill Sans MT"/>
          <w:color w:val="000000"/>
          <w:sz w:val="22"/>
          <w:szCs w:val="28"/>
        </w:rPr>
        <w:t xml:space="preserve">] &lt;Accessed 5 March 2018&gt; </w:t>
      </w:r>
    </w:p>
    <w:p w:rsidR="00BA4FE1" w:rsidRDefault="00BA4FE1" w:rsidP="00BA4FE1">
      <w:pPr>
        <w:pStyle w:val="Default"/>
      </w:pPr>
    </w:p>
    <w:p w:rsidR="00BA4FE1" w:rsidRPr="007A4EA8" w:rsidRDefault="00BA4FE1" w:rsidP="00A9559F">
      <w:pPr>
        <w:pStyle w:val="Default"/>
        <w:rPr>
          <w:rFonts w:asciiTheme="minorHAnsi" w:hAnsiTheme="minorHAnsi"/>
          <w:sz w:val="22"/>
        </w:rPr>
      </w:pPr>
      <w:r w:rsidRPr="007A4EA8">
        <w:rPr>
          <w:rFonts w:asciiTheme="minorHAnsi" w:hAnsiTheme="minorHAnsi"/>
          <w:sz w:val="22"/>
        </w:rPr>
        <w:t xml:space="preserve">Wooding, J.M., </w:t>
      </w:r>
      <w:r>
        <w:rPr>
          <w:rFonts w:asciiTheme="minorHAnsi" w:hAnsiTheme="minorHAnsi"/>
          <w:sz w:val="22"/>
        </w:rPr>
        <w:t>‘</w:t>
      </w:r>
      <w:r w:rsidRPr="007A4EA8">
        <w:rPr>
          <w:rFonts w:asciiTheme="minorHAnsi" w:hAnsiTheme="minorHAnsi"/>
          <w:sz w:val="22"/>
        </w:rPr>
        <w:t>Tyrannies of Distance? Medieval sources as evidence for indigenous Celtic and Romano-Celtic religion</w:t>
      </w:r>
      <w:r>
        <w:rPr>
          <w:rFonts w:asciiTheme="minorHAnsi" w:hAnsiTheme="minorHAnsi"/>
          <w:sz w:val="22"/>
        </w:rPr>
        <w:t>’</w:t>
      </w:r>
      <w:r w:rsidRPr="007A4EA8">
        <w:rPr>
          <w:rFonts w:asciiTheme="minorHAnsi" w:hAnsiTheme="minorHAnsi"/>
          <w:sz w:val="22"/>
        </w:rPr>
        <w:t xml:space="preserve"> in</w:t>
      </w:r>
      <w:r w:rsidRPr="00F50265">
        <w:rPr>
          <w:rFonts w:asciiTheme="minorHAnsi" w:hAnsiTheme="minorHAnsi"/>
          <w:sz w:val="22"/>
        </w:rPr>
        <w:t xml:space="preserve"> </w:t>
      </w:r>
      <w:r w:rsidRPr="007A4EA8">
        <w:rPr>
          <w:rFonts w:asciiTheme="minorHAnsi" w:hAnsiTheme="minorHAnsi"/>
          <w:sz w:val="22"/>
        </w:rPr>
        <w:t>Haeussler, R., &amp; King, A.,</w:t>
      </w:r>
      <w:r>
        <w:rPr>
          <w:rFonts w:asciiTheme="minorHAnsi" w:hAnsiTheme="minorHAnsi"/>
          <w:sz w:val="22"/>
        </w:rPr>
        <w:t xml:space="preserve"> eds, </w:t>
      </w:r>
      <w:r w:rsidRPr="007A4EA8">
        <w:rPr>
          <w:rFonts w:asciiTheme="minorHAnsi" w:hAnsiTheme="minorHAnsi"/>
          <w:i/>
          <w:sz w:val="22"/>
        </w:rPr>
        <w:t>Celtic Religions in the Roman Period</w:t>
      </w:r>
      <w:r w:rsidRPr="007A4EA8">
        <w:rPr>
          <w:rFonts w:asciiTheme="minorHAnsi" w:hAnsiTheme="minorHAnsi"/>
          <w:sz w:val="22"/>
        </w:rPr>
        <w:t xml:space="preserve"> </w:t>
      </w:r>
      <w:r>
        <w:rPr>
          <w:rFonts w:asciiTheme="minorHAnsi" w:hAnsiTheme="minorHAnsi"/>
          <w:sz w:val="22"/>
        </w:rPr>
        <w:t>,</w:t>
      </w:r>
      <w:r w:rsidRPr="007A4EA8">
        <w:rPr>
          <w:rFonts w:asciiTheme="minorHAnsi" w:hAnsiTheme="minorHAnsi"/>
          <w:sz w:val="22"/>
        </w:rPr>
        <w:t xml:space="preserve"> (Aberystwyth: Celtic Stu</w:t>
      </w:r>
      <w:r>
        <w:rPr>
          <w:rFonts w:asciiTheme="minorHAnsi" w:hAnsiTheme="minorHAnsi"/>
          <w:sz w:val="22"/>
        </w:rPr>
        <w:t xml:space="preserve">dies Publications XX, 2017) </w:t>
      </w:r>
      <w:r w:rsidRPr="007A4EA8">
        <w:rPr>
          <w:rFonts w:asciiTheme="minorHAnsi" w:hAnsiTheme="minorHAnsi"/>
          <w:sz w:val="22"/>
        </w:rPr>
        <w:t>57-70</w:t>
      </w:r>
      <w:r>
        <w:rPr>
          <w:rFonts w:asciiTheme="minorHAnsi" w:hAnsiTheme="minorHAnsi"/>
          <w:sz w:val="22"/>
        </w:rPr>
        <w:t>.</w:t>
      </w:r>
    </w:p>
    <w:p w:rsidR="00BA4FE1" w:rsidRPr="00A7038E" w:rsidRDefault="00BA4FE1" w:rsidP="00BA4FE1">
      <w:pPr>
        <w:pStyle w:val="Default"/>
      </w:pPr>
    </w:p>
    <w:p w:rsidR="00BA4FE1" w:rsidRPr="00A7038E" w:rsidRDefault="00BA4FE1" w:rsidP="00A9559F">
      <w:pPr>
        <w:spacing w:line="240" w:lineRule="auto"/>
      </w:pPr>
      <w:r>
        <w:lastRenderedPageBreak/>
        <w:t>Yocum, C,</w:t>
      </w:r>
      <w:r w:rsidRPr="00A7038E">
        <w:t xml:space="preserve"> G</w:t>
      </w:r>
      <w:r>
        <w:t>.</w:t>
      </w:r>
      <w:r w:rsidRPr="00A7038E">
        <w:t xml:space="preserve">, </w:t>
      </w:r>
      <w:r>
        <w:t>‘Wisdom Literature in Early Ireland’ in S</w:t>
      </w:r>
      <w:r w:rsidRPr="00A7038E">
        <w:rPr>
          <w:rFonts w:cs="BaskervilleBT-Roman"/>
          <w:i/>
        </w:rPr>
        <w:t xml:space="preserve">tudia </w:t>
      </w:r>
      <w:r>
        <w:rPr>
          <w:rFonts w:cs="BaskervilleBT-Roman"/>
          <w:i/>
        </w:rPr>
        <w:t>C</w:t>
      </w:r>
      <w:r w:rsidRPr="00A7038E">
        <w:rPr>
          <w:rFonts w:cs="BaskervilleBT-Roman"/>
          <w:i/>
        </w:rPr>
        <w:t>eltica</w:t>
      </w:r>
      <w:r w:rsidRPr="00A7038E">
        <w:rPr>
          <w:rFonts w:cs="BaskervilleBT-Roman"/>
        </w:rPr>
        <w:t>, XLVI</w:t>
      </w:r>
      <w:r>
        <w:rPr>
          <w:rFonts w:cs="BaskervilleBT-Roman"/>
        </w:rPr>
        <w:t>:</w:t>
      </w:r>
      <w:r w:rsidRPr="00A7038E">
        <w:rPr>
          <w:rFonts w:cs="BaskervilleBT-Roman"/>
        </w:rPr>
        <w:t xml:space="preserve"> (2012), 39–58</w:t>
      </w:r>
      <w:r>
        <w:rPr>
          <w:rFonts w:cs="BaskervilleBT-Roman"/>
        </w:rPr>
        <w:t xml:space="preserve"> [Online: </w:t>
      </w:r>
      <w:hyperlink r:id="rId58" w:history="1">
        <w:r w:rsidRPr="00C51CF8">
          <w:rPr>
            <w:rStyle w:val="Hyperlink"/>
          </w:rPr>
          <w:t>https://s3.amazonaws.com/academia.edu.documents/37562644/wisdomlit.pdf?AWSAccessKeyId=AKIAIWOWYYGZ2Y53UL3A&amp;Expires=1520294880&amp;Signature=IW3gRmYSm%2F%2Bj4OP4cUKrpo4q6V0%3D&amp;response-content-disposition=inline%3B%20filename%3DWisdom_Literature_in_Early_Ireland.pdf</w:t>
        </w:r>
      </w:hyperlink>
      <w:r>
        <w:t xml:space="preserve"> ]  </w:t>
      </w:r>
      <w:r>
        <w:rPr>
          <w:rFonts w:cs="BaskervilleBT-Roman"/>
        </w:rPr>
        <w:t>&lt;Accessed 5 March 2018 &amp; 29 March 2018&gt;</w:t>
      </w:r>
    </w:p>
    <w:p w:rsidR="00FD64C2" w:rsidRPr="00AC4178" w:rsidRDefault="00FD64C2" w:rsidP="00AC4178">
      <w:pPr>
        <w:spacing w:line="360" w:lineRule="auto"/>
        <w:jc w:val="center"/>
        <w:rPr>
          <w:sz w:val="28"/>
          <w:u w:val="single"/>
        </w:rPr>
      </w:pPr>
    </w:p>
    <w:p w:rsidR="00D728E2" w:rsidRPr="00D728E2" w:rsidRDefault="00D728E2" w:rsidP="00A43FA5">
      <w:pPr>
        <w:spacing w:line="360" w:lineRule="auto"/>
      </w:pPr>
    </w:p>
    <w:p w:rsidR="00D728E2" w:rsidRPr="00D728E2" w:rsidRDefault="00D728E2" w:rsidP="00A43FA5">
      <w:pPr>
        <w:spacing w:line="360" w:lineRule="auto"/>
        <w:jc w:val="center"/>
        <w:rPr>
          <w:b/>
          <w:sz w:val="28"/>
        </w:rPr>
      </w:pPr>
    </w:p>
    <w:sectPr w:rsidR="00D728E2" w:rsidRPr="00D728E2" w:rsidSect="000A545F">
      <w:headerReference w:type="default" r:id="rId59"/>
      <w:footerReference w:type="default" r:id="rId6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255EC" w:rsidRDefault="00E255EC" w:rsidP="00D728E2">
      <w:pPr>
        <w:spacing w:after="0" w:line="240" w:lineRule="auto"/>
      </w:pPr>
      <w:r>
        <w:separator/>
      </w:r>
    </w:p>
  </w:endnote>
  <w:endnote w:type="continuationSeparator" w:id="0">
    <w:p w:rsidR="00E255EC" w:rsidRDefault="00E255EC" w:rsidP="00D728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ode">
    <w:altName w:val="Calibri"/>
    <w:panose1 w:val="00000000000000000000"/>
    <w:charset w:val="00"/>
    <w:family w:val="swiss"/>
    <w:notTrueType/>
    <w:pitch w:val="default"/>
    <w:sig w:usb0="00000003" w:usb1="00000000" w:usb2="00000000" w:usb3="00000000" w:csb0="00000001" w:csb1="00000000"/>
  </w:font>
  <w:font w:name="Gill Sans MT">
    <w:panose1 w:val="020B0502020104020203"/>
    <w:charset w:val="00"/>
    <w:family w:val="swiss"/>
    <w:pitch w:val="variable"/>
    <w:sig w:usb0="00000007" w:usb1="00000000" w:usb2="00000000" w:usb3="00000000" w:csb0="00000003" w:csb1="00000000"/>
  </w:font>
  <w:font w:name="Arial">
    <w:panose1 w:val="020B0604020202020204"/>
    <w:charset w:val="00"/>
    <w:family w:val="swiss"/>
    <w:pitch w:val="variable"/>
    <w:sig w:usb0="E0002EFF" w:usb1="C0007843"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ArnoPro">
    <w:panose1 w:val="00000000000000000000"/>
    <w:charset w:val="00"/>
    <w:family w:val="auto"/>
    <w:notTrueType/>
    <w:pitch w:val="default"/>
    <w:sig w:usb0="00000003" w:usb1="00000000" w:usb2="00000000" w:usb3="00000000" w:csb0="00000001" w:csb1="00000000"/>
  </w:font>
  <w:font w:name="Helvetica">
    <w:altName w:val="Arial"/>
    <w:panose1 w:val="020B0504020202020204"/>
    <w:charset w:val="00"/>
    <w:family w:val="swiss"/>
    <w:notTrueType/>
    <w:pitch w:val="variable"/>
    <w:sig w:usb0="00000003" w:usb1="00000000" w:usb2="00000000" w:usb3="00000000" w:csb0="00000001" w:csb1="00000000"/>
  </w:font>
  <w:font w:name="BaskervilleBT-Roman">
    <w:panose1 w:val="00000000000000000000"/>
    <w:charset w:val="00"/>
    <w:family w:val="swiss"/>
    <w:notTrueType/>
    <w:pitch w:val="default"/>
    <w:sig w:usb0="00000003" w:usb1="00000000" w:usb2="00000000" w:usb3="00000000" w:csb0="00000001" w:csb1="00000000"/>
  </w:font>
  <w:font w:name="Lithos-Regular">
    <w:panose1 w:val="00000000000000000000"/>
    <w:charset w:val="00"/>
    <w:family w:val="swiss"/>
    <w:notTrueType/>
    <w:pitch w:val="default"/>
    <w:sig w:usb0="00000003" w:usb1="00000000" w:usb2="00000000" w:usb3="00000000" w:csb0="00000001" w:csb1="00000000"/>
  </w:font>
  <w:font w:name="Futura-Book">
    <w:panose1 w:val="00000000000000000000"/>
    <w:charset w:val="00"/>
    <w:family w:val="swiss"/>
    <w:notTrueType/>
    <w:pitch w:val="default"/>
    <w:sig w:usb0="00000003" w:usb1="00000000" w:usb2="00000000" w:usb3="00000000" w:csb0="00000001" w:csb1="00000000"/>
  </w:font>
  <w:font w:name="GentiumBasic">
    <w:panose1 w:val="00000000000000000000"/>
    <w:charset w:val="00"/>
    <w:family w:val="roman"/>
    <w:notTrueType/>
    <w:pitch w:val="default"/>
    <w:sig w:usb0="00000003" w:usb1="00000000" w:usb2="00000000" w:usb3="00000000" w:csb0="00000001" w:csb1="00000000"/>
  </w:font>
  <w:font w:name="GillSans">
    <w:panose1 w:val="00000000000000000000"/>
    <w:charset w:val="00"/>
    <w:family w:val="auto"/>
    <w:notTrueType/>
    <w:pitch w:val="default"/>
    <w:sig w:usb0="00000003" w:usb1="00000000" w:usb2="00000000" w:usb3="00000000" w:csb0="00000001" w:csb1="00000000"/>
  </w:font>
  <w:font w:name="GillSansMT">
    <w:panose1 w:val="00000000000000000000"/>
    <w:charset w:val="00"/>
    <w:family w:val="auto"/>
    <w:notTrueType/>
    <w:pitch w:val="default"/>
    <w:sig w:usb0="00000003" w:usb1="00000000" w:usb2="00000000" w:usb3="00000000" w:csb0="00000001" w:csb1="00000000"/>
  </w:font>
  <w:font w:name="GentiumBasic-Italic">
    <w:panose1 w:val="00000000000000000000"/>
    <w:charset w:val="00"/>
    <w:family w:val="roman"/>
    <w:notTrueType/>
    <w:pitch w:val="default"/>
    <w:sig w:usb0="00000003" w:usb1="00000000" w:usb2="00000000" w:usb3="00000000" w:csb0="00000001" w:csb1="00000000"/>
  </w:font>
  <w:font w:name="SerlioLH">
    <w:panose1 w:val="00000000000000000000"/>
    <w:charset w:val="00"/>
    <w:family w:val="roman"/>
    <w:notTrueType/>
    <w:pitch w:val="default"/>
    <w:sig w:usb0="00000003" w:usb1="00000000" w:usb2="00000000" w:usb3="00000000" w:csb0="00000001" w:csb1="00000000"/>
  </w:font>
  <w:font w:name="Times">
    <w:panose1 w:val="02020603050405020304"/>
    <w:charset w:val="00"/>
    <w:family w:val="roman"/>
    <w:pitch w:val="variable"/>
    <w:sig w:usb0="E0002AFF" w:usb1="C0007841" w:usb2="00000009" w:usb3="00000000" w:csb0="000001FF" w:csb1="00000000"/>
  </w:font>
  <w:font w:name="AdvP7C34">
    <w:panose1 w:val="00000000000000000000"/>
    <w:charset w:val="00"/>
    <w:family w:val="swiss"/>
    <w:notTrueType/>
    <w:pitch w:val="default"/>
    <w:sig w:usb0="00000003" w:usb1="00000000" w:usb2="00000000" w:usb3="00000000" w:csb0="00000001" w:csb1="00000000"/>
  </w:font>
  <w:font w:name="AdvP7C2E">
    <w:panose1 w:val="00000000000000000000"/>
    <w:charset w:val="00"/>
    <w:family w:val="roman"/>
    <w:notTrueType/>
    <w:pitch w:val="default"/>
    <w:sig w:usb0="00000003" w:usb1="00000000" w:usb2="00000000" w:usb3="00000000" w:csb0="00000001" w:csb1="00000000"/>
  </w:font>
  <w:font w:name="Sylfaen">
    <w:panose1 w:val="010A0502050306030303"/>
    <w:charset w:val="00"/>
    <w:family w:val="roman"/>
    <w:pitch w:val="variable"/>
    <w:sig w:usb0="04000687" w:usb1="00000000" w:usb2="00000000" w:usb3="00000000" w:csb0="0000009F" w:csb1="00000000"/>
  </w:font>
  <w:font w:name="Verdana">
    <w:panose1 w:val="020B0604030504040204"/>
    <w:charset w:val="00"/>
    <w:family w:val="swiss"/>
    <w:pitch w:val="variable"/>
    <w:sig w:usb0="A10006FF" w:usb1="4000205B" w:usb2="00000010" w:usb3="00000000" w:csb0="0000019F" w:csb1="00000000"/>
  </w:font>
  <w:font w:name="ArialUnicodeMS">
    <w:panose1 w:val="00000000000000000000"/>
    <w:charset w:val="00"/>
    <w:family w:val="auto"/>
    <w:notTrueType/>
    <w:pitch w:val="default"/>
    <w:sig w:usb0="00000003" w:usb1="00000000" w:usb2="00000000" w:usb3="00000000" w:csb0="00000001" w:csb1="00000000"/>
  </w:font>
  <w:font w:name="OpenSans-Semibold">
    <w:panose1 w:val="00000000000000000000"/>
    <w:charset w:val="00"/>
    <w:family w:val="auto"/>
    <w:notTrueType/>
    <w:pitch w:val="default"/>
    <w:sig w:usb0="00000003" w:usb1="00000000" w:usb2="00000000" w:usb3="00000000" w:csb0="00000001" w:csb1="00000000"/>
  </w:font>
  <w:font w:name="OpenSans">
    <w:panose1 w:val="00000000000000000000"/>
    <w:charset w:val="00"/>
    <w:family w:val="auto"/>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0375192"/>
      <w:docPartObj>
        <w:docPartGallery w:val="Page Numbers (Bottom of Page)"/>
        <w:docPartUnique/>
      </w:docPartObj>
    </w:sdtPr>
    <w:sdtEndPr/>
    <w:sdtContent>
      <w:p w:rsidR="001F51AF" w:rsidRDefault="00E255EC">
        <w:pPr>
          <w:pStyle w:val="Footer"/>
          <w:jc w:val="center"/>
        </w:pPr>
        <w:r>
          <w:fldChar w:fldCharType="begin"/>
        </w:r>
        <w:r>
          <w:instrText xml:space="preserve"> PAGE   \* MERGEFORMAT </w:instrText>
        </w:r>
        <w:r>
          <w:fldChar w:fldCharType="separate"/>
        </w:r>
        <w:r w:rsidR="00B03E17">
          <w:rPr>
            <w:noProof/>
          </w:rPr>
          <w:t>13</w:t>
        </w:r>
        <w:r>
          <w:rPr>
            <w:noProof/>
          </w:rPr>
          <w:fldChar w:fldCharType="end"/>
        </w:r>
      </w:p>
    </w:sdtContent>
  </w:sdt>
  <w:p w:rsidR="001F51AF" w:rsidRDefault="001F51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255EC" w:rsidRDefault="00E255EC" w:rsidP="00D728E2">
      <w:pPr>
        <w:spacing w:after="0" w:line="240" w:lineRule="auto"/>
      </w:pPr>
      <w:r>
        <w:separator/>
      </w:r>
    </w:p>
  </w:footnote>
  <w:footnote w:type="continuationSeparator" w:id="0">
    <w:p w:rsidR="00E255EC" w:rsidRDefault="00E255EC" w:rsidP="00D728E2">
      <w:pPr>
        <w:spacing w:after="0" w:line="240" w:lineRule="auto"/>
      </w:pPr>
      <w:r>
        <w:continuationSeparator/>
      </w:r>
    </w:p>
  </w:footnote>
  <w:footnote w:id="1">
    <w:p w:rsidR="001F51AF" w:rsidRPr="00B5289E" w:rsidRDefault="001F51AF" w:rsidP="00B76A46">
      <w:pPr>
        <w:autoSpaceDE w:val="0"/>
        <w:autoSpaceDN w:val="0"/>
        <w:adjustRightInd w:val="0"/>
        <w:spacing w:after="0" w:line="240" w:lineRule="auto"/>
        <w:rPr>
          <w:sz w:val="20"/>
        </w:rPr>
      </w:pPr>
      <w:r w:rsidRPr="00C31161">
        <w:rPr>
          <w:rStyle w:val="FootnoteReference"/>
          <w:b/>
          <w:sz w:val="20"/>
          <w:szCs w:val="20"/>
        </w:rPr>
        <w:footnoteRef/>
      </w:r>
      <w:r w:rsidRPr="00C31161">
        <w:rPr>
          <w:b/>
          <w:sz w:val="20"/>
          <w:szCs w:val="20"/>
        </w:rPr>
        <w:t xml:space="preserve"> </w:t>
      </w:r>
      <w:r w:rsidRPr="00C31161">
        <w:rPr>
          <w:sz w:val="20"/>
          <w:szCs w:val="20"/>
        </w:rPr>
        <w:t xml:space="preserve">H.P.A Oskamp, </w:t>
      </w:r>
      <w:r w:rsidRPr="00C31161">
        <w:rPr>
          <w:i/>
          <w:sz w:val="20"/>
          <w:szCs w:val="20"/>
        </w:rPr>
        <w:t xml:space="preserve">The Voyage of Máel Duin </w:t>
      </w:r>
      <w:r w:rsidRPr="00C31161">
        <w:rPr>
          <w:sz w:val="20"/>
          <w:szCs w:val="20"/>
        </w:rPr>
        <w:t>(Groningen,Wolters-Noordhoff Publishing, 1970) pp40-1 calls it “a secular folkloristic tale belonging to the Christian era”; J. Carney</w:t>
      </w:r>
      <w:r>
        <w:rPr>
          <w:b/>
          <w:sz w:val="20"/>
          <w:szCs w:val="20"/>
        </w:rPr>
        <w:t>,</w:t>
      </w:r>
      <w:r w:rsidRPr="00C31161">
        <w:rPr>
          <w:sz w:val="20"/>
          <w:szCs w:val="20"/>
        </w:rPr>
        <w:t xml:space="preserve"> </w:t>
      </w:r>
      <w:r w:rsidRPr="00C31161">
        <w:rPr>
          <w:rStyle w:val="Emphasis"/>
          <w:sz w:val="20"/>
          <w:szCs w:val="20"/>
        </w:rPr>
        <w:t xml:space="preserve">Studies in Irish literature and history </w:t>
      </w:r>
      <w:r w:rsidRPr="00C31161">
        <w:rPr>
          <w:rStyle w:val="Emphasis"/>
          <w:i w:val="0"/>
          <w:sz w:val="20"/>
          <w:szCs w:val="20"/>
        </w:rPr>
        <w:t xml:space="preserve">(Dublin, Dublin Institute for Advanced Studies, 1955) and </w:t>
      </w:r>
      <w:r w:rsidRPr="00C31161">
        <w:rPr>
          <w:sz w:val="20"/>
          <w:szCs w:val="20"/>
        </w:rPr>
        <w:t xml:space="preserve"> D.</w:t>
      </w:r>
      <w:r w:rsidRPr="00333C60">
        <w:rPr>
          <w:sz w:val="20"/>
          <w:szCs w:val="20"/>
        </w:rPr>
        <w:t>N.</w:t>
      </w:r>
      <w:r w:rsidRPr="00C31161">
        <w:rPr>
          <w:b/>
          <w:sz w:val="20"/>
          <w:szCs w:val="20"/>
        </w:rPr>
        <w:t xml:space="preserve"> </w:t>
      </w:r>
      <w:r w:rsidRPr="00C31161">
        <w:rPr>
          <w:sz w:val="20"/>
          <w:szCs w:val="20"/>
        </w:rPr>
        <w:t xml:space="preserve">Dumville, </w:t>
      </w:r>
      <w:r>
        <w:rPr>
          <w:sz w:val="20"/>
          <w:szCs w:val="20"/>
        </w:rPr>
        <w:t>‘</w:t>
      </w:r>
      <w:r w:rsidRPr="00C31161">
        <w:rPr>
          <w:rFonts w:cs="Arial"/>
          <w:color w:val="333333"/>
          <w:sz w:val="20"/>
          <w:szCs w:val="20"/>
        </w:rPr>
        <w:t>Echtrae and Immram: Some Problems of Definition</w:t>
      </w:r>
      <w:r>
        <w:rPr>
          <w:rFonts w:cs="Arial"/>
          <w:color w:val="333333"/>
          <w:sz w:val="20"/>
          <w:szCs w:val="20"/>
        </w:rPr>
        <w:t>’</w:t>
      </w:r>
      <w:r w:rsidRPr="00333C60">
        <w:rPr>
          <w:rFonts w:cs="Arial"/>
          <w:color w:val="333333"/>
          <w:sz w:val="20"/>
          <w:szCs w:val="20"/>
        </w:rPr>
        <w:t>, in</w:t>
      </w:r>
      <w:r>
        <w:rPr>
          <w:rFonts w:cs="Arial"/>
          <w:b/>
          <w:color w:val="333333"/>
          <w:sz w:val="20"/>
          <w:szCs w:val="20"/>
        </w:rPr>
        <w:t xml:space="preserve"> </w:t>
      </w:r>
      <w:r w:rsidRPr="00C31161">
        <w:rPr>
          <w:rFonts w:eastAsia="Times New Roman" w:cs="Arial"/>
          <w:i/>
          <w:iCs/>
          <w:color w:val="333333"/>
          <w:sz w:val="20"/>
          <w:szCs w:val="20"/>
          <w:lang w:eastAsia="en-GB"/>
        </w:rPr>
        <w:t>Ériu</w:t>
      </w:r>
      <w:r>
        <w:rPr>
          <w:rFonts w:cs="Arial"/>
          <w:b/>
          <w:i/>
          <w:iCs/>
          <w:color w:val="333333"/>
          <w:sz w:val="20"/>
          <w:szCs w:val="20"/>
        </w:rPr>
        <w:t xml:space="preserve">, </w:t>
      </w:r>
      <w:r w:rsidRPr="00C31161">
        <w:rPr>
          <w:rFonts w:eastAsia="Times New Roman" w:cs="Arial"/>
          <w:color w:val="333333"/>
          <w:sz w:val="20"/>
          <w:szCs w:val="20"/>
          <w:lang w:eastAsia="en-GB"/>
        </w:rPr>
        <w:t>27</w:t>
      </w:r>
      <w:r>
        <w:rPr>
          <w:rFonts w:cs="Arial"/>
          <w:b/>
          <w:color w:val="333333"/>
          <w:sz w:val="20"/>
          <w:szCs w:val="20"/>
        </w:rPr>
        <w:t>:</w:t>
      </w:r>
      <w:r w:rsidRPr="00C31161">
        <w:rPr>
          <w:rFonts w:eastAsia="Times New Roman" w:cs="Arial"/>
          <w:color w:val="333333"/>
          <w:sz w:val="20"/>
          <w:szCs w:val="20"/>
          <w:lang w:eastAsia="en-GB"/>
        </w:rPr>
        <w:t xml:space="preserve"> (1976), pp. 73-94</w:t>
      </w:r>
      <w:r w:rsidRPr="00333C60">
        <w:rPr>
          <w:sz w:val="20"/>
          <w:szCs w:val="20"/>
        </w:rPr>
        <w:t xml:space="preserve"> in B. Hilliers et al, ‘Voyages Between Heaven and Hell: Navigating the Early Irish </w:t>
      </w:r>
      <w:r w:rsidRPr="00333C60">
        <w:rPr>
          <w:i/>
          <w:sz w:val="20"/>
          <w:szCs w:val="20"/>
        </w:rPr>
        <w:t>Immram</w:t>
      </w:r>
      <w:r w:rsidRPr="00333C60">
        <w:rPr>
          <w:sz w:val="20"/>
          <w:szCs w:val="20"/>
        </w:rPr>
        <w:t xml:space="preserve"> tales’: </w:t>
      </w:r>
      <w:r w:rsidRPr="00333C60">
        <w:rPr>
          <w:i/>
          <w:sz w:val="20"/>
          <w:szCs w:val="20"/>
        </w:rPr>
        <w:t>Proceedings of the Harvard Celtic Colloquium (April 28</w:t>
      </w:r>
      <w:r w:rsidRPr="00333C60">
        <w:rPr>
          <w:i/>
          <w:sz w:val="20"/>
          <w:szCs w:val="20"/>
          <w:vertAlign w:val="superscript"/>
        </w:rPr>
        <w:t>th</w:t>
      </w:r>
      <w:r w:rsidRPr="00333C60">
        <w:rPr>
          <w:i/>
          <w:sz w:val="20"/>
          <w:szCs w:val="20"/>
        </w:rPr>
        <w:t xml:space="preserve"> – May 1</w:t>
      </w:r>
      <w:r w:rsidRPr="00333C60">
        <w:rPr>
          <w:i/>
          <w:sz w:val="20"/>
          <w:szCs w:val="20"/>
          <w:vertAlign w:val="superscript"/>
        </w:rPr>
        <w:t>st</w:t>
      </w:r>
      <w:r w:rsidRPr="00333C60">
        <w:rPr>
          <w:i/>
          <w:sz w:val="20"/>
          <w:szCs w:val="20"/>
        </w:rPr>
        <w:t xml:space="preserve"> 1993),</w:t>
      </w:r>
      <w:r w:rsidRPr="00333C60">
        <w:rPr>
          <w:sz w:val="20"/>
          <w:szCs w:val="20"/>
        </w:rPr>
        <w:t>13 (Harvard:  the Department of Celtic Languages and Literatures Faculty of Arts and Sciences, Harvard University, 1993) p67; and E. Johnston,</w:t>
      </w:r>
      <w:r w:rsidRPr="00333C60">
        <w:rPr>
          <w:sz w:val="20"/>
          <w:szCs w:val="20"/>
          <w:shd w:val="clear" w:color="auto" w:fill="FFFFFF"/>
        </w:rPr>
        <w:t xml:space="preserve"> </w:t>
      </w:r>
      <w:r w:rsidRPr="00333C60">
        <w:rPr>
          <w:i/>
          <w:sz w:val="20"/>
          <w:szCs w:val="20"/>
          <w:shd w:val="clear" w:color="auto" w:fill="FFFFFF"/>
        </w:rPr>
        <w:t>A Sailor on the Seas of Faith: The Individual and the Church in the Voyage of Mael Dúin</w:t>
      </w:r>
      <w:r w:rsidRPr="00333C60">
        <w:rPr>
          <w:sz w:val="20"/>
          <w:szCs w:val="20"/>
          <w:shd w:val="clear" w:color="auto" w:fill="FFFFFF"/>
        </w:rPr>
        <w:t xml:space="preserve">, (UCD Press, 2003) available at </w:t>
      </w:r>
      <w:hyperlink r:id="rId1" w:history="1">
        <w:r w:rsidRPr="00092458">
          <w:rPr>
            <w:rStyle w:val="Hyperlink"/>
            <w:sz w:val="20"/>
            <w:szCs w:val="20"/>
            <w:shd w:val="clear" w:color="auto" w:fill="FFFFFF"/>
          </w:rPr>
          <w:t>http://www.ucdpress.ie/display.asp?K=9781900621878&amp;sfl=eh_cat_class&amp;st1=B100&amp;=53&amp;dc=135</w:t>
        </w:r>
      </w:hyperlink>
      <w:r w:rsidRPr="00333C60">
        <w:rPr>
          <w:sz w:val="20"/>
          <w:szCs w:val="20"/>
          <w:shd w:val="clear" w:color="auto" w:fill="FFFFFF"/>
        </w:rPr>
        <w:t xml:space="preserve"> ] &lt;Accessed 11 February 2018&gt;</w:t>
      </w:r>
      <w:r>
        <w:rPr>
          <w:sz w:val="20"/>
          <w:szCs w:val="20"/>
          <w:shd w:val="clear" w:color="auto" w:fill="FFFFFF"/>
        </w:rPr>
        <w:t xml:space="preserve"> </w:t>
      </w:r>
      <w:r w:rsidRPr="00B5289E">
        <w:rPr>
          <w:sz w:val="20"/>
        </w:rPr>
        <w:t xml:space="preserve"> argue for all the </w:t>
      </w:r>
      <w:r w:rsidRPr="00B5289E">
        <w:rPr>
          <w:i/>
          <w:sz w:val="20"/>
        </w:rPr>
        <w:t xml:space="preserve">immrama </w:t>
      </w:r>
      <w:r w:rsidRPr="00B5289E">
        <w:rPr>
          <w:sz w:val="20"/>
        </w:rPr>
        <w:t>being ecclesiastical.</w:t>
      </w:r>
    </w:p>
  </w:footnote>
  <w:footnote w:id="2">
    <w:p w:rsidR="001F51AF" w:rsidRDefault="001F51AF" w:rsidP="00B76A46">
      <w:pPr>
        <w:pStyle w:val="FootnoteText"/>
      </w:pPr>
      <w:r w:rsidRPr="00B5289E">
        <w:rPr>
          <w:rStyle w:val="FootnoteReference"/>
          <w:szCs w:val="22"/>
        </w:rPr>
        <w:footnoteRef/>
      </w:r>
      <w:r w:rsidRPr="00B5289E">
        <w:rPr>
          <w:szCs w:val="22"/>
        </w:rPr>
        <w:t xml:space="preserve"> 31 in M</w:t>
      </w:r>
      <w:r>
        <w:t>D</w:t>
      </w:r>
    </w:p>
  </w:footnote>
  <w:footnote w:id="3">
    <w:p w:rsidR="001F51AF" w:rsidRDefault="001F51AF" w:rsidP="00B76A46">
      <w:pPr>
        <w:pStyle w:val="FootnoteText"/>
      </w:pPr>
      <w:r>
        <w:rPr>
          <w:rStyle w:val="FootnoteReference"/>
        </w:rPr>
        <w:footnoteRef/>
      </w:r>
      <w:r>
        <w:t xml:space="preserve"> Dr K. Hughes, </w:t>
      </w:r>
      <w:r>
        <w:rPr>
          <w:i/>
        </w:rPr>
        <w:t xml:space="preserve">The Church in Early Irish </w:t>
      </w:r>
      <w:r w:rsidRPr="0021563D">
        <w:t>Society</w:t>
      </w:r>
      <w:r>
        <w:t xml:space="preserve"> (London, 1966)  in  Oskamp </w:t>
      </w:r>
      <w:r>
        <w:rPr>
          <w:i/>
        </w:rPr>
        <w:t>The Voyage</w:t>
      </w:r>
      <w:r>
        <w:t xml:space="preserve"> 1970;  T.O. Clancy, </w:t>
      </w:r>
      <w:r w:rsidRPr="0021563D">
        <w:t xml:space="preserve">Subversion at Sea:Structure,Style and Intent in the </w:t>
      </w:r>
      <w:r w:rsidRPr="0021563D">
        <w:rPr>
          <w:i/>
        </w:rPr>
        <w:t>Immrama</w:t>
      </w:r>
      <w:r>
        <w:t xml:space="preserve"> in J.M. Wooding, ed, </w:t>
      </w:r>
      <w:r w:rsidRPr="0021563D">
        <w:rPr>
          <w:i/>
        </w:rPr>
        <w:t>The Otherworld in early Irish Literature</w:t>
      </w:r>
      <w:r>
        <w:rPr>
          <w:i/>
        </w:rPr>
        <w:t xml:space="preserve"> </w:t>
      </w:r>
      <w:r w:rsidRPr="0021563D">
        <w:t>(</w:t>
      </w:r>
      <w:r>
        <w:t>Dublin: Four Courts Press,  2000]</w:t>
      </w:r>
    </w:p>
  </w:footnote>
  <w:footnote w:id="4">
    <w:p w:rsidR="001F51AF" w:rsidRPr="00BA5E35" w:rsidRDefault="001F51AF" w:rsidP="00B76A46">
      <w:pPr>
        <w:spacing w:line="240" w:lineRule="auto"/>
        <w:rPr>
          <w:sz w:val="20"/>
          <w:szCs w:val="20"/>
          <w:highlight w:val="yellow"/>
        </w:rPr>
      </w:pPr>
      <w:r>
        <w:rPr>
          <w:rStyle w:val="FootnoteReference"/>
        </w:rPr>
        <w:footnoteRef/>
      </w:r>
      <w:r>
        <w:t xml:space="preserve"> </w:t>
      </w:r>
      <w:r w:rsidRPr="00BA5E35">
        <w:t xml:space="preserve"> </w:t>
      </w:r>
      <w:r w:rsidRPr="00BA5E35">
        <w:rPr>
          <w:sz w:val="20"/>
          <w:szCs w:val="20"/>
        </w:rPr>
        <w:t xml:space="preserve">B. Cunliffe, </w:t>
      </w:r>
      <w:r w:rsidRPr="00BA5E35">
        <w:rPr>
          <w:i/>
          <w:sz w:val="20"/>
          <w:szCs w:val="20"/>
        </w:rPr>
        <w:t xml:space="preserve">Facing the Ocean: The Atlantic and it Peoples, </w:t>
      </w:r>
      <w:r w:rsidRPr="00BA5E35">
        <w:rPr>
          <w:sz w:val="20"/>
          <w:szCs w:val="20"/>
        </w:rPr>
        <w:t xml:space="preserve">(Oxford: Oxford University Press, 2001) </w:t>
      </w:r>
      <w:r w:rsidRPr="00DD3840">
        <w:rPr>
          <w:sz w:val="20"/>
        </w:rPr>
        <w:t>p.12</w:t>
      </w:r>
      <w:r>
        <w:t xml:space="preserve"> b</w:t>
      </w:r>
      <w:r w:rsidRPr="00BA5E35">
        <w:rPr>
          <w:sz w:val="20"/>
          <w:szCs w:val="20"/>
        </w:rPr>
        <w:t xml:space="preserve">elieves it was the earliest </w:t>
      </w:r>
      <w:r w:rsidRPr="00BA5E35">
        <w:rPr>
          <w:i/>
          <w:sz w:val="20"/>
          <w:szCs w:val="20"/>
        </w:rPr>
        <w:t>immram</w:t>
      </w:r>
      <w:r>
        <w:rPr>
          <w:i/>
        </w:rPr>
        <w:t xml:space="preserve">. </w:t>
      </w:r>
      <w:r>
        <w:rPr>
          <w:sz w:val="20"/>
        </w:rPr>
        <w:t>Exact dating for the</w:t>
      </w:r>
      <w:r w:rsidRPr="00DD3840">
        <w:rPr>
          <w:sz w:val="20"/>
        </w:rPr>
        <w:t xml:space="preserve"> composition of MD is not possible</w:t>
      </w:r>
      <w:r w:rsidRPr="00222F30">
        <w:rPr>
          <w:sz w:val="20"/>
          <w:szCs w:val="20"/>
        </w:rPr>
        <w:t>. Va</w:t>
      </w:r>
      <w:r w:rsidRPr="00222F30">
        <w:rPr>
          <w:sz w:val="20"/>
        </w:rPr>
        <w:t>rious</w:t>
      </w:r>
      <w:r>
        <w:t xml:space="preserve"> </w:t>
      </w:r>
      <w:r w:rsidRPr="00222F30">
        <w:rPr>
          <w:sz w:val="20"/>
        </w:rPr>
        <w:t>s</w:t>
      </w:r>
      <w:r>
        <w:rPr>
          <w:sz w:val="20"/>
          <w:szCs w:val="20"/>
        </w:rPr>
        <w:t>cholars have suggested date</w:t>
      </w:r>
      <w:r w:rsidRPr="00DD3840">
        <w:rPr>
          <w:sz w:val="18"/>
          <w:szCs w:val="20"/>
        </w:rPr>
        <w:t>s</w:t>
      </w:r>
      <w:r w:rsidRPr="00DD3840">
        <w:rPr>
          <w:sz w:val="20"/>
        </w:rPr>
        <w:t xml:space="preserve"> ranging between the 8</w:t>
      </w:r>
      <w:r w:rsidRPr="00DD3840">
        <w:rPr>
          <w:sz w:val="20"/>
          <w:vertAlign w:val="superscript"/>
        </w:rPr>
        <w:t>th</w:t>
      </w:r>
      <w:r w:rsidRPr="00DD3840">
        <w:rPr>
          <w:sz w:val="20"/>
        </w:rPr>
        <w:t xml:space="preserve"> - </w:t>
      </w:r>
      <w:r>
        <w:rPr>
          <w:sz w:val="20"/>
        </w:rPr>
        <w:t>10</w:t>
      </w:r>
      <w:r w:rsidRPr="00DD3840">
        <w:rPr>
          <w:sz w:val="20"/>
          <w:vertAlign w:val="superscript"/>
        </w:rPr>
        <w:t>th</w:t>
      </w:r>
      <w:r w:rsidRPr="00DD3840">
        <w:rPr>
          <w:sz w:val="20"/>
        </w:rPr>
        <w:t xml:space="preserve"> centuries. N.</w:t>
      </w:r>
      <w:r>
        <w:rPr>
          <w:sz w:val="20"/>
        </w:rPr>
        <w:t xml:space="preserve"> </w:t>
      </w:r>
      <w:r w:rsidRPr="00DD3840">
        <w:rPr>
          <w:sz w:val="20"/>
        </w:rPr>
        <w:t>Chadwick,</w:t>
      </w:r>
      <w:r>
        <w:rPr>
          <w:sz w:val="20"/>
        </w:rPr>
        <w:t xml:space="preserve"> </w:t>
      </w:r>
      <w:r w:rsidRPr="00DD3840">
        <w:rPr>
          <w:i/>
          <w:sz w:val="20"/>
          <w:shd w:val="clear" w:color="auto" w:fill="FFFFFF"/>
        </w:rPr>
        <w:t>The Celts,</w:t>
      </w:r>
      <w:r w:rsidRPr="00DD3840">
        <w:rPr>
          <w:sz w:val="20"/>
          <w:shd w:val="clear" w:color="auto" w:fill="FFFFFF"/>
        </w:rPr>
        <w:t xml:space="preserve"> 2</w:t>
      </w:r>
      <w:r w:rsidRPr="00DD3840">
        <w:rPr>
          <w:sz w:val="20"/>
          <w:shd w:val="clear" w:color="auto" w:fill="FFFFFF"/>
          <w:vertAlign w:val="superscript"/>
        </w:rPr>
        <w:t>nd</w:t>
      </w:r>
      <w:r w:rsidRPr="00DD3840">
        <w:rPr>
          <w:sz w:val="20"/>
          <w:shd w:val="clear" w:color="auto" w:fill="FFFFFF"/>
        </w:rPr>
        <w:t xml:space="preserve"> edn, (London: Penguin, 1997)</w:t>
      </w:r>
      <w:r w:rsidRPr="00DD3840">
        <w:rPr>
          <w:sz w:val="20"/>
        </w:rPr>
        <w:t xml:space="preserve"> p. 285;</w:t>
      </w:r>
      <w:r>
        <w:t xml:space="preserve"> </w:t>
      </w:r>
      <w:r w:rsidRPr="00B76A46">
        <w:rPr>
          <w:sz w:val="20"/>
        </w:rPr>
        <w:t>van Hamel in H.P.A. Oskamp</w:t>
      </w:r>
      <w:r w:rsidRPr="00B76A46">
        <w:rPr>
          <w:bCs/>
          <w:i/>
          <w:sz w:val="20"/>
        </w:rPr>
        <w:t xml:space="preserve"> , </w:t>
      </w:r>
      <w:r w:rsidRPr="00B76A46">
        <w:rPr>
          <w:bCs/>
          <w:sz w:val="20"/>
        </w:rPr>
        <w:t xml:space="preserve">ed, &amp; trans, </w:t>
      </w:r>
      <w:r w:rsidRPr="00B76A46">
        <w:rPr>
          <w:bCs/>
          <w:i/>
          <w:sz w:val="20"/>
        </w:rPr>
        <w:t xml:space="preserve">The Voyage </w:t>
      </w:r>
      <w:r w:rsidRPr="00B76A46">
        <w:rPr>
          <w:bCs/>
          <w:sz w:val="20"/>
        </w:rPr>
        <w:t xml:space="preserve"> 1970</w:t>
      </w:r>
      <w:r>
        <w:rPr>
          <w:bCs/>
          <w:sz w:val="20"/>
        </w:rPr>
        <w:t>, p.18</w:t>
      </w:r>
      <w:r w:rsidRPr="00B76A46">
        <w:rPr>
          <w:sz w:val="20"/>
        </w:rPr>
        <w:t xml:space="preserve">; Dumville </w:t>
      </w:r>
      <w:r w:rsidRPr="00B76A46">
        <w:rPr>
          <w:i/>
          <w:sz w:val="20"/>
        </w:rPr>
        <w:t>Echtrae</w:t>
      </w:r>
      <w:r w:rsidRPr="00B76A46">
        <w:rPr>
          <w:sz w:val="20"/>
        </w:rPr>
        <w:t xml:space="preserve"> 1975</w:t>
      </w:r>
      <w:r>
        <w:rPr>
          <w:sz w:val="20"/>
        </w:rPr>
        <w:t>, p.88</w:t>
      </w:r>
      <w:r w:rsidRPr="00B76A46">
        <w:rPr>
          <w:sz w:val="20"/>
        </w:rPr>
        <w:t>; and Carney, in Bieler ‘Two Observations Concerning the</w:t>
      </w:r>
      <w:r w:rsidRPr="00B76A46">
        <w:rPr>
          <w:i/>
          <w:sz w:val="20"/>
        </w:rPr>
        <w:t xml:space="preserve"> Navigatio Brendani’</w:t>
      </w:r>
      <w:r w:rsidRPr="00B76A46">
        <w:rPr>
          <w:sz w:val="20"/>
        </w:rPr>
        <w:t xml:space="preserve">, in Wooding </w:t>
      </w:r>
      <w:r w:rsidRPr="00B76A46">
        <w:rPr>
          <w:i/>
          <w:sz w:val="20"/>
        </w:rPr>
        <w:t>The Otherworld</w:t>
      </w:r>
      <w:r w:rsidRPr="00B76A46">
        <w:rPr>
          <w:sz w:val="20"/>
        </w:rPr>
        <w:t>, 2000 p.91 fn6</w:t>
      </w:r>
      <w:r>
        <w:t>.</w:t>
      </w:r>
    </w:p>
  </w:footnote>
  <w:footnote w:id="5">
    <w:p w:rsidR="001F51AF" w:rsidRPr="0091249C" w:rsidRDefault="001F51AF" w:rsidP="00B76A46">
      <w:pPr>
        <w:pStyle w:val="Default"/>
        <w:spacing w:before="400"/>
        <w:rPr>
          <w:sz w:val="20"/>
        </w:rPr>
      </w:pPr>
      <w:r w:rsidRPr="00F41CE7">
        <w:rPr>
          <w:rStyle w:val="FootnoteReference"/>
          <w:sz w:val="20"/>
          <w:szCs w:val="20"/>
        </w:rPr>
        <w:footnoteRef/>
      </w:r>
      <w:r w:rsidRPr="0021572F">
        <w:rPr>
          <w:sz w:val="20"/>
          <w:szCs w:val="20"/>
        </w:rPr>
        <w:t xml:space="preserve"> </w:t>
      </w:r>
      <w:r w:rsidRPr="00172B2D">
        <w:rPr>
          <w:rFonts w:asciiTheme="minorHAnsi" w:hAnsiTheme="minorHAnsi"/>
          <w:sz w:val="20"/>
          <w:szCs w:val="20"/>
        </w:rPr>
        <w:t xml:space="preserve">J. Carney, Review of </w:t>
      </w:r>
      <w:r w:rsidRPr="00172B2D">
        <w:rPr>
          <w:rFonts w:asciiTheme="minorHAnsi" w:hAnsiTheme="minorHAnsi"/>
          <w:i/>
          <w:sz w:val="20"/>
          <w:szCs w:val="20"/>
        </w:rPr>
        <w:t xml:space="preserve">Navigatio sancti Brendani Abbatis </w:t>
      </w:r>
      <w:r w:rsidRPr="00172B2D">
        <w:rPr>
          <w:rFonts w:asciiTheme="minorHAnsi" w:hAnsiTheme="minorHAnsi"/>
          <w:sz w:val="20"/>
          <w:szCs w:val="20"/>
        </w:rPr>
        <w:t xml:space="preserve">in J.M. Wooding., ed, </w:t>
      </w:r>
      <w:r w:rsidRPr="00172B2D">
        <w:rPr>
          <w:rFonts w:asciiTheme="minorHAnsi" w:hAnsiTheme="minorHAnsi"/>
          <w:i/>
          <w:sz w:val="20"/>
          <w:szCs w:val="20"/>
        </w:rPr>
        <w:t xml:space="preserve">The Otherworld Voyage in Early Irish Literature: An Anthology of Criticism </w:t>
      </w:r>
      <w:r w:rsidRPr="00172B2D">
        <w:rPr>
          <w:rFonts w:asciiTheme="minorHAnsi" w:hAnsiTheme="minorHAnsi"/>
          <w:sz w:val="20"/>
          <w:szCs w:val="20"/>
        </w:rPr>
        <w:t xml:space="preserve">(Dublin: Four Courts Press, 2000), p46; Stokes in Carney, ibid., p. 47;Wooding ibid., xiii; L. Bieler in Wooding p.91; J.J. O’Meara &amp; J.M. Wooding </w:t>
      </w:r>
      <w:r w:rsidRPr="00172B2D">
        <w:rPr>
          <w:rStyle w:val="exlavailabilitycallnumber"/>
          <w:rFonts w:asciiTheme="minorHAnsi" w:hAnsiTheme="minorHAnsi" w:cs="Arial"/>
          <w:sz w:val="20"/>
          <w:szCs w:val="20"/>
          <w:bdr w:val="none" w:sz="0" w:space="0" w:color="auto" w:frame="1"/>
        </w:rPr>
        <w:t xml:space="preserve">‘The Latin Version, in Barron, W.R.J., &amp; Burgess, G.S., eds, </w:t>
      </w:r>
      <w:r w:rsidRPr="00172B2D">
        <w:rPr>
          <w:rStyle w:val="exlavailabilitycallnumber"/>
          <w:rFonts w:asciiTheme="minorHAnsi" w:hAnsiTheme="minorHAnsi" w:cs="Arial"/>
          <w:i/>
          <w:sz w:val="20"/>
          <w:szCs w:val="20"/>
          <w:bdr w:val="none" w:sz="0" w:space="0" w:color="auto" w:frame="1"/>
        </w:rPr>
        <w:t>The Voyage of Saint Brendan: Representative Versions of the legend in the English Translation</w:t>
      </w:r>
      <w:r w:rsidRPr="00172B2D">
        <w:rPr>
          <w:rStyle w:val="exlavailabilitycallnumber"/>
          <w:rFonts w:asciiTheme="minorHAnsi" w:hAnsiTheme="minorHAnsi" w:cs="Arial"/>
          <w:sz w:val="20"/>
          <w:szCs w:val="20"/>
          <w:bdr w:val="none" w:sz="0" w:space="0" w:color="auto" w:frame="1"/>
        </w:rPr>
        <w:t>’  (Exeter: University of Exeter, 2002), 13-25 p.23 and B.</w:t>
      </w:r>
      <w:r>
        <w:rPr>
          <w:rStyle w:val="exlavailabilitycallnumber"/>
          <w:rFonts w:asciiTheme="minorHAnsi" w:hAnsiTheme="minorHAnsi" w:cs="Arial"/>
          <w:sz w:val="20"/>
          <w:szCs w:val="20"/>
          <w:bdr w:val="none" w:sz="0" w:space="0" w:color="auto" w:frame="1"/>
        </w:rPr>
        <w:t xml:space="preserve"> </w:t>
      </w:r>
      <w:r w:rsidRPr="00172B2D">
        <w:rPr>
          <w:rFonts w:asciiTheme="minorHAnsi" w:hAnsiTheme="minorHAnsi"/>
          <w:sz w:val="20"/>
          <w:szCs w:val="20"/>
        </w:rPr>
        <w:t>McGinn,</w:t>
      </w:r>
      <w:r>
        <w:rPr>
          <w:rFonts w:asciiTheme="minorHAnsi" w:hAnsiTheme="minorHAnsi"/>
          <w:sz w:val="20"/>
          <w:szCs w:val="20"/>
        </w:rPr>
        <w:t xml:space="preserve"> </w:t>
      </w:r>
      <w:r w:rsidRPr="00172B2D">
        <w:rPr>
          <w:rFonts w:asciiTheme="minorHAnsi" w:hAnsiTheme="minorHAnsi"/>
          <w:sz w:val="20"/>
          <w:szCs w:val="20"/>
        </w:rPr>
        <w:t xml:space="preserve">‘Ocean and Desert as Symbols of Mystical Absorption in the Christian Tradition’ </w:t>
      </w:r>
      <w:r w:rsidRPr="00172B2D">
        <w:rPr>
          <w:rFonts w:asciiTheme="minorHAnsi" w:hAnsiTheme="minorHAnsi"/>
          <w:i/>
          <w:sz w:val="20"/>
          <w:szCs w:val="20"/>
        </w:rPr>
        <w:t>The Journal of Religion</w:t>
      </w:r>
      <w:r w:rsidRPr="00172B2D">
        <w:rPr>
          <w:rFonts w:asciiTheme="minorHAnsi" w:hAnsiTheme="minorHAnsi"/>
          <w:sz w:val="20"/>
          <w:szCs w:val="20"/>
        </w:rPr>
        <w:t xml:space="preserve">,  74 (2): (The University of Chicago Press, 1994),155-181 [Online:  </w:t>
      </w:r>
      <w:hyperlink r:id="rId2" w:history="1">
        <w:r w:rsidRPr="00172B2D">
          <w:rPr>
            <w:rStyle w:val="Hyperlink"/>
            <w:rFonts w:asciiTheme="minorHAnsi" w:hAnsiTheme="minorHAnsi"/>
            <w:sz w:val="20"/>
            <w:szCs w:val="20"/>
          </w:rPr>
          <w:t>http://www.jstor.org/stable/1205274</w:t>
        </w:r>
      </w:hyperlink>
      <w:r w:rsidRPr="00172B2D">
        <w:rPr>
          <w:rFonts w:asciiTheme="minorHAnsi" w:hAnsiTheme="minorHAnsi"/>
          <w:sz w:val="20"/>
          <w:szCs w:val="20"/>
        </w:rPr>
        <w:t xml:space="preserve"> ] &lt;Accessed 1 March 2018&gt;; and D.E. </w:t>
      </w:r>
      <w:r w:rsidRPr="00172B2D">
        <w:rPr>
          <w:rFonts w:asciiTheme="minorHAnsi" w:hAnsiTheme="minorHAnsi" w:cs="ArnoPro"/>
          <w:sz w:val="20"/>
          <w:szCs w:val="20"/>
        </w:rPr>
        <w:t xml:space="preserve">Ireland, </w:t>
      </w:r>
      <w:r w:rsidRPr="00172B2D">
        <w:rPr>
          <w:rFonts w:asciiTheme="minorHAnsi" w:hAnsiTheme="minorHAnsi"/>
          <w:sz w:val="20"/>
          <w:szCs w:val="20"/>
        </w:rPr>
        <w:t xml:space="preserve"> ‘Navigating the use of biblical numerology in </w:t>
      </w:r>
      <w:r w:rsidRPr="00172B2D">
        <w:rPr>
          <w:rFonts w:asciiTheme="minorHAnsi" w:hAnsiTheme="minorHAnsi"/>
          <w:i/>
          <w:sz w:val="20"/>
          <w:szCs w:val="20"/>
        </w:rPr>
        <w:t>Nauigatio Sancti Brendani</w:t>
      </w:r>
      <w:r w:rsidRPr="00172B2D">
        <w:rPr>
          <w:rFonts w:asciiTheme="minorHAnsi" w:hAnsiTheme="minorHAnsi"/>
          <w:sz w:val="20"/>
          <w:szCs w:val="20"/>
        </w:rPr>
        <w:t>’, (unpublished Theology Graduate thesis, Ireland Providence College, 2015).  [Online:</w:t>
      </w:r>
      <w:r w:rsidRPr="00172B2D">
        <w:rPr>
          <w:rFonts w:asciiTheme="minorHAnsi" w:hAnsiTheme="minorHAnsi"/>
          <w:color w:val="548DD4" w:themeColor="text2" w:themeTint="99"/>
          <w:sz w:val="20"/>
          <w:szCs w:val="20"/>
        </w:rPr>
        <w:t xml:space="preserve"> </w:t>
      </w:r>
      <w:hyperlink r:id="rId3" w:history="1">
        <w:r w:rsidRPr="00172B2D">
          <w:rPr>
            <w:rStyle w:val="Hyperlink"/>
            <w:rFonts w:asciiTheme="minorHAnsi" w:hAnsiTheme="minorHAnsi"/>
            <w:color w:val="548DD4" w:themeColor="text2" w:themeTint="99"/>
            <w:sz w:val="20"/>
            <w:szCs w:val="20"/>
          </w:rPr>
          <w:t>direlan1@providence.edu</w:t>
        </w:r>
      </w:hyperlink>
      <w:r w:rsidRPr="00172B2D">
        <w:rPr>
          <w:rFonts w:asciiTheme="minorHAnsi" w:hAnsiTheme="minorHAnsi"/>
          <w:color w:val="548DD4" w:themeColor="text2" w:themeTint="99"/>
          <w:sz w:val="20"/>
          <w:szCs w:val="20"/>
        </w:rPr>
        <w:t xml:space="preserve">, </w:t>
      </w:r>
      <w:hyperlink r:id="rId4" w:history="1">
        <w:r w:rsidRPr="00172B2D">
          <w:rPr>
            <w:rStyle w:val="Hyperlink"/>
            <w:rFonts w:asciiTheme="minorHAnsi" w:hAnsiTheme="minorHAnsi"/>
            <w:color w:val="548DD4" w:themeColor="text2" w:themeTint="99"/>
            <w:sz w:val="20"/>
            <w:szCs w:val="20"/>
          </w:rPr>
          <w:t>https://digitalcommons.providence.edu/theology_graduate_theses/7/</w:t>
        </w:r>
      </w:hyperlink>
      <w:r w:rsidRPr="00172B2D">
        <w:rPr>
          <w:rFonts w:asciiTheme="minorHAnsi" w:hAnsiTheme="minorHAnsi"/>
          <w:sz w:val="20"/>
          <w:szCs w:val="20"/>
        </w:rPr>
        <w:t>], &lt;Accessed: 28 February 2018&gt; considered it a secular copy of NB.</w:t>
      </w:r>
    </w:p>
  </w:footnote>
  <w:footnote w:id="6">
    <w:p w:rsidR="001F51AF" w:rsidRPr="00EC70E3" w:rsidRDefault="001F51AF" w:rsidP="00FB2469">
      <w:pPr>
        <w:spacing w:line="240" w:lineRule="auto"/>
        <w:rPr>
          <w:sz w:val="20"/>
          <w:szCs w:val="20"/>
        </w:rPr>
      </w:pPr>
      <w:r w:rsidRPr="00894164">
        <w:rPr>
          <w:rStyle w:val="FootnoteReference"/>
          <w:sz w:val="20"/>
          <w:szCs w:val="20"/>
        </w:rPr>
        <w:footnoteRef/>
      </w:r>
      <w:r w:rsidRPr="00894164">
        <w:rPr>
          <w:sz w:val="20"/>
          <w:szCs w:val="20"/>
        </w:rPr>
        <w:t xml:space="preserve"> </w:t>
      </w:r>
      <w:r w:rsidRPr="00EC70E3">
        <w:rPr>
          <w:sz w:val="20"/>
          <w:szCs w:val="20"/>
        </w:rPr>
        <w:t xml:space="preserve"> J. Harpur, </w:t>
      </w:r>
      <w:r w:rsidRPr="00EC70E3">
        <w:rPr>
          <w:i/>
          <w:sz w:val="20"/>
          <w:szCs w:val="20"/>
        </w:rPr>
        <w:t>Sacred Tracks: 2000 years of Christian Pilgrimage</w:t>
      </w:r>
      <w:r w:rsidRPr="00EC70E3">
        <w:rPr>
          <w:sz w:val="20"/>
          <w:szCs w:val="20"/>
        </w:rPr>
        <w:t xml:space="preserve"> (Berkeley, University of California Press, 2002), pp37-47, p40;  Strijbosch, Clara, ‘</w:t>
      </w:r>
      <w:r w:rsidRPr="00EC70E3">
        <w:rPr>
          <w:i/>
          <w:sz w:val="20"/>
          <w:szCs w:val="20"/>
        </w:rPr>
        <w:t>The Heathen Giant</w:t>
      </w:r>
      <w:r w:rsidRPr="00EC70E3">
        <w:rPr>
          <w:sz w:val="20"/>
          <w:szCs w:val="20"/>
        </w:rPr>
        <w:t xml:space="preserve"> in The Voyage of St Brendan’ in </w:t>
      </w:r>
      <w:r w:rsidRPr="00EC70E3">
        <w:rPr>
          <w:rFonts w:cs="Arial"/>
          <w:i/>
          <w:color w:val="333333"/>
          <w:sz w:val="20"/>
          <w:szCs w:val="20"/>
        </w:rPr>
        <w:t>Celtica</w:t>
      </w:r>
      <w:r w:rsidRPr="00EC70E3">
        <w:rPr>
          <w:rFonts w:cs="Arial"/>
          <w:color w:val="333333"/>
          <w:sz w:val="20"/>
          <w:szCs w:val="20"/>
        </w:rPr>
        <w:t xml:space="preserve"> Volume 23 (1999): Essays in honour of James Patrick Carney </w:t>
      </w:r>
      <w:r w:rsidRPr="00EC70E3">
        <w:rPr>
          <w:sz w:val="20"/>
          <w:szCs w:val="20"/>
        </w:rPr>
        <w:t xml:space="preserve">[Online: </w:t>
      </w:r>
      <w:hyperlink r:id="rId5" w:history="1">
        <w:r w:rsidRPr="00EC70E3">
          <w:rPr>
            <w:rStyle w:val="Hyperlink"/>
            <w:sz w:val="20"/>
            <w:szCs w:val="20"/>
          </w:rPr>
          <w:t>https://www.dias.ie/wp-content/uploads/webstore/celt/pubs/celtica/c23/c23-369.pdf</w:t>
        </w:r>
      </w:hyperlink>
      <w:r w:rsidRPr="00EC70E3">
        <w:rPr>
          <w:sz w:val="20"/>
          <w:szCs w:val="20"/>
        </w:rPr>
        <w:t xml:space="preserve"> ] &lt;Accessed 28 March 2018&gt;; </w:t>
      </w:r>
      <w:r w:rsidRPr="00EC70E3">
        <w:rPr>
          <w:sz w:val="20"/>
        </w:rPr>
        <w:t xml:space="preserve">eadem, </w:t>
      </w:r>
      <w:r w:rsidRPr="00EC70E3">
        <w:rPr>
          <w:i/>
          <w:sz w:val="20"/>
        </w:rPr>
        <w:t xml:space="preserve">The Seafaring Saint; Sources and Analogues of the Twelfth-century Voyage of Saint Brendan  </w:t>
      </w:r>
      <w:r w:rsidRPr="00EC70E3">
        <w:rPr>
          <w:sz w:val="20"/>
        </w:rPr>
        <w:t>trans. Summerfield.T.,</w:t>
      </w:r>
      <w:r w:rsidRPr="00EC70E3">
        <w:rPr>
          <w:i/>
          <w:sz w:val="20"/>
        </w:rPr>
        <w:t xml:space="preserve"> </w:t>
      </w:r>
      <w:r w:rsidRPr="00EC70E3">
        <w:rPr>
          <w:sz w:val="20"/>
        </w:rPr>
        <w:t>(Dublin: Four Courts Press, 2000).  P.</w:t>
      </w:r>
      <w:r w:rsidRPr="00EC70E3">
        <w:rPr>
          <w:sz w:val="20"/>
          <w:szCs w:val="20"/>
        </w:rPr>
        <w:t xml:space="preserve"> </w:t>
      </w:r>
      <w:r w:rsidRPr="00EC70E3">
        <w:rPr>
          <w:sz w:val="20"/>
          <w:szCs w:val="20"/>
          <w:shd w:val="clear" w:color="auto" w:fill="FFFFFF"/>
        </w:rPr>
        <w:t xml:space="preserve">Mac Cana, ‘On the ‘Prehistory’ of </w:t>
      </w:r>
      <w:r w:rsidRPr="00EC70E3">
        <w:rPr>
          <w:i/>
          <w:sz w:val="20"/>
          <w:szCs w:val="20"/>
          <w:shd w:val="clear" w:color="auto" w:fill="FFFFFF"/>
        </w:rPr>
        <w:t xml:space="preserve">Immram Brain’ </w:t>
      </w:r>
      <w:r w:rsidRPr="00EC70E3">
        <w:rPr>
          <w:sz w:val="20"/>
          <w:szCs w:val="20"/>
          <w:shd w:val="clear" w:color="auto" w:fill="FFFFFF"/>
        </w:rPr>
        <w:t xml:space="preserve">in </w:t>
      </w:r>
      <w:r w:rsidRPr="00EC70E3">
        <w:rPr>
          <w:i/>
          <w:sz w:val="20"/>
          <w:szCs w:val="20"/>
          <w:shd w:val="clear" w:color="auto" w:fill="FFFFFF"/>
        </w:rPr>
        <w:t>Ériu</w:t>
      </w:r>
      <w:r w:rsidRPr="00EC70E3">
        <w:rPr>
          <w:sz w:val="20"/>
          <w:szCs w:val="20"/>
          <w:shd w:val="clear" w:color="auto" w:fill="FFFFFF"/>
        </w:rPr>
        <w:t xml:space="preserve"> 26: (1975) 33-52, </w:t>
      </w:r>
      <w:r w:rsidRPr="00EC70E3">
        <w:rPr>
          <w:sz w:val="20"/>
          <w:szCs w:val="20"/>
        </w:rPr>
        <w:t>was a big proponent of pre- Christian elements as the basis for IB. He goes as far as to suggest a common source for all the</w:t>
      </w:r>
      <w:r>
        <w:rPr>
          <w:sz w:val="20"/>
          <w:szCs w:val="20"/>
        </w:rPr>
        <w:t xml:space="preserve"> Otherworld texts in CDS, </w:t>
      </w:r>
      <w:r w:rsidRPr="00EC70E3">
        <w:rPr>
          <w:sz w:val="20"/>
          <w:szCs w:val="20"/>
        </w:rPr>
        <w:t>ibid</w:t>
      </w:r>
      <w:r>
        <w:rPr>
          <w:sz w:val="20"/>
          <w:szCs w:val="20"/>
        </w:rPr>
        <w:t>.,</w:t>
      </w:r>
      <w:r w:rsidRPr="00EC70E3">
        <w:rPr>
          <w:sz w:val="20"/>
          <w:szCs w:val="20"/>
        </w:rPr>
        <w:t xml:space="preserve"> pp. 38-40; Dumville, </w:t>
      </w:r>
      <w:r w:rsidRPr="00EC70E3">
        <w:rPr>
          <w:i/>
          <w:sz w:val="20"/>
          <w:szCs w:val="20"/>
        </w:rPr>
        <w:t>Echtrae</w:t>
      </w:r>
      <w:r w:rsidRPr="00EC70E3">
        <w:rPr>
          <w:sz w:val="20"/>
          <w:szCs w:val="20"/>
        </w:rPr>
        <w:t xml:space="preserve"> p.77, admits that there are native Irish elements contained within MD, but that they are not the main point. He goes on to say, ibid., p. 89 fn88, the dating for NB is disputed but cannot be earlier than the latter part of the 9</w:t>
      </w:r>
      <w:r w:rsidRPr="00EC70E3">
        <w:rPr>
          <w:sz w:val="20"/>
          <w:szCs w:val="20"/>
          <w:vertAlign w:val="superscript"/>
        </w:rPr>
        <w:t>th</w:t>
      </w:r>
      <w:r w:rsidRPr="00EC70E3">
        <w:rPr>
          <w:sz w:val="20"/>
          <w:szCs w:val="20"/>
        </w:rPr>
        <w:t xml:space="preserve"> century. J. Carney in Dumville, ibid., had proposed the 8</w:t>
      </w:r>
      <w:r w:rsidRPr="00EC70E3">
        <w:rPr>
          <w:sz w:val="20"/>
          <w:szCs w:val="20"/>
          <w:vertAlign w:val="superscript"/>
        </w:rPr>
        <w:t>th</w:t>
      </w:r>
      <w:r w:rsidRPr="00EC70E3">
        <w:rPr>
          <w:sz w:val="20"/>
          <w:szCs w:val="20"/>
        </w:rPr>
        <w:t xml:space="preserve"> century. Carney, ‘</w:t>
      </w:r>
      <w:r w:rsidRPr="00EC70E3">
        <w:rPr>
          <w:sz w:val="20"/>
          <w:szCs w:val="20"/>
          <w:shd w:val="clear" w:color="auto" w:fill="FFFFFF"/>
        </w:rPr>
        <w:t>Review of: </w:t>
      </w:r>
      <w:hyperlink r:id="rId6" w:tooltip="Selmer (Carl) 1959 1" w:history="1">
        <w:r w:rsidRPr="00EC70E3">
          <w:rPr>
            <w:rStyle w:val="Hyperlink"/>
            <w:color w:val="auto"/>
            <w:sz w:val="20"/>
            <w:szCs w:val="20"/>
            <w:u w:val="none"/>
            <w:shd w:val="clear" w:color="auto" w:fill="FFFFFF"/>
          </w:rPr>
          <w:t>Selmer, Carl, </w:t>
        </w:r>
        <w:r w:rsidRPr="00EC70E3">
          <w:rPr>
            <w:rStyle w:val="Emphasis"/>
            <w:sz w:val="20"/>
            <w:szCs w:val="20"/>
            <w:shd w:val="clear" w:color="auto" w:fill="FFFFFF"/>
          </w:rPr>
          <w:t>Navigatio sancti Brendani abbatis</w:t>
        </w:r>
        <w:r w:rsidRPr="00EC70E3">
          <w:rPr>
            <w:rStyle w:val="Hyperlink"/>
            <w:i/>
            <w:iCs/>
            <w:color w:val="auto"/>
            <w:sz w:val="20"/>
            <w:szCs w:val="20"/>
            <w:u w:val="none"/>
            <w:shd w:val="clear" w:color="auto" w:fill="FFFFFF"/>
          </w:rPr>
          <w:t> from early Latin manuscripts’</w:t>
        </w:r>
        <w:r w:rsidRPr="00EC70E3">
          <w:rPr>
            <w:rStyle w:val="Hyperlink"/>
            <w:color w:val="auto"/>
            <w:sz w:val="20"/>
            <w:szCs w:val="20"/>
            <w:u w:val="none"/>
            <w:shd w:val="clear" w:color="auto" w:fill="FFFFFF"/>
          </w:rPr>
          <w:t xml:space="preserve"> (Notre Dame, Indiana: University of Notre Dame Press, 1959</w:t>
        </w:r>
      </w:hyperlink>
      <w:r w:rsidRPr="00EC70E3">
        <w:rPr>
          <w:sz w:val="20"/>
          <w:szCs w:val="20"/>
        </w:rPr>
        <w:t xml:space="preserve">) cited in J. O’Meara, trans. </w:t>
      </w:r>
      <w:r w:rsidRPr="00EC70E3">
        <w:rPr>
          <w:bCs/>
          <w:i/>
          <w:sz w:val="20"/>
          <w:szCs w:val="20"/>
        </w:rPr>
        <w:t>The Voyage of Saint Brendan</w:t>
      </w:r>
      <w:r w:rsidRPr="00EC70E3">
        <w:rPr>
          <w:bCs/>
          <w:sz w:val="20"/>
          <w:szCs w:val="20"/>
        </w:rPr>
        <w:t>, 3</w:t>
      </w:r>
      <w:r w:rsidRPr="00EC70E3">
        <w:rPr>
          <w:bCs/>
          <w:sz w:val="20"/>
          <w:szCs w:val="20"/>
          <w:vertAlign w:val="superscript"/>
        </w:rPr>
        <w:t>rd</w:t>
      </w:r>
      <w:r w:rsidRPr="00EC70E3">
        <w:rPr>
          <w:bCs/>
          <w:sz w:val="20"/>
          <w:szCs w:val="20"/>
        </w:rPr>
        <w:t xml:space="preserve"> edn, (Buckinghamshire: Colin Smythe Limited, 1991)</w:t>
      </w:r>
      <w:r>
        <w:rPr>
          <w:bCs/>
          <w:sz w:val="20"/>
          <w:szCs w:val="20"/>
        </w:rPr>
        <w:t xml:space="preserve"> </w:t>
      </w:r>
      <w:r w:rsidRPr="00EC70E3">
        <w:rPr>
          <w:sz w:val="20"/>
          <w:szCs w:val="20"/>
        </w:rPr>
        <w:t>believed NB and MD could have had a common source.</w:t>
      </w:r>
    </w:p>
  </w:footnote>
  <w:footnote w:id="7">
    <w:p w:rsidR="001F51AF" w:rsidRDefault="001F51AF" w:rsidP="00FB2469">
      <w:pPr>
        <w:pStyle w:val="FootnoteText"/>
      </w:pPr>
      <w:r>
        <w:rPr>
          <w:rStyle w:val="FootnoteReference"/>
        </w:rPr>
        <w:footnoteRef/>
      </w:r>
      <w:r>
        <w:t xml:space="preserve"> See footnote 4 above. </w:t>
      </w:r>
    </w:p>
  </w:footnote>
  <w:footnote w:id="8">
    <w:p w:rsidR="001F51AF" w:rsidRPr="00007E2E" w:rsidRDefault="001F51AF" w:rsidP="00007E2E">
      <w:pPr>
        <w:shd w:val="clear" w:color="auto" w:fill="FFFFFF"/>
        <w:spacing w:line="240" w:lineRule="auto"/>
        <w:rPr>
          <w:sz w:val="20"/>
          <w:szCs w:val="20"/>
        </w:rPr>
      </w:pPr>
      <w:r>
        <w:rPr>
          <w:rStyle w:val="FootnoteReference"/>
        </w:rPr>
        <w:footnoteRef/>
      </w:r>
      <w:r>
        <w:t xml:space="preserve"> </w:t>
      </w:r>
      <w:r w:rsidRPr="00B7511F">
        <w:rPr>
          <w:sz w:val="20"/>
          <w:szCs w:val="20"/>
        </w:rPr>
        <w:t xml:space="preserve">The Tale-lists include many </w:t>
      </w:r>
      <w:r w:rsidRPr="00B7511F">
        <w:rPr>
          <w:i/>
          <w:sz w:val="20"/>
          <w:szCs w:val="20"/>
        </w:rPr>
        <w:t>echtrae</w:t>
      </w:r>
      <w:r w:rsidRPr="00B7511F">
        <w:rPr>
          <w:sz w:val="20"/>
          <w:szCs w:val="20"/>
        </w:rPr>
        <w:t xml:space="preserve"> in list B and </w:t>
      </w:r>
      <w:r w:rsidRPr="00B7511F">
        <w:rPr>
          <w:i/>
          <w:sz w:val="20"/>
          <w:szCs w:val="20"/>
        </w:rPr>
        <w:t>echtrae</w:t>
      </w:r>
      <w:r w:rsidRPr="00B7511F">
        <w:rPr>
          <w:sz w:val="20"/>
          <w:szCs w:val="20"/>
        </w:rPr>
        <w:t xml:space="preserve"> and 3 </w:t>
      </w:r>
      <w:r w:rsidRPr="00B7511F">
        <w:rPr>
          <w:i/>
          <w:sz w:val="20"/>
          <w:szCs w:val="20"/>
        </w:rPr>
        <w:t>immrama</w:t>
      </w:r>
      <w:r w:rsidRPr="00B7511F">
        <w:rPr>
          <w:sz w:val="20"/>
          <w:szCs w:val="20"/>
        </w:rPr>
        <w:t xml:space="preserve"> in list A, MD amongst them. Dumville, </w:t>
      </w:r>
      <w:r w:rsidRPr="00B7511F">
        <w:rPr>
          <w:i/>
          <w:sz w:val="20"/>
          <w:szCs w:val="20"/>
        </w:rPr>
        <w:t>Echtrae</w:t>
      </w:r>
      <w:r w:rsidRPr="00B7511F">
        <w:rPr>
          <w:sz w:val="20"/>
          <w:szCs w:val="20"/>
        </w:rPr>
        <w:t xml:space="preserve"> p.90</w:t>
      </w:r>
      <w:r>
        <w:rPr>
          <w:sz w:val="20"/>
          <w:szCs w:val="20"/>
        </w:rPr>
        <w:t>;</w:t>
      </w:r>
      <w:r w:rsidRPr="00B7511F">
        <w:rPr>
          <w:sz w:val="20"/>
          <w:szCs w:val="20"/>
        </w:rPr>
        <w:t xml:space="preserve"> </w:t>
      </w:r>
      <w:r>
        <w:rPr>
          <w:sz w:val="20"/>
          <w:szCs w:val="20"/>
        </w:rPr>
        <w:t xml:space="preserve">S. Mac Mathúna, </w:t>
      </w:r>
      <w:r w:rsidRPr="00B7511F">
        <w:rPr>
          <w:i/>
          <w:sz w:val="20"/>
          <w:szCs w:val="20"/>
        </w:rPr>
        <w:t>Immram Brain: Bran’s Journey to the Land of the Women</w:t>
      </w:r>
      <w:r w:rsidRPr="00B7511F">
        <w:rPr>
          <w:sz w:val="20"/>
          <w:szCs w:val="20"/>
        </w:rPr>
        <w:t>, (Tübingen: Niemeyer , 1985) p.276; Wooding</w:t>
      </w:r>
      <w:r>
        <w:rPr>
          <w:sz w:val="20"/>
          <w:szCs w:val="20"/>
        </w:rPr>
        <w:t xml:space="preserve">, </w:t>
      </w:r>
      <w:r w:rsidRPr="00B7511F">
        <w:rPr>
          <w:i/>
          <w:sz w:val="20"/>
          <w:szCs w:val="20"/>
        </w:rPr>
        <w:t>The Otherworld Voyage</w:t>
      </w:r>
      <w:r>
        <w:rPr>
          <w:sz w:val="20"/>
          <w:szCs w:val="20"/>
        </w:rPr>
        <w:t xml:space="preserve"> p. </w:t>
      </w:r>
      <w:r w:rsidRPr="00B7511F">
        <w:rPr>
          <w:sz w:val="20"/>
          <w:szCs w:val="20"/>
        </w:rPr>
        <w:t>Xii</w:t>
      </w:r>
      <w:r>
        <w:rPr>
          <w:sz w:val="20"/>
          <w:szCs w:val="20"/>
        </w:rPr>
        <w:t xml:space="preserve">;.  Dumville, </w:t>
      </w:r>
      <w:r w:rsidRPr="00B7511F">
        <w:rPr>
          <w:sz w:val="20"/>
          <w:szCs w:val="20"/>
        </w:rPr>
        <w:t>ibid</w:t>
      </w:r>
      <w:r>
        <w:rPr>
          <w:sz w:val="20"/>
          <w:szCs w:val="20"/>
        </w:rPr>
        <w:t xml:space="preserve"> p. 9</w:t>
      </w:r>
      <w:r w:rsidRPr="00B7511F">
        <w:rPr>
          <w:sz w:val="20"/>
          <w:szCs w:val="20"/>
        </w:rPr>
        <w:t>3</w:t>
      </w:r>
      <w:r>
        <w:rPr>
          <w:sz w:val="20"/>
          <w:szCs w:val="20"/>
        </w:rPr>
        <w:t>,</w:t>
      </w:r>
      <w:r w:rsidRPr="00B7511F">
        <w:rPr>
          <w:sz w:val="20"/>
          <w:szCs w:val="20"/>
        </w:rPr>
        <w:t xml:space="preserve"> was of the opinion that the secular </w:t>
      </w:r>
      <w:r w:rsidRPr="00B7511F">
        <w:rPr>
          <w:i/>
          <w:sz w:val="20"/>
          <w:szCs w:val="20"/>
        </w:rPr>
        <w:t xml:space="preserve">echtrae </w:t>
      </w:r>
      <w:r w:rsidRPr="00FB2469">
        <w:rPr>
          <w:sz w:val="20"/>
          <w:szCs w:val="20"/>
        </w:rPr>
        <w:t xml:space="preserve">could </w:t>
      </w:r>
      <w:r w:rsidRPr="00B7511F">
        <w:rPr>
          <w:sz w:val="20"/>
          <w:szCs w:val="20"/>
        </w:rPr>
        <w:t xml:space="preserve">have been written versions of oral stories, but </w:t>
      </w:r>
      <w:r w:rsidRPr="00FB2469">
        <w:rPr>
          <w:i/>
          <w:sz w:val="20"/>
          <w:szCs w:val="20"/>
        </w:rPr>
        <w:t>not</w:t>
      </w:r>
      <w:r w:rsidRPr="00B7511F">
        <w:rPr>
          <w:sz w:val="20"/>
          <w:szCs w:val="20"/>
        </w:rPr>
        <w:t xml:space="preserve"> the ecclesiastical </w:t>
      </w:r>
      <w:r w:rsidRPr="00B7511F">
        <w:rPr>
          <w:i/>
          <w:sz w:val="20"/>
          <w:szCs w:val="20"/>
        </w:rPr>
        <w:t>immrama</w:t>
      </w:r>
      <w:r w:rsidRPr="00B7511F">
        <w:rPr>
          <w:sz w:val="20"/>
          <w:szCs w:val="20"/>
        </w:rPr>
        <w:t xml:space="preserve">. I would argue, however, that the </w:t>
      </w:r>
      <w:r w:rsidRPr="00FB2469">
        <w:rPr>
          <w:b/>
          <w:sz w:val="20"/>
          <w:szCs w:val="20"/>
        </w:rPr>
        <w:t>secular</w:t>
      </w:r>
      <w:r w:rsidRPr="00B7511F">
        <w:rPr>
          <w:i/>
          <w:sz w:val="20"/>
          <w:szCs w:val="20"/>
        </w:rPr>
        <w:t xml:space="preserve"> immrama, </w:t>
      </w:r>
      <w:r w:rsidRPr="00B7511F">
        <w:rPr>
          <w:sz w:val="20"/>
          <w:szCs w:val="20"/>
        </w:rPr>
        <w:t>of which MD is one, bridge the gap between the two genres and do contain within them references to the oral tradition o</w:t>
      </w:r>
      <w:r>
        <w:rPr>
          <w:sz w:val="20"/>
          <w:szCs w:val="20"/>
        </w:rPr>
        <w:t>f the cult of Bran, to facilitiate the aim  of</w:t>
      </w:r>
      <w:r w:rsidRPr="00B7511F">
        <w:rPr>
          <w:sz w:val="20"/>
          <w:szCs w:val="20"/>
        </w:rPr>
        <w:t xml:space="preserve"> </w:t>
      </w:r>
      <w:r w:rsidRPr="00007E2E">
        <w:rPr>
          <w:sz w:val="20"/>
          <w:szCs w:val="20"/>
        </w:rPr>
        <w:t>teaching pagan people Christian values.</w:t>
      </w:r>
    </w:p>
  </w:footnote>
  <w:footnote w:id="9">
    <w:p w:rsidR="001F51AF" w:rsidRPr="00007E2E" w:rsidRDefault="001F51AF" w:rsidP="00007E2E">
      <w:pPr>
        <w:shd w:val="clear" w:color="auto" w:fill="FEFDFA"/>
        <w:spacing w:line="240" w:lineRule="auto"/>
        <w:rPr>
          <w:sz w:val="20"/>
          <w:szCs w:val="20"/>
        </w:rPr>
      </w:pPr>
      <w:r w:rsidRPr="00007E2E">
        <w:rPr>
          <w:rStyle w:val="FootnoteReference"/>
          <w:sz w:val="20"/>
          <w:szCs w:val="20"/>
        </w:rPr>
        <w:footnoteRef/>
      </w:r>
      <w:r w:rsidR="00A2543E">
        <w:t xml:space="preserve"> </w:t>
      </w:r>
      <w:r w:rsidR="00A2543E" w:rsidRPr="00A2543E">
        <w:rPr>
          <w:sz w:val="20"/>
        </w:rPr>
        <w:t>Ibid., p.173.</w:t>
      </w:r>
      <w:r w:rsidRPr="00007E2E">
        <w:rPr>
          <w:sz w:val="20"/>
          <w:szCs w:val="20"/>
        </w:rPr>
        <w:t xml:space="preserve"> T. O’Cathasaigh,</w:t>
      </w:r>
      <w:r>
        <w:rPr>
          <w:sz w:val="20"/>
          <w:szCs w:val="20"/>
        </w:rPr>
        <w:t xml:space="preserve"> </w:t>
      </w:r>
      <w:r w:rsidRPr="00007E2E">
        <w:rPr>
          <w:rStyle w:val="exlavailabilitycallnumber"/>
          <w:rFonts w:cs="Arial"/>
          <w:i/>
          <w:sz w:val="20"/>
          <w:szCs w:val="20"/>
          <w:bdr w:val="none" w:sz="0" w:space="0" w:color="auto" w:frame="1"/>
        </w:rPr>
        <w:t xml:space="preserve">Coire Sois, the Cauldron of Knowledge: A Companion to Early Irish Saga </w:t>
      </w:r>
      <w:r w:rsidRPr="00007E2E">
        <w:rPr>
          <w:rStyle w:val="exlavailabilitycallnumber"/>
          <w:rFonts w:cs="Arial"/>
          <w:sz w:val="20"/>
          <w:szCs w:val="20"/>
          <w:bdr w:val="none" w:sz="0" w:space="0" w:color="auto" w:frame="1"/>
        </w:rPr>
        <w:t>(Notre Dame, Indiana: University of Notre Dame Press,2014)</w:t>
      </w:r>
      <w:r>
        <w:rPr>
          <w:rStyle w:val="exlavailabilitycallnumber"/>
          <w:rFonts w:cs="Arial"/>
          <w:sz w:val="20"/>
          <w:szCs w:val="20"/>
          <w:bdr w:val="none" w:sz="0" w:space="0" w:color="auto" w:frame="1"/>
        </w:rPr>
        <w:t>, p. 63</w:t>
      </w:r>
      <w:r w:rsidR="00A2543E">
        <w:rPr>
          <w:rStyle w:val="exlavailabilitycallnumber"/>
          <w:rFonts w:cs="Arial"/>
          <w:sz w:val="20"/>
          <w:szCs w:val="20"/>
          <w:bdr w:val="none" w:sz="0" w:space="0" w:color="auto" w:frame="1"/>
        </w:rPr>
        <w:t>.</w:t>
      </w:r>
    </w:p>
  </w:footnote>
  <w:footnote w:id="10">
    <w:p w:rsidR="001F51AF" w:rsidRDefault="001F51AF" w:rsidP="007E5B20">
      <w:r>
        <w:rPr>
          <w:rStyle w:val="FootnoteReference"/>
        </w:rPr>
        <w:footnoteRef/>
      </w:r>
      <w:r>
        <w:t xml:space="preserve"> </w:t>
      </w:r>
      <w:r w:rsidRPr="00D721A1">
        <w:rPr>
          <w:sz w:val="20"/>
          <w:szCs w:val="20"/>
        </w:rPr>
        <w:t>Other tra</w:t>
      </w:r>
      <w:r>
        <w:rPr>
          <w:sz w:val="20"/>
          <w:szCs w:val="20"/>
        </w:rPr>
        <w:t>nslators have been Kuno Meyer: t</w:t>
      </w:r>
      <w:r w:rsidRPr="00D721A1">
        <w:rPr>
          <w:sz w:val="20"/>
          <w:szCs w:val="20"/>
        </w:rPr>
        <w:t>he poetic version, Best and Bergin: a diplomatic edition of Lebor na Huidre, A.G. van Hamel:  A critical edition – he saw some differences between LH &amp; YL and believed that they came from different versions, the different parts of LH were scribed by Mael Muire. He felt his translation kept closer to the original than that of Stokes by using the text not edited by Mael Muire, to enable a closer look at the earlier rendition (a difference of 200 years) This approach has been criticised because he may have inadvertently changed language that may not have been from the earlier perio</w:t>
      </w:r>
      <w:r>
        <w:rPr>
          <w:sz w:val="20"/>
          <w:szCs w:val="20"/>
        </w:rPr>
        <w:t xml:space="preserve">d. Oskamp, </w:t>
      </w:r>
      <w:r w:rsidRPr="00942D14">
        <w:rPr>
          <w:i/>
          <w:sz w:val="20"/>
          <w:szCs w:val="20"/>
        </w:rPr>
        <w:t>The Voyage</w:t>
      </w:r>
      <w:r>
        <w:rPr>
          <w:sz w:val="20"/>
          <w:szCs w:val="20"/>
        </w:rPr>
        <w:t xml:space="preserve">, pp. 3-19. and pp. 89-98. </w:t>
      </w:r>
      <w:r w:rsidRPr="00D721A1">
        <w:rPr>
          <w:sz w:val="20"/>
          <w:szCs w:val="20"/>
        </w:rPr>
        <w:t>H.P.A. Oskamp</w:t>
      </w:r>
      <w:r>
        <w:rPr>
          <w:sz w:val="20"/>
          <w:szCs w:val="20"/>
        </w:rPr>
        <w:t xml:space="preserve">’s </w:t>
      </w:r>
      <w:r w:rsidRPr="00D721A1">
        <w:rPr>
          <w:sz w:val="20"/>
          <w:szCs w:val="20"/>
        </w:rPr>
        <w:t>diplomatic version of the prose and poetry of YL</w:t>
      </w:r>
      <w:r>
        <w:rPr>
          <w:sz w:val="20"/>
          <w:szCs w:val="20"/>
        </w:rPr>
        <w:t>, produced</w:t>
      </w:r>
      <w:r w:rsidRPr="00D721A1">
        <w:rPr>
          <w:sz w:val="20"/>
          <w:szCs w:val="20"/>
        </w:rPr>
        <w:t xml:space="preserve"> as a work of literature</w:t>
      </w:r>
      <w:r>
        <w:rPr>
          <w:sz w:val="20"/>
          <w:szCs w:val="20"/>
        </w:rPr>
        <w:t xml:space="preserve">, </w:t>
      </w:r>
      <w:r w:rsidRPr="00D721A1">
        <w:rPr>
          <w:sz w:val="20"/>
          <w:szCs w:val="20"/>
        </w:rPr>
        <w:t>reads really well.</w:t>
      </w:r>
      <w:r>
        <w:rPr>
          <w:sz w:val="20"/>
          <w:szCs w:val="20"/>
        </w:rPr>
        <w:t xml:space="preserve"> Ibid pp. 99-179.</w:t>
      </w:r>
    </w:p>
  </w:footnote>
  <w:footnote w:id="11">
    <w:p w:rsidR="001F51AF" w:rsidRPr="00573DC9" w:rsidRDefault="001F51AF">
      <w:pPr>
        <w:pStyle w:val="FootnoteText"/>
        <w:rPr>
          <w:i/>
        </w:rPr>
      </w:pPr>
      <w:r>
        <w:rPr>
          <w:rStyle w:val="FootnoteReference"/>
        </w:rPr>
        <w:footnoteRef/>
      </w:r>
      <w:r>
        <w:t xml:space="preserve"> YL is complete </w:t>
      </w:r>
      <w:r w:rsidRPr="007E5B20">
        <w:t>apart from the two concluding sentences</w:t>
      </w:r>
      <w:r>
        <w:t xml:space="preserve">. Oskamp, </w:t>
      </w:r>
      <w:r>
        <w:rPr>
          <w:i/>
        </w:rPr>
        <w:t>The Voyage</w:t>
      </w:r>
      <w:r w:rsidRPr="006F19C9">
        <w:t>, p.89</w:t>
      </w:r>
    </w:p>
  </w:footnote>
  <w:footnote w:id="12">
    <w:p w:rsidR="001F51AF" w:rsidRPr="000148EE" w:rsidRDefault="001F51AF" w:rsidP="001578A1">
      <w:pPr>
        <w:pStyle w:val="FootnoteText"/>
      </w:pPr>
      <w:r>
        <w:rPr>
          <w:rStyle w:val="FootnoteReference"/>
        </w:rPr>
        <w:footnoteRef/>
      </w:r>
      <w:r>
        <w:t xml:space="preserve"> </w:t>
      </w:r>
      <w:r w:rsidRPr="005B4F4B">
        <w:t xml:space="preserve">Mathuna, </w:t>
      </w:r>
      <w:r w:rsidRPr="005B4F4B">
        <w:rPr>
          <w:i/>
        </w:rPr>
        <w:t>Immram Brain</w:t>
      </w:r>
      <w:r w:rsidRPr="005B4F4B">
        <w:t>, 1985,</w:t>
      </w:r>
      <w:r>
        <w:t xml:space="preserve"> in Hilliers, </w:t>
      </w:r>
      <w:r w:rsidRPr="005B4F4B">
        <w:rPr>
          <w:i/>
        </w:rPr>
        <w:t>Voyages Between Heaven and Hell</w:t>
      </w:r>
      <w:r>
        <w:t xml:space="preserve"> p. 68</w:t>
      </w:r>
      <w:r w:rsidRPr="005B4F4B">
        <w:t>] referred to them as penitential voyages</w:t>
      </w:r>
      <w:r>
        <w:t xml:space="preserve">. I speculate that this peculiarity of MD and the secular </w:t>
      </w:r>
      <w:r w:rsidRPr="000148EE">
        <w:rPr>
          <w:i/>
        </w:rPr>
        <w:t>immrama</w:t>
      </w:r>
      <w:r>
        <w:rPr>
          <w:i/>
        </w:rPr>
        <w:t xml:space="preserve"> </w:t>
      </w:r>
      <w:r>
        <w:t>links them closely to the texts in the lost 8</w:t>
      </w:r>
      <w:r w:rsidRPr="005B4F4B">
        <w:rPr>
          <w:vertAlign w:val="superscript"/>
        </w:rPr>
        <w:t>th</w:t>
      </w:r>
      <w:r>
        <w:t xml:space="preserve"> century CDS, referred to in Dumville, </w:t>
      </w:r>
      <w:r w:rsidRPr="005B4F4B">
        <w:rPr>
          <w:i/>
        </w:rPr>
        <w:t>Ec</w:t>
      </w:r>
      <w:r>
        <w:rPr>
          <w:i/>
        </w:rPr>
        <w:t>h</w:t>
      </w:r>
      <w:r w:rsidRPr="005B4F4B">
        <w:rPr>
          <w:i/>
        </w:rPr>
        <w:t>trae</w:t>
      </w:r>
      <w:r>
        <w:rPr>
          <w:i/>
        </w:rPr>
        <w:t>,</w:t>
      </w:r>
      <w:r>
        <w:t xml:space="preserve"> p.84, and Oskamp T</w:t>
      </w:r>
      <w:r w:rsidRPr="00354D87">
        <w:rPr>
          <w:i/>
        </w:rPr>
        <w:t>he Voyage</w:t>
      </w:r>
      <w:r>
        <w:rPr>
          <w:i/>
        </w:rPr>
        <w:t xml:space="preserve">, </w:t>
      </w:r>
      <w:r>
        <w:t>p.13, such as the tales concerning Oengus mac In Og whe</w:t>
      </w:r>
      <w:r w:rsidRPr="005B4F4B">
        <w:t>re exiled criminal foster brothers and vengeance are themes,</w:t>
      </w:r>
      <w:r>
        <w:t xml:space="preserve"> and as such places them absolutely in the group of texts that preserve pre-Christian Irish narratives.</w:t>
      </w:r>
    </w:p>
  </w:footnote>
  <w:footnote w:id="13">
    <w:p w:rsidR="001F51AF" w:rsidRDefault="001F51AF">
      <w:pPr>
        <w:pStyle w:val="FootnoteText"/>
      </w:pPr>
      <w:r>
        <w:rPr>
          <w:rStyle w:val="FootnoteReference"/>
        </w:rPr>
        <w:footnoteRef/>
      </w:r>
      <w:r>
        <w:t xml:space="preserve"> Clancy, </w:t>
      </w:r>
      <w:r w:rsidRPr="00BB3026">
        <w:rPr>
          <w:i/>
        </w:rPr>
        <w:t>Subversion at Sea</w:t>
      </w:r>
      <w:r>
        <w:t xml:space="preserve">, p. 203, says it is, linguistically, the earliest and clearest narrative. </w:t>
      </w:r>
    </w:p>
  </w:footnote>
  <w:footnote w:id="14">
    <w:p w:rsidR="001F51AF" w:rsidRPr="005A3252" w:rsidRDefault="001F51AF" w:rsidP="005A3252">
      <w:pPr>
        <w:spacing w:line="240" w:lineRule="auto"/>
        <w:rPr>
          <w:sz w:val="20"/>
          <w:szCs w:val="20"/>
        </w:rPr>
      </w:pPr>
      <w:r>
        <w:rPr>
          <w:rStyle w:val="FootnoteReference"/>
        </w:rPr>
        <w:footnoteRef/>
      </w:r>
      <w:r>
        <w:t xml:space="preserve"> </w:t>
      </w:r>
      <w:r w:rsidRPr="005A3252">
        <w:rPr>
          <w:sz w:val="20"/>
          <w:szCs w:val="20"/>
        </w:rPr>
        <w:t xml:space="preserve">G. Murphy, ‘On the Dates of Two Sources used in Thurneysen’s Heldensage’ in </w:t>
      </w:r>
      <w:r w:rsidRPr="005A3252">
        <w:rPr>
          <w:i/>
          <w:sz w:val="20"/>
          <w:szCs w:val="20"/>
        </w:rPr>
        <w:t>Ériu</w:t>
      </w:r>
      <w:r w:rsidRPr="005A3252">
        <w:rPr>
          <w:sz w:val="20"/>
          <w:szCs w:val="20"/>
        </w:rPr>
        <w:t xml:space="preserve">, 16:(1952),pp.145-156 in Oskamp, </w:t>
      </w:r>
      <w:r w:rsidRPr="005A3252">
        <w:rPr>
          <w:i/>
          <w:sz w:val="20"/>
          <w:szCs w:val="20"/>
        </w:rPr>
        <w:t>The Voyage</w:t>
      </w:r>
      <w:r w:rsidRPr="005A3252">
        <w:rPr>
          <w:sz w:val="20"/>
          <w:szCs w:val="20"/>
        </w:rPr>
        <w:t xml:space="preserve">, p.14, describes it as a schemata. Oskamp, ibid., p.12 differentiates between </w:t>
      </w:r>
      <w:r w:rsidRPr="005A3252">
        <w:rPr>
          <w:i/>
          <w:sz w:val="20"/>
          <w:szCs w:val="20"/>
        </w:rPr>
        <w:t>immram</w:t>
      </w:r>
      <w:r w:rsidRPr="005A3252">
        <w:rPr>
          <w:sz w:val="20"/>
          <w:szCs w:val="20"/>
        </w:rPr>
        <w:t xml:space="preserve">a being written down and being written. Some scholars are reluctant to acknowledge the sophistication of oral storytelling; e.g. </w:t>
      </w:r>
      <w:r w:rsidRPr="005A3252">
        <w:rPr>
          <w:color w:val="333333"/>
          <w:sz w:val="20"/>
          <w:szCs w:val="20"/>
        </w:rPr>
        <w:t>J.P. Carney, ‘Review of:</w:t>
      </w:r>
      <w:r w:rsidRPr="005A3252">
        <w:rPr>
          <w:rFonts w:ascii="Helvetica" w:hAnsi="Helvetica"/>
          <w:color w:val="333333"/>
          <w:sz w:val="20"/>
          <w:szCs w:val="20"/>
        </w:rPr>
        <w:t xml:space="preserve"> </w:t>
      </w:r>
      <w:r w:rsidRPr="005A3252">
        <w:rPr>
          <w:sz w:val="20"/>
          <w:szCs w:val="20"/>
        </w:rPr>
        <w:t>Carl </w:t>
      </w:r>
      <w:r w:rsidRPr="005A3252">
        <w:rPr>
          <w:rStyle w:val="smallcaps"/>
          <w:smallCaps/>
          <w:sz w:val="20"/>
          <w:szCs w:val="20"/>
        </w:rPr>
        <w:t>Selmer</w:t>
      </w:r>
      <w:r w:rsidRPr="005A3252">
        <w:rPr>
          <w:sz w:val="20"/>
          <w:szCs w:val="20"/>
        </w:rPr>
        <w:t>, </w:t>
      </w:r>
      <w:hyperlink r:id="rId7" w:tooltip="Selmer (Carl) 1959 1" w:history="1">
        <w:r w:rsidRPr="005A3252">
          <w:rPr>
            <w:rStyle w:val="Emphasis"/>
            <w:sz w:val="20"/>
            <w:szCs w:val="20"/>
          </w:rPr>
          <w:t>Navigatio sancti Brendani abbatis</w:t>
        </w:r>
        <w:r w:rsidRPr="005A3252">
          <w:rPr>
            <w:rStyle w:val="Hyperlink"/>
            <w:i/>
            <w:iCs/>
            <w:color w:val="auto"/>
            <w:sz w:val="20"/>
            <w:szCs w:val="20"/>
            <w:u w:val="none"/>
          </w:rPr>
          <w:t> from early Latin manuscripts</w:t>
        </w:r>
      </w:hyperlink>
      <w:r w:rsidRPr="005A3252">
        <w:rPr>
          <w:i/>
          <w:iCs/>
          <w:sz w:val="20"/>
          <w:szCs w:val="20"/>
        </w:rPr>
        <w:t>’</w:t>
      </w:r>
      <w:r w:rsidRPr="005A3252">
        <w:rPr>
          <w:sz w:val="20"/>
          <w:szCs w:val="20"/>
        </w:rPr>
        <w:t xml:space="preserve"> (1959) in B. Freitag, </w:t>
      </w:r>
      <w:r w:rsidRPr="005A3252">
        <w:rPr>
          <w:i/>
          <w:sz w:val="20"/>
          <w:szCs w:val="20"/>
        </w:rPr>
        <w:t xml:space="preserve">Hy Brasil -The Metamorphosis of an island: from Cartographic Error to Celtic Elysium </w:t>
      </w:r>
      <w:r w:rsidRPr="005A3252">
        <w:rPr>
          <w:sz w:val="20"/>
          <w:szCs w:val="20"/>
        </w:rPr>
        <w:t>(Amsterdam, New York: Rodopi, 2013), p.108-9, whereas others are: Hillers,</w:t>
      </w:r>
      <w:r w:rsidRPr="005A3252">
        <w:rPr>
          <w:i/>
          <w:sz w:val="20"/>
          <w:szCs w:val="20"/>
        </w:rPr>
        <w:t xml:space="preserve"> Voyages Between Heaven and Hell, p.</w:t>
      </w:r>
      <w:r w:rsidRPr="005A3252">
        <w:rPr>
          <w:sz w:val="20"/>
          <w:szCs w:val="20"/>
        </w:rPr>
        <w:t>72.</w:t>
      </w:r>
    </w:p>
  </w:footnote>
  <w:footnote w:id="15">
    <w:p w:rsidR="001F51AF" w:rsidRDefault="001F51AF" w:rsidP="005A3252">
      <w:pPr>
        <w:pStyle w:val="FootnoteText"/>
      </w:pPr>
      <w:r w:rsidRPr="005A3252">
        <w:rPr>
          <w:rStyle w:val="FootnoteReference"/>
        </w:rPr>
        <w:footnoteRef/>
      </w:r>
      <w:r w:rsidRPr="005A3252">
        <w:t xml:space="preserve"> J</w:t>
      </w:r>
      <w:r w:rsidRPr="00AC0056">
        <w:t xml:space="preserve"> </w:t>
      </w:r>
      <w:r>
        <w:t xml:space="preserve">Oskamp </w:t>
      </w:r>
      <w:r w:rsidRPr="00AC0056">
        <w:rPr>
          <w:i/>
        </w:rPr>
        <w:t>The Voyage</w:t>
      </w:r>
      <w:r>
        <w:t xml:space="preserve"> p.72 in J</w:t>
      </w:r>
      <w:r w:rsidRPr="005A3252">
        <w:t>ohnston</w:t>
      </w:r>
      <w:r>
        <w:t xml:space="preserve">, </w:t>
      </w:r>
      <w:r w:rsidRPr="00AC0056">
        <w:rPr>
          <w:i/>
        </w:rPr>
        <w:t>A Sailor on the Seas of Faith</w:t>
      </w:r>
      <w:r>
        <w:t xml:space="preserve"> p. 16 </w:t>
      </w:r>
    </w:p>
  </w:footnote>
  <w:footnote w:id="16">
    <w:p w:rsidR="001F51AF" w:rsidRPr="00822F06" w:rsidRDefault="001F51AF">
      <w:pPr>
        <w:pStyle w:val="FootnoteText"/>
      </w:pPr>
      <w:r>
        <w:rPr>
          <w:rStyle w:val="FootnoteReference"/>
        </w:rPr>
        <w:footnoteRef/>
      </w:r>
      <w:r>
        <w:t xml:space="preserve">   A.G. van Hamel, </w:t>
      </w:r>
      <w:r w:rsidR="00A2543E">
        <w:t>‘</w:t>
      </w:r>
      <w:r w:rsidRPr="00822F06">
        <w:t>The Text of Immram Curaig Maíldúin</w:t>
      </w:r>
      <w:r w:rsidR="00A2543E">
        <w:t>’</w:t>
      </w:r>
      <w:r>
        <w:t>, É</w:t>
      </w:r>
      <w:r w:rsidRPr="00822F06">
        <w:rPr>
          <w:i/>
        </w:rPr>
        <w:t>tudes Celtiques</w:t>
      </w:r>
      <w:r w:rsidRPr="00822F06">
        <w:t xml:space="preserve"> 3</w:t>
      </w:r>
      <w:r>
        <w:rPr>
          <w:i/>
        </w:rPr>
        <w:t xml:space="preserve"> (</w:t>
      </w:r>
      <w:r w:rsidRPr="001578A1">
        <w:t>1938</w:t>
      </w:r>
      <w:r>
        <w:t xml:space="preserve">) p. </w:t>
      </w:r>
      <w:r w:rsidRPr="001578A1">
        <w:t>8</w:t>
      </w:r>
      <w:r>
        <w:t xml:space="preserve"> in Oskamp, </w:t>
      </w:r>
      <w:r w:rsidRPr="00822F06">
        <w:rPr>
          <w:i/>
        </w:rPr>
        <w:t>The Voyage</w:t>
      </w:r>
      <w:r>
        <w:rPr>
          <w:i/>
        </w:rPr>
        <w:t xml:space="preserve"> </w:t>
      </w:r>
      <w:r>
        <w:t>p.48.</w:t>
      </w:r>
      <w:r w:rsidR="00A2543E">
        <w:t xml:space="preserve"> </w:t>
      </w:r>
      <w:r w:rsidR="00A2543E" w:rsidRPr="001578A1">
        <w:t>The fourth of the extant versions of MD, the two fragments of E, a sixteenth century MS, is unique for its</w:t>
      </w:r>
      <w:r w:rsidR="00A2543E">
        <w:t xml:space="preserve"> nam</w:t>
      </w:r>
      <w:r w:rsidR="00A2543E" w:rsidRPr="001137A1">
        <w:t xml:space="preserve">ing of the author. E has no verse, and prose the same as YL and H, without the mistakes. Oskamp, </w:t>
      </w:r>
      <w:r w:rsidR="00A2543E" w:rsidRPr="001137A1">
        <w:rPr>
          <w:i/>
        </w:rPr>
        <w:t>The Voyag</w:t>
      </w:r>
      <w:r w:rsidR="00A2543E" w:rsidRPr="001137A1">
        <w:t>e p. 94.</w:t>
      </w:r>
    </w:p>
  </w:footnote>
  <w:footnote w:id="17">
    <w:p w:rsidR="001F51AF" w:rsidRPr="001137A1" w:rsidRDefault="001F51AF">
      <w:pPr>
        <w:pStyle w:val="FootnoteText"/>
      </w:pPr>
      <w:r w:rsidRPr="001137A1">
        <w:rPr>
          <w:rStyle w:val="FootnoteReference"/>
        </w:rPr>
        <w:footnoteRef/>
      </w:r>
      <w:r w:rsidRPr="001137A1">
        <w:t xml:space="preserve"> J. O’Meara, J., </w:t>
      </w:r>
      <w:r w:rsidRPr="001137A1">
        <w:rPr>
          <w:i/>
        </w:rPr>
        <w:t>The Voyage of Saint Brendan: Journey to the Promised Land</w:t>
      </w:r>
      <w:r w:rsidRPr="001137A1">
        <w:t xml:space="preserve"> 3</w:t>
      </w:r>
      <w:r w:rsidRPr="001137A1">
        <w:rPr>
          <w:vertAlign w:val="superscript"/>
        </w:rPr>
        <w:t>rd</w:t>
      </w:r>
      <w:r w:rsidRPr="001137A1">
        <w:t xml:space="preserve"> edition (Gerard’s Cross: Colin Smyth Ltd.,1991) p.x;  Carey in Wooding, </w:t>
      </w:r>
      <w:r w:rsidRPr="001137A1">
        <w:rPr>
          <w:i/>
        </w:rPr>
        <w:t>The Otherworld Voyage</w:t>
      </w:r>
      <w:r w:rsidRPr="001137A1">
        <w:t>, p.xv.</w:t>
      </w:r>
    </w:p>
  </w:footnote>
  <w:footnote w:id="18">
    <w:p w:rsidR="001F51AF" w:rsidRPr="001137A1" w:rsidRDefault="001F51AF">
      <w:pPr>
        <w:pStyle w:val="FootnoteText"/>
      </w:pPr>
      <w:r w:rsidRPr="001137A1">
        <w:rPr>
          <w:rStyle w:val="FootnoteReference"/>
        </w:rPr>
        <w:footnoteRef/>
      </w:r>
      <w:r w:rsidRPr="001137A1">
        <w:t xml:space="preserve"> Ibid., </w:t>
      </w:r>
      <w:r w:rsidRPr="001137A1">
        <w:rPr>
          <w:i/>
        </w:rPr>
        <w:t>The Otherworld Voyage</w:t>
      </w:r>
      <w:r w:rsidRPr="001137A1">
        <w:t xml:space="preserve"> p.xiii</w:t>
      </w:r>
    </w:p>
  </w:footnote>
  <w:footnote w:id="19">
    <w:p w:rsidR="00B804E9" w:rsidRPr="001137A1" w:rsidRDefault="00B804E9" w:rsidP="00B804E9">
      <w:pPr>
        <w:pStyle w:val="FootnoteText"/>
      </w:pPr>
      <w:r w:rsidRPr="001137A1">
        <w:rPr>
          <w:rStyle w:val="FootnoteReference"/>
        </w:rPr>
        <w:footnoteRef/>
      </w:r>
      <w:r w:rsidRPr="001137A1">
        <w:t xml:space="preserve"> Some of the themes also occur in the later tale of </w:t>
      </w:r>
      <w:r w:rsidRPr="001137A1">
        <w:rPr>
          <w:i/>
        </w:rPr>
        <w:t>Ui Corra</w:t>
      </w:r>
      <w:r w:rsidRPr="001137A1">
        <w:rPr>
          <w:shd w:val="clear" w:color="auto" w:fill="FFFFFF"/>
        </w:rPr>
        <w:t xml:space="preserve"> . Breatnach, C.,</w:t>
      </w:r>
      <w:r w:rsidR="00431AD9">
        <w:rPr>
          <w:shd w:val="clear" w:color="auto" w:fill="FFFFFF"/>
        </w:rPr>
        <w:t xml:space="preserve"> </w:t>
      </w:r>
      <w:r w:rsidR="00816764">
        <w:rPr>
          <w:shd w:val="clear" w:color="auto" w:fill="FFFFFF"/>
        </w:rPr>
        <w:t>‘</w:t>
      </w:r>
      <w:r w:rsidRPr="001137A1">
        <w:rPr>
          <w:shd w:val="clear" w:color="auto" w:fill="FFFFFF"/>
        </w:rPr>
        <w:t xml:space="preserve">The Transmission and Structure of </w:t>
      </w:r>
      <w:r w:rsidRPr="001137A1">
        <w:rPr>
          <w:i/>
          <w:shd w:val="clear" w:color="auto" w:fill="FFFFFF"/>
        </w:rPr>
        <w:t xml:space="preserve">Immram Curaig Ua Corra’ </w:t>
      </w:r>
      <w:r w:rsidRPr="001137A1">
        <w:rPr>
          <w:shd w:val="clear" w:color="auto" w:fill="FFFFFF"/>
        </w:rPr>
        <w:t xml:space="preserve">in Mc Cana.P. ed, </w:t>
      </w:r>
      <w:r w:rsidRPr="001137A1">
        <w:rPr>
          <w:i/>
          <w:shd w:val="clear" w:color="auto" w:fill="FFFFFF"/>
        </w:rPr>
        <w:t>Ériu</w:t>
      </w:r>
      <w:r w:rsidRPr="001137A1">
        <w:rPr>
          <w:shd w:val="clear" w:color="auto" w:fill="FFFFFF"/>
        </w:rPr>
        <w:t xml:space="preserve"> Vol LIII (Dublin: Royal Irish Academy, 2003)</w:t>
      </w:r>
      <w:r>
        <w:rPr>
          <w:shd w:val="clear" w:color="auto" w:fill="FFFFFF"/>
        </w:rPr>
        <w:t>.</w:t>
      </w:r>
      <w:r w:rsidRPr="001137A1">
        <w:rPr>
          <w:shd w:val="clear" w:color="auto" w:fill="FFFFFF"/>
        </w:rPr>
        <w:t xml:space="preserve"> </w:t>
      </w:r>
      <w:r w:rsidRPr="001137A1">
        <w:t xml:space="preserve">Oskamp </w:t>
      </w:r>
      <w:r w:rsidRPr="001137A1">
        <w:rPr>
          <w:i/>
        </w:rPr>
        <w:t>The Voyage</w:t>
      </w:r>
      <w:r w:rsidRPr="001137A1">
        <w:t xml:space="preserve"> pp.6-7; &amp; Dumville, </w:t>
      </w:r>
      <w:r w:rsidRPr="001137A1">
        <w:rPr>
          <w:i/>
        </w:rPr>
        <w:t>Echtra</w:t>
      </w:r>
      <w:r w:rsidRPr="001137A1">
        <w:t>e p.78; situated in the 7</w:t>
      </w:r>
      <w:r w:rsidRPr="001137A1">
        <w:rPr>
          <w:vertAlign w:val="superscript"/>
        </w:rPr>
        <w:t>th</w:t>
      </w:r>
      <w:r w:rsidRPr="001137A1">
        <w:t xml:space="preserve"> century </w:t>
      </w:r>
      <w:r w:rsidRPr="001137A1">
        <w:rPr>
          <w:i/>
        </w:rPr>
        <w:t>Vita Columbae</w:t>
      </w:r>
      <w:r>
        <w:rPr>
          <w:i/>
        </w:rPr>
        <w:t>.</w:t>
      </w:r>
      <w:r w:rsidRPr="001137A1">
        <w:rPr>
          <w:i/>
        </w:rPr>
        <w:t xml:space="preserve"> </w:t>
      </w:r>
    </w:p>
  </w:footnote>
  <w:footnote w:id="20">
    <w:p w:rsidR="001F51AF" w:rsidRPr="00BE75C6" w:rsidRDefault="001F51AF" w:rsidP="00851A0C">
      <w:pPr>
        <w:pStyle w:val="FootnoteText"/>
      </w:pPr>
      <w:r w:rsidRPr="001137A1">
        <w:rPr>
          <w:rStyle w:val="FootnoteReference"/>
        </w:rPr>
        <w:footnoteRef/>
      </w:r>
      <w:r w:rsidRPr="001137A1">
        <w:t xml:space="preserve"> I believe the origin of this element could be the medieval tale of </w:t>
      </w:r>
      <w:r w:rsidRPr="00BE75C6">
        <w:t xml:space="preserve">the 2 islands in the lake (now a bog) at Monaincha, Roscrea in C Tipperary, mentioned by Gerald of Wales in </w:t>
      </w:r>
      <w:r w:rsidRPr="00BE75C6">
        <w:rPr>
          <w:i/>
        </w:rPr>
        <w:t>Topographia Hibernicum.</w:t>
      </w:r>
      <w:r w:rsidRPr="00BE75C6">
        <w:t xml:space="preserve"> In this excerpt there is, apparently, an island of men who supposedly never die, and </w:t>
      </w:r>
      <w:r w:rsidRPr="00BE75C6">
        <w:rPr>
          <w:i/>
        </w:rPr>
        <w:t>a separate island of female monks</w:t>
      </w:r>
      <w:r w:rsidRPr="00BE75C6">
        <w:t xml:space="preserve">.  Unfortunately I have been unable to access a copy of the </w:t>
      </w:r>
      <w:r w:rsidRPr="00BE75C6">
        <w:rPr>
          <w:i/>
        </w:rPr>
        <w:t>Topographa</w:t>
      </w:r>
      <w:r w:rsidRPr="00BE75C6">
        <w:t xml:space="preserve"> in time to reference this.</w:t>
      </w:r>
    </w:p>
  </w:footnote>
  <w:footnote w:id="21">
    <w:p w:rsidR="001F51AF" w:rsidRPr="00BE75C6" w:rsidRDefault="001F51AF" w:rsidP="00BE75C6">
      <w:pPr>
        <w:pStyle w:val="Default"/>
        <w:rPr>
          <w:sz w:val="20"/>
          <w:szCs w:val="20"/>
        </w:rPr>
      </w:pPr>
      <w:r w:rsidRPr="00BE75C6">
        <w:rPr>
          <w:rStyle w:val="FootnoteReference"/>
          <w:sz w:val="20"/>
          <w:szCs w:val="20"/>
        </w:rPr>
        <w:footnoteRef/>
      </w:r>
      <w:r w:rsidRPr="00BE75C6">
        <w:rPr>
          <w:rFonts w:asciiTheme="minorHAnsi" w:hAnsiTheme="minorHAnsi"/>
          <w:color w:val="auto"/>
          <w:sz w:val="20"/>
          <w:szCs w:val="20"/>
        </w:rPr>
        <w:t xml:space="preserve">Aldhouse-Green, M., ‘Pagan Celtic Religion and Early Celtic Myth: Connections or Coincidence?’ in Black, R., Gillies, W., &amp; O’Maolaiagh, R., eds, </w:t>
      </w:r>
      <w:r w:rsidRPr="00BE75C6">
        <w:rPr>
          <w:rFonts w:asciiTheme="minorHAnsi" w:hAnsiTheme="minorHAnsi"/>
          <w:i/>
          <w:color w:val="auto"/>
          <w:sz w:val="20"/>
          <w:szCs w:val="20"/>
        </w:rPr>
        <w:t xml:space="preserve">Celtic Connections: Proceedings of the Tenth International Congress of Celtic Studies, </w:t>
      </w:r>
      <w:r w:rsidRPr="00BE75C6">
        <w:rPr>
          <w:rFonts w:asciiTheme="minorHAnsi" w:hAnsiTheme="minorHAnsi"/>
          <w:color w:val="auto"/>
          <w:sz w:val="20"/>
          <w:szCs w:val="20"/>
        </w:rPr>
        <w:t>1, (East Linton: Tuckwell Press, 1999) 82-90, pp.82-3.</w:t>
      </w:r>
      <w:r w:rsidRPr="00BE75C6">
        <w:rPr>
          <w:sz w:val="20"/>
          <w:szCs w:val="20"/>
        </w:rPr>
        <w:t xml:space="preserve"> </w:t>
      </w:r>
    </w:p>
  </w:footnote>
  <w:footnote w:id="22">
    <w:p w:rsidR="001F51AF" w:rsidRPr="00186015" w:rsidRDefault="001F51AF" w:rsidP="00186015">
      <w:pPr>
        <w:spacing w:line="240" w:lineRule="auto"/>
        <w:rPr>
          <w:sz w:val="20"/>
          <w:szCs w:val="20"/>
        </w:rPr>
      </w:pPr>
      <w:r w:rsidRPr="00186015">
        <w:rPr>
          <w:rStyle w:val="FootnoteReference"/>
          <w:sz w:val="20"/>
          <w:szCs w:val="20"/>
        </w:rPr>
        <w:footnoteRef/>
      </w:r>
      <w:r w:rsidRPr="00186015">
        <w:rPr>
          <w:sz w:val="20"/>
          <w:szCs w:val="20"/>
        </w:rPr>
        <w:t xml:space="preserve">  P. McCana, </w:t>
      </w:r>
      <w:r w:rsidRPr="00186015">
        <w:rPr>
          <w:i/>
          <w:sz w:val="20"/>
          <w:szCs w:val="20"/>
        </w:rPr>
        <w:t xml:space="preserve">Mongán Mac Fiachna and Immram Brain </w:t>
      </w:r>
      <w:r w:rsidRPr="00186015">
        <w:rPr>
          <w:sz w:val="20"/>
          <w:szCs w:val="20"/>
          <w:shd w:val="clear" w:color="auto" w:fill="FFFFFF"/>
        </w:rPr>
        <w:t xml:space="preserve"> in </w:t>
      </w:r>
      <w:r w:rsidRPr="00186015">
        <w:rPr>
          <w:rStyle w:val="HTMLCite"/>
          <w:rFonts w:cs="Arial"/>
          <w:sz w:val="20"/>
          <w:szCs w:val="20"/>
        </w:rPr>
        <w:t xml:space="preserve">Ériu </w:t>
      </w:r>
      <w:r w:rsidRPr="00186015">
        <w:rPr>
          <w:rFonts w:cs="Arial"/>
          <w:sz w:val="20"/>
          <w:szCs w:val="20"/>
        </w:rPr>
        <w:t xml:space="preserve">23: (1972) 102-142, p.141; </w:t>
      </w:r>
      <w:r w:rsidRPr="00186015">
        <w:rPr>
          <w:sz w:val="20"/>
          <w:szCs w:val="20"/>
        </w:rPr>
        <w:t>C. G., Yocum,  ‘Wisdom Literature in Early Ireland’ in S</w:t>
      </w:r>
      <w:r w:rsidRPr="00186015">
        <w:rPr>
          <w:rFonts w:cs="BaskervilleBT-Roman"/>
          <w:i/>
          <w:sz w:val="20"/>
          <w:szCs w:val="20"/>
        </w:rPr>
        <w:t>tudia Celtica</w:t>
      </w:r>
      <w:r w:rsidRPr="00186015">
        <w:rPr>
          <w:rFonts w:cs="BaskervilleBT-Roman"/>
          <w:sz w:val="20"/>
          <w:szCs w:val="20"/>
        </w:rPr>
        <w:t xml:space="preserve">, XLVI: (2012), 39–58 [Online: </w:t>
      </w:r>
      <w:hyperlink r:id="rId8" w:history="1">
        <w:r w:rsidRPr="00186015">
          <w:rPr>
            <w:rStyle w:val="Hyperlink"/>
            <w:sz w:val="20"/>
            <w:szCs w:val="20"/>
          </w:rPr>
          <w:t>https://s3.amazonaws.com/academia.edu.documents/37562644/wisdomlit.pdf?AWSAccessKeyId=AKIAIWOWYYGZ2Y53UL3A&amp;Expires=1520294880&amp;Signature=IW3gRmYSm%2F%2Bj4OP4cUKrpo4q6V0%3D&amp;response-content-disposition=inline%3B%20filename%3DWisdom_Literature_in_Early_Ireland.pdf</w:t>
        </w:r>
      </w:hyperlink>
      <w:r w:rsidRPr="00186015">
        <w:rPr>
          <w:sz w:val="20"/>
          <w:szCs w:val="20"/>
        </w:rPr>
        <w:t xml:space="preserve"> ]  </w:t>
      </w:r>
      <w:r w:rsidRPr="00186015">
        <w:rPr>
          <w:rFonts w:cs="BaskervilleBT-Roman"/>
          <w:sz w:val="20"/>
          <w:szCs w:val="20"/>
        </w:rPr>
        <w:t>&lt;Accessed 5 March 2018 &amp; 29 March 2018&gt;</w:t>
      </w:r>
      <w:r w:rsidRPr="00186015">
        <w:rPr>
          <w:sz w:val="20"/>
          <w:szCs w:val="20"/>
        </w:rPr>
        <w:t xml:space="preserve"> [2012:46] “if a motif occurs in numerous places in Irish literature, is unambiguous in its usage and is not capable of derivation from the biblical and classical literatures, then it is most likely Irish in origin.”</w:t>
      </w:r>
    </w:p>
  </w:footnote>
  <w:footnote w:id="23">
    <w:p w:rsidR="001F51AF" w:rsidRPr="00186015" w:rsidRDefault="001F51AF" w:rsidP="00186015">
      <w:pPr>
        <w:shd w:val="clear" w:color="auto" w:fill="FEFDFA"/>
        <w:spacing w:line="240" w:lineRule="auto"/>
        <w:rPr>
          <w:sz w:val="20"/>
          <w:szCs w:val="20"/>
        </w:rPr>
      </w:pPr>
      <w:r w:rsidRPr="00186015">
        <w:rPr>
          <w:rStyle w:val="FootnoteReference"/>
          <w:sz w:val="20"/>
          <w:szCs w:val="20"/>
        </w:rPr>
        <w:footnoteRef/>
      </w:r>
      <w:r w:rsidRPr="00186015">
        <w:rPr>
          <w:sz w:val="20"/>
          <w:szCs w:val="20"/>
        </w:rPr>
        <w:t xml:space="preserve"> Clancey, </w:t>
      </w:r>
      <w:r w:rsidRPr="00186015">
        <w:rPr>
          <w:i/>
          <w:sz w:val="20"/>
          <w:szCs w:val="20"/>
        </w:rPr>
        <w:t>Subversion at Sea</w:t>
      </w:r>
      <w:r w:rsidR="00E568AC">
        <w:rPr>
          <w:sz w:val="20"/>
          <w:szCs w:val="20"/>
        </w:rPr>
        <w:t xml:space="preserve"> p.203. </w:t>
      </w:r>
      <w:r w:rsidRPr="00186015">
        <w:rPr>
          <w:sz w:val="20"/>
          <w:szCs w:val="20"/>
        </w:rPr>
        <w:t xml:space="preserve"> M. Gimbutas,</w:t>
      </w:r>
      <w:r w:rsidRPr="00186015">
        <w:rPr>
          <w:rStyle w:val="exlavailabilitycallnumber"/>
          <w:rFonts w:cs="Arial"/>
          <w:sz w:val="20"/>
          <w:szCs w:val="20"/>
          <w:bdr w:val="none" w:sz="0" w:space="0" w:color="auto" w:frame="1"/>
        </w:rPr>
        <w:t xml:space="preserve"> </w:t>
      </w:r>
      <w:r w:rsidRPr="00186015">
        <w:rPr>
          <w:rStyle w:val="exlavailabilitycallnumber"/>
          <w:rFonts w:cs="Arial"/>
          <w:i/>
          <w:sz w:val="20"/>
          <w:szCs w:val="20"/>
          <w:bdr w:val="none" w:sz="0" w:space="0" w:color="auto" w:frame="1"/>
        </w:rPr>
        <w:t xml:space="preserve">The Goddesses and Gods of Old Europe Myths and Cult images, </w:t>
      </w:r>
      <w:r w:rsidRPr="00186015">
        <w:rPr>
          <w:rStyle w:val="exlavailabilitycallnumber"/>
          <w:rFonts w:cs="Arial"/>
          <w:sz w:val="20"/>
          <w:szCs w:val="20"/>
          <w:bdr w:val="none" w:sz="0" w:space="0" w:color="auto" w:frame="1"/>
        </w:rPr>
        <w:t>2</w:t>
      </w:r>
      <w:r w:rsidRPr="00186015">
        <w:rPr>
          <w:rStyle w:val="exlavailabilitycallnumber"/>
          <w:rFonts w:cs="Arial"/>
          <w:sz w:val="20"/>
          <w:szCs w:val="20"/>
          <w:bdr w:val="none" w:sz="0" w:space="0" w:color="auto" w:frame="1"/>
          <w:vertAlign w:val="superscript"/>
        </w:rPr>
        <w:t>nd</w:t>
      </w:r>
      <w:r w:rsidRPr="00186015">
        <w:rPr>
          <w:rStyle w:val="exlavailabilitycallnumber"/>
          <w:rFonts w:cs="Arial"/>
          <w:sz w:val="20"/>
          <w:szCs w:val="20"/>
          <w:bdr w:val="none" w:sz="0" w:space="0" w:color="auto" w:frame="1"/>
        </w:rPr>
        <w:t xml:space="preserve"> edn, (London: Thames and Hudson, 1996); eadem, </w:t>
      </w:r>
      <w:r w:rsidRPr="00186015">
        <w:rPr>
          <w:rStyle w:val="exlavailabilitycallnumber"/>
          <w:rFonts w:cs="Arial"/>
          <w:i/>
          <w:sz w:val="20"/>
          <w:szCs w:val="20"/>
          <w:bdr w:val="none" w:sz="0" w:space="0" w:color="auto" w:frame="1"/>
        </w:rPr>
        <w:t>The Language of the Goddess</w:t>
      </w:r>
      <w:r w:rsidRPr="00186015">
        <w:rPr>
          <w:rStyle w:val="exlavailabilitycallnumber"/>
          <w:rFonts w:cs="Arial"/>
          <w:sz w:val="20"/>
          <w:szCs w:val="20"/>
          <w:bdr w:val="none" w:sz="0" w:space="0" w:color="auto" w:frame="1"/>
        </w:rPr>
        <w:t xml:space="preserve"> 2</w:t>
      </w:r>
      <w:r w:rsidRPr="00186015">
        <w:rPr>
          <w:rStyle w:val="exlavailabilitycallnumber"/>
          <w:rFonts w:cs="Arial"/>
          <w:sz w:val="20"/>
          <w:szCs w:val="20"/>
          <w:bdr w:val="none" w:sz="0" w:space="0" w:color="auto" w:frame="1"/>
          <w:vertAlign w:val="superscript"/>
        </w:rPr>
        <w:t>nd</w:t>
      </w:r>
      <w:r w:rsidRPr="00186015">
        <w:rPr>
          <w:rStyle w:val="exlavailabilitycallnumber"/>
          <w:rFonts w:cs="Arial"/>
          <w:sz w:val="20"/>
          <w:szCs w:val="20"/>
          <w:bdr w:val="none" w:sz="0" w:space="0" w:color="auto" w:frame="1"/>
        </w:rPr>
        <w:t xml:space="preserve"> edn, (London: Thames and Hudson, 2001)</w:t>
      </w:r>
    </w:p>
  </w:footnote>
  <w:footnote w:id="24">
    <w:p w:rsidR="001F51AF" w:rsidRPr="00977F03" w:rsidRDefault="001F51AF" w:rsidP="00977F03">
      <w:pPr>
        <w:spacing w:line="240" w:lineRule="auto"/>
        <w:rPr>
          <w:rFonts w:cs="Arial"/>
          <w:i/>
          <w:sz w:val="20"/>
          <w:szCs w:val="20"/>
          <w:bdr w:val="none" w:sz="0" w:space="0" w:color="auto" w:frame="1"/>
        </w:rPr>
      </w:pPr>
      <w:r w:rsidRPr="00186015">
        <w:rPr>
          <w:rStyle w:val="FootnoteReference"/>
          <w:sz w:val="20"/>
          <w:szCs w:val="20"/>
        </w:rPr>
        <w:footnoteRef/>
      </w:r>
      <w:r w:rsidRPr="00186015">
        <w:rPr>
          <w:sz w:val="20"/>
          <w:szCs w:val="20"/>
        </w:rPr>
        <w:t xml:space="preserve"> Yocum</w:t>
      </w:r>
      <w:r>
        <w:t xml:space="preserve">, </w:t>
      </w:r>
      <w:r w:rsidRPr="00186015">
        <w:rPr>
          <w:i/>
          <w:sz w:val="20"/>
        </w:rPr>
        <w:t>Wisdom Literature,</w:t>
      </w:r>
      <w:r w:rsidRPr="00186015">
        <w:rPr>
          <w:sz w:val="20"/>
        </w:rPr>
        <w:t xml:space="preserve"> pp. 51-58</w:t>
      </w:r>
      <w:r w:rsidRPr="00186015">
        <w:rPr>
          <w:sz w:val="18"/>
          <w:szCs w:val="20"/>
        </w:rPr>
        <w:t xml:space="preserve"> dis</w:t>
      </w:r>
      <w:r w:rsidRPr="00186015">
        <w:rPr>
          <w:sz w:val="20"/>
          <w:szCs w:val="20"/>
        </w:rPr>
        <w:t>cusses the universal, biblical and Irish threads of wisdom literature and points that where the universal contributed form, and the biblical function and style, the Irish thread was content. Jane Webster , ‘A Dirty Window on the Iron Age? Recent Developments in the Archaeology of Pre-Roman Celtic Religion,</w:t>
      </w:r>
      <w:r w:rsidRPr="00186015">
        <w:rPr>
          <w:i/>
          <w:sz w:val="20"/>
          <w:szCs w:val="20"/>
        </w:rPr>
        <w:t xml:space="preserve">’ </w:t>
      </w:r>
      <w:r w:rsidRPr="00186015">
        <w:rPr>
          <w:sz w:val="20"/>
          <w:szCs w:val="20"/>
        </w:rPr>
        <w:t xml:space="preserve">in </w:t>
      </w:r>
      <w:r w:rsidRPr="00186015">
        <w:rPr>
          <w:rFonts w:cs="Lithos-Regular"/>
          <w:i/>
          <w:sz w:val="20"/>
          <w:szCs w:val="20"/>
        </w:rPr>
        <w:t xml:space="preserve">New Approaches to Celtic Religion and Mythology: </w:t>
      </w:r>
      <w:r w:rsidRPr="00186015">
        <w:rPr>
          <w:rFonts w:cs="Futura-Book"/>
          <w:i/>
          <w:sz w:val="20"/>
          <w:szCs w:val="20"/>
        </w:rPr>
        <w:t>Understanding Celtic Religion Revisiting the Pagan Past.</w:t>
      </w:r>
      <w:r w:rsidRPr="00186015">
        <w:rPr>
          <w:rFonts w:cs="Futura-Book"/>
          <w:sz w:val="20"/>
          <w:szCs w:val="20"/>
        </w:rPr>
        <w:t xml:space="preserve"> Eds, Bergholm, A., and Ritari, K., and (</w:t>
      </w:r>
      <w:r w:rsidRPr="00186015">
        <w:rPr>
          <w:rFonts w:cs="GentiumBasic"/>
          <w:sz w:val="20"/>
          <w:szCs w:val="20"/>
        </w:rPr>
        <w:t xml:space="preserve">Cardiff: University of Wales Press, 2015), available at </w:t>
      </w:r>
      <w:r w:rsidRPr="00186015">
        <w:rPr>
          <w:sz w:val="20"/>
          <w:szCs w:val="20"/>
        </w:rPr>
        <w:t xml:space="preserve"> </w:t>
      </w:r>
      <w:hyperlink r:id="rId9" w:history="1">
        <w:r w:rsidRPr="00186015">
          <w:rPr>
            <w:rStyle w:val="Hyperlink"/>
            <w:rFonts w:cs="GentiumBasic"/>
            <w:sz w:val="20"/>
            <w:szCs w:val="20"/>
          </w:rPr>
          <w:t>https://www-dawsonera-com.ezproxy.uwtsd.ac.uk/readonline/9781783167937</w:t>
        </w:r>
      </w:hyperlink>
      <w:r w:rsidRPr="00186015">
        <w:rPr>
          <w:rFonts w:cs="GentiumBasic"/>
          <w:sz w:val="20"/>
          <w:szCs w:val="20"/>
        </w:rPr>
        <w:t xml:space="preserve">  </w:t>
      </w:r>
      <w:r w:rsidRPr="00186015">
        <w:rPr>
          <w:sz w:val="20"/>
          <w:szCs w:val="20"/>
        </w:rPr>
        <w:t>&lt;Accessed 28 March 2018&gt; p.163,   reminds us that older gods get taken over by the religion of colonizing peoples. K.E. Olsen,</w:t>
      </w:r>
      <w:r w:rsidRPr="00186015">
        <w:rPr>
          <w:rStyle w:val="exlavailabilitycallnumber"/>
          <w:rFonts w:cs="Arial"/>
          <w:sz w:val="20"/>
          <w:szCs w:val="20"/>
          <w:bdr w:val="none" w:sz="0" w:space="0" w:color="auto" w:frame="1"/>
        </w:rPr>
        <w:t xml:space="preserve"> ‘Female Voices from the Otherworld: The Role of Women in the Early Irish Echtrai’ in  Olsen, K.E., &amp; </w:t>
      </w:r>
      <w:r w:rsidRPr="00977F03">
        <w:rPr>
          <w:rStyle w:val="exlavailabilitycallnumber"/>
          <w:rFonts w:cs="Arial"/>
          <w:sz w:val="20"/>
          <w:szCs w:val="20"/>
          <w:bdr w:val="none" w:sz="0" w:space="0" w:color="auto" w:frame="1"/>
        </w:rPr>
        <w:t xml:space="preserve">Veenstra, J. R., eds, </w:t>
      </w:r>
      <w:r w:rsidRPr="00977F03">
        <w:rPr>
          <w:rStyle w:val="exlavailabilitycallnumber"/>
          <w:rFonts w:cs="Arial"/>
          <w:i/>
          <w:sz w:val="20"/>
          <w:szCs w:val="20"/>
          <w:bdr w:val="none" w:sz="0" w:space="0" w:color="auto" w:frame="1"/>
        </w:rPr>
        <w:t>Airy Nothings: Imagining the Otherworld of Faerie from the Middle Ages to the Age of Reason: essays in honour of Alasdair A.McDonald</w:t>
      </w:r>
      <w:r w:rsidRPr="00977F03">
        <w:rPr>
          <w:rStyle w:val="exlavailabilitycallnumber"/>
          <w:rFonts w:cs="Arial"/>
          <w:sz w:val="20"/>
          <w:szCs w:val="20"/>
          <w:bdr w:val="none" w:sz="0" w:space="0" w:color="auto" w:frame="1"/>
        </w:rPr>
        <w:t>, (Leiden; Boston: Brill,2014)</w:t>
      </w:r>
      <w:r w:rsidRPr="00977F03">
        <w:rPr>
          <w:rStyle w:val="exlavailabilitycallnumber"/>
          <w:rFonts w:cs="Arial"/>
          <w:i/>
          <w:sz w:val="20"/>
          <w:szCs w:val="20"/>
          <w:bdr w:val="none" w:sz="0" w:space="0" w:color="auto" w:frame="1"/>
        </w:rPr>
        <w:t>,</w:t>
      </w:r>
      <w:r w:rsidRPr="00977F03">
        <w:rPr>
          <w:rStyle w:val="exlavailabilitycallnumber"/>
          <w:rFonts w:cs="Arial"/>
          <w:sz w:val="20"/>
          <w:szCs w:val="20"/>
          <w:bdr w:val="none" w:sz="0" w:space="0" w:color="auto" w:frame="1"/>
        </w:rPr>
        <w:t xml:space="preserve"> p58</w:t>
      </w:r>
      <w:r w:rsidRPr="00977F03">
        <w:rPr>
          <w:rStyle w:val="exlavailabilitycallnumber"/>
          <w:rFonts w:cs="Arial"/>
          <w:i/>
          <w:sz w:val="20"/>
          <w:szCs w:val="20"/>
          <w:bdr w:val="none" w:sz="0" w:space="0" w:color="auto" w:frame="1"/>
        </w:rPr>
        <w:t xml:space="preserve"> </w:t>
      </w:r>
      <w:r w:rsidRPr="00977F03">
        <w:rPr>
          <w:sz w:val="20"/>
          <w:szCs w:val="20"/>
        </w:rPr>
        <w:t xml:space="preserve">suggests that the sovereignty of the goddess was still intact in the Bran &amp; Connla tales and that the triple goddess in Ireland had the names Érui, Banba and Fodla.  P. </w:t>
      </w:r>
      <w:r w:rsidRPr="00977F03">
        <w:rPr>
          <w:sz w:val="20"/>
          <w:szCs w:val="20"/>
          <w:shd w:val="clear" w:color="auto" w:fill="FFFFFF"/>
        </w:rPr>
        <w:t xml:space="preserve">Mac Cana, ‘The Sinless Otherworld of </w:t>
      </w:r>
      <w:r w:rsidRPr="00977F03">
        <w:rPr>
          <w:i/>
          <w:sz w:val="20"/>
          <w:szCs w:val="20"/>
          <w:shd w:val="clear" w:color="auto" w:fill="FFFFFF"/>
        </w:rPr>
        <w:t>Immram Brain’</w:t>
      </w:r>
      <w:r w:rsidRPr="00977F03">
        <w:rPr>
          <w:sz w:val="20"/>
          <w:szCs w:val="20"/>
          <w:shd w:val="clear" w:color="auto" w:fill="FFFFFF"/>
        </w:rPr>
        <w:t xml:space="preserve"> in </w:t>
      </w:r>
      <w:r w:rsidRPr="00977F03">
        <w:rPr>
          <w:rFonts w:eastAsia="Times New Roman" w:cs="Arial"/>
          <w:i/>
          <w:iCs/>
          <w:sz w:val="20"/>
          <w:szCs w:val="20"/>
          <w:lang w:eastAsia="en-GB"/>
        </w:rPr>
        <w:t xml:space="preserve">Ériu </w:t>
      </w:r>
      <w:r w:rsidRPr="00977F03">
        <w:rPr>
          <w:rFonts w:eastAsia="Times New Roman" w:cs="Arial"/>
          <w:sz w:val="20"/>
          <w:szCs w:val="20"/>
          <w:lang w:eastAsia="en-GB"/>
        </w:rPr>
        <w:t>27: (1976) 95-115</w:t>
      </w:r>
      <w:r w:rsidRPr="00977F03">
        <w:rPr>
          <w:sz w:val="20"/>
          <w:szCs w:val="20"/>
        </w:rPr>
        <w:t xml:space="preserve"> makes several references to the various faces of the Irish goddess ibid., pp. 52-72 and ibid., pp.112-113] talks of different aspects of goddesses connected to Otherworlds in ancient Ireland and India. The Goddess as seductive maiden, goddess as initiator, and goddess of death, is represented in Ireland, I suggest, </w:t>
      </w:r>
      <w:r w:rsidRPr="00186015">
        <w:rPr>
          <w:sz w:val="20"/>
          <w:szCs w:val="20"/>
        </w:rPr>
        <w:t>by the Sheela na gig (stone images of a hag with prominent genitals who both entices in order t</w:t>
      </w:r>
      <w:r w:rsidRPr="00977F03">
        <w:rPr>
          <w:sz w:val="20"/>
          <w:szCs w:val="20"/>
        </w:rPr>
        <w:t>o give birth to the new, as she reminds us of our mortality.) There isn’t space here to explore this hypothesis, but B. Freitag,</w:t>
      </w:r>
      <w:r w:rsidRPr="00977F03">
        <w:t xml:space="preserve"> </w:t>
      </w:r>
      <w:r w:rsidRPr="00977F03">
        <w:rPr>
          <w:i/>
          <w:sz w:val="20"/>
          <w:szCs w:val="20"/>
        </w:rPr>
        <w:t xml:space="preserve">Sheela-Na-Gigs: Unravelling an Enigma </w:t>
      </w:r>
      <w:r w:rsidRPr="00977F03">
        <w:rPr>
          <w:sz w:val="20"/>
          <w:szCs w:val="20"/>
        </w:rPr>
        <w:t xml:space="preserve">(Abingdon: Routledge, 2004); S. Blackie, </w:t>
      </w:r>
      <w:r w:rsidRPr="00977F03">
        <w:rPr>
          <w:sz w:val="20"/>
          <w:szCs w:val="20"/>
          <w:shd w:val="clear" w:color="auto" w:fill="FFFFFF"/>
        </w:rPr>
        <w:t xml:space="preserve"> ‘Celebrating Spring: Spring Equinox and the Cailleach’, [Online] Available: </w:t>
      </w:r>
      <w:hyperlink r:id="rId10" w:history="1">
        <w:r w:rsidRPr="00977F03">
          <w:rPr>
            <w:rStyle w:val="Hyperlink"/>
            <w:sz w:val="20"/>
            <w:szCs w:val="20"/>
            <w:shd w:val="clear" w:color="auto" w:fill="FFFFFF"/>
          </w:rPr>
          <w:t>http://thehedgeschool.org/Blog/celebrating-spring-spring-equinox-and-the-cailleach/</w:t>
        </w:r>
      </w:hyperlink>
      <w:r w:rsidRPr="00977F03">
        <w:rPr>
          <w:sz w:val="20"/>
          <w:szCs w:val="20"/>
          <w:shd w:val="clear" w:color="auto" w:fill="FFFFFF"/>
        </w:rPr>
        <w:t xml:space="preserve"> &lt;Accessed 20 March 2018&gt;; and </w:t>
      </w:r>
      <w:r w:rsidRPr="00977F03">
        <w:rPr>
          <w:sz w:val="20"/>
          <w:szCs w:val="20"/>
        </w:rPr>
        <w:t>a paper in Finnish I have been unable to access in English</w:t>
      </w:r>
      <w:r w:rsidRPr="00977F03">
        <w:rPr>
          <w:color w:val="FF0000"/>
          <w:sz w:val="20"/>
          <w:szCs w:val="20"/>
        </w:rPr>
        <w:t xml:space="preserve"> </w:t>
      </w:r>
      <w:r w:rsidRPr="00977F03">
        <w:rPr>
          <w:sz w:val="20"/>
          <w:szCs w:val="20"/>
        </w:rPr>
        <w:t xml:space="preserve">in Black, R., Gillies, W., &amp; O’Maolaiagh, R., eds, </w:t>
      </w:r>
      <w:r w:rsidRPr="00977F03">
        <w:rPr>
          <w:i/>
          <w:sz w:val="20"/>
          <w:szCs w:val="20"/>
        </w:rPr>
        <w:t xml:space="preserve">Celtic Connections: Proceedings of the Tenth International Congress of Celtic Studies, </w:t>
      </w:r>
      <w:r w:rsidRPr="00977F03">
        <w:rPr>
          <w:sz w:val="20"/>
          <w:szCs w:val="20"/>
        </w:rPr>
        <w:t>1, (East Linton: Tuckwell Press, 1999),are all recent explorations into Sheela. Of particular interest is the proximity of the Irish St Sheela’s day (18</w:t>
      </w:r>
      <w:r w:rsidRPr="00977F03">
        <w:rPr>
          <w:sz w:val="20"/>
          <w:szCs w:val="20"/>
          <w:vertAlign w:val="superscript"/>
        </w:rPr>
        <w:t>th</w:t>
      </w:r>
      <w:r w:rsidRPr="00977F03">
        <w:rPr>
          <w:sz w:val="20"/>
          <w:szCs w:val="20"/>
        </w:rPr>
        <w:t>) to St Patrick’s Day (17</w:t>
      </w:r>
      <w:r w:rsidRPr="00977F03">
        <w:rPr>
          <w:sz w:val="20"/>
          <w:szCs w:val="20"/>
          <w:vertAlign w:val="superscript"/>
        </w:rPr>
        <w:t>th</w:t>
      </w:r>
      <w:r w:rsidRPr="00977F03">
        <w:rPr>
          <w:sz w:val="20"/>
          <w:szCs w:val="20"/>
        </w:rPr>
        <w:t>) and the Spring Equinox (20</w:t>
      </w:r>
      <w:r w:rsidRPr="00977F03">
        <w:rPr>
          <w:sz w:val="20"/>
          <w:szCs w:val="20"/>
          <w:vertAlign w:val="superscript"/>
        </w:rPr>
        <w:t>th</w:t>
      </w:r>
      <w:r w:rsidRPr="00977F03">
        <w:rPr>
          <w:sz w:val="20"/>
          <w:szCs w:val="20"/>
        </w:rPr>
        <w:t>) in Blackie.</w:t>
      </w:r>
    </w:p>
  </w:footnote>
  <w:footnote w:id="25">
    <w:p w:rsidR="001F51AF" w:rsidRDefault="001F51AF">
      <w:pPr>
        <w:pStyle w:val="FootnoteText"/>
      </w:pPr>
      <w:r>
        <w:rPr>
          <w:rStyle w:val="FootnoteReference"/>
        </w:rPr>
        <w:footnoteRef/>
      </w:r>
      <w:r>
        <w:t xml:space="preserve"> As they do in other early Irish </w:t>
      </w:r>
      <w:r w:rsidRPr="00FE2024">
        <w:t xml:space="preserve">manuscripts </w:t>
      </w:r>
      <w:r>
        <w:t xml:space="preserve">such as “The Wooing of Étaín” cycle. O’Cathasaigh, </w:t>
      </w:r>
      <w:r w:rsidRPr="00FD7AAD">
        <w:rPr>
          <w:i/>
        </w:rPr>
        <w:t>Coire Sois</w:t>
      </w:r>
      <w:r>
        <w:t xml:space="preserve">, pp.165-184. </w:t>
      </w:r>
    </w:p>
  </w:footnote>
  <w:footnote w:id="26">
    <w:p w:rsidR="001F51AF" w:rsidRPr="00D510ED" w:rsidRDefault="001F51AF" w:rsidP="00D510ED">
      <w:pPr>
        <w:shd w:val="clear" w:color="auto" w:fill="FEFDFA"/>
        <w:spacing w:line="240" w:lineRule="auto"/>
        <w:rPr>
          <w:sz w:val="20"/>
          <w:szCs w:val="20"/>
        </w:rPr>
      </w:pPr>
      <w:r>
        <w:rPr>
          <w:rStyle w:val="FootnoteReference"/>
        </w:rPr>
        <w:footnoteRef/>
      </w:r>
      <w:r>
        <w:t xml:space="preserve"> </w:t>
      </w:r>
      <w:r w:rsidRPr="00FD7AAD">
        <w:rPr>
          <w:sz w:val="20"/>
          <w:szCs w:val="20"/>
        </w:rPr>
        <w:t>The myth of Oengus was in the lost CDS, along with IB and EC, O’Cathasaigh, ibid., pp.165-172, tells the myth of Oengus mac In Og. K. McCone,</w:t>
      </w:r>
      <w:r w:rsidRPr="00FD7AAD">
        <w:rPr>
          <w:sz w:val="20"/>
          <w:szCs w:val="20"/>
          <w:shd w:val="clear" w:color="auto" w:fill="FFFFFF"/>
        </w:rPr>
        <w:t xml:space="preserve"> </w:t>
      </w:r>
      <w:r w:rsidRPr="00FD7AAD">
        <w:rPr>
          <w:i/>
          <w:sz w:val="20"/>
          <w:szCs w:val="20"/>
          <w:shd w:val="clear" w:color="auto" w:fill="FFFFFF"/>
        </w:rPr>
        <w:t>Pagan Past and Christian Present in Early Irish Literature</w:t>
      </w:r>
      <w:r w:rsidRPr="00FD7AAD">
        <w:rPr>
          <w:sz w:val="20"/>
          <w:szCs w:val="20"/>
          <w:shd w:val="clear" w:color="auto" w:fill="FFFFFF"/>
        </w:rPr>
        <w:t xml:space="preserve">, (Maynooth: Department of Old Irish, National University of Ireland, 2000), p.149 </w:t>
      </w:r>
      <w:r w:rsidRPr="00FD7AAD">
        <w:rPr>
          <w:sz w:val="20"/>
          <w:szCs w:val="20"/>
        </w:rPr>
        <w:t xml:space="preserve">refers to the process of humanising a </w:t>
      </w:r>
      <w:r w:rsidRPr="00D510ED">
        <w:rPr>
          <w:sz w:val="20"/>
          <w:szCs w:val="20"/>
        </w:rPr>
        <w:t xml:space="preserve">deity in relation to this fosterling. </w:t>
      </w:r>
    </w:p>
  </w:footnote>
  <w:footnote w:id="27">
    <w:p w:rsidR="001F51AF" w:rsidRPr="00D510ED" w:rsidRDefault="001F51AF" w:rsidP="00D510ED">
      <w:pPr>
        <w:shd w:val="clear" w:color="auto" w:fill="FFFFFF"/>
        <w:spacing w:line="240" w:lineRule="auto"/>
        <w:ind w:right="150"/>
        <w:textAlignment w:val="top"/>
        <w:rPr>
          <w:sz w:val="20"/>
          <w:szCs w:val="20"/>
        </w:rPr>
      </w:pPr>
      <w:r w:rsidRPr="00D510ED">
        <w:rPr>
          <w:rStyle w:val="FootnoteReference"/>
          <w:sz w:val="20"/>
          <w:szCs w:val="20"/>
        </w:rPr>
        <w:footnoteRef/>
      </w:r>
      <w:r w:rsidRPr="00D510ED">
        <w:rPr>
          <w:sz w:val="20"/>
          <w:szCs w:val="20"/>
        </w:rPr>
        <w:t xml:space="preserve"> P. McCana,</w:t>
      </w:r>
      <w:r w:rsidRPr="00D510ED">
        <w:rPr>
          <w:i/>
          <w:sz w:val="20"/>
          <w:szCs w:val="20"/>
        </w:rPr>
        <w:t xml:space="preserve"> Mongán</w:t>
      </w:r>
      <w:r w:rsidRPr="00D510ED">
        <w:rPr>
          <w:sz w:val="20"/>
          <w:szCs w:val="20"/>
        </w:rPr>
        <w:t xml:space="preserve"> and</w:t>
      </w:r>
      <w:r w:rsidRPr="00D510ED">
        <w:rPr>
          <w:color w:val="FF0000"/>
          <w:sz w:val="20"/>
          <w:szCs w:val="20"/>
        </w:rPr>
        <w:t xml:space="preserve"> </w:t>
      </w:r>
      <w:r w:rsidRPr="00D510ED">
        <w:rPr>
          <w:sz w:val="20"/>
          <w:szCs w:val="20"/>
          <w:shd w:val="clear" w:color="auto" w:fill="FFFFFF"/>
        </w:rPr>
        <w:t xml:space="preserve">idem, ‘The Sinless Otherworld of </w:t>
      </w:r>
      <w:r w:rsidRPr="00D510ED">
        <w:rPr>
          <w:i/>
          <w:sz w:val="20"/>
          <w:szCs w:val="20"/>
          <w:shd w:val="clear" w:color="auto" w:fill="FFFFFF"/>
        </w:rPr>
        <w:t>Immram Brain’</w:t>
      </w:r>
      <w:r w:rsidRPr="00D510ED">
        <w:rPr>
          <w:sz w:val="20"/>
          <w:szCs w:val="20"/>
          <w:shd w:val="clear" w:color="auto" w:fill="FFFFFF"/>
        </w:rPr>
        <w:t xml:space="preserve"> in </w:t>
      </w:r>
      <w:r w:rsidRPr="00D510ED">
        <w:rPr>
          <w:rFonts w:eastAsia="Times New Roman" w:cs="Arial"/>
          <w:i/>
          <w:iCs/>
          <w:sz w:val="20"/>
          <w:szCs w:val="20"/>
          <w:lang w:eastAsia="en-GB"/>
        </w:rPr>
        <w:t xml:space="preserve">Ériu </w:t>
      </w:r>
      <w:r w:rsidRPr="00D510ED">
        <w:rPr>
          <w:rFonts w:eastAsia="Times New Roman" w:cs="Arial"/>
          <w:sz w:val="20"/>
          <w:szCs w:val="20"/>
          <w:lang w:eastAsia="en-GB"/>
        </w:rPr>
        <w:t xml:space="preserve">27: (1976) 95-115. </w:t>
      </w:r>
      <w:r>
        <w:rPr>
          <w:rFonts w:eastAsia="Times New Roman" w:cs="Arial"/>
          <w:sz w:val="20"/>
          <w:szCs w:val="20"/>
          <w:lang w:eastAsia="en-GB"/>
        </w:rPr>
        <w:t xml:space="preserve"> Williams, </w:t>
      </w:r>
      <w:r w:rsidRPr="00FE1C1A">
        <w:rPr>
          <w:rFonts w:eastAsia="Times New Roman" w:cs="Arial"/>
          <w:i/>
          <w:sz w:val="20"/>
          <w:szCs w:val="20"/>
          <w:lang w:eastAsia="en-GB"/>
        </w:rPr>
        <w:t>Ireland’s Immortals,</w:t>
      </w:r>
      <w:r>
        <w:rPr>
          <w:rFonts w:eastAsia="Times New Roman" w:cs="Arial"/>
          <w:sz w:val="20"/>
          <w:szCs w:val="20"/>
          <w:lang w:eastAsia="en-GB"/>
        </w:rPr>
        <w:t xml:space="preserve">p.56. </w:t>
      </w:r>
      <w:r w:rsidRPr="00D510ED">
        <w:rPr>
          <w:rFonts w:eastAsia="Times New Roman" w:cs="Arial"/>
          <w:sz w:val="20"/>
          <w:szCs w:val="20"/>
          <w:lang w:eastAsia="en-GB"/>
        </w:rPr>
        <w:t>R</w:t>
      </w:r>
      <w:r w:rsidRPr="00D510ED">
        <w:rPr>
          <w:sz w:val="20"/>
          <w:szCs w:val="20"/>
        </w:rPr>
        <w:t>eferences to ancient gods &amp; rites incidentally that are found in the bible too in the book of Ezekiel,</w:t>
      </w:r>
      <w:r w:rsidRPr="00D510ED">
        <w:rPr>
          <w:i/>
          <w:sz w:val="20"/>
          <w:szCs w:val="20"/>
        </w:rPr>
        <w:t xml:space="preserve"> The Bible: King James illustrated Holy Bible</w:t>
      </w:r>
      <w:r w:rsidRPr="00D510ED">
        <w:rPr>
          <w:sz w:val="20"/>
          <w:szCs w:val="20"/>
        </w:rPr>
        <w:t xml:space="preserve"> (Cambridge: Cambridge University Press, nd), Old Testament, Book of Ezekiel.  J. Carey, in </w:t>
      </w:r>
      <w:r w:rsidRPr="00D510ED">
        <w:rPr>
          <w:sz w:val="20"/>
          <w:szCs w:val="20"/>
          <w:shd w:val="clear" w:color="auto" w:fill="FFFFFF"/>
        </w:rPr>
        <w:t xml:space="preserve">‘The Old Gods of Ireland in the Later Middle Ages’ </w:t>
      </w:r>
      <w:r w:rsidRPr="00D510ED">
        <w:rPr>
          <w:rFonts w:cs="GillSans"/>
          <w:sz w:val="20"/>
          <w:szCs w:val="20"/>
        </w:rPr>
        <w:t xml:space="preserve">Bridgeman, A., and Ritari, K., eds. </w:t>
      </w:r>
      <w:r w:rsidRPr="00D510ED">
        <w:rPr>
          <w:rFonts w:cs="GillSans"/>
          <w:i/>
          <w:sz w:val="20"/>
          <w:szCs w:val="20"/>
        </w:rPr>
        <w:t>Understanding Celtic Religion: Revisiting the Pagan Past</w:t>
      </w:r>
      <w:r w:rsidRPr="00D510ED">
        <w:rPr>
          <w:rFonts w:cs="GillSans"/>
          <w:sz w:val="20"/>
          <w:szCs w:val="20"/>
        </w:rPr>
        <w:t>, New Approaches to Celtic Religion and Mythology Series, (Cardiff: University of Wales, 2015), p. 42, says</w:t>
      </w:r>
      <w:r w:rsidRPr="00D510ED">
        <w:rPr>
          <w:sz w:val="20"/>
          <w:szCs w:val="20"/>
        </w:rPr>
        <w:t xml:space="preserve"> the Irish never really completely abandoned their gods. </w:t>
      </w:r>
    </w:p>
  </w:footnote>
  <w:footnote w:id="28">
    <w:p w:rsidR="001F51AF" w:rsidRPr="00BB59F3" w:rsidRDefault="001F51AF" w:rsidP="00D510ED">
      <w:pPr>
        <w:pStyle w:val="Default"/>
        <w:rPr>
          <w:rFonts w:asciiTheme="minorHAnsi" w:hAnsiTheme="minorHAnsi"/>
          <w:sz w:val="20"/>
          <w:szCs w:val="20"/>
        </w:rPr>
      </w:pPr>
      <w:r w:rsidRPr="00D510ED">
        <w:rPr>
          <w:rStyle w:val="FootnoteReference"/>
          <w:rFonts w:asciiTheme="minorHAnsi" w:hAnsiTheme="minorHAnsi"/>
          <w:sz w:val="20"/>
          <w:szCs w:val="20"/>
        </w:rPr>
        <w:footnoteRef/>
      </w:r>
      <w:r w:rsidRPr="00D510ED">
        <w:rPr>
          <w:rFonts w:asciiTheme="minorHAnsi" w:hAnsiTheme="minorHAnsi"/>
          <w:sz w:val="20"/>
          <w:szCs w:val="20"/>
        </w:rPr>
        <w:t xml:space="preserve"> Oskamp, </w:t>
      </w:r>
      <w:r w:rsidRPr="00D510ED">
        <w:rPr>
          <w:rFonts w:asciiTheme="minorHAnsi" w:hAnsiTheme="minorHAnsi"/>
          <w:i/>
          <w:sz w:val="20"/>
          <w:szCs w:val="20"/>
        </w:rPr>
        <w:t>The Voyage p.41</w:t>
      </w:r>
      <w:r w:rsidRPr="00D510ED">
        <w:rPr>
          <w:rFonts w:asciiTheme="minorHAnsi" w:hAnsiTheme="minorHAnsi"/>
          <w:sz w:val="20"/>
          <w:szCs w:val="20"/>
        </w:rPr>
        <w:t xml:space="preserve">; O’Mears and Wooding, </w:t>
      </w:r>
      <w:r w:rsidRPr="00D510ED">
        <w:rPr>
          <w:rFonts w:asciiTheme="minorHAnsi" w:hAnsiTheme="minorHAnsi"/>
          <w:i/>
          <w:sz w:val="20"/>
          <w:szCs w:val="20"/>
        </w:rPr>
        <w:t>The Latin Version</w:t>
      </w:r>
      <w:r w:rsidRPr="00D510ED">
        <w:rPr>
          <w:rFonts w:asciiTheme="minorHAnsi" w:hAnsiTheme="minorHAnsi"/>
          <w:sz w:val="20"/>
          <w:szCs w:val="20"/>
        </w:rPr>
        <w:t xml:space="preserve">, p.22. The motifs are also found in </w:t>
      </w:r>
      <w:r w:rsidRPr="00D510ED">
        <w:rPr>
          <w:rFonts w:asciiTheme="minorHAnsi" w:hAnsiTheme="minorHAnsi"/>
          <w:i/>
          <w:sz w:val="20"/>
          <w:szCs w:val="20"/>
        </w:rPr>
        <w:t xml:space="preserve">Echtra Condla </w:t>
      </w:r>
      <w:r w:rsidRPr="00D510ED">
        <w:rPr>
          <w:rFonts w:asciiTheme="minorHAnsi" w:hAnsiTheme="minorHAnsi"/>
          <w:color w:val="auto"/>
          <w:sz w:val="20"/>
          <w:szCs w:val="20"/>
        </w:rPr>
        <w:t xml:space="preserve">and </w:t>
      </w:r>
      <w:r w:rsidRPr="00D510ED">
        <w:rPr>
          <w:rFonts w:asciiTheme="minorHAnsi" w:hAnsiTheme="minorHAnsi"/>
          <w:i/>
          <w:color w:val="auto"/>
          <w:sz w:val="20"/>
          <w:szCs w:val="20"/>
        </w:rPr>
        <w:t>Ui Corra</w:t>
      </w:r>
      <w:r w:rsidRPr="00D510ED">
        <w:rPr>
          <w:rFonts w:asciiTheme="minorHAnsi" w:hAnsiTheme="minorHAnsi"/>
          <w:sz w:val="20"/>
          <w:szCs w:val="20"/>
        </w:rPr>
        <w:t xml:space="preserve">  It has been suggested that the Life of St Ailbe may have been the inspiration for </w:t>
      </w:r>
      <w:r w:rsidRPr="00EA6E92">
        <w:rPr>
          <w:rFonts w:asciiTheme="minorHAnsi" w:hAnsiTheme="minorHAnsi"/>
          <w:sz w:val="20"/>
          <w:szCs w:val="20"/>
        </w:rPr>
        <w:t xml:space="preserve">the sea voyage, magical music and the fruiting branch motifs </w:t>
      </w:r>
      <w:r>
        <w:rPr>
          <w:rFonts w:asciiTheme="minorHAnsi" w:hAnsiTheme="minorHAnsi"/>
          <w:sz w:val="20"/>
          <w:szCs w:val="20"/>
        </w:rPr>
        <w:t xml:space="preserve">Oskamp, </w:t>
      </w:r>
      <w:r w:rsidRPr="00EA6E92">
        <w:rPr>
          <w:rFonts w:asciiTheme="minorHAnsi" w:hAnsiTheme="minorHAnsi"/>
          <w:sz w:val="20"/>
          <w:szCs w:val="20"/>
        </w:rPr>
        <w:t>Ibid., pp</w:t>
      </w:r>
      <w:r>
        <w:rPr>
          <w:rFonts w:asciiTheme="minorHAnsi" w:hAnsiTheme="minorHAnsi"/>
          <w:sz w:val="20"/>
          <w:szCs w:val="20"/>
        </w:rPr>
        <w:t xml:space="preserve">. 37, 70;  and </w:t>
      </w:r>
      <w:r w:rsidRPr="00EA6E92">
        <w:rPr>
          <w:rFonts w:asciiTheme="minorHAnsi" w:hAnsiTheme="minorHAnsi"/>
          <w:sz w:val="20"/>
          <w:szCs w:val="20"/>
        </w:rPr>
        <w:t>Herbert, ‘Literary Sea-Voyages and Early Munster Hagiography ‘i</w:t>
      </w:r>
      <w:r w:rsidRPr="00EA6E92">
        <w:rPr>
          <w:rFonts w:asciiTheme="minorHAnsi" w:hAnsiTheme="minorHAnsi"/>
          <w:color w:val="auto"/>
          <w:sz w:val="20"/>
          <w:szCs w:val="20"/>
        </w:rPr>
        <w:t xml:space="preserve">n Black, R., Gillies, W., and O’Maolaiagh, R., eds, </w:t>
      </w:r>
      <w:r w:rsidRPr="00EA6E92">
        <w:rPr>
          <w:rFonts w:asciiTheme="minorHAnsi" w:hAnsiTheme="minorHAnsi"/>
          <w:i/>
          <w:color w:val="auto"/>
          <w:sz w:val="20"/>
          <w:szCs w:val="20"/>
        </w:rPr>
        <w:t xml:space="preserve">Celtic Connections: Proceedings of the Tenth International Congress of Celtic Studies, </w:t>
      </w:r>
      <w:r w:rsidRPr="00EA6E92">
        <w:rPr>
          <w:rFonts w:asciiTheme="minorHAnsi" w:hAnsiTheme="minorHAnsi"/>
          <w:color w:val="auto"/>
          <w:sz w:val="20"/>
          <w:szCs w:val="20"/>
        </w:rPr>
        <w:t xml:space="preserve">1, (East Linton: Tuckwell Press, 1999) 182-189, pp. 183-4. </w:t>
      </w:r>
      <w:r w:rsidRPr="00EA6E92">
        <w:rPr>
          <w:rFonts w:asciiTheme="minorHAnsi" w:hAnsiTheme="minorHAnsi"/>
          <w:sz w:val="20"/>
          <w:szCs w:val="20"/>
        </w:rPr>
        <w:t xml:space="preserve">Carey, </w:t>
      </w:r>
      <w:r w:rsidRPr="00EA6E92">
        <w:rPr>
          <w:rFonts w:asciiTheme="minorHAnsi" w:hAnsiTheme="minorHAnsi"/>
          <w:i/>
          <w:sz w:val="20"/>
          <w:szCs w:val="20"/>
        </w:rPr>
        <w:t>Subversion at Sea</w:t>
      </w:r>
      <w:r>
        <w:rPr>
          <w:rFonts w:asciiTheme="minorHAnsi" w:hAnsiTheme="minorHAnsi"/>
          <w:i/>
          <w:sz w:val="20"/>
          <w:szCs w:val="20"/>
        </w:rPr>
        <w:t>,</w:t>
      </w:r>
      <w:r w:rsidRPr="00EA6E92">
        <w:rPr>
          <w:rFonts w:asciiTheme="minorHAnsi" w:hAnsiTheme="minorHAnsi"/>
          <w:sz w:val="20"/>
          <w:szCs w:val="20"/>
        </w:rPr>
        <w:t xml:space="preserve"> p.119</w:t>
      </w:r>
      <w:r>
        <w:rPr>
          <w:rFonts w:asciiTheme="minorHAnsi" w:hAnsiTheme="minorHAnsi"/>
          <w:sz w:val="20"/>
          <w:szCs w:val="20"/>
        </w:rPr>
        <w:t>,</w:t>
      </w:r>
      <w:r w:rsidRPr="00EA6E92">
        <w:rPr>
          <w:rFonts w:asciiTheme="minorHAnsi" w:hAnsiTheme="minorHAnsi"/>
          <w:sz w:val="20"/>
          <w:szCs w:val="20"/>
        </w:rPr>
        <w:t xml:space="preserve"> states quite categorically that the overseas Otherworld is not an ancient motif but came out of the Ulster Literary movement.  </w:t>
      </w:r>
    </w:p>
  </w:footnote>
  <w:footnote w:id="29">
    <w:p w:rsidR="001F51AF" w:rsidRPr="00FD7AAD" w:rsidRDefault="001F51AF" w:rsidP="00FD7AAD">
      <w:pPr>
        <w:rPr>
          <w:sz w:val="20"/>
          <w:szCs w:val="20"/>
        </w:rPr>
      </w:pPr>
      <w:r w:rsidRPr="00BB59F3">
        <w:rPr>
          <w:rStyle w:val="FootnoteReference"/>
          <w:sz w:val="20"/>
          <w:szCs w:val="20"/>
        </w:rPr>
        <w:footnoteRef/>
      </w:r>
      <w:r w:rsidRPr="00BB59F3">
        <w:rPr>
          <w:sz w:val="20"/>
          <w:szCs w:val="20"/>
        </w:rPr>
        <w:t xml:space="preserve"> I use the term ‘Celtic’ specifically, here, to refer to Irish and Welsh native tales, e.g. the E</w:t>
      </w:r>
      <w:r w:rsidRPr="00BB59F3">
        <w:rPr>
          <w:i/>
          <w:sz w:val="20"/>
          <w:szCs w:val="20"/>
        </w:rPr>
        <w:t>chtrae</w:t>
      </w:r>
      <w:r w:rsidRPr="00BB59F3">
        <w:rPr>
          <w:sz w:val="20"/>
          <w:szCs w:val="20"/>
        </w:rPr>
        <w:t xml:space="preserve">, the other secular </w:t>
      </w:r>
      <w:r w:rsidRPr="00BB59F3">
        <w:rPr>
          <w:i/>
          <w:sz w:val="20"/>
          <w:szCs w:val="20"/>
        </w:rPr>
        <w:t>immrama</w:t>
      </w:r>
      <w:r w:rsidRPr="00BB59F3">
        <w:rPr>
          <w:sz w:val="20"/>
          <w:szCs w:val="20"/>
        </w:rPr>
        <w:t xml:space="preserve">, and the other major tale types of the early Irish tradition, listed in O’Cathasaigh, </w:t>
      </w:r>
      <w:r w:rsidRPr="00BB59F3">
        <w:rPr>
          <w:i/>
          <w:sz w:val="20"/>
          <w:szCs w:val="20"/>
        </w:rPr>
        <w:t>Coire Soir</w:t>
      </w:r>
      <w:r w:rsidRPr="00BB59F3">
        <w:rPr>
          <w:sz w:val="20"/>
          <w:szCs w:val="20"/>
        </w:rPr>
        <w:t xml:space="preserve"> , p.175, and the Welsh tales from the Mabinogion, and of Taliesin. It is no longer straightforward to refer to the Celts as a homogeneous culture; M. Williams, </w:t>
      </w:r>
      <w:r w:rsidRPr="00BB59F3">
        <w:rPr>
          <w:i/>
          <w:sz w:val="20"/>
          <w:szCs w:val="20"/>
        </w:rPr>
        <w:t>Ireland’s Immortal: a history of the gods of Irish Myth</w:t>
      </w:r>
      <w:r w:rsidRPr="00BB59F3">
        <w:rPr>
          <w:sz w:val="20"/>
          <w:szCs w:val="20"/>
        </w:rPr>
        <w:t xml:space="preserve"> (Oxford: Princeton University Press, 2016), p.17; and J.M. Wooding ‘Tyrannies of Distance? Medieval sources as evidence for indigenous Celtic and Romano-Celtic religion’ in Haeussler, R., &amp; King, A., eds, </w:t>
      </w:r>
      <w:r w:rsidRPr="00BB59F3">
        <w:rPr>
          <w:i/>
          <w:sz w:val="20"/>
          <w:szCs w:val="20"/>
        </w:rPr>
        <w:t>Celtic Religions in the Roman Period</w:t>
      </w:r>
      <w:r w:rsidRPr="00BB59F3">
        <w:rPr>
          <w:sz w:val="20"/>
          <w:szCs w:val="20"/>
        </w:rPr>
        <w:t>, (Aberystwyth: Celtic Studies Publications XX, 2017) 57-70; alert us to the inherent dangers of referring to ‘Celtic’ as though it were a given, understandable term amongst all scholars.  I refer particularly to</w:t>
      </w:r>
      <w:r>
        <w:rPr>
          <w:sz w:val="20"/>
          <w:szCs w:val="20"/>
        </w:rPr>
        <w:t xml:space="preserve"> W.</w:t>
      </w:r>
      <w:r w:rsidRPr="00BB59F3">
        <w:rPr>
          <w:sz w:val="20"/>
          <w:szCs w:val="20"/>
        </w:rPr>
        <w:t xml:space="preserve"> Stoke’s translation where it is translated as ‘rod’, Stokes,</w:t>
      </w:r>
      <w:r w:rsidRPr="00BB59F3">
        <w:rPr>
          <w:bCs/>
          <w:i/>
          <w:sz w:val="20"/>
          <w:szCs w:val="20"/>
        </w:rPr>
        <w:t xml:space="preserve">The Voyage of Máel Dúin’s Boat, </w:t>
      </w:r>
      <w:r w:rsidRPr="00BB59F3">
        <w:rPr>
          <w:bCs/>
          <w:sz w:val="20"/>
          <w:szCs w:val="20"/>
        </w:rPr>
        <w:t xml:space="preserve">trans. Whitely Stokes, </w:t>
      </w:r>
      <w:r w:rsidRPr="00BB59F3">
        <w:rPr>
          <w:bCs/>
          <w:i/>
          <w:sz w:val="20"/>
          <w:szCs w:val="20"/>
        </w:rPr>
        <w:t xml:space="preserve">Revue Celtique  </w:t>
      </w:r>
      <w:r w:rsidRPr="00BB59F3">
        <w:rPr>
          <w:bCs/>
          <w:sz w:val="20"/>
          <w:szCs w:val="20"/>
        </w:rPr>
        <w:t>9: (1888), pp447-495; 10: (1889), pp50-95, 264</w:t>
      </w:r>
      <w:r>
        <w:rPr>
          <w:bCs/>
          <w:sz w:val="20"/>
          <w:szCs w:val="20"/>
        </w:rPr>
        <w:t xml:space="preserve">, v.7., </w:t>
      </w:r>
      <w:r w:rsidRPr="00BB59F3">
        <w:rPr>
          <w:sz w:val="20"/>
          <w:szCs w:val="20"/>
        </w:rPr>
        <w:t xml:space="preserve"> which evokes druidic imagery,</w:t>
      </w:r>
      <w:r w:rsidRPr="00BB59F3">
        <w:rPr>
          <w:color w:val="FF0000"/>
          <w:sz w:val="20"/>
          <w:szCs w:val="20"/>
        </w:rPr>
        <w:t xml:space="preserve"> </w:t>
      </w:r>
      <w:r w:rsidRPr="00BB59F3">
        <w:rPr>
          <w:sz w:val="20"/>
          <w:szCs w:val="20"/>
        </w:rPr>
        <w:t>but not necessarily Manannan’s silvery branch or the flowering branch the Otherworld woman gives Brain and Condla</w:t>
      </w:r>
      <w:r w:rsidRPr="00BB59F3">
        <w:rPr>
          <w:color w:val="FF0000"/>
          <w:sz w:val="20"/>
          <w:szCs w:val="20"/>
        </w:rPr>
        <w:t>.</w:t>
      </w:r>
      <w:r w:rsidRPr="00BB59F3">
        <w:rPr>
          <w:sz w:val="20"/>
          <w:szCs w:val="20"/>
        </w:rPr>
        <w:t xml:space="preserve"> In Oskamp</w:t>
      </w:r>
      <w:r>
        <w:rPr>
          <w:sz w:val="20"/>
          <w:szCs w:val="20"/>
        </w:rPr>
        <w:t xml:space="preserve">, </w:t>
      </w:r>
      <w:r w:rsidRPr="00BB59F3">
        <w:rPr>
          <w:i/>
          <w:sz w:val="20"/>
          <w:szCs w:val="20"/>
        </w:rPr>
        <w:t>The Voyage</w:t>
      </w:r>
      <w:r>
        <w:rPr>
          <w:i/>
          <w:sz w:val="20"/>
          <w:szCs w:val="20"/>
        </w:rPr>
        <w:t>, p.117:7</w:t>
      </w:r>
      <w:r w:rsidRPr="00BB59F3">
        <w:rPr>
          <w:sz w:val="20"/>
          <w:szCs w:val="20"/>
        </w:rPr>
        <w:t xml:space="preserve"> th</w:t>
      </w:r>
      <w:r>
        <w:rPr>
          <w:sz w:val="20"/>
          <w:szCs w:val="20"/>
        </w:rPr>
        <w:t>e translation is a branch</w:t>
      </w:r>
      <w:r w:rsidRPr="00BB59F3">
        <w:rPr>
          <w:sz w:val="20"/>
          <w:szCs w:val="20"/>
        </w:rPr>
        <w:t xml:space="preserve">. Were it not for the life giving apples motif, which might send a reader off to explore the myth of the garden of Eden, or Paris and the contest of the golden apple and many other classical and universal stories such as Snow White, the reader might miss the </w:t>
      </w:r>
      <w:r w:rsidRPr="00FD7AAD">
        <w:rPr>
          <w:sz w:val="20"/>
          <w:szCs w:val="20"/>
        </w:rPr>
        <w:t>reference altogether. The everlasting apple motif is found too in the tale of Condla.</w:t>
      </w:r>
      <w:r w:rsidRPr="00FD7AAD">
        <w:rPr>
          <w:rFonts w:cs="Times New Roman"/>
          <w:sz w:val="20"/>
          <w:szCs w:val="20"/>
        </w:rPr>
        <w:t xml:space="preserve"> Duignan, L., T</w:t>
      </w:r>
      <w:r w:rsidRPr="00FD7AAD">
        <w:rPr>
          <w:rFonts w:cs="Georgia"/>
          <w:sz w:val="20"/>
          <w:szCs w:val="20"/>
        </w:rPr>
        <w:t xml:space="preserve">he </w:t>
      </w:r>
      <w:r w:rsidRPr="00FD7AAD">
        <w:rPr>
          <w:rFonts w:cs="Times New Roman"/>
          <w:bCs/>
          <w:iCs/>
          <w:sz w:val="20"/>
          <w:szCs w:val="20"/>
        </w:rPr>
        <w:t xml:space="preserve">Echtrae </w:t>
      </w:r>
      <w:r w:rsidRPr="00FD7AAD">
        <w:rPr>
          <w:rFonts w:cs="Georgia"/>
          <w:sz w:val="20"/>
          <w:szCs w:val="20"/>
        </w:rPr>
        <w:t>as an Early Irish Literary Genre, (unpublished PhD,</w:t>
      </w:r>
      <w:r w:rsidRPr="00FD7AAD">
        <w:rPr>
          <w:rFonts w:cs="Times New Roman"/>
          <w:sz w:val="20"/>
          <w:szCs w:val="20"/>
        </w:rPr>
        <w:t xml:space="preserve"> The National University of Ireland, Maynooth, 2010), p. 173; C.</w:t>
      </w:r>
      <w:r w:rsidRPr="00FD7AAD">
        <w:rPr>
          <w:sz w:val="20"/>
          <w:szCs w:val="20"/>
        </w:rPr>
        <w:t xml:space="preserve"> McGrath,</w:t>
      </w:r>
      <w:r w:rsidRPr="00FD7AAD">
        <w:rPr>
          <w:rFonts w:cs="GillSansMT"/>
          <w:sz w:val="20"/>
          <w:szCs w:val="20"/>
        </w:rPr>
        <w:t xml:space="preserve"> ‘The Apple in Early Irish Narrative Tradition: A Thoroughly Christian Symbol?’ In </w:t>
      </w:r>
      <w:r w:rsidRPr="00FD7AAD">
        <w:rPr>
          <w:rFonts w:cs="GillSansMT"/>
          <w:i/>
          <w:sz w:val="20"/>
          <w:szCs w:val="20"/>
        </w:rPr>
        <w:t>Studia Celtica Fennica</w:t>
      </w:r>
      <w:r w:rsidRPr="00FD7AAD">
        <w:rPr>
          <w:rFonts w:cs="GillSansMT"/>
          <w:sz w:val="20"/>
          <w:szCs w:val="20"/>
        </w:rPr>
        <w:t xml:space="preserve"> VII: (2010), 18-25 [Online: </w:t>
      </w:r>
      <w:hyperlink r:id="rId11" w:history="1">
        <w:r w:rsidRPr="00FD7AAD">
          <w:rPr>
            <w:rStyle w:val="Hyperlink"/>
            <w:sz w:val="20"/>
            <w:szCs w:val="20"/>
          </w:rPr>
          <w:t>http://www.sfks.org/SC_VI_2009_24112010.pdf</w:t>
        </w:r>
      </w:hyperlink>
      <w:r w:rsidRPr="00FD7AAD">
        <w:rPr>
          <w:sz w:val="20"/>
          <w:szCs w:val="20"/>
        </w:rPr>
        <w:t xml:space="preserve"> ] &lt;Accessed 5 and 29 March 2018&gt;provides a study of the apple motif in Irish narrative.</w:t>
      </w:r>
    </w:p>
  </w:footnote>
  <w:footnote w:id="30">
    <w:p w:rsidR="001F51AF" w:rsidRPr="00943951" w:rsidRDefault="001F51AF">
      <w:pPr>
        <w:pStyle w:val="FootnoteText"/>
      </w:pPr>
      <w:r w:rsidRPr="00943951">
        <w:rPr>
          <w:rStyle w:val="FootnoteReference"/>
        </w:rPr>
        <w:footnoteRef/>
      </w:r>
      <w:r w:rsidRPr="00943951">
        <w:t xml:space="preserve"> W. Stokes,</w:t>
      </w:r>
      <w:r w:rsidRPr="00943951">
        <w:rPr>
          <w:bCs/>
          <w:i/>
        </w:rPr>
        <w:t xml:space="preserve"> Máel Dúin’s Boat</w:t>
      </w:r>
      <w:r w:rsidR="00431AD9">
        <w:t xml:space="preserve"> p. </w:t>
      </w:r>
      <w:r w:rsidRPr="00943951">
        <w:t>451:v7</w:t>
      </w:r>
    </w:p>
  </w:footnote>
  <w:footnote w:id="31">
    <w:p w:rsidR="001F51AF" w:rsidRPr="00943951" w:rsidRDefault="001F51AF" w:rsidP="00823DD2">
      <w:pPr>
        <w:pStyle w:val="FootnoteText"/>
      </w:pPr>
      <w:r w:rsidRPr="00943951">
        <w:rPr>
          <w:rStyle w:val="FootnoteReference"/>
        </w:rPr>
        <w:footnoteRef/>
      </w:r>
      <w:r w:rsidRPr="00943951">
        <w:t xml:space="preserve"> as in IB and EC, McCana, </w:t>
      </w:r>
      <w:r w:rsidRPr="00943951">
        <w:rPr>
          <w:i/>
        </w:rPr>
        <w:t>The Sinless World</w:t>
      </w:r>
      <w:r w:rsidRPr="00943951">
        <w:t xml:space="preserve">; Dumville, </w:t>
      </w:r>
      <w:r w:rsidRPr="00943951">
        <w:rPr>
          <w:i/>
        </w:rPr>
        <w:t>Echtrae</w:t>
      </w:r>
      <w:r w:rsidRPr="00943951">
        <w:t xml:space="preserve"> p. 82.</w:t>
      </w:r>
    </w:p>
  </w:footnote>
  <w:footnote w:id="32">
    <w:p w:rsidR="001F51AF" w:rsidRPr="00943951" w:rsidRDefault="001F51AF" w:rsidP="00943951">
      <w:pPr>
        <w:pStyle w:val="FootnoteText"/>
      </w:pPr>
      <w:r w:rsidRPr="00943951">
        <w:rPr>
          <w:rStyle w:val="FootnoteReference"/>
        </w:rPr>
        <w:footnoteRef/>
      </w:r>
      <w:r w:rsidRPr="00943951">
        <w:t xml:space="preserve"> Also in verse 20, Stokes, ibid. It might also be that the scribe is copying text from a source who did not understand the original relationship between the Otherworld motifs, confusing early Otherworld land of women tales, such as is remembered in stories of Avalons with 9 priestesses, with extant stories of islands of nuns (see fn 23 above), and classical tales of pagan women who detained heroes, perhaps because they sought mates at certain times.</w:t>
      </w:r>
    </w:p>
  </w:footnote>
  <w:footnote w:id="33">
    <w:p w:rsidR="001F51AF" w:rsidRPr="00943951" w:rsidRDefault="001F51AF" w:rsidP="00943951">
      <w:pPr>
        <w:spacing w:line="240" w:lineRule="auto"/>
        <w:rPr>
          <w:sz w:val="20"/>
          <w:szCs w:val="20"/>
        </w:rPr>
      </w:pPr>
      <w:r w:rsidRPr="00943951">
        <w:rPr>
          <w:rStyle w:val="FootnoteReference"/>
          <w:sz w:val="20"/>
          <w:szCs w:val="20"/>
        </w:rPr>
        <w:footnoteRef/>
      </w:r>
      <w:r w:rsidRPr="00943951">
        <w:rPr>
          <w:sz w:val="20"/>
          <w:szCs w:val="20"/>
        </w:rPr>
        <w:t xml:space="preserve">  </w:t>
      </w:r>
      <w:r w:rsidRPr="00943951">
        <w:rPr>
          <w:i/>
          <w:sz w:val="20"/>
          <w:szCs w:val="20"/>
        </w:rPr>
        <w:t xml:space="preserve">Immram Brain </w:t>
      </w:r>
      <w:r w:rsidRPr="00943951">
        <w:rPr>
          <w:sz w:val="20"/>
          <w:szCs w:val="20"/>
        </w:rPr>
        <w:t xml:space="preserve">and </w:t>
      </w:r>
      <w:r w:rsidRPr="00943951">
        <w:rPr>
          <w:i/>
          <w:sz w:val="20"/>
          <w:szCs w:val="20"/>
        </w:rPr>
        <w:t>Echtra Connla</w:t>
      </w:r>
      <w:r w:rsidRPr="00943951">
        <w:rPr>
          <w:sz w:val="20"/>
          <w:szCs w:val="20"/>
        </w:rPr>
        <w:t xml:space="preserve"> are tales supposed to have be</w:t>
      </w:r>
      <w:r>
        <w:rPr>
          <w:sz w:val="20"/>
          <w:szCs w:val="20"/>
        </w:rPr>
        <w:t>en in the lost early manuscript,</w:t>
      </w:r>
      <w:r w:rsidRPr="00943951">
        <w:rPr>
          <w:sz w:val="20"/>
          <w:szCs w:val="20"/>
        </w:rPr>
        <w:t xml:space="preserve"> CDS, which also contained stories such as </w:t>
      </w:r>
      <w:r w:rsidRPr="00943951">
        <w:rPr>
          <w:i/>
          <w:sz w:val="20"/>
          <w:szCs w:val="20"/>
        </w:rPr>
        <w:t>Compert con Cullain</w:t>
      </w:r>
      <w:r w:rsidRPr="00943951">
        <w:rPr>
          <w:sz w:val="20"/>
          <w:szCs w:val="20"/>
        </w:rPr>
        <w:t xml:space="preserve">. </w:t>
      </w:r>
      <w:r>
        <w:rPr>
          <w:sz w:val="20"/>
          <w:szCs w:val="20"/>
        </w:rPr>
        <w:t xml:space="preserve">(see </w:t>
      </w:r>
      <w:r w:rsidR="00816764" w:rsidRPr="00816764">
        <w:rPr>
          <w:sz w:val="20"/>
          <w:szCs w:val="20"/>
        </w:rPr>
        <w:t>fn 26</w:t>
      </w:r>
      <w:r>
        <w:rPr>
          <w:sz w:val="20"/>
          <w:szCs w:val="20"/>
        </w:rPr>
        <w:t xml:space="preserve"> above).</w:t>
      </w:r>
      <w:r w:rsidRPr="00943951">
        <w:rPr>
          <w:sz w:val="20"/>
          <w:szCs w:val="20"/>
        </w:rPr>
        <w:t xml:space="preserve"> It must be noted that Carney, </w:t>
      </w:r>
      <w:r w:rsidRPr="00943951">
        <w:rPr>
          <w:i/>
          <w:sz w:val="20"/>
          <w:szCs w:val="20"/>
        </w:rPr>
        <w:t>Review</w:t>
      </w:r>
      <w:r w:rsidRPr="00943951">
        <w:rPr>
          <w:sz w:val="20"/>
          <w:szCs w:val="20"/>
        </w:rPr>
        <w:t xml:space="preserve"> p.89 considers IB &amp; EC to be thoroughly Christian tales.</w:t>
      </w:r>
    </w:p>
  </w:footnote>
  <w:footnote w:id="34">
    <w:p w:rsidR="001F51AF" w:rsidRPr="00657E28" w:rsidRDefault="001F51AF" w:rsidP="00657E28">
      <w:pPr>
        <w:autoSpaceDE w:val="0"/>
        <w:autoSpaceDN w:val="0"/>
        <w:adjustRightInd w:val="0"/>
        <w:spacing w:after="0" w:line="240" w:lineRule="auto"/>
        <w:rPr>
          <w:sz w:val="20"/>
          <w:szCs w:val="20"/>
        </w:rPr>
      </w:pPr>
      <w:r w:rsidRPr="00657E28">
        <w:rPr>
          <w:rStyle w:val="FootnoteReference"/>
          <w:sz w:val="20"/>
          <w:szCs w:val="20"/>
        </w:rPr>
        <w:footnoteRef/>
      </w:r>
      <w:r w:rsidRPr="00657E28">
        <w:rPr>
          <w:sz w:val="20"/>
          <w:szCs w:val="20"/>
        </w:rPr>
        <w:t xml:space="preserve"> L. Thomson,</w:t>
      </w:r>
      <w:r>
        <w:rPr>
          <w:sz w:val="20"/>
          <w:szCs w:val="20"/>
        </w:rPr>
        <w:t xml:space="preserve"> </w:t>
      </w:r>
      <w:r w:rsidRPr="00657E28">
        <w:rPr>
          <w:rFonts w:cs="Arial"/>
          <w:color w:val="000000"/>
          <w:sz w:val="20"/>
          <w:szCs w:val="20"/>
        </w:rPr>
        <w:t xml:space="preserve">The </w:t>
      </w:r>
      <w:r w:rsidRPr="00657E28">
        <w:rPr>
          <w:rFonts w:cs="Arial"/>
          <w:i/>
          <w:iCs/>
          <w:color w:val="000000"/>
          <w:sz w:val="20"/>
          <w:szCs w:val="20"/>
        </w:rPr>
        <w:t xml:space="preserve">Mari Lwyd </w:t>
      </w:r>
      <w:r w:rsidRPr="00657E28">
        <w:rPr>
          <w:rFonts w:cs="Arial"/>
          <w:color w:val="000000"/>
          <w:sz w:val="20"/>
          <w:szCs w:val="20"/>
        </w:rPr>
        <w:t xml:space="preserve">and the Horse Queen: Palimpsests of Ancient ideas, (unpublished MA thesis, the University of Wales Trinity Saint David, 2012), p.25 </w:t>
      </w:r>
      <w:r w:rsidRPr="00657E28">
        <w:rPr>
          <w:sz w:val="20"/>
          <w:szCs w:val="20"/>
        </w:rPr>
        <w:t xml:space="preserve">shares an image of early rock art depicting a figure holding a plant in a horse ritual, where the horse represents sovereignty and the king ritually mates with it before it is sacrificed in order to grant him right to reign. Ibid:63 The held plant represented land or fertility. See </w:t>
      </w:r>
      <w:r w:rsidRPr="00657E28">
        <w:rPr>
          <w:i/>
          <w:sz w:val="20"/>
          <w:szCs w:val="20"/>
        </w:rPr>
        <w:t>3.3 fn 51</w:t>
      </w:r>
      <w:r w:rsidRPr="00657E28">
        <w:rPr>
          <w:sz w:val="20"/>
          <w:szCs w:val="20"/>
        </w:rPr>
        <w:t xml:space="preserve"> for the connection of horses with birds. J. </w:t>
      </w:r>
      <w:r w:rsidRPr="00657E28">
        <w:rPr>
          <w:rFonts w:cs="GentiumBasic-Italic"/>
          <w:iCs/>
          <w:sz w:val="20"/>
          <w:szCs w:val="20"/>
        </w:rPr>
        <w:t>Borsje, ‘</w:t>
      </w:r>
      <w:r w:rsidRPr="00657E28">
        <w:rPr>
          <w:rFonts w:cs="SerlioLH"/>
          <w:sz w:val="20"/>
          <w:szCs w:val="20"/>
        </w:rPr>
        <w:t xml:space="preserve">Celtic Spells and Counterspells’ in </w:t>
      </w:r>
      <w:r w:rsidRPr="00657E28">
        <w:rPr>
          <w:rFonts w:cs="Futura-Book"/>
          <w:sz w:val="20"/>
          <w:szCs w:val="20"/>
        </w:rPr>
        <w:t xml:space="preserve">Bergholm, A., and Ritari, K., eds, </w:t>
      </w:r>
      <w:r w:rsidRPr="00657E28">
        <w:rPr>
          <w:rFonts w:cs="Lithos-Regular"/>
          <w:i/>
          <w:sz w:val="20"/>
          <w:szCs w:val="20"/>
        </w:rPr>
        <w:t xml:space="preserve">New Approaches to Celtic Religion and Mythology: </w:t>
      </w:r>
      <w:r w:rsidRPr="00657E28">
        <w:rPr>
          <w:rFonts w:cs="Futura-Book"/>
          <w:i/>
          <w:sz w:val="20"/>
          <w:szCs w:val="20"/>
        </w:rPr>
        <w:t>Understanding Celtic Religion Revisiting the Pagan Past</w:t>
      </w:r>
      <w:r w:rsidRPr="00657E28">
        <w:rPr>
          <w:rFonts w:cs="Futura-Book"/>
          <w:sz w:val="20"/>
          <w:szCs w:val="20"/>
        </w:rPr>
        <w:t>, (</w:t>
      </w:r>
      <w:r w:rsidRPr="00657E28">
        <w:rPr>
          <w:rFonts w:cs="GentiumBasic"/>
          <w:sz w:val="20"/>
          <w:szCs w:val="20"/>
        </w:rPr>
        <w:t xml:space="preserve">Cardiff: University of Wales Press, 2015), available at </w:t>
      </w:r>
      <w:hyperlink r:id="rId12" w:history="1">
        <w:r w:rsidRPr="00092458">
          <w:rPr>
            <w:rStyle w:val="Hyperlink"/>
            <w:rFonts w:cs="GentiumBasic"/>
            <w:sz w:val="20"/>
            <w:szCs w:val="20"/>
          </w:rPr>
          <w:t>https://www.academia.edu/19783791/Celtic_Spells_and_Counterspells</w:t>
        </w:r>
      </w:hyperlink>
      <w:r w:rsidRPr="00657E28">
        <w:rPr>
          <w:rFonts w:cs="GentiumBasic"/>
          <w:sz w:val="20"/>
          <w:szCs w:val="20"/>
        </w:rPr>
        <w:t xml:space="preserve">  </w:t>
      </w:r>
      <w:r w:rsidRPr="00791D35">
        <w:rPr>
          <w:rFonts w:cs="GentiumBasic"/>
          <w:sz w:val="18"/>
          <w:szCs w:val="20"/>
        </w:rPr>
        <w:t xml:space="preserve"> &lt;Accessed 3 October 2017&gt;, </w:t>
      </w:r>
      <w:r w:rsidRPr="00657E28">
        <w:rPr>
          <w:rFonts w:cs="GentiumBasic"/>
          <w:sz w:val="20"/>
          <w:szCs w:val="20"/>
        </w:rPr>
        <w:t xml:space="preserve">pp. </w:t>
      </w:r>
      <w:r w:rsidRPr="00F113D8">
        <w:rPr>
          <w:rFonts w:cs="GentiumBasic"/>
          <w:sz w:val="16"/>
          <w:szCs w:val="20"/>
        </w:rPr>
        <w:t>27,68</w:t>
      </w:r>
      <w:r w:rsidRPr="00657E28">
        <w:rPr>
          <w:rFonts w:cs="GentiumBasic"/>
          <w:sz w:val="20"/>
          <w:szCs w:val="20"/>
        </w:rPr>
        <w:t xml:space="preserve">, </w:t>
      </w:r>
      <w:r w:rsidRPr="00657E28">
        <w:rPr>
          <w:sz w:val="20"/>
          <w:szCs w:val="20"/>
        </w:rPr>
        <w:t xml:space="preserve">refers to Pictish druidic customs including “marrying the land” by sleeping with its queen, for example, with Rhiannon. Webster, </w:t>
      </w:r>
      <w:r w:rsidRPr="00657E28">
        <w:rPr>
          <w:i/>
          <w:sz w:val="20"/>
          <w:szCs w:val="20"/>
        </w:rPr>
        <w:t>A Dirty Window</w:t>
      </w:r>
      <w:r w:rsidRPr="00657E28">
        <w:rPr>
          <w:sz w:val="20"/>
          <w:szCs w:val="20"/>
        </w:rPr>
        <w:t xml:space="preserve">, pp. 164-167, discusses Epona the horse goddess and includes an image from the Pillar of Nantes of the god Esus holding a flowering branch. Both Esus and Epona are ambiguous, she says, in that it is not clear whether they are Romano-Celtic or, in the case of Epona “something else entirely”. Remnants of a mother goddess cult may still have been extant in the medieval period in Gloucestershire. Ibid., pp.169-70. McCone, </w:t>
      </w:r>
      <w:r w:rsidRPr="00657E28">
        <w:rPr>
          <w:i/>
          <w:sz w:val="20"/>
          <w:szCs w:val="20"/>
        </w:rPr>
        <w:t>Pagan Past</w:t>
      </w:r>
      <w:r w:rsidRPr="00657E28">
        <w:rPr>
          <w:sz w:val="20"/>
          <w:szCs w:val="20"/>
        </w:rPr>
        <w:t xml:space="preserve"> , p.148 admits pagan roots to references in the Irish literature to goddesses and sovereignty, but not that there are neat correspondences between them and pre-Christian deities. </w:t>
      </w:r>
    </w:p>
  </w:footnote>
  <w:footnote w:id="35">
    <w:p w:rsidR="00E568AC" w:rsidRDefault="00E568AC" w:rsidP="00E568AC">
      <w:pPr>
        <w:pStyle w:val="FootnoteText"/>
      </w:pPr>
      <w:r>
        <w:rPr>
          <w:rStyle w:val="FootnoteReference"/>
        </w:rPr>
        <w:footnoteRef/>
      </w:r>
      <w:r>
        <w:t xml:space="preserve"> Only the concluding hermit of Tory island narrative is longer. Dumville, </w:t>
      </w:r>
      <w:r w:rsidRPr="00154292">
        <w:rPr>
          <w:i/>
        </w:rPr>
        <w:t>Echtrae</w:t>
      </w:r>
      <w:r>
        <w:t xml:space="preserve"> p. 86, suggests there could be evidence that the story of Bran and the island of women is a very old theme.</w:t>
      </w:r>
    </w:p>
  </w:footnote>
  <w:footnote w:id="36">
    <w:p w:rsidR="00E568AC" w:rsidRPr="00CD793B" w:rsidRDefault="00E568AC" w:rsidP="00E568AC">
      <w:pPr>
        <w:pStyle w:val="FootnoteText"/>
        <w:rPr>
          <w:szCs w:val="22"/>
        </w:rPr>
      </w:pPr>
      <w:r>
        <w:rPr>
          <w:rStyle w:val="FootnoteReference"/>
        </w:rPr>
        <w:footnoteRef/>
      </w:r>
      <w:r>
        <w:t xml:space="preserve"> </w:t>
      </w:r>
      <w:r w:rsidRPr="00CD793B">
        <w:rPr>
          <w:szCs w:val="22"/>
        </w:rPr>
        <w:t>Stokes</w:t>
      </w:r>
      <w:r w:rsidRPr="004D0AB5">
        <w:rPr>
          <w:bCs/>
          <w:i/>
        </w:rPr>
        <w:t xml:space="preserve"> </w:t>
      </w:r>
      <w:r w:rsidRPr="00943951">
        <w:rPr>
          <w:bCs/>
          <w:i/>
        </w:rPr>
        <w:t>Máel Dúin’s Boat</w:t>
      </w:r>
      <w:r>
        <w:rPr>
          <w:bCs/>
          <w:i/>
        </w:rPr>
        <w:t xml:space="preserve"> </w:t>
      </w:r>
      <w:r w:rsidRPr="00CD793B">
        <w:rPr>
          <w:szCs w:val="22"/>
        </w:rPr>
        <w:t xml:space="preserve"> v </w:t>
      </w:r>
      <w:r>
        <w:rPr>
          <w:szCs w:val="22"/>
        </w:rPr>
        <w:t xml:space="preserve">17 and </w:t>
      </w:r>
      <w:r w:rsidRPr="00CD793B">
        <w:rPr>
          <w:szCs w:val="22"/>
        </w:rPr>
        <w:t>28</w:t>
      </w:r>
      <w:r>
        <w:rPr>
          <w:szCs w:val="22"/>
        </w:rPr>
        <w:t xml:space="preserve">; </w:t>
      </w:r>
      <w:r w:rsidRPr="00CD793B">
        <w:rPr>
          <w:szCs w:val="22"/>
        </w:rPr>
        <w:t>Oskamp</w:t>
      </w:r>
      <w:r>
        <w:rPr>
          <w:szCs w:val="22"/>
        </w:rPr>
        <w:t xml:space="preserve">, </w:t>
      </w:r>
      <w:r w:rsidRPr="004D0AB5">
        <w:rPr>
          <w:i/>
          <w:szCs w:val="22"/>
        </w:rPr>
        <w:t>The Voyage</w:t>
      </w:r>
      <w:r w:rsidRPr="00CD793B">
        <w:rPr>
          <w:szCs w:val="22"/>
        </w:rPr>
        <w:t xml:space="preserve"> </w:t>
      </w:r>
      <w:r>
        <w:rPr>
          <w:szCs w:val="22"/>
        </w:rPr>
        <w:t>, p.</w:t>
      </w:r>
      <w:r w:rsidRPr="00CD793B">
        <w:rPr>
          <w:szCs w:val="22"/>
        </w:rPr>
        <w:t>133 v17</w:t>
      </w:r>
      <w:r>
        <w:rPr>
          <w:szCs w:val="22"/>
        </w:rPr>
        <w:t>, p.1</w:t>
      </w:r>
      <w:r w:rsidRPr="00CD793B">
        <w:rPr>
          <w:szCs w:val="22"/>
        </w:rPr>
        <w:t>55 v28.</w:t>
      </w:r>
      <w:r>
        <w:rPr>
          <w:szCs w:val="22"/>
        </w:rPr>
        <w:t xml:space="preserve"> </w:t>
      </w:r>
      <w:r>
        <w:t xml:space="preserve">References to 9 months may point to an origin to the land of women myth. The gestation period could point to a period of initiation in the otherworld, the birth of a child, or simply be a textual clue that this is a mother goddess cult being referred to. </w:t>
      </w:r>
      <w:r>
        <w:rPr>
          <w:szCs w:val="22"/>
        </w:rPr>
        <w:t>Time references in MD are quite specific, including the length of the voyage, the only</w:t>
      </w:r>
      <w:r w:rsidRPr="00E426C9">
        <w:rPr>
          <w:i/>
          <w:szCs w:val="22"/>
        </w:rPr>
        <w:t xml:space="preserve"> immrama</w:t>
      </w:r>
      <w:r>
        <w:rPr>
          <w:szCs w:val="22"/>
        </w:rPr>
        <w:t xml:space="preserve"> to include this, suggesting to Oskamp, </w:t>
      </w:r>
      <w:r w:rsidRPr="004D0AB5">
        <w:rPr>
          <w:i/>
          <w:szCs w:val="22"/>
        </w:rPr>
        <w:t>The Voyage</w:t>
      </w:r>
      <w:r>
        <w:rPr>
          <w:i/>
          <w:szCs w:val="22"/>
        </w:rPr>
        <w:t>,</w:t>
      </w:r>
      <w:r>
        <w:rPr>
          <w:szCs w:val="22"/>
        </w:rPr>
        <w:t xml:space="preserve"> p.59, lost significance in the numbers.</w:t>
      </w:r>
      <w:r w:rsidRPr="00E568AC">
        <w:t xml:space="preserve"> </w:t>
      </w:r>
      <w:r>
        <w:t xml:space="preserve">This motif is paralleled in </w:t>
      </w:r>
      <w:r w:rsidRPr="00F431DA">
        <w:rPr>
          <w:i/>
        </w:rPr>
        <w:t>Immram Bran</w:t>
      </w:r>
      <w:r>
        <w:rPr>
          <w:i/>
        </w:rPr>
        <w:t>,</w:t>
      </w:r>
      <w:r>
        <w:t xml:space="preserve"> as well as in classical literature: </w:t>
      </w:r>
      <w:r w:rsidRPr="005E274F">
        <w:t>Dido in the Aeneid and Circe in the Odyssey</w:t>
      </w:r>
      <w:r>
        <w:t>, O’Meara,</w:t>
      </w:r>
      <w:r w:rsidRPr="00154292">
        <w:rPr>
          <w:i/>
        </w:rPr>
        <w:t xml:space="preserve"> Saint Brendan</w:t>
      </w:r>
      <w:r>
        <w:t xml:space="preserve"> p.</w:t>
      </w:r>
      <w:r w:rsidRPr="005E274F">
        <w:t>xi</w:t>
      </w:r>
    </w:p>
  </w:footnote>
  <w:footnote w:id="37">
    <w:p w:rsidR="001F51AF" w:rsidRPr="004D0AB5" w:rsidRDefault="001F51AF" w:rsidP="004D0AB5">
      <w:pPr>
        <w:pStyle w:val="FootnoteText"/>
      </w:pPr>
      <w:r>
        <w:rPr>
          <w:rStyle w:val="FootnoteReference"/>
        </w:rPr>
        <w:footnoteRef/>
      </w:r>
      <w:r>
        <w:t xml:space="preserve"> McCana, </w:t>
      </w:r>
      <w:r w:rsidRPr="004D0AB5">
        <w:rPr>
          <w:i/>
        </w:rPr>
        <w:t>The Sinless World</w:t>
      </w:r>
      <w:r>
        <w:t xml:space="preserve">, pp.111-112, discusses the antiquity of the Land of Women motif, its connection to the fairy in Ireland, the goddess Rhiannon in Wales, and the Island of Sena, which housed 9 priestesses, told </w:t>
      </w:r>
      <w:r w:rsidRPr="004D0AB5">
        <w:t xml:space="preserve">of in Mela. Dumville, </w:t>
      </w:r>
      <w:r w:rsidRPr="004D0AB5">
        <w:rPr>
          <w:i/>
        </w:rPr>
        <w:t>Echtrae</w:t>
      </w:r>
      <w:r w:rsidRPr="004D0AB5">
        <w:t xml:space="preserve">, p.81 refers to a reference in EC to a </w:t>
      </w:r>
      <w:r w:rsidRPr="004D0AB5">
        <w:rPr>
          <w:i/>
        </w:rPr>
        <w:t>Síd</w:t>
      </w:r>
      <w:r w:rsidRPr="004D0AB5">
        <w:t xml:space="preserve"> (Otherworldy) woman who comes from the land of the living ones.</w:t>
      </w:r>
    </w:p>
  </w:footnote>
  <w:footnote w:id="38">
    <w:p w:rsidR="001F51AF" w:rsidRPr="004D0AB5" w:rsidRDefault="001F51AF" w:rsidP="004D0AB5">
      <w:pPr>
        <w:shd w:val="clear" w:color="auto" w:fill="FFFFFF"/>
        <w:spacing w:line="240" w:lineRule="auto"/>
        <w:ind w:right="150"/>
        <w:textAlignment w:val="top"/>
        <w:rPr>
          <w:sz w:val="20"/>
          <w:szCs w:val="20"/>
        </w:rPr>
      </w:pPr>
      <w:r w:rsidRPr="004D0AB5">
        <w:rPr>
          <w:rStyle w:val="FootnoteReference"/>
          <w:sz w:val="20"/>
          <w:szCs w:val="20"/>
        </w:rPr>
        <w:footnoteRef/>
      </w:r>
      <w:r w:rsidRPr="004D0AB5">
        <w:rPr>
          <w:sz w:val="20"/>
          <w:szCs w:val="20"/>
        </w:rPr>
        <w:t xml:space="preserve"> The motif of the sinless maiden, Stokes, </w:t>
      </w:r>
      <w:r w:rsidRPr="004D0AB5">
        <w:rPr>
          <w:bCs/>
          <w:i/>
          <w:sz w:val="20"/>
          <w:szCs w:val="20"/>
        </w:rPr>
        <w:t>Máel Dúin’s Boat</w:t>
      </w:r>
      <w:r w:rsidRPr="004D0AB5">
        <w:rPr>
          <w:sz w:val="20"/>
          <w:szCs w:val="20"/>
        </w:rPr>
        <w:t xml:space="preserve"> v.16 &amp; 17, is intriguing. In the tale she seems very much to represent the Christian values the author wants his readers to adopt, yet it is in this passage that the sleep inducing music appears, she wears silver and gold suggestive of her otherworldliness, Ross, </w:t>
      </w:r>
      <w:r w:rsidRPr="004D0AB5">
        <w:rPr>
          <w:rFonts w:cs="Times"/>
          <w:bCs/>
          <w:spacing w:val="3"/>
          <w:sz w:val="20"/>
          <w:szCs w:val="20"/>
        </w:rPr>
        <w:t xml:space="preserve">Ross, A. </w:t>
      </w:r>
      <w:r w:rsidRPr="004D0AB5">
        <w:rPr>
          <w:rFonts w:cs="Times"/>
          <w:bCs/>
          <w:i/>
          <w:spacing w:val="3"/>
          <w:sz w:val="20"/>
          <w:szCs w:val="20"/>
        </w:rPr>
        <w:t xml:space="preserve">Pagan Celtic Britain </w:t>
      </w:r>
      <w:r w:rsidRPr="004D0AB5">
        <w:rPr>
          <w:rFonts w:cs="Times"/>
          <w:bCs/>
          <w:spacing w:val="3"/>
          <w:sz w:val="20"/>
          <w:szCs w:val="20"/>
        </w:rPr>
        <w:t>2</w:t>
      </w:r>
      <w:r w:rsidRPr="004D0AB5">
        <w:rPr>
          <w:rFonts w:cs="Times"/>
          <w:bCs/>
          <w:spacing w:val="3"/>
          <w:sz w:val="20"/>
          <w:szCs w:val="20"/>
          <w:vertAlign w:val="superscript"/>
        </w:rPr>
        <w:t>nd</w:t>
      </w:r>
      <w:r w:rsidRPr="004D0AB5">
        <w:rPr>
          <w:rFonts w:cs="Times"/>
          <w:bCs/>
          <w:spacing w:val="3"/>
          <w:sz w:val="20"/>
          <w:szCs w:val="20"/>
        </w:rPr>
        <w:t xml:space="preserve"> edn, (Chicago: Academy Chicago Publishers, 1996), p.</w:t>
      </w:r>
      <w:r w:rsidRPr="004D0AB5">
        <w:rPr>
          <w:sz w:val="20"/>
          <w:szCs w:val="20"/>
        </w:rPr>
        <w:t xml:space="preserve">305, exhibits prophetic powers, and her island quite simply vanishes as if it never was. </w:t>
      </w:r>
    </w:p>
  </w:footnote>
  <w:footnote w:id="39">
    <w:p w:rsidR="001F51AF" w:rsidRDefault="001F51AF" w:rsidP="004D0AB5">
      <w:pPr>
        <w:pStyle w:val="FootnoteText"/>
      </w:pPr>
      <w:r w:rsidRPr="004D0AB5">
        <w:rPr>
          <w:rStyle w:val="FootnoteReference"/>
        </w:rPr>
        <w:footnoteRef/>
      </w:r>
      <w:r w:rsidRPr="004D0AB5">
        <w:t xml:space="preserve"> A state of affairs which could be said to be still relevant; compare Carney’s thoroughly Christian take on the </w:t>
      </w:r>
      <w:r w:rsidRPr="004D0AB5">
        <w:rPr>
          <w:i/>
        </w:rPr>
        <w:t>immrama</w:t>
      </w:r>
      <w:r>
        <w:rPr>
          <w:i/>
        </w:rPr>
        <w:t xml:space="preserve">, Review </w:t>
      </w:r>
      <w:r w:rsidRPr="004D0AB5">
        <w:t>(1955)</w:t>
      </w:r>
      <w:r>
        <w:t>,</w:t>
      </w:r>
      <w:r w:rsidRPr="004D0AB5">
        <w:t xml:space="preserve"> with M</w:t>
      </w:r>
      <w:r>
        <w:t>a</w:t>
      </w:r>
      <w:r w:rsidRPr="004D0AB5">
        <w:t>c</w:t>
      </w:r>
      <w:r>
        <w:t xml:space="preserve"> </w:t>
      </w:r>
      <w:r w:rsidRPr="004D0AB5">
        <w:t>Cana on the notion of sinless sex</w:t>
      </w:r>
      <w:r>
        <w:t xml:space="preserve">, </w:t>
      </w:r>
      <w:r w:rsidRPr="004D0AB5">
        <w:rPr>
          <w:i/>
        </w:rPr>
        <w:t>The Sinless Otherworld</w:t>
      </w:r>
      <w:r>
        <w:t>,</w:t>
      </w:r>
      <w:r w:rsidRPr="004D0AB5">
        <w:t xml:space="preserve"> (1976)</w:t>
      </w:r>
      <w:r>
        <w:t>,</w:t>
      </w:r>
      <w:r w:rsidRPr="004D0AB5">
        <w:t xml:space="preserve"> in Olsen</w:t>
      </w:r>
      <w:r>
        <w:t xml:space="preserve">, </w:t>
      </w:r>
      <w:r w:rsidRPr="004D0AB5">
        <w:rPr>
          <w:i/>
        </w:rPr>
        <w:t>Female Voices</w:t>
      </w:r>
      <w:r>
        <w:t>, p.</w:t>
      </w:r>
      <w:r w:rsidRPr="004D0AB5">
        <w:t>60. Johnston</w:t>
      </w:r>
      <w:r>
        <w:t xml:space="preserve">, </w:t>
      </w:r>
      <w:r w:rsidRPr="004D0AB5">
        <w:rPr>
          <w:i/>
        </w:rPr>
        <w:t>A Sailor on the Seas of Faith</w:t>
      </w:r>
      <w:r w:rsidRPr="004D0AB5">
        <w:t xml:space="preserve">, p.4, </w:t>
      </w:r>
      <w:r>
        <w:t>believes the contrast of virginity and sexuality in MD was a deliberate device within the “opposing categories” part of the story’s framework.</w:t>
      </w:r>
    </w:p>
  </w:footnote>
  <w:footnote w:id="40">
    <w:p w:rsidR="001F51AF" w:rsidRDefault="001F51AF">
      <w:pPr>
        <w:pStyle w:val="FootnoteText"/>
      </w:pPr>
      <w:r>
        <w:rPr>
          <w:rStyle w:val="FootnoteReference"/>
        </w:rPr>
        <w:footnoteRef/>
      </w:r>
      <w:r>
        <w:rPr>
          <w:color w:val="FF0000"/>
        </w:rPr>
        <w:t xml:space="preserve"> </w:t>
      </w:r>
      <w:r w:rsidRPr="008102AE">
        <w:t>For example</w:t>
      </w:r>
      <w:r>
        <w:t>;</w:t>
      </w:r>
      <w:r w:rsidRPr="008102AE">
        <w:t xml:space="preserve"> </w:t>
      </w:r>
      <w:r w:rsidRPr="00957FC4">
        <w:t>McCana</w:t>
      </w:r>
      <w:r>
        <w:t xml:space="preserve">, </w:t>
      </w:r>
      <w:r w:rsidRPr="008102AE">
        <w:rPr>
          <w:i/>
        </w:rPr>
        <w:t>The Sinless Otherworld</w:t>
      </w:r>
      <w:r>
        <w:t>, p.112.</w:t>
      </w:r>
    </w:p>
  </w:footnote>
  <w:footnote w:id="41">
    <w:p w:rsidR="001F51AF" w:rsidRDefault="001F51AF" w:rsidP="0092377A">
      <w:pPr>
        <w:pStyle w:val="FootnoteText"/>
      </w:pPr>
      <w:r>
        <w:rPr>
          <w:rStyle w:val="FootnoteReference"/>
        </w:rPr>
        <w:footnoteRef/>
      </w:r>
      <w:r>
        <w:t xml:space="preserve"> In Aldhouse-Green,</w:t>
      </w:r>
      <w:r w:rsidRPr="00742B8C">
        <w:rPr>
          <w:i/>
        </w:rPr>
        <w:t xml:space="preserve"> Pagan Celtic Religion</w:t>
      </w:r>
      <w:r>
        <w:t xml:space="preserve">; </w:t>
      </w:r>
      <w:r w:rsidRPr="00742B8C">
        <w:t xml:space="preserve">Webster, </w:t>
      </w:r>
      <w:r w:rsidRPr="00742B8C">
        <w:rPr>
          <w:i/>
        </w:rPr>
        <w:t>A Dirty Window</w:t>
      </w:r>
      <w:r w:rsidRPr="00742B8C">
        <w:t xml:space="preserve">; </w:t>
      </w:r>
      <w:r>
        <w:t xml:space="preserve">Olsen, Female Voices, p.67; </w:t>
      </w:r>
      <w:r w:rsidRPr="00282C9F">
        <w:t xml:space="preserve">O’Cathasaigh, </w:t>
      </w:r>
      <w:r w:rsidRPr="00282C9F">
        <w:rPr>
          <w:i/>
        </w:rPr>
        <w:t xml:space="preserve">Coire Sois; </w:t>
      </w:r>
      <w:r w:rsidRPr="00282C9F">
        <w:t xml:space="preserve">and McCone, </w:t>
      </w:r>
      <w:r w:rsidRPr="00282C9F">
        <w:rPr>
          <w:i/>
        </w:rPr>
        <w:t>Pagan Past</w:t>
      </w:r>
      <w:r w:rsidRPr="00282C9F">
        <w:t>, p.110.</w:t>
      </w:r>
    </w:p>
  </w:footnote>
  <w:footnote w:id="42">
    <w:p w:rsidR="001F51AF" w:rsidRDefault="001F51AF">
      <w:pPr>
        <w:pStyle w:val="FootnoteText"/>
      </w:pPr>
      <w:r>
        <w:rPr>
          <w:rStyle w:val="FootnoteReference"/>
        </w:rPr>
        <w:footnoteRef/>
      </w:r>
      <w:r>
        <w:t xml:space="preserve"> </w:t>
      </w:r>
      <w:r w:rsidRPr="00282C9F">
        <w:t>McCone, ibid.,</w:t>
      </w:r>
      <w:r>
        <w:t xml:space="preserve"> p.110.</w:t>
      </w:r>
    </w:p>
  </w:footnote>
  <w:footnote w:id="43">
    <w:p w:rsidR="00E568AC" w:rsidRPr="00E568AC" w:rsidRDefault="00E568AC" w:rsidP="00E568AC">
      <w:pPr>
        <w:spacing w:line="240" w:lineRule="auto"/>
        <w:rPr>
          <w:sz w:val="20"/>
          <w:szCs w:val="20"/>
        </w:rPr>
      </w:pPr>
      <w:r w:rsidRPr="00E755E4">
        <w:rPr>
          <w:rStyle w:val="FootnoteReference"/>
          <w:sz w:val="20"/>
          <w:szCs w:val="20"/>
        </w:rPr>
        <w:footnoteRef/>
      </w:r>
      <w:r w:rsidRPr="00E755E4">
        <w:rPr>
          <w:sz w:val="20"/>
          <w:szCs w:val="20"/>
        </w:rPr>
        <w:t xml:space="preserve"> The fact that the crew of the coracle stayed and slept with the women might explain this omission in the religious version of the tale. In contrast, in IB there is a clear wistful reference to sinless sex, K. Meyers, </w:t>
      </w:r>
      <w:r w:rsidRPr="00E755E4">
        <w:rPr>
          <w:bCs/>
          <w:i/>
          <w:sz w:val="20"/>
          <w:szCs w:val="20"/>
        </w:rPr>
        <w:t xml:space="preserve">The Voyage of Bran Son of Febal to the Land of the Living, </w:t>
      </w:r>
      <w:r w:rsidRPr="00E755E4">
        <w:rPr>
          <w:bCs/>
          <w:sz w:val="20"/>
          <w:szCs w:val="20"/>
        </w:rPr>
        <w:t>ed. trans.</w:t>
      </w:r>
      <w:r w:rsidRPr="00E568AC">
        <w:rPr>
          <w:bCs/>
          <w:sz w:val="20"/>
          <w:szCs w:val="20"/>
        </w:rPr>
        <w:t xml:space="preserve"> Meyer, Kuno, (London: David Nutt, 1895), </w:t>
      </w:r>
      <w:r w:rsidRPr="00E568AC">
        <w:rPr>
          <w:sz w:val="20"/>
          <w:szCs w:val="20"/>
        </w:rPr>
        <w:t xml:space="preserve">v. </w:t>
      </w:r>
      <w:r w:rsidRPr="00E568AC">
        <w:rPr>
          <w:sz w:val="16"/>
          <w:szCs w:val="20"/>
        </w:rPr>
        <w:t>41</w:t>
      </w:r>
      <w:r w:rsidRPr="00E568AC">
        <w:rPr>
          <w:sz w:val="20"/>
          <w:szCs w:val="20"/>
        </w:rPr>
        <w:t xml:space="preserve">. The female motif is retained in NB only in the helpful bird in the revisited paradise of white birds, O’Meara, </w:t>
      </w:r>
      <w:r w:rsidRPr="00E568AC">
        <w:rPr>
          <w:i/>
          <w:sz w:val="20"/>
          <w:szCs w:val="20"/>
        </w:rPr>
        <w:t>Saint Brendan</w:t>
      </w:r>
      <w:r w:rsidRPr="00E568AC">
        <w:rPr>
          <w:sz w:val="20"/>
          <w:szCs w:val="20"/>
        </w:rPr>
        <w:t>, v11, p.19, and Brendan’s men are put to sleep by soporific well water, O’Meara, ibid., p.32 v.13. The connection between women and birds is a universal Pre-Christian theme, for example, the Greek Harpies, bird women who stole the food of sailors, and the Sirens whose beautiful singing lured sailors onto the rocks.</w:t>
      </w:r>
    </w:p>
  </w:footnote>
  <w:footnote w:id="44">
    <w:p w:rsidR="001F51AF" w:rsidRPr="00DF11E6" w:rsidRDefault="001F51AF" w:rsidP="002555CA">
      <w:pPr>
        <w:pStyle w:val="FootnoteText"/>
      </w:pPr>
      <w:r>
        <w:rPr>
          <w:rStyle w:val="FootnoteReference"/>
        </w:rPr>
        <w:footnoteRef/>
      </w:r>
      <w:r>
        <w:t xml:space="preserve"> </w:t>
      </w:r>
      <w:r w:rsidRPr="008001B0">
        <w:t>Swans have often been perceived as birds of death</w:t>
      </w:r>
      <w:r w:rsidRPr="00683D62">
        <w:t>. Flocks of Whooper swans fly to Newgrange every winter (see fn 54 below)</w:t>
      </w:r>
      <w:r>
        <w:t xml:space="preserve">. </w:t>
      </w:r>
      <w:r w:rsidRPr="00683D62">
        <w:t>In the Life of Colum Chille we learn</w:t>
      </w:r>
      <w:r>
        <w:t xml:space="preserve"> that bird song was used as divination, as was the humming of bees, sneezing, tree branches and women; each represented an omen for journeys.</w:t>
      </w:r>
      <w:r w:rsidRPr="00DC2DD6">
        <w:t xml:space="preserve"> </w:t>
      </w:r>
      <w:r>
        <w:t xml:space="preserve">Borsje, </w:t>
      </w:r>
      <w:r w:rsidRPr="008001B0">
        <w:rPr>
          <w:i/>
        </w:rPr>
        <w:t>Celtic Spells</w:t>
      </w:r>
      <w:r>
        <w:t xml:space="preserve">, pp. 22-3. Stokes, </w:t>
      </w:r>
      <w:r w:rsidRPr="00943951">
        <w:rPr>
          <w:bCs/>
          <w:i/>
        </w:rPr>
        <w:t>Máel Dúin’s Boat</w:t>
      </w:r>
      <w:r w:rsidRPr="008001B0">
        <w:rPr>
          <w:bCs/>
          <w:i/>
          <w:color w:val="FF0000"/>
        </w:rPr>
        <w:t xml:space="preserve"> </w:t>
      </w:r>
      <w:r>
        <w:t xml:space="preserve">v.3; </w:t>
      </w:r>
      <w:r w:rsidRPr="00E755E4">
        <w:t xml:space="preserve">the ones </w:t>
      </w:r>
      <w:r>
        <w:t>who provide food, for example;</w:t>
      </w:r>
      <w:r w:rsidRPr="00E755E4">
        <w:t xml:space="preserve"> </w:t>
      </w:r>
      <w:r>
        <w:t>ibid., v.</w:t>
      </w:r>
      <w:r w:rsidRPr="00E755E4">
        <w:t>30: the episode of the bird that was renewed in 3 days by b</w:t>
      </w:r>
      <w:r>
        <w:t xml:space="preserve">eing pecked clean by two others, ibid., </w:t>
      </w:r>
      <w:r w:rsidRPr="00E755E4">
        <w:t>Stokes v 30</w:t>
      </w:r>
      <w:r>
        <w:t xml:space="preserve">; </w:t>
      </w:r>
      <w:r w:rsidRPr="00E755E4">
        <w:t xml:space="preserve"> Oskam</w:t>
      </w:r>
      <w:r w:rsidRPr="008001B0">
        <w:t>p</w:t>
      </w:r>
      <w:r w:rsidRPr="008001B0">
        <w:rPr>
          <w:i/>
          <w:szCs w:val="22"/>
        </w:rPr>
        <w:t xml:space="preserve"> The Voyage</w:t>
      </w:r>
      <w:r w:rsidRPr="008001B0">
        <w:rPr>
          <w:szCs w:val="22"/>
        </w:rPr>
        <w:t>, pp.</w:t>
      </w:r>
      <w:r w:rsidRPr="008001B0">
        <w:t>1</w:t>
      </w:r>
      <w:r w:rsidRPr="00E755E4">
        <w:t xml:space="preserve">63:30. The regenerating bird motif has </w:t>
      </w:r>
      <w:r>
        <w:t xml:space="preserve">parallels in classical and biblical myth and is a universal theme, found, </w:t>
      </w:r>
      <w:r w:rsidRPr="006600AD">
        <w:rPr>
          <w:sz w:val="18"/>
          <w:szCs w:val="18"/>
        </w:rPr>
        <w:t>for example</w:t>
      </w:r>
      <w:r>
        <w:rPr>
          <w:sz w:val="18"/>
          <w:szCs w:val="18"/>
        </w:rPr>
        <w:t>, in</w:t>
      </w:r>
      <w:r w:rsidRPr="006600AD">
        <w:rPr>
          <w:sz w:val="18"/>
          <w:szCs w:val="18"/>
        </w:rPr>
        <w:t xml:space="preserve"> the Anglo Saxon poem </w:t>
      </w:r>
      <w:r w:rsidRPr="006600AD">
        <w:rPr>
          <w:i/>
          <w:sz w:val="18"/>
          <w:szCs w:val="18"/>
        </w:rPr>
        <w:t>The Phoenix</w:t>
      </w:r>
      <w:r>
        <w:rPr>
          <w:sz w:val="18"/>
          <w:szCs w:val="18"/>
        </w:rPr>
        <w:t xml:space="preserve"> as noted by Carney &amp; Nutt &amp; cited in Mac Cana </w:t>
      </w:r>
      <w:r w:rsidRPr="008001B0">
        <w:rPr>
          <w:i/>
          <w:sz w:val="18"/>
          <w:szCs w:val="18"/>
        </w:rPr>
        <w:t>Mongan</w:t>
      </w:r>
      <w:r>
        <w:rPr>
          <w:sz w:val="18"/>
          <w:szCs w:val="18"/>
        </w:rPr>
        <w:t xml:space="preserve"> p.121, a</w:t>
      </w:r>
      <w:r w:rsidRPr="00791D35">
        <w:t xml:space="preserve">s being a source for MD in some form. Gimbutas, </w:t>
      </w:r>
      <w:r w:rsidRPr="00791D35">
        <w:rPr>
          <w:i/>
        </w:rPr>
        <w:t>The Goddesses</w:t>
      </w:r>
      <w:r w:rsidRPr="00791D35">
        <w:t xml:space="preserve">; eadem, </w:t>
      </w:r>
      <w:r w:rsidRPr="00791D35">
        <w:rPr>
          <w:i/>
        </w:rPr>
        <w:t>Language of the Goddess</w:t>
      </w:r>
      <w:r w:rsidRPr="00791D35">
        <w:t xml:space="preserve">; and Ross, </w:t>
      </w:r>
      <w:r w:rsidRPr="00791D35">
        <w:rPr>
          <w:i/>
        </w:rPr>
        <w:t>Pagan Celtic Britain</w:t>
      </w:r>
      <w:r w:rsidRPr="00791D35">
        <w:t>, p.302, have identified the close link between mother goddess cults and birds. Swallows, swans and doves, amongst others are said to be sacred to Aphrodite/Venus etc. An image depicting birds with a hor</w:t>
      </w:r>
      <w:r>
        <w:t xml:space="preserve">se representation can be seen in Thomson, ‘The </w:t>
      </w:r>
      <w:r w:rsidRPr="002555CA">
        <w:rPr>
          <w:i/>
        </w:rPr>
        <w:t>Mari Lwyd</w:t>
      </w:r>
      <w:r>
        <w:rPr>
          <w:i/>
        </w:rPr>
        <w:t xml:space="preserve">’ </w:t>
      </w:r>
      <w:r w:rsidRPr="008001B0">
        <w:t>pp.</w:t>
      </w:r>
      <w:r>
        <w:t>65-6.  Rhiannon’s birds, he says, are recognised as representative of liminal space. “They seem to represent the entering of the heroes in to a fairy world, associated with a mound, whose time passes differently.”ibid., p.66. W. Sayers,</w:t>
      </w:r>
      <w:r w:rsidRPr="003D6B3B">
        <w:rPr>
          <w:rFonts w:cs="Times"/>
          <w:bCs/>
          <w:spacing w:val="3"/>
        </w:rPr>
        <w:t xml:space="preserve"> ‘Netherworld and Otherworld in Early Irish Literature’, in </w:t>
      </w:r>
      <w:r w:rsidRPr="003D6B3B">
        <w:rPr>
          <w:rFonts w:cs="Times"/>
          <w:bCs/>
          <w:i/>
          <w:spacing w:val="3"/>
        </w:rPr>
        <w:t xml:space="preserve">Zeitschrift fur celtische Philologie </w:t>
      </w:r>
      <w:r w:rsidRPr="003D6B3B">
        <w:rPr>
          <w:rFonts w:cs="Times"/>
          <w:bCs/>
          <w:spacing w:val="3"/>
        </w:rPr>
        <w:t>59:</w:t>
      </w:r>
      <w:r w:rsidRPr="003D6B3B">
        <w:rPr>
          <w:rFonts w:cs="Times"/>
          <w:b/>
          <w:bCs/>
          <w:spacing w:val="3"/>
        </w:rPr>
        <w:t xml:space="preserve"> </w:t>
      </w:r>
      <w:r w:rsidRPr="003D6B3B">
        <w:rPr>
          <w:rFonts w:cs="Times"/>
          <w:bCs/>
          <w:spacing w:val="3"/>
        </w:rPr>
        <w:t>(2012) 210-230</w:t>
      </w:r>
      <w:r>
        <w:rPr>
          <w:rFonts w:cs="Times"/>
          <w:bCs/>
          <w:spacing w:val="3"/>
        </w:rPr>
        <w:t xml:space="preserve">, pp. </w:t>
      </w:r>
      <w:r>
        <w:t>204-5 and p. 215 also makes the connection between birds and Otherworld women.</w:t>
      </w:r>
    </w:p>
    <w:p w:rsidR="001F51AF" w:rsidRDefault="001F51AF" w:rsidP="002555CA">
      <w:pPr>
        <w:pStyle w:val="FootnoteText"/>
      </w:pPr>
    </w:p>
  </w:footnote>
  <w:footnote w:id="45">
    <w:p w:rsidR="001F51AF" w:rsidRDefault="001F51AF" w:rsidP="00BC6177">
      <w:pPr>
        <w:pStyle w:val="FootnoteText"/>
      </w:pPr>
      <w:r>
        <w:rPr>
          <w:rStyle w:val="FootnoteReference"/>
        </w:rPr>
        <w:footnoteRef/>
      </w:r>
      <w:r>
        <w:t xml:space="preserve"> </w:t>
      </w:r>
      <w:r w:rsidR="00EF6EF5">
        <w:t>O</w:t>
      </w:r>
      <w:r>
        <w:t xml:space="preserve">verlaid with Christian meaning, and appearing in Brendan’s voyage too; </w:t>
      </w:r>
      <w:r w:rsidRPr="00E37D71">
        <w:t xml:space="preserve">O’Meara, </w:t>
      </w:r>
      <w:r w:rsidRPr="00E37D71">
        <w:rPr>
          <w:i/>
        </w:rPr>
        <w:t>Saint Brendan</w:t>
      </w:r>
      <w:r w:rsidRPr="00E37D71">
        <w:t>, v11 p</w:t>
      </w:r>
      <w:r>
        <w:t>.</w:t>
      </w:r>
      <w:r w:rsidRPr="00E37D71">
        <w:t xml:space="preserve">21. </w:t>
      </w:r>
      <w:r>
        <w:t xml:space="preserve">Here the translation in Stokes reads awkwardly, but in Oskamp, </w:t>
      </w:r>
      <w:r w:rsidRPr="00E37D71">
        <w:rPr>
          <w:i/>
        </w:rPr>
        <w:t>The Voyage</w:t>
      </w:r>
      <w:r>
        <w:rPr>
          <w:i/>
        </w:rPr>
        <w:t>,</w:t>
      </w:r>
      <w:r>
        <w:t xml:space="preserve"> v.18 p137-139 the verse reads: “They could hear a sound in the north over the ocean – a valiant covenant – but it was obscure, like the sound of the melodious choirs”. There are also singing birds in IB in Kuno,</w:t>
      </w:r>
      <w:r w:rsidRPr="00816D0A">
        <w:rPr>
          <w:i/>
        </w:rPr>
        <w:t xml:space="preserve"> Immram Brain</w:t>
      </w:r>
      <w:r>
        <w:t>, v. 7 and v. 20.</w:t>
      </w:r>
    </w:p>
  </w:footnote>
  <w:footnote w:id="46">
    <w:p w:rsidR="001F51AF" w:rsidRPr="00FB3225" w:rsidRDefault="001F51AF" w:rsidP="00A27AE0">
      <w:pPr>
        <w:shd w:val="clear" w:color="auto" w:fill="FFFFFF"/>
        <w:spacing w:line="240" w:lineRule="auto"/>
        <w:rPr>
          <w:sz w:val="20"/>
          <w:szCs w:val="20"/>
        </w:rPr>
      </w:pPr>
      <w:r>
        <w:rPr>
          <w:rStyle w:val="FootnoteReference"/>
        </w:rPr>
        <w:footnoteRef/>
      </w:r>
      <w:r w:rsidRPr="00FB3225">
        <w:rPr>
          <w:sz w:val="20"/>
          <w:szCs w:val="20"/>
        </w:rPr>
        <w:t xml:space="preserve"> McCana</w:t>
      </w:r>
      <w:r w:rsidR="00FB3225" w:rsidRPr="00FB3225">
        <w:rPr>
          <w:sz w:val="20"/>
          <w:szCs w:val="20"/>
        </w:rPr>
        <w:t xml:space="preserve">, </w:t>
      </w:r>
      <w:r w:rsidR="00FB3225" w:rsidRPr="00FB3225">
        <w:rPr>
          <w:i/>
          <w:sz w:val="20"/>
          <w:szCs w:val="20"/>
        </w:rPr>
        <w:t>Mongan</w:t>
      </w:r>
      <w:r w:rsidR="00FB3225" w:rsidRPr="00FB3225">
        <w:rPr>
          <w:sz w:val="20"/>
          <w:szCs w:val="20"/>
        </w:rPr>
        <w:t>, p.</w:t>
      </w:r>
      <w:r w:rsidRPr="00FB3225">
        <w:rPr>
          <w:sz w:val="20"/>
          <w:szCs w:val="20"/>
        </w:rPr>
        <w:t>23, whilst accepting the Anglo-Saxon provenance in MD of certain bird themes, bel</w:t>
      </w:r>
      <w:r w:rsidRPr="00A27AE0">
        <w:rPr>
          <w:sz w:val="20"/>
          <w:szCs w:val="20"/>
        </w:rPr>
        <w:t xml:space="preserve">ieved the singing birds to belong to native tradition. </w:t>
      </w:r>
      <w:r w:rsidR="00FB3225" w:rsidRPr="00A27AE0">
        <w:rPr>
          <w:sz w:val="20"/>
          <w:szCs w:val="20"/>
        </w:rPr>
        <w:t xml:space="preserve">Sioned </w:t>
      </w:r>
      <w:r w:rsidRPr="00A27AE0">
        <w:rPr>
          <w:sz w:val="20"/>
          <w:szCs w:val="20"/>
        </w:rPr>
        <w:t>Davies, in her explanatory notes to the Mabinogion</w:t>
      </w:r>
      <w:r w:rsidR="00FB3225" w:rsidRPr="00A27AE0">
        <w:rPr>
          <w:sz w:val="20"/>
          <w:szCs w:val="20"/>
        </w:rPr>
        <w:t xml:space="preserve">, </w:t>
      </w:r>
      <w:r w:rsidR="00FB3225" w:rsidRPr="00A27AE0">
        <w:rPr>
          <w:bCs/>
          <w:i/>
          <w:sz w:val="20"/>
          <w:szCs w:val="20"/>
        </w:rPr>
        <w:t xml:space="preserve">The Mabinogion, </w:t>
      </w:r>
      <w:r w:rsidR="00FB3225" w:rsidRPr="00A27AE0">
        <w:rPr>
          <w:bCs/>
          <w:sz w:val="20"/>
          <w:szCs w:val="20"/>
        </w:rPr>
        <w:t>trans. S. Davies, (Oxford, Oxford University Press, 2007), p.</w:t>
      </w:r>
      <w:r w:rsidRPr="00A27AE0">
        <w:rPr>
          <w:sz w:val="20"/>
          <w:szCs w:val="20"/>
        </w:rPr>
        <w:t>236</w:t>
      </w:r>
      <w:r w:rsidR="00FB3225" w:rsidRPr="00A27AE0">
        <w:rPr>
          <w:sz w:val="20"/>
          <w:szCs w:val="20"/>
        </w:rPr>
        <w:t>,</w:t>
      </w:r>
      <w:r w:rsidRPr="00A27AE0">
        <w:rPr>
          <w:sz w:val="20"/>
          <w:szCs w:val="20"/>
        </w:rPr>
        <w:t xml:space="preserve"> hints at the possibility that Bran’s faithful retainers, who sat at Harlech with Bran’s head for 7 years listening to Rhiannon’s birds singing in the west, may have been in the Otherworld.  In the Mabinogion it is Rhiannon’s singing bird</w:t>
      </w:r>
      <w:r w:rsidR="00FB3225" w:rsidRPr="00A27AE0">
        <w:rPr>
          <w:sz w:val="20"/>
          <w:szCs w:val="20"/>
        </w:rPr>
        <w:t xml:space="preserve">s who lull the living to sleep, ibid., </w:t>
      </w:r>
      <w:r w:rsidRPr="00A27AE0">
        <w:rPr>
          <w:sz w:val="20"/>
          <w:szCs w:val="20"/>
        </w:rPr>
        <w:t xml:space="preserve">Davies </w:t>
      </w:r>
      <w:r w:rsidR="00FB3225" w:rsidRPr="00A27AE0">
        <w:rPr>
          <w:sz w:val="20"/>
          <w:szCs w:val="20"/>
        </w:rPr>
        <w:t>pp.</w:t>
      </w:r>
      <w:r w:rsidRPr="00A27AE0">
        <w:rPr>
          <w:sz w:val="20"/>
          <w:szCs w:val="20"/>
        </w:rPr>
        <w:t>32-34, 196</w:t>
      </w:r>
      <w:r w:rsidR="00FB3225" w:rsidRPr="00A27AE0">
        <w:rPr>
          <w:sz w:val="20"/>
          <w:szCs w:val="20"/>
        </w:rPr>
        <w:t>;</w:t>
      </w:r>
      <w:r w:rsidRPr="00A27AE0">
        <w:rPr>
          <w:sz w:val="20"/>
          <w:szCs w:val="20"/>
        </w:rPr>
        <w:t xml:space="preserve"> and Mac Oc has his singing birds, Ross</w:t>
      </w:r>
      <w:r w:rsidR="00FB3225" w:rsidRPr="00A27AE0">
        <w:rPr>
          <w:sz w:val="20"/>
          <w:szCs w:val="20"/>
        </w:rPr>
        <w:t xml:space="preserve">, </w:t>
      </w:r>
      <w:r w:rsidR="00FB3225" w:rsidRPr="00A27AE0">
        <w:rPr>
          <w:i/>
          <w:sz w:val="20"/>
          <w:szCs w:val="20"/>
        </w:rPr>
        <w:t>Pagan Celtic Britiain</w:t>
      </w:r>
      <w:r w:rsidR="00FB3225" w:rsidRPr="00A27AE0">
        <w:rPr>
          <w:sz w:val="20"/>
          <w:szCs w:val="20"/>
        </w:rPr>
        <w:t xml:space="preserve"> p.3</w:t>
      </w:r>
      <w:r w:rsidRPr="00A27AE0">
        <w:rPr>
          <w:sz w:val="20"/>
          <w:szCs w:val="20"/>
        </w:rPr>
        <w:t>05.</w:t>
      </w:r>
      <w:r w:rsidRPr="00A27AE0">
        <w:rPr>
          <w:color w:val="FF0000"/>
          <w:sz w:val="20"/>
          <w:szCs w:val="20"/>
        </w:rPr>
        <w:t xml:space="preserve"> </w:t>
      </w:r>
      <w:r w:rsidRPr="00A27AE0">
        <w:rPr>
          <w:sz w:val="20"/>
          <w:szCs w:val="20"/>
        </w:rPr>
        <w:t xml:space="preserve"> Triad 32 gives u</w:t>
      </w:r>
      <w:r w:rsidR="00FB3225" w:rsidRPr="00A27AE0">
        <w:rPr>
          <w:sz w:val="20"/>
          <w:szCs w:val="20"/>
        </w:rPr>
        <w:t xml:space="preserve">s Gwendollau’s fearsome birds; Rachel </w:t>
      </w:r>
      <w:r w:rsidRPr="00A27AE0">
        <w:rPr>
          <w:sz w:val="20"/>
          <w:szCs w:val="20"/>
        </w:rPr>
        <w:t>Bromwich</w:t>
      </w:r>
      <w:r w:rsidR="00FB3225" w:rsidRPr="00A27AE0">
        <w:rPr>
          <w:sz w:val="20"/>
          <w:szCs w:val="20"/>
        </w:rPr>
        <w:t>,</w:t>
      </w:r>
      <w:r w:rsidR="00A27AE0" w:rsidRPr="00A27AE0">
        <w:rPr>
          <w:bCs/>
          <w:i/>
          <w:sz w:val="20"/>
          <w:szCs w:val="20"/>
        </w:rPr>
        <w:t xml:space="preserve"> Trioedd Ynys Prydein: The Triads of the Island of Britain, </w:t>
      </w:r>
      <w:r w:rsidR="00A27AE0" w:rsidRPr="00A27AE0">
        <w:rPr>
          <w:bCs/>
          <w:sz w:val="20"/>
          <w:szCs w:val="20"/>
        </w:rPr>
        <w:t>Bromwich, R., 4</w:t>
      </w:r>
      <w:r w:rsidR="00A27AE0" w:rsidRPr="00A27AE0">
        <w:rPr>
          <w:bCs/>
          <w:sz w:val="20"/>
          <w:szCs w:val="20"/>
          <w:vertAlign w:val="superscript"/>
        </w:rPr>
        <w:t>th</w:t>
      </w:r>
      <w:r w:rsidR="00A27AE0" w:rsidRPr="00A27AE0">
        <w:rPr>
          <w:bCs/>
          <w:sz w:val="20"/>
          <w:szCs w:val="20"/>
        </w:rPr>
        <w:t xml:space="preserve"> edn, (Cardiff: University of Wales Press, 2014), p.</w:t>
      </w:r>
      <w:r w:rsidRPr="00A27AE0">
        <w:rPr>
          <w:sz w:val="20"/>
          <w:szCs w:val="20"/>
        </w:rPr>
        <w:t>72</w:t>
      </w:r>
      <w:r w:rsidR="00A27AE0" w:rsidRPr="00A27AE0">
        <w:rPr>
          <w:sz w:val="20"/>
          <w:szCs w:val="20"/>
        </w:rPr>
        <w:t xml:space="preserve">; </w:t>
      </w:r>
      <w:r w:rsidRPr="00A27AE0">
        <w:rPr>
          <w:sz w:val="20"/>
          <w:szCs w:val="20"/>
        </w:rPr>
        <w:t xml:space="preserve"> </w:t>
      </w:r>
      <w:r w:rsidR="00A27AE0" w:rsidRPr="00A27AE0">
        <w:rPr>
          <w:sz w:val="20"/>
          <w:szCs w:val="20"/>
        </w:rPr>
        <w:t xml:space="preserve">ibid., </w:t>
      </w:r>
      <w:r w:rsidRPr="00A27AE0">
        <w:rPr>
          <w:sz w:val="20"/>
          <w:szCs w:val="20"/>
        </w:rPr>
        <w:t>Bromwich</w:t>
      </w:r>
      <w:r w:rsidR="00A27AE0" w:rsidRPr="00A27AE0">
        <w:rPr>
          <w:sz w:val="20"/>
          <w:szCs w:val="20"/>
        </w:rPr>
        <w:t>, The Triads, p.</w:t>
      </w:r>
      <w:r w:rsidRPr="00A27AE0">
        <w:rPr>
          <w:sz w:val="20"/>
          <w:szCs w:val="20"/>
        </w:rPr>
        <w:t>74</w:t>
      </w:r>
      <w:r w:rsidR="00A27AE0" w:rsidRPr="00A27AE0">
        <w:rPr>
          <w:sz w:val="20"/>
          <w:szCs w:val="20"/>
        </w:rPr>
        <w:t>,</w:t>
      </w:r>
      <w:r w:rsidRPr="00A27AE0">
        <w:rPr>
          <w:sz w:val="20"/>
          <w:szCs w:val="20"/>
        </w:rPr>
        <w:t xml:space="preserve"> refers to birds in Irish myth and tales of enchanted pairs of humans, bound by gold and silver chains, and King Caibre Nia Fer of Tara is rid of noisome birds by his druid Becni</w:t>
      </w:r>
      <w:r w:rsidR="00A27AE0" w:rsidRPr="00A27AE0">
        <w:rPr>
          <w:sz w:val="20"/>
          <w:szCs w:val="20"/>
        </w:rPr>
        <w:t xml:space="preserve">a, a story from the Dindenschas, Bonwick, J., </w:t>
      </w:r>
      <w:r w:rsidR="00A27AE0" w:rsidRPr="00A27AE0">
        <w:rPr>
          <w:i/>
          <w:sz w:val="20"/>
          <w:szCs w:val="20"/>
        </w:rPr>
        <w:t>Irish Druids and Old Irish Religions,</w:t>
      </w:r>
      <w:r w:rsidR="00A27AE0" w:rsidRPr="00A27AE0">
        <w:rPr>
          <w:sz w:val="20"/>
          <w:szCs w:val="20"/>
        </w:rPr>
        <w:t xml:space="preserve"> (London: Griffin, Farran, 1894), available at  </w:t>
      </w:r>
      <w:hyperlink r:id="rId13" w:history="1">
        <w:r w:rsidR="00A27AE0" w:rsidRPr="00A27AE0">
          <w:rPr>
            <w:rStyle w:val="Hyperlink"/>
            <w:sz w:val="20"/>
            <w:szCs w:val="20"/>
          </w:rPr>
          <w:t>http://www.sacred-texts.com/pag/idr/index.htm</w:t>
        </w:r>
      </w:hyperlink>
      <w:r w:rsidR="00A27AE0" w:rsidRPr="00A27AE0">
        <w:rPr>
          <w:sz w:val="20"/>
          <w:szCs w:val="20"/>
        </w:rPr>
        <w:t xml:space="preserve">  &lt;Accessed 4 April 2018&gt;.</w:t>
      </w:r>
      <w:r w:rsidRPr="00A27AE0">
        <w:rPr>
          <w:sz w:val="20"/>
          <w:szCs w:val="20"/>
        </w:rPr>
        <w:t>The singing birds motif appears as  a more coherent theme in the 9</w:t>
      </w:r>
      <w:r w:rsidRPr="00A27AE0">
        <w:rPr>
          <w:sz w:val="20"/>
          <w:szCs w:val="20"/>
          <w:vertAlign w:val="superscript"/>
        </w:rPr>
        <w:t>th</w:t>
      </w:r>
      <w:r w:rsidRPr="00A27AE0">
        <w:rPr>
          <w:sz w:val="20"/>
          <w:szCs w:val="20"/>
        </w:rPr>
        <w:t xml:space="preserve"> century </w:t>
      </w:r>
      <w:r w:rsidRPr="00A27AE0">
        <w:rPr>
          <w:i/>
          <w:sz w:val="20"/>
          <w:szCs w:val="20"/>
        </w:rPr>
        <w:t>Tadhg mac Céin</w:t>
      </w:r>
      <w:r w:rsidRPr="00A27AE0">
        <w:rPr>
          <w:sz w:val="20"/>
          <w:szCs w:val="20"/>
        </w:rPr>
        <w:t xml:space="preserve"> where the birds belong to Clíd</w:t>
      </w:r>
      <w:r w:rsidRPr="00FB3225">
        <w:rPr>
          <w:sz w:val="20"/>
          <w:szCs w:val="20"/>
        </w:rPr>
        <w:t>na, an Otherworld woman, they are brightly coloured and sing healing music. Though its extant written forms are perhaps later than MD, I would argue they draw on the same source. Clídna’s birds live on an is</w:t>
      </w:r>
      <w:r w:rsidR="00A27AE0">
        <w:rPr>
          <w:sz w:val="20"/>
          <w:szCs w:val="20"/>
        </w:rPr>
        <w:t xml:space="preserve">land with large purple berries , </w:t>
      </w:r>
      <w:r w:rsidRPr="00FB3225">
        <w:rPr>
          <w:sz w:val="20"/>
          <w:szCs w:val="20"/>
        </w:rPr>
        <w:t xml:space="preserve">Ross, </w:t>
      </w:r>
      <w:r w:rsidR="00A27AE0" w:rsidRPr="00A27AE0">
        <w:rPr>
          <w:i/>
          <w:sz w:val="20"/>
          <w:szCs w:val="20"/>
        </w:rPr>
        <w:t>Pagan Celtic Britain</w:t>
      </w:r>
      <w:r w:rsidR="00A27AE0">
        <w:rPr>
          <w:sz w:val="20"/>
          <w:szCs w:val="20"/>
        </w:rPr>
        <w:t>, p.</w:t>
      </w:r>
      <w:r w:rsidRPr="00FB3225">
        <w:rPr>
          <w:sz w:val="20"/>
          <w:szCs w:val="20"/>
        </w:rPr>
        <w:t xml:space="preserve">339, as are found in both NB </w:t>
      </w:r>
      <w:r w:rsidR="00A27AE0">
        <w:rPr>
          <w:sz w:val="20"/>
          <w:szCs w:val="20"/>
        </w:rPr>
        <w:t xml:space="preserve">and MD as a separate episode. </w:t>
      </w:r>
    </w:p>
  </w:footnote>
  <w:footnote w:id="47">
    <w:p w:rsidR="001F51AF" w:rsidRDefault="001F51AF" w:rsidP="00FB3225">
      <w:pPr>
        <w:pStyle w:val="FootnoteText"/>
      </w:pPr>
      <w:r w:rsidRPr="00FB3225">
        <w:rPr>
          <w:rStyle w:val="FootnoteReference"/>
        </w:rPr>
        <w:footnoteRef/>
      </w:r>
      <w:r>
        <w:t xml:space="preserve">  If there were a local mythology, connected to the seasons, common to the</w:t>
      </w:r>
      <w:r w:rsidRPr="000832C5">
        <w:t xml:space="preserve"> peoples of the Irish Sea</w:t>
      </w:r>
      <w:r>
        <w:t>; islands and coasts</w:t>
      </w:r>
      <w:r w:rsidRPr="000832C5">
        <w:t>, then references to birds at Newgrange</w:t>
      </w:r>
      <w:r>
        <w:t xml:space="preserve"> </w:t>
      </w:r>
      <w:r w:rsidRPr="000832C5">
        <w:t>in the winter, singing birds that could be heard in Harlech, might have formed part of it.</w:t>
      </w:r>
      <w:r>
        <w:t xml:space="preserve"> O’Cathasiagh, </w:t>
      </w:r>
      <w:r w:rsidRPr="00CF354B">
        <w:rPr>
          <w:i/>
        </w:rPr>
        <w:t>Coire Sois</w:t>
      </w:r>
      <w:r>
        <w:t xml:space="preserve">, pp. 7-8, 52-58, and 347 gives many instances where birds in myth are connected to the Boyne in such a way as to suggest such a hypothesis might be worth exploring.  </w:t>
      </w:r>
      <w:r w:rsidRPr="00CF354B">
        <w:t xml:space="preserve">Anthony Murphy, The Cygnus Enigma, Mythical Ireland.com. Available: </w:t>
      </w:r>
      <w:hyperlink r:id="rId14" w:history="1">
        <w:r w:rsidRPr="00CF354B">
          <w:rPr>
            <w:rStyle w:val="Hyperlink"/>
          </w:rPr>
          <w:t>https://mythicalireland.com/astronomy/the-cygnus-enigma/</w:t>
        </w:r>
      </w:hyperlink>
      <w:r w:rsidRPr="00CF354B">
        <w:t xml:space="preserve"> &lt;Accessed300318&gt;  speculates on the phenomena of large numbers of whooper swans who migrate from Iceland and fly into Newgrange every Winter being the basis for sky myths such as the tale of Oengus mac In Og  and Caer Ibermeith.  Swallows,</w:t>
      </w:r>
      <w:r>
        <w:t xml:space="preserve"> </w:t>
      </w:r>
      <w:r w:rsidRPr="00CF354B">
        <w:t>sacred to the universal goddess of love, return to the Llyn Pennisula every spring. [Thanks to my partner, Ben Chadwick, who grew up there, for this observation.]</w:t>
      </w:r>
    </w:p>
  </w:footnote>
  <w:footnote w:id="48">
    <w:p w:rsidR="001F51AF" w:rsidRDefault="001F51AF" w:rsidP="00752F85">
      <w:pPr>
        <w:pStyle w:val="FootnoteText"/>
      </w:pPr>
      <w:r>
        <w:rPr>
          <w:rStyle w:val="FootnoteReference"/>
        </w:rPr>
        <w:footnoteRef/>
      </w:r>
      <w:r>
        <w:t xml:space="preserve"> Stokes, </w:t>
      </w:r>
      <w:r w:rsidRPr="00943951">
        <w:rPr>
          <w:bCs/>
          <w:i/>
        </w:rPr>
        <w:t>Máel Dúin’s Boat</w:t>
      </w:r>
      <w:r>
        <w:rPr>
          <w:bCs/>
          <w:i/>
        </w:rPr>
        <w:t xml:space="preserve">, </w:t>
      </w:r>
      <w:r>
        <w:t xml:space="preserve"> v.18</w:t>
      </w:r>
    </w:p>
  </w:footnote>
  <w:footnote w:id="49">
    <w:p w:rsidR="001F51AF" w:rsidRPr="00904A66" w:rsidRDefault="001F51AF" w:rsidP="007F2CD0">
      <w:pPr>
        <w:pStyle w:val="FootnoteText"/>
      </w:pPr>
      <w:r w:rsidRPr="00A54122">
        <w:rPr>
          <w:rStyle w:val="FootnoteReference"/>
        </w:rPr>
        <w:footnoteRef/>
      </w:r>
      <w:r w:rsidRPr="00A54122">
        <w:t xml:space="preserve"> </w:t>
      </w:r>
      <w:r w:rsidRPr="003233AC">
        <w:rPr>
          <w:shd w:val="clear" w:color="auto" w:fill="FFFFFF"/>
        </w:rPr>
        <w:t>The electronic Dictionary of the Irish Language (The Royal Irish Academy, 2013) [Online:</w:t>
      </w:r>
      <w:r w:rsidRPr="00A54122">
        <w:rPr>
          <w:color w:val="333333"/>
          <w:shd w:val="clear" w:color="auto" w:fill="FFFFFF"/>
        </w:rPr>
        <w:t xml:space="preserve"> </w:t>
      </w:r>
      <w:r w:rsidRPr="00A54122">
        <w:t xml:space="preserve"> </w:t>
      </w:r>
      <w:hyperlink r:id="rId15" w:history="1">
        <w:r w:rsidRPr="00092458">
          <w:rPr>
            <w:rStyle w:val="Hyperlink"/>
          </w:rPr>
          <w:t>http://www.dil.ie/6807</w:t>
        </w:r>
      </w:hyperlink>
      <w:r w:rsidRPr="00A54122">
        <w:rPr>
          <w:color w:val="FF0000"/>
        </w:rPr>
        <w:t xml:space="preserve"> </w:t>
      </w:r>
      <w:r w:rsidRPr="003233AC">
        <w:t>]</w:t>
      </w:r>
      <w:r w:rsidRPr="00A54122">
        <w:rPr>
          <w:color w:val="FF0000"/>
        </w:rPr>
        <w:t xml:space="preserve"> </w:t>
      </w:r>
      <w:r w:rsidRPr="00A54122">
        <w:t>&lt;Accessed 290318&gt;</w:t>
      </w:r>
      <w:r>
        <w:t xml:space="preserve">. Bran can also refer to a raven or crow.  MacCana, ‘Prehistory of </w:t>
      </w:r>
      <w:r w:rsidRPr="003233AC">
        <w:rPr>
          <w:i/>
        </w:rPr>
        <w:t>Immram Brain</w:t>
      </w:r>
      <w:r>
        <w:rPr>
          <w:i/>
        </w:rPr>
        <w:t>’ p.</w:t>
      </w:r>
      <w:r>
        <w:t xml:space="preserve">49. </w:t>
      </w:r>
      <w:r>
        <w:rPr>
          <w:color w:val="FF0000"/>
        </w:rPr>
        <w:t xml:space="preserve"> </w:t>
      </w:r>
      <w:r>
        <w:t xml:space="preserve">Episodes of corvids as symbols and omens are common in Irish myth, e.g. Cuchallain and the raven in the Ulster Cycle.  The author’s contrasting categories theme Johnston refers to in </w:t>
      </w:r>
      <w:r w:rsidRPr="003233AC">
        <w:rPr>
          <w:i/>
        </w:rPr>
        <w:t>A Sailor on t</w:t>
      </w:r>
      <w:r>
        <w:rPr>
          <w:i/>
        </w:rPr>
        <w:t xml:space="preserve">he </w:t>
      </w:r>
      <w:r w:rsidRPr="003233AC">
        <w:rPr>
          <w:i/>
        </w:rPr>
        <w:t>Seas of Faith</w:t>
      </w:r>
      <w:r w:rsidR="00F6556F">
        <w:rPr>
          <w:i/>
        </w:rPr>
        <w:t>,</w:t>
      </w:r>
      <w:r>
        <w:t xml:space="preserve"> </w:t>
      </w:r>
      <w:r w:rsidRPr="00F6556F">
        <w:t xml:space="preserve">See </w:t>
      </w:r>
      <w:r w:rsidRPr="006C2584">
        <w:t>fn</w:t>
      </w:r>
      <w:r w:rsidR="00F6556F" w:rsidRPr="006C2584">
        <w:t xml:space="preserve"> </w:t>
      </w:r>
      <w:r w:rsidR="006C2584" w:rsidRPr="006C2584">
        <w:t>39</w:t>
      </w:r>
      <w:r w:rsidRPr="00F6556F">
        <w:t xml:space="preserve"> above</w:t>
      </w:r>
      <w:r w:rsidR="00F6556F">
        <w:t>,</w:t>
      </w:r>
      <w:r>
        <w:t xml:space="preserve"> has an isle of misery [v15], later an isle of joy [v 31</w:t>
      </w:r>
      <w:r w:rsidR="00816764">
        <w:t>]</w:t>
      </w:r>
      <w:r>
        <w:t xml:space="preserve">, and black with white sheep in </w:t>
      </w:r>
      <w:r w:rsidR="00816764">
        <w:t>[</w:t>
      </w:r>
      <w:r>
        <w:t>v 12</w:t>
      </w:r>
      <w:r w:rsidR="00816764">
        <w:t>]</w:t>
      </w:r>
      <w:r>
        <w:t xml:space="preserve">. Could the black birds here be part of that imagery? Johnston, ibid., p.7, citing Stokes, </w:t>
      </w:r>
      <w:r w:rsidRPr="00943951">
        <w:rPr>
          <w:bCs/>
          <w:i/>
        </w:rPr>
        <w:t>Máel Dúin’s Boat</w:t>
      </w:r>
      <w:r>
        <w:rPr>
          <w:bCs/>
          <w:i/>
        </w:rPr>
        <w:t xml:space="preserve"> p.</w:t>
      </w:r>
      <w:r>
        <w:t xml:space="preserve">449;and Oskamp, </w:t>
      </w:r>
      <w:r w:rsidRPr="007A5DEA">
        <w:rPr>
          <w:i/>
        </w:rPr>
        <w:t>The Voyage</w:t>
      </w:r>
      <w:r>
        <w:t xml:space="preserve"> p.51, says Briccne may well refer to a similar character in the Ulster Cycle; Bricriu.</w:t>
      </w:r>
    </w:p>
  </w:footnote>
  <w:footnote w:id="50">
    <w:p w:rsidR="001F51AF" w:rsidRPr="001F51AF" w:rsidRDefault="001F51AF" w:rsidP="001F51AF">
      <w:pPr>
        <w:spacing w:line="240" w:lineRule="auto"/>
        <w:rPr>
          <w:sz w:val="20"/>
          <w:szCs w:val="20"/>
        </w:rPr>
      </w:pPr>
      <w:r>
        <w:rPr>
          <w:rStyle w:val="FootnoteReference"/>
        </w:rPr>
        <w:footnoteRef/>
      </w:r>
      <w:r>
        <w:t xml:space="preserve"> </w:t>
      </w:r>
      <w:r w:rsidR="003D22CB" w:rsidRPr="003D22CB">
        <w:rPr>
          <w:sz w:val="20"/>
          <w:szCs w:val="20"/>
        </w:rPr>
        <w:t>C. Strijbosch,</w:t>
      </w:r>
      <w:r w:rsidR="003D22CB">
        <w:rPr>
          <w:sz w:val="20"/>
          <w:szCs w:val="20"/>
        </w:rPr>
        <w:t xml:space="preserve"> trans. T.</w:t>
      </w:r>
      <w:r w:rsidR="007E4CCB">
        <w:rPr>
          <w:sz w:val="20"/>
          <w:szCs w:val="20"/>
        </w:rPr>
        <w:t xml:space="preserve"> </w:t>
      </w:r>
      <w:r w:rsidR="003D22CB">
        <w:rPr>
          <w:sz w:val="20"/>
          <w:szCs w:val="20"/>
        </w:rPr>
        <w:t>Summerfield,</w:t>
      </w:r>
      <w:r w:rsidR="003D22CB" w:rsidRPr="003D22CB">
        <w:rPr>
          <w:sz w:val="20"/>
          <w:szCs w:val="20"/>
        </w:rPr>
        <w:t xml:space="preserve"> </w:t>
      </w:r>
      <w:r w:rsidR="003D22CB" w:rsidRPr="003D22CB">
        <w:rPr>
          <w:i/>
          <w:sz w:val="20"/>
          <w:szCs w:val="20"/>
        </w:rPr>
        <w:t>The Seafaring Saint</w:t>
      </w:r>
      <w:r w:rsidR="003D22CB">
        <w:rPr>
          <w:i/>
          <w:sz w:val="20"/>
          <w:szCs w:val="20"/>
        </w:rPr>
        <w:t xml:space="preserve">, </w:t>
      </w:r>
      <w:r w:rsidR="003D22CB">
        <w:rPr>
          <w:sz w:val="20"/>
          <w:szCs w:val="20"/>
        </w:rPr>
        <w:t xml:space="preserve">(Dublin: Four Courts Press, 2000), p.215. </w:t>
      </w:r>
      <w:r w:rsidRPr="00F671B2">
        <w:rPr>
          <w:sz w:val="20"/>
          <w:szCs w:val="20"/>
        </w:rPr>
        <w:t>There were Irish settlements in both the West of Wales and mainland Ireland, as well as in southern Scotland and SW England from around the 4-5</w:t>
      </w:r>
      <w:r w:rsidRPr="00F671B2">
        <w:rPr>
          <w:sz w:val="20"/>
          <w:szCs w:val="20"/>
          <w:vertAlign w:val="superscript"/>
        </w:rPr>
        <w:t>th</w:t>
      </w:r>
      <w:r w:rsidRPr="00F671B2">
        <w:rPr>
          <w:sz w:val="20"/>
          <w:szCs w:val="20"/>
        </w:rPr>
        <w:t xml:space="preserve"> centuries and certainly by the 6</w:t>
      </w:r>
      <w:r w:rsidRPr="00F671B2">
        <w:rPr>
          <w:sz w:val="20"/>
          <w:szCs w:val="20"/>
          <w:vertAlign w:val="superscript"/>
        </w:rPr>
        <w:t>th</w:t>
      </w:r>
      <w:r w:rsidRPr="00F671B2">
        <w:rPr>
          <w:sz w:val="20"/>
          <w:szCs w:val="20"/>
        </w:rPr>
        <w:t xml:space="preserve">. By the time the Vikings came and invaded the Isle of Man, causing the ruling British dynasty to flee to Gwynedd, tales of the older tradition were “old and muddled.” Charles Edwards, </w:t>
      </w:r>
      <w:r w:rsidRPr="00F671B2">
        <w:rPr>
          <w:sz w:val="20"/>
          <w:szCs w:val="20"/>
          <w:shd w:val="clear" w:color="auto" w:fill="FFFFFF"/>
        </w:rPr>
        <w:t xml:space="preserve">Charles-Edwards, T.M., </w:t>
      </w:r>
      <w:r w:rsidRPr="00F671B2">
        <w:rPr>
          <w:i/>
          <w:sz w:val="20"/>
          <w:szCs w:val="20"/>
          <w:shd w:val="clear" w:color="auto" w:fill="FFFFFF"/>
        </w:rPr>
        <w:t xml:space="preserve">Early Christian Ireland, </w:t>
      </w:r>
      <w:r w:rsidRPr="001F51AF">
        <w:rPr>
          <w:sz w:val="20"/>
          <w:szCs w:val="20"/>
          <w:shd w:val="clear" w:color="auto" w:fill="FFFFFF"/>
        </w:rPr>
        <w:t xml:space="preserve">(Cambridge: Cambridge University Press, 2000), pp. </w:t>
      </w:r>
      <w:r w:rsidRPr="001F51AF">
        <w:rPr>
          <w:sz w:val="20"/>
          <w:szCs w:val="20"/>
        </w:rPr>
        <w:t>160-164, 598.</w:t>
      </w:r>
    </w:p>
  </w:footnote>
  <w:footnote w:id="51">
    <w:p w:rsidR="001F51AF" w:rsidRPr="001F51AF" w:rsidRDefault="001F51AF" w:rsidP="001F51AF">
      <w:pPr>
        <w:shd w:val="clear" w:color="auto" w:fill="FEFDFA"/>
        <w:spacing w:line="240" w:lineRule="auto"/>
        <w:rPr>
          <w:sz w:val="20"/>
          <w:szCs w:val="20"/>
        </w:rPr>
      </w:pPr>
      <w:r w:rsidRPr="001F51AF">
        <w:rPr>
          <w:rStyle w:val="FootnoteReference"/>
          <w:sz w:val="20"/>
          <w:szCs w:val="20"/>
        </w:rPr>
        <w:footnoteRef/>
      </w:r>
      <w:r w:rsidRPr="001F51AF">
        <w:rPr>
          <w:sz w:val="20"/>
          <w:szCs w:val="20"/>
        </w:rPr>
        <w:t xml:space="preserve"> Caitlin Matthews, </w:t>
      </w:r>
      <w:r w:rsidRPr="001F51AF">
        <w:rPr>
          <w:rStyle w:val="exlavailabilitycallnumber"/>
          <w:rFonts w:cs="Arial"/>
          <w:i/>
          <w:sz w:val="20"/>
          <w:szCs w:val="20"/>
          <w:bdr w:val="none" w:sz="0" w:space="0" w:color="auto" w:frame="1"/>
        </w:rPr>
        <w:t>The Celtic Book of the Dead: A Guide for your Voyage to the Celtic Otherworld</w:t>
      </w:r>
      <w:r w:rsidRPr="001F51AF">
        <w:rPr>
          <w:rStyle w:val="exlavailabilitycallnumber"/>
          <w:rFonts w:cs="Arial"/>
          <w:sz w:val="20"/>
          <w:szCs w:val="20"/>
          <w:bdr w:val="none" w:sz="0" w:space="0" w:color="auto" w:frame="1"/>
        </w:rPr>
        <w:t xml:space="preserve"> (New York: St Martin’s Press, 1992),</w:t>
      </w:r>
      <w:r w:rsidRPr="001F51AF">
        <w:rPr>
          <w:sz w:val="20"/>
          <w:szCs w:val="20"/>
        </w:rPr>
        <w:t xml:space="preserve"> considers  MD to be a ‘Celtic Book of the Dead’</w:t>
      </w:r>
    </w:p>
  </w:footnote>
  <w:footnote w:id="52">
    <w:p w:rsidR="001F51AF" w:rsidRDefault="001F51AF" w:rsidP="00B4531A">
      <w:pPr>
        <w:pStyle w:val="Default"/>
      </w:pPr>
      <w:r w:rsidRPr="001F51AF">
        <w:rPr>
          <w:rStyle w:val="FootnoteReference"/>
          <w:sz w:val="20"/>
          <w:szCs w:val="20"/>
        </w:rPr>
        <w:footnoteRef/>
      </w:r>
      <w:r w:rsidRPr="001F51AF">
        <w:rPr>
          <w:sz w:val="20"/>
          <w:szCs w:val="20"/>
        </w:rPr>
        <w:t xml:space="preserve"> </w:t>
      </w:r>
      <w:r w:rsidRPr="00B4531A">
        <w:rPr>
          <w:rFonts w:asciiTheme="minorHAnsi" w:hAnsiTheme="minorHAnsi"/>
          <w:sz w:val="20"/>
          <w:szCs w:val="20"/>
        </w:rPr>
        <w:t>“it is not easy to distinguish a Celt from someone with another background: but the Celt’s verbal virtuosity, his music and</w:t>
      </w:r>
      <w:r w:rsidRPr="00B4531A">
        <w:rPr>
          <w:rFonts w:asciiTheme="minorHAnsi" w:hAnsiTheme="minorHAnsi"/>
          <w:i/>
          <w:sz w:val="20"/>
          <w:szCs w:val="20"/>
        </w:rPr>
        <w:t xml:space="preserve"> his love of Nature</w:t>
      </w:r>
      <w:r w:rsidRPr="00B4531A">
        <w:rPr>
          <w:rFonts w:asciiTheme="minorHAnsi" w:hAnsiTheme="minorHAnsi"/>
          <w:sz w:val="20"/>
          <w:szCs w:val="20"/>
        </w:rPr>
        <w:t xml:space="preserve"> set him apart in art at least” Mark Sorley, in </w:t>
      </w:r>
      <w:r w:rsidRPr="00B4531A">
        <w:rPr>
          <w:rFonts w:asciiTheme="minorHAnsi" w:hAnsiTheme="minorHAnsi"/>
          <w:color w:val="auto"/>
          <w:sz w:val="20"/>
          <w:szCs w:val="20"/>
        </w:rPr>
        <w:t xml:space="preserve">Black, R., Gillies, W., &amp; O’Maolaiagh, R., eds, </w:t>
      </w:r>
      <w:r w:rsidRPr="00B4531A">
        <w:rPr>
          <w:rFonts w:asciiTheme="minorHAnsi" w:hAnsiTheme="minorHAnsi"/>
          <w:i/>
          <w:color w:val="auto"/>
          <w:sz w:val="20"/>
          <w:szCs w:val="20"/>
        </w:rPr>
        <w:t xml:space="preserve">Celtic Connections: Proceedings of the Tenth International Congress of Celtic Studies, </w:t>
      </w:r>
      <w:r w:rsidRPr="00B4531A">
        <w:rPr>
          <w:rFonts w:asciiTheme="minorHAnsi" w:hAnsiTheme="minorHAnsi"/>
          <w:color w:val="auto"/>
          <w:sz w:val="20"/>
          <w:szCs w:val="20"/>
        </w:rPr>
        <w:t>1, (East Linton: Tuckwell Press, 1999) 82-90, p.</w:t>
      </w:r>
      <w:r w:rsidRPr="00B4531A">
        <w:rPr>
          <w:rFonts w:asciiTheme="minorHAnsi" w:hAnsiTheme="minorHAnsi"/>
          <w:sz w:val="20"/>
          <w:szCs w:val="20"/>
        </w:rPr>
        <w:t xml:space="preserve"> xxi.  O’Meara &amp; Wooding</w:t>
      </w:r>
      <w:r w:rsidR="00B4531A">
        <w:rPr>
          <w:rFonts w:asciiTheme="minorHAnsi" w:hAnsiTheme="minorHAnsi"/>
          <w:sz w:val="20"/>
          <w:szCs w:val="20"/>
        </w:rPr>
        <w:t xml:space="preserve">, </w:t>
      </w:r>
      <w:r w:rsidR="00B4531A" w:rsidRPr="00B4531A">
        <w:rPr>
          <w:rFonts w:asciiTheme="minorHAnsi" w:hAnsiTheme="minorHAnsi"/>
          <w:i/>
          <w:sz w:val="20"/>
          <w:szCs w:val="20"/>
        </w:rPr>
        <w:t>The Latin Version</w:t>
      </w:r>
      <w:r w:rsidR="00B4531A">
        <w:rPr>
          <w:rFonts w:asciiTheme="minorHAnsi" w:hAnsiTheme="minorHAnsi"/>
          <w:sz w:val="20"/>
          <w:szCs w:val="20"/>
        </w:rPr>
        <w:t xml:space="preserve">,pp. </w:t>
      </w:r>
      <w:r w:rsidRPr="00B4531A">
        <w:rPr>
          <w:rFonts w:asciiTheme="minorHAnsi" w:hAnsiTheme="minorHAnsi"/>
          <w:sz w:val="20"/>
          <w:szCs w:val="20"/>
        </w:rPr>
        <w:t xml:space="preserve">21 </w:t>
      </w:r>
      <w:r w:rsidR="00B4531A">
        <w:rPr>
          <w:rFonts w:asciiTheme="minorHAnsi" w:hAnsiTheme="minorHAnsi"/>
          <w:sz w:val="20"/>
          <w:szCs w:val="20"/>
        </w:rPr>
        <w:t xml:space="preserve">and </w:t>
      </w:r>
      <w:r w:rsidRPr="00B4531A">
        <w:rPr>
          <w:rFonts w:asciiTheme="minorHAnsi" w:hAnsiTheme="minorHAnsi"/>
          <w:sz w:val="20"/>
          <w:szCs w:val="20"/>
        </w:rPr>
        <w:t>24</w:t>
      </w:r>
      <w:r w:rsidR="00B4531A">
        <w:rPr>
          <w:rFonts w:asciiTheme="minorHAnsi" w:hAnsiTheme="minorHAnsi"/>
          <w:sz w:val="20"/>
          <w:szCs w:val="20"/>
        </w:rPr>
        <w:t>,</w:t>
      </w:r>
      <w:r w:rsidRPr="00B4531A">
        <w:rPr>
          <w:rFonts w:asciiTheme="minorHAnsi" w:hAnsiTheme="minorHAnsi"/>
          <w:sz w:val="20"/>
          <w:szCs w:val="20"/>
        </w:rPr>
        <w:t xml:space="preserve"> discuss the theme of rebirth and the cyclical nature of the </w:t>
      </w:r>
      <w:r w:rsidRPr="00B4531A">
        <w:rPr>
          <w:rFonts w:asciiTheme="minorHAnsi" w:hAnsiTheme="minorHAnsi"/>
          <w:i/>
          <w:sz w:val="20"/>
          <w:szCs w:val="20"/>
        </w:rPr>
        <w:t>immrama</w:t>
      </w:r>
      <w:r w:rsidRPr="00B4531A">
        <w:rPr>
          <w:rFonts w:asciiTheme="minorHAnsi" w:hAnsiTheme="minorHAnsi"/>
          <w:sz w:val="20"/>
          <w:szCs w:val="20"/>
        </w:rPr>
        <w:t>. For Wooding</w:t>
      </w:r>
      <w:r w:rsidR="00B4531A">
        <w:rPr>
          <w:rFonts w:asciiTheme="minorHAnsi" w:hAnsiTheme="minorHAnsi"/>
          <w:sz w:val="20"/>
          <w:szCs w:val="20"/>
        </w:rPr>
        <w:t xml:space="preserve">, </w:t>
      </w:r>
      <w:r w:rsidR="00B4531A" w:rsidRPr="00B4531A">
        <w:rPr>
          <w:rFonts w:asciiTheme="minorHAnsi" w:hAnsiTheme="minorHAnsi"/>
          <w:i/>
          <w:sz w:val="20"/>
          <w:szCs w:val="20"/>
        </w:rPr>
        <w:t>The Otherworld Voyage</w:t>
      </w:r>
      <w:r w:rsidR="00B4531A">
        <w:rPr>
          <w:rFonts w:asciiTheme="minorHAnsi" w:hAnsiTheme="minorHAnsi"/>
          <w:sz w:val="20"/>
          <w:szCs w:val="20"/>
        </w:rPr>
        <w:t>, p.</w:t>
      </w:r>
      <w:r w:rsidRPr="00B4531A">
        <w:rPr>
          <w:rFonts w:asciiTheme="minorHAnsi" w:hAnsiTheme="minorHAnsi"/>
          <w:sz w:val="20"/>
          <w:szCs w:val="20"/>
        </w:rPr>
        <w:t xml:space="preserve">xiv “If all the elements need not necessarily be of Christian origin it is necessary to understand them nonetheless as products of a Christian </w:t>
      </w:r>
      <w:r w:rsidRPr="00B4531A">
        <w:rPr>
          <w:rFonts w:asciiTheme="minorHAnsi" w:hAnsiTheme="minorHAnsi"/>
          <w:i/>
          <w:sz w:val="20"/>
          <w:szCs w:val="20"/>
        </w:rPr>
        <w:t>milleu</w:t>
      </w:r>
      <w:r w:rsidRPr="00B4531A">
        <w:rPr>
          <w:rFonts w:asciiTheme="minorHAnsi" w:hAnsiTheme="minorHAnsi"/>
          <w:sz w:val="20"/>
          <w:szCs w:val="20"/>
        </w:rPr>
        <w:t>.” Williams</w:t>
      </w:r>
      <w:r w:rsidR="00B4531A">
        <w:rPr>
          <w:rFonts w:asciiTheme="minorHAnsi" w:hAnsiTheme="minorHAnsi"/>
          <w:sz w:val="20"/>
          <w:szCs w:val="20"/>
        </w:rPr>
        <w:t xml:space="preserve">, </w:t>
      </w:r>
      <w:r w:rsidR="00B4531A" w:rsidRPr="00B4531A">
        <w:rPr>
          <w:rFonts w:asciiTheme="minorHAnsi" w:hAnsiTheme="minorHAnsi"/>
          <w:i/>
          <w:sz w:val="20"/>
          <w:szCs w:val="20"/>
        </w:rPr>
        <w:t>Ireland’s Immortals</w:t>
      </w:r>
      <w:r w:rsidR="00B4531A">
        <w:rPr>
          <w:rFonts w:asciiTheme="minorHAnsi" w:hAnsiTheme="minorHAnsi"/>
          <w:sz w:val="20"/>
          <w:szCs w:val="20"/>
        </w:rPr>
        <w:t>,</w:t>
      </w:r>
      <w:r w:rsidRPr="00B4531A">
        <w:rPr>
          <w:rFonts w:asciiTheme="minorHAnsi" w:hAnsiTheme="minorHAnsi"/>
          <w:sz w:val="20"/>
          <w:szCs w:val="20"/>
        </w:rPr>
        <w:t xml:space="preserve"> [2016: 480] sums up the current scholarly trend for being sceptical as to how much Pre-Christian spiritual imagery can be gleaned from Irish texts</w:t>
      </w:r>
      <w:r w:rsidR="00B4531A">
        <w:rPr>
          <w:rFonts w:asciiTheme="minorHAnsi" w:hAnsiTheme="minorHAnsi"/>
          <w:sz w:val="20"/>
          <w:szCs w:val="20"/>
        </w:rPr>
        <w:t xml:space="preserve"> from the medieval period. The</w:t>
      </w:r>
      <w:r w:rsidRPr="00B4531A">
        <w:rPr>
          <w:rFonts w:asciiTheme="minorHAnsi" w:hAnsiTheme="minorHAnsi"/>
          <w:sz w:val="20"/>
          <w:szCs w:val="20"/>
        </w:rPr>
        <w:t xml:space="preserve"> Otherworld motifs, common to many Irish and Welsh myths, don’t seem to belong in MD, other than, as Hughes</w:t>
      </w:r>
      <w:r w:rsidR="00B4531A">
        <w:rPr>
          <w:rFonts w:asciiTheme="minorHAnsi" w:hAnsiTheme="minorHAnsi"/>
          <w:sz w:val="20"/>
          <w:szCs w:val="20"/>
        </w:rPr>
        <w:t xml:space="preserve">, </w:t>
      </w:r>
      <w:r w:rsidR="00B4531A" w:rsidRPr="00B4531A">
        <w:rPr>
          <w:rFonts w:asciiTheme="minorHAnsi" w:hAnsiTheme="minorHAnsi"/>
          <w:i/>
          <w:sz w:val="20"/>
          <w:szCs w:val="20"/>
        </w:rPr>
        <w:t>The Church</w:t>
      </w:r>
      <w:r w:rsidRPr="00B4531A">
        <w:rPr>
          <w:rFonts w:asciiTheme="minorHAnsi" w:hAnsiTheme="minorHAnsi"/>
          <w:sz w:val="20"/>
          <w:szCs w:val="20"/>
        </w:rPr>
        <w:t xml:space="preserve"> </w:t>
      </w:r>
      <w:r w:rsidR="00B4531A">
        <w:rPr>
          <w:rFonts w:asciiTheme="minorHAnsi" w:hAnsiTheme="minorHAnsi"/>
          <w:sz w:val="20"/>
          <w:szCs w:val="20"/>
        </w:rPr>
        <w:t xml:space="preserve">in Oskamp, </w:t>
      </w:r>
      <w:r w:rsidR="00B4531A" w:rsidRPr="00B4531A">
        <w:rPr>
          <w:rFonts w:asciiTheme="minorHAnsi" w:hAnsiTheme="minorHAnsi"/>
          <w:i/>
          <w:sz w:val="20"/>
          <w:szCs w:val="20"/>
        </w:rPr>
        <w:t>The Voyage</w:t>
      </w:r>
      <w:r w:rsidR="00B4531A">
        <w:rPr>
          <w:rFonts w:asciiTheme="minorHAnsi" w:hAnsiTheme="minorHAnsi"/>
          <w:i/>
          <w:sz w:val="20"/>
          <w:szCs w:val="20"/>
        </w:rPr>
        <w:t>,</w:t>
      </w:r>
      <w:r w:rsidRPr="00B4531A">
        <w:rPr>
          <w:rFonts w:asciiTheme="minorHAnsi" w:hAnsiTheme="minorHAnsi"/>
          <w:sz w:val="20"/>
          <w:szCs w:val="20"/>
        </w:rPr>
        <w:t xml:space="preserve"> believed, fantastical elements, until we look at them within the context of remnants in other tales, </w:t>
      </w:r>
      <w:r w:rsidR="00B4531A">
        <w:rPr>
          <w:rFonts w:asciiTheme="minorHAnsi" w:hAnsiTheme="minorHAnsi"/>
          <w:sz w:val="20"/>
          <w:szCs w:val="20"/>
        </w:rPr>
        <w:t>such as those in the Mabinogion</w:t>
      </w:r>
      <w:r w:rsidRPr="00B4531A">
        <w:rPr>
          <w:rFonts w:asciiTheme="minorHAnsi" w:hAnsiTheme="minorHAnsi"/>
          <w:sz w:val="20"/>
          <w:szCs w:val="20"/>
        </w:rPr>
        <w:t xml:space="preserve"> and the </w:t>
      </w:r>
      <w:r w:rsidRPr="00B4531A">
        <w:rPr>
          <w:rFonts w:asciiTheme="minorHAnsi" w:hAnsiTheme="minorHAnsi"/>
          <w:i/>
          <w:sz w:val="20"/>
          <w:szCs w:val="20"/>
        </w:rPr>
        <w:t>Echtrae</w:t>
      </w:r>
      <w:r w:rsidRPr="00B4531A">
        <w:rPr>
          <w:rFonts w:asciiTheme="minorHAnsi" w:hAnsiTheme="minorHAnsi"/>
          <w:sz w:val="20"/>
          <w:szCs w:val="20"/>
        </w:rPr>
        <w:t>, and see how the author might have created his moral tale by overlaying elements from a pagan journey to the Otherworld myth with a sea faring voyage, which may, or may not have taken its theme from NB.</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F51AF" w:rsidRDefault="001F51AF">
    <w:pPr>
      <w:pStyle w:val="Header"/>
    </w:pPr>
    <w:r>
      <w:t>MA Ecology &amp; Spirituality</w:t>
    </w:r>
    <w:r>
      <w:ptab w:relativeTo="margin" w:alignment="center" w:leader="none"/>
    </w:r>
    <w:r>
      <w:t>Celtic Otherworlds CYCS7019</w:t>
    </w:r>
    <w:r>
      <w:ptab w:relativeTo="margin" w:alignment="right" w:leader="none"/>
    </w:r>
    <w:r>
      <w:t>Stephanie AW Bradley 2018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1E5041B"/>
    <w:multiLevelType w:val="hybridMultilevel"/>
    <w:tmpl w:val="A3465F7C"/>
    <w:lvl w:ilvl="0" w:tplc="F206686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8F20CEA"/>
    <w:multiLevelType w:val="multilevel"/>
    <w:tmpl w:val="FE300184"/>
    <w:lvl w:ilvl="0">
      <w:start w:val="1"/>
      <w:numFmt w:val="decimal"/>
      <w:lvlText w:val="%1."/>
      <w:lvlJc w:val="left"/>
      <w:pPr>
        <w:ind w:left="720" w:hanging="360"/>
      </w:pPr>
      <w:rPr>
        <w:rFonts w:hint="default"/>
      </w:rPr>
    </w:lvl>
    <w:lvl w:ilvl="1">
      <w:start w:val="1"/>
      <w:numFmt w:val="decimal"/>
      <w:isLgl/>
      <w:lvlText w:val="%1.%2"/>
      <w:lvlJc w:val="left"/>
      <w:pPr>
        <w:ind w:left="1200" w:hanging="48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abstractNum w:abstractNumId="2" w15:restartNumberingAfterBreak="0">
    <w:nsid w:val="60F4459E"/>
    <w:multiLevelType w:val="hybridMultilevel"/>
    <w:tmpl w:val="C09E29A8"/>
    <w:lvl w:ilvl="0" w:tplc="6C82305C">
      <w:start w:val="5"/>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28E2"/>
    <w:rsid w:val="000010C1"/>
    <w:rsid w:val="00007E2E"/>
    <w:rsid w:val="000148EE"/>
    <w:rsid w:val="00031179"/>
    <w:rsid w:val="000367F0"/>
    <w:rsid w:val="00045A22"/>
    <w:rsid w:val="000563BE"/>
    <w:rsid w:val="000566B7"/>
    <w:rsid w:val="00056B1C"/>
    <w:rsid w:val="000832C5"/>
    <w:rsid w:val="00091239"/>
    <w:rsid w:val="000A1180"/>
    <w:rsid w:val="000A545F"/>
    <w:rsid w:val="000B609A"/>
    <w:rsid w:val="000C5629"/>
    <w:rsid w:val="000C65BC"/>
    <w:rsid w:val="000D0464"/>
    <w:rsid w:val="000D2741"/>
    <w:rsid w:val="000E2B2C"/>
    <w:rsid w:val="000E571C"/>
    <w:rsid w:val="000F034E"/>
    <w:rsid w:val="000F27BC"/>
    <w:rsid w:val="000F4DB7"/>
    <w:rsid w:val="000F5D54"/>
    <w:rsid w:val="000F7D2F"/>
    <w:rsid w:val="001056CE"/>
    <w:rsid w:val="00107B03"/>
    <w:rsid w:val="001137A1"/>
    <w:rsid w:val="001226A6"/>
    <w:rsid w:val="00122D1B"/>
    <w:rsid w:val="00131F77"/>
    <w:rsid w:val="00136503"/>
    <w:rsid w:val="001403B7"/>
    <w:rsid w:val="001531AD"/>
    <w:rsid w:val="00154292"/>
    <w:rsid w:val="001578A1"/>
    <w:rsid w:val="00172B2D"/>
    <w:rsid w:val="0017517B"/>
    <w:rsid w:val="00185520"/>
    <w:rsid w:val="00186015"/>
    <w:rsid w:val="001A1687"/>
    <w:rsid w:val="001B7B2A"/>
    <w:rsid w:val="001D0EAD"/>
    <w:rsid w:val="001D151C"/>
    <w:rsid w:val="001F0810"/>
    <w:rsid w:val="001F51AF"/>
    <w:rsid w:val="0020113A"/>
    <w:rsid w:val="00202DBE"/>
    <w:rsid w:val="0021149D"/>
    <w:rsid w:val="0021563D"/>
    <w:rsid w:val="0021572F"/>
    <w:rsid w:val="00222F30"/>
    <w:rsid w:val="002317A7"/>
    <w:rsid w:val="00243F90"/>
    <w:rsid w:val="0024736D"/>
    <w:rsid w:val="00252237"/>
    <w:rsid w:val="00254D95"/>
    <w:rsid w:val="002555CA"/>
    <w:rsid w:val="00256F5A"/>
    <w:rsid w:val="00262486"/>
    <w:rsid w:val="002644CA"/>
    <w:rsid w:val="00271B81"/>
    <w:rsid w:val="00282C9F"/>
    <w:rsid w:val="002848E3"/>
    <w:rsid w:val="00287260"/>
    <w:rsid w:val="00293764"/>
    <w:rsid w:val="00297841"/>
    <w:rsid w:val="00297E98"/>
    <w:rsid w:val="002A6F3D"/>
    <w:rsid w:val="002B1DF8"/>
    <w:rsid w:val="002B4238"/>
    <w:rsid w:val="002D2149"/>
    <w:rsid w:val="002D224D"/>
    <w:rsid w:val="002D39CC"/>
    <w:rsid w:val="002E0BCA"/>
    <w:rsid w:val="00303F73"/>
    <w:rsid w:val="003233AC"/>
    <w:rsid w:val="003261DF"/>
    <w:rsid w:val="00332D63"/>
    <w:rsid w:val="00333C60"/>
    <w:rsid w:val="00341876"/>
    <w:rsid w:val="00353149"/>
    <w:rsid w:val="00354D87"/>
    <w:rsid w:val="003714F0"/>
    <w:rsid w:val="00376C28"/>
    <w:rsid w:val="003774D1"/>
    <w:rsid w:val="003A182C"/>
    <w:rsid w:val="003B2AD1"/>
    <w:rsid w:val="003B690D"/>
    <w:rsid w:val="003D22CB"/>
    <w:rsid w:val="003E29AB"/>
    <w:rsid w:val="003E63F7"/>
    <w:rsid w:val="003F0220"/>
    <w:rsid w:val="003F1563"/>
    <w:rsid w:val="003F6974"/>
    <w:rsid w:val="00406377"/>
    <w:rsid w:val="00406676"/>
    <w:rsid w:val="00420530"/>
    <w:rsid w:val="004250C4"/>
    <w:rsid w:val="004268C8"/>
    <w:rsid w:val="00426ED6"/>
    <w:rsid w:val="00431AD9"/>
    <w:rsid w:val="004344A6"/>
    <w:rsid w:val="004375A1"/>
    <w:rsid w:val="00441FFA"/>
    <w:rsid w:val="00447121"/>
    <w:rsid w:val="00462791"/>
    <w:rsid w:val="004707F0"/>
    <w:rsid w:val="00471F6B"/>
    <w:rsid w:val="00493232"/>
    <w:rsid w:val="004952F8"/>
    <w:rsid w:val="0049672B"/>
    <w:rsid w:val="00497C76"/>
    <w:rsid w:val="004A4866"/>
    <w:rsid w:val="004B0267"/>
    <w:rsid w:val="004B3274"/>
    <w:rsid w:val="004B78B5"/>
    <w:rsid w:val="004C4B85"/>
    <w:rsid w:val="004D0AB5"/>
    <w:rsid w:val="004D45B9"/>
    <w:rsid w:val="004E0B61"/>
    <w:rsid w:val="004E3307"/>
    <w:rsid w:val="004F0309"/>
    <w:rsid w:val="00507298"/>
    <w:rsid w:val="005073D6"/>
    <w:rsid w:val="00521A99"/>
    <w:rsid w:val="00527ED6"/>
    <w:rsid w:val="00530D8F"/>
    <w:rsid w:val="00534266"/>
    <w:rsid w:val="005520B4"/>
    <w:rsid w:val="00555C87"/>
    <w:rsid w:val="00567F4D"/>
    <w:rsid w:val="00573DC9"/>
    <w:rsid w:val="00574F77"/>
    <w:rsid w:val="00576212"/>
    <w:rsid w:val="00576F3E"/>
    <w:rsid w:val="00584923"/>
    <w:rsid w:val="005947F8"/>
    <w:rsid w:val="005A3252"/>
    <w:rsid w:val="005A456E"/>
    <w:rsid w:val="005A6230"/>
    <w:rsid w:val="005B0319"/>
    <w:rsid w:val="005B4F4B"/>
    <w:rsid w:val="005B67DA"/>
    <w:rsid w:val="005E274F"/>
    <w:rsid w:val="005E4B5D"/>
    <w:rsid w:val="005F1751"/>
    <w:rsid w:val="00610EA9"/>
    <w:rsid w:val="006120EA"/>
    <w:rsid w:val="00624077"/>
    <w:rsid w:val="00625E0F"/>
    <w:rsid w:val="006306D4"/>
    <w:rsid w:val="00635A58"/>
    <w:rsid w:val="00655C86"/>
    <w:rsid w:val="00657E28"/>
    <w:rsid w:val="006600AD"/>
    <w:rsid w:val="00676ACA"/>
    <w:rsid w:val="00676B02"/>
    <w:rsid w:val="0068017D"/>
    <w:rsid w:val="0068386B"/>
    <w:rsid w:val="00683D62"/>
    <w:rsid w:val="00686662"/>
    <w:rsid w:val="006901E0"/>
    <w:rsid w:val="0069371C"/>
    <w:rsid w:val="006A2949"/>
    <w:rsid w:val="006A2F6B"/>
    <w:rsid w:val="006B27D4"/>
    <w:rsid w:val="006B4F6A"/>
    <w:rsid w:val="006C2584"/>
    <w:rsid w:val="006D3DA1"/>
    <w:rsid w:val="006D414C"/>
    <w:rsid w:val="006D4BCA"/>
    <w:rsid w:val="006E0359"/>
    <w:rsid w:val="006E1337"/>
    <w:rsid w:val="006E2BB6"/>
    <w:rsid w:val="006F19C9"/>
    <w:rsid w:val="007037D2"/>
    <w:rsid w:val="00713A08"/>
    <w:rsid w:val="00716259"/>
    <w:rsid w:val="00717D15"/>
    <w:rsid w:val="00727953"/>
    <w:rsid w:val="00732B07"/>
    <w:rsid w:val="00735566"/>
    <w:rsid w:val="00736A6C"/>
    <w:rsid w:val="00742B8C"/>
    <w:rsid w:val="00744D99"/>
    <w:rsid w:val="00752F85"/>
    <w:rsid w:val="007570C0"/>
    <w:rsid w:val="00776BFD"/>
    <w:rsid w:val="00784868"/>
    <w:rsid w:val="007865C6"/>
    <w:rsid w:val="00791D35"/>
    <w:rsid w:val="007A5DEA"/>
    <w:rsid w:val="007B3E75"/>
    <w:rsid w:val="007D3555"/>
    <w:rsid w:val="007E0AC6"/>
    <w:rsid w:val="007E2CCA"/>
    <w:rsid w:val="007E4CCB"/>
    <w:rsid w:val="007E5B20"/>
    <w:rsid w:val="007F0283"/>
    <w:rsid w:val="007F2CD0"/>
    <w:rsid w:val="007F3410"/>
    <w:rsid w:val="008000C3"/>
    <w:rsid w:val="008001B0"/>
    <w:rsid w:val="008055CD"/>
    <w:rsid w:val="0080714D"/>
    <w:rsid w:val="008102AE"/>
    <w:rsid w:val="00812777"/>
    <w:rsid w:val="00815048"/>
    <w:rsid w:val="00816764"/>
    <w:rsid w:val="00816D0A"/>
    <w:rsid w:val="00822F06"/>
    <w:rsid w:val="00823DD2"/>
    <w:rsid w:val="00844E1E"/>
    <w:rsid w:val="00851A0C"/>
    <w:rsid w:val="00870FB9"/>
    <w:rsid w:val="00885333"/>
    <w:rsid w:val="008938B7"/>
    <w:rsid w:val="00894164"/>
    <w:rsid w:val="008B376F"/>
    <w:rsid w:val="008B4C9F"/>
    <w:rsid w:val="008B69D9"/>
    <w:rsid w:val="008C3442"/>
    <w:rsid w:val="008D0200"/>
    <w:rsid w:val="008D1296"/>
    <w:rsid w:val="008E3F50"/>
    <w:rsid w:val="008F2412"/>
    <w:rsid w:val="008F4D3F"/>
    <w:rsid w:val="008F7784"/>
    <w:rsid w:val="00904A66"/>
    <w:rsid w:val="00911A17"/>
    <w:rsid w:val="0091249C"/>
    <w:rsid w:val="0091564C"/>
    <w:rsid w:val="00920C1A"/>
    <w:rsid w:val="0092377A"/>
    <w:rsid w:val="0092389A"/>
    <w:rsid w:val="00935111"/>
    <w:rsid w:val="0093664F"/>
    <w:rsid w:val="00942D14"/>
    <w:rsid w:val="0094373D"/>
    <w:rsid w:val="00943951"/>
    <w:rsid w:val="009473DF"/>
    <w:rsid w:val="00950B94"/>
    <w:rsid w:val="00957FC4"/>
    <w:rsid w:val="009665DF"/>
    <w:rsid w:val="00966FF3"/>
    <w:rsid w:val="009768CE"/>
    <w:rsid w:val="00977F03"/>
    <w:rsid w:val="0098565D"/>
    <w:rsid w:val="00986853"/>
    <w:rsid w:val="00986986"/>
    <w:rsid w:val="009942CB"/>
    <w:rsid w:val="00997F34"/>
    <w:rsid w:val="009A0665"/>
    <w:rsid w:val="009A3F11"/>
    <w:rsid w:val="009B4622"/>
    <w:rsid w:val="009C7E9E"/>
    <w:rsid w:val="009D4C88"/>
    <w:rsid w:val="009D4E61"/>
    <w:rsid w:val="009D655C"/>
    <w:rsid w:val="009E28EF"/>
    <w:rsid w:val="009E3D08"/>
    <w:rsid w:val="00A07CBD"/>
    <w:rsid w:val="00A2523F"/>
    <w:rsid w:val="00A2543E"/>
    <w:rsid w:val="00A27AE0"/>
    <w:rsid w:val="00A31910"/>
    <w:rsid w:val="00A43FA5"/>
    <w:rsid w:val="00A4603F"/>
    <w:rsid w:val="00A47C01"/>
    <w:rsid w:val="00A47E2F"/>
    <w:rsid w:val="00A5086A"/>
    <w:rsid w:val="00A52F6D"/>
    <w:rsid w:val="00A54122"/>
    <w:rsid w:val="00A764FC"/>
    <w:rsid w:val="00A77774"/>
    <w:rsid w:val="00A84812"/>
    <w:rsid w:val="00A867CB"/>
    <w:rsid w:val="00A9559F"/>
    <w:rsid w:val="00AA2B60"/>
    <w:rsid w:val="00AA551B"/>
    <w:rsid w:val="00AC0056"/>
    <w:rsid w:val="00AC4178"/>
    <w:rsid w:val="00AC710B"/>
    <w:rsid w:val="00AC7AAE"/>
    <w:rsid w:val="00AC7B1D"/>
    <w:rsid w:val="00AD1277"/>
    <w:rsid w:val="00AF2F36"/>
    <w:rsid w:val="00AF3853"/>
    <w:rsid w:val="00AF4DCF"/>
    <w:rsid w:val="00B01292"/>
    <w:rsid w:val="00B03E17"/>
    <w:rsid w:val="00B04705"/>
    <w:rsid w:val="00B112D0"/>
    <w:rsid w:val="00B1587D"/>
    <w:rsid w:val="00B16A74"/>
    <w:rsid w:val="00B17B2F"/>
    <w:rsid w:val="00B32BE2"/>
    <w:rsid w:val="00B35894"/>
    <w:rsid w:val="00B4531A"/>
    <w:rsid w:val="00B5289E"/>
    <w:rsid w:val="00B7511F"/>
    <w:rsid w:val="00B76A46"/>
    <w:rsid w:val="00B77123"/>
    <w:rsid w:val="00B804E9"/>
    <w:rsid w:val="00B933ED"/>
    <w:rsid w:val="00BA1D66"/>
    <w:rsid w:val="00BA4FE1"/>
    <w:rsid w:val="00BA5E35"/>
    <w:rsid w:val="00BB3026"/>
    <w:rsid w:val="00BB59F3"/>
    <w:rsid w:val="00BC6177"/>
    <w:rsid w:val="00BE0D7C"/>
    <w:rsid w:val="00BE5399"/>
    <w:rsid w:val="00BE75C6"/>
    <w:rsid w:val="00BF18A3"/>
    <w:rsid w:val="00BF5032"/>
    <w:rsid w:val="00C130B1"/>
    <w:rsid w:val="00C2651B"/>
    <w:rsid w:val="00C2732F"/>
    <w:rsid w:val="00C31161"/>
    <w:rsid w:val="00C416E0"/>
    <w:rsid w:val="00C455AC"/>
    <w:rsid w:val="00C52AC0"/>
    <w:rsid w:val="00C53EFA"/>
    <w:rsid w:val="00C76CAB"/>
    <w:rsid w:val="00C92563"/>
    <w:rsid w:val="00CA585A"/>
    <w:rsid w:val="00CA696F"/>
    <w:rsid w:val="00CA7E6C"/>
    <w:rsid w:val="00CB0988"/>
    <w:rsid w:val="00CB35DE"/>
    <w:rsid w:val="00CC2AFD"/>
    <w:rsid w:val="00CC50E0"/>
    <w:rsid w:val="00CD0A06"/>
    <w:rsid w:val="00CD17F8"/>
    <w:rsid w:val="00CD793B"/>
    <w:rsid w:val="00CF354B"/>
    <w:rsid w:val="00CF48D9"/>
    <w:rsid w:val="00D12E1A"/>
    <w:rsid w:val="00D32F9E"/>
    <w:rsid w:val="00D334C5"/>
    <w:rsid w:val="00D35AD4"/>
    <w:rsid w:val="00D363DC"/>
    <w:rsid w:val="00D36AF7"/>
    <w:rsid w:val="00D37CF8"/>
    <w:rsid w:val="00D45568"/>
    <w:rsid w:val="00D47CE7"/>
    <w:rsid w:val="00D510ED"/>
    <w:rsid w:val="00D57B04"/>
    <w:rsid w:val="00D60DC2"/>
    <w:rsid w:val="00D721A1"/>
    <w:rsid w:val="00D728E2"/>
    <w:rsid w:val="00D73EF0"/>
    <w:rsid w:val="00D759ED"/>
    <w:rsid w:val="00D760E8"/>
    <w:rsid w:val="00D84331"/>
    <w:rsid w:val="00D926F8"/>
    <w:rsid w:val="00DA4585"/>
    <w:rsid w:val="00DB0091"/>
    <w:rsid w:val="00DB54D0"/>
    <w:rsid w:val="00DB6D89"/>
    <w:rsid w:val="00DC128B"/>
    <w:rsid w:val="00DC2DD6"/>
    <w:rsid w:val="00DC56FD"/>
    <w:rsid w:val="00DD3840"/>
    <w:rsid w:val="00DD6B69"/>
    <w:rsid w:val="00DE064D"/>
    <w:rsid w:val="00DE7A03"/>
    <w:rsid w:val="00DF11E6"/>
    <w:rsid w:val="00DF2128"/>
    <w:rsid w:val="00DF2B96"/>
    <w:rsid w:val="00E00C74"/>
    <w:rsid w:val="00E234EB"/>
    <w:rsid w:val="00E24B57"/>
    <w:rsid w:val="00E255EC"/>
    <w:rsid w:val="00E260A5"/>
    <w:rsid w:val="00E37D71"/>
    <w:rsid w:val="00E415CB"/>
    <w:rsid w:val="00E426C9"/>
    <w:rsid w:val="00E568AC"/>
    <w:rsid w:val="00E613F8"/>
    <w:rsid w:val="00E67ABE"/>
    <w:rsid w:val="00E755E4"/>
    <w:rsid w:val="00EA6E92"/>
    <w:rsid w:val="00EB3652"/>
    <w:rsid w:val="00EC0748"/>
    <w:rsid w:val="00EC1A13"/>
    <w:rsid w:val="00EC45BD"/>
    <w:rsid w:val="00EC70E3"/>
    <w:rsid w:val="00EE1DE0"/>
    <w:rsid w:val="00EE5277"/>
    <w:rsid w:val="00EF0756"/>
    <w:rsid w:val="00EF6EF5"/>
    <w:rsid w:val="00F032DD"/>
    <w:rsid w:val="00F10404"/>
    <w:rsid w:val="00F113D8"/>
    <w:rsid w:val="00F16426"/>
    <w:rsid w:val="00F16C63"/>
    <w:rsid w:val="00F2357A"/>
    <w:rsid w:val="00F41CE7"/>
    <w:rsid w:val="00F42225"/>
    <w:rsid w:val="00F431DA"/>
    <w:rsid w:val="00F64E35"/>
    <w:rsid w:val="00F6556F"/>
    <w:rsid w:val="00F664DC"/>
    <w:rsid w:val="00F671B2"/>
    <w:rsid w:val="00F84CB5"/>
    <w:rsid w:val="00FA01CA"/>
    <w:rsid w:val="00FB2469"/>
    <w:rsid w:val="00FB3225"/>
    <w:rsid w:val="00FC7CDE"/>
    <w:rsid w:val="00FD0B82"/>
    <w:rsid w:val="00FD64C2"/>
    <w:rsid w:val="00FD7AAD"/>
    <w:rsid w:val="00FE1C1A"/>
    <w:rsid w:val="00FE2024"/>
    <w:rsid w:val="00FE4621"/>
    <w:rsid w:val="00FE67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24F5A853-0F61-48F5-AE00-ADE091A946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728E2"/>
  </w:style>
  <w:style w:type="paragraph" w:styleId="Heading1">
    <w:name w:val="heading 1"/>
    <w:basedOn w:val="Normal"/>
    <w:link w:val="Heading1Char"/>
    <w:uiPriority w:val="9"/>
    <w:qFormat/>
    <w:rsid w:val="00894164"/>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BA4FE1"/>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D728E2"/>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D728E2"/>
  </w:style>
  <w:style w:type="paragraph" w:styleId="Footer">
    <w:name w:val="footer"/>
    <w:basedOn w:val="Normal"/>
    <w:link w:val="FooterChar"/>
    <w:uiPriority w:val="99"/>
    <w:unhideWhenUsed/>
    <w:rsid w:val="00D728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28E2"/>
  </w:style>
  <w:style w:type="paragraph" w:styleId="BalloonText">
    <w:name w:val="Balloon Text"/>
    <w:basedOn w:val="Normal"/>
    <w:link w:val="BalloonTextChar"/>
    <w:uiPriority w:val="99"/>
    <w:semiHidden/>
    <w:unhideWhenUsed/>
    <w:rsid w:val="00D728E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728E2"/>
    <w:rPr>
      <w:rFonts w:ascii="Tahoma" w:hAnsi="Tahoma" w:cs="Tahoma"/>
      <w:sz w:val="16"/>
      <w:szCs w:val="16"/>
    </w:rPr>
  </w:style>
  <w:style w:type="paragraph" w:styleId="ListParagraph">
    <w:name w:val="List Paragraph"/>
    <w:basedOn w:val="Normal"/>
    <w:uiPriority w:val="34"/>
    <w:qFormat/>
    <w:rsid w:val="00D728E2"/>
    <w:pPr>
      <w:ind w:left="720"/>
      <w:contextualSpacing/>
    </w:pPr>
  </w:style>
  <w:style w:type="paragraph" w:styleId="FootnoteText">
    <w:name w:val="footnote text"/>
    <w:basedOn w:val="Normal"/>
    <w:link w:val="FootnoteTextChar"/>
    <w:uiPriority w:val="99"/>
    <w:semiHidden/>
    <w:unhideWhenUsed/>
    <w:rsid w:val="001D151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D151C"/>
    <w:rPr>
      <w:sz w:val="20"/>
      <w:szCs w:val="20"/>
    </w:rPr>
  </w:style>
  <w:style w:type="character" w:styleId="FootnoteReference">
    <w:name w:val="footnote reference"/>
    <w:basedOn w:val="DefaultParagraphFont"/>
    <w:uiPriority w:val="99"/>
    <w:semiHidden/>
    <w:unhideWhenUsed/>
    <w:rsid w:val="001D151C"/>
    <w:rPr>
      <w:vertAlign w:val="superscript"/>
    </w:rPr>
  </w:style>
  <w:style w:type="character" w:styleId="PlaceholderText">
    <w:name w:val="Placeholder Text"/>
    <w:basedOn w:val="DefaultParagraphFont"/>
    <w:uiPriority w:val="99"/>
    <w:semiHidden/>
    <w:rsid w:val="008000C3"/>
    <w:rPr>
      <w:color w:val="808080"/>
    </w:rPr>
  </w:style>
  <w:style w:type="character" w:styleId="Hyperlink">
    <w:name w:val="Hyperlink"/>
    <w:basedOn w:val="DefaultParagraphFont"/>
    <w:uiPriority w:val="99"/>
    <w:unhideWhenUsed/>
    <w:rsid w:val="00DC56FD"/>
    <w:rPr>
      <w:color w:val="0000FF" w:themeColor="hyperlink"/>
      <w:u w:val="single"/>
    </w:rPr>
  </w:style>
  <w:style w:type="paragraph" w:styleId="NormalWeb">
    <w:name w:val="Normal (Web)"/>
    <w:basedOn w:val="Normal"/>
    <w:uiPriority w:val="99"/>
    <w:unhideWhenUsed/>
    <w:rsid w:val="00122D1B"/>
    <w:pPr>
      <w:spacing w:before="100" w:beforeAutospacing="1" w:after="100" w:afterAutospacing="1" w:line="240" w:lineRule="auto"/>
    </w:pPr>
    <w:rPr>
      <w:rFonts w:ascii="Georgia" w:eastAsia="SimSun" w:hAnsi="Georgia" w:cs="Times New Roman"/>
      <w:color w:val="000000"/>
      <w:sz w:val="21"/>
      <w:szCs w:val="21"/>
      <w:lang w:eastAsia="zh-CN"/>
    </w:rPr>
  </w:style>
  <w:style w:type="character" w:customStyle="1" w:styleId="Heading1Char">
    <w:name w:val="Heading 1 Char"/>
    <w:basedOn w:val="DefaultParagraphFont"/>
    <w:link w:val="Heading1"/>
    <w:uiPriority w:val="9"/>
    <w:rsid w:val="00894164"/>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BA4FE1"/>
    <w:rPr>
      <w:rFonts w:asciiTheme="majorHAnsi" w:eastAsiaTheme="majorEastAsia" w:hAnsiTheme="majorHAnsi" w:cstheme="majorBidi"/>
      <w:b/>
      <w:bCs/>
      <w:color w:val="4F81BD" w:themeColor="accent1"/>
      <w:sz w:val="26"/>
      <w:szCs w:val="26"/>
    </w:rPr>
  </w:style>
  <w:style w:type="table" w:styleId="TableGrid">
    <w:name w:val="Table Grid"/>
    <w:basedOn w:val="TableNormal"/>
    <w:uiPriority w:val="59"/>
    <w:rsid w:val="00BA4FE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exlavailabilitycallnumber">
    <w:name w:val="exlavailabilitycallnumber"/>
    <w:basedOn w:val="DefaultParagraphFont"/>
    <w:rsid w:val="00BA4FE1"/>
  </w:style>
  <w:style w:type="character" w:customStyle="1" w:styleId="hide-text">
    <w:name w:val="hide-text"/>
    <w:basedOn w:val="DefaultParagraphFont"/>
    <w:rsid w:val="00BA4FE1"/>
  </w:style>
  <w:style w:type="paragraph" w:customStyle="1" w:styleId="Default">
    <w:name w:val="Default"/>
    <w:rsid w:val="00BA4FE1"/>
    <w:pPr>
      <w:autoSpaceDE w:val="0"/>
      <w:autoSpaceDN w:val="0"/>
      <w:adjustRightInd w:val="0"/>
      <w:spacing w:after="0" w:line="240" w:lineRule="auto"/>
    </w:pPr>
    <w:rPr>
      <w:rFonts w:ascii="Code" w:hAnsi="Code" w:cs="Code"/>
      <w:color w:val="000000"/>
      <w:sz w:val="24"/>
      <w:szCs w:val="24"/>
    </w:rPr>
  </w:style>
  <w:style w:type="character" w:styleId="Emphasis">
    <w:name w:val="Emphasis"/>
    <w:basedOn w:val="DefaultParagraphFont"/>
    <w:uiPriority w:val="20"/>
    <w:qFormat/>
    <w:rsid w:val="00BA4FE1"/>
    <w:rPr>
      <w:i/>
      <w:iCs/>
    </w:rPr>
  </w:style>
  <w:style w:type="paragraph" w:customStyle="1" w:styleId="citationpreview">
    <w:name w:val="citationpreview"/>
    <w:basedOn w:val="Normal"/>
    <w:rsid w:val="00BA4FE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itleauthoretc">
    <w:name w:val="titleauthoretc"/>
    <w:basedOn w:val="DefaultParagraphFont"/>
    <w:rsid w:val="00BA4FE1"/>
  </w:style>
  <w:style w:type="character" w:styleId="Strong">
    <w:name w:val="Strong"/>
    <w:basedOn w:val="DefaultParagraphFont"/>
    <w:uiPriority w:val="22"/>
    <w:qFormat/>
    <w:rsid w:val="00BA4FE1"/>
    <w:rPr>
      <w:b/>
      <w:bCs/>
    </w:rPr>
  </w:style>
  <w:style w:type="character" w:customStyle="1" w:styleId="price">
    <w:name w:val="price"/>
    <w:basedOn w:val="DefaultParagraphFont"/>
    <w:rsid w:val="00BA4FE1"/>
  </w:style>
  <w:style w:type="character" w:customStyle="1" w:styleId="instancename">
    <w:name w:val="instancename"/>
    <w:basedOn w:val="DefaultParagraphFont"/>
    <w:rsid w:val="00BA4FE1"/>
  </w:style>
  <w:style w:type="character" w:styleId="FollowedHyperlink">
    <w:name w:val="FollowedHyperlink"/>
    <w:basedOn w:val="DefaultParagraphFont"/>
    <w:uiPriority w:val="99"/>
    <w:semiHidden/>
    <w:unhideWhenUsed/>
    <w:rsid w:val="00BA4FE1"/>
    <w:rPr>
      <w:color w:val="800080" w:themeColor="followedHyperlink"/>
      <w:u w:val="single"/>
    </w:rPr>
  </w:style>
  <w:style w:type="paragraph" w:customStyle="1" w:styleId="Pa2">
    <w:name w:val="Pa2"/>
    <w:basedOn w:val="Default"/>
    <w:next w:val="Default"/>
    <w:uiPriority w:val="99"/>
    <w:rsid w:val="00BA4FE1"/>
    <w:pPr>
      <w:spacing w:line="191" w:lineRule="atLeast"/>
    </w:pPr>
    <w:rPr>
      <w:rFonts w:ascii="Gill Sans MT" w:hAnsi="Gill Sans MT" w:cstheme="minorBidi"/>
      <w:color w:val="auto"/>
    </w:rPr>
  </w:style>
  <w:style w:type="paragraph" w:customStyle="1" w:styleId="Pa1">
    <w:name w:val="Pa1"/>
    <w:basedOn w:val="Default"/>
    <w:next w:val="Default"/>
    <w:uiPriority w:val="99"/>
    <w:rsid w:val="00BA4FE1"/>
    <w:pPr>
      <w:spacing w:line="281" w:lineRule="atLeast"/>
    </w:pPr>
    <w:rPr>
      <w:rFonts w:ascii="Gill Sans MT" w:hAnsi="Gill Sans MT" w:cstheme="minorBidi"/>
      <w:color w:val="auto"/>
    </w:rPr>
  </w:style>
  <w:style w:type="paragraph" w:customStyle="1" w:styleId="Pa3">
    <w:name w:val="Pa3"/>
    <w:basedOn w:val="Default"/>
    <w:next w:val="Default"/>
    <w:uiPriority w:val="99"/>
    <w:rsid w:val="00BA4FE1"/>
    <w:pPr>
      <w:spacing w:line="221" w:lineRule="atLeast"/>
    </w:pPr>
    <w:rPr>
      <w:rFonts w:ascii="Gill Sans MT" w:hAnsi="Gill Sans MT" w:cstheme="minorBidi"/>
      <w:color w:val="auto"/>
    </w:rPr>
  </w:style>
  <w:style w:type="character" w:styleId="HTMLCite">
    <w:name w:val="HTML Cite"/>
    <w:basedOn w:val="DefaultParagraphFont"/>
    <w:uiPriority w:val="99"/>
    <w:semiHidden/>
    <w:unhideWhenUsed/>
    <w:rsid w:val="00BA4FE1"/>
    <w:rPr>
      <w:i/>
      <w:iCs/>
    </w:rPr>
  </w:style>
  <w:style w:type="character" w:customStyle="1" w:styleId="smallcaps">
    <w:name w:val="smallcaps"/>
    <w:basedOn w:val="DefaultParagraphFont"/>
    <w:rsid w:val="005A325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0192028">
      <w:bodyDiv w:val="1"/>
      <w:marLeft w:val="0"/>
      <w:marRight w:val="0"/>
      <w:marTop w:val="0"/>
      <w:marBottom w:val="0"/>
      <w:divBdr>
        <w:top w:val="none" w:sz="0" w:space="0" w:color="auto"/>
        <w:left w:val="none" w:sz="0" w:space="0" w:color="auto"/>
        <w:bottom w:val="none" w:sz="0" w:space="0" w:color="auto"/>
        <w:right w:val="none" w:sz="0" w:space="0" w:color="auto"/>
      </w:divBdr>
      <w:divsChild>
        <w:div w:id="1741827032">
          <w:marLeft w:val="0"/>
          <w:marRight w:val="0"/>
          <w:marTop w:val="0"/>
          <w:marBottom w:val="0"/>
          <w:divBdr>
            <w:top w:val="none" w:sz="0" w:space="0" w:color="auto"/>
            <w:left w:val="none" w:sz="0" w:space="0" w:color="auto"/>
            <w:bottom w:val="none" w:sz="0" w:space="0" w:color="auto"/>
            <w:right w:val="none" w:sz="0" w:space="0" w:color="auto"/>
          </w:divBdr>
        </w:div>
        <w:div w:id="292297538">
          <w:marLeft w:val="0"/>
          <w:marRight w:val="0"/>
          <w:marTop w:val="0"/>
          <w:marBottom w:val="0"/>
          <w:divBdr>
            <w:top w:val="none" w:sz="0" w:space="0" w:color="auto"/>
            <w:left w:val="none" w:sz="0" w:space="0" w:color="auto"/>
            <w:bottom w:val="none" w:sz="0" w:space="0" w:color="auto"/>
            <w:right w:val="none" w:sz="0" w:space="0" w:color="auto"/>
          </w:divBdr>
        </w:div>
        <w:div w:id="908731828">
          <w:marLeft w:val="0"/>
          <w:marRight w:val="0"/>
          <w:marTop w:val="0"/>
          <w:marBottom w:val="0"/>
          <w:divBdr>
            <w:top w:val="none" w:sz="0" w:space="0" w:color="auto"/>
            <w:left w:val="none" w:sz="0" w:space="0" w:color="auto"/>
            <w:bottom w:val="none" w:sz="0" w:space="0" w:color="auto"/>
            <w:right w:val="none" w:sz="0" w:space="0" w:color="auto"/>
          </w:divBdr>
        </w:div>
      </w:divsChild>
    </w:div>
    <w:div w:id="1874998752">
      <w:bodyDiv w:val="1"/>
      <w:marLeft w:val="0"/>
      <w:marRight w:val="0"/>
      <w:marTop w:val="0"/>
      <w:marBottom w:val="0"/>
      <w:divBdr>
        <w:top w:val="none" w:sz="0" w:space="0" w:color="auto"/>
        <w:left w:val="none" w:sz="0" w:space="0" w:color="auto"/>
        <w:bottom w:val="none" w:sz="0" w:space="0" w:color="auto"/>
        <w:right w:val="none" w:sz="0" w:space="0" w:color="auto"/>
      </w:divBdr>
    </w:div>
    <w:div w:id="2049797659">
      <w:bodyDiv w:val="1"/>
      <w:marLeft w:val="0"/>
      <w:marRight w:val="0"/>
      <w:marTop w:val="0"/>
      <w:marBottom w:val="0"/>
      <w:divBdr>
        <w:top w:val="none" w:sz="0" w:space="0" w:color="auto"/>
        <w:left w:val="none" w:sz="0" w:space="0" w:color="auto"/>
        <w:bottom w:val="none" w:sz="0" w:space="0" w:color="auto"/>
        <w:right w:val="none" w:sz="0" w:space="0" w:color="auto"/>
      </w:divBdr>
      <w:divsChild>
        <w:div w:id="77872229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13" Type="http://schemas.openxmlformats.org/officeDocument/2006/relationships/hyperlink" Target="file:///C:/Users/User/Downloads/7546-Article%20Text-18256-1-10-20130114.pdf" TargetMode="External"/><Relationship Id="rId18" Type="http://schemas.openxmlformats.org/officeDocument/2006/relationships/hyperlink" Target="https://www.academia.edu/19783791/Celtic_Spells_and_Counterspells" TargetMode="External"/><Relationship Id="rId26" Type="http://schemas.openxmlformats.org/officeDocument/2006/relationships/hyperlink" Target="http://www.jstor.org/stable/1254095" TargetMode="External"/><Relationship Id="rId39" Type="http://schemas.openxmlformats.org/officeDocument/2006/relationships/hyperlink" Target="https://mythicalireland.com/astronomy/the-cygnus-enigma/" TargetMode="External"/><Relationship Id="rId21" Type="http://schemas.openxmlformats.org/officeDocument/2006/relationships/hyperlink" Target="http://www.ricorso.net/rx/library/criticism/classic/Celtiana/Dillon_M/C_Realms/C_Realms03.htm" TargetMode="External"/><Relationship Id="rId34" Type="http://schemas.openxmlformats.org/officeDocument/2006/relationships/hyperlink" Target="http://www.sfks.org/SC_VI_2009_24112010.pdf" TargetMode="External"/><Relationship Id="rId42" Type="http://schemas.openxmlformats.org/officeDocument/2006/relationships/hyperlink" Target="https://www-dawsonera-com.ezproxy.uwtsd.ac.uk/readonline/9781783167937" TargetMode="External"/><Relationship Id="rId47" Type="http://schemas.openxmlformats.org/officeDocument/2006/relationships/hyperlink" Target="https://search-proquest-com.ezproxy.uwtsd.ac.uk/docview/1781337255/fulltextPDF/917889FB99C540B6PQ/1?accountid=130472" TargetMode="External"/><Relationship Id="rId50" Type="http://schemas.openxmlformats.org/officeDocument/2006/relationships/hyperlink" Target="http://www.history.ac.uk/reviews/review/846" TargetMode="External"/><Relationship Id="rId55" Type="http://schemas.openxmlformats.org/officeDocument/2006/relationships/hyperlink" Target="https://s3.amazonaws.com/academia.edu.documents/33804431/Tin_Gold.pdf?AWSAccessKeyId=AKIAIWOWYYGZ2Y53UL3A&amp;Expires=1507829143&amp;Signature=H35DK0R%2B1o%2F8N7Knob6Kkx6TInc%3D&amp;response-content-disposition=inline%3B%20filename%3DEvidence_for_Early_Bronze_Age_tin_and_go.pdf"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thehedgeschool.org/Blog/celebrating-spring-spring-equinox-and-the-cailleach/" TargetMode="External"/><Relationship Id="rId20" Type="http://schemas.openxmlformats.org/officeDocument/2006/relationships/hyperlink" Target="https://www-dawsonera-com.ezproxy.uwtsd.ac.uk/readonline/9781783167937" TargetMode="External"/><Relationship Id="rId29" Type="http://schemas.openxmlformats.org/officeDocument/2006/relationships/hyperlink" Target="https://www.dias.ie/wp-content/uploads/webstore/celt/pubs/celtica/c23/c23-369.pdf" TargetMode="External"/><Relationship Id="rId41" Type="http://schemas.openxmlformats.org/officeDocument/2006/relationships/hyperlink" Target="https://www.academia.edu/36087709/Nash_1975_Arverni_NC" TargetMode="External"/><Relationship Id="rId54" Type="http://schemas.openxmlformats.org/officeDocument/2006/relationships/hyperlink" Target="https://www.academia.edu/7149570/The_Broighter_hoard_-_a_question_of_ownership" TargetMode="External"/><Relationship Id="rId62"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jstor.org/stable/40267537" TargetMode="External"/><Relationship Id="rId24" Type="http://schemas.openxmlformats.org/officeDocument/2006/relationships/hyperlink" Target="http://www.oxforddnb.com.ezproxy.uwtsd.ac.uk/view/10.1093/ref:odnb/9780198614128.001.0001/odnb-9780198614128-e-19711" TargetMode="External"/><Relationship Id="rId32" Type="http://schemas.openxmlformats.org/officeDocument/2006/relationships/hyperlink" Target="https://web-b-ebscohost-com.ezproxy.uwtsd.ac.uk/ehost/pdfviewer/pdfviewer?vid=1&amp;sid=b70fafda-6fca-4055-b025-d97bee3b1dd4%40sessionmgr120" TargetMode="External"/><Relationship Id="rId37" Type="http://schemas.openxmlformats.org/officeDocument/2006/relationships/hyperlink" Target="javascript:__doLinkPostBack('','mdb~~aph%7C%7Cjdb~~aphjnh%7C%7Css~~JN%20%22Medium%20Aevum%22%7C%7Csl~~jh','');" TargetMode="External"/><Relationship Id="rId40" Type="http://schemas.openxmlformats.org/officeDocument/2006/relationships/hyperlink" Target="https://www.academia.edu/27787447/Reading_the_images_on_Iron_Age_coins_4._One_eye" TargetMode="External"/><Relationship Id="rId45" Type="http://schemas.openxmlformats.org/officeDocument/2006/relationships/hyperlink" Target="https://www.repository.cam.ac.uk/bitstream/handle/1810/225600/WOLP_OP_01.pdf" TargetMode="External"/><Relationship Id="rId53" Type="http://schemas.openxmlformats.org/officeDocument/2006/relationships/hyperlink" Target="http://www.jstor.org/stable/638518" TargetMode="External"/><Relationship Id="rId58" Type="http://schemas.openxmlformats.org/officeDocument/2006/relationships/hyperlink" Target="https://s3.amazonaws.com/academia.edu.documents/37562644/wisdomlit.pdf?AWSAccessKeyId=AKIAIWOWYYGZ2Y53UL3A&amp;Expires=1520294880&amp;Signature=IW3gRmYSm%2F%2Bj4OP4cUKrpo4q6V0%3D&amp;response-content-disposition=inline%3B%20filename%3DWisdom_Literature_in_Early_Ireland.pdf" TargetMode="External"/><Relationship Id="rId5" Type="http://schemas.openxmlformats.org/officeDocument/2006/relationships/webSettings" Target="webSettings.xml"/><Relationship Id="rId15" Type="http://schemas.openxmlformats.org/officeDocument/2006/relationships/hyperlink" Target="https://hedgewalking.org/2018/03/14/the-otherworld/" TargetMode="External"/><Relationship Id="rId23" Type="http://schemas.openxmlformats.org/officeDocument/2006/relationships/hyperlink" Target="http://www.oxfordscholarship.com.ezproxy.uwtsd.ac.uk/view/10.1093/acprof:oso/9780199372584.001.0001/acprof-9780199372584-chapter-6" TargetMode="External"/><Relationship Id="rId28" Type="http://schemas.openxmlformats.org/officeDocument/2006/relationships/hyperlink" Target="https://digitalcommons.providence.edu/theology_graduate_theses/7/" TargetMode="External"/><Relationship Id="rId36" Type="http://schemas.openxmlformats.org/officeDocument/2006/relationships/hyperlink" Target="javascript:__doLinkPostBack('','ss~~PS%20%22SEAFARING%20Saint%2C%20The%20%28Book%29%22%7C%7Csl~~rl','');" TargetMode="External"/><Relationship Id="rId49" Type="http://schemas.openxmlformats.org/officeDocument/2006/relationships/hyperlink" Target="https://www-dawsonera-com.ezproxy.uwtsd.ac.uk/readonline/9781783167937" TargetMode="External"/><Relationship Id="rId57" Type="http://schemas.openxmlformats.org/officeDocument/2006/relationships/hyperlink" Target="http://www.sfks.org/SC_VI_2009_24112010.pdf" TargetMode="External"/><Relationship Id="rId61" Type="http://schemas.openxmlformats.org/officeDocument/2006/relationships/fontTable" Target="fontTable.xml"/><Relationship Id="rId10" Type="http://schemas.openxmlformats.org/officeDocument/2006/relationships/hyperlink" Target="http://public-library.uk/pdfs/7/661.pdf" TargetMode="External"/><Relationship Id="rId19" Type="http://schemas.openxmlformats.org/officeDocument/2006/relationships/hyperlink" Target="https://ulstercycle.wordpress.com/2009/11/07/the-taking-of-the-sid-mound/" TargetMode="External"/><Relationship Id="rId31" Type="http://schemas.openxmlformats.org/officeDocument/2006/relationships/hyperlink" Target="http://www.jstor.org/stable/41592350" TargetMode="External"/><Relationship Id="rId44" Type="http://schemas.openxmlformats.org/officeDocument/2006/relationships/hyperlink" Target="http://www.imaginaryjourneys.co.uk/wp-content/uploads/2013/03/Maeldun-download-2.pdf" TargetMode="External"/><Relationship Id="rId52" Type="http://schemas.openxmlformats.org/officeDocument/2006/relationships/hyperlink" Target="https://doi.org/10.1080/0015587X.2014.1001214" TargetMode="External"/><Relationship Id="rId6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mailto:ccx074@coventry.ac.uk" TargetMode="External"/><Relationship Id="rId14" Type="http://schemas.openxmlformats.org/officeDocument/2006/relationships/hyperlink" Target="https://search-proquest-com.ezproxy.uwtsd.ac.uk/docview/1679408007?accountid=130472&amp;rfr_id=info%3Axri%2Fsid%3Aprimo" TargetMode="External"/><Relationship Id="rId22" Type="http://schemas.openxmlformats.org/officeDocument/2006/relationships/hyperlink" Target="http://eprints.maynoothuniversity.ie/7801/1/Leonie%20Duignan.pdf" TargetMode="External"/><Relationship Id="rId27" Type="http://schemas.openxmlformats.org/officeDocument/2006/relationships/hyperlink" Target="mailto:direlan1@providence.edu" TargetMode="External"/><Relationship Id="rId30" Type="http://schemas.openxmlformats.org/officeDocument/2006/relationships/hyperlink" Target="http://www.ucdpress.ie/display.asp?K=9781900621878&amp;sfl=eh_cat_class&amp;st1=B100&amp;=53&amp;dc=135" TargetMode="External"/><Relationship Id="rId35" Type="http://schemas.openxmlformats.org/officeDocument/2006/relationships/hyperlink" Target="javascript:__doLinkPostBack('','ss~~AR%20%22Mackley%2C%20Jude%20S.%22%7C%7Csl~~rl','');" TargetMode="External"/><Relationship Id="rId43" Type="http://schemas.openxmlformats.org/officeDocument/2006/relationships/hyperlink" Target="https://www.nature.com/articles/522164a" TargetMode="External"/><Relationship Id="rId48" Type="http://schemas.openxmlformats.org/officeDocument/2006/relationships/hyperlink" Target="https://search-proquest-com.ezproxy.uwtsd.ac.uk/docview/1289680845?accountid=130472&amp;rfr_id=info%3Axri%2Fsid%3Aprimo" TargetMode="External"/><Relationship Id="rId56" Type="http://schemas.openxmlformats.org/officeDocument/2006/relationships/hyperlink" Target="https://www-dawsonera-com.ezproxy.uwtsd.ac.uk/readonline/9781783167937" TargetMode="External"/><Relationship Id="rId8" Type="http://schemas.openxmlformats.org/officeDocument/2006/relationships/hyperlink" Target="http://penelope.uchicago.edu/Thayer/E/Roman/Texts/Plutarch/Moralia/De_defectu_oraculorum*.html" TargetMode="External"/><Relationship Id="rId51" Type="http://schemas.openxmlformats.org/officeDocument/2006/relationships/hyperlink" Target="https://www.dias.ie/wp-content/uploads/webstore/celt/pubs/celtica/c23/c23-369.pdf" TargetMode="External"/><Relationship Id="rId3" Type="http://schemas.openxmlformats.org/officeDocument/2006/relationships/styles" Target="styles.xml"/><Relationship Id="rId12" Type="http://schemas.openxmlformats.org/officeDocument/2006/relationships/hyperlink" Target="https://search-proquest-com.ezproxy.uwtsd.ac.uk/docview/1822071509?accountid=130472&amp;rfr_id=info%3Axri%2Fsid%3Aprimo" TargetMode="External"/><Relationship Id="rId17" Type="http://schemas.openxmlformats.org/officeDocument/2006/relationships/hyperlink" Target="http://www.sacred-texts.com/pag/idr/index.htm" TargetMode="External"/><Relationship Id="rId25" Type="http://schemas.openxmlformats.org/officeDocument/2006/relationships/hyperlink" Target="http://www.texascoritani.com/British_Coracles_and_Irish_Curraghs.pdf" TargetMode="External"/><Relationship Id="rId33" Type="http://schemas.openxmlformats.org/officeDocument/2006/relationships/hyperlink" Target="http://www.jstor.org/stable/1205274" TargetMode="External"/><Relationship Id="rId38" Type="http://schemas.openxmlformats.org/officeDocument/2006/relationships/hyperlink" Target="https://web-b-ebscohost-com.ezproxy.uwtsd.ac.uk/ehost/detail/detail?vid=0&amp;sid=61a99982-9051-4928-9f7c-08baecd79acd%40sessionmgr104&amp;bdata=JnNpdGU9ZWhvc3QtbGl2ZQ%3d%3d" TargetMode="External"/><Relationship Id="rId46" Type="http://schemas.openxmlformats.org/officeDocument/2006/relationships/hyperlink" Target="http://www.jstor.org.ezproxy.uwtsd.ac.uk/stable/4171667" TargetMode="External"/><Relationship Id="rId59" Type="http://schemas.openxmlformats.org/officeDocument/2006/relationships/header" Target="header1.xml"/></Relationships>
</file>

<file path=word/_rels/footnotes.xml.rels><?xml version="1.0" encoding="UTF-8" standalone="yes"?>
<Relationships xmlns="http://schemas.openxmlformats.org/package/2006/relationships"><Relationship Id="rId8" Type="http://schemas.openxmlformats.org/officeDocument/2006/relationships/hyperlink" Target="https://s3.amazonaws.com/academia.edu.documents/37562644/wisdomlit.pdf?AWSAccessKeyId=AKIAIWOWYYGZ2Y53UL3A&amp;Expires=1520294880&amp;Signature=IW3gRmYSm%2F%2Bj4OP4cUKrpo4q6V0%3D&amp;response-content-disposition=inline%3B%20filename%3DWisdom_Literature_in_Early_Ireland.pdf" TargetMode="External"/><Relationship Id="rId13" Type="http://schemas.openxmlformats.org/officeDocument/2006/relationships/hyperlink" Target="http://www.sacred-texts.com/pag/idr/index.htm" TargetMode="External"/><Relationship Id="rId3" Type="http://schemas.openxmlformats.org/officeDocument/2006/relationships/hyperlink" Target="mailto:direlan1@providence.edu" TargetMode="External"/><Relationship Id="rId7" Type="http://schemas.openxmlformats.org/officeDocument/2006/relationships/hyperlink" Target="https://vanhamel.nl/codecs/Selmer_(Carl)_1959_1" TargetMode="External"/><Relationship Id="rId12" Type="http://schemas.openxmlformats.org/officeDocument/2006/relationships/hyperlink" Target="https://www.academia.edu/19783791/Celtic_Spells_and_Counterspells" TargetMode="External"/><Relationship Id="rId2" Type="http://schemas.openxmlformats.org/officeDocument/2006/relationships/hyperlink" Target="http://www.jstor.org/stable/1205274" TargetMode="External"/><Relationship Id="rId1" Type="http://schemas.openxmlformats.org/officeDocument/2006/relationships/hyperlink" Target="http://www.ucdpress.ie/display.asp?K=9781900621878&amp;sfl=eh_cat_class&amp;st1=B100&amp;=53&amp;dc=135" TargetMode="External"/><Relationship Id="rId6" Type="http://schemas.openxmlformats.org/officeDocument/2006/relationships/hyperlink" Target="https://www.vanhamel.nl/codecs/Selmer_(Carl)_1959_1" TargetMode="External"/><Relationship Id="rId11" Type="http://schemas.openxmlformats.org/officeDocument/2006/relationships/hyperlink" Target="http://www.sfks.org/SC_VI_2009_24112010.pdf" TargetMode="External"/><Relationship Id="rId5" Type="http://schemas.openxmlformats.org/officeDocument/2006/relationships/hyperlink" Target="https://www.dias.ie/wp-content/uploads/webstore/celt/pubs/celtica/c23/c23-369.pdf" TargetMode="External"/><Relationship Id="rId15" Type="http://schemas.openxmlformats.org/officeDocument/2006/relationships/hyperlink" Target="http://www.dil.ie/6807" TargetMode="External"/><Relationship Id="rId10" Type="http://schemas.openxmlformats.org/officeDocument/2006/relationships/hyperlink" Target="http://thehedgeschool.org/Blog/celebrating-spring-spring-equinox-and-the-cailleach/" TargetMode="External"/><Relationship Id="rId4" Type="http://schemas.openxmlformats.org/officeDocument/2006/relationships/hyperlink" Target="https://digitalcommons.providence.edu/theology_graduate_theses/7/" TargetMode="External"/><Relationship Id="rId9" Type="http://schemas.openxmlformats.org/officeDocument/2006/relationships/hyperlink" Target="https://www-dawsonera-com.ezproxy.uwtsd.ac.uk/readonline/9781783167937" TargetMode="External"/><Relationship Id="rId14" Type="http://schemas.openxmlformats.org/officeDocument/2006/relationships/hyperlink" Target="https://mythicalireland.com/astronomy/the-cygnus-enigm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8F2A7BF5-6EA5-4641-984A-8CB4AD61AB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5478</Words>
  <Characters>31227</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36632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Alaw Mai</cp:lastModifiedBy>
  <cp:revision>2</cp:revision>
  <dcterms:created xsi:type="dcterms:W3CDTF">2018-04-05T21:56:00Z</dcterms:created>
  <dcterms:modified xsi:type="dcterms:W3CDTF">2018-04-05T21:56:00Z</dcterms:modified>
</cp:coreProperties>
</file>