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Style w:val="TableGridLight"/>
        <w:tblW w:w="0" w:type="auto"/>
        <w:jc w:val="center"/>
        <w:tblLook w:val="04A0" w:firstRow="1" w:lastRow="0" w:firstColumn="1" w:lastColumn="0" w:noHBand="0" w:noVBand="1"/>
      </w:tblPr>
      <w:tblGrid>
        <w:gridCol w:w="2062"/>
        <w:gridCol w:w="4937"/>
      </w:tblGrid>
      <w:tr w:rsidR="007303D2" w:rsidRPr="00AD3A06" w14:paraId="0D0C1E9A" w14:textId="77777777" w:rsidTr="007303D2">
        <w:trPr>
          <w:jc w:val="center"/>
        </w:trPr>
        <w:tc>
          <w:tcPr>
            <w:tcW w:w="0" w:type="auto"/>
            <w:hideMark/>
          </w:tcPr>
          <w:p w14:paraId="2C1D660C" w14:textId="77777777" w:rsidR="007303D2" w:rsidRPr="00AD3A06" w:rsidRDefault="007303D2" w:rsidP="00A35DED">
            <w:pPr>
              <w:spacing w:after="160"/>
              <w:rPr>
                <w:rFonts w:cs="Arial"/>
              </w:rPr>
            </w:pPr>
            <w:r w:rsidRPr="00AD3A06">
              <w:rPr>
                <w:rFonts w:cs="Arial"/>
                <w:b/>
                <w:bCs/>
              </w:rPr>
              <w:t>Student Name:</w:t>
            </w:r>
          </w:p>
        </w:tc>
        <w:tc>
          <w:tcPr>
            <w:tcW w:w="0" w:type="auto"/>
            <w:hideMark/>
          </w:tcPr>
          <w:p w14:paraId="7EE0B1A6" w14:textId="51B4CA68" w:rsidR="007303D2" w:rsidRPr="00AD3A06" w:rsidRDefault="0022424C" w:rsidP="00A35DED">
            <w:pPr>
              <w:spacing w:after="160"/>
              <w:rPr>
                <w:rFonts w:cs="Arial"/>
              </w:rPr>
            </w:pPr>
            <w:r>
              <w:rPr>
                <w:rFonts w:cs="Arial"/>
              </w:rPr>
              <w:t xml:space="preserve">Shazia Malik </w:t>
            </w:r>
          </w:p>
        </w:tc>
      </w:tr>
      <w:tr w:rsidR="007303D2" w:rsidRPr="00AD3A06" w14:paraId="24CB56CA" w14:textId="77777777" w:rsidTr="007303D2">
        <w:trPr>
          <w:jc w:val="center"/>
        </w:trPr>
        <w:tc>
          <w:tcPr>
            <w:tcW w:w="0" w:type="auto"/>
            <w:hideMark/>
          </w:tcPr>
          <w:p w14:paraId="24FE9FA3" w14:textId="77777777" w:rsidR="007303D2" w:rsidRPr="00AD3A06" w:rsidRDefault="007303D2" w:rsidP="00A35DED">
            <w:pPr>
              <w:spacing w:after="160"/>
              <w:rPr>
                <w:rFonts w:cs="Arial"/>
              </w:rPr>
            </w:pPr>
            <w:r w:rsidRPr="00AD3A06">
              <w:rPr>
                <w:rFonts w:cs="Arial"/>
                <w:b/>
                <w:bCs/>
              </w:rPr>
              <w:t>Student Number:</w:t>
            </w:r>
          </w:p>
        </w:tc>
        <w:tc>
          <w:tcPr>
            <w:tcW w:w="0" w:type="auto"/>
            <w:hideMark/>
          </w:tcPr>
          <w:p w14:paraId="573EF1B3" w14:textId="557AE958" w:rsidR="007303D2" w:rsidRPr="00AD3A06" w:rsidRDefault="0022424C" w:rsidP="00A35DED">
            <w:pPr>
              <w:spacing w:after="160"/>
              <w:rPr>
                <w:rFonts w:cs="Arial"/>
              </w:rPr>
            </w:pPr>
            <w:r>
              <w:rPr>
                <w:rFonts w:cs="Arial"/>
              </w:rPr>
              <w:t>2127945</w:t>
            </w:r>
          </w:p>
        </w:tc>
      </w:tr>
      <w:tr w:rsidR="007303D2" w:rsidRPr="00AD3A06" w14:paraId="6665BB34" w14:textId="77777777" w:rsidTr="007303D2">
        <w:trPr>
          <w:jc w:val="center"/>
        </w:trPr>
        <w:tc>
          <w:tcPr>
            <w:tcW w:w="0" w:type="auto"/>
            <w:hideMark/>
          </w:tcPr>
          <w:p w14:paraId="27CD5967" w14:textId="77777777" w:rsidR="007303D2" w:rsidRPr="00AD3A06" w:rsidRDefault="007303D2" w:rsidP="00A35DED">
            <w:pPr>
              <w:spacing w:after="160"/>
              <w:rPr>
                <w:rFonts w:cs="Arial"/>
              </w:rPr>
            </w:pPr>
            <w:r w:rsidRPr="00AD3A06">
              <w:rPr>
                <w:rFonts w:cs="Arial"/>
                <w:b/>
                <w:bCs/>
              </w:rPr>
              <w:t>Module Code:</w:t>
            </w:r>
          </w:p>
        </w:tc>
        <w:tc>
          <w:tcPr>
            <w:tcW w:w="0" w:type="auto"/>
            <w:hideMark/>
          </w:tcPr>
          <w:p w14:paraId="0BEB8BFA" w14:textId="77777777" w:rsidR="007303D2" w:rsidRPr="00AD3A06" w:rsidRDefault="007303D2" w:rsidP="00A35DED">
            <w:pPr>
              <w:spacing w:after="160"/>
              <w:rPr>
                <w:rFonts w:cs="Arial"/>
              </w:rPr>
            </w:pPr>
            <w:r w:rsidRPr="00AD3A06">
              <w:rPr>
                <w:rFonts w:cs="Arial"/>
              </w:rPr>
              <w:t>BMHP6030</w:t>
            </w:r>
          </w:p>
        </w:tc>
      </w:tr>
      <w:tr w:rsidR="007303D2" w:rsidRPr="00AD3A06" w14:paraId="704FCA8B" w14:textId="77777777" w:rsidTr="007303D2">
        <w:trPr>
          <w:jc w:val="center"/>
        </w:trPr>
        <w:tc>
          <w:tcPr>
            <w:tcW w:w="0" w:type="auto"/>
            <w:hideMark/>
          </w:tcPr>
          <w:p w14:paraId="67CB9B5F" w14:textId="77777777" w:rsidR="007303D2" w:rsidRPr="00AD3A06" w:rsidRDefault="007303D2" w:rsidP="00A35DED">
            <w:pPr>
              <w:spacing w:after="160"/>
              <w:rPr>
                <w:rFonts w:cs="Arial"/>
              </w:rPr>
            </w:pPr>
            <w:r w:rsidRPr="00AD3A06">
              <w:rPr>
                <w:rFonts w:cs="Arial"/>
                <w:b/>
                <w:bCs/>
              </w:rPr>
              <w:t>Module Title:</w:t>
            </w:r>
          </w:p>
        </w:tc>
        <w:tc>
          <w:tcPr>
            <w:tcW w:w="0" w:type="auto"/>
            <w:hideMark/>
          </w:tcPr>
          <w:p w14:paraId="0914716B" w14:textId="77777777" w:rsidR="007303D2" w:rsidRPr="00AD3A06" w:rsidRDefault="007303D2" w:rsidP="00A35DED">
            <w:pPr>
              <w:spacing w:after="160"/>
              <w:rPr>
                <w:rFonts w:cs="Arial"/>
              </w:rPr>
            </w:pPr>
            <w:r w:rsidRPr="00AD3A06">
              <w:rPr>
                <w:rFonts w:cs="Arial"/>
              </w:rPr>
              <w:t>Health, Wellbeing and Sustainable Development</w:t>
            </w:r>
          </w:p>
        </w:tc>
      </w:tr>
      <w:tr w:rsidR="007303D2" w:rsidRPr="00AD3A06" w14:paraId="322F7553" w14:textId="77777777" w:rsidTr="007303D2">
        <w:trPr>
          <w:jc w:val="center"/>
        </w:trPr>
        <w:tc>
          <w:tcPr>
            <w:tcW w:w="0" w:type="auto"/>
            <w:hideMark/>
          </w:tcPr>
          <w:p w14:paraId="401A2AEF" w14:textId="77777777" w:rsidR="007303D2" w:rsidRPr="00AD3A06" w:rsidRDefault="007303D2" w:rsidP="00A35DED">
            <w:pPr>
              <w:spacing w:after="160"/>
              <w:rPr>
                <w:rFonts w:cs="Arial"/>
              </w:rPr>
            </w:pPr>
            <w:r w:rsidRPr="00AD3A06">
              <w:rPr>
                <w:rFonts w:cs="Arial"/>
                <w:b/>
                <w:bCs/>
              </w:rPr>
              <w:t>Lecturer:</w:t>
            </w:r>
          </w:p>
        </w:tc>
        <w:tc>
          <w:tcPr>
            <w:tcW w:w="0" w:type="auto"/>
            <w:hideMark/>
          </w:tcPr>
          <w:p w14:paraId="46EDF727" w14:textId="77777777" w:rsidR="007303D2" w:rsidRPr="00AD3A06" w:rsidRDefault="007303D2" w:rsidP="00A35DED">
            <w:pPr>
              <w:spacing w:after="160"/>
              <w:rPr>
                <w:rFonts w:cs="Arial"/>
              </w:rPr>
            </w:pPr>
            <w:r w:rsidRPr="00AD3A06">
              <w:rPr>
                <w:rFonts w:cs="Arial"/>
              </w:rPr>
              <w:t>Parese Ahmed / Joanne Davies</w:t>
            </w:r>
          </w:p>
        </w:tc>
      </w:tr>
      <w:tr w:rsidR="007303D2" w:rsidRPr="00AD3A06" w14:paraId="3D00B326" w14:textId="77777777" w:rsidTr="007303D2">
        <w:trPr>
          <w:jc w:val="center"/>
        </w:trPr>
        <w:tc>
          <w:tcPr>
            <w:tcW w:w="0" w:type="auto"/>
            <w:hideMark/>
          </w:tcPr>
          <w:p w14:paraId="61B4C90B" w14:textId="77777777" w:rsidR="007303D2" w:rsidRPr="00AD3A06" w:rsidRDefault="007303D2" w:rsidP="00A35DED">
            <w:pPr>
              <w:spacing w:after="160"/>
              <w:rPr>
                <w:rFonts w:cs="Arial"/>
              </w:rPr>
            </w:pPr>
            <w:r w:rsidRPr="00AD3A06">
              <w:rPr>
                <w:rFonts w:cs="Arial"/>
                <w:b/>
                <w:bCs/>
              </w:rPr>
              <w:t>Assignment Title:</w:t>
            </w:r>
          </w:p>
        </w:tc>
        <w:tc>
          <w:tcPr>
            <w:tcW w:w="0" w:type="auto"/>
            <w:hideMark/>
          </w:tcPr>
          <w:p w14:paraId="6F91874E" w14:textId="77777777" w:rsidR="007303D2" w:rsidRPr="00AD3A06" w:rsidRDefault="007303D2" w:rsidP="00A35DED">
            <w:pPr>
              <w:spacing w:after="160"/>
              <w:rPr>
                <w:rFonts w:cs="Arial"/>
              </w:rPr>
            </w:pPr>
            <w:r w:rsidRPr="00AD3A06">
              <w:rPr>
                <w:rFonts w:cs="Arial"/>
              </w:rPr>
              <w:t>Component 2: Written Assignment (Report)</w:t>
            </w:r>
          </w:p>
        </w:tc>
      </w:tr>
    </w:tbl>
    <w:p w14:paraId="3D928E4F" w14:textId="77777777" w:rsidR="007303D2" w:rsidRPr="00AD3A06" w:rsidRDefault="007303D2" w:rsidP="00A35DED">
      <w:pPr>
        <w:rPr>
          <w:rFonts w:cs="Arial"/>
        </w:rPr>
      </w:pPr>
    </w:p>
    <w:p w14:paraId="61424AF3" w14:textId="4C33598D" w:rsidR="007303D2" w:rsidRPr="00AD3A06" w:rsidRDefault="007303D2" w:rsidP="00A35DED">
      <w:pPr>
        <w:rPr>
          <w:rFonts w:cs="Arial"/>
          <w:b/>
          <w:bCs/>
        </w:rPr>
      </w:pPr>
      <w:r w:rsidRPr="00AD3A06">
        <w:rPr>
          <w:rFonts w:cs="Arial"/>
          <w:b/>
          <w:bCs/>
        </w:rPr>
        <w:t>An Analysis of How Sustainable Development Goal 3 (Good Health and Wellbeing) and Sustainable Development Goal 10 (Reduced Inequalities) Impact the Health and Wellbeing of Citizens in England, with a Focus on the North East Region.</w:t>
      </w:r>
    </w:p>
    <w:p w14:paraId="06BF0A2B" w14:textId="77777777" w:rsidR="007303D2" w:rsidRPr="00AD3A06" w:rsidRDefault="007303D2" w:rsidP="00A35DED">
      <w:pPr>
        <w:rPr>
          <w:rFonts w:cs="Arial"/>
          <w:b/>
          <w:bCs/>
        </w:rPr>
      </w:pPr>
    </w:p>
    <w:p w14:paraId="15009A77" w14:textId="77777777" w:rsidR="007303D2" w:rsidRPr="00AD3A06" w:rsidRDefault="007303D2" w:rsidP="00A35DED">
      <w:pPr>
        <w:rPr>
          <w:rFonts w:cs="Arial"/>
          <w:b/>
          <w:bCs/>
        </w:rPr>
      </w:pPr>
    </w:p>
    <w:p w14:paraId="521BC91E" w14:textId="77777777" w:rsidR="007303D2" w:rsidRPr="00AD3A06" w:rsidRDefault="007303D2" w:rsidP="00A35DED">
      <w:pPr>
        <w:rPr>
          <w:rFonts w:cs="Arial"/>
          <w:b/>
          <w:bCs/>
        </w:rPr>
      </w:pPr>
    </w:p>
    <w:p w14:paraId="74184036" w14:textId="77777777" w:rsidR="007303D2" w:rsidRPr="00AD3A06" w:rsidRDefault="007303D2" w:rsidP="00A35DED">
      <w:pPr>
        <w:rPr>
          <w:rFonts w:cs="Arial"/>
          <w:b/>
          <w:bCs/>
        </w:rPr>
      </w:pPr>
    </w:p>
    <w:p w14:paraId="5FA6FAC3" w14:textId="77777777" w:rsidR="007303D2" w:rsidRPr="00AD3A06" w:rsidRDefault="007303D2" w:rsidP="00A35DED">
      <w:pPr>
        <w:rPr>
          <w:rFonts w:cs="Arial"/>
          <w:b/>
          <w:bCs/>
        </w:rPr>
      </w:pPr>
    </w:p>
    <w:p w14:paraId="2006CA88" w14:textId="77777777" w:rsidR="007303D2" w:rsidRDefault="007303D2" w:rsidP="00A35DED">
      <w:pPr>
        <w:rPr>
          <w:rFonts w:cs="Arial"/>
          <w:b/>
          <w:bCs/>
        </w:rPr>
      </w:pPr>
    </w:p>
    <w:p w14:paraId="750F6EBD" w14:textId="77777777" w:rsidR="00AD3A06" w:rsidRDefault="00AD3A06" w:rsidP="00A35DED">
      <w:pPr>
        <w:rPr>
          <w:rFonts w:cs="Arial"/>
          <w:b/>
          <w:bCs/>
        </w:rPr>
      </w:pPr>
    </w:p>
    <w:p w14:paraId="77E4584E" w14:textId="77777777" w:rsidR="00AD3A06" w:rsidRDefault="00AD3A06" w:rsidP="00A35DED">
      <w:pPr>
        <w:rPr>
          <w:rFonts w:cs="Arial"/>
          <w:b/>
          <w:bCs/>
        </w:rPr>
      </w:pPr>
    </w:p>
    <w:p w14:paraId="7D100127" w14:textId="77777777" w:rsidR="00AD3A06" w:rsidRDefault="00AD3A06" w:rsidP="00A35DED">
      <w:pPr>
        <w:rPr>
          <w:rFonts w:cs="Arial"/>
          <w:b/>
          <w:bCs/>
        </w:rPr>
      </w:pPr>
    </w:p>
    <w:p w14:paraId="7BED0AE0" w14:textId="77777777" w:rsidR="00AD3A06" w:rsidRDefault="00AD3A06" w:rsidP="00A35DED">
      <w:pPr>
        <w:rPr>
          <w:rFonts w:cs="Arial"/>
          <w:b/>
          <w:bCs/>
        </w:rPr>
      </w:pPr>
    </w:p>
    <w:p w14:paraId="29689733" w14:textId="77777777" w:rsidR="00AD3A06" w:rsidRDefault="00AD3A06" w:rsidP="00A35DED">
      <w:pPr>
        <w:rPr>
          <w:rFonts w:cs="Arial"/>
          <w:b/>
          <w:bCs/>
        </w:rPr>
      </w:pPr>
    </w:p>
    <w:p w14:paraId="5D5EF966" w14:textId="77777777" w:rsidR="00AD3A06" w:rsidRPr="00AD3A06" w:rsidRDefault="00AD3A06" w:rsidP="00A35DED">
      <w:pPr>
        <w:rPr>
          <w:rFonts w:cs="Arial"/>
          <w:b/>
          <w:bCs/>
        </w:rPr>
      </w:pPr>
    </w:p>
    <w:p w14:paraId="3E006982" w14:textId="77777777" w:rsidR="007303D2" w:rsidRPr="00AD3A06" w:rsidRDefault="007303D2" w:rsidP="00A35DED">
      <w:pPr>
        <w:rPr>
          <w:rFonts w:cs="Arial"/>
          <w:b/>
          <w:bCs/>
        </w:rPr>
      </w:pPr>
    </w:p>
    <w:p w14:paraId="121074B5" w14:textId="77777777" w:rsidR="007303D2" w:rsidRPr="00AD3A06" w:rsidRDefault="007303D2" w:rsidP="00A35DED">
      <w:pPr>
        <w:rPr>
          <w:rFonts w:cs="Arial"/>
          <w:b/>
          <w:bCs/>
        </w:rPr>
      </w:pPr>
    </w:p>
    <w:p w14:paraId="45E69C25" w14:textId="77777777" w:rsidR="007303D2" w:rsidRPr="00AD3A06" w:rsidRDefault="007303D2" w:rsidP="00A35DED">
      <w:pPr>
        <w:rPr>
          <w:rFonts w:cs="Arial"/>
          <w:b/>
          <w:bCs/>
        </w:rPr>
      </w:pPr>
    </w:p>
    <w:p w14:paraId="47423434" w14:textId="77777777" w:rsidR="007303D2" w:rsidRPr="00AD3A06" w:rsidRDefault="007303D2" w:rsidP="00A35DED">
      <w:pPr>
        <w:jc w:val="center"/>
        <w:rPr>
          <w:rFonts w:cs="Arial"/>
          <w:b/>
          <w:bCs/>
        </w:rPr>
      </w:pPr>
      <w:r w:rsidRPr="00AD3A06">
        <w:rPr>
          <w:rFonts w:cs="Arial"/>
          <w:b/>
          <w:bCs/>
        </w:rPr>
        <w:t>Executive Summary</w:t>
      </w:r>
    </w:p>
    <w:p w14:paraId="51D98642" w14:textId="65C9B900" w:rsidR="007303D2" w:rsidRPr="00AD3A06" w:rsidRDefault="00A03347" w:rsidP="00A35DED">
      <w:pPr>
        <w:rPr>
          <w:rFonts w:cs="Arial"/>
        </w:rPr>
      </w:pPr>
      <w:r w:rsidRPr="00A03347">
        <w:rPr>
          <w:rFonts w:cs="Arial"/>
        </w:rPr>
        <w:t>The report explores the interaction of Sustainable Development Goal 3 (Good Health and Wellbeing) and Sustainable Development Goal 10 (Reduced Inequalities) to determine health outcomes in England with reference to the North East region. The report employs theoretical frameworks of Dahlgren-Whitehead model and the Ottawa Charter to analyse global SDG developments, country-level data on health disparities, and a local case study. The review concludes that the problem of health inequalities is still entrenched in social and economic frameworks and that existing efforts are not adequate unless more is done to address the social determinants of health.</w:t>
      </w:r>
    </w:p>
    <w:p w14:paraId="241439FB" w14:textId="77777777" w:rsidR="007303D2" w:rsidRPr="00AD3A06" w:rsidRDefault="007303D2" w:rsidP="00A35DED">
      <w:pPr>
        <w:rPr>
          <w:rFonts w:cs="Arial"/>
        </w:rPr>
      </w:pPr>
    </w:p>
    <w:p w14:paraId="3F457EEB" w14:textId="77777777" w:rsidR="007303D2" w:rsidRPr="00AD3A06" w:rsidRDefault="007303D2" w:rsidP="00A35DED">
      <w:pPr>
        <w:rPr>
          <w:rFonts w:cs="Arial"/>
        </w:rPr>
      </w:pPr>
    </w:p>
    <w:p w14:paraId="1A457433" w14:textId="77777777" w:rsidR="007303D2" w:rsidRPr="00AD3A06" w:rsidRDefault="007303D2" w:rsidP="00A35DED">
      <w:pPr>
        <w:rPr>
          <w:rFonts w:cs="Arial"/>
        </w:rPr>
      </w:pPr>
    </w:p>
    <w:p w14:paraId="6AD516B6" w14:textId="77777777" w:rsidR="007303D2" w:rsidRPr="00AD3A06" w:rsidRDefault="007303D2" w:rsidP="00A35DED">
      <w:pPr>
        <w:rPr>
          <w:rFonts w:cs="Arial"/>
        </w:rPr>
      </w:pPr>
    </w:p>
    <w:p w14:paraId="0F3D9474" w14:textId="77777777" w:rsidR="007303D2" w:rsidRPr="00AD3A06" w:rsidRDefault="007303D2" w:rsidP="00A35DED">
      <w:pPr>
        <w:rPr>
          <w:rFonts w:cs="Arial"/>
        </w:rPr>
      </w:pPr>
    </w:p>
    <w:p w14:paraId="47402363" w14:textId="77777777" w:rsidR="007303D2" w:rsidRPr="00AD3A06" w:rsidRDefault="007303D2" w:rsidP="00A35DED">
      <w:pPr>
        <w:rPr>
          <w:rFonts w:cs="Arial"/>
        </w:rPr>
      </w:pPr>
    </w:p>
    <w:p w14:paraId="792755D7" w14:textId="77777777" w:rsidR="007303D2" w:rsidRPr="00AD3A06" w:rsidRDefault="007303D2" w:rsidP="00A35DED">
      <w:pPr>
        <w:rPr>
          <w:rFonts w:cs="Arial"/>
        </w:rPr>
      </w:pPr>
    </w:p>
    <w:p w14:paraId="44454249" w14:textId="77777777" w:rsidR="007303D2" w:rsidRPr="00AD3A06" w:rsidRDefault="007303D2" w:rsidP="00A35DED">
      <w:pPr>
        <w:rPr>
          <w:rFonts w:cs="Arial"/>
        </w:rPr>
      </w:pPr>
    </w:p>
    <w:p w14:paraId="774E32A4" w14:textId="77777777" w:rsidR="007303D2" w:rsidRPr="00AD3A06" w:rsidRDefault="007303D2" w:rsidP="00A35DED">
      <w:pPr>
        <w:rPr>
          <w:rFonts w:cs="Arial"/>
        </w:rPr>
      </w:pPr>
    </w:p>
    <w:p w14:paraId="3D3DDE15" w14:textId="77777777" w:rsidR="007303D2" w:rsidRPr="00AD3A06" w:rsidRDefault="007303D2" w:rsidP="00A35DED">
      <w:pPr>
        <w:rPr>
          <w:rFonts w:cs="Arial"/>
        </w:rPr>
      </w:pPr>
    </w:p>
    <w:p w14:paraId="3211377C" w14:textId="77777777" w:rsidR="007303D2" w:rsidRPr="00AD3A06" w:rsidRDefault="007303D2" w:rsidP="00A35DED">
      <w:pPr>
        <w:rPr>
          <w:rFonts w:cs="Arial"/>
        </w:rPr>
      </w:pPr>
    </w:p>
    <w:p w14:paraId="2DAE1F68" w14:textId="77777777" w:rsidR="007303D2" w:rsidRDefault="007303D2" w:rsidP="00A35DED">
      <w:pPr>
        <w:rPr>
          <w:rFonts w:cs="Arial"/>
        </w:rPr>
      </w:pPr>
    </w:p>
    <w:p w14:paraId="5A0A2DA0" w14:textId="77777777" w:rsidR="00AD3A06" w:rsidRDefault="00AD3A06" w:rsidP="00A35DED">
      <w:pPr>
        <w:rPr>
          <w:rFonts w:cs="Arial"/>
        </w:rPr>
      </w:pPr>
    </w:p>
    <w:p w14:paraId="36A4F6B5" w14:textId="77777777" w:rsidR="00AD3A06" w:rsidRDefault="00AD3A06" w:rsidP="00A35DED">
      <w:pPr>
        <w:rPr>
          <w:rFonts w:cs="Arial"/>
        </w:rPr>
      </w:pPr>
    </w:p>
    <w:p w14:paraId="1F443C1D" w14:textId="77777777" w:rsidR="00AD3A06" w:rsidRDefault="00AD3A06" w:rsidP="00A35DED">
      <w:pPr>
        <w:rPr>
          <w:rFonts w:cs="Arial"/>
        </w:rPr>
      </w:pPr>
    </w:p>
    <w:p w14:paraId="2B302261" w14:textId="77777777" w:rsidR="00AD3A06" w:rsidRDefault="00AD3A06" w:rsidP="00A35DED">
      <w:pPr>
        <w:rPr>
          <w:rFonts w:cs="Arial"/>
        </w:rPr>
      </w:pPr>
    </w:p>
    <w:p w14:paraId="5506B506" w14:textId="77777777" w:rsidR="00AD3A06" w:rsidRPr="00AD3A06" w:rsidRDefault="00AD3A06" w:rsidP="00A35DED">
      <w:pPr>
        <w:rPr>
          <w:rFonts w:cs="Arial"/>
        </w:rPr>
      </w:pPr>
    </w:p>
    <w:sdt>
      <w:sdtPr>
        <w:rPr>
          <w:rFonts w:ascii="Arial" w:eastAsiaTheme="minorHAnsi" w:hAnsi="Arial" w:cs="Arial"/>
          <w:color w:val="auto"/>
          <w:sz w:val="22"/>
          <w:szCs w:val="22"/>
          <w:lang w:val="en-GB"/>
          <w14:ligatures w14:val="standardContextual"/>
        </w:rPr>
        <w:id w:val="1503777213"/>
        <w:docPartObj>
          <w:docPartGallery w:val="Table of Contents"/>
          <w:docPartUnique/>
        </w:docPartObj>
      </w:sdtPr>
      <w:sdtEndPr>
        <w:rPr>
          <w:b/>
          <w:bCs/>
          <w:noProof/>
        </w:rPr>
      </w:sdtEndPr>
      <w:sdtContent>
        <w:p w14:paraId="48F42494" w14:textId="201AA88A" w:rsidR="007303D2" w:rsidRPr="00AD3A06" w:rsidRDefault="007303D2" w:rsidP="00A35DED">
          <w:pPr>
            <w:pStyle w:val="TOCHeading"/>
            <w:spacing w:line="360" w:lineRule="auto"/>
            <w:jc w:val="center"/>
            <w:rPr>
              <w:rFonts w:ascii="Arial" w:hAnsi="Arial" w:cs="Arial"/>
              <w:b/>
              <w:bCs/>
              <w:color w:val="000000" w:themeColor="text1"/>
            </w:rPr>
          </w:pPr>
          <w:r w:rsidRPr="00AD3A06">
            <w:rPr>
              <w:rFonts w:ascii="Arial" w:hAnsi="Arial" w:cs="Arial"/>
              <w:b/>
              <w:bCs/>
              <w:color w:val="000000" w:themeColor="text1"/>
            </w:rPr>
            <w:t>Table of Contents</w:t>
          </w:r>
        </w:p>
        <w:p w14:paraId="3C04D089" w14:textId="23206FD0" w:rsidR="007303D2" w:rsidRPr="00AD3A06" w:rsidRDefault="007303D2" w:rsidP="00A35DED">
          <w:pPr>
            <w:pStyle w:val="TOC1"/>
            <w:tabs>
              <w:tab w:val="left" w:pos="480"/>
              <w:tab w:val="right" w:leader="dot" w:pos="9350"/>
            </w:tabs>
            <w:rPr>
              <w:rFonts w:eastAsiaTheme="minorEastAsia" w:cs="Arial"/>
              <w:noProof/>
              <w:kern w:val="2"/>
              <w:szCs w:val="24"/>
              <w:lang w:eastAsia="en-GB"/>
            </w:rPr>
          </w:pPr>
          <w:r w:rsidRPr="00AD3A06">
            <w:rPr>
              <w:rFonts w:cs="Arial"/>
            </w:rPr>
            <w:fldChar w:fldCharType="begin"/>
          </w:r>
          <w:r w:rsidRPr="00AD3A06">
            <w:rPr>
              <w:rFonts w:cs="Arial"/>
            </w:rPr>
            <w:instrText xml:space="preserve"> TOC \o "1-3" \h \z \u </w:instrText>
          </w:r>
          <w:r w:rsidRPr="00AD3A06">
            <w:rPr>
              <w:rFonts w:cs="Arial"/>
            </w:rPr>
            <w:fldChar w:fldCharType="separate"/>
          </w:r>
          <w:hyperlink w:anchor="_Toc233305785" w:history="1">
            <w:r w:rsidRPr="00AD3A06">
              <w:rPr>
                <w:rStyle w:val="Hyperlink"/>
                <w:rFonts w:cs="Arial"/>
                <w:noProof/>
              </w:rPr>
              <w:t>1</w:t>
            </w:r>
            <w:r w:rsidRPr="00AD3A06">
              <w:rPr>
                <w:rFonts w:eastAsiaTheme="minorEastAsia" w:cs="Arial"/>
                <w:noProof/>
                <w:kern w:val="2"/>
                <w:szCs w:val="24"/>
                <w:lang w:eastAsia="en-GB"/>
              </w:rPr>
              <w:tab/>
            </w:r>
            <w:r w:rsidRPr="00AD3A06">
              <w:rPr>
                <w:rStyle w:val="Hyperlink"/>
                <w:rFonts w:cs="Arial"/>
                <w:noProof/>
              </w:rPr>
              <w:t>Introduction</w:t>
            </w:r>
            <w:r w:rsidRPr="00AD3A06">
              <w:rPr>
                <w:rFonts w:cs="Arial"/>
                <w:noProof/>
                <w:webHidden/>
              </w:rPr>
              <w:tab/>
            </w:r>
            <w:r w:rsidRPr="00AD3A06">
              <w:rPr>
                <w:rFonts w:cs="Arial"/>
                <w:noProof/>
                <w:webHidden/>
              </w:rPr>
              <w:fldChar w:fldCharType="begin"/>
            </w:r>
            <w:r w:rsidRPr="00AD3A06">
              <w:rPr>
                <w:rFonts w:cs="Arial"/>
                <w:noProof/>
                <w:webHidden/>
              </w:rPr>
              <w:instrText xml:space="preserve"> PAGEREF _Toc233305785 \h </w:instrText>
            </w:r>
            <w:r w:rsidRPr="00AD3A06">
              <w:rPr>
                <w:rFonts w:cs="Arial"/>
                <w:noProof/>
                <w:webHidden/>
              </w:rPr>
            </w:r>
            <w:r w:rsidRPr="00AD3A06">
              <w:rPr>
                <w:rFonts w:cs="Arial"/>
                <w:noProof/>
                <w:webHidden/>
              </w:rPr>
              <w:fldChar w:fldCharType="separate"/>
            </w:r>
            <w:r w:rsidR="00F27848">
              <w:rPr>
                <w:rFonts w:cs="Arial"/>
                <w:noProof/>
                <w:webHidden/>
              </w:rPr>
              <w:t>4</w:t>
            </w:r>
            <w:r w:rsidRPr="00AD3A06">
              <w:rPr>
                <w:rFonts w:cs="Arial"/>
                <w:noProof/>
                <w:webHidden/>
              </w:rPr>
              <w:fldChar w:fldCharType="end"/>
            </w:r>
          </w:hyperlink>
        </w:p>
        <w:p w14:paraId="1FC0F834" w14:textId="59EEDCD7" w:rsidR="007303D2" w:rsidRPr="00AD3A06" w:rsidRDefault="007303D2" w:rsidP="00A35DED">
          <w:pPr>
            <w:pStyle w:val="TOC1"/>
            <w:tabs>
              <w:tab w:val="left" w:pos="480"/>
              <w:tab w:val="right" w:leader="dot" w:pos="9350"/>
            </w:tabs>
            <w:rPr>
              <w:rFonts w:eastAsiaTheme="minorEastAsia" w:cs="Arial"/>
              <w:noProof/>
              <w:kern w:val="2"/>
              <w:szCs w:val="24"/>
              <w:lang w:eastAsia="en-GB"/>
            </w:rPr>
          </w:pPr>
          <w:hyperlink w:anchor="_Toc233305786" w:history="1">
            <w:r w:rsidRPr="00AD3A06">
              <w:rPr>
                <w:rStyle w:val="Hyperlink"/>
                <w:rFonts w:cs="Arial"/>
                <w:noProof/>
              </w:rPr>
              <w:t>2</w:t>
            </w:r>
            <w:r w:rsidRPr="00AD3A06">
              <w:rPr>
                <w:rFonts w:eastAsiaTheme="minorEastAsia" w:cs="Arial"/>
                <w:noProof/>
                <w:kern w:val="2"/>
                <w:szCs w:val="24"/>
                <w:lang w:eastAsia="en-GB"/>
              </w:rPr>
              <w:tab/>
            </w:r>
            <w:r w:rsidRPr="00AD3A06">
              <w:rPr>
                <w:rStyle w:val="Hyperlink"/>
                <w:rFonts w:cs="Arial"/>
                <w:noProof/>
              </w:rPr>
              <w:t>Theoretical Framework</w:t>
            </w:r>
            <w:r w:rsidRPr="00AD3A06">
              <w:rPr>
                <w:rFonts w:cs="Arial"/>
                <w:noProof/>
                <w:webHidden/>
              </w:rPr>
              <w:tab/>
            </w:r>
            <w:r w:rsidRPr="00AD3A06">
              <w:rPr>
                <w:rFonts w:cs="Arial"/>
                <w:noProof/>
                <w:webHidden/>
              </w:rPr>
              <w:fldChar w:fldCharType="begin"/>
            </w:r>
            <w:r w:rsidRPr="00AD3A06">
              <w:rPr>
                <w:rFonts w:cs="Arial"/>
                <w:noProof/>
                <w:webHidden/>
              </w:rPr>
              <w:instrText xml:space="preserve"> PAGEREF _Toc233305786 \h </w:instrText>
            </w:r>
            <w:r w:rsidRPr="00AD3A06">
              <w:rPr>
                <w:rFonts w:cs="Arial"/>
                <w:noProof/>
                <w:webHidden/>
              </w:rPr>
            </w:r>
            <w:r w:rsidRPr="00AD3A06">
              <w:rPr>
                <w:rFonts w:cs="Arial"/>
                <w:noProof/>
                <w:webHidden/>
              </w:rPr>
              <w:fldChar w:fldCharType="separate"/>
            </w:r>
            <w:r w:rsidR="00F27848">
              <w:rPr>
                <w:rFonts w:cs="Arial"/>
                <w:noProof/>
                <w:webHidden/>
              </w:rPr>
              <w:t>4</w:t>
            </w:r>
            <w:r w:rsidRPr="00AD3A06">
              <w:rPr>
                <w:rFonts w:cs="Arial"/>
                <w:noProof/>
                <w:webHidden/>
              </w:rPr>
              <w:fldChar w:fldCharType="end"/>
            </w:r>
          </w:hyperlink>
        </w:p>
        <w:p w14:paraId="48FEB3F6" w14:textId="44A557BB" w:rsidR="007303D2" w:rsidRPr="00AD3A06" w:rsidRDefault="007303D2" w:rsidP="00A35DED">
          <w:pPr>
            <w:pStyle w:val="TOC1"/>
            <w:tabs>
              <w:tab w:val="left" w:pos="480"/>
              <w:tab w:val="right" w:leader="dot" w:pos="9350"/>
            </w:tabs>
            <w:rPr>
              <w:rFonts w:eastAsiaTheme="minorEastAsia" w:cs="Arial"/>
              <w:noProof/>
              <w:kern w:val="2"/>
              <w:szCs w:val="24"/>
              <w:lang w:eastAsia="en-GB"/>
            </w:rPr>
          </w:pPr>
          <w:hyperlink w:anchor="_Toc233305787" w:history="1">
            <w:r w:rsidRPr="00AD3A06">
              <w:rPr>
                <w:rStyle w:val="Hyperlink"/>
                <w:rFonts w:cs="Arial"/>
                <w:noProof/>
              </w:rPr>
              <w:t>3</w:t>
            </w:r>
            <w:r w:rsidRPr="00AD3A06">
              <w:rPr>
                <w:rFonts w:eastAsiaTheme="minorEastAsia" w:cs="Arial"/>
                <w:noProof/>
                <w:kern w:val="2"/>
                <w:szCs w:val="24"/>
                <w:lang w:eastAsia="en-GB"/>
              </w:rPr>
              <w:tab/>
            </w:r>
            <w:r w:rsidRPr="00AD3A06">
              <w:rPr>
                <w:rStyle w:val="Hyperlink"/>
                <w:rFonts w:cs="Arial"/>
                <w:noProof/>
              </w:rPr>
              <w:t>Global Analysis - SDG 3 and SDG 10</w:t>
            </w:r>
            <w:r w:rsidRPr="00AD3A06">
              <w:rPr>
                <w:rFonts w:cs="Arial"/>
                <w:noProof/>
                <w:webHidden/>
              </w:rPr>
              <w:tab/>
            </w:r>
            <w:r w:rsidRPr="00AD3A06">
              <w:rPr>
                <w:rFonts w:cs="Arial"/>
                <w:noProof/>
                <w:webHidden/>
              </w:rPr>
              <w:fldChar w:fldCharType="begin"/>
            </w:r>
            <w:r w:rsidRPr="00AD3A06">
              <w:rPr>
                <w:rFonts w:cs="Arial"/>
                <w:noProof/>
                <w:webHidden/>
              </w:rPr>
              <w:instrText xml:space="preserve"> PAGEREF _Toc233305787 \h </w:instrText>
            </w:r>
            <w:r w:rsidRPr="00AD3A06">
              <w:rPr>
                <w:rFonts w:cs="Arial"/>
                <w:noProof/>
                <w:webHidden/>
              </w:rPr>
            </w:r>
            <w:r w:rsidRPr="00AD3A06">
              <w:rPr>
                <w:rFonts w:cs="Arial"/>
                <w:noProof/>
                <w:webHidden/>
              </w:rPr>
              <w:fldChar w:fldCharType="separate"/>
            </w:r>
            <w:r w:rsidR="00F27848">
              <w:rPr>
                <w:rFonts w:cs="Arial"/>
                <w:noProof/>
                <w:webHidden/>
              </w:rPr>
              <w:t>6</w:t>
            </w:r>
            <w:r w:rsidRPr="00AD3A06">
              <w:rPr>
                <w:rFonts w:cs="Arial"/>
                <w:noProof/>
                <w:webHidden/>
              </w:rPr>
              <w:fldChar w:fldCharType="end"/>
            </w:r>
          </w:hyperlink>
        </w:p>
        <w:p w14:paraId="6E4AD2BC" w14:textId="6BDBDC12" w:rsidR="007303D2" w:rsidRPr="00AD3A06" w:rsidRDefault="007303D2" w:rsidP="00A35DED">
          <w:pPr>
            <w:pStyle w:val="TOC1"/>
            <w:tabs>
              <w:tab w:val="left" w:pos="480"/>
              <w:tab w:val="right" w:leader="dot" w:pos="9350"/>
            </w:tabs>
            <w:rPr>
              <w:rFonts w:eastAsiaTheme="minorEastAsia" w:cs="Arial"/>
              <w:noProof/>
              <w:kern w:val="2"/>
              <w:szCs w:val="24"/>
              <w:lang w:eastAsia="en-GB"/>
            </w:rPr>
          </w:pPr>
          <w:hyperlink w:anchor="_Toc233305788" w:history="1">
            <w:r w:rsidRPr="00AD3A06">
              <w:rPr>
                <w:rStyle w:val="Hyperlink"/>
                <w:rFonts w:cs="Arial"/>
                <w:noProof/>
              </w:rPr>
              <w:t>4</w:t>
            </w:r>
            <w:r w:rsidRPr="00AD3A06">
              <w:rPr>
                <w:rFonts w:eastAsiaTheme="minorEastAsia" w:cs="Arial"/>
                <w:noProof/>
                <w:kern w:val="2"/>
                <w:szCs w:val="24"/>
                <w:lang w:eastAsia="en-GB"/>
              </w:rPr>
              <w:tab/>
            </w:r>
            <w:r w:rsidRPr="00AD3A06">
              <w:rPr>
                <w:rStyle w:val="Hyperlink"/>
                <w:rFonts w:cs="Arial"/>
                <w:noProof/>
              </w:rPr>
              <w:t>National Analysis: Health Inequalities in England</w:t>
            </w:r>
            <w:r w:rsidRPr="00AD3A06">
              <w:rPr>
                <w:rFonts w:cs="Arial"/>
                <w:noProof/>
                <w:webHidden/>
              </w:rPr>
              <w:tab/>
            </w:r>
            <w:r w:rsidRPr="00AD3A06">
              <w:rPr>
                <w:rFonts w:cs="Arial"/>
                <w:noProof/>
                <w:webHidden/>
              </w:rPr>
              <w:fldChar w:fldCharType="begin"/>
            </w:r>
            <w:r w:rsidRPr="00AD3A06">
              <w:rPr>
                <w:rFonts w:cs="Arial"/>
                <w:noProof/>
                <w:webHidden/>
              </w:rPr>
              <w:instrText xml:space="preserve"> PAGEREF _Toc233305788 \h </w:instrText>
            </w:r>
            <w:r w:rsidRPr="00AD3A06">
              <w:rPr>
                <w:rFonts w:cs="Arial"/>
                <w:noProof/>
                <w:webHidden/>
              </w:rPr>
            </w:r>
            <w:r w:rsidRPr="00AD3A06">
              <w:rPr>
                <w:rFonts w:cs="Arial"/>
                <w:noProof/>
                <w:webHidden/>
              </w:rPr>
              <w:fldChar w:fldCharType="separate"/>
            </w:r>
            <w:r w:rsidR="00F27848">
              <w:rPr>
                <w:rFonts w:cs="Arial"/>
                <w:noProof/>
                <w:webHidden/>
              </w:rPr>
              <w:t>7</w:t>
            </w:r>
            <w:r w:rsidRPr="00AD3A06">
              <w:rPr>
                <w:rFonts w:cs="Arial"/>
                <w:noProof/>
                <w:webHidden/>
              </w:rPr>
              <w:fldChar w:fldCharType="end"/>
            </w:r>
          </w:hyperlink>
        </w:p>
        <w:p w14:paraId="4783657E" w14:textId="67FEA015" w:rsidR="007303D2" w:rsidRPr="00AD3A06" w:rsidRDefault="007303D2" w:rsidP="00A35DED">
          <w:pPr>
            <w:pStyle w:val="TOC1"/>
            <w:tabs>
              <w:tab w:val="left" w:pos="480"/>
              <w:tab w:val="right" w:leader="dot" w:pos="9350"/>
            </w:tabs>
            <w:rPr>
              <w:rFonts w:eastAsiaTheme="minorEastAsia" w:cs="Arial"/>
              <w:noProof/>
              <w:kern w:val="2"/>
              <w:szCs w:val="24"/>
              <w:lang w:eastAsia="en-GB"/>
            </w:rPr>
          </w:pPr>
          <w:hyperlink w:anchor="_Toc233305789" w:history="1">
            <w:r w:rsidRPr="00AD3A06">
              <w:rPr>
                <w:rStyle w:val="Hyperlink"/>
                <w:rFonts w:cs="Arial"/>
                <w:noProof/>
              </w:rPr>
              <w:t>5</w:t>
            </w:r>
            <w:r w:rsidRPr="00AD3A06">
              <w:rPr>
                <w:rFonts w:eastAsiaTheme="minorEastAsia" w:cs="Arial"/>
                <w:noProof/>
                <w:kern w:val="2"/>
                <w:szCs w:val="24"/>
                <w:lang w:eastAsia="en-GB"/>
              </w:rPr>
              <w:tab/>
            </w:r>
            <w:r w:rsidRPr="00AD3A06">
              <w:rPr>
                <w:rStyle w:val="Hyperlink"/>
                <w:rFonts w:cs="Arial"/>
                <w:noProof/>
              </w:rPr>
              <w:t>Local Analysis - The North East of England</w:t>
            </w:r>
            <w:r w:rsidRPr="00AD3A06">
              <w:rPr>
                <w:rFonts w:cs="Arial"/>
                <w:noProof/>
                <w:webHidden/>
              </w:rPr>
              <w:tab/>
            </w:r>
            <w:r w:rsidRPr="00AD3A06">
              <w:rPr>
                <w:rFonts w:cs="Arial"/>
                <w:noProof/>
                <w:webHidden/>
              </w:rPr>
              <w:fldChar w:fldCharType="begin"/>
            </w:r>
            <w:r w:rsidRPr="00AD3A06">
              <w:rPr>
                <w:rFonts w:cs="Arial"/>
                <w:noProof/>
                <w:webHidden/>
              </w:rPr>
              <w:instrText xml:space="preserve"> PAGEREF _Toc233305789 \h </w:instrText>
            </w:r>
            <w:r w:rsidRPr="00AD3A06">
              <w:rPr>
                <w:rFonts w:cs="Arial"/>
                <w:noProof/>
                <w:webHidden/>
              </w:rPr>
            </w:r>
            <w:r w:rsidRPr="00AD3A06">
              <w:rPr>
                <w:rFonts w:cs="Arial"/>
                <w:noProof/>
                <w:webHidden/>
              </w:rPr>
              <w:fldChar w:fldCharType="separate"/>
            </w:r>
            <w:r w:rsidR="00F27848">
              <w:rPr>
                <w:rFonts w:cs="Arial"/>
                <w:noProof/>
                <w:webHidden/>
              </w:rPr>
              <w:t>9</w:t>
            </w:r>
            <w:r w:rsidRPr="00AD3A06">
              <w:rPr>
                <w:rFonts w:cs="Arial"/>
                <w:noProof/>
                <w:webHidden/>
              </w:rPr>
              <w:fldChar w:fldCharType="end"/>
            </w:r>
          </w:hyperlink>
        </w:p>
        <w:p w14:paraId="16D95B88" w14:textId="57465D0D" w:rsidR="007303D2" w:rsidRPr="00AD3A06" w:rsidRDefault="007303D2" w:rsidP="00A35DED">
          <w:pPr>
            <w:pStyle w:val="TOC1"/>
            <w:tabs>
              <w:tab w:val="left" w:pos="480"/>
              <w:tab w:val="right" w:leader="dot" w:pos="9350"/>
            </w:tabs>
            <w:rPr>
              <w:rFonts w:eastAsiaTheme="minorEastAsia" w:cs="Arial"/>
              <w:noProof/>
              <w:kern w:val="2"/>
              <w:szCs w:val="24"/>
              <w:lang w:eastAsia="en-GB"/>
            </w:rPr>
          </w:pPr>
          <w:hyperlink w:anchor="_Toc233305790" w:history="1">
            <w:r w:rsidRPr="00AD3A06">
              <w:rPr>
                <w:rStyle w:val="Hyperlink"/>
                <w:rFonts w:cs="Arial"/>
                <w:noProof/>
              </w:rPr>
              <w:t>6</w:t>
            </w:r>
            <w:r w:rsidRPr="00AD3A06">
              <w:rPr>
                <w:rFonts w:eastAsiaTheme="minorEastAsia" w:cs="Arial"/>
                <w:noProof/>
                <w:kern w:val="2"/>
                <w:szCs w:val="24"/>
                <w:lang w:eastAsia="en-GB"/>
              </w:rPr>
              <w:tab/>
            </w:r>
            <w:r w:rsidRPr="00AD3A06">
              <w:rPr>
                <w:rStyle w:val="Hyperlink"/>
                <w:rFonts w:cs="Arial"/>
                <w:noProof/>
              </w:rPr>
              <w:t>Recommendations</w:t>
            </w:r>
            <w:r w:rsidRPr="00AD3A06">
              <w:rPr>
                <w:rFonts w:cs="Arial"/>
                <w:noProof/>
                <w:webHidden/>
              </w:rPr>
              <w:tab/>
            </w:r>
            <w:r w:rsidRPr="00AD3A06">
              <w:rPr>
                <w:rFonts w:cs="Arial"/>
                <w:noProof/>
                <w:webHidden/>
              </w:rPr>
              <w:fldChar w:fldCharType="begin"/>
            </w:r>
            <w:r w:rsidRPr="00AD3A06">
              <w:rPr>
                <w:rFonts w:cs="Arial"/>
                <w:noProof/>
                <w:webHidden/>
              </w:rPr>
              <w:instrText xml:space="preserve"> PAGEREF _Toc233305790 \h </w:instrText>
            </w:r>
            <w:r w:rsidRPr="00AD3A06">
              <w:rPr>
                <w:rFonts w:cs="Arial"/>
                <w:noProof/>
                <w:webHidden/>
              </w:rPr>
            </w:r>
            <w:r w:rsidRPr="00AD3A06">
              <w:rPr>
                <w:rFonts w:cs="Arial"/>
                <w:noProof/>
                <w:webHidden/>
              </w:rPr>
              <w:fldChar w:fldCharType="separate"/>
            </w:r>
            <w:r w:rsidR="00F27848">
              <w:rPr>
                <w:rFonts w:cs="Arial"/>
                <w:noProof/>
                <w:webHidden/>
              </w:rPr>
              <w:t>11</w:t>
            </w:r>
            <w:r w:rsidRPr="00AD3A06">
              <w:rPr>
                <w:rFonts w:cs="Arial"/>
                <w:noProof/>
                <w:webHidden/>
              </w:rPr>
              <w:fldChar w:fldCharType="end"/>
            </w:r>
          </w:hyperlink>
        </w:p>
        <w:p w14:paraId="2B993232" w14:textId="0047A93E" w:rsidR="007303D2" w:rsidRPr="00AD3A06" w:rsidRDefault="007303D2" w:rsidP="00A35DED">
          <w:pPr>
            <w:pStyle w:val="TOC2"/>
            <w:tabs>
              <w:tab w:val="left" w:pos="960"/>
              <w:tab w:val="right" w:leader="dot" w:pos="9350"/>
            </w:tabs>
            <w:rPr>
              <w:rFonts w:eastAsiaTheme="minorEastAsia" w:cs="Arial"/>
              <w:noProof/>
              <w:kern w:val="2"/>
              <w:szCs w:val="24"/>
              <w:lang w:eastAsia="en-GB"/>
            </w:rPr>
          </w:pPr>
          <w:hyperlink w:anchor="_Toc233305791" w:history="1">
            <w:r w:rsidRPr="00AD3A06">
              <w:rPr>
                <w:rStyle w:val="Hyperlink"/>
                <w:rFonts w:cs="Arial"/>
                <w:noProof/>
              </w:rPr>
              <w:t>6.1</w:t>
            </w:r>
            <w:r w:rsidRPr="00AD3A06">
              <w:rPr>
                <w:rFonts w:eastAsiaTheme="minorEastAsia" w:cs="Arial"/>
                <w:noProof/>
                <w:kern w:val="2"/>
                <w:szCs w:val="24"/>
                <w:lang w:eastAsia="en-GB"/>
              </w:rPr>
              <w:tab/>
            </w:r>
            <w:r w:rsidRPr="00AD3A06">
              <w:rPr>
                <w:rStyle w:val="Hyperlink"/>
                <w:rFonts w:cs="Arial"/>
                <w:noProof/>
              </w:rPr>
              <w:t>Building healthy public policy</w:t>
            </w:r>
            <w:r w:rsidRPr="00AD3A06">
              <w:rPr>
                <w:rFonts w:cs="Arial"/>
                <w:noProof/>
                <w:webHidden/>
              </w:rPr>
              <w:tab/>
            </w:r>
            <w:r w:rsidRPr="00AD3A06">
              <w:rPr>
                <w:rFonts w:cs="Arial"/>
                <w:noProof/>
                <w:webHidden/>
              </w:rPr>
              <w:fldChar w:fldCharType="begin"/>
            </w:r>
            <w:r w:rsidRPr="00AD3A06">
              <w:rPr>
                <w:rFonts w:cs="Arial"/>
                <w:noProof/>
                <w:webHidden/>
              </w:rPr>
              <w:instrText xml:space="preserve"> PAGEREF _Toc233305791 \h </w:instrText>
            </w:r>
            <w:r w:rsidRPr="00AD3A06">
              <w:rPr>
                <w:rFonts w:cs="Arial"/>
                <w:noProof/>
                <w:webHidden/>
              </w:rPr>
            </w:r>
            <w:r w:rsidRPr="00AD3A06">
              <w:rPr>
                <w:rFonts w:cs="Arial"/>
                <w:noProof/>
                <w:webHidden/>
              </w:rPr>
              <w:fldChar w:fldCharType="separate"/>
            </w:r>
            <w:r w:rsidR="00F27848">
              <w:rPr>
                <w:rFonts w:cs="Arial"/>
                <w:noProof/>
                <w:webHidden/>
              </w:rPr>
              <w:t>11</w:t>
            </w:r>
            <w:r w:rsidRPr="00AD3A06">
              <w:rPr>
                <w:rFonts w:cs="Arial"/>
                <w:noProof/>
                <w:webHidden/>
              </w:rPr>
              <w:fldChar w:fldCharType="end"/>
            </w:r>
          </w:hyperlink>
        </w:p>
        <w:p w14:paraId="2F276E13" w14:textId="6E64B60C" w:rsidR="007303D2" w:rsidRPr="00AD3A06" w:rsidRDefault="007303D2" w:rsidP="00A35DED">
          <w:pPr>
            <w:pStyle w:val="TOC2"/>
            <w:tabs>
              <w:tab w:val="left" w:pos="960"/>
              <w:tab w:val="right" w:leader="dot" w:pos="9350"/>
            </w:tabs>
            <w:rPr>
              <w:rFonts w:eastAsiaTheme="minorEastAsia" w:cs="Arial"/>
              <w:noProof/>
              <w:kern w:val="2"/>
              <w:szCs w:val="24"/>
              <w:lang w:eastAsia="en-GB"/>
            </w:rPr>
          </w:pPr>
          <w:hyperlink w:anchor="_Toc233305792" w:history="1">
            <w:r w:rsidRPr="00AD3A06">
              <w:rPr>
                <w:rStyle w:val="Hyperlink"/>
                <w:rFonts w:cs="Arial"/>
                <w:noProof/>
              </w:rPr>
              <w:t>6.2</w:t>
            </w:r>
            <w:r w:rsidRPr="00AD3A06">
              <w:rPr>
                <w:rFonts w:eastAsiaTheme="minorEastAsia" w:cs="Arial"/>
                <w:noProof/>
                <w:kern w:val="2"/>
                <w:szCs w:val="24"/>
                <w:lang w:eastAsia="en-GB"/>
              </w:rPr>
              <w:tab/>
            </w:r>
            <w:r w:rsidRPr="00AD3A06">
              <w:rPr>
                <w:rStyle w:val="Hyperlink"/>
                <w:rFonts w:cs="Arial"/>
                <w:noProof/>
              </w:rPr>
              <w:t>Creating supportive environments</w:t>
            </w:r>
            <w:r w:rsidRPr="00AD3A06">
              <w:rPr>
                <w:rFonts w:cs="Arial"/>
                <w:noProof/>
                <w:webHidden/>
              </w:rPr>
              <w:tab/>
            </w:r>
            <w:r w:rsidRPr="00AD3A06">
              <w:rPr>
                <w:rFonts w:cs="Arial"/>
                <w:noProof/>
                <w:webHidden/>
              </w:rPr>
              <w:fldChar w:fldCharType="begin"/>
            </w:r>
            <w:r w:rsidRPr="00AD3A06">
              <w:rPr>
                <w:rFonts w:cs="Arial"/>
                <w:noProof/>
                <w:webHidden/>
              </w:rPr>
              <w:instrText xml:space="preserve"> PAGEREF _Toc233305792 \h </w:instrText>
            </w:r>
            <w:r w:rsidRPr="00AD3A06">
              <w:rPr>
                <w:rFonts w:cs="Arial"/>
                <w:noProof/>
                <w:webHidden/>
              </w:rPr>
            </w:r>
            <w:r w:rsidRPr="00AD3A06">
              <w:rPr>
                <w:rFonts w:cs="Arial"/>
                <w:noProof/>
                <w:webHidden/>
              </w:rPr>
              <w:fldChar w:fldCharType="separate"/>
            </w:r>
            <w:r w:rsidR="00F27848">
              <w:rPr>
                <w:rFonts w:cs="Arial"/>
                <w:noProof/>
                <w:webHidden/>
              </w:rPr>
              <w:t>11</w:t>
            </w:r>
            <w:r w:rsidRPr="00AD3A06">
              <w:rPr>
                <w:rFonts w:cs="Arial"/>
                <w:noProof/>
                <w:webHidden/>
              </w:rPr>
              <w:fldChar w:fldCharType="end"/>
            </w:r>
          </w:hyperlink>
        </w:p>
        <w:p w14:paraId="16B69470" w14:textId="72A02F0A" w:rsidR="007303D2" w:rsidRPr="00AD3A06" w:rsidRDefault="007303D2" w:rsidP="00A35DED">
          <w:pPr>
            <w:pStyle w:val="TOC2"/>
            <w:tabs>
              <w:tab w:val="left" w:pos="960"/>
              <w:tab w:val="right" w:leader="dot" w:pos="9350"/>
            </w:tabs>
            <w:rPr>
              <w:rFonts w:eastAsiaTheme="minorEastAsia" w:cs="Arial"/>
              <w:noProof/>
              <w:kern w:val="2"/>
              <w:szCs w:val="24"/>
              <w:lang w:eastAsia="en-GB"/>
            </w:rPr>
          </w:pPr>
          <w:hyperlink w:anchor="_Toc233305793" w:history="1">
            <w:r w:rsidRPr="00AD3A06">
              <w:rPr>
                <w:rStyle w:val="Hyperlink"/>
                <w:rFonts w:cs="Arial"/>
                <w:noProof/>
              </w:rPr>
              <w:t>6.3</w:t>
            </w:r>
            <w:r w:rsidRPr="00AD3A06">
              <w:rPr>
                <w:rFonts w:eastAsiaTheme="minorEastAsia" w:cs="Arial"/>
                <w:noProof/>
                <w:kern w:val="2"/>
                <w:szCs w:val="24"/>
                <w:lang w:eastAsia="en-GB"/>
              </w:rPr>
              <w:tab/>
            </w:r>
            <w:r w:rsidRPr="00AD3A06">
              <w:rPr>
                <w:rStyle w:val="Hyperlink"/>
                <w:rFonts w:cs="Arial"/>
                <w:noProof/>
              </w:rPr>
              <w:t>Strengthening community action</w:t>
            </w:r>
            <w:r w:rsidRPr="00AD3A06">
              <w:rPr>
                <w:rFonts w:cs="Arial"/>
                <w:noProof/>
                <w:webHidden/>
              </w:rPr>
              <w:tab/>
            </w:r>
            <w:r w:rsidRPr="00AD3A06">
              <w:rPr>
                <w:rFonts w:cs="Arial"/>
                <w:noProof/>
                <w:webHidden/>
              </w:rPr>
              <w:fldChar w:fldCharType="begin"/>
            </w:r>
            <w:r w:rsidRPr="00AD3A06">
              <w:rPr>
                <w:rFonts w:cs="Arial"/>
                <w:noProof/>
                <w:webHidden/>
              </w:rPr>
              <w:instrText xml:space="preserve"> PAGEREF _Toc233305793 \h </w:instrText>
            </w:r>
            <w:r w:rsidRPr="00AD3A06">
              <w:rPr>
                <w:rFonts w:cs="Arial"/>
                <w:noProof/>
                <w:webHidden/>
              </w:rPr>
            </w:r>
            <w:r w:rsidRPr="00AD3A06">
              <w:rPr>
                <w:rFonts w:cs="Arial"/>
                <w:noProof/>
                <w:webHidden/>
              </w:rPr>
              <w:fldChar w:fldCharType="separate"/>
            </w:r>
            <w:r w:rsidR="00F27848">
              <w:rPr>
                <w:rFonts w:cs="Arial"/>
                <w:noProof/>
                <w:webHidden/>
              </w:rPr>
              <w:t>11</w:t>
            </w:r>
            <w:r w:rsidRPr="00AD3A06">
              <w:rPr>
                <w:rFonts w:cs="Arial"/>
                <w:noProof/>
                <w:webHidden/>
              </w:rPr>
              <w:fldChar w:fldCharType="end"/>
            </w:r>
          </w:hyperlink>
        </w:p>
        <w:p w14:paraId="756955BD" w14:textId="6997CF5A" w:rsidR="007303D2" w:rsidRPr="00AD3A06" w:rsidRDefault="007303D2" w:rsidP="00A35DED">
          <w:pPr>
            <w:pStyle w:val="TOC2"/>
            <w:tabs>
              <w:tab w:val="left" w:pos="960"/>
              <w:tab w:val="right" w:leader="dot" w:pos="9350"/>
            </w:tabs>
            <w:rPr>
              <w:rFonts w:eastAsiaTheme="minorEastAsia" w:cs="Arial"/>
              <w:noProof/>
              <w:kern w:val="2"/>
              <w:szCs w:val="24"/>
              <w:lang w:eastAsia="en-GB"/>
            </w:rPr>
          </w:pPr>
          <w:hyperlink w:anchor="_Toc233305794" w:history="1">
            <w:r w:rsidRPr="00AD3A06">
              <w:rPr>
                <w:rStyle w:val="Hyperlink"/>
                <w:rFonts w:cs="Arial"/>
                <w:noProof/>
              </w:rPr>
              <w:t>6.4</w:t>
            </w:r>
            <w:r w:rsidRPr="00AD3A06">
              <w:rPr>
                <w:rFonts w:eastAsiaTheme="minorEastAsia" w:cs="Arial"/>
                <w:noProof/>
                <w:kern w:val="2"/>
                <w:szCs w:val="24"/>
                <w:lang w:eastAsia="en-GB"/>
              </w:rPr>
              <w:tab/>
            </w:r>
            <w:r w:rsidRPr="00AD3A06">
              <w:rPr>
                <w:rStyle w:val="Hyperlink"/>
                <w:rFonts w:cs="Arial"/>
                <w:noProof/>
              </w:rPr>
              <w:t>Reorienting health services</w:t>
            </w:r>
            <w:r w:rsidRPr="00AD3A06">
              <w:rPr>
                <w:rFonts w:cs="Arial"/>
                <w:noProof/>
                <w:webHidden/>
              </w:rPr>
              <w:tab/>
            </w:r>
            <w:r w:rsidRPr="00AD3A06">
              <w:rPr>
                <w:rFonts w:cs="Arial"/>
                <w:noProof/>
                <w:webHidden/>
              </w:rPr>
              <w:fldChar w:fldCharType="begin"/>
            </w:r>
            <w:r w:rsidRPr="00AD3A06">
              <w:rPr>
                <w:rFonts w:cs="Arial"/>
                <w:noProof/>
                <w:webHidden/>
              </w:rPr>
              <w:instrText xml:space="preserve"> PAGEREF _Toc233305794 \h </w:instrText>
            </w:r>
            <w:r w:rsidRPr="00AD3A06">
              <w:rPr>
                <w:rFonts w:cs="Arial"/>
                <w:noProof/>
                <w:webHidden/>
              </w:rPr>
            </w:r>
            <w:r w:rsidRPr="00AD3A06">
              <w:rPr>
                <w:rFonts w:cs="Arial"/>
                <w:noProof/>
                <w:webHidden/>
              </w:rPr>
              <w:fldChar w:fldCharType="separate"/>
            </w:r>
            <w:r w:rsidR="00F27848">
              <w:rPr>
                <w:rFonts w:cs="Arial"/>
                <w:noProof/>
                <w:webHidden/>
              </w:rPr>
              <w:t>12</w:t>
            </w:r>
            <w:r w:rsidRPr="00AD3A06">
              <w:rPr>
                <w:rFonts w:cs="Arial"/>
                <w:noProof/>
                <w:webHidden/>
              </w:rPr>
              <w:fldChar w:fldCharType="end"/>
            </w:r>
          </w:hyperlink>
        </w:p>
        <w:p w14:paraId="650B37AF" w14:textId="4CED96BD" w:rsidR="007303D2" w:rsidRPr="00AD3A06" w:rsidRDefault="007303D2" w:rsidP="00A35DED">
          <w:pPr>
            <w:pStyle w:val="TOC2"/>
            <w:tabs>
              <w:tab w:val="left" w:pos="960"/>
              <w:tab w:val="right" w:leader="dot" w:pos="9350"/>
            </w:tabs>
            <w:rPr>
              <w:rFonts w:eastAsiaTheme="minorEastAsia" w:cs="Arial"/>
              <w:noProof/>
              <w:kern w:val="2"/>
              <w:szCs w:val="24"/>
              <w:lang w:eastAsia="en-GB"/>
            </w:rPr>
          </w:pPr>
          <w:hyperlink w:anchor="_Toc233305795" w:history="1">
            <w:r w:rsidRPr="00AD3A06">
              <w:rPr>
                <w:rStyle w:val="Hyperlink"/>
                <w:rFonts w:cs="Arial"/>
                <w:noProof/>
              </w:rPr>
              <w:t>6.5</w:t>
            </w:r>
            <w:r w:rsidRPr="00AD3A06">
              <w:rPr>
                <w:rFonts w:eastAsiaTheme="minorEastAsia" w:cs="Arial"/>
                <w:noProof/>
                <w:kern w:val="2"/>
                <w:szCs w:val="24"/>
                <w:lang w:eastAsia="en-GB"/>
              </w:rPr>
              <w:tab/>
            </w:r>
            <w:r w:rsidRPr="00AD3A06">
              <w:rPr>
                <w:rStyle w:val="Hyperlink"/>
                <w:rFonts w:cs="Arial"/>
                <w:noProof/>
              </w:rPr>
              <w:t>Developing personal skills</w:t>
            </w:r>
            <w:r w:rsidRPr="00AD3A06">
              <w:rPr>
                <w:rFonts w:cs="Arial"/>
                <w:noProof/>
                <w:webHidden/>
              </w:rPr>
              <w:tab/>
            </w:r>
            <w:r w:rsidRPr="00AD3A06">
              <w:rPr>
                <w:rFonts w:cs="Arial"/>
                <w:noProof/>
                <w:webHidden/>
              </w:rPr>
              <w:fldChar w:fldCharType="begin"/>
            </w:r>
            <w:r w:rsidRPr="00AD3A06">
              <w:rPr>
                <w:rFonts w:cs="Arial"/>
                <w:noProof/>
                <w:webHidden/>
              </w:rPr>
              <w:instrText xml:space="preserve"> PAGEREF _Toc233305795 \h </w:instrText>
            </w:r>
            <w:r w:rsidRPr="00AD3A06">
              <w:rPr>
                <w:rFonts w:cs="Arial"/>
                <w:noProof/>
                <w:webHidden/>
              </w:rPr>
            </w:r>
            <w:r w:rsidRPr="00AD3A06">
              <w:rPr>
                <w:rFonts w:cs="Arial"/>
                <w:noProof/>
                <w:webHidden/>
              </w:rPr>
              <w:fldChar w:fldCharType="separate"/>
            </w:r>
            <w:r w:rsidR="00F27848">
              <w:rPr>
                <w:rFonts w:cs="Arial"/>
                <w:noProof/>
                <w:webHidden/>
              </w:rPr>
              <w:t>12</w:t>
            </w:r>
            <w:r w:rsidRPr="00AD3A06">
              <w:rPr>
                <w:rFonts w:cs="Arial"/>
                <w:noProof/>
                <w:webHidden/>
              </w:rPr>
              <w:fldChar w:fldCharType="end"/>
            </w:r>
          </w:hyperlink>
        </w:p>
        <w:p w14:paraId="7A641082" w14:textId="4DF70165" w:rsidR="007303D2" w:rsidRPr="00AD3A06" w:rsidRDefault="007303D2" w:rsidP="00A35DED">
          <w:pPr>
            <w:pStyle w:val="TOC1"/>
            <w:tabs>
              <w:tab w:val="left" w:pos="480"/>
              <w:tab w:val="right" w:leader="dot" w:pos="9350"/>
            </w:tabs>
            <w:rPr>
              <w:rFonts w:eastAsiaTheme="minorEastAsia" w:cs="Arial"/>
              <w:noProof/>
              <w:kern w:val="2"/>
              <w:szCs w:val="24"/>
              <w:lang w:eastAsia="en-GB"/>
            </w:rPr>
          </w:pPr>
          <w:hyperlink w:anchor="_Toc233305796" w:history="1">
            <w:r w:rsidRPr="00AD3A06">
              <w:rPr>
                <w:rStyle w:val="Hyperlink"/>
                <w:rFonts w:cs="Arial"/>
                <w:noProof/>
              </w:rPr>
              <w:t>7</w:t>
            </w:r>
            <w:r w:rsidRPr="00AD3A06">
              <w:rPr>
                <w:rFonts w:eastAsiaTheme="minorEastAsia" w:cs="Arial"/>
                <w:noProof/>
                <w:kern w:val="2"/>
                <w:szCs w:val="24"/>
                <w:lang w:eastAsia="en-GB"/>
              </w:rPr>
              <w:tab/>
            </w:r>
            <w:r w:rsidRPr="00AD3A06">
              <w:rPr>
                <w:rStyle w:val="Hyperlink"/>
                <w:rFonts w:cs="Arial"/>
                <w:noProof/>
              </w:rPr>
              <w:t>Conclusion</w:t>
            </w:r>
            <w:r w:rsidRPr="00AD3A06">
              <w:rPr>
                <w:rFonts w:cs="Arial"/>
                <w:noProof/>
                <w:webHidden/>
              </w:rPr>
              <w:tab/>
            </w:r>
            <w:r w:rsidRPr="00AD3A06">
              <w:rPr>
                <w:rFonts w:cs="Arial"/>
                <w:noProof/>
                <w:webHidden/>
              </w:rPr>
              <w:fldChar w:fldCharType="begin"/>
            </w:r>
            <w:r w:rsidRPr="00AD3A06">
              <w:rPr>
                <w:rFonts w:cs="Arial"/>
                <w:noProof/>
                <w:webHidden/>
              </w:rPr>
              <w:instrText xml:space="preserve"> PAGEREF _Toc233305796 \h </w:instrText>
            </w:r>
            <w:r w:rsidRPr="00AD3A06">
              <w:rPr>
                <w:rFonts w:cs="Arial"/>
                <w:noProof/>
                <w:webHidden/>
              </w:rPr>
            </w:r>
            <w:r w:rsidRPr="00AD3A06">
              <w:rPr>
                <w:rFonts w:cs="Arial"/>
                <w:noProof/>
                <w:webHidden/>
              </w:rPr>
              <w:fldChar w:fldCharType="separate"/>
            </w:r>
            <w:r w:rsidR="00F27848">
              <w:rPr>
                <w:rFonts w:cs="Arial"/>
                <w:noProof/>
                <w:webHidden/>
              </w:rPr>
              <w:t>12</w:t>
            </w:r>
            <w:r w:rsidRPr="00AD3A06">
              <w:rPr>
                <w:rFonts w:cs="Arial"/>
                <w:noProof/>
                <w:webHidden/>
              </w:rPr>
              <w:fldChar w:fldCharType="end"/>
            </w:r>
          </w:hyperlink>
        </w:p>
        <w:p w14:paraId="6BDA468E" w14:textId="6F5A7150" w:rsidR="007303D2" w:rsidRPr="00AD3A06" w:rsidRDefault="007303D2" w:rsidP="00A35DED">
          <w:pPr>
            <w:pStyle w:val="TOC1"/>
            <w:tabs>
              <w:tab w:val="left" w:pos="480"/>
              <w:tab w:val="right" w:leader="dot" w:pos="9350"/>
            </w:tabs>
            <w:rPr>
              <w:rFonts w:eastAsiaTheme="minorEastAsia" w:cs="Arial"/>
              <w:noProof/>
              <w:kern w:val="2"/>
              <w:szCs w:val="24"/>
              <w:lang w:eastAsia="en-GB"/>
            </w:rPr>
          </w:pPr>
          <w:hyperlink w:anchor="_Toc233305797" w:history="1">
            <w:r w:rsidRPr="00AD3A06">
              <w:rPr>
                <w:rStyle w:val="Hyperlink"/>
                <w:rFonts w:cs="Arial"/>
                <w:noProof/>
              </w:rPr>
              <w:t>8</w:t>
            </w:r>
            <w:r w:rsidRPr="00AD3A06">
              <w:rPr>
                <w:rFonts w:eastAsiaTheme="minorEastAsia" w:cs="Arial"/>
                <w:noProof/>
                <w:kern w:val="2"/>
                <w:szCs w:val="24"/>
                <w:lang w:eastAsia="en-GB"/>
              </w:rPr>
              <w:tab/>
            </w:r>
            <w:r w:rsidRPr="00AD3A06">
              <w:rPr>
                <w:rStyle w:val="Hyperlink"/>
                <w:rFonts w:cs="Arial"/>
                <w:noProof/>
              </w:rPr>
              <w:t>References</w:t>
            </w:r>
            <w:r w:rsidRPr="00AD3A06">
              <w:rPr>
                <w:rFonts w:cs="Arial"/>
                <w:noProof/>
                <w:webHidden/>
              </w:rPr>
              <w:tab/>
            </w:r>
            <w:r w:rsidRPr="00AD3A06">
              <w:rPr>
                <w:rFonts w:cs="Arial"/>
                <w:noProof/>
                <w:webHidden/>
              </w:rPr>
              <w:fldChar w:fldCharType="begin"/>
            </w:r>
            <w:r w:rsidRPr="00AD3A06">
              <w:rPr>
                <w:rFonts w:cs="Arial"/>
                <w:noProof/>
                <w:webHidden/>
              </w:rPr>
              <w:instrText xml:space="preserve"> PAGEREF _Toc233305797 \h </w:instrText>
            </w:r>
            <w:r w:rsidRPr="00AD3A06">
              <w:rPr>
                <w:rFonts w:cs="Arial"/>
                <w:noProof/>
                <w:webHidden/>
              </w:rPr>
            </w:r>
            <w:r w:rsidRPr="00AD3A06">
              <w:rPr>
                <w:rFonts w:cs="Arial"/>
                <w:noProof/>
                <w:webHidden/>
              </w:rPr>
              <w:fldChar w:fldCharType="separate"/>
            </w:r>
            <w:r w:rsidR="00F27848">
              <w:rPr>
                <w:rFonts w:cs="Arial"/>
                <w:noProof/>
                <w:webHidden/>
              </w:rPr>
              <w:t>13</w:t>
            </w:r>
            <w:r w:rsidRPr="00AD3A06">
              <w:rPr>
                <w:rFonts w:cs="Arial"/>
                <w:noProof/>
                <w:webHidden/>
              </w:rPr>
              <w:fldChar w:fldCharType="end"/>
            </w:r>
          </w:hyperlink>
        </w:p>
        <w:p w14:paraId="592C22DF" w14:textId="2FD1B531" w:rsidR="007303D2" w:rsidRPr="00AD3A06" w:rsidRDefault="007303D2" w:rsidP="00A35DED">
          <w:pPr>
            <w:rPr>
              <w:rFonts w:cs="Arial"/>
            </w:rPr>
          </w:pPr>
          <w:r w:rsidRPr="00AD3A06">
            <w:rPr>
              <w:rFonts w:cs="Arial"/>
              <w:b/>
              <w:bCs/>
              <w:noProof/>
            </w:rPr>
            <w:fldChar w:fldCharType="end"/>
          </w:r>
        </w:p>
      </w:sdtContent>
    </w:sdt>
    <w:p w14:paraId="74B34029" w14:textId="77777777" w:rsidR="007303D2" w:rsidRPr="00AD3A06" w:rsidRDefault="007303D2" w:rsidP="00A35DED">
      <w:pPr>
        <w:rPr>
          <w:rFonts w:cs="Arial"/>
        </w:rPr>
      </w:pPr>
    </w:p>
    <w:p w14:paraId="78DD23A7" w14:textId="77777777" w:rsidR="007303D2" w:rsidRPr="00AD3A06" w:rsidRDefault="007303D2" w:rsidP="00A35DED">
      <w:pPr>
        <w:rPr>
          <w:rFonts w:cs="Arial"/>
        </w:rPr>
      </w:pPr>
    </w:p>
    <w:p w14:paraId="6356DA60" w14:textId="77777777" w:rsidR="007303D2" w:rsidRDefault="007303D2" w:rsidP="00A35DED">
      <w:pPr>
        <w:rPr>
          <w:rFonts w:cs="Arial"/>
        </w:rPr>
      </w:pPr>
    </w:p>
    <w:p w14:paraId="39E774B2" w14:textId="77777777" w:rsidR="00AD3A06" w:rsidRDefault="00AD3A06" w:rsidP="00A35DED">
      <w:pPr>
        <w:rPr>
          <w:rFonts w:cs="Arial"/>
        </w:rPr>
      </w:pPr>
    </w:p>
    <w:p w14:paraId="3A985EB5" w14:textId="77777777" w:rsidR="00AD3A06" w:rsidRDefault="00AD3A06" w:rsidP="00A35DED">
      <w:pPr>
        <w:rPr>
          <w:rFonts w:cs="Arial"/>
        </w:rPr>
      </w:pPr>
    </w:p>
    <w:p w14:paraId="486E2FB8" w14:textId="77777777" w:rsidR="00AD3A06" w:rsidRDefault="00AD3A06" w:rsidP="00A35DED">
      <w:pPr>
        <w:rPr>
          <w:rFonts w:cs="Arial"/>
        </w:rPr>
      </w:pPr>
    </w:p>
    <w:p w14:paraId="4763D3DA" w14:textId="77777777" w:rsidR="00AD3A06" w:rsidRDefault="00AD3A06" w:rsidP="00A35DED">
      <w:pPr>
        <w:rPr>
          <w:rFonts w:cs="Arial"/>
        </w:rPr>
      </w:pPr>
    </w:p>
    <w:p w14:paraId="46FB6E10" w14:textId="77777777" w:rsidR="00AD3A06" w:rsidRPr="00AD3A06" w:rsidRDefault="00AD3A06" w:rsidP="00A35DED">
      <w:pPr>
        <w:rPr>
          <w:rFonts w:cs="Arial"/>
        </w:rPr>
      </w:pPr>
    </w:p>
    <w:p w14:paraId="210063E0" w14:textId="061352D9" w:rsidR="007303D2" w:rsidRPr="00AD3A06" w:rsidRDefault="007303D2" w:rsidP="00A35DED">
      <w:pPr>
        <w:pStyle w:val="Heading1"/>
        <w:rPr>
          <w:rFonts w:cs="Arial"/>
        </w:rPr>
      </w:pPr>
      <w:bookmarkStart w:id="0" w:name="_Toc233305785"/>
      <w:r w:rsidRPr="00AD3A06">
        <w:rPr>
          <w:rFonts w:cs="Arial"/>
        </w:rPr>
        <w:t>Introduction</w:t>
      </w:r>
      <w:bookmarkEnd w:id="0"/>
    </w:p>
    <w:p w14:paraId="353BC04D" w14:textId="77777777" w:rsidR="00A03347" w:rsidRPr="00A03347" w:rsidRDefault="00A03347" w:rsidP="00A03347">
      <w:pPr>
        <w:rPr>
          <w:rFonts w:cs="Arial"/>
        </w:rPr>
      </w:pPr>
      <w:r w:rsidRPr="00A03347">
        <w:rPr>
          <w:rFonts w:cs="Arial"/>
        </w:rPr>
        <w:t>In 2015, all United Nations member states accepted the Sustainable Development Goals (SDGs) as a universal challenge to eliminate poverty, safeguard the planet, and to achieve prosperity by 2030 (United Nations, 2015). SDG 3 is supposed to provide healthy lives and support wellbeing to all people at all ages, whereas SDG 10 is supposed to decrease inequality within and among states (United Nations, 2015). These objectives are intertwined as health outcomes are not evenly allocated. The location of a person, their income, educational attainment, and social status are factors that influence their opportunities to live a long and healthy life (Marmot et al., 2020).</w:t>
      </w:r>
    </w:p>
    <w:p w14:paraId="504D0970" w14:textId="77777777" w:rsidR="00A03347" w:rsidRPr="00A03347" w:rsidRDefault="00A03347" w:rsidP="00A03347">
      <w:pPr>
        <w:rPr>
          <w:rFonts w:cs="Arial"/>
        </w:rPr>
      </w:pPr>
      <w:r w:rsidRPr="00A03347">
        <w:rPr>
          <w:rFonts w:cs="Arial"/>
        </w:rPr>
        <w:t>This report focuses on the influence of SDG 3 and SDG 10 on the health of citizens on a global, national, and local scale. The national area is England, where health disparities are best reported, and the local area is the North East, which has the worst health outcomes in the nation (Office for National Statistics, 2026a). The report assesses the existing efforts and gives suggestions on how to improve.</w:t>
      </w:r>
    </w:p>
    <w:p w14:paraId="366FE1C2" w14:textId="672B2749" w:rsidR="00A03347" w:rsidRPr="00A03347" w:rsidRDefault="00A03347" w:rsidP="00A03347">
      <w:pPr>
        <w:pStyle w:val="Heading1"/>
      </w:pPr>
      <w:r w:rsidRPr="00A03347">
        <w:t>Theoretical Framework</w:t>
      </w:r>
    </w:p>
    <w:p w14:paraId="79143E5C" w14:textId="41615316" w:rsidR="007303D2" w:rsidRDefault="00A03347" w:rsidP="00A03347">
      <w:pPr>
        <w:rPr>
          <w:rFonts w:cs="Arial"/>
        </w:rPr>
      </w:pPr>
      <w:r w:rsidRPr="00A03347">
        <w:rPr>
          <w:rFonts w:cs="Arial"/>
        </w:rPr>
        <w:t xml:space="preserve">There are two frameworks used in this report. The </w:t>
      </w:r>
      <w:r w:rsidR="003D699D" w:rsidRPr="00A03347">
        <w:rPr>
          <w:rFonts w:cs="Arial"/>
        </w:rPr>
        <w:t>first</w:t>
      </w:r>
      <w:r w:rsidRPr="00A03347">
        <w:rPr>
          <w:rFonts w:cs="Arial"/>
        </w:rPr>
        <w:t xml:space="preserve"> is the Dahlgren-Whitehead model of the principal determinants of health, the so-called Rainbow Model (Dahlgren and Whitehead, 2021). This model </w:t>
      </w:r>
      <w:r w:rsidR="003D699D" w:rsidRPr="00A03347">
        <w:rPr>
          <w:rFonts w:cs="Arial"/>
        </w:rPr>
        <w:t>proves</w:t>
      </w:r>
      <w:r w:rsidRPr="00A03347">
        <w:rPr>
          <w:rFonts w:cs="Arial"/>
        </w:rPr>
        <w:t xml:space="preserve"> that there are five levels of factors that affect health and include personal characteristics; individual lifestyle; social and community networks; living and working conditions; and the broader socioeconomic conditions including government policies. The model clarifies that health cannot be merely a matter of choice or access to healthcare. The circumstances that individuals are born in, develop in, work, and age determine their health outcomes (Dahlgren and Whitehead, 2021).</w:t>
      </w:r>
    </w:p>
    <w:p w14:paraId="71CECF0E" w14:textId="77777777" w:rsidR="00657E85" w:rsidRDefault="00176D39" w:rsidP="00657E85">
      <w:pPr>
        <w:keepNext/>
        <w:jc w:val="center"/>
      </w:pPr>
      <w:r>
        <w:rPr>
          <w:rFonts w:cs="Arial"/>
          <w:noProof/>
        </w:rPr>
        <w:drawing>
          <wp:inline distT="0" distB="0" distL="0" distR="0" wp14:anchorId="453C386C" wp14:editId="37DF9AAA">
            <wp:extent cx="5943600" cy="2781300"/>
            <wp:effectExtent l="0" t="0" r="0" b="0"/>
            <wp:docPr id="11937088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708803" name="Picture 1193708803"/>
                    <pic:cNvPicPr/>
                  </pic:nvPicPr>
                  <pic:blipFill rotWithShape="1">
                    <a:blip r:embed="rId8" cstate="print">
                      <a:extLst>
                        <a:ext uri="{28A0092B-C50C-407E-A947-70E740481C1C}">
                          <a14:useLocalDpi xmlns:a14="http://schemas.microsoft.com/office/drawing/2010/main" val="0"/>
                        </a:ext>
                      </a:extLst>
                    </a:blip>
                    <a:srcRect/>
                    <a:stretch>
                      <a:fillRect/>
                    </a:stretch>
                  </pic:blipFill>
                  <pic:spPr bwMode="auto">
                    <a:xfrm>
                      <a:off x="0" y="0"/>
                      <a:ext cx="5943600" cy="2781300"/>
                    </a:xfrm>
                    <a:prstGeom prst="rect">
                      <a:avLst/>
                    </a:prstGeom>
                    <a:ln>
                      <a:noFill/>
                    </a:ln>
                    <a:extLst>
                      <a:ext uri="{53640926-AAD7-44D8-BBD7-CCE9431645EC}">
                        <a14:shadowObscured xmlns:a14="http://schemas.microsoft.com/office/drawing/2010/main"/>
                      </a:ext>
                    </a:extLst>
                  </pic:spPr>
                </pic:pic>
              </a:graphicData>
            </a:graphic>
          </wp:inline>
        </w:drawing>
      </w:r>
    </w:p>
    <w:p w14:paraId="39F885CD" w14:textId="69CCBF30" w:rsidR="00176D39" w:rsidRPr="00AD3A06" w:rsidRDefault="00657E85" w:rsidP="00657E85">
      <w:pPr>
        <w:pStyle w:val="Caption"/>
        <w:jc w:val="center"/>
        <w:rPr>
          <w:rFonts w:cs="Arial"/>
        </w:rPr>
      </w:pPr>
      <w:r>
        <w:t xml:space="preserve">Figure </w:t>
      </w:r>
      <w:r w:rsidR="00436D7E">
        <w:fldChar w:fldCharType="begin"/>
      </w:r>
      <w:r w:rsidR="00436D7E">
        <w:instrText xml:space="preserve"> SEQ Figure \* ARABIC </w:instrText>
      </w:r>
      <w:r w:rsidR="00436D7E">
        <w:fldChar w:fldCharType="separate"/>
      </w:r>
      <w:r w:rsidR="00436D7E">
        <w:rPr>
          <w:noProof/>
        </w:rPr>
        <w:t>1</w:t>
      </w:r>
      <w:r w:rsidR="00436D7E">
        <w:rPr>
          <w:noProof/>
        </w:rPr>
        <w:fldChar w:fldCharType="end"/>
      </w:r>
      <w:r>
        <w:t xml:space="preserve"> Dahlgren-Whitehead Rainbow model applied to health inequalities – (Adopted from (Dahlgren and Whitehead, 2020); (Mamot et al., 2020))</w:t>
      </w:r>
    </w:p>
    <w:p w14:paraId="3A83B204" w14:textId="7095ABEE" w:rsidR="00A03347" w:rsidRPr="00A03347" w:rsidRDefault="00A03347" w:rsidP="00A03347">
      <w:pPr>
        <w:rPr>
          <w:rFonts w:cs="Arial"/>
        </w:rPr>
      </w:pPr>
      <w:r w:rsidRPr="00A03347">
        <w:rPr>
          <w:rFonts w:cs="Arial"/>
        </w:rPr>
        <w:t xml:space="preserve">The second model is the Ottawa Charter of Health Promotion (World Health Organization, 1986). The Charter outlines five areas of action: building healthy public policy, creating supportive environments, strengthening community action, developing personal skills, and reorienting health services. It also </w:t>
      </w:r>
      <w:r w:rsidR="003D699D" w:rsidRPr="00A03347">
        <w:rPr>
          <w:rFonts w:cs="Arial"/>
        </w:rPr>
        <w:t>counts</w:t>
      </w:r>
      <w:r w:rsidRPr="00A03347">
        <w:rPr>
          <w:rFonts w:cs="Arial"/>
        </w:rPr>
        <w:t xml:space="preserve"> the basic conditions to health as peace, shelter, education, food, income, a stable ecosystem, sustainable resources, social justice, and equity. These requirements are closely related to SDG 3 and SDG 10 goals, and the Charter can be used to assess the effectiveness of policies in combating health inequalities (World Health Organization, 2022).</w:t>
      </w:r>
    </w:p>
    <w:p w14:paraId="3201A337" w14:textId="696D25F0" w:rsidR="007303D2" w:rsidRPr="00AD3A06" w:rsidRDefault="00A03347" w:rsidP="00A03347">
      <w:pPr>
        <w:rPr>
          <w:rFonts w:cs="Arial"/>
        </w:rPr>
      </w:pPr>
      <w:r w:rsidRPr="00A03347">
        <w:rPr>
          <w:rFonts w:cs="Arial"/>
        </w:rPr>
        <w:t>These models clarify why inequalities in health exist in even rich countries. They change the focus towards the blame of people and the realization of how social, economic, and political systems produce unequal results.</w:t>
      </w:r>
    </w:p>
    <w:p w14:paraId="03DF4ADA" w14:textId="7B12D680" w:rsidR="007303D2" w:rsidRDefault="007303D2" w:rsidP="00A35DED">
      <w:pPr>
        <w:pStyle w:val="Heading1"/>
        <w:rPr>
          <w:rFonts w:cs="Arial"/>
        </w:rPr>
      </w:pPr>
      <w:bookmarkStart w:id="1" w:name="_Toc233305787"/>
      <w:r w:rsidRPr="00AD3A06">
        <w:rPr>
          <w:rFonts w:cs="Arial"/>
        </w:rPr>
        <w:t>Global Analysis - SDG 3 and SDG 10</w:t>
      </w:r>
      <w:bookmarkEnd w:id="1"/>
    </w:p>
    <w:p w14:paraId="3E3F1CAA" w14:textId="77777777" w:rsidR="00657E85" w:rsidRDefault="00176D39" w:rsidP="00657E85">
      <w:pPr>
        <w:keepNext/>
        <w:jc w:val="center"/>
      </w:pPr>
      <w:r>
        <w:rPr>
          <w:noProof/>
        </w:rPr>
        <w:drawing>
          <wp:inline distT="0" distB="0" distL="0" distR="0" wp14:anchorId="161A64E4" wp14:editId="2D4E820B">
            <wp:extent cx="5943600" cy="3177540"/>
            <wp:effectExtent l="0" t="0" r="0" b="3810"/>
            <wp:docPr id="267640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640066" name="Picture 267640066"/>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5943600" cy="3177540"/>
                    </a:xfrm>
                    <a:prstGeom prst="rect">
                      <a:avLst/>
                    </a:prstGeom>
                    <a:ln>
                      <a:noFill/>
                    </a:ln>
                    <a:extLst>
                      <a:ext uri="{53640926-AAD7-44D8-BBD7-CCE9431645EC}">
                        <a14:shadowObscured xmlns:a14="http://schemas.microsoft.com/office/drawing/2010/main"/>
                      </a:ext>
                    </a:extLst>
                  </pic:spPr>
                </pic:pic>
              </a:graphicData>
            </a:graphic>
          </wp:inline>
        </w:drawing>
      </w:r>
    </w:p>
    <w:p w14:paraId="345F2CDA" w14:textId="259547A2" w:rsidR="00176D39" w:rsidRPr="00176D39" w:rsidRDefault="00657E85" w:rsidP="00657E85">
      <w:pPr>
        <w:pStyle w:val="Caption"/>
        <w:jc w:val="center"/>
      </w:pPr>
      <w:r>
        <w:t xml:space="preserve">Figure </w:t>
      </w:r>
      <w:r w:rsidR="00436D7E">
        <w:fldChar w:fldCharType="begin"/>
      </w:r>
      <w:r w:rsidR="00436D7E">
        <w:instrText xml:space="preserve"> SEQ Figure \* ARABIC </w:instrText>
      </w:r>
      <w:r w:rsidR="00436D7E">
        <w:fldChar w:fldCharType="separate"/>
      </w:r>
      <w:r w:rsidR="00436D7E">
        <w:rPr>
          <w:noProof/>
        </w:rPr>
        <w:t>2</w:t>
      </w:r>
      <w:r w:rsidR="00436D7E">
        <w:rPr>
          <w:noProof/>
        </w:rPr>
        <w:fldChar w:fldCharType="end"/>
      </w:r>
      <w:r>
        <w:t xml:space="preserve"> Relationship between SDG3 and SDG10 – (Adopted from (United Nations (2020); (WHO, 2022))</w:t>
      </w:r>
    </w:p>
    <w:p w14:paraId="284746D1" w14:textId="44426527" w:rsidR="007303D2" w:rsidRDefault="00A03347" w:rsidP="00A35DED">
      <w:pPr>
        <w:rPr>
          <w:rFonts w:cs="Arial"/>
        </w:rPr>
      </w:pPr>
      <w:r w:rsidRPr="00A03347">
        <w:rPr>
          <w:rFonts w:cs="Arial"/>
        </w:rPr>
        <w:t>The global level of SDG 3 has had mixed progress. The WHO and World Bank (2023) stated that universal health coverage had not progressed since 2015, and 108 of 194 countries had either an increasing or no change in service coverage. In 2021, about 4.5 billion individuals lacked access to basic health care and 2 billion were under financial strain due to health expenditure (World Health Organization, 2025). The index of UHC service coverage rose by 54 to 71 in 2000 to 2023, but improvement since 2015 fell to only a third of the previous value (World Health Organization, 2025).</w:t>
      </w:r>
    </w:p>
    <w:p w14:paraId="783CC5B3" w14:textId="77777777" w:rsidR="00657E85" w:rsidRDefault="00176D39" w:rsidP="00657E85">
      <w:pPr>
        <w:keepNext/>
        <w:jc w:val="center"/>
      </w:pPr>
      <w:r>
        <w:rPr>
          <w:rFonts w:cs="Arial"/>
          <w:noProof/>
        </w:rPr>
        <w:drawing>
          <wp:inline distT="0" distB="0" distL="0" distR="0" wp14:anchorId="16C7BCD7" wp14:editId="50A33214">
            <wp:extent cx="5943600" cy="2865120"/>
            <wp:effectExtent l="0" t="0" r="0" b="0"/>
            <wp:docPr id="18275857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585745" name="Picture 1827585745"/>
                    <pic:cNvPicPr/>
                  </pic:nvPicPr>
                  <pic:blipFill rotWithShape="1">
                    <a:blip r:embed="rId10" cstate="print">
                      <a:extLst>
                        <a:ext uri="{28A0092B-C50C-407E-A947-70E740481C1C}">
                          <a14:useLocalDpi xmlns:a14="http://schemas.microsoft.com/office/drawing/2010/main" val="0"/>
                        </a:ext>
                      </a:extLst>
                    </a:blip>
                    <a:srcRect/>
                    <a:stretch>
                      <a:fillRect/>
                    </a:stretch>
                  </pic:blipFill>
                  <pic:spPr bwMode="auto">
                    <a:xfrm>
                      <a:off x="0" y="0"/>
                      <a:ext cx="5943600" cy="2865120"/>
                    </a:xfrm>
                    <a:prstGeom prst="rect">
                      <a:avLst/>
                    </a:prstGeom>
                    <a:ln>
                      <a:noFill/>
                    </a:ln>
                    <a:extLst>
                      <a:ext uri="{53640926-AAD7-44D8-BBD7-CCE9431645EC}">
                        <a14:shadowObscured xmlns:a14="http://schemas.microsoft.com/office/drawing/2010/main"/>
                      </a:ext>
                    </a:extLst>
                  </pic:spPr>
                </pic:pic>
              </a:graphicData>
            </a:graphic>
          </wp:inline>
        </w:drawing>
      </w:r>
    </w:p>
    <w:p w14:paraId="5B91F5F6" w14:textId="523FD74F" w:rsidR="00176D39" w:rsidRPr="00AD3A06" w:rsidRDefault="00657E85" w:rsidP="00657E85">
      <w:pPr>
        <w:pStyle w:val="Caption"/>
        <w:rPr>
          <w:rFonts w:cs="Arial"/>
        </w:rPr>
      </w:pPr>
      <w:r>
        <w:t xml:space="preserve">Figure </w:t>
      </w:r>
      <w:r w:rsidR="00436D7E">
        <w:fldChar w:fldCharType="begin"/>
      </w:r>
      <w:r w:rsidR="00436D7E">
        <w:instrText xml:space="preserve"> SEQ Figure \* ARABIC </w:instrText>
      </w:r>
      <w:r w:rsidR="00436D7E">
        <w:fldChar w:fldCharType="separate"/>
      </w:r>
      <w:r w:rsidR="00436D7E">
        <w:rPr>
          <w:noProof/>
        </w:rPr>
        <w:t>3</w:t>
      </w:r>
      <w:r w:rsidR="00436D7E">
        <w:rPr>
          <w:noProof/>
        </w:rPr>
        <w:fldChar w:fldCharType="end"/>
      </w:r>
      <w:r>
        <w:t xml:space="preserve"> Global SDG 3 Progress Dashboard (2023) – (Adopted from (WHO and World Bank, 2023); (Global Monitoring Report))</w:t>
      </w:r>
    </w:p>
    <w:p w14:paraId="6B82B591" w14:textId="77777777" w:rsidR="00A03347" w:rsidRPr="00A03347" w:rsidRDefault="00A03347" w:rsidP="00A03347">
      <w:pPr>
        <w:rPr>
          <w:rFonts w:cs="Arial"/>
        </w:rPr>
      </w:pPr>
      <w:r w:rsidRPr="00A03347">
        <w:rPr>
          <w:rFonts w:cs="Arial"/>
        </w:rPr>
        <w:t>In 2023, the maternal mortality ratio is still at a distance of 197 deaths per 100,000 live births, almost three times higher than the SDG target of 70 (United Nations, 2025). People below 70 years die 18 million premature deaths annually due to non-communicable diseases (United Nations, 2025). These health issues are not uniformly distributed. The WHO (2025) estimates that 2.1 billion people faced financial hardship from health spending in 2022, including 1.6 billion living in poverty who were pushed deeper into poverty. This demonstrates that the health goals of SDG 3 cannot be achieved without improving the economic and social disparities in SDG 10. Health is not a medical concern, but a social justice concern.</w:t>
      </w:r>
    </w:p>
    <w:p w14:paraId="107C5D63" w14:textId="2EF39409" w:rsidR="00A03347" w:rsidRPr="00A03347" w:rsidRDefault="00A03347" w:rsidP="00A03347">
      <w:pPr>
        <w:pStyle w:val="Heading1"/>
      </w:pPr>
      <w:r w:rsidRPr="00A03347">
        <w:t>National Analysis: Health Inequalities in England</w:t>
      </w:r>
    </w:p>
    <w:p w14:paraId="364D8F96" w14:textId="0E174D0D" w:rsidR="007303D2" w:rsidRDefault="00A03347" w:rsidP="00A03347">
      <w:pPr>
        <w:rPr>
          <w:rFonts w:cs="Arial"/>
        </w:rPr>
      </w:pPr>
      <w:r w:rsidRPr="00A03347">
        <w:rPr>
          <w:rFonts w:cs="Arial"/>
        </w:rPr>
        <w:t>England demonstrates how health disparities exist in a prosperous country. According to the Office for National Statistics (2026a), in 2022 to 2024, the healthy life expectancy (HLE) at birth in the most deprived regions was 49.8 years among males and 48.2 years among females. These were 69.2 years and 68.5 years in the least deprived regions. This implies that the citizens of the poorest communities will be able to live nearly 20 years less healthily. The difference in the total life expectancy is also considerable: 10.4 years among males and 8.0 years among females (Office for National Statistics, 2026a).</w:t>
      </w:r>
    </w:p>
    <w:p w14:paraId="45074F5E" w14:textId="77777777" w:rsidR="00657E85" w:rsidRDefault="00176D39" w:rsidP="00657E85">
      <w:pPr>
        <w:keepNext/>
        <w:jc w:val="center"/>
      </w:pPr>
      <w:r>
        <w:rPr>
          <w:rFonts w:cs="Arial"/>
          <w:noProof/>
        </w:rPr>
        <w:drawing>
          <wp:inline distT="0" distB="0" distL="0" distR="0" wp14:anchorId="303EBE66" wp14:editId="3C874BC7">
            <wp:extent cx="4106734" cy="2621280"/>
            <wp:effectExtent l="0" t="0" r="8255" b="7620"/>
            <wp:docPr id="7503655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365590" name="Picture 750365590"/>
                    <pic:cNvPicPr/>
                  </pic:nvPicPr>
                  <pic:blipFill rotWithShape="1">
                    <a:blip r:embed="rId11" cstate="print">
                      <a:extLst>
                        <a:ext uri="{28A0092B-C50C-407E-A947-70E740481C1C}">
                          <a14:useLocalDpi xmlns:a14="http://schemas.microsoft.com/office/drawing/2010/main" val="0"/>
                        </a:ext>
                      </a:extLst>
                    </a:blip>
                    <a:srcRect/>
                    <a:stretch>
                      <a:fillRect/>
                    </a:stretch>
                  </pic:blipFill>
                  <pic:spPr bwMode="auto">
                    <a:xfrm>
                      <a:off x="0" y="0"/>
                      <a:ext cx="4111941" cy="2624604"/>
                    </a:xfrm>
                    <a:prstGeom prst="rect">
                      <a:avLst/>
                    </a:prstGeom>
                    <a:ln>
                      <a:noFill/>
                    </a:ln>
                    <a:extLst>
                      <a:ext uri="{53640926-AAD7-44D8-BBD7-CCE9431645EC}">
                        <a14:shadowObscured xmlns:a14="http://schemas.microsoft.com/office/drawing/2010/main"/>
                      </a:ext>
                    </a:extLst>
                  </pic:spPr>
                </pic:pic>
              </a:graphicData>
            </a:graphic>
          </wp:inline>
        </w:drawing>
      </w:r>
    </w:p>
    <w:p w14:paraId="38C52873" w14:textId="35D16A59" w:rsidR="00176D39" w:rsidRPr="00AD3A06" w:rsidRDefault="00657E85" w:rsidP="00657E85">
      <w:pPr>
        <w:pStyle w:val="Caption"/>
        <w:jc w:val="center"/>
        <w:rPr>
          <w:rFonts w:cs="Arial"/>
        </w:rPr>
      </w:pPr>
      <w:r>
        <w:t xml:space="preserve">Figure </w:t>
      </w:r>
      <w:r w:rsidR="00436D7E">
        <w:fldChar w:fldCharType="begin"/>
      </w:r>
      <w:r w:rsidR="00436D7E">
        <w:instrText xml:space="preserve"> SEQ Figure \* ARABIC </w:instrText>
      </w:r>
      <w:r w:rsidR="00436D7E">
        <w:fldChar w:fldCharType="separate"/>
      </w:r>
      <w:r w:rsidR="00436D7E">
        <w:rPr>
          <w:noProof/>
        </w:rPr>
        <w:t>4</w:t>
      </w:r>
      <w:r w:rsidR="00436D7E">
        <w:rPr>
          <w:noProof/>
        </w:rPr>
        <w:fldChar w:fldCharType="end"/>
      </w:r>
      <w:r>
        <w:t xml:space="preserve"> Health Life Expectancy Gap in England (2021 - 2023) – (Adopted from (ONS, 2026a)</w:t>
      </w:r>
    </w:p>
    <w:p w14:paraId="776746FD" w14:textId="77777777" w:rsidR="00A03347" w:rsidRPr="00A03347" w:rsidRDefault="00A03347" w:rsidP="00A03347">
      <w:pPr>
        <w:rPr>
          <w:rFonts w:cs="Arial"/>
        </w:rPr>
      </w:pPr>
      <w:r w:rsidRPr="00A03347">
        <w:rPr>
          <w:rFonts w:cs="Arial"/>
        </w:rPr>
        <w:t>The good health life expectancy is significantly lower in the deprived regions. In the most deprived regions, males live 68% of their lives in good health, as compared to 83% in the least deprived regions. In females, the rates are 62% and 79% (Office for National Statistics, 2026a). Institute of Public Policy Research (2026) discovered that the lowest level of HLE was overwhelmingly located in the north of England. According to the King Fund (2026), income, housing, environment, transport, education, and work are just some of the wide factors that contribute to health inequalities.</w:t>
      </w:r>
    </w:p>
    <w:p w14:paraId="501B3E1D" w14:textId="77777777" w:rsidR="00A03347" w:rsidRPr="00A03347" w:rsidRDefault="00A03347" w:rsidP="00A03347">
      <w:pPr>
        <w:rPr>
          <w:rFonts w:cs="Arial"/>
        </w:rPr>
      </w:pPr>
      <w:r w:rsidRPr="00A03347">
        <w:rPr>
          <w:rFonts w:cs="Arial"/>
        </w:rPr>
        <w:t>The Marmot Review: 10 Years On discovered that inequalities in health had become worse during the last ten years. Women in the most deprived locations had reached a stalemate in life expectancy and the gap in healthy life expectancy had increased (Marmot et al., 2020). The report explained this by austerity measures that decreased public expenditure to 35% to 42% of national income, decreased investment in early years services, education, housing, and social care (Marmot et al., 2020).</w:t>
      </w:r>
    </w:p>
    <w:p w14:paraId="402AAF15" w14:textId="002C701B" w:rsidR="00A03347" w:rsidRPr="00A03347" w:rsidRDefault="00A03347" w:rsidP="00A03347">
      <w:pPr>
        <w:rPr>
          <w:rFonts w:cs="Arial"/>
        </w:rPr>
      </w:pPr>
      <w:r w:rsidRPr="00A03347">
        <w:rPr>
          <w:rFonts w:cs="Arial"/>
        </w:rPr>
        <w:t xml:space="preserve">The UK government in turn responded by publishing the NHS 10-Year Health Plan in July 2025, which suggests three changes: a shift to community care, a shift to digital services, and a shift to preventing illness (Department of Health and Social Care, 2025). The plan will reduce the disparity in healthy life expectancy between the richest and the poorest regions by half by 2035. But Oliver (2025) in the BMJ characterized the plan as </w:t>
      </w:r>
      <w:r w:rsidR="00730899" w:rsidRPr="00A03347">
        <w:rPr>
          <w:rFonts w:cs="Arial"/>
        </w:rPr>
        <w:t>an</w:t>
      </w:r>
      <w:r w:rsidRPr="00A03347">
        <w:rPr>
          <w:rFonts w:cs="Arial"/>
        </w:rPr>
        <w:t xml:space="preserve"> ambition than a plan, and its top-down nature and how it would </w:t>
      </w:r>
      <w:r w:rsidR="00730899" w:rsidRPr="00A03347">
        <w:rPr>
          <w:rFonts w:cs="Arial"/>
        </w:rPr>
        <w:t>decrease</w:t>
      </w:r>
      <w:r w:rsidRPr="00A03347">
        <w:rPr>
          <w:rFonts w:cs="Arial"/>
        </w:rPr>
        <w:t xml:space="preserve"> inequalities were a concern.</w:t>
      </w:r>
    </w:p>
    <w:p w14:paraId="185B939E" w14:textId="66AF5629" w:rsidR="007303D2" w:rsidRDefault="00A03347" w:rsidP="00A03347">
      <w:pPr>
        <w:rPr>
          <w:rFonts w:cs="Arial"/>
        </w:rPr>
      </w:pPr>
      <w:r w:rsidRPr="00A03347">
        <w:rPr>
          <w:rFonts w:cs="Arial"/>
        </w:rPr>
        <w:t xml:space="preserve">On the operational level, NHS England developed the Core20PLUS5 framework to address healthcare inequalities. This defines the 20% most deprived populations and inclusion health groups with a particular emphasis on five clinical areas: maternity, mental health, respiratory disease, cardiovascular disease, and cancer (NHS England, 2024). In their realist review, </w:t>
      </w:r>
      <w:proofErr w:type="spellStart"/>
      <w:r w:rsidRPr="00A03347">
        <w:rPr>
          <w:rFonts w:cs="Arial"/>
        </w:rPr>
        <w:t>Gkiouleka</w:t>
      </w:r>
      <w:proofErr w:type="spellEnd"/>
      <w:r w:rsidRPr="00A03347">
        <w:rPr>
          <w:rFonts w:cs="Arial"/>
        </w:rPr>
        <w:t xml:space="preserve"> et al. (2024) claim that healthcare is not enough to reduce the health inequalities. The services should be inter-sectoral, intersectional, flexible, inclusive, and </w:t>
      </w:r>
      <w:r w:rsidR="00730899" w:rsidRPr="00A03347">
        <w:rPr>
          <w:rFonts w:cs="Arial"/>
        </w:rPr>
        <w:t>community based</w:t>
      </w:r>
      <w:r w:rsidRPr="00A03347">
        <w:rPr>
          <w:rFonts w:cs="Arial"/>
        </w:rPr>
        <w:t>. This implies that Core20PLUS5 might not work without further intervention on the social determinants of health. The framework concentrates on healthcare availability and clinical outcomes but does not directly target the upstream factors of inequality, including poverty, poor housing, and unemployment, which, according to Dahlgren and Whitehead, are the strongest determinants of health (Dahlgren and Whitehead, 2021).</w:t>
      </w:r>
    </w:p>
    <w:p w14:paraId="611D6E54" w14:textId="77777777" w:rsidR="00657E85" w:rsidRDefault="00417253" w:rsidP="00657E85">
      <w:pPr>
        <w:keepNext/>
      </w:pPr>
      <w:r>
        <w:rPr>
          <w:rFonts w:cs="Arial"/>
          <w:noProof/>
        </w:rPr>
        <w:drawing>
          <wp:inline distT="0" distB="0" distL="0" distR="0" wp14:anchorId="6833385A" wp14:editId="162FA2DA">
            <wp:extent cx="5943600" cy="2910840"/>
            <wp:effectExtent l="0" t="0" r="0" b="3810"/>
            <wp:docPr id="14688673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67387" name="Picture 1468867387"/>
                    <pic:cNvPicPr/>
                  </pic:nvPicPr>
                  <pic:blipFill rotWithShape="1">
                    <a:blip r:embed="rId12" cstate="print">
                      <a:extLst>
                        <a:ext uri="{28A0092B-C50C-407E-A947-70E740481C1C}">
                          <a14:useLocalDpi xmlns:a14="http://schemas.microsoft.com/office/drawing/2010/main" val="0"/>
                        </a:ext>
                      </a:extLst>
                    </a:blip>
                    <a:srcRect/>
                    <a:stretch>
                      <a:fillRect/>
                    </a:stretch>
                  </pic:blipFill>
                  <pic:spPr bwMode="auto">
                    <a:xfrm>
                      <a:off x="0" y="0"/>
                      <a:ext cx="5943600" cy="2910840"/>
                    </a:xfrm>
                    <a:prstGeom prst="rect">
                      <a:avLst/>
                    </a:prstGeom>
                    <a:ln>
                      <a:noFill/>
                    </a:ln>
                    <a:extLst>
                      <a:ext uri="{53640926-AAD7-44D8-BBD7-CCE9431645EC}">
                        <a14:shadowObscured xmlns:a14="http://schemas.microsoft.com/office/drawing/2010/main"/>
                      </a:ext>
                    </a:extLst>
                  </pic:spPr>
                </pic:pic>
              </a:graphicData>
            </a:graphic>
          </wp:inline>
        </w:drawing>
      </w:r>
    </w:p>
    <w:p w14:paraId="7FF49469" w14:textId="6B104563" w:rsidR="00417253" w:rsidRPr="00AD3A06" w:rsidRDefault="00657E85" w:rsidP="00657E85">
      <w:pPr>
        <w:pStyle w:val="Caption"/>
        <w:rPr>
          <w:rFonts w:cs="Arial"/>
        </w:rPr>
      </w:pPr>
      <w:r>
        <w:t xml:space="preserve">Figure </w:t>
      </w:r>
      <w:r w:rsidR="00436D7E">
        <w:fldChar w:fldCharType="begin"/>
      </w:r>
      <w:r w:rsidR="00436D7E">
        <w:instrText xml:space="preserve"> SEQ Figure \* ARABIC </w:instrText>
      </w:r>
      <w:r w:rsidR="00436D7E">
        <w:fldChar w:fldCharType="separate"/>
      </w:r>
      <w:r w:rsidR="00436D7E">
        <w:rPr>
          <w:noProof/>
        </w:rPr>
        <w:t>5</w:t>
      </w:r>
      <w:r w:rsidR="00436D7E">
        <w:rPr>
          <w:noProof/>
        </w:rPr>
        <w:fldChar w:fldCharType="end"/>
      </w:r>
      <w:r>
        <w:t xml:space="preserve"> Core20PLUS5 framework for reducing health inequalities in England – (Adopted from (NHS England, 2023); (Core20PLUS5))</w:t>
      </w:r>
    </w:p>
    <w:p w14:paraId="0C3ADAC2" w14:textId="42E6BF34" w:rsidR="007303D2" w:rsidRPr="00AD3A06" w:rsidRDefault="007303D2" w:rsidP="00A35DED">
      <w:pPr>
        <w:pStyle w:val="Heading1"/>
        <w:rPr>
          <w:rFonts w:cs="Arial"/>
        </w:rPr>
      </w:pPr>
      <w:bookmarkStart w:id="2" w:name="_Toc233305789"/>
      <w:r w:rsidRPr="00AD3A06">
        <w:rPr>
          <w:rFonts w:cs="Arial"/>
        </w:rPr>
        <w:t>Local Analysis - The North East of England</w:t>
      </w:r>
      <w:bookmarkEnd w:id="2"/>
    </w:p>
    <w:p w14:paraId="48E70D75" w14:textId="6DC21742" w:rsidR="007303D2" w:rsidRDefault="00A03347" w:rsidP="00A35DED">
      <w:pPr>
        <w:rPr>
          <w:rFonts w:cs="Arial"/>
        </w:rPr>
      </w:pPr>
      <w:r w:rsidRPr="00A03347">
        <w:rPr>
          <w:rFonts w:cs="Arial"/>
        </w:rPr>
        <w:t>The North East is a strong example. In 2022 to 2024, the region has the lowest healthy life expectancy of 57.0 years and 56.9 years in males and females respectively in England (Office for National Statistics, 2026b). Munford et al. (2023) discovered that individuals born in the North are likely to die at least one year earlier than the English average, and the North East has the shortest life expectancy of any region.</w:t>
      </w:r>
    </w:p>
    <w:p w14:paraId="1BDF8E04" w14:textId="77777777" w:rsidR="00657E85" w:rsidRDefault="00417253" w:rsidP="00436D7E">
      <w:pPr>
        <w:keepNext/>
        <w:jc w:val="center"/>
      </w:pPr>
      <w:r>
        <w:rPr>
          <w:rFonts w:cs="Arial"/>
          <w:noProof/>
        </w:rPr>
        <w:drawing>
          <wp:inline distT="0" distB="0" distL="0" distR="0" wp14:anchorId="1866A909" wp14:editId="3035ACB7">
            <wp:extent cx="4892040" cy="3485579"/>
            <wp:effectExtent l="0" t="0" r="3810" b="635"/>
            <wp:docPr id="11513527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352796" name="Picture 1151352796"/>
                    <pic:cNvPicPr/>
                  </pic:nvPicPr>
                  <pic:blipFill rotWithShape="1">
                    <a:blip r:embed="rId13" cstate="print">
                      <a:extLst>
                        <a:ext uri="{28A0092B-C50C-407E-A947-70E740481C1C}">
                          <a14:useLocalDpi xmlns:a14="http://schemas.microsoft.com/office/drawing/2010/main" val="0"/>
                        </a:ext>
                      </a:extLst>
                    </a:blip>
                    <a:srcRect/>
                    <a:stretch>
                      <a:fillRect/>
                    </a:stretch>
                  </pic:blipFill>
                  <pic:spPr bwMode="auto">
                    <a:xfrm>
                      <a:off x="0" y="0"/>
                      <a:ext cx="4898990" cy="3490531"/>
                    </a:xfrm>
                    <a:prstGeom prst="rect">
                      <a:avLst/>
                    </a:prstGeom>
                    <a:ln>
                      <a:noFill/>
                    </a:ln>
                    <a:extLst>
                      <a:ext uri="{53640926-AAD7-44D8-BBD7-CCE9431645EC}">
                        <a14:shadowObscured xmlns:a14="http://schemas.microsoft.com/office/drawing/2010/main"/>
                      </a:ext>
                    </a:extLst>
                  </pic:spPr>
                </pic:pic>
              </a:graphicData>
            </a:graphic>
          </wp:inline>
        </w:drawing>
      </w:r>
    </w:p>
    <w:p w14:paraId="66A66B66" w14:textId="278C5184" w:rsidR="00417253" w:rsidRPr="00AD3A06" w:rsidRDefault="00657E85" w:rsidP="00436D7E">
      <w:pPr>
        <w:pStyle w:val="Caption"/>
        <w:jc w:val="center"/>
        <w:rPr>
          <w:rFonts w:cs="Arial"/>
        </w:rPr>
      </w:pPr>
      <w:r>
        <w:t xml:space="preserve">Figure </w:t>
      </w:r>
      <w:r w:rsidR="00436D7E">
        <w:fldChar w:fldCharType="begin"/>
      </w:r>
      <w:r w:rsidR="00436D7E">
        <w:instrText xml:space="preserve"> SEQ Figure \* ARABIC </w:instrText>
      </w:r>
      <w:r w:rsidR="00436D7E">
        <w:fldChar w:fldCharType="separate"/>
      </w:r>
      <w:r w:rsidR="00436D7E">
        <w:rPr>
          <w:noProof/>
        </w:rPr>
        <w:t>6</w:t>
      </w:r>
      <w:r w:rsidR="00436D7E">
        <w:rPr>
          <w:noProof/>
        </w:rPr>
        <w:fldChar w:fldCharType="end"/>
      </w:r>
      <w:r>
        <w:t xml:space="preserve"> North East Health Inequality Case Study Dashboard (2021 - 2023)</w:t>
      </w:r>
    </w:p>
    <w:p w14:paraId="0955C843" w14:textId="77777777" w:rsidR="00A03347" w:rsidRPr="00A03347" w:rsidRDefault="00A03347" w:rsidP="00A03347">
      <w:pPr>
        <w:rPr>
          <w:rFonts w:cs="Arial"/>
        </w:rPr>
      </w:pPr>
      <w:r w:rsidRPr="00A03347">
        <w:rPr>
          <w:rFonts w:cs="Arial"/>
        </w:rPr>
        <w:t xml:space="preserve">The North East North </w:t>
      </w:r>
      <w:proofErr w:type="spellStart"/>
      <w:r w:rsidRPr="00A03347">
        <w:rPr>
          <w:rFonts w:cs="Arial"/>
        </w:rPr>
        <w:t>Cumbira</w:t>
      </w:r>
      <w:proofErr w:type="spellEnd"/>
      <w:r w:rsidRPr="00A03347">
        <w:rPr>
          <w:rFonts w:cs="Arial"/>
        </w:rPr>
        <w:t xml:space="preserve"> Integrated Care Board has a publication of an annual Health and Healthcare Inequalities Report. Smoking prevalence was 17.8% and 6.6% among routine and manual workers in the most deprived communities and managerial jobs in 2024 to 2025, respectively (NENC ICB, 2025). The deprivation gap and ethnicity gap in COVID-19 vaccination were 22.6 percentage points and 27.6 percentage points, respectively (NENC ICB, 2025). Recovery rates of mental health using talking therapies were 45% in the most deprived communities against 61% in the least deprived (NENC ICB, 2025).</w:t>
      </w:r>
    </w:p>
    <w:p w14:paraId="3AF0770D" w14:textId="26B00433" w:rsidR="00A03347" w:rsidRPr="00A03347" w:rsidRDefault="00A03347" w:rsidP="00A03347">
      <w:pPr>
        <w:rPr>
          <w:rFonts w:cs="Arial"/>
        </w:rPr>
      </w:pPr>
      <w:r w:rsidRPr="00A03347">
        <w:rPr>
          <w:rFonts w:cs="Arial"/>
        </w:rPr>
        <w:t xml:space="preserve">According to UK Health Security Agency (2025), the rates of hospital admissions in the North East and North </w:t>
      </w:r>
      <w:proofErr w:type="spellStart"/>
      <w:r w:rsidRPr="00A03347">
        <w:rPr>
          <w:rFonts w:cs="Arial"/>
        </w:rPr>
        <w:t>Cumbira</w:t>
      </w:r>
      <w:proofErr w:type="spellEnd"/>
      <w:r w:rsidRPr="00A03347">
        <w:rPr>
          <w:rFonts w:cs="Arial"/>
        </w:rPr>
        <w:t xml:space="preserve"> ICS were some of the highest in England in terms of infectious diseases. Bambra et al. (2020a) demonstrated that the number of deaths due to COVID-19 was greater in the North despite the consideration of deprivation, age, and ethnicity. Their more inclusive report approximated the overall health and economic costs to be in the form of lost GDP of £6,866 million in the UK economy (Bambra et al., 2020b). These results indicate that the North East health inequalities are influenced by underlying structural causes such as economic and underinvestment in the region. According to Fairbrother et al. (2024), youth in the North East attributed a direct relationship between the absence of employment and local health issues, explaining how the loss of traditional industries had resulted in a domino effect of poverty and poor health in their neighbourhoods.</w:t>
      </w:r>
    </w:p>
    <w:p w14:paraId="35109D90" w14:textId="3613F6DB" w:rsidR="007303D2" w:rsidRPr="00AD3A06" w:rsidRDefault="00A03347" w:rsidP="00A03347">
      <w:pPr>
        <w:rPr>
          <w:rFonts w:cs="Arial"/>
        </w:rPr>
      </w:pPr>
      <w:r w:rsidRPr="00A03347">
        <w:rPr>
          <w:rFonts w:cs="Arial"/>
        </w:rPr>
        <w:t>In a study of disadvantaged neighbourhoods in North West England, Popay et al. (2022) identified that successful intervention on health inequalities would need a whole-systems intervention that would not only address the community capacity but also the structural circumstances that create disadvantage. This implies that local policies in the North East should be complemented by national policies on economic investment, housing, and employment.</w:t>
      </w:r>
    </w:p>
    <w:p w14:paraId="59795BE0" w14:textId="3C9FB82E" w:rsidR="007303D2" w:rsidRPr="00AD3A06" w:rsidRDefault="007303D2" w:rsidP="00A35DED">
      <w:pPr>
        <w:pStyle w:val="Heading1"/>
        <w:rPr>
          <w:rFonts w:cs="Arial"/>
        </w:rPr>
      </w:pPr>
      <w:bookmarkStart w:id="3" w:name="_Toc233305790"/>
      <w:r w:rsidRPr="00AD3A06">
        <w:rPr>
          <w:rFonts w:cs="Arial"/>
        </w:rPr>
        <w:t>Recommendations</w:t>
      </w:r>
      <w:bookmarkEnd w:id="3"/>
    </w:p>
    <w:p w14:paraId="5090DAF8" w14:textId="17E5D511" w:rsidR="00176D39" w:rsidRDefault="007303D2" w:rsidP="00A35DED">
      <w:pPr>
        <w:rPr>
          <w:rFonts w:cs="Arial"/>
        </w:rPr>
      </w:pPr>
      <w:r w:rsidRPr="00AD3A06">
        <w:rPr>
          <w:rFonts w:cs="Arial"/>
        </w:rPr>
        <w:t>The following evidence-based recommendations are proposed, drawing on the Ottawa Charter action areas.</w:t>
      </w:r>
    </w:p>
    <w:p w14:paraId="622107AB" w14:textId="77777777" w:rsidR="00436D7E" w:rsidRDefault="00417253" w:rsidP="00436D7E">
      <w:pPr>
        <w:keepNext/>
        <w:jc w:val="center"/>
      </w:pPr>
      <w:r>
        <w:rPr>
          <w:rFonts w:cs="Arial"/>
          <w:noProof/>
        </w:rPr>
        <w:drawing>
          <wp:inline distT="0" distB="0" distL="0" distR="0" wp14:anchorId="625B91DA" wp14:editId="3D097E0E">
            <wp:extent cx="6537389" cy="708660"/>
            <wp:effectExtent l="0" t="0" r="0" b="0"/>
            <wp:docPr id="112562669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626690" name="Picture 1125626690"/>
                    <pic:cNvPicPr/>
                  </pic:nvPicPr>
                  <pic:blipFill rotWithShape="1">
                    <a:blip r:embed="rId14" cstate="print">
                      <a:extLst>
                        <a:ext uri="{28A0092B-C50C-407E-A947-70E740481C1C}">
                          <a14:useLocalDpi xmlns:a14="http://schemas.microsoft.com/office/drawing/2010/main" val="0"/>
                        </a:ext>
                      </a:extLst>
                    </a:blip>
                    <a:srcRect/>
                    <a:stretch>
                      <a:fillRect/>
                    </a:stretch>
                  </pic:blipFill>
                  <pic:spPr bwMode="auto">
                    <a:xfrm>
                      <a:off x="0" y="0"/>
                      <a:ext cx="6542133" cy="709174"/>
                    </a:xfrm>
                    <a:prstGeom prst="rect">
                      <a:avLst/>
                    </a:prstGeom>
                    <a:ln>
                      <a:noFill/>
                    </a:ln>
                    <a:extLst>
                      <a:ext uri="{53640926-AAD7-44D8-BBD7-CCE9431645EC}">
                        <a14:shadowObscured xmlns:a14="http://schemas.microsoft.com/office/drawing/2010/main"/>
                      </a:ext>
                    </a:extLst>
                  </pic:spPr>
                </pic:pic>
              </a:graphicData>
            </a:graphic>
          </wp:inline>
        </w:drawing>
      </w:r>
    </w:p>
    <w:p w14:paraId="40DDD542" w14:textId="4B917916" w:rsidR="00417253" w:rsidRPr="00AD3A06" w:rsidRDefault="00436D7E" w:rsidP="00436D7E">
      <w:pPr>
        <w:pStyle w:val="Caption"/>
        <w:jc w:val="center"/>
        <w:rPr>
          <w:rFonts w:cs="Arial"/>
        </w:rPr>
      </w:pPr>
      <w:r>
        <w:t xml:space="preserve">Figure </w:t>
      </w:r>
      <w:r>
        <w:fldChar w:fldCharType="begin"/>
      </w:r>
      <w:r>
        <w:instrText xml:space="preserve"> SEQ Figure \* ARABIC </w:instrText>
      </w:r>
      <w:r>
        <w:fldChar w:fldCharType="separate"/>
      </w:r>
      <w:r>
        <w:rPr>
          <w:noProof/>
        </w:rPr>
        <w:t>7</w:t>
      </w:r>
      <w:r>
        <w:rPr>
          <w:noProof/>
        </w:rPr>
        <w:fldChar w:fldCharType="end"/>
      </w:r>
      <w:r>
        <w:t xml:space="preserve"> Ottawa Charter-Based Recommendations Roadmap</w:t>
      </w:r>
    </w:p>
    <w:p w14:paraId="2B61F32D" w14:textId="77777777" w:rsidR="007303D2" w:rsidRPr="00AD3A06" w:rsidRDefault="007303D2" w:rsidP="00A35DED">
      <w:pPr>
        <w:pStyle w:val="Heading2"/>
        <w:rPr>
          <w:rFonts w:cs="Arial"/>
        </w:rPr>
      </w:pPr>
      <w:bookmarkStart w:id="4" w:name="_Toc233305791"/>
      <w:r w:rsidRPr="00AD3A06">
        <w:rPr>
          <w:rFonts w:cs="Arial"/>
        </w:rPr>
        <w:t>Building healthy public policy</w:t>
      </w:r>
      <w:bookmarkEnd w:id="4"/>
    </w:p>
    <w:p w14:paraId="1C90D4DB" w14:textId="14A9A3A1" w:rsidR="00D12418" w:rsidRPr="00D12418" w:rsidRDefault="00D12418" w:rsidP="00D12418">
      <w:pPr>
        <w:rPr>
          <w:rFonts w:cs="Arial"/>
        </w:rPr>
      </w:pPr>
      <w:r w:rsidRPr="00D12418">
        <w:rPr>
          <w:rFonts w:cs="Arial"/>
        </w:rPr>
        <w:t>The government ought to institute binding health equity impact assessment to all the departments and not only health. Health equity in every policy is needed, as Marmot et al. (2020) believe that housing, education, transport, and welfare decisions influence health outcomes. The NHS alone cannot bridge the 20-year healthy life expectancy gap without this cross-government approach.</w:t>
      </w:r>
    </w:p>
    <w:p w14:paraId="7B429685" w14:textId="4AF70844" w:rsidR="00D12418" w:rsidRPr="00D12418" w:rsidRDefault="00D12418" w:rsidP="00D12418">
      <w:pPr>
        <w:pStyle w:val="Heading2"/>
      </w:pPr>
      <w:r w:rsidRPr="00D12418">
        <w:t>Creating supportive environments</w:t>
      </w:r>
    </w:p>
    <w:p w14:paraId="449558AA" w14:textId="77777777" w:rsidR="00D12418" w:rsidRPr="00D12418" w:rsidRDefault="00D12418" w:rsidP="00D12418">
      <w:pPr>
        <w:rPr>
          <w:rFonts w:cs="Arial"/>
        </w:rPr>
      </w:pPr>
      <w:r w:rsidRPr="00D12418">
        <w:rPr>
          <w:rFonts w:cs="Arial"/>
        </w:rPr>
        <w:t xml:space="preserve">The 10-Year Health Plan neighbourhood health centres must be the first to be set up in the most deprived North East communities, which will co-locate health services with employment support, debt advice, and housing services. </w:t>
      </w:r>
      <w:proofErr w:type="spellStart"/>
      <w:r w:rsidRPr="00D12418">
        <w:rPr>
          <w:rFonts w:cs="Arial"/>
        </w:rPr>
        <w:t>Gkiouleka</w:t>
      </w:r>
      <w:proofErr w:type="spellEnd"/>
      <w:r w:rsidRPr="00D12418">
        <w:rPr>
          <w:rFonts w:cs="Arial"/>
        </w:rPr>
        <w:t xml:space="preserve"> et al. (2024) discovered that one of the principles of minimizing health inequalities is linking services.</w:t>
      </w:r>
    </w:p>
    <w:p w14:paraId="30773E69" w14:textId="097782B7" w:rsidR="00D12418" w:rsidRPr="00D12418" w:rsidRDefault="00D12418" w:rsidP="00D12418">
      <w:pPr>
        <w:pStyle w:val="Heading2"/>
      </w:pPr>
      <w:r w:rsidRPr="00D12418">
        <w:t>Strengthening community action</w:t>
      </w:r>
    </w:p>
    <w:p w14:paraId="69A21503" w14:textId="77777777" w:rsidR="00D12418" w:rsidRPr="00D12418" w:rsidRDefault="00D12418" w:rsidP="00D12418">
      <w:pPr>
        <w:rPr>
          <w:rFonts w:cs="Arial"/>
        </w:rPr>
      </w:pPr>
      <w:r w:rsidRPr="00D12418">
        <w:rPr>
          <w:rFonts w:cs="Arial"/>
        </w:rPr>
        <w:t>The NENC ICB ought to invest in local organisations to co-design health interventions with residents. Fairbrother et al. (2024) discovered that youth in the North East possessed explicit ideas about the impact of economic inequalities on their health, but these views are seldom applied in policy formulation.</w:t>
      </w:r>
    </w:p>
    <w:p w14:paraId="0A0D1040" w14:textId="202D6B3B" w:rsidR="00D12418" w:rsidRPr="00D12418" w:rsidRDefault="00D12418" w:rsidP="00D12418">
      <w:pPr>
        <w:pStyle w:val="Heading2"/>
      </w:pPr>
      <w:r w:rsidRPr="00D12418">
        <w:t>Reorienting health services</w:t>
      </w:r>
    </w:p>
    <w:p w14:paraId="323519E7" w14:textId="77777777" w:rsidR="00D12418" w:rsidRPr="00D12418" w:rsidRDefault="00D12418" w:rsidP="00D12418">
      <w:pPr>
        <w:rPr>
          <w:rFonts w:cs="Arial"/>
        </w:rPr>
      </w:pPr>
      <w:r w:rsidRPr="00D12418">
        <w:rPr>
          <w:rFonts w:cs="Arial"/>
        </w:rPr>
        <w:t>Core20PLUS5 needs to be extended beyond clinical care to action on social determinants. The Lancet article by Anderson et al. (2021) suggests that NHS workforce should be restructured to embrace multidisciplinary, community-based care where training on social determinants is provided. This would allow NHS workers to focus on the cause of poor health, rather than the symptoms.</w:t>
      </w:r>
    </w:p>
    <w:p w14:paraId="3A2F84AA" w14:textId="56C6B57D" w:rsidR="00D12418" w:rsidRPr="00D12418" w:rsidRDefault="00D12418" w:rsidP="00D12418">
      <w:pPr>
        <w:pStyle w:val="Heading2"/>
      </w:pPr>
      <w:r w:rsidRPr="00D12418">
        <w:t>Developing personal skills</w:t>
      </w:r>
    </w:p>
    <w:p w14:paraId="134122D6" w14:textId="691E9F00" w:rsidR="007303D2" w:rsidRPr="00AD3A06" w:rsidRDefault="00D12418" w:rsidP="00D12418">
      <w:pPr>
        <w:rPr>
          <w:rFonts w:cs="Arial"/>
        </w:rPr>
      </w:pPr>
      <w:r w:rsidRPr="00D12418">
        <w:rPr>
          <w:rFonts w:cs="Arial"/>
        </w:rPr>
        <w:t>Digital health tools should be accessible to everyone, and the issue of digital exclusion in the deprived regions is to be considered. Oliver (2025) cautions that the technological emphasis of the plan should not leave behind the digitally disadvantaged or digitally unskilled.</w:t>
      </w:r>
    </w:p>
    <w:p w14:paraId="44E21C98" w14:textId="7F356757" w:rsidR="007303D2" w:rsidRPr="00AD3A06" w:rsidRDefault="007303D2" w:rsidP="00A35DED">
      <w:pPr>
        <w:pStyle w:val="Heading1"/>
        <w:rPr>
          <w:rFonts w:cs="Arial"/>
        </w:rPr>
      </w:pPr>
      <w:bookmarkStart w:id="5" w:name="_Toc233305796"/>
      <w:r w:rsidRPr="00AD3A06">
        <w:rPr>
          <w:rFonts w:cs="Arial"/>
        </w:rPr>
        <w:t>Conclusion</w:t>
      </w:r>
      <w:bookmarkEnd w:id="5"/>
    </w:p>
    <w:p w14:paraId="316FDD8B" w14:textId="580A6B88" w:rsidR="007303D2" w:rsidRPr="00AD3A06" w:rsidRDefault="00D12418" w:rsidP="00A35DED">
      <w:pPr>
        <w:rPr>
          <w:rFonts w:cs="Arial"/>
        </w:rPr>
      </w:pPr>
      <w:r w:rsidRPr="00D12418">
        <w:rPr>
          <w:rFonts w:cs="Arial"/>
        </w:rPr>
        <w:t>This report has demonstrated that SDG 3 and SDG 10 are closely linked. The world has been stagnating with billions of people not accessing critical services on universal health coverage. In England, the gap between the most and the least deprived is nearly 20 years of healthy life and the worst results can be found in the North East. Existing efforts like Core20PLUS5 and the 10-Year Health Plan are a step in the right direction, but they cannot be achieved without more comprehensive intervention on social determinants. To eliminate health inequalities, there is a need to act in concert across the government, to link and community-based services and to be determined to address the structural determinants that produce disadvantage. England can only achieve significant progress towards the SDG targets by tackling health and inequality simultaneously.</w:t>
      </w:r>
    </w:p>
    <w:p w14:paraId="288A9109" w14:textId="77777777" w:rsidR="007303D2" w:rsidRDefault="007303D2" w:rsidP="00A35DED">
      <w:pPr>
        <w:rPr>
          <w:rFonts w:cs="Arial"/>
        </w:rPr>
      </w:pPr>
    </w:p>
    <w:p w14:paraId="2D0461AA" w14:textId="77777777" w:rsidR="00436D7E" w:rsidRDefault="00436D7E" w:rsidP="00A35DED">
      <w:pPr>
        <w:rPr>
          <w:rFonts w:cs="Arial"/>
        </w:rPr>
      </w:pPr>
    </w:p>
    <w:p w14:paraId="41756F40" w14:textId="77777777" w:rsidR="00436D7E" w:rsidRDefault="00436D7E" w:rsidP="00A35DED">
      <w:pPr>
        <w:rPr>
          <w:rFonts w:cs="Arial"/>
        </w:rPr>
      </w:pPr>
    </w:p>
    <w:p w14:paraId="74A43372" w14:textId="77777777" w:rsidR="00436D7E" w:rsidRDefault="00436D7E" w:rsidP="00A35DED">
      <w:pPr>
        <w:rPr>
          <w:rFonts w:cs="Arial"/>
        </w:rPr>
      </w:pPr>
    </w:p>
    <w:p w14:paraId="6D98FCEE" w14:textId="77777777" w:rsidR="00436D7E" w:rsidRDefault="00436D7E" w:rsidP="00A35DED">
      <w:pPr>
        <w:rPr>
          <w:rFonts w:cs="Arial"/>
        </w:rPr>
      </w:pPr>
    </w:p>
    <w:p w14:paraId="0787199A" w14:textId="77777777" w:rsidR="00436D7E" w:rsidRDefault="00436D7E" w:rsidP="00A35DED">
      <w:pPr>
        <w:rPr>
          <w:rFonts w:cs="Arial"/>
        </w:rPr>
      </w:pPr>
    </w:p>
    <w:p w14:paraId="235B9AE5" w14:textId="77777777" w:rsidR="00436D7E" w:rsidRPr="00AD3A06" w:rsidRDefault="00436D7E" w:rsidP="00A35DED">
      <w:pPr>
        <w:rPr>
          <w:rFonts w:cs="Arial"/>
        </w:rPr>
      </w:pPr>
    </w:p>
    <w:p w14:paraId="5B3448E3" w14:textId="47727518" w:rsidR="007303D2" w:rsidRPr="00AD3A06" w:rsidRDefault="007303D2" w:rsidP="00A35DED">
      <w:pPr>
        <w:pStyle w:val="Heading1"/>
        <w:rPr>
          <w:rFonts w:cs="Arial"/>
        </w:rPr>
      </w:pPr>
      <w:bookmarkStart w:id="6" w:name="_Toc233305797"/>
      <w:r w:rsidRPr="00AD3A06">
        <w:rPr>
          <w:rFonts w:cs="Arial"/>
        </w:rPr>
        <w:t>References</w:t>
      </w:r>
      <w:bookmarkEnd w:id="6"/>
    </w:p>
    <w:p w14:paraId="23B04459" w14:textId="77777777" w:rsidR="00F43CB5" w:rsidRPr="00F43CB5" w:rsidRDefault="00F43CB5" w:rsidP="00C61C6A">
      <w:pPr>
        <w:jc w:val="left"/>
        <w:rPr>
          <w:rFonts w:cs="Arial"/>
        </w:rPr>
      </w:pPr>
      <w:r w:rsidRPr="00F43CB5">
        <w:rPr>
          <w:rFonts w:cs="Arial"/>
        </w:rPr>
        <w:t>Anderson, M., O'Neill, C., Clark, J. M., Street, A., Woods, M., Johnston-Webber, C., ... and McGuire, A. (2021). Securing a sustainable and fit-for-purpose UK health and care workforce. </w:t>
      </w:r>
      <w:r w:rsidRPr="00F43CB5">
        <w:rPr>
          <w:rFonts w:cs="Arial"/>
          <w:i/>
          <w:iCs/>
        </w:rPr>
        <w:t>The Lancet</w:t>
      </w:r>
      <w:r w:rsidRPr="00F43CB5">
        <w:rPr>
          <w:rFonts w:cs="Arial"/>
        </w:rPr>
        <w:t>, </w:t>
      </w:r>
      <w:r w:rsidRPr="00F43CB5">
        <w:rPr>
          <w:rFonts w:cs="Arial"/>
          <w:i/>
          <w:iCs/>
        </w:rPr>
        <w:t>397</w:t>
      </w:r>
      <w:r w:rsidRPr="00F43CB5">
        <w:rPr>
          <w:rFonts w:cs="Arial"/>
        </w:rPr>
        <w:t>(10288), 1992-2011.</w:t>
      </w:r>
    </w:p>
    <w:p w14:paraId="3C3AD4EC" w14:textId="77777777" w:rsidR="00F43CB5" w:rsidRPr="00F43CB5" w:rsidRDefault="00F43CB5" w:rsidP="00C61C6A">
      <w:pPr>
        <w:jc w:val="left"/>
        <w:rPr>
          <w:rFonts w:cs="Arial"/>
        </w:rPr>
      </w:pPr>
      <w:r w:rsidRPr="00F43CB5">
        <w:rPr>
          <w:rFonts w:cs="Arial"/>
        </w:rPr>
        <w:t>Bambra, C., Munford, L., Alexandros, A., Barr, B., Brown, H., Davies, H., ... and Wickham, S. (2020). COVID-19 and the Northern Powerhouse: Tackling inequalities for health and productivity.</w:t>
      </w:r>
    </w:p>
    <w:p w14:paraId="380747FA" w14:textId="77777777" w:rsidR="00F43CB5" w:rsidRPr="00F43CB5" w:rsidRDefault="00F43CB5" w:rsidP="00C61C6A">
      <w:pPr>
        <w:jc w:val="left"/>
        <w:rPr>
          <w:rFonts w:cs="Arial"/>
        </w:rPr>
      </w:pPr>
      <w:r w:rsidRPr="00F43CB5">
        <w:rPr>
          <w:rFonts w:cs="Arial"/>
        </w:rPr>
        <w:t>Bambra, C., Riordan, R., Ford, J., and Matthews, F. (2020). The COVID-19 pandemic and health inequalities. </w:t>
      </w:r>
      <w:r w:rsidRPr="00F43CB5">
        <w:rPr>
          <w:rFonts w:cs="Arial"/>
          <w:i/>
          <w:iCs/>
        </w:rPr>
        <w:t xml:space="preserve">J </w:t>
      </w:r>
      <w:proofErr w:type="spellStart"/>
      <w:r w:rsidRPr="00F43CB5">
        <w:rPr>
          <w:rFonts w:cs="Arial"/>
          <w:i/>
          <w:iCs/>
        </w:rPr>
        <w:t>Epidemiol</w:t>
      </w:r>
      <w:proofErr w:type="spellEnd"/>
      <w:r w:rsidRPr="00F43CB5">
        <w:rPr>
          <w:rFonts w:cs="Arial"/>
          <w:i/>
          <w:iCs/>
        </w:rPr>
        <w:t xml:space="preserve"> Community Health</w:t>
      </w:r>
      <w:r w:rsidRPr="00F43CB5">
        <w:rPr>
          <w:rFonts w:cs="Arial"/>
        </w:rPr>
        <w:t>, </w:t>
      </w:r>
      <w:r w:rsidRPr="00F43CB5">
        <w:rPr>
          <w:rFonts w:cs="Arial"/>
          <w:i/>
          <w:iCs/>
        </w:rPr>
        <w:t>74</w:t>
      </w:r>
      <w:r w:rsidRPr="00F43CB5">
        <w:rPr>
          <w:rFonts w:cs="Arial"/>
        </w:rPr>
        <w:t>(11), 964-968.</w:t>
      </w:r>
    </w:p>
    <w:p w14:paraId="0A6102B6" w14:textId="77777777" w:rsidR="00F43CB5" w:rsidRPr="00F43CB5" w:rsidRDefault="00F43CB5" w:rsidP="00C61C6A">
      <w:pPr>
        <w:jc w:val="left"/>
        <w:rPr>
          <w:rFonts w:cs="Arial"/>
        </w:rPr>
      </w:pPr>
      <w:r w:rsidRPr="00F43CB5">
        <w:rPr>
          <w:rFonts w:cs="Arial"/>
        </w:rPr>
        <w:t>Dahlgren, G., and Whitehead, M. (2021). The Dahlgren-Whitehead model of health determinants: 30 years on and still chasing rainbows. </w:t>
      </w:r>
      <w:r w:rsidRPr="00F43CB5">
        <w:rPr>
          <w:rFonts w:cs="Arial"/>
          <w:i/>
          <w:iCs/>
        </w:rPr>
        <w:t>Public health</w:t>
      </w:r>
      <w:r w:rsidRPr="00F43CB5">
        <w:rPr>
          <w:rFonts w:cs="Arial"/>
        </w:rPr>
        <w:t>, </w:t>
      </w:r>
      <w:r w:rsidRPr="00F43CB5">
        <w:rPr>
          <w:rFonts w:cs="Arial"/>
          <w:i/>
          <w:iCs/>
        </w:rPr>
        <w:t>199</w:t>
      </w:r>
      <w:r w:rsidRPr="00F43CB5">
        <w:rPr>
          <w:rFonts w:cs="Arial"/>
        </w:rPr>
        <w:t>, 20-24.</w:t>
      </w:r>
    </w:p>
    <w:p w14:paraId="46B1BF22" w14:textId="77777777" w:rsidR="00F43CB5" w:rsidRPr="00F43CB5" w:rsidRDefault="00F43CB5" w:rsidP="00C61C6A">
      <w:pPr>
        <w:jc w:val="left"/>
        <w:rPr>
          <w:rFonts w:cs="Arial"/>
        </w:rPr>
      </w:pPr>
      <w:r w:rsidRPr="00F43CB5">
        <w:rPr>
          <w:rFonts w:cs="Arial"/>
        </w:rPr>
        <w:t xml:space="preserve">Department of Health and Social Care (2025) </w:t>
      </w:r>
      <w:r w:rsidRPr="00F43CB5">
        <w:rPr>
          <w:rFonts w:cs="Arial"/>
          <w:i/>
          <w:iCs/>
        </w:rPr>
        <w:t>Fit for the Future: 10 Year Health Plan for England</w:t>
      </w:r>
      <w:r w:rsidRPr="00F43CB5">
        <w:rPr>
          <w:rFonts w:cs="Arial"/>
        </w:rPr>
        <w:t xml:space="preserve">. London: HMSO. Available at: </w:t>
      </w:r>
      <w:hyperlink r:id="rId15" w:tgtFrame="_blank" w:history="1">
        <w:r w:rsidRPr="00F43CB5">
          <w:rPr>
            <w:rStyle w:val="Hyperlink"/>
            <w:rFonts w:cs="Arial"/>
          </w:rPr>
          <w:t>https://www.gov.uk/government/publications/10-year-health-plan-for-england-fit-for-the-future</w:t>
        </w:r>
      </w:hyperlink>
      <w:r w:rsidRPr="00F43CB5">
        <w:rPr>
          <w:rFonts w:cs="Arial"/>
        </w:rPr>
        <w:t>.</w:t>
      </w:r>
    </w:p>
    <w:p w14:paraId="2BFE4BFA" w14:textId="77777777" w:rsidR="00F43CB5" w:rsidRPr="00F43CB5" w:rsidRDefault="00F43CB5" w:rsidP="00C61C6A">
      <w:pPr>
        <w:jc w:val="left"/>
        <w:rPr>
          <w:rFonts w:cs="Arial"/>
        </w:rPr>
      </w:pPr>
      <w:r w:rsidRPr="00F43CB5">
        <w:rPr>
          <w:rFonts w:cs="Arial"/>
        </w:rPr>
        <w:t>Fairbrother, H., Woodrow, N., Holding, E., Crowder, M., Griffin, N., Er, V., ... and Goyder, E. (2024). ‘It depends on where you were born… here in the North East, there’s not really many job opportunities compared to in the South’: young people’s perspectives on a North-South health divide and its drivers in England, UK. </w:t>
      </w:r>
      <w:r w:rsidRPr="00F43CB5">
        <w:rPr>
          <w:rFonts w:cs="Arial"/>
          <w:i/>
          <w:iCs/>
        </w:rPr>
        <w:t>BMC Public Health</w:t>
      </w:r>
      <w:r w:rsidRPr="00F43CB5">
        <w:rPr>
          <w:rFonts w:cs="Arial"/>
        </w:rPr>
        <w:t>, </w:t>
      </w:r>
      <w:r w:rsidRPr="00F43CB5">
        <w:rPr>
          <w:rFonts w:cs="Arial"/>
          <w:i/>
          <w:iCs/>
        </w:rPr>
        <w:t>24</w:t>
      </w:r>
      <w:r w:rsidRPr="00F43CB5">
        <w:rPr>
          <w:rFonts w:cs="Arial"/>
        </w:rPr>
        <w:t>(1), 2018.</w:t>
      </w:r>
    </w:p>
    <w:p w14:paraId="55B57A61" w14:textId="77777777" w:rsidR="00F43CB5" w:rsidRPr="00F43CB5" w:rsidRDefault="00F43CB5" w:rsidP="00C61C6A">
      <w:pPr>
        <w:jc w:val="left"/>
        <w:rPr>
          <w:rFonts w:cs="Arial"/>
        </w:rPr>
      </w:pPr>
      <w:proofErr w:type="spellStart"/>
      <w:r w:rsidRPr="00F43CB5">
        <w:rPr>
          <w:rFonts w:cs="Arial"/>
        </w:rPr>
        <w:t>Gkiouleka</w:t>
      </w:r>
      <w:proofErr w:type="spellEnd"/>
      <w:r w:rsidRPr="00F43CB5">
        <w:rPr>
          <w:rFonts w:cs="Arial"/>
        </w:rPr>
        <w:t>, A., Wong, G., Sowden, S., Kuhn, I., Moseley, A., Manji, S., ... and Ford, J. (2024). Reducing health inequalities through general practice: a realist review and action framework. </w:t>
      </w:r>
      <w:r w:rsidRPr="00F43CB5">
        <w:rPr>
          <w:rFonts w:cs="Arial"/>
          <w:i/>
          <w:iCs/>
        </w:rPr>
        <w:t>Health and Social Care Delivery Research</w:t>
      </w:r>
      <w:r w:rsidRPr="00F43CB5">
        <w:rPr>
          <w:rFonts w:cs="Arial"/>
        </w:rPr>
        <w:t>, </w:t>
      </w:r>
      <w:r w:rsidRPr="00F43CB5">
        <w:rPr>
          <w:rFonts w:cs="Arial"/>
          <w:i/>
          <w:iCs/>
        </w:rPr>
        <w:t>12</w:t>
      </w:r>
      <w:r w:rsidRPr="00F43CB5">
        <w:rPr>
          <w:rFonts w:cs="Arial"/>
        </w:rPr>
        <w:t>(7), 1-104.</w:t>
      </w:r>
    </w:p>
    <w:p w14:paraId="2E24BCCC" w14:textId="77777777" w:rsidR="00F43CB5" w:rsidRPr="00F43CB5" w:rsidRDefault="00F43CB5" w:rsidP="00C61C6A">
      <w:pPr>
        <w:jc w:val="left"/>
        <w:rPr>
          <w:rFonts w:cs="Arial"/>
        </w:rPr>
      </w:pPr>
      <w:r w:rsidRPr="00F43CB5">
        <w:rPr>
          <w:rFonts w:cs="Arial"/>
        </w:rPr>
        <w:t>Marmot, M. (2020). Health equity in England: the Marmot review 10 years on. </w:t>
      </w:r>
      <w:proofErr w:type="spellStart"/>
      <w:r w:rsidRPr="00F43CB5">
        <w:rPr>
          <w:rFonts w:cs="Arial"/>
          <w:i/>
          <w:iCs/>
        </w:rPr>
        <w:t>Bmj</w:t>
      </w:r>
      <w:proofErr w:type="spellEnd"/>
      <w:r w:rsidRPr="00F43CB5">
        <w:rPr>
          <w:rFonts w:cs="Arial"/>
        </w:rPr>
        <w:t>, </w:t>
      </w:r>
      <w:r w:rsidRPr="00F43CB5">
        <w:rPr>
          <w:rFonts w:cs="Arial"/>
          <w:i/>
          <w:iCs/>
        </w:rPr>
        <w:t>368</w:t>
      </w:r>
      <w:r w:rsidRPr="00F43CB5">
        <w:rPr>
          <w:rFonts w:cs="Arial"/>
        </w:rPr>
        <w:t>.</w:t>
      </w:r>
    </w:p>
    <w:p w14:paraId="526BA49E" w14:textId="77777777" w:rsidR="00F43CB5" w:rsidRPr="00F43CB5" w:rsidRDefault="00F43CB5" w:rsidP="00C61C6A">
      <w:pPr>
        <w:jc w:val="left"/>
        <w:rPr>
          <w:rFonts w:cs="Arial"/>
        </w:rPr>
      </w:pPr>
      <w:r w:rsidRPr="00F43CB5">
        <w:rPr>
          <w:rFonts w:cs="Arial"/>
        </w:rPr>
        <w:t>Munford, L., Bambra, C., Davies, H., Pickett, K., and Taylor-Robinson, D. (2023). Health Equity North: 2023. </w:t>
      </w:r>
      <w:r w:rsidRPr="00F43CB5">
        <w:rPr>
          <w:rFonts w:cs="Arial"/>
          <w:i/>
          <w:iCs/>
        </w:rPr>
        <w:t>Health Equity North: 2023, Health Equity North, Newcastle.</w:t>
      </w:r>
    </w:p>
    <w:p w14:paraId="06971852" w14:textId="77777777" w:rsidR="00F43CB5" w:rsidRPr="00F43CB5" w:rsidRDefault="00F43CB5" w:rsidP="00C61C6A">
      <w:pPr>
        <w:jc w:val="left"/>
        <w:rPr>
          <w:rFonts w:cs="Arial"/>
        </w:rPr>
      </w:pPr>
      <w:r w:rsidRPr="00F43CB5">
        <w:rPr>
          <w:rFonts w:cs="Arial"/>
        </w:rPr>
        <w:t xml:space="preserve">NENC ICB (2025) </w:t>
      </w:r>
      <w:r w:rsidRPr="00F43CB5">
        <w:rPr>
          <w:rFonts w:cs="Arial"/>
          <w:i/>
          <w:iCs/>
        </w:rPr>
        <w:t>Health and Healthcare Inequalities Report 2024-2025</w:t>
      </w:r>
      <w:r w:rsidRPr="00F43CB5">
        <w:rPr>
          <w:rFonts w:cs="Arial"/>
        </w:rPr>
        <w:t xml:space="preserve">. North East North Cumbria Integrated Care Board. Available at: </w:t>
      </w:r>
      <w:hyperlink r:id="rId16" w:history="1">
        <w:r w:rsidRPr="00F43CB5">
          <w:rPr>
            <w:rStyle w:val="Hyperlink"/>
            <w:rFonts w:cs="Arial"/>
          </w:rPr>
          <w:t>https://northeastnorthcumbria.nhs.uk/media/xrncif3m/health-and-healthcare-inequalities-report-2024-25.pdf</w:t>
        </w:r>
      </w:hyperlink>
      <w:r w:rsidRPr="00F43CB5">
        <w:rPr>
          <w:rFonts w:cs="Arial"/>
        </w:rPr>
        <w:t>.</w:t>
      </w:r>
    </w:p>
    <w:p w14:paraId="6D8CA9E0" w14:textId="77777777" w:rsidR="00F43CB5" w:rsidRPr="00F43CB5" w:rsidRDefault="00F43CB5" w:rsidP="00C61C6A">
      <w:pPr>
        <w:jc w:val="left"/>
        <w:rPr>
          <w:rFonts w:cs="Arial"/>
        </w:rPr>
      </w:pPr>
      <w:r w:rsidRPr="00F43CB5">
        <w:rPr>
          <w:rFonts w:cs="Arial"/>
        </w:rPr>
        <w:t xml:space="preserve">NHS England (2024) </w:t>
      </w:r>
      <w:r w:rsidRPr="00F43CB5">
        <w:rPr>
          <w:rFonts w:cs="Arial"/>
          <w:i/>
          <w:iCs/>
        </w:rPr>
        <w:t>National Healthcare Inequalities Improvement Programme</w:t>
      </w:r>
      <w:r w:rsidRPr="00F43CB5">
        <w:rPr>
          <w:rFonts w:cs="Arial"/>
        </w:rPr>
        <w:t xml:space="preserve">. Available at: </w:t>
      </w:r>
      <w:hyperlink r:id="rId17" w:tgtFrame="_blank" w:history="1">
        <w:r w:rsidRPr="00F43CB5">
          <w:rPr>
            <w:rStyle w:val="Hyperlink"/>
            <w:rFonts w:cs="Arial"/>
          </w:rPr>
          <w:t>https://www.england.nhs.uk/about/equality/equality-hub/national-healthcare-inequalities-improvement-programme/</w:t>
        </w:r>
      </w:hyperlink>
      <w:r w:rsidRPr="00F43CB5">
        <w:rPr>
          <w:rFonts w:cs="Arial"/>
        </w:rPr>
        <w:t>.</w:t>
      </w:r>
    </w:p>
    <w:p w14:paraId="485DD708" w14:textId="77777777" w:rsidR="00F43CB5" w:rsidRPr="00F43CB5" w:rsidRDefault="00F43CB5" w:rsidP="00C61C6A">
      <w:pPr>
        <w:jc w:val="left"/>
        <w:rPr>
          <w:rFonts w:cs="Arial"/>
        </w:rPr>
      </w:pPr>
      <w:r w:rsidRPr="00F43CB5">
        <w:rPr>
          <w:rFonts w:cs="Arial"/>
        </w:rPr>
        <w:t xml:space="preserve">Office for National Statistics (2026a) </w:t>
      </w:r>
      <w:r w:rsidRPr="00F43CB5">
        <w:rPr>
          <w:rFonts w:cs="Arial"/>
          <w:i/>
          <w:iCs/>
        </w:rPr>
        <w:t>Healthy Life Expectancy by National Area Deprivation, England and Wales: 2022 to 2024</w:t>
      </w:r>
      <w:r w:rsidRPr="00F43CB5">
        <w:rPr>
          <w:rFonts w:cs="Arial"/>
        </w:rPr>
        <w:t xml:space="preserve">. Newport: ONS. Available at: </w:t>
      </w:r>
      <w:hyperlink r:id="rId18" w:tgtFrame="_blank" w:history="1">
        <w:r w:rsidRPr="00F43CB5">
          <w:rPr>
            <w:rStyle w:val="Hyperlink"/>
            <w:rFonts w:cs="Arial"/>
          </w:rPr>
          <w:t>https://www.ons.gov.uk/peoplepopulationandcommunity/healthandsocialcare/healthinequalities/bulletins/healthylifeexpectancybynationalareadeprivationenglandandwales/between2013to2015and2022to2024</w:t>
        </w:r>
      </w:hyperlink>
      <w:r w:rsidRPr="00F43CB5">
        <w:rPr>
          <w:rFonts w:cs="Arial"/>
        </w:rPr>
        <w:t>.</w:t>
      </w:r>
    </w:p>
    <w:p w14:paraId="530F3408" w14:textId="77777777" w:rsidR="00F43CB5" w:rsidRPr="00F43CB5" w:rsidRDefault="00F43CB5" w:rsidP="00C61C6A">
      <w:pPr>
        <w:jc w:val="left"/>
        <w:rPr>
          <w:rFonts w:cs="Arial"/>
        </w:rPr>
      </w:pPr>
      <w:r w:rsidRPr="00F43CB5">
        <w:rPr>
          <w:rFonts w:cs="Arial"/>
        </w:rPr>
        <w:t>Oliver, D. (2025). David Oliver: The NHS 10 year plan—more a set of ambitions than a plan. </w:t>
      </w:r>
      <w:proofErr w:type="spellStart"/>
      <w:r w:rsidRPr="00F43CB5">
        <w:rPr>
          <w:rFonts w:cs="Arial"/>
          <w:i/>
          <w:iCs/>
        </w:rPr>
        <w:t>bmj</w:t>
      </w:r>
      <w:proofErr w:type="spellEnd"/>
      <w:r w:rsidRPr="00F43CB5">
        <w:rPr>
          <w:rFonts w:cs="Arial"/>
        </w:rPr>
        <w:t>, </w:t>
      </w:r>
      <w:r w:rsidRPr="00F43CB5">
        <w:rPr>
          <w:rFonts w:cs="Arial"/>
          <w:i/>
          <w:iCs/>
        </w:rPr>
        <w:t>390</w:t>
      </w:r>
      <w:r w:rsidRPr="00F43CB5">
        <w:rPr>
          <w:rFonts w:cs="Arial"/>
        </w:rPr>
        <w:t>.</w:t>
      </w:r>
    </w:p>
    <w:p w14:paraId="094C06DA" w14:textId="77777777" w:rsidR="00F43CB5" w:rsidRPr="00F43CB5" w:rsidRDefault="00F43CB5" w:rsidP="00C61C6A">
      <w:pPr>
        <w:jc w:val="left"/>
        <w:rPr>
          <w:rFonts w:cs="Arial"/>
        </w:rPr>
      </w:pPr>
      <w:r w:rsidRPr="00F43CB5">
        <w:rPr>
          <w:rFonts w:cs="Arial"/>
        </w:rPr>
        <w:t>Popay, J., Kaloudis, H., Heaton, L., Barr, B., Halliday, E., Holt, V., ... and Wheeler, P. (2022). System resilience and neighbourhood action on social determinants of health inequalities: an English Case Study. </w:t>
      </w:r>
      <w:r w:rsidRPr="00F43CB5">
        <w:rPr>
          <w:rFonts w:cs="Arial"/>
          <w:i/>
          <w:iCs/>
        </w:rPr>
        <w:t>Perspectives in public health</w:t>
      </w:r>
      <w:r w:rsidRPr="00F43CB5">
        <w:rPr>
          <w:rFonts w:cs="Arial"/>
        </w:rPr>
        <w:t>, </w:t>
      </w:r>
      <w:r w:rsidRPr="00F43CB5">
        <w:rPr>
          <w:rFonts w:cs="Arial"/>
          <w:i/>
          <w:iCs/>
        </w:rPr>
        <w:t>142</w:t>
      </w:r>
      <w:r w:rsidRPr="00F43CB5">
        <w:rPr>
          <w:rFonts w:cs="Arial"/>
        </w:rPr>
        <w:t>(4), 213-223.</w:t>
      </w:r>
    </w:p>
    <w:p w14:paraId="44AF9AE8" w14:textId="77777777" w:rsidR="00F43CB5" w:rsidRPr="00F43CB5" w:rsidRDefault="00F43CB5" w:rsidP="00C61C6A">
      <w:pPr>
        <w:jc w:val="left"/>
        <w:rPr>
          <w:rFonts w:cs="Arial"/>
        </w:rPr>
      </w:pPr>
      <w:r w:rsidRPr="00F43CB5">
        <w:rPr>
          <w:rFonts w:cs="Arial"/>
        </w:rPr>
        <w:t xml:space="preserve">The King's Fund (2026) </w:t>
      </w:r>
      <w:r w:rsidRPr="00F43CB5">
        <w:rPr>
          <w:rFonts w:cs="Arial"/>
          <w:i/>
          <w:iCs/>
        </w:rPr>
        <w:t>Health Inequalities in a Nutshell</w:t>
      </w:r>
      <w:r w:rsidRPr="00F43CB5">
        <w:rPr>
          <w:rFonts w:cs="Arial"/>
        </w:rPr>
        <w:t xml:space="preserve">. London: The King's Fund. Available at: </w:t>
      </w:r>
      <w:hyperlink r:id="rId19" w:tgtFrame="_blank" w:history="1">
        <w:r w:rsidRPr="00F43CB5">
          <w:rPr>
            <w:rStyle w:val="Hyperlink"/>
            <w:rFonts w:cs="Arial"/>
          </w:rPr>
          <w:t>https://www.kingsfund.org.uk/insight-and-analysis/data-and-charts/health-inequalities-nutshell</w:t>
        </w:r>
      </w:hyperlink>
      <w:r w:rsidRPr="00F43CB5">
        <w:rPr>
          <w:rFonts w:cs="Arial"/>
        </w:rPr>
        <w:t>.</w:t>
      </w:r>
    </w:p>
    <w:p w14:paraId="1FD69B96" w14:textId="77777777" w:rsidR="00F43CB5" w:rsidRPr="00F43CB5" w:rsidRDefault="00F43CB5" w:rsidP="00C61C6A">
      <w:pPr>
        <w:jc w:val="left"/>
        <w:rPr>
          <w:rFonts w:cs="Arial"/>
        </w:rPr>
      </w:pPr>
      <w:r w:rsidRPr="00F43CB5">
        <w:rPr>
          <w:rFonts w:cs="Arial"/>
        </w:rPr>
        <w:t xml:space="preserve">UK Health Security Agency (2025) </w:t>
      </w:r>
      <w:r w:rsidRPr="00F43CB5">
        <w:rPr>
          <w:rFonts w:cs="Arial"/>
          <w:i/>
          <w:iCs/>
        </w:rPr>
        <w:t>Health Inequalities in Health Protection Report 2025</w:t>
      </w:r>
      <w:r w:rsidRPr="00F43CB5">
        <w:rPr>
          <w:rFonts w:cs="Arial"/>
        </w:rPr>
        <w:t xml:space="preserve">. London: UKHSA. Available at: </w:t>
      </w:r>
      <w:hyperlink r:id="rId20" w:tgtFrame="_blank" w:history="1">
        <w:r w:rsidRPr="00F43CB5">
          <w:rPr>
            <w:rStyle w:val="Hyperlink"/>
            <w:rFonts w:cs="Arial"/>
          </w:rPr>
          <w:t>https://www.gov.uk/government/publications/health-inequalities-in-health-protection-report</w:t>
        </w:r>
      </w:hyperlink>
      <w:r w:rsidRPr="00F43CB5">
        <w:rPr>
          <w:rFonts w:cs="Arial"/>
        </w:rPr>
        <w:t>.</w:t>
      </w:r>
    </w:p>
    <w:p w14:paraId="071B9327" w14:textId="77777777" w:rsidR="00F43CB5" w:rsidRPr="00F43CB5" w:rsidRDefault="00F43CB5" w:rsidP="00C61C6A">
      <w:pPr>
        <w:jc w:val="left"/>
        <w:rPr>
          <w:rFonts w:cs="Arial"/>
        </w:rPr>
      </w:pPr>
      <w:r w:rsidRPr="00F43CB5">
        <w:rPr>
          <w:rFonts w:cs="Arial"/>
        </w:rPr>
        <w:t xml:space="preserve">United Nations (2015) </w:t>
      </w:r>
      <w:r w:rsidRPr="00F43CB5">
        <w:rPr>
          <w:rFonts w:cs="Arial"/>
          <w:i/>
          <w:iCs/>
        </w:rPr>
        <w:t>Transforming Our World: The 2030 Agenda for Sustainable Development</w:t>
      </w:r>
      <w:r w:rsidRPr="00F43CB5">
        <w:rPr>
          <w:rFonts w:cs="Arial"/>
        </w:rPr>
        <w:t xml:space="preserve">. New York: United Nations. Available at: </w:t>
      </w:r>
      <w:hyperlink r:id="rId21" w:history="1">
        <w:r w:rsidRPr="00F43CB5">
          <w:rPr>
            <w:rStyle w:val="Hyperlink"/>
            <w:rFonts w:cs="Arial"/>
          </w:rPr>
          <w:t>https://sdgs.un.org/2030agenda</w:t>
        </w:r>
      </w:hyperlink>
      <w:r w:rsidRPr="00F43CB5">
        <w:rPr>
          <w:rFonts w:cs="Arial"/>
        </w:rPr>
        <w:t>.</w:t>
      </w:r>
    </w:p>
    <w:p w14:paraId="47E8E17C" w14:textId="77777777" w:rsidR="00F43CB5" w:rsidRPr="00F43CB5" w:rsidRDefault="00F43CB5" w:rsidP="00C61C6A">
      <w:pPr>
        <w:jc w:val="left"/>
        <w:rPr>
          <w:rFonts w:cs="Arial"/>
        </w:rPr>
      </w:pPr>
      <w:r w:rsidRPr="00F43CB5">
        <w:rPr>
          <w:rFonts w:cs="Arial"/>
        </w:rPr>
        <w:t xml:space="preserve">United Nations (2025) </w:t>
      </w:r>
      <w:r w:rsidRPr="00F43CB5">
        <w:rPr>
          <w:rFonts w:cs="Arial"/>
          <w:i/>
          <w:iCs/>
        </w:rPr>
        <w:t>Sustainable Development Goal 3: Ensure Healthy Lives and Promote Well-being for All at All Ages</w:t>
      </w:r>
      <w:r w:rsidRPr="00F43CB5">
        <w:rPr>
          <w:rFonts w:cs="Arial"/>
        </w:rPr>
        <w:t xml:space="preserve">. New York: UN DESA. Available at: </w:t>
      </w:r>
      <w:hyperlink r:id="rId22" w:tgtFrame="_blank" w:history="1">
        <w:r w:rsidRPr="00F43CB5">
          <w:rPr>
            <w:rStyle w:val="Hyperlink"/>
            <w:rFonts w:cs="Arial"/>
          </w:rPr>
          <w:t>https://sdgs.un.org/goals/goal3</w:t>
        </w:r>
      </w:hyperlink>
      <w:r w:rsidRPr="00F43CB5">
        <w:rPr>
          <w:rFonts w:cs="Arial"/>
        </w:rPr>
        <w:t>.</w:t>
      </w:r>
    </w:p>
    <w:p w14:paraId="4C1F333A" w14:textId="77777777" w:rsidR="00F43CB5" w:rsidRPr="00F43CB5" w:rsidRDefault="00F43CB5" w:rsidP="00C61C6A">
      <w:pPr>
        <w:jc w:val="left"/>
        <w:rPr>
          <w:rFonts w:cs="Arial"/>
        </w:rPr>
      </w:pPr>
      <w:r w:rsidRPr="00F43CB5">
        <w:rPr>
          <w:rFonts w:cs="Arial"/>
        </w:rPr>
        <w:t xml:space="preserve">World Health Organization (1986) </w:t>
      </w:r>
      <w:r w:rsidRPr="00F43CB5">
        <w:rPr>
          <w:rFonts w:cs="Arial"/>
          <w:i/>
          <w:iCs/>
        </w:rPr>
        <w:t>Ottawa Charter for Health Promotion</w:t>
      </w:r>
      <w:r w:rsidRPr="00F43CB5">
        <w:rPr>
          <w:rFonts w:cs="Arial"/>
        </w:rPr>
        <w:t xml:space="preserve">. Geneva: WHO. Available at: </w:t>
      </w:r>
      <w:hyperlink r:id="rId23" w:tgtFrame="_blank" w:history="1">
        <w:r w:rsidRPr="00F43CB5">
          <w:rPr>
            <w:rStyle w:val="Hyperlink"/>
            <w:rFonts w:cs="Arial"/>
          </w:rPr>
          <w:t>https://www.who.int/publications/i/item/ottawa-charter-for-health-promotion</w:t>
        </w:r>
      </w:hyperlink>
      <w:r w:rsidRPr="00F43CB5">
        <w:rPr>
          <w:rFonts w:cs="Arial"/>
        </w:rPr>
        <w:t>.</w:t>
      </w:r>
    </w:p>
    <w:p w14:paraId="63FD2876" w14:textId="77777777" w:rsidR="00F43CB5" w:rsidRPr="00F43CB5" w:rsidRDefault="00F43CB5" w:rsidP="00C61C6A">
      <w:pPr>
        <w:jc w:val="left"/>
        <w:rPr>
          <w:rFonts w:cs="Arial"/>
        </w:rPr>
      </w:pPr>
      <w:r w:rsidRPr="00F43CB5">
        <w:rPr>
          <w:rFonts w:cs="Arial"/>
        </w:rPr>
        <w:t xml:space="preserve">World Health Organization (2022) </w:t>
      </w:r>
      <w:r w:rsidRPr="00F43CB5">
        <w:rPr>
          <w:rFonts w:cs="Arial"/>
          <w:i/>
          <w:iCs/>
        </w:rPr>
        <w:t>Promoting Health in the SDGs</w:t>
      </w:r>
      <w:r w:rsidRPr="00F43CB5">
        <w:rPr>
          <w:rFonts w:cs="Arial"/>
        </w:rPr>
        <w:t xml:space="preserve">. Geneva: WHO. Available at: </w:t>
      </w:r>
      <w:hyperlink r:id="rId24" w:history="1">
        <w:r w:rsidRPr="00F43CB5">
          <w:rPr>
            <w:rStyle w:val="Hyperlink"/>
            <w:rFonts w:cs="Arial"/>
          </w:rPr>
          <w:t>https://www.who.int/teams/health-promotion/enhanced-wellbeing/health-promotion</w:t>
        </w:r>
      </w:hyperlink>
      <w:r w:rsidRPr="00F43CB5">
        <w:rPr>
          <w:rFonts w:cs="Arial"/>
        </w:rPr>
        <w:t>.</w:t>
      </w:r>
    </w:p>
    <w:p w14:paraId="02062265" w14:textId="77777777" w:rsidR="00F43CB5" w:rsidRPr="00F43CB5" w:rsidRDefault="00F43CB5" w:rsidP="00C61C6A">
      <w:pPr>
        <w:jc w:val="left"/>
        <w:rPr>
          <w:rFonts w:cs="Arial"/>
        </w:rPr>
      </w:pPr>
      <w:r w:rsidRPr="00F43CB5">
        <w:rPr>
          <w:rFonts w:cs="Arial"/>
        </w:rPr>
        <w:t xml:space="preserve">World Health Organization (2025) </w:t>
      </w:r>
      <w:r w:rsidRPr="00F43CB5">
        <w:rPr>
          <w:rFonts w:cs="Arial"/>
          <w:i/>
          <w:iCs/>
        </w:rPr>
        <w:t>Universal Health Coverage (UHC) Fact Sheet</w:t>
      </w:r>
      <w:r w:rsidRPr="00F43CB5">
        <w:rPr>
          <w:rFonts w:cs="Arial"/>
        </w:rPr>
        <w:t xml:space="preserve">. Geneva: WHO. Available at: </w:t>
      </w:r>
      <w:hyperlink r:id="rId25" w:tgtFrame="_blank" w:history="1">
        <w:r w:rsidRPr="00F43CB5">
          <w:rPr>
            <w:rStyle w:val="Hyperlink"/>
            <w:rFonts w:cs="Arial"/>
          </w:rPr>
          <w:t>https://www.who.int/news-room/fact-sheets/detail/universal-health-coverage-(uhc)</w:t>
        </w:r>
      </w:hyperlink>
      <w:r w:rsidRPr="00F43CB5">
        <w:rPr>
          <w:rFonts w:cs="Arial"/>
        </w:rPr>
        <w:t>.</w:t>
      </w:r>
    </w:p>
    <w:p w14:paraId="406222E8" w14:textId="77777777" w:rsidR="00F43CB5" w:rsidRPr="00F43CB5" w:rsidRDefault="00F43CB5" w:rsidP="00C61C6A">
      <w:pPr>
        <w:jc w:val="left"/>
        <w:rPr>
          <w:rFonts w:cs="Arial"/>
        </w:rPr>
      </w:pPr>
      <w:r w:rsidRPr="00F43CB5">
        <w:rPr>
          <w:rFonts w:cs="Arial"/>
        </w:rPr>
        <w:t xml:space="preserve">World Health Organization and World Bank (2023) </w:t>
      </w:r>
      <w:r w:rsidRPr="00F43CB5">
        <w:rPr>
          <w:rFonts w:cs="Arial"/>
          <w:i/>
          <w:iCs/>
        </w:rPr>
        <w:t>Tracking Universal Health Coverage: 2023 Global Monitoring Report</w:t>
      </w:r>
      <w:r w:rsidRPr="00F43CB5">
        <w:rPr>
          <w:rFonts w:cs="Arial"/>
        </w:rPr>
        <w:t xml:space="preserve">. Geneva: WHO. Available at: </w:t>
      </w:r>
      <w:hyperlink r:id="rId26" w:history="1">
        <w:r w:rsidRPr="00F43CB5">
          <w:rPr>
            <w:rStyle w:val="Hyperlink"/>
            <w:rFonts w:cs="Arial"/>
          </w:rPr>
          <w:t>https://www.who.int/publications/i/item/9789240080379</w:t>
        </w:r>
      </w:hyperlink>
      <w:r w:rsidRPr="00F43CB5">
        <w:rPr>
          <w:rFonts w:cs="Arial"/>
        </w:rPr>
        <w:t>.</w:t>
      </w:r>
    </w:p>
    <w:p w14:paraId="5E93E7C8" w14:textId="77777777" w:rsidR="007303D2" w:rsidRPr="00AD3A06" w:rsidRDefault="007303D2" w:rsidP="00A35DED">
      <w:pPr>
        <w:rPr>
          <w:rFonts w:cs="Arial"/>
        </w:rPr>
      </w:pPr>
    </w:p>
    <w:sectPr w:rsidR="007303D2" w:rsidRPr="00AD3A06" w:rsidSect="00AD3A06">
      <w:footerReference w:type="default" r:id="rId2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A891B84" w14:textId="77777777" w:rsidR="00E66577" w:rsidRDefault="00E66577" w:rsidP="00AD3A06">
      <w:pPr>
        <w:spacing w:after="0" w:line="240" w:lineRule="auto"/>
      </w:pPr>
      <w:r>
        <w:separator/>
      </w:r>
    </w:p>
  </w:endnote>
  <w:endnote w:type="continuationSeparator" w:id="0">
    <w:p w14:paraId="7B5F7407" w14:textId="77777777" w:rsidR="00E66577" w:rsidRDefault="00E66577" w:rsidP="00AD3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088844992"/>
      <w:docPartObj>
        <w:docPartGallery w:val="Page Numbers (Bottom of Page)"/>
        <w:docPartUnique/>
      </w:docPartObj>
    </w:sdtPr>
    <w:sdtEndPr>
      <w:rPr>
        <w:noProof/>
      </w:rPr>
    </w:sdtEndPr>
    <w:sdtContent>
      <w:p w14:paraId="223F398D" w14:textId="42D0CE75" w:rsidR="00AD3A06" w:rsidRDefault="00AD3A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643AF2" w14:textId="77777777" w:rsidR="00AD3A06" w:rsidRDefault="00AD3A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F257E42" w14:textId="77777777" w:rsidR="00E66577" w:rsidRDefault="00E66577" w:rsidP="00AD3A06">
      <w:pPr>
        <w:spacing w:after="0" w:line="240" w:lineRule="auto"/>
      </w:pPr>
      <w:r>
        <w:separator/>
      </w:r>
    </w:p>
  </w:footnote>
  <w:footnote w:type="continuationSeparator" w:id="0">
    <w:p w14:paraId="25718BEE" w14:textId="77777777" w:rsidR="00E66577" w:rsidRDefault="00E66577" w:rsidP="00AD3A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F2E1B0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828281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proofState w:spelling="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6D6"/>
    <w:rsid w:val="00144F4F"/>
    <w:rsid w:val="00176D39"/>
    <w:rsid w:val="001D1C04"/>
    <w:rsid w:val="002133B0"/>
    <w:rsid w:val="0022424C"/>
    <w:rsid w:val="0032447E"/>
    <w:rsid w:val="003257CF"/>
    <w:rsid w:val="003D699D"/>
    <w:rsid w:val="003D717E"/>
    <w:rsid w:val="00417253"/>
    <w:rsid w:val="00436D7E"/>
    <w:rsid w:val="00505D2D"/>
    <w:rsid w:val="005336D6"/>
    <w:rsid w:val="005E1271"/>
    <w:rsid w:val="00657E85"/>
    <w:rsid w:val="006A4F1A"/>
    <w:rsid w:val="006B62B0"/>
    <w:rsid w:val="00714FCD"/>
    <w:rsid w:val="007303D2"/>
    <w:rsid w:val="00730899"/>
    <w:rsid w:val="00896234"/>
    <w:rsid w:val="008F5123"/>
    <w:rsid w:val="00A03347"/>
    <w:rsid w:val="00A13987"/>
    <w:rsid w:val="00A35DED"/>
    <w:rsid w:val="00A55803"/>
    <w:rsid w:val="00AD3A06"/>
    <w:rsid w:val="00BC5925"/>
    <w:rsid w:val="00C61C6A"/>
    <w:rsid w:val="00D12418"/>
    <w:rsid w:val="00D2330A"/>
    <w:rsid w:val="00E66577"/>
    <w:rsid w:val="00F0188E"/>
    <w:rsid w:val="00F27848"/>
    <w:rsid w:val="00F43040"/>
    <w:rsid w:val="00F43CB5"/>
    <w:rsid w:val="00FA5E7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CB3FB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C04"/>
    <w:pPr>
      <w:spacing w:line="360" w:lineRule="auto"/>
      <w:jc w:val="both"/>
    </w:pPr>
    <w:rPr>
      <w:rFonts w:ascii="Arial" w:hAnsi="Arial"/>
    </w:rPr>
  </w:style>
  <w:style w:type="paragraph" w:styleId="Heading1">
    <w:name w:val="heading 1"/>
    <w:basedOn w:val="Normal"/>
    <w:next w:val="Normal"/>
    <w:link w:val="Heading1Char"/>
    <w:autoRedefine/>
    <w:uiPriority w:val="9"/>
    <w:qFormat/>
    <w:rsid w:val="00505D2D"/>
    <w:pPr>
      <w:keepNext/>
      <w:keepLines/>
      <w:numPr>
        <w:numId w:val="1"/>
      </w:numPr>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505D2D"/>
    <w:pPr>
      <w:keepNext/>
      <w:keepLines/>
      <w:numPr>
        <w:ilvl w:val="1"/>
        <w:numId w:val="1"/>
      </w:numPr>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autoRedefine/>
    <w:uiPriority w:val="9"/>
    <w:unhideWhenUsed/>
    <w:qFormat/>
    <w:rsid w:val="00505D2D"/>
    <w:pPr>
      <w:keepNext/>
      <w:keepLines/>
      <w:numPr>
        <w:ilvl w:val="2"/>
        <w:numId w:val="1"/>
      </w:numPr>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5336D6"/>
    <w:pPr>
      <w:keepNext/>
      <w:keepLines/>
      <w:numPr>
        <w:ilvl w:val="3"/>
        <w:numId w:val="1"/>
      </w:numPr>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336D6"/>
    <w:pPr>
      <w:keepNext/>
      <w:keepLines/>
      <w:numPr>
        <w:ilvl w:val="4"/>
        <w:numId w:val="1"/>
      </w:numPr>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336D6"/>
    <w:pPr>
      <w:keepNext/>
      <w:keepLines/>
      <w:numPr>
        <w:ilvl w:val="5"/>
        <w:numId w:val="1"/>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336D6"/>
    <w:pPr>
      <w:keepNext/>
      <w:keepLines/>
      <w:numPr>
        <w:ilvl w:val="6"/>
        <w:numId w:val="1"/>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336D6"/>
    <w:pPr>
      <w:keepNext/>
      <w:keepLines/>
      <w:numPr>
        <w:ilvl w:val="7"/>
        <w:numId w:val="1"/>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336D6"/>
    <w:pPr>
      <w:keepNext/>
      <w:keepLines/>
      <w:numPr>
        <w:ilvl w:val="8"/>
        <w:numId w:val="1"/>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D2D"/>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505D2D"/>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rsid w:val="00505D2D"/>
    <w:rPr>
      <w:rFonts w:ascii="Times New Roman" w:eastAsiaTheme="majorEastAsia" w:hAnsi="Times New Roman" w:cstheme="majorBidi"/>
      <w:b/>
      <w:i/>
      <w:color w:val="000000" w:themeColor="text1"/>
      <w:szCs w:val="28"/>
    </w:rPr>
  </w:style>
  <w:style w:type="character" w:customStyle="1" w:styleId="Heading4Char">
    <w:name w:val="Heading 4 Char"/>
    <w:basedOn w:val="DefaultParagraphFont"/>
    <w:link w:val="Heading4"/>
    <w:uiPriority w:val="9"/>
    <w:semiHidden/>
    <w:rsid w:val="005336D6"/>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5336D6"/>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5336D6"/>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336D6"/>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336D6"/>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336D6"/>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5336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36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36D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36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36D6"/>
    <w:pPr>
      <w:spacing w:before="160"/>
      <w:jc w:val="center"/>
    </w:pPr>
    <w:rPr>
      <w:i/>
      <w:iCs/>
      <w:color w:val="404040" w:themeColor="text1" w:themeTint="BF"/>
    </w:rPr>
  </w:style>
  <w:style w:type="character" w:customStyle="1" w:styleId="QuoteChar">
    <w:name w:val="Quote Char"/>
    <w:basedOn w:val="DefaultParagraphFont"/>
    <w:link w:val="Quote"/>
    <w:uiPriority w:val="29"/>
    <w:rsid w:val="005336D6"/>
    <w:rPr>
      <w:rFonts w:ascii="Times New Roman" w:hAnsi="Times New Roman"/>
      <w:i/>
      <w:iCs/>
      <w:color w:val="404040" w:themeColor="text1" w:themeTint="BF"/>
      <w:sz w:val="24"/>
    </w:rPr>
  </w:style>
  <w:style w:type="paragraph" w:styleId="ListParagraph">
    <w:name w:val="List Paragraph"/>
    <w:basedOn w:val="Normal"/>
    <w:uiPriority w:val="34"/>
    <w:qFormat/>
    <w:rsid w:val="005336D6"/>
    <w:pPr>
      <w:ind w:left="720"/>
      <w:contextualSpacing/>
    </w:pPr>
  </w:style>
  <w:style w:type="character" w:styleId="IntenseEmphasis">
    <w:name w:val="Intense Emphasis"/>
    <w:basedOn w:val="DefaultParagraphFont"/>
    <w:uiPriority w:val="21"/>
    <w:qFormat/>
    <w:rsid w:val="005336D6"/>
    <w:rPr>
      <w:i/>
      <w:iCs/>
      <w:color w:val="0F4761" w:themeColor="accent1" w:themeShade="BF"/>
    </w:rPr>
  </w:style>
  <w:style w:type="paragraph" w:styleId="IntenseQuote">
    <w:name w:val="Intense Quote"/>
    <w:basedOn w:val="Normal"/>
    <w:next w:val="Normal"/>
    <w:link w:val="IntenseQuoteChar"/>
    <w:uiPriority w:val="30"/>
    <w:qFormat/>
    <w:rsid w:val="005336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36D6"/>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5336D6"/>
    <w:rPr>
      <w:b/>
      <w:bCs/>
      <w:smallCaps/>
      <w:color w:val="0F4761" w:themeColor="accent1" w:themeShade="BF"/>
      <w:spacing w:val="5"/>
    </w:rPr>
  </w:style>
  <w:style w:type="table" w:styleId="TableGridLight">
    <w:name w:val="Grid Table Light"/>
    <w:basedOn w:val="TableNormal"/>
    <w:uiPriority w:val="40"/>
    <w:rsid w:val="007303D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7303D2"/>
    <w:pPr>
      <w:numPr>
        <w:numId w:val="0"/>
      </w:numPr>
      <w:spacing w:before="240" w:after="0" w:line="259" w:lineRule="auto"/>
      <w:jc w:val="left"/>
      <w:outlineLvl w:val="9"/>
    </w:pPr>
    <w:rPr>
      <w:rFonts w:asciiTheme="majorHAnsi" w:hAnsiTheme="majorHAnsi"/>
      <w:b w:val="0"/>
      <w:color w:val="0F4761" w:themeColor="accent1" w:themeShade="BF"/>
      <w:sz w:val="32"/>
      <w:szCs w:val="32"/>
      <w:lang w:val="en-US"/>
      <w14:ligatures w14:val="none"/>
    </w:rPr>
  </w:style>
  <w:style w:type="paragraph" w:styleId="TOC1">
    <w:name w:val="toc 1"/>
    <w:basedOn w:val="Normal"/>
    <w:next w:val="Normal"/>
    <w:autoRedefine/>
    <w:uiPriority w:val="39"/>
    <w:unhideWhenUsed/>
    <w:rsid w:val="007303D2"/>
    <w:pPr>
      <w:spacing w:after="100"/>
    </w:pPr>
  </w:style>
  <w:style w:type="paragraph" w:styleId="TOC2">
    <w:name w:val="toc 2"/>
    <w:basedOn w:val="Normal"/>
    <w:next w:val="Normal"/>
    <w:autoRedefine/>
    <w:uiPriority w:val="39"/>
    <w:unhideWhenUsed/>
    <w:rsid w:val="007303D2"/>
    <w:pPr>
      <w:spacing w:after="100"/>
      <w:ind w:left="240"/>
    </w:pPr>
  </w:style>
  <w:style w:type="character" w:styleId="Hyperlink">
    <w:name w:val="Hyperlink"/>
    <w:basedOn w:val="DefaultParagraphFont"/>
    <w:uiPriority w:val="99"/>
    <w:unhideWhenUsed/>
    <w:rsid w:val="007303D2"/>
    <w:rPr>
      <w:color w:val="467886" w:themeColor="hyperlink"/>
      <w:u w:val="single"/>
    </w:rPr>
  </w:style>
  <w:style w:type="paragraph" w:styleId="Header">
    <w:name w:val="header"/>
    <w:basedOn w:val="Normal"/>
    <w:link w:val="HeaderChar"/>
    <w:uiPriority w:val="99"/>
    <w:unhideWhenUsed/>
    <w:rsid w:val="00AD3A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A06"/>
    <w:rPr>
      <w:rFonts w:ascii="Arial" w:hAnsi="Arial"/>
    </w:rPr>
  </w:style>
  <w:style w:type="paragraph" w:styleId="Footer">
    <w:name w:val="footer"/>
    <w:basedOn w:val="Normal"/>
    <w:link w:val="FooterChar"/>
    <w:uiPriority w:val="99"/>
    <w:unhideWhenUsed/>
    <w:rsid w:val="00AD3A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A06"/>
    <w:rPr>
      <w:rFonts w:ascii="Arial" w:hAnsi="Arial"/>
    </w:rPr>
  </w:style>
  <w:style w:type="paragraph" w:styleId="Caption">
    <w:name w:val="caption"/>
    <w:basedOn w:val="Normal"/>
    <w:next w:val="Normal"/>
    <w:uiPriority w:val="35"/>
    <w:unhideWhenUsed/>
    <w:qFormat/>
    <w:rsid w:val="00657E85"/>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F43CB5"/>
    <w:rPr>
      <w:color w:val="605E5C"/>
      <w:shd w:val="clear" w:color="auto" w:fill="E1DFDD"/>
    </w:rPr>
  </w:style>
  <w:style w:type="character" w:styleId="FollowedHyperlink">
    <w:name w:val="FollowedHyperlink"/>
    <w:basedOn w:val="DefaultParagraphFont"/>
    <w:uiPriority w:val="99"/>
    <w:semiHidden/>
    <w:unhideWhenUsed/>
    <w:rsid w:val="00F43CB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ons.gov.uk/peoplepopulationandcommunity/healthandsocialcare/healthinequalities/bulletins/healthylifeexpectancybynationalareadeprivationenglandandwales/between2013to2015and2022to2024" TargetMode="External"/><Relationship Id="rId26" Type="http://schemas.openxmlformats.org/officeDocument/2006/relationships/hyperlink" Target="https://www.who.int/publications/i/item/9789240080379" TargetMode="External"/><Relationship Id="rId3" Type="http://schemas.openxmlformats.org/officeDocument/2006/relationships/styles" Target="styles.xml"/><Relationship Id="rId21" Type="http://schemas.openxmlformats.org/officeDocument/2006/relationships/hyperlink" Target="https://sdgs.un.org/2030agenda"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ngland.nhs.uk/about/equality/equality-hub/national-healthcare-inequalities-improvement-programme/" TargetMode="External"/><Relationship Id="rId25" Type="http://schemas.openxmlformats.org/officeDocument/2006/relationships/hyperlink" Target="https://www.who.int/news-room/fact-sheets/detail/universal-health-coverage-(uhc)" TargetMode="External"/><Relationship Id="rId2" Type="http://schemas.openxmlformats.org/officeDocument/2006/relationships/numbering" Target="numbering.xml"/><Relationship Id="rId16" Type="http://schemas.openxmlformats.org/officeDocument/2006/relationships/hyperlink" Target="https://northeastnorthcumbria.nhs.uk/media/xrncif3m/health-and-healthcare-inequalities-report-2024-25.pdf" TargetMode="External"/><Relationship Id="rId20" Type="http://schemas.openxmlformats.org/officeDocument/2006/relationships/hyperlink" Target="https://www.gov.uk/government/publications/health-inequalities-in-health-protection-repor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who.int/teams/health-promotion/enhanced-wellbeing/health-promotion" TargetMode="External"/><Relationship Id="rId5" Type="http://schemas.openxmlformats.org/officeDocument/2006/relationships/webSettings" Target="webSettings.xml"/><Relationship Id="rId15" Type="http://schemas.openxmlformats.org/officeDocument/2006/relationships/hyperlink" Target="https://www.gov.uk/government/publications/10-year-health-plan-for-england-fit-for-the-future" TargetMode="External"/><Relationship Id="rId23" Type="http://schemas.openxmlformats.org/officeDocument/2006/relationships/hyperlink" Target="https://www.who.int/publications/i/item/ottawa-charter-for-health-promotion"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kingsfund.org.uk/insight-and-analysis/data-and-charts/health-inequalities-nutshel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sdgs.un.org/goals/goal3"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402FAA-B00E-4B5D-8C4F-6D7B9E2D98B9}">
  <ds:schemaRefs>
    <ds:schemaRef ds:uri="http://schemas.openxmlformats.org/officeDocument/2006/bibliography"/>
    <ds:schemaRef ds:uri="http://www.w3.org/2000/xmlns/"/>
  </ds:schemaRefs>
</ds:datastoreItem>
</file>

<file path=docMetadata/LabelInfo.xml><?xml version="1.0" encoding="utf-8"?>
<clbl:labelList xmlns:clbl="http://schemas.microsoft.com/office/2020/mipLabelMetadata">
  <clbl:label id="{e0ce2491-466c-4bae-a37f-b25fdcc57251}" enabled="1" method="Privileged" siteId="{f89944b7-4a4e-4ea7-9156-3299f3411647}"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1</Pages>
  <Words>3242</Words>
  <Characters>18483</Characters>
  <Application>Microsoft Office Word</Application>
  <DocSecurity>0</DocSecurity>
  <Lines>154</Lines>
  <Paragraphs>43</Paragraphs>
  <ScaleCrop>false</ScaleCrop>
  <Company/>
  <LinksUpToDate>false</LinksUpToDate>
  <CharactersWithSpaces>21682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2026-07-21T13:38:00Z</dcterms:created>
  <dcterms:modified xsi:type="dcterms:W3CDTF">2026-07-21T13:40:00Z</dcterms:modified>
</cp:coreProperties>
</file>