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BA5" w:rsidRPr="003C6995" w:rsidRDefault="000D7BA5" w:rsidP="003C6995">
      <w:pPr>
        <w:spacing w:after="0" w:line="240" w:lineRule="auto"/>
        <w:rPr>
          <w:rFonts w:ascii="Garamond" w:hAnsi="Garamond"/>
          <w:sz w:val="28"/>
          <w:szCs w:val="26"/>
          <w:u w:val="single"/>
        </w:rPr>
      </w:pPr>
      <w:r w:rsidRPr="003C6995">
        <w:rPr>
          <w:rFonts w:ascii="Garamond" w:hAnsi="Garamond"/>
          <w:sz w:val="28"/>
          <w:szCs w:val="26"/>
          <w:u w:val="single"/>
        </w:rPr>
        <w:t xml:space="preserve">CSEN5022 Welsh Writing Wales: Narratives &amp; Nation States </w:t>
      </w:r>
    </w:p>
    <w:p w:rsidR="000D7BA5" w:rsidRPr="000D7BA5" w:rsidRDefault="000D7BA5" w:rsidP="003C6995">
      <w:pPr>
        <w:shd w:val="clear" w:color="auto" w:fill="FFFFFF"/>
        <w:spacing w:after="0" w:line="240" w:lineRule="auto"/>
        <w:jc w:val="center"/>
        <w:outlineLvl w:val="1"/>
        <w:rPr>
          <w:rFonts w:ascii="Garamond" w:eastAsia="Times New Roman" w:hAnsi="Garamond" w:cs="Times New Roman"/>
          <w:bCs/>
          <w:color w:val="333333"/>
          <w:spacing w:val="-10"/>
          <w:sz w:val="24"/>
          <w:szCs w:val="34"/>
          <w:lang w:eastAsia="en-GB"/>
        </w:rPr>
      </w:pPr>
      <w:r w:rsidRPr="000D7BA5">
        <w:rPr>
          <w:rFonts w:ascii="Garamond" w:eastAsia="Times New Roman" w:hAnsi="Garamond" w:cs="Times New Roman"/>
          <w:bCs/>
          <w:color w:val="333333"/>
          <w:spacing w:val="-10"/>
          <w:sz w:val="24"/>
          <w:szCs w:val="34"/>
          <w:lang w:eastAsia="en-GB"/>
        </w:rPr>
        <w:t>New</w:t>
      </w:r>
      <w:r w:rsidRPr="003C6995">
        <w:rPr>
          <w:rFonts w:ascii="Garamond" w:eastAsia="Times New Roman" w:hAnsi="Garamond" w:cs="Times New Roman"/>
          <w:bCs/>
          <w:color w:val="333333"/>
          <w:spacing w:val="-10"/>
          <w:sz w:val="24"/>
          <w:szCs w:val="34"/>
          <w:lang w:eastAsia="en-GB"/>
        </w:rPr>
        <w:t xml:space="preserve">/old </w:t>
      </w:r>
      <w:r w:rsidRPr="000D7BA5">
        <w:rPr>
          <w:rFonts w:ascii="Garamond" w:eastAsia="Times New Roman" w:hAnsi="Garamond" w:cs="Times New Roman"/>
          <w:bCs/>
          <w:color w:val="333333"/>
          <w:spacing w:val="-10"/>
          <w:sz w:val="24"/>
          <w:szCs w:val="34"/>
          <w:lang w:eastAsia="en-GB"/>
        </w:rPr>
        <w:t>writing: the essay as form</w:t>
      </w:r>
    </w:p>
    <w:p w:rsidR="000D7BA5" w:rsidRPr="003C6995" w:rsidRDefault="000D7BA5" w:rsidP="003C6995">
      <w:pPr>
        <w:shd w:val="clear" w:color="auto" w:fill="FFFFFF"/>
        <w:spacing w:after="0" w:line="240" w:lineRule="auto"/>
        <w:rPr>
          <w:rFonts w:ascii="Garamond" w:eastAsia="Times New Roman" w:hAnsi="Garamond" w:cs="Lucida Sans Unicode"/>
          <w:color w:val="333333"/>
          <w:sz w:val="14"/>
          <w:szCs w:val="12"/>
          <w:lang w:eastAsia="en-GB"/>
        </w:rPr>
      </w:pPr>
    </w:p>
    <w:p w:rsidR="003C6995" w:rsidRDefault="003C6995" w:rsidP="003C6995">
      <w:pPr>
        <w:shd w:val="clear" w:color="auto" w:fill="FFFFFF"/>
        <w:spacing w:after="0" w:line="240" w:lineRule="auto"/>
        <w:rPr>
          <w:rFonts w:ascii="Garamond" w:eastAsia="Times New Roman" w:hAnsi="Garamond" w:cs="Lucida Sans Unicode"/>
          <w:b/>
          <w:color w:val="333333"/>
          <w:sz w:val="28"/>
          <w:szCs w:val="21"/>
          <w:lang w:eastAsia="en-GB"/>
        </w:rPr>
      </w:pPr>
    </w:p>
    <w:p w:rsidR="003C6995" w:rsidRPr="003C6995" w:rsidRDefault="000D7BA5" w:rsidP="003C6995">
      <w:pPr>
        <w:shd w:val="clear" w:color="auto" w:fill="FFFFFF"/>
        <w:spacing w:after="0" w:line="240" w:lineRule="auto"/>
        <w:rPr>
          <w:rFonts w:ascii="Garamond" w:eastAsia="Times New Roman" w:hAnsi="Garamond" w:cs="Lucida Sans Unicode"/>
          <w:color w:val="333333"/>
          <w:sz w:val="24"/>
          <w:szCs w:val="21"/>
          <w:lang w:eastAsia="en-GB"/>
        </w:rPr>
      </w:pPr>
      <w:proofErr w:type="gramStart"/>
      <w:r w:rsidRPr="003C6995">
        <w:rPr>
          <w:rFonts w:ascii="Garamond" w:eastAsia="Times New Roman" w:hAnsi="Garamond" w:cs="Lucida Sans Unicode"/>
          <w:b/>
          <w:color w:val="333333"/>
          <w:sz w:val="28"/>
          <w:szCs w:val="21"/>
          <w:lang w:eastAsia="en-GB"/>
        </w:rPr>
        <w:t>difficulties</w:t>
      </w:r>
      <w:proofErr w:type="gramEnd"/>
      <w:r w:rsidRPr="003C6995">
        <w:rPr>
          <w:rFonts w:ascii="Garamond" w:eastAsia="Times New Roman" w:hAnsi="Garamond" w:cs="Lucida Sans Unicode"/>
          <w:b/>
          <w:color w:val="333333"/>
          <w:sz w:val="28"/>
          <w:szCs w:val="21"/>
          <w:lang w:eastAsia="en-GB"/>
        </w:rPr>
        <w:t xml:space="preserve"> of definition </w:t>
      </w:r>
      <w:r w:rsidRPr="003C6995">
        <w:rPr>
          <w:rFonts w:ascii="Garamond" w:eastAsia="Times New Roman" w:hAnsi="Garamond" w:cs="Lucida Sans Unicode"/>
          <w:b/>
          <w:color w:val="333333"/>
          <w:sz w:val="32"/>
          <w:szCs w:val="21"/>
          <w:lang w:eastAsia="en-GB"/>
        </w:rPr>
        <w:br/>
      </w:r>
      <w:r w:rsidRPr="000D7BA5">
        <w:rPr>
          <w:rFonts w:ascii="Garamond" w:eastAsia="Times New Roman" w:hAnsi="Garamond" w:cs="Lucida Sans Unicode"/>
          <w:color w:val="333333"/>
          <w:sz w:val="24"/>
          <w:szCs w:val="21"/>
          <w:lang w:eastAsia="en-GB"/>
        </w:rPr>
        <w:t>Of all literary forms the essay most successfully resists attempts to pin it down.</w:t>
      </w:r>
      <w:r w:rsidRPr="003C6995">
        <w:rPr>
          <w:rFonts w:ascii="Garamond" w:eastAsia="Times New Roman" w:hAnsi="Garamond" w:cs="Lucida Sans Unicode"/>
          <w:color w:val="333333"/>
          <w:sz w:val="24"/>
          <w:szCs w:val="21"/>
          <w:lang w:eastAsia="en-GB"/>
        </w:rPr>
        <w:t> </w:t>
      </w:r>
    </w:p>
    <w:p w:rsidR="003C699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O.B. </w:t>
      </w:r>
      <w:proofErr w:type="spellStart"/>
      <w:r w:rsidRPr="000D7BA5">
        <w:rPr>
          <w:rFonts w:ascii="Garamond" w:eastAsia="Times New Roman" w:hAnsi="Garamond" w:cs="Lucida Sans Unicode"/>
          <w:color w:val="333333"/>
          <w:szCs w:val="21"/>
          <w:lang w:eastAsia="en-GB"/>
        </w:rPr>
        <w:t>Hardison</w:t>
      </w:r>
      <w:proofErr w:type="spellEnd"/>
      <w:r w:rsidRPr="000D7BA5">
        <w:rPr>
          <w:rFonts w:ascii="Garamond" w:eastAsia="Times New Roman" w:hAnsi="Garamond" w:cs="Lucida Sans Unicode"/>
          <w:color w:val="333333"/>
          <w:szCs w:val="21"/>
          <w:lang w:eastAsia="en-GB"/>
        </w:rPr>
        <w:t xml:space="preserve">, "Binding Proteus: An Essay on the Essay", in A.J. </w:t>
      </w:r>
      <w:proofErr w:type="spellStart"/>
      <w:r w:rsidRPr="000D7BA5">
        <w:rPr>
          <w:rFonts w:ascii="Garamond" w:eastAsia="Times New Roman" w:hAnsi="Garamond" w:cs="Lucida Sans Unicode"/>
          <w:color w:val="333333"/>
          <w:szCs w:val="21"/>
          <w:lang w:eastAsia="en-GB"/>
        </w:rPr>
        <w:t>Butrym</w:t>
      </w:r>
      <w:proofErr w:type="spellEnd"/>
      <w:r w:rsidRPr="000D7BA5">
        <w:rPr>
          <w:rFonts w:ascii="Garamond" w:eastAsia="Times New Roman" w:hAnsi="Garamond" w:cs="Lucida Sans Unicode"/>
          <w:color w:val="333333"/>
          <w:szCs w:val="21"/>
          <w:lang w:eastAsia="en-GB"/>
        </w:rPr>
        <w:t xml:space="preserve"> (ed.) </w:t>
      </w:r>
      <w:r w:rsidRPr="000D7BA5">
        <w:rPr>
          <w:rFonts w:ascii="Garamond" w:eastAsia="Times New Roman" w:hAnsi="Garamond" w:cs="Lucida Sans Unicode"/>
          <w:i/>
          <w:color w:val="333333"/>
          <w:szCs w:val="21"/>
          <w:lang w:eastAsia="en-GB"/>
        </w:rPr>
        <w:t>Essays on the Essay: Redefining the Genre,</w:t>
      </w:r>
      <w:r w:rsidRPr="000D7BA5">
        <w:rPr>
          <w:rFonts w:ascii="Garamond" w:eastAsia="Times New Roman" w:hAnsi="Garamond" w:cs="Lucida Sans Unicode"/>
          <w:color w:val="333333"/>
          <w:szCs w:val="21"/>
          <w:lang w:eastAsia="en-GB"/>
        </w:rPr>
        <w:t xml:space="preserve"> (University of Athens GA: Georgia Press, 1989), p.1</w:t>
      </w:r>
    </w:p>
    <w:p w:rsidR="003C6995" w:rsidRPr="003C6995" w:rsidRDefault="000D7BA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Pr="000D7BA5">
        <w:rPr>
          <w:rFonts w:ascii="Garamond" w:eastAsia="Times New Roman" w:hAnsi="Garamond" w:cs="Lucida Sans Unicode"/>
          <w:color w:val="333333"/>
          <w:sz w:val="24"/>
          <w:szCs w:val="21"/>
          <w:lang w:eastAsia="en-GB"/>
        </w:rPr>
        <w:t>[The essay] is not part of any formal system whatever, adheres to the methodologies, the discovery procedures, the criteria for proof of no established discipline. In this way the essay is 'informal.' It steers away from logically or conventionally ordered sequences of elaboration, from introduction and conclusion, from the overly explicit transition; it obeys no compulsion to tie up what may look like loose ends, tolerates a fair amount of inconclusiveness and indeterminacy.</w:t>
      </w:r>
      <w:r w:rsidRPr="003C6995">
        <w:rPr>
          <w:rFonts w:ascii="Garamond" w:eastAsia="Times New Roman" w:hAnsi="Garamond" w:cs="Lucida Sans Unicode"/>
          <w:color w:val="333333"/>
          <w:sz w:val="24"/>
          <w:szCs w:val="21"/>
          <w:lang w:eastAsia="en-GB"/>
        </w:rPr>
        <w:t> </w:t>
      </w:r>
    </w:p>
    <w:p w:rsidR="003C699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Lydia </w:t>
      </w:r>
      <w:proofErr w:type="spellStart"/>
      <w:r w:rsidRPr="000D7BA5">
        <w:rPr>
          <w:rFonts w:ascii="Garamond" w:eastAsia="Times New Roman" w:hAnsi="Garamond" w:cs="Lucida Sans Unicode"/>
          <w:color w:val="333333"/>
          <w:szCs w:val="21"/>
          <w:lang w:eastAsia="en-GB"/>
        </w:rPr>
        <w:t>Fakundiny</w:t>
      </w:r>
      <w:proofErr w:type="spellEnd"/>
      <w:r w:rsidRPr="000D7BA5">
        <w:rPr>
          <w:rFonts w:ascii="Garamond" w:eastAsia="Times New Roman" w:hAnsi="Garamond" w:cs="Lucida Sans Unicode"/>
          <w:color w:val="333333"/>
          <w:szCs w:val="21"/>
          <w:lang w:eastAsia="en-GB"/>
        </w:rPr>
        <w:t xml:space="preserve"> (ed.), </w:t>
      </w:r>
      <w:r w:rsidRPr="000D7BA5">
        <w:rPr>
          <w:rFonts w:ascii="Garamond" w:eastAsia="Times New Roman" w:hAnsi="Garamond" w:cs="Lucida Sans Unicode"/>
          <w:i/>
          <w:color w:val="333333"/>
          <w:szCs w:val="21"/>
          <w:lang w:eastAsia="en-GB"/>
        </w:rPr>
        <w:t>The Art of the Essay,</w:t>
      </w:r>
      <w:r w:rsidRPr="000D7BA5">
        <w:rPr>
          <w:rFonts w:ascii="Garamond" w:eastAsia="Times New Roman" w:hAnsi="Garamond" w:cs="Lucida Sans Unicode"/>
          <w:color w:val="333333"/>
          <w:szCs w:val="21"/>
          <w:lang w:eastAsia="en-GB"/>
        </w:rPr>
        <w:t xml:space="preserve"> Houghton Mifflin, Boston: 1991, p.17 </w:t>
      </w:r>
    </w:p>
    <w:p w:rsidR="003C699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color w:val="333333"/>
          <w:sz w:val="24"/>
          <w:szCs w:val="21"/>
          <w:lang w:eastAsia="en-GB"/>
        </w:rPr>
        <w:t xml:space="preserve">-  1580: Montaigne’s </w:t>
      </w:r>
      <w:proofErr w:type="spellStart"/>
      <w:r w:rsidR="000D7BA5" w:rsidRPr="000D7BA5">
        <w:rPr>
          <w:rFonts w:ascii="Garamond" w:eastAsia="Times New Roman" w:hAnsi="Garamond" w:cs="Lucida Sans Unicode"/>
          <w:i/>
          <w:color w:val="333333"/>
          <w:sz w:val="24"/>
          <w:szCs w:val="21"/>
          <w:lang w:eastAsia="en-GB"/>
        </w:rPr>
        <w:t>Essais</w:t>
      </w:r>
      <w:proofErr w:type="spellEnd"/>
      <w:r w:rsidR="000D7BA5" w:rsidRPr="003C6995">
        <w:rPr>
          <w:rFonts w:ascii="Garamond" w:eastAsia="Times New Roman" w:hAnsi="Garamond" w:cs="Lucida Sans Unicode"/>
          <w:color w:val="333333"/>
          <w:sz w:val="24"/>
          <w:szCs w:val="21"/>
          <w:lang w:eastAsia="en-GB"/>
        </w:rPr>
        <w:t> </w:t>
      </w:r>
      <w:r w:rsidR="000D7BA5" w:rsidRPr="000D7BA5">
        <w:rPr>
          <w:rFonts w:ascii="Garamond" w:eastAsia="Times New Roman" w:hAnsi="Garamond" w:cs="Lucida Sans Unicode"/>
          <w:color w:val="333333"/>
          <w:sz w:val="24"/>
          <w:szCs w:val="21"/>
          <w:lang w:eastAsia="en-GB"/>
        </w:rPr>
        <w:br/>
        <w:t xml:space="preserve">First use of the word ‘essay’ to mean a literary composition: an attempt not a statement of </w:t>
      </w:r>
      <w:proofErr w:type="gramStart"/>
      <w:r w:rsidR="000D7BA5" w:rsidRPr="000D7BA5">
        <w:rPr>
          <w:rFonts w:ascii="Garamond" w:eastAsia="Times New Roman" w:hAnsi="Garamond" w:cs="Lucida Sans Unicode"/>
          <w:color w:val="333333"/>
          <w:sz w:val="24"/>
          <w:szCs w:val="21"/>
          <w:lang w:eastAsia="en-GB"/>
        </w:rPr>
        <w:t>fact :</w:t>
      </w:r>
      <w:proofErr w:type="gramEnd"/>
      <w:r w:rsidR="000D7BA5" w:rsidRPr="000D7BA5">
        <w:rPr>
          <w:rFonts w:ascii="Garamond" w:eastAsia="Times New Roman" w:hAnsi="Garamond" w:cs="Lucida Sans Unicode"/>
          <w:color w:val="333333"/>
          <w:sz w:val="24"/>
          <w:szCs w:val="21"/>
          <w:lang w:eastAsia="en-GB"/>
        </w:rPr>
        <w:t xml:space="preserve"> ‘I am not teaching, I am relating’, (</w:t>
      </w:r>
      <w:r w:rsidR="000D7BA5" w:rsidRPr="000D7BA5">
        <w:rPr>
          <w:rFonts w:ascii="Garamond" w:eastAsia="Times New Roman" w:hAnsi="Garamond" w:cs="Lucida Sans Unicode"/>
          <w:i/>
          <w:color w:val="333333"/>
          <w:sz w:val="24"/>
          <w:szCs w:val="21"/>
          <w:lang w:eastAsia="en-GB"/>
        </w:rPr>
        <w:t xml:space="preserve">Je </w:t>
      </w:r>
      <w:proofErr w:type="spellStart"/>
      <w:r w:rsidR="000D7BA5" w:rsidRPr="000D7BA5">
        <w:rPr>
          <w:rFonts w:ascii="Garamond" w:eastAsia="Times New Roman" w:hAnsi="Garamond" w:cs="Lucida Sans Unicode"/>
          <w:i/>
          <w:color w:val="333333"/>
          <w:sz w:val="24"/>
          <w:szCs w:val="21"/>
          <w:lang w:eastAsia="en-GB"/>
        </w:rPr>
        <w:t>n‘enseigne</w:t>
      </w:r>
      <w:proofErr w:type="spellEnd"/>
      <w:r w:rsidR="000D7BA5" w:rsidRPr="000D7BA5">
        <w:rPr>
          <w:rFonts w:ascii="Garamond" w:eastAsia="Times New Roman" w:hAnsi="Garamond" w:cs="Lucida Sans Unicode"/>
          <w:i/>
          <w:color w:val="333333"/>
          <w:sz w:val="24"/>
          <w:szCs w:val="21"/>
          <w:lang w:eastAsia="en-GB"/>
        </w:rPr>
        <w:t xml:space="preserve"> </w:t>
      </w:r>
      <w:proofErr w:type="spellStart"/>
      <w:r w:rsidR="000D7BA5" w:rsidRPr="000D7BA5">
        <w:rPr>
          <w:rFonts w:ascii="Garamond" w:eastAsia="Times New Roman" w:hAnsi="Garamond" w:cs="Lucida Sans Unicode"/>
          <w:i/>
          <w:color w:val="333333"/>
          <w:sz w:val="24"/>
          <w:szCs w:val="21"/>
          <w:lang w:eastAsia="en-GB"/>
        </w:rPr>
        <w:t>poinct</w:t>
      </w:r>
      <w:proofErr w:type="spellEnd"/>
      <w:r w:rsidR="000D7BA5" w:rsidRPr="000D7BA5">
        <w:rPr>
          <w:rFonts w:ascii="Garamond" w:eastAsia="Times New Roman" w:hAnsi="Garamond" w:cs="Lucida Sans Unicode"/>
          <w:i/>
          <w:color w:val="333333"/>
          <w:sz w:val="24"/>
          <w:szCs w:val="21"/>
          <w:lang w:eastAsia="en-GB"/>
        </w:rPr>
        <w:t xml:space="preserve">, je </w:t>
      </w:r>
      <w:proofErr w:type="spellStart"/>
      <w:r w:rsidR="000D7BA5" w:rsidRPr="000D7BA5">
        <w:rPr>
          <w:rFonts w:ascii="Garamond" w:eastAsia="Times New Roman" w:hAnsi="Garamond" w:cs="Lucida Sans Unicode"/>
          <w:i/>
          <w:color w:val="333333"/>
          <w:sz w:val="24"/>
          <w:szCs w:val="21"/>
          <w:lang w:eastAsia="en-GB"/>
        </w:rPr>
        <w:t>raconte</w:t>
      </w:r>
      <w:proofErr w:type="spellEnd"/>
      <w:r w:rsidR="000D7BA5" w:rsidRPr="000D7BA5">
        <w:rPr>
          <w:rFonts w:ascii="Garamond" w:eastAsia="Times New Roman" w:hAnsi="Garamond" w:cs="Lucida Sans Unicode"/>
          <w:color w:val="333333"/>
          <w:sz w:val="24"/>
          <w:szCs w:val="21"/>
          <w:lang w:eastAsia="en-GB"/>
        </w:rPr>
        <w:t>)</w:t>
      </w:r>
      <w:r w:rsidR="000D7BA5" w:rsidRPr="003C6995">
        <w:rPr>
          <w:rFonts w:ascii="Garamond" w:eastAsia="Times New Roman" w:hAnsi="Garamond" w:cs="Lucida Sans Unicode"/>
          <w:color w:val="333333"/>
          <w:sz w:val="24"/>
          <w:szCs w:val="21"/>
          <w:lang w:eastAsia="en-GB"/>
        </w:rPr>
        <w:t> </w:t>
      </w:r>
      <w:r w:rsidRPr="003C6995">
        <w:rPr>
          <w:rFonts w:ascii="Garamond" w:eastAsia="Times New Roman" w:hAnsi="Garamond" w:cs="Lucida Sans Unicode"/>
          <w:color w:val="333333"/>
          <w:sz w:val="24"/>
          <w:szCs w:val="21"/>
          <w:lang w:eastAsia="en-GB"/>
        </w:rPr>
        <w:t xml:space="preserve"> </w:t>
      </w:r>
    </w:p>
    <w:p w:rsidR="003C6995" w:rsidRPr="003C6995" w:rsidRDefault="000D7BA5" w:rsidP="003C6995">
      <w:pPr>
        <w:shd w:val="clear" w:color="auto" w:fill="FFFFFF"/>
        <w:spacing w:after="0" w:line="240" w:lineRule="auto"/>
        <w:ind w:firstLine="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Montaigne, ‘On Repenting’, </w:t>
      </w:r>
      <w:r w:rsidRPr="000D7BA5">
        <w:rPr>
          <w:rFonts w:ascii="Garamond" w:eastAsia="Times New Roman" w:hAnsi="Garamond" w:cs="Lucida Sans Unicode"/>
          <w:i/>
          <w:color w:val="333333"/>
          <w:szCs w:val="21"/>
          <w:lang w:eastAsia="en-GB"/>
        </w:rPr>
        <w:t>Essays</w:t>
      </w:r>
      <w:r w:rsidRPr="000D7BA5">
        <w:rPr>
          <w:rFonts w:ascii="Garamond" w:eastAsia="Times New Roman" w:hAnsi="Garamond" w:cs="Lucida Sans Unicode"/>
          <w:color w:val="333333"/>
          <w:szCs w:val="21"/>
          <w:lang w:eastAsia="en-GB"/>
        </w:rPr>
        <w:t xml:space="preserve">, III.2, [‘Du </w:t>
      </w:r>
      <w:proofErr w:type="spellStart"/>
      <w:r w:rsidRPr="000D7BA5">
        <w:rPr>
          <w:rFonts w:ascii="Garamond" w:eastAsia="Times New Roman" w:hAnsi="Garamond" w:cs="Lucida Sans Unicode"/>
          <w:color w:val="333333"/>
          <w:szCs w:val="21"/>
          <w:lang w:eastAsia="en-GB"/>
        </w:rPr>
        <w:t>repentir</w:t>
      </w:r>
      <w:proofErr w:type="spellEnd"/>
      <w:r w:rsidRPr="000D7BA5">
        <w:rPr>
          <w:rFonts w:ascii="Garamond" w:eastAsia="Times New Roman" w:hAnsi="Garamond" w:cs="Lucida Sans Unicode"/>
          <w:color w:val="333333"/>
          <w:szCs w:val="21"/>
          <w:lang w:eastAsia="en-GB"/>
        </w:rPr>
        <w:t xml:space="preserve">’, </w:t>
      </w:r>
      <w:proofErr w:type="spellStart"/>
      <w:r w:rsidRPr="000D7BA5">
        <w:rPr>
          <w:rFonts w:ascii="Garamond" w:eastAsia="Times New Roman" w:hAnsi="Garamond" w:cs="Lucida Sans Unicode"/>
          <w:i/>
          <w:color w:val="333333"/>
          <w:szCs w:val="21"/>
          <w:lang w:eastAsia="en-GB"/>
        </w:rPr>
        <w:t>Essais</w:t>
      </w:r>
      <w:proofErr w:type="spellEnd"/>
      <w:r w:rsidR="003C6995" w:rsidRPr="003C6995">
        <w:rPr>
          <w:rFonts w:ascii="Garamond" w:eastAsia="Times New Roman" w:hAnsi="Garamond" w:cs="Lucida Sans Unicode"/>
          <w:color w:val="333333"/>
          <w:szCs w:val="21"/>
          <w:lang w:eastAsia="en-GB"/>
        </w:rPr>
        <w:t>, III. ii,]</w:t>
      </w:r>
    </w:p>
    <w:p w:rsidR="003C699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color w:val="333333"/>
          <w:sz w:val="24"/>
          <w:szCs w:val="21"/>
          <w:lang w:eastAsia="en-GB"/>
        </w:rPr>
        <w:t xml:space="preserve">-  1597: Francis Bacon’s collection of prose </w:t>
      </w:r>
      <w:r w:rsidR="000D7BA5" w:rsidRPr="000D7BA5">
        <w:rPr>
          <w:rFonts w:ascii="Garamond" w:eastAsia="Times New Roman" w:hAnsi="Garamond" w:cs="Lucida Sans Unicode"/>
          <w:i/>
          <w:color w:val="333333"/>
          <w:sz w:val="24"/>
          <w:szCs w:val="21"/>
          <w:lang w:eastAsia="en-GB"/>
        </w:rPr>
        <w:t>Essays</w:t>
      </w:r>
      <w:r w:rsidR="000D7BA5" w:rsidRPr="003C6995">
        <w:rPr>
          <w:rFonts w:ascii="Garamond" w:eastAsia="Times New Roman" w:hAnsi="Garamond" w:cs="Lucida Sans Unicode"/>
          <w:color w:val="333333"/>
          <w:sz w:val="24"/>
          <w:szCs w:val="21"/>
          <w:lang w:eastAsia="en-GB"/>
        </w:rPr>
        <w:t> </w:t>
      </w:r>
      <w:r w:rsidR="000D7BA5" w:rsidRPr="000D7BA5">
        <w:rPr>
          <w:rFonts w:ascii="Garamond" w:eastAsia="Times New Roman" w:hAnsi="Garamond" w:cs="Lucida Sans Unicode"/>
          <w:color w:val="333333"/>
          <w:sz w:val="24"/>
          <w:szCs w:val="21"/>
          <w:lang w:eastAsia="en-GB"/>
        </w:rPr>
        <w:br/>
        <w:t>First example in English; part of a humanist development of the self as well as of the listener; seemingly effortlessly erudite.</w:t>
      </w:r>
      <w:r w:rsidR="000D7BA5" w:rsidRPr="000D7BA5">
        <w:rPr>
          <w:rFonts w:ascii="Garamond" w:eastAsia="Times New Roman" w:hAnsi="Garamond" w:cs="Lucida Sans Unicode"/>
          <w:color w:val="333333"/>
          <w:sz w:val="24"/>
          <w:szCs w:val="21"/>
          <w:lang w:eastAsia="en-GB"/>
        </w:rPr>
        <w:br/>
        <w:t>Read not to contradict and confute, not to believe and take for granted, nor to find talk and discourse, but to weigh and consider. (</w:t>
      </w:r>
      <w:r w:rsidR="000D7BA5" w:rsidRPr="000D7BA5">
        <w:rPr>
          <w:rFonts w:ascii="Garamond" w:eastAsia="Times New Roman" w:hAnsi="Garamond" w:cs="Lucida Sans Unicode"/>
          <w:color w:val="333333"/>
          <w:szCs w:val="21"/>
          <w:lang w:eastAsia="en-GB"/>
        </w:rPr>
        <w:t>Bacon, ‘Of Studies’</w:t>
      </w:r>
      <w:r w:rsidR="000D7BA5" w:rsidRPr="000D7BA5">
        <w:rPr>
          <w:rFonts w:ascii="Garamond" w:eastAsia="Times New Roman" w:hAnsi="Garamond" w:cs="Lucida Sans Unicode"/>
          <w:color w:val="333333"/>
          <w:sz w:val="24"/>
          <w:szCs w:val="21"/>
          <w:lang w:eastAsia="en-GB"/>
        </w:rPr>
        <w:t>)</w:t>
      </w:r>
      <w:r w:rsidR="000D7BA5" w:rsidRPr="000D7BA5">
        <w:rPr>
          <w:rFonts w:ascii="Garamond" w:eastAsia="Times New Roman" w:hAnsi="Garamond" w:cs="Lucida Sans Unicode"/>
          <w:color w:val="333333"/>
          <w:sz w:val="24"/>
          <w:szCs w:val="21"/>
          <w:lang w:eastAsia="en-GB"/>
        </w:rPr>
        <w:br/>
      </w: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b/>
          <w:color w:val="333333"/>
          <w:sz w:val="28"/>
          <w:szCs w:val="21"/>
          <w:lang w:eastAsia="en-GB"/>
        </w:rPr>
        <w:t>difficulties of definition &amp; the canon</w:t>
      </w:r>
      <w:r w:rsidR="000D7BA5" w:rsidRPr="000D7BA5">
        <w:rPr>
          <w:rFonts w:ascii="Garamond" w:eastAsia="Times New Roman" w:hAnsi="Garamond" w:cs="Lucida Sans Unicode"/>
          <w:b/>
          <w:color w:val="333333"/>
          <w:sz w:val="28"/>
          <w:szCs w:val="21"/>
          <w:lang w:eastAsia="en-GB"/>
        </w:rPr>
        <w:br/>
      </w:r>
      <w:r w:rsidR="000D7BA5" w:rsidRPr="000D7BA5">
        <w:rPr>
          <w:rFonts w:ascii="Garamond" w:eastAsia="Times New Roman" w:hAnsi="Garamond" w:cs="Lucida Sans Unicode"/>
          <w:color w:val="333333"/>
          <w:sz w:val="24"/>
          <w:szCs w:val="21"/>
          <w:lang w:eastAsia="en-GB"/>
        </w:rPr>
        <w:t>The problem, in the end, seems to be that the very notions of literature and genre remain a question for the essay, even though the latter is seen to partake of the literary, and notwithstanding its overt categorization as ‘literary essay’. One cannot but be aware that unlike the novel, which in the course of its history has so quickly progressed from its status as a marginal (un- or sub-literary) genre to become a respectable genre, and ultimately to embody the notion of literature itself in most readers’ and writers’ minds, the essay has made little progress from its very similar starting-point and continues to be excluded from the realm of literature. […]</w:t>
      </w:r>
      <w:r w:rsidR="000D7BA5" w:rsidRPr="003C6995">
        <w:rPr>
          <w:rFonts w:ascii="Garamond" w:eastAsia="Times New Roman" w:hAnsi="Garamond" w:cs="Lucida Sans Unicode"/>
          <w:color w:val="333333"/>
          <w:sz w:val="24"/>
          <w:szCs w:val="21"/>
          <w:lang w:eastAsia="en-GB"/>
        </w:rPr>
        <w:t> </w:t>
      </w:r>
      <w:r w:rsidR="000D7BA5" w:rsidRPr="000D7BA5">
        <w:rPr>
          <w:rFonts w:ascii="Garamond" w:eastAsia="Times New Roman" w:hAnsi="Garamond" w:cs="Lucida Sans Unicode"/>
          <w:color w:val="333333"/>
          <w:sz w:val="24"/>
          <w:szCs w:val="21"/>
          <w:lang w:eastAsia="en-GB"/>
        </w:rPr>
        <w:br/>
      </w: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color w:val="333333"/>
          <w:sz w:val="24"/>
          <w:szCs w:val="21"/>
          <w:lang w:eastAsia="en-GB"/>
        </w:rPr>
        <w:t xml:space="preserve">As Claudio </w:t>
      </w:r>
      <w:proofErr w:type="spellStart"/>
      <w:r w:rsidR="000D7BA5" w:rsidRPr="000D7BA5">
        <w:rPr>
          <w:rFonts w:ascii="Garamond" w:eastAsia="Times New Roman" w:hAnsi="Garamond" w:cs="Lucida Sans Unicode"/>
          <w:color w:val="333333"/>
          <w:sz w:val="24"/>
          <w:szCs w:val="21"/>
          <w:lang w:eastAsia="en-GB"/>
        </w:rPr>
        <w:t>Guillén</w:t>
      </w:r>
      <w:proofErr w:type="spellEnd"/>
      <w:r w:rsidR="000D7BA5" w:rsidRPr="000D7BA5">
        <w:rPr>
          <w:rFonts w:ascii="Garamond" w:eastAsia="Times New Roman" w:hAnsi="Garamond" w:cs="Lucida Sans Unicode"/>
          <w:color w:val="333333"/>
          <w:sz w:val="24"/>
          <w:szCs w:val="21"/>
          <w:lang w:eastAsia="en-GB"/>
        </w:rPr>
        <w:t xml:space="preserve"> deplores, ‘even within the bounds of Western literature, the tripartite division into narrative, drama, and lyric has been insufficient for several centuries now. … It is obvious that, as with any other genre, the essay’s potential contribution to literature is dependent upon the arbitrary criteria of value that determine canons. The boundaries which regiment inclusions and exclusions into and from the realm of literature shift in history, so that like other forms of its kind, the essay is likely to appear on one or the other side of the literary margin according to the period. </w:t>
      </w:r>
      <w:r w:rsidR="000D7BA5" w:rsidRPr="003C6995">
        <w:rPr>
          <w:rFonts w:ascii="Garamond" w:eastAsia="Times New Roman" w:hAnsi="Garamond" w:cs="Lucida Sans Unicode"/>
          <w:color w:val="333333"/>
          <w:sz w:val="24"/>
          <w:szCs w:val="21"/>
          <w:lang w:eastAsia="en-GB"/>
        </w:rPr>
        <w:t> </w:t>
      </w:r>
    </w:p>
    <w:p w:rsidR="003C699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Claire De </w:t>
      </w:r>
      <w:proofErr w:type="spellStart"/>
      <w:r w:rsidRPr="000D7BA5">
        <w:rPr>
          <w:rFonts w:ascii="Garamond" w:eastAsia="Times New Roman" w:hAnsi="Garamond" w:cs="Lucida Sans Unicode"/>
          <w:color w:val="333333"/>
          <w:szCs w:val="21"/>
          <w:lang w:eastAsia="en-GB"/>
        </w:rPr>
        <w:t>Obaldia</w:t>
      </w:r>
      <w:proofErr w:type="spellEnd"/>
      <w:r w:rsidRPr="000D7BA5">
        <w:rPr>
          <w:rFonts w:ascii="Garamond" w:eastAsia="Times New Roman" w:hAnsi="Garamond" w:cs="Lucida Sans Unicode"/>
          <w:color w:val="333333"/>
          <w:szCs w:val="21"/>
          <w:lang w:eastAsia="en-GB"/>
        </w:rPr>
        <w:t xml:space="preserve">, </w:t>
      </w:r>
      <w:r w:rsidRPr="000D7BA5">
        <w:rPr>
          <w:rFonts w:ascii="Garamond" w:eastAsia="Times New Roman" w:hAnsi="Garamond" w:cs="Lucida Sans Unicode"/>
          <w:i/>
          <w:color w:val="333333"/>
          <w:szCs w:val="21"/>
          <w:lang w:eastAsia="en-GB"/>
        </w:rPr>
        <w:t>The Essayistic Spirit: Literature, Modern Criticism and the Essay,</w:t>
      </w:r>
      <w:r w:rsidRPr="000D7BA5">
        <w:rPr>
          <w:rFonts w:ascii="Garamond" w:eastAsia="Times New Roman" w:hAnsi="Garamond" w:cs="Lucida Sans Unicode"/>
          <w:color w:val="333333"/>
          <w:szCs w:val="21"/>
          <w:lang w:eastAsia="en-GB"/>
        </w:rPr>
        <w:t xml:space="preserve"> (Oxford: Clarendon Press 1995), p.5</w:t>
      </w:r>
    </w:p>
    <w:p w:rsidR="003C699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proofErr w:type="gramStart"/>
      <w:r w:rsidR="000D7BA5" w:rsidRPr="003C6995">
        <w:rPr>
          <w:rFonts w:ascii="Garamond" w:eastAsia="Times New Roman" w:hAnsi="Garamond" w:cs="Lucida Sans Unicode"/>
          <w:b/>
          <w:color w:val="333333"/>
          <w:sz w:val="28"/>
          <w:szCs w:val="21"/>
          <w:lang w:eastAsia="en-GB"/>
        </w:rPr>
        <w:t>the</w:t>
      </w:r>
      <w:proofErr w:type="gramEnd"/>
      <w:r w:rsidR="000D7BA5" w:rsidRPr="003C6995">
        <w:rPr>
          <w:rFonts w:ascii="Garamond" w:eastAsia="Times New Roman" w:hAnsi="Garamond" w:cs="Lucida Sans Unicode"/>
          <w:b/>
          <w:color w:val="333333"/>
          <w:sz w:val="28"/>
          <w:szCs w:val="21"/>
          <w:lang w:eastAsia="en-GB"/>
        </w:rPr>
        <w:t xml:space="preserve"> essay as </w:t>
      </w:r>
      <w:r w:rsidR="000D7BA5" w:rsidRPr="000D7BA5">
        <w:rPr>
          <w:rFonts w:ascii="Garamond" w:eastAsia="Times New Roman" w:hAnsi="Garamond" w:cs="Lucida Sans Unicode"/>
          <w:b/>
          <w:color w:val="333333"/>
          <w:sz w:val="28"/>
          <w:szCs w:val="21"/>
          <w:lang w:eastAsia="en-GB"/>
        </w:rPr>
        <w:t>a marginalised genre</w:t>
      </w:r>
      <w:r w:rsidR="000D7BA5" w:rsidRPr="003C6995">
        <w:rPr>
          <w:rFonts w:ascii="Garamond" w:eastAsia="Times New Roman" w:hAnsi="Garamond" w:cs="Lucida Sans Unicode"/>
          <w:b/>
          <w:color w:val="333333"/>
          <w:sz w:val="28"/>
          <w:szCs w:val="21"/>
          <w:lang w:eastAsia="en-GB"/>
        </w:rPr>
        <w:t> </w:t>
      </w:r>
      <w:r w:rsidR="000D7BA5" w:rsidRPr="000D7BA5">
        <w:rPr>
          <w:rFonts w:ascii="Garamond" w:eastAsia="Times New Roman" w:hAnsi="Garamond" w:cs="Lucida Sans Unicode"/>
          <w:b/>
          <w:color w:val="333333"/>
          <w:sz w:val="28"/>
          <w:szCs w:val="21"/>
          <w:lang w:eastAsia="en-GB"/>
        </w:rPr>
        <w:br/>
      </w:r>
      <w:r w:rsidR="000D7BA5" w:rsidRPr="000D7BA5">
        <w:rPr>
          <w:rFonts w:ascii="Garamond" w:eastAsia="Times New Roman" w:hAnsi="Garamond" w:cs="Lucida Sans Unicode"/>
          <w:color w:val="333333"/>
          <w:sz w:val="24"/>
          <w:szCs w:val="21"/>
          <w:lang w:eastAsia="en-GB"/>
        </w:rPr>
        <w:t xml:space="preserve">According to the central conception, ‘literature’ refers to a certain group of genres, whose exemplars are therefore by definition literary, at least in aspiration. These central genres comprise the poetic kinds, the dramatic, and some of the prose kinds. . . . Round this nucleus spreads </w:t>
      </w:r>
      <w:proofErr w:type="gramStart"/>
      <w:r w:rsidR="000D7BA5" w:rsidRPr="000D7BA5">
        <w:rPr>
          <w:rFonts w:ascii="Garamond" w:eastAsia="Times New Roman" w:hAnsi="Garamond" w:cs="Lucida Sans Unicode"/>
          <w:color w:val="333333"/>
          <w:sz w:val="24"/>
          <w:szCs w:val="21"/>
          <w:lang w:eastAsia="en-GB"/>
        </w:rPr>
        <w:t>a looser</w:t>
      </w:r>
      <w:proofErr w:type="gramEnd"/>
      <w:r w:rsidR="000D7BA5" w:rsidRPr="000D7BA5">
        <w:rPr>
          <w:rFonts w:ascii="Garamond" w:eastAsia="Times New Roman" w:hAnsi="Garamond" w:cs="Lucida Sans Unicode"/>
          <w:color w:val="333333"/>
          <w:sz w:val="24"/>
          <w:szCs w:val="21"/>
          <w:lang w:eastAsia="en-GB"/>
        </w:rPr>
        <w:t xml:space="preserve"> plasma of </w:t>
      </w:r>
      <w:proofErr w:type="spellStart"/>
      <w:r w:rsidR="000D7BA5" w:rsidRPr="000D7BA5">
        <w:rPr>
          <w:rFonts w:ascii="Garamond" w:eastAsia="Times New Roman" w:hAnsi="Garamond" w:cs="Lucida Sans Unicode"/>
          <w:color w:val="333333"/>
          <w:sz w:val="24"/>
          <w:szCs w:val="21"/>
          <w:lang w:eastAsia="en-GB"/>
        </w:rPr>
        <w:t>neighboring</w:t>
      </w:r>
      <w:proofErr w:type="spellEnd"/>
      <w:r w:rsidR="000D7BA5" w:rsidRPr="000D7BA5">
        <w:rPr>
          <w:rFonts w:ascii="Garamond" w:eastAsia="Times New Roman" w:hAnsi="Garamond" w:cs="Lucida Sans Unicode"/>
          <w:color w:val="333333"/>
          <w:sz w:val="24"/>
          <w:szCs w:val="21"/>
          <w:lang w:eastAsia="en-GB"/>
        </w:rPr>
        <w:t xml:space="preserve"> forms: essay, biography, dialogue, history, and others. They are, so to say, literature </w:t>
      </w:r>
      <w:r w:rsidR="000D7BA5" w:rsidRPr="000D7BA5">
        <w:rPr>
          <w:rFonts w:ascii="Garamond" w:eastAsia="Times New Roman" w:hAnsi="Garamond" w:cs="Lucida Sans Unicode"/>
          <w:i/>
          <w:color w:val="333333"/>
          <w:sz w:val="24"/>
          <w:szCs w:val="21"/>
          <w:lang w:eastAsia="en-GB"/>
        </w:rPr>
        <w:t xml:space="preserve">in </w:t>
      </w:r>
      <w:proofErr w:type="spellStart"/>
      <w:r w:rsidR="000D7BA5" w:rsidRPr="000D7BA5">
        <w:rPr>
          <w:rFonts w:ascii="Garamond" w:eastAsia="Times New Roman" w:hAnsi="Garamond" w:cs="Lucida Sans Unicode"/>
          <w:i/>
          <w:color w:val="333333"/>
          <w:sz w:val="24"/>
          <w:szCs w:val="21"/>
          <w:lang w:eastAsia="en-GB"/>
        </w:rPr>
        <w:t>potentia</w:t>
      </w:r>
      <w:proofErr w:type="spellEnd"/>
      <w:r w:rsidR="000D7BA5" w:rsidRPr="003C6995">
        <w:rPr>
          <w:rFonts w:ascii="Garamond" w:eastAsia="Times New Roman" w:hAnsi="Garamond" w:cs="Lucida Sans Unicode"/>
          <w:color w:val="333333"/>
          <w:sz w:val="24"/>
          <w:szCs w:val="21"/>
          <w:lang w:eastAsia="en-GB"/>
        </w:rPr>
        <w:t> </w:t>
      </w:r>
    </w:p>
    <w:p w:rsidR="003C699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Alastair Fowler, </w:t>
      </w:r>
      <w:r w:rsidRPr="000D7BA5">
        <w:rPr>
          <w:rFonts w:ascii="Garamond" w:eastAsia="Times New Roman" w:hAnsi="Garamond" w:cs="Lucida Sans Unicode"/>
          <w:i/>
          <w:color w:val="333333"/>
          <w:szCs w:val="21"/>
          <w:lang w:eastAsia="en-GB"/>
        </w:rPr>
        <w:t>Kinds of Literature: An Introduction to the Theory of Genres and Modes</w:t>
      </w:r>
      <w:r w:rsidRPr="000D7BA5">
        <w:rPr>
          <w:rFonts w:ascii="Garamond" w:eastAsia="Times New Roman" w:hAnsi="Garamond" w:cs="Lucida Sans Unicode"/>
          <w:color w:val="333333"/>
          <w:szCs w:val="21"/>
          <w:lang w:eastAsia="en-GB"/>
        </w:rPr>
        <w:t xml:space="preserve"> (Oxford: Clarendon Press, 1982), p. 27</w:t>
      </w:r>
      <w:r w:rsidR="003C6995" w:rsidRPr="003C6995">
        <w:rPr>
          <w:rFonts w:ascii="Garamond" w:eastAsia="Times New Roman" w:hAnsi="Garamond" w:cs="Lucida Sans Unicode"/>
          <w:color w:val="333333"/>
          <w:szCs w:val="21"/>
          <w:lang w:eastAsia="en-GB"/>
        </w:rPr>
        <w:t xml:space="preserve"> </w:t>
      </w:r>
    </w:p>
    <w:p w:rsidR="003C699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lastRenderedPageBreak/>
        <w:br/>
      </w:r>
      <w:r w:rsidR="000D7BA5" w:rsidRPr="000D7BA5">
        <w:rPr>
          <w:rFonts w:ascii="Garamond" w:eastAsia="Times New Roman" w:hAnsi="Garamond" w:cs="Lucida Sans Unicode"/>
          <w:color w:val="333333"/>
          <w:sz w:val="24"/>
          <w:szCs w:val="21"/>
          <w:lang w:eastAsia="en-GB"/>
        </w:rPr>
        <w:t>The culture administered by the universities has always reg</w:t>
      </w:r>
      <w:r w:rsidRPr="003C6995">
        <w:rPr>
          <w:rFonts w:ascii="Garamond" w:eastAsia="Times New Roman" w:hAnsi="Garamond" w:cs="Lucida Sans Unicode"/>
          <w:color w:val="333333"/>
          <w:sz w:val="24"/>
          <w:szCs w:val="21"/>
          <w:lang w:eastAsia="en-GB"/>
        </w:rPr>
        <w:t>arded the essay with suspicion.</w:t>
      </w:r>
    </w:p>
    <w:p w:rsidR="003C699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Susan Sontag, writing in </w:t>
      </w:r>
      <w:r w:rsidRPr="000D7BA5">
        <w:rPr>
          <w:rFonts w:ascii="Garamond" w:eastAsia="Times New Roman" w:hAnsi="Garamond" w:cs="Lucida Sans Unicode"/>
          <w:i/>
          <w:color w:val="333333"/>
          <w:szCs w:val="21"/>
          <w:lang w:eastAsia="en-GB"/>
        </w:rPr>
        <w:t>The Best American Essays</w:t>
      </w:r>
      <w:r w:rsidRPr="000D7BA5">
        <w:rPr>
          <w:rFonts w:ascii="Garamond" w:eastAsia="Times New Roman" w:hAnsi="Garamond" w:cs="Lucida Sans Unicode"/>
          <w:color w:val="333333"/>
          <w:szCs w:val="21"/>
          <w:lang w:eastAsia="en-GB"/>
        </w:rPr>
        <w:t xml:space="preserve"> 1992, series editor Robert </w:t>
      </w:r>
      <w:proofErr w:type="spellStart"/>
      <w:r w:rsidRPr="000D7BA5">
        <w:rPr>
          <w:rFonts w:ascii="Garamond" w:eastAsia="Times New Roman" w:hAnsi="Garamond" w:cs="Lucida Sans Unicode"/>
          <w:color w:val="333333"/>
          <w:szCs w:val="21"/>
          <w:lang w:eastAsia="en-GB"/>
        </w:rPr>
        <w:t>Atwan</w:t>
      </w:r>
      <w:proofErr w:type="spellEnd"/>
      <w:r w:rsidRPr="000D7BA5">
        <w:rPr>
          <w:rFonts w:ascii="Garamond" w:eastAsia="Times New Roman" w:hAnsi="Garamond" w:cs="Lucida Sans Unicode"/>
          <w:color w:val="333333"/>
          <w:szCs w:val="21"/>
          <w:lang w:eastAsia="en-GB"/>
        </w:rPr>
        <w:t xml:space="preserve">, Ticknor &amp; Fields, New York: 1992, </w:t>
      </w:r>
      <w:proofErr w:type="spellStart"/>
      <w:r w:rsidRPr="000D7BA5">
        <w:rPr>
          <w:rFonts w:ascii="Garamond" w:eastAsia="Times New Roman" w:hAnsi="Garamond" w:cs="Lucida Sans Unicode"/>
          <w:color w:val="333333"/>
          <w:szCs w:val="21"/>
          <w:lang w:eastAsia="en-GB"/>
        </w:rPr>
        <w:t>p.xv</w:t>
      </w:r>
      <w:proofErr w:type="spellEnd"/>
      <w:r w:rsidR="003C6995" w:rsidRPr="003C6995">
        <w:rPr>
          <w:rFonts w:ascii="Garamond" w:eastAsia="Times New Roman" w:hAnsi="Garamond" w:cs="Lucida Sans Unicode"/>
          <w:color w:val="333333"/>
          <w:szCs w:val="21"/>
          <w:lang w:eastAsia="en-GB"/>
        </w:rPr>
        <w:t xml:space="preserve"> </w:t>
      </w:r>
    </w:p>
    <w:p w:rsidR="003C6995" w:rsidRPr="003C6995" w:rsidRDefault="003C6995" w:rsidP="003C6995">
      <w:pPr>
        <w:shd w:val="clear" w:color="auto" w:fill="FFFFFF"/>
        <w:spacing w:after="0" w:line="240" w:lineRule="auto"/>
        <w:rPr>
          <w:rFonts w:ascii="Garamond" w:eastAsia="Times New Roman" w:hAnsi="Garamond" w:cs="Lucida Sans Unicode"/>
          <w:color w:val="333333"/>
          <w:sz w:val="24"/>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color w:val="333333"/>
          <w:sz w:val="24"/>
          <w:szCs w:val="21"/>
          <w:lang w:eastAsia="en-GB"/>
        </w:rPr>
        <w:t>Essays are less likely to be published in whole books than in less easily mapped locales […] Yet</w:t>
      </w:r>
      <w:r w:rsidR="000D7BA5" w:rsidRPr="000D7BA5">
        <w:rPr>
          <w:rFonts w:ascii="Garamond" w:eastAsia="Times New Roman" w:hAnsi="Garamond" w:cs="Lucida Sans Unicode"/>
          <w:color w:val="333333"/>
          <w:sz w:val="24"/>
          <w:lang w:eastAsia="en-GB"/>
        </w:rPr>
        <w:t xml:space="preserve"> we seldom regard the authors primarily as essayists or even as article writers, but as novelists, poets, or other professionals working at their day jobs in medicine, economics, politics, science, and other fields. In the absence of the European tradition of the public intellectual, even North American writers who distinguish themselves as essayists… are also novelists; or editors… or college professors </w:t>
      </w:r>
      <w:r w:rsidR="000D7BA5" w:rsidRPr="003C6995">
        <w:rPr>
          <w:rFonts w:ascii="Garamond" w:eastAsia="Times New Roman" w:hAnsi="Garamond" w:cs="Lucida Sans Unicode"/>
          <w:color w:val="333333"/>
          <w:sz w:val="24"/>
          <w:lang w:eastAsia="en-GB"/>
        </w:rPr>
        <w:t> </w:t>
      </w:r>
    </w:p>
    <w:p w:rsidR="003C6995" w:rsidRPr="003C6995" w:rsidRDefault="000D7BA5" w:rsidP="003C6995">
      <w:pPr>
        <w:shd w:val="clear" w:color="auto" w:fill="FFFFFF"/>
        <w:spacing w:after="0" w:line="240" w:lineRule="auto"/>
        <w:ind w:left="720"/>
        <w:rPr>
          <w:rFonts w:ascii="Garamond" w:eastAsia="Times New Roman" w:hAnsi="Garamond" w:cs="Lucida Sans Unicode"/>
          <w:color w:val="333333"/>
          <w:lang w:eastAsia="en-GB"/>
        </w:rPr>
      </w:pPr>
      <w:r w:rsidRPr="000D7BA5">
        <w:rPr>
          <w:rFonts w:ascii="Garamond" w:eastAsia="Times New Roman" w:hAnsi="Garamond" w:cs="Lucida Sans Unicode"/>
          <w:color w:val="333333"/>
          <w:lang w:eastAsia="en-GB"/>
        </w:rPr>
        <w:t xml:space="preserve">Lynn </w:t>
      </w:r>
      <w:proofErr w:type="spellStart"/>
      <w:r w:rsidRPr="000D7BA5">
        <w:rPr>
          <w:rFonts w:ascii="Garamond" w:eastAsia="Times New Roman" w:hAnsi="Garamond" w:cs="Lucida Sans Unicode"/>
          <w:color w:val="333333"/>
          <w:lang w:eastAsia="en-GB"/>
        </w:rPr>
        <w:t>Z.Bloom</w:t>
      </w:r>
      <w:proofErr w:type="spellEnd"/>
      <w:r w:rsidRPr="000D7BA5">
        <w:rPr>
          <w:rFonts w:ascii="Garamond" w:eastAsia="Times New Roman" w:hAnsi="Garamond" w:cs="Lucida Sans Unicode"/>
          <w:color w:val="333333"/>
          <w:lang w:eastAsia="en-GB"/>
        </w:rPr>
        <w:t xml:space="preserve">, ‘Once More </w:t>
      </w:r>
      <w:proofErr w:type="gramStart"/>
      <w:r w:rsidRPr="000D7BA5">
        <w:rPr>
          <w:rFonts w:ascii="Garamond" w:eastAsia="Times New Roman" w:hAnsi="Garamond" w:cs="Lucida Sans Unicode"/>
          <w:color w:val="333333"/>
          <w:lang w:eastAsia="en-GB"/>
        </w:rPr>
        <w:t>To The</w:t>
      </w:r>
      <w:proofErr w:type="gramEnd"/>
      <w:r w:rsidRPr="000D7BA5">
        <w:rPr>
          <w:rFonts w:ascii="Garamond" w:eastAsia="Times New Roman" w:hAnsi="Garamond" w:cs="Lucida Sans Unicode"/>
          <w:color w:val="333333"/>
          <w:lang w:eastAsia="en-GB"/>
        </w:rPr>
        <w:t xml:space="preserve"> Essay’, </w:t>
      </w:r>
      <w:proofErr w:type="spellStart"/>
      <w:r w:rsidRPr="000D7BA5">
        <w:rPr>
          <w:rFonts w:ascii="Garamond" w:eastAsia="Times New Roman" w:hAnsi="Garamond" w:cs="Lucida Sans Unicode"/>
          <w:i/>
          <w:color w:val="333333"/>
          <w:lang w:eastAsia="en-GB"/>
        </w:rPr>
        <w:t>symploke</w:t>
      </w:r>
      <w:proofErr w:type="spellEnd"/>
      <w:r w:rsidRPr="000D7BA5">
        <w:rPr>
          <w:rFonts w:ascii="Garamond" w:eastAsia="Times New Roman" w:hAnsi="Garamond" w:cs="Lucida Sans Unicode"/>
          <w:color w:val="333333"/>
          <w:lang w:eastAsia="en-GB"/>
        </w:rPr>
        <w:t xml:space="preserve"> 8, 1-2 (2000) 20-35 p.21</w:t>
      </w:r>
    </w:p>
    <w:p w:rsidR="000D7BA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i/>
          <w:color w:val="333333"/>
          <w:sz w:val="28"/>
          <w:lang w:eastAsia="en-GB"/>
        </w:rPr>
        <w:t>The evolution of the essay</w:t>
      </w:r>
      <w:r w:rsidR="000D7BA5" w:rsidRPr="003C6995">
        <w:rPr>
          <w:rFonts w:ascii="Garamond" w:eastAsia="Times New Roman" w:hAnsi="Garamond" w:cs="Lucida Sans Unicode"/>
          <w:i/>
          <w:color w:val="333333"/>
          <w:sz w:val="28"/>
          <w:lang w:eastAsia="en-GB"/>
        </w:rPr>
        <w:t> </w:t>
      </w:r>
    </w:p>
    <w:p w:rsidR="003C6995" w:rsidRPr="003C6995" w:rsidRDefault="000D7BA5" w:rsidP="003C6995">
      <w:pPr>
        <w:shd w:val="clear" w:color="auto" w:fill="FFFFFF"/>
        <w:spacing w:after="0" w:line="240" w:lineRule="auto"/>
        <w:rPr>
          <w:rFonts w:ascii="Garamond" w:eastAsia="Times New Roman" w:hAnsi="Garamond" w:cs="Lucida Sans Unicode"/>
          <w:color w:val="333333"/>
          <w:sz w:val="24"/>
          <w:lang w:eastAsia="en-GB"/>
        </w:rPr>
      </w:pPr>
      <w:r w:rsidRPr="003C6995">
        <w:rPr>
          <w:rFonts w:ascii="Garamond" w:eastAsia="Times New Roman" w:hAnsi="Garamond" w:cs="Lucida Sans Unicode"/>
          <w:color w:val="333333"/>
          <w:sz w:val="24"/>
          <w:lang w:eastAsia="en-GB"/>
        </w:rPr>
        <w:t> </w:t>
      </w:r>
      <w:r w:rsidRPr="000D7BA5">
        <w:rPr>
          <w:rFonts w:ascii="Garamond" w:eastAsia="Times New Roman" w:hAnsi="Garamond" w:cs="Lucida Sans Unicode"/>
          <w:color w:val="333333"/>
          <w:sz w:val="24"/>
          <w:lang w:eastAsia="en-GB"/>
        </w:rPr>
        <w:t>-  CLASSICAL LETTERS AND THE SPIRIT OF REPUBLICANISM: The works of Plato, Cicero, and Horace are all considered to have contributed to the spirit and form of the essay, as are those of Seneca and Plutarch.</w:t>
      </w:r>
      <w:r w:rsidRPr="000D7BA5">
        <w:rPr>
          <w:rFonts w:ascii="Garamond" w:eastAsia="Times New Roman" w:hAnsi="Garamond" w:cs="Lucida Sans Unicode"/>
          <w:color w:val="333333"/>
          <w:sz w:val="24"/>
          <w:lang w:eastAsia="en-GB"/>
        </w:rPr>
        <w:br/>
      </w:r>
      <w:r w:rsidR="003C6995" w:rsidRPr="000D7BA5">
        <w:rPr>
          <w:rFonts w:ascii="Garamond" w:eastAsia="Times New Roman" w:hAnsi="Garamond" w:cs="Lucida Sans Unicode"/>
          <w:color w:val="333333"/>
          <w:sz w:val="18"/>
          <w:szCs w:val="16"/>
          <w:lang w:eastAsia="en-GB"/>
        </w:rPr>
        <w:br/>
      </w:r>
      <w:r w:rsidRPr="000D7BA5">
        <w:rPr>
          <w:rFonts w:ascii="Garamond" w:eastAsia="Times New Roman" w:hAnsi="Garamond" w:cs="Lucida Sans Unicode"/>
          <w:color w:val="333333"/>
          <w:sz w:val="24"/>
          <w:lang w:eastAsia="en-GB"/>
        </w:rPr>
        <w:t xml:space="preserve">-  MEDIEVAL LITERARY FORMS    The literature of compilation alone from which the essay originally arises comprises fables, anecdotes, similes, </w:t>
      </w:r>
      <w:proofErr w:type="spellStart"/>
      <w:r w:rsidRPr="000D7BA5">
        <w:rPr>
          <w:rFonts w:ascii="Garamond" w:eastAsia="Times New Roman" w:hAnsi="Garamond" w:cs="Lucida Sans Unicode"/>
          <w:color w:val="333333"/>
          <w:sz w:val="24"/>
          <w:lang w:eastAsia="en-GB"/>
        </w:rPr>
        <w:t>sententiae</w:t>
      </w:r>
      <w:proofErr w:type="spellEnd"/>
      <w:r w:rsidRPr="000D7BA5">
        <w:rPr>
          <w:rFonts w:ascii="Garamond" w:eastAsia="Times New Roman" w:hAnsi="Garamond" w:cs="Lucida Sans Unicode"/>
          <w:color w:val="333333"/>
          <w:sz w:val="24"/>
          <w:lang w:eastAsia="en-GB"/>
        </w:rPr>
        <w:t>, and florilegia as well as the exempla of a</w:t>
      </w:r>
      <w:r w:rsidRPr="003C6995">
        <w:rPr>
          <w:rFonts w:ascii="Garamond" w:eastAsia="Times New Roman" w:hAnsi="Garamond" w:cs="Lucida Sans Unicode"/>
          <w:color w:val="333333"/>
          <w:sz w:val="24"/>
          <w:lang w:eastAsia="en-GB"/>
        </w:rPr>
        <w:t>ntiquity.</w:t>
      </w:r>
      <w:r w:rsidRPr="003C6995">
        <w:rPr>
          <w:rFonts w:ascii="Garamond" w:eastAsia="Times New Roman" w:hAnsi="Garamond" w:cs="Lucida Sans Unicode"/>
          <w:color w:val="333333"/>
          <w:sz w:val="24"/>
          <w:lang w:eastAsia="en-GB"/>
        </w:rPr>
        <w:br/>
      </w:r>
      <w:r w:rsidR="003C6995" w:rsidRPr="000D7BA5">
        <w:rPr>
          <w:rFonts w:ascii="Garamond" w:eastAsia="Times New Roman" w:hAnsi="Garamond" w:cs="Lucida Sans Unicode"/>
          <w:color w:val="333333"/>
          <w:sz w:val="18"/>
          <w:szCs w:val="16"/>
          <w:lang w:eastAsia="en-GB"/>
        </w:rPr>
        <w:br/>
      </w:r>
      <w:r w:rsidRPr="000D7BA5">
        <w:rPr>
          <w:rFonts w:ascii="Garamond" w:eastAsia="Times New Roman" w:hAnsi="Garamond" w:cs="Lucida Sans Unicode"/>
          <w:color w:val="333333"/>
          <w:sz w:val="24"/>
          <w:lang w:eastAsia="en-GB"/>
        </w:rPr>
        <w:t xml:space="preserve">-  RENAISSANCE EXPLORATIONS … AND MORE  the essay is reliant on a growing variety of forms that include the dialogue, the diatribe, the letter, the paradox, the encomium, the aphorism, the treatise, the sermon, travel literature, the character-sketch, </w:t>
      </w:r>
      <w:proofErr w:type="spellStart"/>
      <w:r w:rsidRPr="000D7BA5">
        <w:rPr>
          <w:rFonts w:ascii="Garamond" w:eastAsia="Times New Roman" w:hAnsi="Garamond" w:cs="Lucida Sans Unicode"/>
          <w:color w:val="333333"/>
          <w:sz w:val="24"/>
          <w:lang w:eastAsia="en-GB"/>
        </w:rPr>
        <w:t>etc</w:t>
      </w:r>
      <w:proofErr w:type="spellEnd"/>
      <w:r w:rsidRPr="000D7BA5">
        <w:rPr>
          <w:rFonts w:ascii="Garamond" w:eastAsia="Times New Roman" w:hAnsi="Garamond" w:cs="Lucida Sans Unicode"/>
          <w:color w:val="333333"/>
          <w:sz w:val="24"/>
          <w:lang w:eastAsia="en-GB"/>
        </w:rPr>
        <w:t xml:space="preserve">  </w:t>
      </w:r>
      <w:r w:rsidR="003C6995" w:rsidRPr="003C6995">
        <w:rPr>
          <w:rFonts w:ascii="Garamond" w:eastAsia="Times New Roman" w:hAnsi="Garamond" w:cs="Lucida Sans Unicode"/>
          <w:color w:val="333333"/>
          <w:sz w:val="24"/>
          <w:lang w:eastAsia="en-GB"/>
        </w:rPr>
        <w:t xml:space="preserve">                                                                                                 </w:t>
      </w:r>
      <w:r w:rsidRPr="000D7BA5">
        <w:rPr>
          <w:rFonts w:ascii="Garamond" w:eastAsia="Times New Roman" w:hAnsi="Garamond" w:cs="Lucida Sans Unicode"/>
          <w:color w:val="333333"/>
          <w:lang w:eastAsia="en-GB"/>
        </w:rPr>
        <w:t xml:space="preserve">(all Claire De </w:t>
      </w:r>
      <w:proofErr w:type="spellStart"/>
      <w:r w:rsidRPr="000D7BA5">
        <w:rPr>
          <w:rFonts w:ascii="Garamond" w:eastAsia="Times New Roman" w:hAnsi="Garamond" w:cs="Lucida Sans Unicode"/>
          <w:color w:val="333333"/>
          <w:lang w:eastAsia="en-GB"/>
        </w:rPr>
        <w:t>Obaldia</w:t>
      </w:r>
      <w:proofErr w:type="spellEnd"/>
      <w:r w:rsidRPr="000D7BA5">
        <w:rPr>
          <w:rFonts w:ascii="Garamond" w:eastAsia="Times New Roman" w:hAnsi="Garamond" w:cs="Lucida Sans Unicode"/>
          <w:color w:val="333333"/>
          <w:lang w:eastAsia="en-GB"/>
        </w:rPr>
        <w:t>)</w:t>
      </w:r>
      <w:r w:rsidRPr="000D7BA5">
        <w:rPr>
          <w:rFonts w:ascii="Garamond" w:eastAsia="Times New Roman" w:hAnsi="Garamond" w:cs="Lucida Sans Unicode"/>
          <w:color w:val="333333"/>
          <w:sz w:val="24"/>
          <w:lang w:eastAsia="en-GB"/>
        </w:rPr>
        <w:br/>
      </w:r>
      <w:r w:rsidR="003C6995" w:rsidRPr="000D7BA5">
        <w:rPr>
          <w:rFonts w:ascii="Garamond" w:eastAsia="Times New Roman" w:hAnsi="Garamond" w:cs="Lucida Sans Unicode"/>
          <w:color w:val="333333"/>
          <w:sz w:val="18"/>
          <w:szCs w:val="16"/>
          <w:lang w:eastAsia="en-GB"/>
        </w:rPr>
        <w:br/>
      </w:r>
      <w:r w:rsidRPr="000D7BA5">
        <w:rPr>
          <w:rFonts w:ascii="Garamond" w:eastAsia="Times New Roman" w:hAnsi="Garamond" w:cs="Lucida Sans Unicode"/>
          <w:color w:val="333333"/>
          <w:sz w:val="24"/>
          <w:lang w:eastAsia="en-GB"/>
        </w:rPr>
        <w:t>-  ENLIGHTENMENT COMMENTARIES &amp; THE PUBLIC INTELLECTUAL</w:t>
      </w:r>
      <w:r w:rsidRPr="003C6995">
        <w:rPr>
          <w:rFonts w:ascii="Garamond" w:eastAsia="Times New Roman" w:hAnsi="Garamond" w:cs="Lucida Sans Unicode"/>
          <w:color w:val="333333"/>
          <w:sz w:val="24"/>
          <w:lang w:eastAsia="en-GB"/>
        </w:rPr>
        <w:t> </w:t>
      </w:r>
      <w:r w:rsidRPr="000D7BA5">
        <w:rPr>
          <w:rFonts w:ascii="Garamond" w:eastAsia="Times New Roman" w:hAnsi="Garamond" w:cs="Lucida Sans Unicode"/>
          <w:color w:val="333333"/>
          <w:sz w:val="24"/>
          <w:lang w:eastAsia="en-GB"/>
        </w:rPr>
        <w:br/>
        <w:t xml:space="preserve">The essay induces </w:t>
      </w:r>
      <w:proofErr w:type="spellStart"/>
      <w:r w:rsidRPr="000D7BA5">
        <w:rPr>
          <w:rFonts w:ascii="Garamond" w:eastAsia="Times New Roman" w:hAnsi="Garamond" w:cs="Lucida Sans Unicode"/>
          <w:color w:val="333333"/>
          <w:sz w:val="24"/>
          <w:lang w:eastAsia="en-GB"/>
        </w:rPr>
        <w:t>skepticism</w:t>
      </w:r>
      <w:proofErr w:type="spellEnd"/>
      <w:r w:rsidRPr="000D7BA5">
        <w:rPr>
          <w:rFonts w:ascii="Garamond" w:eastAsia="Times New Roman" w:hAnsi="Garamond" w:cs="Lucida Sans Unicode"/>
          <w:color w:val="333333"/>
          <w:sz w:val="24"/>
          <w:lang w:eastAsia="en-GB"/>
        </w:rPr>
        <w:t>. It is not altogether the fault of Montaigne. The essay is simply a watchful form, Hazlitt's thought is not shaken out like pepper on the page, nor does Lamb compose in blurts. Halfway between sermon and story, the essay interests itself in the narration of ideas - in their unfolding - and the conflict between philosophies or other points of view becomes a drama in its hands; systems are seen as plots and concepts as characters.</w:t>
      </w:r>
      <w:r w:rsidRPr="003C6995">
        <w:rPr>
          <w:rFonts w:ascii="Garamond" w:eastAsia="Times New Roman" w:hAnsi="Garamond" w:cs="Lucida Sans Unicode"/>
          <w:color w:val="333333"/>
          <w:sz w:val="24"/>
          <w:lang w:eastAsia="en-GB"/>
        </w:rPr>
        <w:t> </w:t>
      </w:r>
    </w:p>
    <w:p w:rsidR="000D7BA5" w:rsidRPr="003C6995" w:rsidRDefault="000D7BA5" w:rsidP="003C6995">
      <w:pPr>
        <w:shd w:val="clear" w:color="auto" w:fill="FFFFFF"/>
        <w:spacing w:after="0" w:line="240" w:lineRule="auto"/>
        <w:ind w:firstLine="720"/>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lang w:eastAsia="en-GB"/>
        </w:rPr>
        <w:t xml:space="preserve">William </w:t>
      </w:r>
      <w:proofErr w:type="spellStart"/>
      <w:r w:rsidRPr="000D7BA5">
        <w:rPr>
          <w:rFonts w:ascii="Garamond" w:eastAsia="Times New Roman" w:hAnsi="Garamond" w:cs="Lucida Sans Unicode"/>
          <w:color w:val="333333"/>
          <w:lang w:eastAsia="en-GB"/>
        </w:rPr>
        <w:t>Gass</w:t>
      </w:r>
      <w:proofErr w:type="spellEnd"/>
      <w:r w:rsidRPr="000D7BA5">
        <w:rPr>
          <w:rFonts w:ascii="Garamond" w:eastAsia="Times New Roman" w:hAnsi="Garamond" w:cs="Lucida Sans Unicode"/>
          <w:color w:val="333333"/>
          <w:lang w:eastAsia="en-GB"/>
        </w:rPr>
        <w:t xml:space="preserve">, </w:t>
      </w:r>
      <w:r w:rsidRPr="000D7BA5">
        <w:rPr>
          <w:rFonts w:ascii="Garamond" w:eastAsia="Times New Roman" w:hAnsi="Garamond" w:cs="Lucida Sans Unicode"/>
          <w:i/>
          <w:color w:val="333333"/>
          <w:lang w:eastAsia="en-GB"/>
        </w:rPr>
        <w:t>Habitations of the Word</w:t>
      </w:r>
      <w:r w:rsidRPr="000D7BA5">
        <w:rPr>
          <w:rFonts w:ascii="Garamond" w:eastAsia="Times New Roman" w:hAnsi="Garamond" w:cs="Lucida Sans Unicode"/>
          <w:color w:val="333333"/>
          <w:lang w:eastAsia="en-GB"/>
        </w:rPr>
        <w:t>, (Ithaca: Cornell University Press, 1985), p.23</w:t>
      </w:r>
      <w:r w:rsidRPr="000D7BA5">
        <w:rPr>
          <w:rFonts w:ascii="Garamond" w:eastAsia="Times New Roman" w:hAnsi="Garamond" w:cs="Lucida Sans Unicode"/>
          <w:color w:val="333333"/>
          <w:szCs w:val="21"/>
          <w:lang w:eastAsia="en-GB"/>
        </w:rPr>
        <w:br/>
      </w:r>
      <w:r w:rsidR="003C6995" w:rsidRPr="000D7BA5">
        <w:rPr>
          <w:rFonts w:ascii="Garamond" w:eastAsia="Times New Roman" w:hAnsi="Garamond" w:cs="Lucida Sans Unicode"/>
          <w:color w:val="333333"/>
          <w:sz w:val="18"/>
          <w:szCs w:val="16"/>
          <w:lang w:eastAsia="en-GB"/>
        </w:rPr>
        <w:br/>
      </w:r>
      <w:r w:rsidRPr="000D7BA5">
        <w:rPr>
          <w:rFonts w:ascii="Garamond" w:eastAsia="Times New Roman" w:hAnsi="Garamond" w:cs="Lucida Sans Unicode"/>
          <w:b/>
          <w:color w:val="333333"/>
          <w:sz w:val="24"/>
          <w:szCs w:val="21"/>
          <w:lang w:eastAsia="en-GB"/>
        </w:rPr>
        <w:t>medieval literary forms</w:t>
      </w:r>
      <w:r w:rsidRPr="003C6995">
        <w:rPr>
          <w:rFonts w:ascii="Garamond" w:eastAsia="Times New Roman" w:hAnsi="Garamond" w:cs="Lucida Sans Unicode"/>
          <w:b/>
          <w:color w:val="333333"/>
          <w:sz w:val="24"/>
          <w:szCs w:val="21"/>
          <w:lang w:eastAsia="en-GB"/>
        </w:rPr>
        <w:t xml:space="preserve"> marked by</w:t>
      </w:r>
      <w:r w:rsidRPr="000D7BA5">
        <w:rPr>
          <w:rFonts w:ascii="Garamond" w:eastAsia="Times New Roman" w:hAnsi="Garamond" w:cs="Lucida Sans Unicode"/>
          <w:b/>
          <w:color w:val="333333"/>
          <w:sz w:val="24"/>
          <w:szCs w:val="21"/>
          <w:lang w:eastAsia="en-GB"/>
        </w:rPr>
        <w:t xml:space="preserve">: fear of censorship, Deference to authority, avoidance of </w:t>
      </w:r>
      <w:proofErr w:type="spellStart"/>
      <w:r w:rsidRPr="000D7BA5">
        <w:rPr>
          <w:rFonts w:ascii="Garamond" w:eastAsia="Times New Roman" w:hAnsi="Garamond" w:cs="Lucida Sans Unicode"/>
          <w:b/>
          <w:color w:val="333333"/>
          <w:sz w:val="24"/>
          <w:szCs w:val="21"/>
          <w:lang w:eastAsia="en-GB"/>
        </w:rPr>
        <w:t>self expression</w:t>
      </w:r>
      <w:proofErr w:type="spellEnd"/>
      <w:r w:rsidRPr="003C6995">
        <w:rPr>
          <w:rFonts w:ascii="Garamond" w:eastAsia="Times New Roman" w:hAnsi="Garamond" w:cs="Lucida Sans Unicode"/>
          <w:color w:val="333333"/>
          <w:sz w:val="24"/>
          <w:szCs w:val="21"/>
          <w:lang w:eastAsia="en-GB"/>
        </w:rPr>
        <w:t> </w:t>
      </w:r>
      <w:r w:rsidR="003C6995" w:rsidRPr="003C6995">
        <w:rPr>
          <w:rFonts w:ascii="Garamond" w:eastAsia="Times New Roman" w:hAnsi="Garamond" w:cs="Lucida Sans Unicode"/>
          <w:color w:val="333333"/>
          <w:sz w:val="24"/>
          <w:szCs w:val="21"/>
          <w:lang w:eastAsia="en-GB"/>
        </w:rPr>
        <w:t xml:space="preserve"> </w:t>
      </w:r>
      <w:r w:rsidRPr="000D7BA5">
        <w:rPr>
          <w:rFonts w:ascii="Garamond" w:eastAsia="Times New Roman" w:hAnsi="Garamond" w:cs="Lucida Sans Unicode"/>
          <w:color w:val="333333"/>
          <w:szCs w:val="21"/>
          <w:lang w:eastAsia="en-GB"/>
        </w:rPr>
        <w:br/>
      </w:r>
      <w:r w:rsidRPr="000D7BA5">
        <w:rPr>
          <w:rFonts w:ascii="Garamond" w:eastAsia="Times New Roman" w:hAnsi="Garamond" w:cs="Lucida Sans Unicode"/>
          <w:color w:val="333333"/>
          <w:sz w:val="24"/>
          <w:szCs w:val="21"/>
          <w:lang w:eastAsia="en-GB"/>
        </w:rPr>
        <w:t xml:space="preserve">Medieval philosophical texts are written in a variety of literary forms, many peculiar to the period, like the summa or disputed question; others, like the commentary, dialogue, and axiom, are also found in ancient and modern sources but are substantially different in the medieval period from their classical or modern incarnations. Many philosophical texts also have a highly polemical style and/or seem deferential to the authoritative sources they cite. Further, medieval philosophical thinkers operated under the threat of censure from political and religious </w:t>
      </w:r>
      <w:proofErr w:type="gramStart"/>
      <w:r w:rsidRPr="000D7BA5">
        <w:rPr>
          <w:rFonts w:ascii="Garamond" w:eastAsia="Times New Roman" w:hAnsi="Garamond" w:cs="Lucida Sans Unicode"/>
          <w:color w:val="333333"/>
          <w:sz w:val="24"/>
          <w:szCs w:val="21"/>
          <w:lang w:eastAsia="en-GB"/>
        </w:rPr>
        <w:t>authority, moving them, some have</w:t>
      </w:r>
      <w:proofErr w:type="gramEnd"/>
      <w:r w:rsidRPr="000D7BA5">
        <w:rPr>
          <w:rFonts w:ascii="Garamond" w:eastAsia="Times New Roman" w:hAnsi="Garamond" w:cs="Lucida Sans Unicode"/>
          <w:color w:val="333333"/>
          <w:sz w:val="24"/>
          <w:szCs w:val="21"/>
          <w:lang w:eastAsia="en-GB"/>
        </w:rPr>
        <w:t xml:space="preserve"> argued, to write esoterically or to otherwise protect themselves from persecution. All these literary and rhetorical features make medieval philosophical texts considerably more difficult to understand and interpret than modern or even classical philosophical texts.</w:t>
      </w:r>
      <w:r w:rsidRPr="003C6995">
        <w:rPr>
          <w:rFonts w:ascii="Garamond" w:eastAsia="Times New Roman" w:hAnsi="Garamond" w:cs="Lucida Sans Unicode"/>
          <w:color w:val="333333"/>
          <w:sz w:val="24"/>
          <w:szCs w:val="21"/>
          <w:lang w:eastAsia="en-GB"/>
        </w:rPr>
        <w:t> </w:t>
      </w:r>
    </w:p>
    <w:p w:rsidR="000D7BA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First published Thu Oct 17, 2002; substantive revision Wed Jan 9, 2008</w:t>
      </w:r>
      <w:r w:rsidRPr="003C6995">
        <w:rPr>
          <w:rFonts w:ascii="Garamond" w:eastAsia="Times New Roman" w:hAnsi="Garamond" w:cs="Lucida Sans Unicode"/>
          <w:color w:val="333333"/>
          <w:szCs w:val="21"/>
          <w:lang w:eastAsia="en-GB"/>
        </w:rPr>
        <w:t xml:space="preserve"> </w:t>
      </w:r>
      <w:hyperlink r:id="rId7" w:history="1">
        <w:r w:rsidRPr="003C6995">
          <w:rPr>
            <w:rStyle w:val="Hyperlink"/>
            <w:rFonts w:ascii="Garamond" w:eastAsia="Times New Roman" w:hAnsi="Garamond" w:cs="Lucida Sans Unicode"/>
            <w:szCs w:val="21"/>
            <w:lang w:eastAsia="en-GB"/>
          </w:rPr>
          <w:t>www.science.uva.nl/~seop/entries/medieval-literary/</w:t>
        </w:r>
      </w:hyperlink>
    </w:p>
    <w:p w:rsidR="000D7BA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b/>
          <w:color w:val="333333"/>
          <w:sz w:val="28"/>
          <w:szCs w:val="21"/>
          <w:lang w:eastAsia="en-GB"/>
        </w:rPr>
        <w:t>Relations with the novel: history</w:t>
      </w:r>
      <w:r w:rsidR="000D7BA5" w:rsidRPr="003C6995">
        <w:rPr>
          <w:rFonts w:ascii="Garamond" w:eastAsia="Times New Roman" w:hAnsi="Garamond" w:cs="Lucida Sans Unicode"/>
          <w:color w:val="333333"/>
          <w:sz w:val="28"/>
          <w:szCs w:val="21"/>
          <w:lang w:eastAsia="en-GB"/>
        </w:rPr>
        <w:t> </w:t>
      </w:r>
      <w:r w:rsidR="000D7BA5" w:rsidRPr="000D7BA5">
        <w:rPr>
          <w:rFonts w:ascii="Garamond" w:eastAsia="Times New Roman" w:hAnsi="Garamond" w:cs="Lucida Sans Unicode"/>
          <w:color w:val="333333"/>
          <w:szCs w:val="21"/>
          <w:lang w:eastAsia="en-GB"/>
        </w:rPr>
        <w:br/>
      </w:r>
      <w:proofErr w:type="gramStart"/>
      <w:r w:rsidR="000D7BA5" w:rsidRPr="000D7BA5">
        <w:rPr>
          <w:rFonts w:ascii="Garamond" w:eastAsia="Times New Roman" w:hAnsi="Garamond" w:cs="Lucida Sans Unicode"/>
          <w:color w:val="333333"/>
          <w:sz w:val="24"/>
          <w:szCs w:val="21"/>
          <w:lang w:eastAsia="en-GB"/>
        </w:rPr>
        <w:t>In</w:t>
      </w:r>
      <w:proofErr w:type="gramEnd"/>
      <w:r w:rsidR="000D7BA5" w:rsidRPr="000D7BA5">
        <w:rPr>
          <w:rFonts w:ascii="Garamond" w:eastAsia="Times New Roman" w:hAnsi="Garamond" w:cs="Lucida Sans Unicode"/>
          <w:color w:val="333333"/>
          <w:sz w:val="24"/>
          <w:szCs w:val="21"/>
          <w:lang w:eastAsia="en-GB"/>
        </w:rPr>
        <w:t xml:space="preserve"> the same way that the essay is usually seen to have two founders, the Frenchman (or Continental) Montaigne and the Englishman Bacon, one can say that the rise of the novel occurs in two great moments or stages. One moment corresponds to the Continental appearance of the genre in the Renaissance (Cervantes is usually thought to be the first proper novelist), the other to the emergence of the English novel in the early eighteenth century. [...]</w:t>
      </w:r>
      <w:r w:rsidR="000D7BA5" w:rsidRPr="000D7BA5">
        <w:rPr>
          <w:rFonts w:ascii="Garamond" w:eastAsia="Times New Roman" w:hAnsi="Garamond" w:cs="Lucida Sans Unicode"/>
          <w:color w:val="333333"/>
          <w:sz w:val="24"/>
          <w:szCs w:val="21"/>
          <w:lang w:eastAsia="en-GB"/>
        </w:rPr>
        <w:br/>
      </w:r>
      <w:r w:rsidRPr="000D7BA5">
        <w:rPr>
          <w:rFonts w:ascii="Garamond" w:eastAsia="Times New Roman" w:hAnsi="Garamond" w:cs="Lucida Sans Unicode"/>
          <w:color w:val="333333"/>
          <w:sz w:val="18"/>
          <w:szCs w:val="16"/>
          <w:lang w:eastAsia="en-GB"/>
        </w:rPr>
        <w:lastRenderedPageBreak/>
        <w:br/>
      </w:r>
      <w:r w:rsidRPr="003C6995">
        <w:rPr>
          <w:rFonts w:ascii="Garamond" w:eastAsia="Times New Roman" w:hAnsi="Garamond" w:cs="Lucida Sans Unicode"/>
          <w:color w:val="333333"/>
          <w:sz w:val="24"/>
          <w:szCs w:val="21"/>
          <w:lang w:eastAsia="en-GB"/>
        </w:rPr>
        <w:t xml:space="preserve"> </w:t>
      </w:r>
      <w:r w:rsidR="000D7BA5" w:rsidRPr="000D7BA5">
        <w:rPr>
          <w:rFonts w:ascii="Garamond" w:eastAsia="Times New Roman" w:hAnsi="Garamond" w:cs="Lucida Sans Unicode"/>
          <w:color w:val="333333"/>
          <w:sz w:val="24"/>
          <w:szCs w:val="21"/>
          <w:lang w:eastAsia="en-GB"/>
        </w:rPr>
        <w:t xml:space="preserve">[Watts] argues from the point of view of the parallel manifestation of the philosophical and literary innovations that have resulted from ‘the vast transformation of Western civilization since the Renaissance’.  What his study indirectly corroborates, </w:t>
      </w:r>
      <w:r w:rsidR="000D7BA5" w:rsidRPr="000D7BA5">
        <w:rPr>
          <w:rFonts w:ascii="Garamond" w:eastAsia="Times New Roman" w:hAnsi="Garamond" w:cs="Lucida Sans Unicode"/>
          <w:color w:val="333333"/>
          <w:sz w:val="24"/>
          <w:szCs w:val="21"/>
          <w:u w:val="single"/>
          <w:lang w:eastAsia="en-GB"/>
        </w:rPr>
        <w:t xml:space="preserve">is that the essay is a form of art ‘historically, philosophically, and to some extent formally akin to realistic fiction’, both of which go hand in hand with the rise of bourgeois individualism. According to Watt, the transformation of Western civilization at the time of the Renaissance lies mainly in a philosophical shift from universals to particulars. </w:t>
      </w:r>
      <w:r w:rsidR="000D7BA5" w:rsidRPr="000D7BA5">
        <w:rPr>
          <w:rFonts w:ascii="Garamond" w:eastAsia="Times New Roman" w:hAnsi="Garamond" w:cs="Lucida Sans Unicode"/>
          <w:color w:val="333333"/>
          <w:sz w:val="24"/>
          <w:szCs w:val="21"/>
          <w:lang w:eastAsia="en-GB"/>
        </w:rPr>
        <w:t>The unified world picture of the Middle Ages is replaced by a ‘modern’ world which presents us essentially with an aggregate of particular individuals. Correspondingly, modern philosophical realism which originates mainly in Descartes and Locke (but also includes Hume and Berkeley) is elaborated from the position that reality is apprehended above all by the senses; that the pursuit of truth is a wholly individual matter, a question of individual experience, which is always unique and therefore always new …. The novel, which deals with particular experiences at particular times and in particular places, is supposed to be the form of literature which most fully reflects the ‘general temper’ of this philosophical realism which is ‘critical, anti-traditional, and innovating’ with regard to ‘the body of past assumptions and traditional beliefs’</w:t>
      </w:r>
      <w:r w:rsidR="000D7BA5" w:rsidRPr="003C6995">
        <w:rPr>
          <w:rFonts w:ascii="Garamond" w:eastAsia="Times New Roman" w:hAnsi="Garamond" w:cs="Lucida Sans Unicode"/>
          <w:color w:val="333333"/>
          <w:sz w:val="24"/>
          <w:szCs w:val="21"/>
          <w:lang w:eastAsia="en-GB"/>
        </w:rPr>
        <w:t> </w:t>
      </w:r>
    </w:p>
    <w:p w:rsidR="000D7BA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Claire De </w:t>
      </w:r>
      <w:proofErr w:type="spellStart"/>
      <w:r w:rsidRPr="000D7BA5">
        <w:rPr>
          <w:rFonts w:ascii="Garamond" w:eastAsia="Times New Roman" w:hAnsi="Garamond" w:cs="Lucida Sans Unicode"/>
          <w:color w:val="333333"/>
          <w:szCs w:val="21"/>
          <w:lang w:eastAsia="en-GB"/>
        </w:rPr>
        <w:t>Olbaldia</w:t>
      </w:r>
      <w:proofErr w:type="spellEnd"/>
      <w:r w:rsidRPr="000D7BA5">
        <w:rPr>
          <w:rFonts w:ascii="Garamond" w:eastAsia="Times New Roman" w:hAnsi="Garamond" w:cs="Lucida Sans Unicode"/>
          <w:color w:val="333333"/>
          <w:szCs w:val="21"/>
          <w:lang w:eastAsia="en-GB"/>
        </w:rPr>
        <w:t xml:space="preserve"> summarising Ian Watt, </w:t>
      </w:r>
      <w:r w:rsidRPr="000D7BA5">
        <w:rPr>
          <w:rFonts w:ascii="Garamond" w:eastAsia="Times New Roman" w:hAnsi="Garamond" w:cs="Lucida Sans Unicode"/>
          <w:i/>
          <w:color w:val="333333"/>
          <w:szCs w:val="21"/>
          <w:lang w:eastAsia="en-GB"/>
        </w:rPr>
        <w:t>The Rise of the Novel: Studies in Defoe, Richardson and Fielding</w:t>
      </w:r>
      <w:r w:rsidRPr="000D7BA5">
        <w:rPr>
          <w:rFonts w:ascii="Garamond" w:eastAsia="Times New Roman" w:hAnsi="Garamond" w:cs="Lucida Sans Unicode"/>
          <w:color w:val="333333"/>
          <w:szCs w:val="21"/>
          <w:lang w:eastAsia="en-GB"/>
        </w:rPr>
        <w:t xml:space="preserve"> (Berkeley, CA: University of California Press, 1957.), p.14</w:t>
      </w:r>
    </w:p>
    <w:p w:rsidR="000D7BA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6"/>
          <w:szCs w:val="16"/>
          <w:lang w:eastAsia="en-GB"/>
        </w:rPr>
        <w:br/>
      </w:r>
      <w:r w:rsidR="000D7BA5" w:rsidRPr="000D7BA5">
        <w:rPr>
          <w:rFonts w:ascii="Garamond" w:eastAsia="Times New Roman" w:hAnsi="Garamond" w:cs="Lucida Sans Unicode"/>
          <w:b/>
          <w:color w:val="333333"/>
          <w:sz w:val="28"/>
          <w:szCs w:val="21"/>
          <w:lang w:eastAsia="en-GB"/>
        </w:rPr>
        <w:t xml:space="preserve">the essay as expression of the individual:  an </w:t>
      </w:r>
      <w:r w:rsidR="000D7BA5" w:rsidRPr="000D7BA5">
        <w:rPr>
          <w:rFonts w:ascii="Garamond" w:eastAsia="Times New Roman" w:hAnsi="Garamond" w:cs="Lucida Sans Unicode"/>
          <w:b/>
          <w:color w:val="333333"/>
          <w:sz w:val="28"/>
          <w:szCs w:val="21"/>
          <w:lang w:eastAsia="en-GB"/>
        </w:rPr>
        <w:t>E</w:t>
      </w:r>
      <w:r w:rsidR="000D7BA5" w:rsidRPr="000D7BA5">
        <w:rPr>
          <w:rFonts w:ascii="Garamond" w:eastAsia="Times New Roman" w:hAnsi="Garamond" w:cs="Lucida Sans Unicode"/>
          <w:b/>
          <w:color w:val="333333"/>
          <w:sz w:val="28"/>
          <w:szCs w:val="21"/>
          <w:lang w:eastAsia="en-GB"/>
        </w:rPr>
        <w:t xml:space="preserve">nlightenment form </w:t>
      </w:r>
      <w:r w:rsidR="000D7BA5" w:rsidRPr="000D7BA5">
        <w:rPr>
          <w:rFonts w:ascii="Garamond" w:eastAsia="Times New Roman" w:hAnsi="Garamond" w:cs="Lucida Sans Unicode"/>
          <w:b/>
          <w:color w:val="333333"/>
          <w:sz w:val="28"/>
          <w:szCs w:val="21"/>
          <w:lang w:eastAsia="en-GB"/>
        </w:rPr>
        <w:t>e</w:t>
      </w:r>
      <w:r w:rsidR="000D7BA5" w:rsidRPr="000D7BA5">
        <w:rPr>
          <w:rFonts w:ascii="Garamond" w:eastAsia="Times New Roman" w:hAnsi="Garamond" w:cs="Lucida Sans Unicode"/>
          <w:b/>
          <w:color w:val="333333"/>
          <w:sz w:val="28"/>
          <w:szCs w:val="21"/>
          <w:lang w:eastAsia="en-GB"/>
        </w:rPr>
        <w:t>ngaging with the self in a material world</w:t>
      </w:r>
      <w:r w:rsidR="000D7BA5" w:rsidRPr="003C6995">
        <w:rPr>
          <w:rFonts w:ascii="Garamond" w:eastAsia="Times New Roman" w:hAnsi="Garamond" w:cs="Lucida Sans Unicode"/>
          <w:color w:val="333333"/>
          <w:sz w:val="28"/>
          <w:szCs w:val="21"/>
          <w:lang w:eastAsia="en-GB"/>
        </w:rPr>
        <w:t> </w:t>
      </w:r>
      <w:r w:rsidR="000D7BA5" w:rsidRPr="000D7BA5">
        <w:rPr>
          <w:rFonts w:ascii="Garamond" w:eastAsia="Times New Roman" w:hAnsi="Garamond" w:cs="Lucida Sans Unicode"/>
          <w:color w:val="333333"/>
          <w:sz w:val="24"/>
          <w:szCs w:val="21"/>
          <w:lang w:eastAsia="en-GB"/>
        </w:rPr>
        <w:br/>
        <w:t>As it maps the territory of the self, the essay details the particulars of everyday life, attuned, like Wordsworth and like Dutch genre painting, to the quite mundane and quotidian: taking a walk, mowing a field, observing a moth dying, contemplating a piece of chalk. The wonder is not that art can be made of such ordinary stuff, but that we should expect it to be found anywhere else.</w:t>
      </w:r>
    </w:p>
    <w:p w:rsidR="000D7BA5" w:rsidRPr="003C6995" w:rsidRDefault="000D7BA5" w:rsidP="003C6995">
      <w:pPr>
        <w:shd w:val="clear" w:color="auto" w:fill="FFFFFF"/>
        <w:spacing w:after="0" w:line="240" w:lineRule="auto"/>
        <w:ind w:left="720"/>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24"/>
          <w:szCs w:val="21"/>
          <w:lang w:eastAsia="en-GB"/>
        </w:rPr>
        <w:t xml:space="preserve">G. Douglas Atkins, </w:t>
      </w:r>
      <w:r w:rsidRPr="000D7BA5">
        <w:rPr>
          <w:rFonts w:ascii="Garamond" w:eastAsia="Times New Roman" w:hAnsi="Garamond" w:cs="Lucida Sans Unicode"/>
          <w:i/>
          <w:color w:val="333333"/>
          <w:sz w:val="24"/>
          <w:szCs w:val="21"/>
          <w:lang w:eastAsia="en-GB"/>
        </w:rPr>
        <w:t>Tracing the Essay: Through Experience to Truth</w:t>
      </w:r>
      <w:r w:rsidRPr="000D7BA5">
        <w:rPr>
          <w:rFonts w:ascii="Garamond" w:eastAsia="Times New Roman" w:hAnsi="Garamond" w:cs="Lucida Sans Unicode"/>
          <w:color w:val="333333"/>
          <w:sz w:val="24"/>
          <w:szCs w:val="21"/>
          <w:lang w:eastAsia="en-GB"/>
        </w:rPr>
        <w:t xml:space="preserve"> (Athens: University of Georgia Press, 2005), p.68</w:t>
      </w:r>
    </w:p>
    <w:p w:rsidR="000D7BA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color w:val="333333"/>
          <w:sz w:val="24"/>
          <w:szCs w:val="21"/>
          <w:lang w:eastAsia="en-GB"/>
        </w:rPr>
        <w:t xml:space="preserve">Entering the road laid down by tradition, the essayist is not content to pursue faithfully the prescribed itinerary. Instinctively, he (or she) swerves to explore the surrounding terrain, to track a stray detail or anomaly, even at the risk of wrong turns, dead ends, and charges of trespassing. From the standpoint of more 'responsible' </w:t>
      </w:r>
      <w:proofErr w:type="spellStart"/>
      <w:r w:rsidR="000D7BA5" w:rsidRPr="000D7BA5">
        <w:rPr>
          <w:rFonts w:ascii="Garamond" w:eastAsia="Times New Roman" w:hAnsi="Garamond" w:cs="Lucida Sans Unicode"/>
          <w:color w:val="333333"/>
          <w:sz w:val="24"/>
          <w:szCs w:val="21"/>
          <w:lang w:eastAsia="en-GB"/>
        </w:rPr>
        <w:t>travelers</w:t>
      </w:r>
      <w:proofErr w:type="spellEnd"/>
      <w:r w:rsidR="000D7BA5" w:rsidRPr="000D7BA5">
        <w:rPr>
          <w:rFonts w:ascii="Garamond" w:eastAsia="Times New Roman" w:hAnsi="Garamond" w:cs="Lucida Sans Unicode"/>
          <w:color w:val="333333"/>
          <w:sz w:val="24"/>
          <w:szCs w:val="21"/>
          <w:lang w:eastAsia="en-GB"/>
        </w:rPr>
        <w:t>, the resulting path will look skewed and arbitrary. But if the essayist keeps faith with chance, moving with unmethodical method through the thicket of contemporary experience, some will find the path worth following awhile.</w:t>
      </w:r>
      <w:r w:rsidR="000D7BA5" w:rsidRPr="003C6995">
        <w:rPr>
          <w:rFonts w:ascii="Garamond" w:eastAsia="Times New Roman" w:hAnsi="Garamond" w:cs="Lucida Sans Unicode"/>
          <w:color w:val="333333"/>
          <w:sz w:val="24"/>
          <w:szCs w:val="21"/>
          <w:lang w:eastAsia="en-GB"/>
        </w:rPr>
        <w:t> </w:t>
      </w:r>
    </w:p>
    <w:p w:rsidR="000D7BA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R. Lane Kauffmann, "The Skewed Path: Essaying as Unmethodical Method," in Alexander </w:t>
      </w:r>
      <w:proofErr w:type="spellStart"/>
      <w:r w:rsidRPr="000D7BA5">
        <w:rPr>
          <w:rFonts w:ascii="Garamond" w:eastAsia="Times New Roman" w:hAnsi="Garamond" w:cs="Lucida Sans Unicode"/>
          <w:color w:val="333333"/>
          <w:szCs w:val="21"/>
          <w:lang w:eastAsia="en-GB"/>
        </w:rPr>
        <w:t>Butrym</w:t>
      </w:r>
      <w:proofErr w:type="spellEnd"/>
      <w:r w:rsidRPr="000D7BA5">
        <w:rPr>
          <w:rFonts w:ascii="Garamond" w:eastAsia="Times New Roman" w:hAnsi="Garamond" w:cs="Lucida Sans Unicode"/>
          <w:color w:val="333333"/>
          <w:szCs w:val="21"/>
          <w:lang w:eastAsia="en-GB"/>
        </w:rPr>
        <w:t xml:space="preserve"> (ed.), </w:t>
      </w:r>
      <w:r w:rsidRPr="000D7BA5">
        <w:rPr>
          <w:rFonts w:ascii="Garamond" w:eastAsia="Times New Roman" w:hAnsi="Garamond" w:cs="Lucida Sans Unicode"/>
          <w:i/>
          <w:color w:val="333333"/>
          <w:szCs w:val="21"/>
          <w:lang w:eastAsia="en-GB"/>
        </w:rPr>
        <w:t>Essays on the Essay: Redefining the Genre</w:t>
      </w:r>
      <w:r w:rsidRPr="000D7BA5">
        <w:rPr>
          <w:rFonts w:ascii="Garamond" w:eastAsia="Times New Roman" w:hAnsi="Garamond" w:cs="Lucida Sans Unicode"/>
          <w:color w:val="333333"/>
          <w:szCs w:val="21"/>
          <w:lang w:eastAsia="en-GB"/>
        </w:rPr>
        <w:t>, Athens: University of Georgia Press, Athens GA: 1989, p.220</w:t>
      </w:r>
      <w:r w:rsidRPr="003C6995">
        <w:rPr>
          <w:rFonts w:ascii="Garamond" w:eastAsia="Times New Roman" w:hAnsi="Garamond" w:cs="Lucida Sans Unicode"/>
          <w:color w:val="333333"/>
          <w:szCs w:val="21"/>
          <w:lang w:eastAsia="en-GB"/>
        </w:rPr>
        <w:t xml:space="preserve"> </w:t>
      </w:r>
    </w:p>
    <w:p w:rsidR="000D7BA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color w:val="333333"/>
          <w:sz w:val="24"/>
          <w:szCs w:val="21"/>
          <w:lang w:eastAsia="en-GB"/>
        </w:rPr>
        <w:t xml:space="preserve">Virginia Woolf herself cannot but agree to this despite the significance which she ascribes to ‘pleasure’ in essay-writing and essay-reading. Her continuing interest in the genre is determined more seriously by the conviction, shared by most essayists, that the essay bears within it a potential for artistic purity that can rival that of a poem or a novel. </w:t>
      </w:r>
      <w:r w:rsidR="000D7BA5" w:rsidRPr="000D7BA5">
        <w:rPr>
          <w:rFonts w:ascii="Garamond" w:eastAsia="Times New Roman" w:hAnsi="Garamond" w:cs="Lucida Sans Unicode"/>
          <w:color w:val="333333"/>
          <w:sz w:val="24"/>
          <w:szCs w:val="21"/>
          <w:u w:val="single"/>
          <w:lang w:eastAsia="en-GB"/>
        </w:rPr>
        <w:t xml:space="preserve">At its best, it is ‘the imaginative recreation of a culture, a period or an individual’, the essayist being ‘guided by an instinct to create for himself’. </w:t>
      </w:r>
      <w:r w:rsidR="000D7BA5" w:rsidRPr="000D7BA5">
        <w:rPr>
          <w:rFonts w:ascii="Garamond" w:eastAsia="Times New Roman" w:hAnsi="Garamond" w:cs="Lucida Sans Unicode"/>
          <w:color w:val="333333"/>
          <w:sz w:val="24"/>
          <w:szCs w:val="21"/>
          <w:lang w:eastAsia="en-GB"/>
        </w:rPr>
        <w:t xml:space="preserve">The most eloquent account of this active, creative role which likens the essayist to the artist is to be found in Georg </w:t>
      </w:r>
      <w:proofErr w:type="spellStart"/>
      <w:r w:rsidR="000D7BA5" w:rsidRPr="000D7BA5">
        <w:rPr>
          <w:rFonts w:ascii="Garamond" w:eastAsia="Times New Roman" w:hAnsi="Garamond" w:cs="Lucida Sans Unicode"/>
          <w:color w:val="333333"/>
          <w:sz w:val="24"/>
          <w:szCs w:val="21"/>
          <w:lang w:eastAsia="en-GB"/>
        </w:rPr>
        <w:t>Lukács’s</w:t>
      </w:r>
      <w:proofErr w:type="spellEnd"/>
      <w:r w:rsidR="000D7BA5" w:rsidRPr="000D7BA5">
        <w:rPr>
          <w:rFonts w:ascii="Garamond" w:eastAsia="Times New Roman" w:hAnsi="Garamond" w:cs="Lucida Sans Unicode"/>
          <w:color w:val="333333"/>
          <w:sz w:val="24"/>
          <w:szCs w:val="21"/>
          <w:lang w:eastAsia="en-GB"/>
        </w:rPr>
        <w:t xml:space="preserve"> essay on the essay via the analogy of portrait-painting, the main points of which have since been transcribed in clearer terms by Graham Good in his own work on the essay. </w:t>
      </w:r>
      <w:proofErr w:type="spellStart"/>
      <w:r w:rsidR="000D7BA5" w:rsidRPr="000D7BA5">
        <w:rPr>
          <w:rFonts w:ascii="Garamond" w:eastAsia="Times New Roman" w:hAnsi="Garamond" w:cs="Lucida Sans Unicode"/>
          <w:color w:val="333333"/>
          <w:sz w:val="24"/>
          <w:szCs w:val="21"/>
          <w:lang w:eastAsia="en-GB"/>
        </w:rPr>
        <w:t>Lukács</w:t>
      </w:r>
      <w:proofErr w:type="spellEnd"/>
      <w:r w:rsidR="000D7BA5" w:rsidRPr="000D7BA5">
        <w:rPr>
          <w:rFonts w:ascii="Garamond" w:eastAsia="Times New Roman" w:hAnsi="Garamond" w:cs="Lucida Sans Unicode"/>
          <w:color w:val="333333"/>
          <w:sz w:val="24"/>
          <w:szCs w:val="21"/>
          <w:lang w:eastAsia="en-GB"/>
        </w:rPr>
        <w:t xml:space="preserve"> draws a parallel between essay-writing and portrait-painting in a way that turns the former into a half—mimetic, half-creative experience, one that ‘aims at a kind of truth, as well as imaginative response’. </w:t>
      </w:r>
      <w:r w:rsidR="000D7BA5" w:rsidRPr="000D7BA5">
        <w:rPr>
          <w:rFonts w:ascii="Garamond" w:eastAsia="Times New Roman" w:hAnsi="Garamond" w:cs="Lucida Sans Unicode"/>
          <w:color w:val="333333"/>
          <w:sz w:val="24"/>
          <w:szCs w:val="21"/>
          <w:u w:val="single"/>
          <w:lang w:eastAsia="en-GB"/>
        </w:rPr>
        <w:t>The essayist strives for and manages to create a ‘likeness’ of his object in just the same way that a portraitist creates the ‘likeness’ of his sitter. This paradoxical operation is done by ‘observing and recording the “traits” of the object until some kind of vital configuration of aspects makes the separate objective features come to life as a likeness’. Most significantly, portrait—painting—-and by extension essay—writing—includes the artist as well as the model:</w:t>
      </w:r>
      <w:r w:rsidR="000D7BA5" w:rsidRPr="000D7BA5">
        <w:rPr>
          <w:rFonts w:ascii="Garamond" w:eastAsia="Times New Roman" w:hAnsi="Garamond" w:cs="Lucida Sans Unicode"/>
          <w:color w:val="333333"/>
          <w:sz w:val="24"/>
          <w:szCs w:val="21"/>
          <w:lang w:eastAsia="en-GB"/>
        </w:rPr>
        <w:t xml:space="preserve"> in ‘representing the likeness of his sitter’, the portraitist and by extension the essayist ‘also represents his own likeness in his </w:t>
      </w:r>
      <w:r w:rsidR="000D7BA5" w:rsidRPr="000D7BA5">
        <w:rPr>
          <w:rFonts w:ascii="Garamond" w:eastAsia="Times New Roman" w:hAnsi="Garamond" w:cs="Lucida Sans Unicode"/>
          <w:color w:val="333333"/>
          <w:sz w:val="24"/>
          <w:szCs w:val="21"/>
          <w:lang w:eastAsia="en-GB"/>
        </w:rPr>
        <w:lastRenderedPageBreak/>
        <w:t xml:space="preserve">painting’ so that ‘the created image is both “like” the sitter and “like” the artist; it is a convergence of individual identities’. </w:t>
      </w:r>
    </w:p>
    <w:p w:rsidR="000D7BA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Claire De </w:t>
      </w:r>
      <w:proofErr w:type="spellStart"/>
      <w:r w:rsidRPr="000D7BA5">
        <w:rPr>
          <w:rFonts w:ascii="Garamond" w:eastAsia="Times New Roman" w:hAnsi="Garamond" w:cs="Lucida Sans Unicode"/>
          <w:color w:val="333333"/>
          <w:szCs w:val="21"/>
          <w:lang w:eastAsia="en-GB"/>
        </w:rPr>
        <w:t>Obaldia</w:t>
      </w:r>
      <w:proofErr w:type="spellEnd"/>
      <w:r w:rsidRPr="000D7BA5">
        <w:rPr>
          <w:rFonts w:ascii="Garamond" w:eastAsia="Times New Roman" w:hAnsi="Garamond" w:cs="Lucida Sans Unicode"/>
          <w:color w:val="333333"/>
          <w:szCs w:val="21"/>
          <w:lang w:eastAsia="en-GB"/>
        </w:rPr>
        <w:t xml:space="preserve">, </w:t>
      </w:r>
      <w:proofErr w:type="spellStart"/>
      <w:r w:rsidRPr="000D7BA5">
        <w:rPr>
          <w:rFonts w:ascii="Garamond" w:eastAsia="Times New Roman" w:hAnsi="Garamond" w:cs="Lucida Sans Unicode"/>
          <w:color w:val="333333"/>
          <w:szCs w:val="21"/>
          <w:lang w:eastAsia="en-GB"/>
        </w:rPr>
        <w:t>quot</w:t>
      </w:r>
      <w:proofErr w:type="spellEnd"/>
      <w:r w:rsidRPr="000D7BA5">
        <w:rPr>
          <w:rFonts w:ascii="Garamond" w:eastAsia="Times New Roman" w:hAnsi="Garamond" w:cs="Lucida Sans Unicode"/>
          <w:color w:val="333333"/>
          <w:szCs w:val="21"/>
          <w:lang w:eastAsia="en-GB"/>
        </w:rPr>
        <w:t xml:space="preserve"> Graham Good, </w:t>
      </w:r>
      <w:r w:rsidRPr="000D7BA5">
        <w:rPr>
          <w:rFonts w:ascii="Garamond" w:eastAsia="Times New Roman" w:hAnsi="Garamond" w:cs="Lucida Sans Unicode"/>
          <w:i/>
          <w:color w:val="333333"/>
          <w:szCs w:val="21"/>
          <w:lang w:eastAsia="en-GB"/>
        </w:rPr>
        <w:t>The Observing Self</w:t>
      </w:r>
      <w:r w:rsidRPr="000D7BA5">
        <w:rPr>
          <w:rFonts w:ascii="Garamond" w:eastAsia="Times New Roman" w:hAnsi="Garamond" w:cs="Lucida Sans Unicode"/>
          <w:color w:val="333333"/>
          <w:szCs w:val="21"/>
          <w:lang w:eastAsia="en-GB"/>
        </w:rPr>
        <w:t xml:space="preserve"> (London: Routledge, 1988) p.9</w:t>
      </w:r>
    </w:p>
    <w:p w:rsidR="000D7BA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color w:val="333333"/>
          <w:sz w:val="24"/>
          <w:szCs w:val="21"/>
          <w:lang w:eastAsia="en-GB"/>
        </w:rPr>
        <w:t>DIALOGUES &amp; INTERTEXTS: the novel, epistolary fiction; journalism; realism and fantasy;</w:t>
      </w:r>
      <w:r w:rsidR="000D7BA5" w:rsidRPr="003C6995">
        <w:rPr>
          <w:rFonts w:ascii="Garamond" w:eastAsia="Times New Roman" w:hAnsi="Garamond" w:cs="Lucida Sans Unicode"/>
          <w:color w:val="333333"/>
          <w:sz w:val="24"/>
          <w:szCs w:val="21"/>
          <w:lang w:eastAsia="en-GB"/>
        </w:rPr>
        <w:t> </w:t>
      </w:r>
      <w:r w:rsidR="000D7BA5" w:rsidRPr="000D7BA5">
        <w:rPr>
          <w:rFonts w:ascii="Garamond" w:eastAsia="Times New Roman" w:hAnsi="Garamond" w:cs="Lucida Sans Unicode"/>
          <w:color w:val="333333"/>
          <w:sz w:val="24"/>
          <w:szCs w:val="21"/>
          <w:lang w:eastAsia="en-GB"/>
        </w:rPr>
        <w:br/>
        <w:t xml:space="preserve">…while the abilities of the nine-hundredth abridger of the History of England, or of the man who collects and publishes in a volume some dozen lines of Milton, Pope, and Prior, with a paper from the Spectator, and a chapter from Sterne, are eulogized by a thousand pens--there seems almost a general wish of decrying the capacity and undervaluing the labour of the novelist, and of slighting the performances which have only genius, wit, and taste to recommend them.  "I am no novel-reader--I seldom look into novels--Do not imagine that I often read novels--It is really very well for a novel."  Such is the common cant.  "And what are you reading, Miss--?"  "Oh! It is only a novel!"  </w:t>
      </w:r>
      <w:proofErr w:type="gramStart"/>
      <w:r w:rsidR="000D7BA5" w:rsidRPr="000D7BA5">
        <w:rPr>
          <w:rFonts w:ascii="Garamond" w:eastAsia="Times New Roman" w:hAnsi="Garamond" w:cs="Lucida Sans Unicode"/>
          <w:color w:val="333333"/>
          <w:sz w:val="24"/>
          <w:szCs w:val="21"/>
          <w:lang w:eastAsia="en-GB"/>
        </w:rPr>
        <w:t>replies</w:t>
      </w:r>
      <w:proofErr w:type="gramEnd"/>
      <w:r w:rsidR="000D7BA5" w:rsidRPr="000D7BA5">
        <w:rPr>
          <w:rFonts w:ascii="Garamond" w:eastAsia="Times New Roman" w:hAnsi="Garamond" w:cs="Lucida Sans Unicode"/>
          <w:color w:val="333333"/>
          <w:sz w:val="24"/>
          <w:szCs w:val="21"/>
          <w:lang w:eastAsia="en-GB"/>
        </w:rPr>
        <w:t xml:space="preserve"> the young lady, while she lays down her book with affected indifference, or momentary shame. </w:t>
      </w:r>
      <w:r w:rsidR="000D7BA5" w:rsidRPr="003C6995">
        <w:rPr>
          <w:rFonts w:ascii="Garamond" w:eastAsia="Times New Roman" w:hAnsi="Garamond" w:cs="Lucida Sans Unicode"/>
          <w:color w:val="333333"/>
          <w:sz w:val="24"/>
          <w:szCs w:val="21"/>
          <w:lang w:eastAsia="en-GB"/>
        </w:rPr>
        <w:t>…</w:t>
      </w:r>
      <w:r w:rsidR="000D7BA5" w:rsidRPr="000D7BA5">
        <w:rPr>
          <w:rFonts w:ascii="Garamond" w:eastAsia="Times New Roman" w:hAnsi="Garamond" w:cs="Lucida Sans Unicode"/>
          <w:color w:val="333333"/>
          <w:sz w:val="24"/>
          <w:szCs w:val="21"/>
          <w:lang w:eastAsia="en-GB"/>
        </w:rPr>
        <w:t> </w:t>
      </w:r>
      <w:r w:rsidR="000D7BA5" w:rsidRPr="003C6995">
        <w:rPr>
          <w:rFonts w:ascii="Garamond" w:eastAsia="Times New Roman" w:hAnsi="Garamond" w:cs="Lucida Sans Unicode"/>
          <w:color w:val="333333"/>
          <w:sz w:val="24"/>
          <w:szCs w:val="21"/>
          <w:lang w:eastAsia="en-GB"/>
        </w:rPr>
        <w:t> </w:t>
      </w:r>
    </w:p>
    <w:p w:rsidR="000D7BA5" w:rsidRPr="003C6995" w:rsidRDefault="000D7BA5" w:rsidP="003C6995">
      <w:pPr>
        <w:shd w:val="clear" w:color="auto" w:fill="FFFFFF"/>
        <w:spacing w:after="0" w:line="240" w:lineRule="auto"/>
        <w:ind w:left="720"/>
        <w:rPr>
          <w:rFonts w:ascii="Garamond" w:eastAsia="Times New Roman" w:hAnsi="Garamond" w:cs="Lucida Sans Unicode"/>
          <w:i/>
          <w:color w:val="333333"/>
          <w:szCs w:val="21"/>
          <w:lang w:eastAsia="en-GB"/>
        </w:rPr>
      </w:pPr>
      <w:r w:rsidRPr="000D7BA5">
        <w:rPr>
          <w:rFonts w:ascii="Garamond" w:eastAsia="Times New Roman" w:hAnsi="Garamond" w:cs="Lucida Sans Unicode"/>
          <w:i/>
          <w:color w:val="333333"/>
          <w:szCs w:val="21"/>
          <w:lang w:eastAsia="en-GB"/>
        </w:rPr>
        <w:t>Northanger Abbey</w:t>
      </w:r>
      <w:r w:rsidRPr="000D7BA5">
        <w:rPr>
          <w:rFonts w:ascii="Garamond" w:eastAsia="Times New Roman" w:hAnsi="Garamond" w:cs="Lucida Sans Unicode"/>
          <w:color w:val="333333"/>
          <w:szCs w:val="21"/>
          <w:lang w:eastAsia="en-GB"/>
        </w:rPr>
        <w:t xml:space="preserve"> (1819)</w:t>
      </w:r>
      <w:r w:rsidRPr="003C6995">
        <w:rPr>
          <w:rFonts w:ascii="Garamond" w:eastAsia="Times New Roman" w:hAnsi="Garamond" w:cs="Lucida Sans Unicode"/>
          <w:color w:val="333333"/>
          <w:szCs w:val="21"/>
          <w:lang w:eastAsia="en-GB"/>
        </w:rPr>
        <w:t xml:space="preserve">: </w:t>
      </w:r>
      <w:r w:rsidRPr="003C6995">
        <w:rPr>
          <w:rFonts w:ascii="Garamond" w:eastAsia="Times New Roman" w:hAnsi="Garamond" w:cs="Lucida Sans Unicode"/>
          <w:color w:val="333333"/>
          <w:lang w:eastAsia="en-GB"/>
        </w:rPr>
        <w:t xml:space="preserve">Austen’s defence of the novel against the dominance of poetry and the essay </w:t>
      </w:r>
      <w:r w:rsidRPr="000D7BA5">
        <w:rPr>
          <w:rFonts w:ascii="Garamond" w:eastAsia="Times New Roman" w:hAnsi="Garamond" w:cs="Lucida Sans Unicode"/>
          <w:color w:val="333333"/>
          <w:lang w:eastAsia="en-GB"/>
        </w:rPr>
        <w:t>(note her essayistic authorial address</w:t>
      </w:r>
      <w:r w:rsidRPr="003C6995">
        <w:rPr>
          <w:rFonts w:ascii="Garamond" w:eastAsia="Times New Roman" w:hAnsi="Garamond" w:cs="Lucida Sans Unicode"/>
          <w:color w:val="333333"/>
          <w:lang w:eastAsia="en-GB"/>
        </w:rPr>
        <w:t>)</w:t>
      </w:r>
      <w:r w:rsidRPr="003C6995">
        <w:rPr>
          <w:rFonts w:ascii="Garamond" w:eastAsia="Times New Roman" w:hAnsi="Garamond" w:cs="Lucida Sans Unicode"/>
          <w:i/>
          <w:color w:val="333333"/>
          <w:szCs w:val="21"/>
          <w:lang w:eastAsia="en-GB"/>
        </w:rPr>
        <w:t xml:space="preserve"> </w:t>
      </w:r>
    </w:p>
    <w:p w:rsidR="000D7BA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b/>
          <w:color w:val="333333"/>
          <w:sz w:val="28"/>
          <w:szCs w:val="21"/>
          <w:lang w:eastAsia="en-GB"/>
        </w:rPr>
        <w:t>The continuing relevance of the essay and its dual legacies of independent individual expression and general scepticism</w:t>
      </w:r>
      <w:r w:rsidR="000D7BA5" w:rsidRPr="000D7BA5">
        <w:rPr>
          <w:rFonts w:ascii="Garamond" w:eastAsia="Times New Roman" w:hAnsi="Garamond" w:cs="Lucida Sans Unicode"/>
          <w:color w:val="333333"/>
          <w:sz w:val="24"/>
          <w:szCs w:val="21"/>
          <w:lang w:eastAsia="en-GB"/>
        </w:rPr>
        <w:br/>
        <w:t>In our century, when the grand philosophical systems seem to have collapsed under their own weight and authoritarian taint, the light-footed, free-wheeling essay suddenly steps forward as an attractive way to open up philosophical discourse ... The personal essay's suitability for experimental method and self-reflective process, its tolerance for the fragmentary and irresolution, make it uniquely appropriate to the present era, whether we want to label it late modernist or postmodernist.</w:t>
      </w:r>
      <w:r w:rsidR="000D7BA5" w:rsidRPr="003C6995">
        <w:rPr>
          <w:rFonts w:ascii="Garamond" w:eastAsia="Times New Roman" w:hAnsi="Garamond" w:cs="Lucida Sans Unicode"/>
          <w:color w:val="333333"/>
          <w:sz w:val="24"/>
          <w:szCs w:val="21"/>
          <w:lang w:eastAsia="en-GB"/>
        </w:rPr>
        <w:t> </w:t>
      </w:r>
    </w:p>
    <w:p w:rsidR="000D7BA5" w:rsidRPr="003C6995" w:rsidRDefault="000D7BA5" w:rsidP="003C6995">
      <w:pPr>
        <w:shd w:val="clear" w:color="auto" w:fill="FFFFFF"/>
        <w:spacing w:after="0" w:line="240" w:lineRule="auto"/>
        <w:ind w:left="720"/>
        <w:rPr>
          <w:rFonts w:ascii="Garamond" w:eastAsia="Times New Roman" w:hAnsi="Garamond" w:cs="Lucida Sans Unicode"/>
          <w:color w:val="333333"/>
          <w:szCs w:val="21"/>
          <w:lang w:eastAsia="en-GB"/>
        </w:rPr>
      </w:pPr>
      <w:r w:rsidRPr="000D7BA5">
        <w:rPr>
          <w:rFonts w:ascii="Garamond" w:eastAsia="Times New Roman" w:hAnsi="Garamond" w:cs="Lucida Sans Unicode"/>
          <w:color w:val="333333"/>
          <w:szCs w:val="21"/>
          <w:lang w:eastAsia="en-GB"/>
        </w:rPr>
        <w:t xml:space="preserve">Philip </w:t>
      </w:r>
      <w:proofErr w:type="spellStart"/>
      <w:r w:rsidRPr="000D7BA5">
        <w:rPr>
          <w:rFonts w:ascii="Garamond" w:eastAsia="Times New Roman" w:hAnsi="Garamond" w:cs="Lucida Sans Unicode"/>
          <w:color w:val="333333"/>
          <w:szCs w:val="21"/>
          <w:lang w:eastAsia="en-GB"/>
        </w:rPr>
        <w:t>Lopate</w:t>
      </w:r>
      <w:proofErr w:type="spellEnd"/>
      <w:r w:rsidRPr="000D7BA5">
        <w:rPr>
          <w:rFonts w:ascii="Garamond" w:eastAsia="Times New Roman" w:hAnsi="Garamond" w:cs="Lucida Sans Unicode"/>
          <w:color w:val="333333"/>
          <w:szCs w:val="21"/>
          <w:lang w:eastAsia="en-GB"/>
        </w:rPr>
        <w:t xml:space="preserve"> (ed.), </w:t>
      </w:r>
      <w:r w:rsidRPr="000D7BA5">
        <w:rPr>
          <w:rFonts w:ascii="Garamond" w:eastAsia="Times New Roman" w:hAnsi="Garamond" w:cs="Lucida Sans Unicode"/>
          <w:i/>
          <w:color w:val="333333"/>
          <w:szCs w:val="21"/>
          <w:lang w:eastAsia="en-GB"/>
        </w:rPr>
        <w:t>The Art of the Personal Essay: An Anthology from the Classical Era to the Present</w:t>
      </w:r>
      <w:r w:rsidRPr="000D7BA5">
        <w:rPr>
          <w:rFonts w:ascii="Garamond" w:eastAsia="Times New Roman" w:hAnsi="Garamond" w:cs="Lucida Sans Unicode"/>
          <w:color w:val="333333"/>
          <w:szCs w:val="21"/>
          <w:lang w:eastAsia="en-GB"/>
        </w:rPr>
        <w:t xml:space="preserve">, Anchor/Doubleday, New York: 1994, </w:t>
      </w:r>
      <w:proofErr w:type="spellStart"/>
      <w:r w:rsidRPr="000D7BA5">
        <w:rPr>
          <w:rFonts w:ascii="Garamond" w:eastAsia="Times New Roman" w:hAnsi="Garamond" w:cs="Lucida Sans Unicode"/>
          <w:color w:val="333333"/>
          <w:szCs w:val="21"/>
          <w:lang w:eastAsia="en-GB"/>
        </w:rPr>
        <w:t>pp.xliii</w:t>
      </w:r>
      <w:proofErr w:type="spellEnd"/>
      <w:r w:rsidRPr="000D7BA5">
        <w:rPr>
          <w:rFonts w:ascii="Garamond" w:eastAsia="Times New Roman" w:hAnsi="Garamond" w:cs="Lucida Sans Unicode"/>
          <w:color w:val="333333"/>
          <w:szCs w:val="21"/>
          <w:lang w:eastAsia="en-GB"/>
        </w:rPr>
        <w:t xml:space="preserve"> &amp; l</w:t>
      </w:r>
      <w:r w:rsidRPr="003C6995">
        <w:rPr>
          <w:rFonts w:ascii="Garamond" w:eastAsia="Times New Roman" w:hAnsi="Garamond" w:cs="Lucida Sans Unicode"/>
          <w:color w:val="333333"/>
          <w:szCs w:val="21"/>
          <w:lang w:eastAsia="en-GB"/>
        </w:rPr>
        <w:t xml:space="preserve"> </w:t>
      </w:r>
    </w:p>
    <w:p w:rsidR="000D7BA5" w:rsidRPr="003C6995" w:rsidRDefault="003C6995" w:rsidP="003C6995">
      <w:pPr>
        <w:shd w:val="clear" w:color="auto" w:fill="FFFFFF"/>
        <w:spacing w:after="0" w:line="240" w:lineRule="auto"/>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 w:val="18"/>
          <w:szCs w:val="16"/>
          <w:lang w:eastAsia="en-GB"/>
        </w:rPr>
        <w:br/>
      </w:r>
      <w:r w:rsidR="000D7BA5" w:rsidRPr="000D7BA5">
        <w:rPr>
          <w:rFonts w:ascii="Garamond" w:eastAsia="Times New Roman" w:hAnsi="Garamond" w:cs="Lucida Sans Unicode"/>
          <w:color w:val="333333"/>
          <w:sz w:val="24"/>
          <w:szCs w:val="21"/>
          <w:lang w:eastAsia="en-GB"/>
        </w:rPr>
        <w:t>Of all forms of literature, however, the essay is the one which least calls for the use of long words. The principle which controls it is simply that it should give pleasure; the desire which impels us when we take it from the shelf is simply to receive pleasure. Everything in an essay must be subdued to that end. It should lay us under a spell with its first word, and we should only wake, refreshed, with its last. In the interval we may pass through the most various experiences of amusement, surprise, interest, indignation; we may soar to the heights of fantasy with Lamb or plunge to the depths of wisdom with Bacon, but we must never be roused. The essay must lap us about and dra</w:t>
      </w:r>
      <w:r w:rsidR="000D7BA5" w:rsidRPr="003C6995">
        <w:rPr>
          <w:rFonts w:ascii="Garamond" w:eastAsia="Times New Roman" w:hAnsi="Garamond" w:cs="Lucida Sans Unicode"/>
          <w:color w:val="333333"/>
          <w:sz w:val="24"/>
          <w:szCs w:val="21"/>
          <w:lang w:eastAsia="en-GB"/>
        </w:rPr>
        <w:t>w its curtain across the world.</w:t>
      </w:r>
    </w:p>
    <w:p w:rsidR="000D7BA5" w:rsidRPr="000D7BA5" w:rsidRDefault="000D7BA5" w:rsidP="003C6995">
      <w:pPr>
        <w:shd w:val="clear" w:color="auto" w:fill="FFFFFF"/>
        <w:spacing w:after="0" w:line="240" w:lineRule="auto"/>
        <w:ind w:firstLine="720"/>
        <w:rPr>
          <w:rFonts w:ascii="Garamond" w:eastAsia="Times New Roman" w:hAnsi="Garamond" w:cs="Lucida Sans Unicode"/>
          <w:color w:val="333333"/>
          <w:sz w:val="24"/>
          <w:szCs w:val="21"/>
          <w:lang w:eastAsia="en-GB"/>
        </w:rPr>
      </w:pPr>
      <w:r w:rsidRPr="000D7BA5">
        <w:rPr>
          <w:rFonts w:ascii="Garamond" w:eastAsia="Times New Roman" w:hAnsi="Garamond" w:cs="Lucida Sans Unicode"/>
          <w:color w:val="333333"/>
          <w:szCs w:val="21"/>
          <w:lang w:eastAsia="en-GB"/>
        </w:rPr>
        <w:t xml:space="preserve">Virginia Woolf ‘The Modern Essay,’ </w:t>
      </w:r>
      <w:r w:rsidRPr="000D7BA5">
        <w:rPr>
          <w:rFonts w:ascii="Garamond" w:eastAsia="Times New Roman" w:hAnsi="Garamond" w:cs="Lucida Sans Unicode"/>
          <w:i/>
          <w:color w:val="333333"/>
          <w:szCs w:val="21"/>
          <w:lang w:eastAsia="en-GB"/>
        </w:rPr>
        <w:t>The Common Reader</w:t>
      </w:r>
      <w:proofErr w:type="gramStart"/>
      <w:r w:rsidRPr="000D7BA5">
        <w:rPr>
          <w:rFonts w:ascii="Garamond" w:eastAsia="Times New Roman" w:hAnsi="Garamond" w:cs="Lucida Sans Unicode"/>
          <w:color w:val="333333"/>
          <w:szCs w:val="21"/>
          <w:lang w:eastAsia="en-GB"/>
        </w:rPr>
        <w:t>  1925</w:t>
      </w:r>
      <w:proofErr w:type="gramEnd"/>
      <w:r w:rsidRPr="000D7BA5">
        <w:rPr>
          <w:rFonts w:ascii="Garamond" w:eastAsia="Times New Roman" w:hAnsi="Garamond" w:cs="Lucida Sans Unicode"/>
          <w:color w:val="333333"/>
          <w:szCs w:val="21"/>
          <w:lang w:eastAsia="en-GB"/>
        </w:rPr>
        <w:t xml:space="preserve"> </w:t>
      </w:r>
      <w:r w:rsidRPr="000D7BA5">
        <w:rPr>
          <w:rFonts w:ascii="Garamond" w:eastAsia="Times New Roman" w:hAnsi="Garamond" w:cs="Lucida Sans Unicode"/>
          <w:color w:val="333333"/>
          <w:sz w:val="24"/>
          <w:szCs w:val="21"/>
          <w:lang w:eastAsia="en-GB"/>
        </w:rPr>
        <w:br/>
      </w:r>
      <w:r w:rsidR="003C6995" w:rsidRPr="000D7BA5">
        <w:rPr>
          <w:rFonts w:ascii="Garamond" w:eastAsia="Times New Roman" w:hAnsi="Garamond" w:cs="Lucida Sans Unicode"/>
          <w:color w:val="333333"/>
          <w:sz w:val="18"/>
          <w:szCs w:val="16"/>
          <w:lang w:eastAsia="en-GB"/>
        </w:rPr>
        <w:br/>
      </w:r>
      <w:r w:rsidRPr="000D7BA5">
        <w:rPr>
          <w:rFonts w:ascii="Garamond" w:eastAsia="Times New Roman" w:hAnsi="Garamond" w:cs="Lucida Sans Unicode"/>
          <w:color w:val="333333"/>
          <w:sz w:val="24"/>
          <w:szCs w:val="21"/>
          <w:lang w:eastAsia="en-GB"/>
        </w:rPr>
        <w:t xml:space="preserve">But what did Mr. Beerbohm give to the essay and what did he take from it? [...]What Mr. Beerbohm gave was, of course, himself. This presence, which has haunted the essay fitfully from the time of Montaigne, had been in exile since the death of Charles Lamb. [...] For it is only by knowing how to write that you can make use in literature of </w:t>
      </w:r>
      <w:proofErr w:type="spellStart"/>
      <w:r w:rsidRPr="000D7BA5">
        <w:rPr>
          <w:rFonts w:ascii="Garamond" w:eastAsia="Times New Roman" w:hAnsi="Garamond" w:cs="Lucida Sans Unicode"/>
          <w:color w:val="333333"/>
          <w:sz w:val="24"/>
          <w:szCs w:val="21"/>
          <w:lang w:eastAsia="en-GB"/>
        </w:rPr>
        <w:t>your self</w:t>
      </w:r>
      <w:proofErr w:type="spellEnd"/>
      <w:r w:rsidRPr="000D7BA5">
        <w:rPr>
          <w:rFonts w:ascii="Garamond" w:eastAsia="Times New Roman" w:hAnsi="Garamond" w:cs="Lucida Sans Unicode"/>
          <w:color w:val="333333"/>
          <w:sz w:val="24"/>
          <w:szCs w:val="21"/>
          <w:lang w:eastAsia="en-GB"/>
        </w:rPr>
        <w:t>; that self which, while it is essential to literature, is also its most dangerous antagonist. Never to be yourself and yet always—that is the problem. ... We are nauseated by the sight of trivial personalities decomposing in the eternity of print. As talk, no doubt, it was charming, and certainly the writer is a good fellow to meet over a bottle of beer. But literature is stern; it is no use being charming, virtuous, or even learned and brilliant into the bargain, unless, she seems to reiterate, you fulfil her first condition—to know how to write.  (</w:t>
      </w:r>
      <w:proofErr w:type="gramStart"/>
      <w:r w:rsidRPr="000D7BA5">
        <w:rPr>
          <w:rFonts w:ascii="Garamond" w:eastAsia="Times New Roman" w:hAnsi="Garamond" w:cs="Lucida Sans Unicode"/>
          <w:i/>
          <w:color w:val="333333"/>
          <w:sz w:val="24"/>
          <w:szCs w:val="21"/>
          <w:lang w:eastAsia="en-GB"/>
        </w:rPr>
        <w:t>ibid</w:t>
      </w:r>
      <w:r w:rsidRPr="000D7BA5">
        <w:rPr>
          <w:rFonts w:ascii="Garamond" w:eastAsia="Times New Roman" w:hAnsi="Garamond" w:cs="Lucida Sans Unicode"/>
          <w:color w:val="333333"/>
          <w:sz w:val="24"/>
          <w:szCs w:val="21"/>
          <w:lang w:eastAsia="en-GB"/>
        </w:rPr>
        <w:t xml:space="preserve"> )</w:t>
      </w:r>
      <w:proofErr w:type="gramEnd"/>
    </w:p>
    <w:p w:rsidR="00C14067" w:rsidRPr="003C6995" w:rsidRDefault="00C14067" w:rsidP="003C6995">
      <w:pPr>
        <w:spacing w:after="0" w:line="240" w:lineRule="auto"/>
        <w:rPr>
          <w:rFonts w:ascii="Garamond" w:hAnsi="Garamond"/>
          <w:sz w:val="28"/>
        </w:rPr>
      </w:pPr>
      <w:bookmarkStart w:id="0" w:name="_GoBack"/>
      <w:bookmarkEnd w:id="0"/>
    </w:p>
    <w:sectPr w:rsidR="00C14067" w:rsidRPr="003C6995" w:rsidSect="003C6995">
      <w:footerReference w:type="default" r:id="rId8"/>
      <w:pgSz w:w="11906" w:h="16838"/>
      <w:pgMar w:top="993"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651" w:rsidRDefault="005C3651" w:rsidP="003C6995">
      <w:pPr>
        <w:spacing w:after="0" w:line="240" w:lineRule="auto"/>
      </w:pPr>
      <w:r>
        <w:separator/>
      </w:r>
    </w:p>
  </w:endnote>
  <w:endnote w:type="continuationSeparator" w:id="0">
    <w:p w:rsidR="005C3651" w:rsidRDefault="005C3651" w:rsidP="003C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478432"/>
      <w:docPartObj>
        <w:docPartGallery w:val="Page Numbers (Bottom of Page)"/>
        <w:docPartUnique/>
      </w:docPartObj>
    </w:sdtPr>
    <w:sdtEndPr>
      <w:rPr>
        <w:rFonts w:ascii="Garamond" w:hAnsi="Garamond"/>
        <w:i/>
        <w:noProof/>
        <w:sz w:val="20"/>
      </w:rPr>
    </w:sdtEndPr>
    <w:sdtContent>
      <w:p w:rsidR="003C6995" w:rsidRPr="003C6995" w:rsidRDefault="003C6995">
        <w:pPr>
          <w:pStyle w:val="Footer"/>
          <w:jc w:val="right"/>
          <w:rPr>
            <w:rFonts w:ascii="Garamond" w:hAnsi="Garamond"/>
            <w:i/>
            <w:sz w:val="20"/>
          </w:rPr>
        </w:pPr>
        <w:r w:rsidRPr="003C6995">
          <w:rPr>
            <w:rFonts w:ascii="Garamond" w:hAnsi="Garamond"/>
            <w:i/>
            <w:sz w:val="20"/>
          </w:rPr>
          <w:fldChar w:fldCharType="begin"/>
        </w:r>
        <w:r w:rsidRPr="003C6995">
          <w:rPr>
            <w:rFonts w:ascii="Garamond" w:hAnsi="Garamond"/>
            <w:i/>
            <w:sz w:val="20"/>
          </w:rPr>
          <w:instrText xml:space="preserve"> PAGE   \* MERGEFORMAT </w:instrText>
        </w:r>
        <w:r w:rsidRPr="003C6995">
          <w:rPr>
            <w:rFonts w:ascii="Garamond" w:hAnsi="Garamond"/>
            <w:i/>
            <w:sz w:val="20"/>
          </w:rPr>
          <w:fldChar w:fldCharType="separate"/>
        </w:r>
        <w:r>
          <w:rPr>
            <w:rFonts w:ascii="Garamond" w:hAnsi="Garamond"/>
            <w:i/>
            <w:noProof/>
            <w:sz w:val="20"/>
          </w:rPr>
          <w:t>4</w:t>
        </w:r>
        <w:r w:rsidRPr="003C6995">
          <w:rPr>
            <w:rFonts w:ascii="Garamond" w:hAnsi="Garamond"/>
            <w:i/>
            <w:noProof/>
            <w:sz w:val="20"/>
          </w:rPr>
          <w:fldChar w:fldCharType="end"/>
        </w:r>
      </w:p>
    </w:sdtContent>
  </w:sdt>
  <w:p w:rsidR="003C6995" w:rsidRDefault="003C69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651" w:rsidRDefault="005C3651" w:rsidP="003C6995">
      <w:pPr>
        <w:spacing w:after="0" w:line="240" w:lineRule="auto"/>
      </w:pPr>
      <w:r>
        <w:separator/>
      </w:r>
    </w:p>
  </w:footnote>
  <w:footnote w:type="continuationSeparator" w:id="0">
    <w:p w:rsidR="005C3651" w:rsidRDefault="005C3651" w:rsidP="003C69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BA5"/>
    <w:rsid w:val="000D7BA5"/>
    <w:rsid w:val="003C6995"/>
    <w:rsid w:val="005C3651"/>
    <w:rsid w:val="00C14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D7BA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7BA5"/>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0D7BA5"/>
  </w:style>
  <w:style w:type="character" w:styleId="Hyperlink">
    <w:name w:val="Hyperlink"/>
    <w:basedOn w:val="DefaultParagraphFont"/>
    <w:uiPriority w:val="99"/>
    <w:unhideWhenUsed/>
    <w:rsid w:val="000D7BA5"/>
    <w:rPr>
      <w:color w:val="0000FF" w:themeColor="hyperlink"/>
      <w:u w:val="single"/>
    </w:rPr>
  </w:style>
  <w:style w:type="paragraph" w:styleId="ListParagraph">
    <w:name w:val="List Paragraph"/>
    <w:basedOn w:val="Normal"/>
    <w:uiPriority w:val="34"/>
    <w:qFormat/>
    <w:rsid w:val="003C6995"/>
    <w:pPr>
      <w:ind w:left="720"/>
      <w:contextualSpacing/>
    </w:pPr>
  </w:style>
  <w:style w:type="paragraph" w:styleId="Header">
    <w:name w:val="header"/>
    <w:basedOn w:val="Normal"/>
    <w:link w:val="HeaderChar"/>
    <w:uiPriority w:val="99"/>
    <w:unhideWhenUsed/>
    <w:rsid w:val="003C6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995"/>
  </w:style>
  <w:style w:type="paragraph" w:styleId="Footer">
    <w:name w:val="footer"/>
    <w:basedOn w:val="Normal"/>
    <w:link w:val="FooterChar"/>
    <w:uiPriority w:val="99"/>
    <w:unhideWhenUsed/>
    <w:rsid w:val="003C6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9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D7BA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7BA5"/>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0D7BA5"/>
  </w:style>
  <w:style w:type="character" w:styleId="Hyperlink">
    <w:name w:val="Hyperlink"/>
    <w:basedOn w:val="DefaultParagraphFont"/>
    <w:uiPriority w:val="99"/>
    <w:unhideWhenUsed/>
    <w:rsid w:val="000D7BA5"/>
    <w:rPr>
      <w:color w:val="0000FF" w:themeColor="hyperlink"/>
      <w:u w:val="single"/>
    </w:rPr>
  </w:style>
  <w:style w:type="paragraph" w:styleId="ListParagraph">
    <w:name w:val="List Paragraph"/>
    <w:basedOn w:val="Normal"/>
    <w:uiPriority w:val="34"/>
    <w:qFormat/>
    <w:rsid w:val="003C6995"/>
    <w:pPr>
      <w:ind w:left="720"/>
      <w:contextualSpacing/>
    </w:pPr>
  </w:style>
  <w:style w:type="paragraph" w:styleId="Header">
    <w:name w:val="header"/>
    <w:basedOn w:val="Normal"/>
    <w:link w:val="HeaderChar"/>
    <w:uiPriority w:val="99"/>
    <w:unhideWhenUsed/>
    <w:rsid w:val="003C6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995"/>
  </w:style>
  <w:style w:type="paragraph" w:styleId="Footer">
    <w:name w:val="footer"/>
    <w:basedOn w:val="Normal"/>
    <w:link w:val="FooterChar"/>
    <w:uiPriority w:val="99"/>
    <w:unhideWhenUsed/>
    <w:rsid w:val="003C6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639708">
      <w:bodyDiv w:val="1"/>
      <w:marLeft w:val="0"/>
      <w:marRight w:val="0"/>
      <w:marTop w:val="0"/>
      <w:marBottom w:val="0"/>
      <w:divBdr>
        <w:top w:val="none" w:sz="0" w:space="0" w:color="auto"/>
        <w:left w:val="none" w:sz="0" w:space="0" w:color="auto"/>
        <w:bottom w:val="none" w:sz="0" w:space="0" w:color="auto"/>
        <w:right w:val="none" w:sz="0" w:space="0" w:color="auto"/>
      </w:divBdr>
      <w:divsChild>
        <w:div w:id="1793280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cience.uva.nl/~seop/entries/medieval-literary/"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2363</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2015-04-30T12:02:00Z</dcterms:created>
  <dcterms:modified xsi:type="dcterms:W3CDTF">2015-04-30T12:28:00Z</dcterms:modified>
</cp:coreProperties>
</file>