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E114F" w14:textId="29927E10" w:rsidR="00F10053" w:rsidRPr="00E372B8" w:rsidRDefault="00F21B93" w:rsidP="00801041">
      <w:pPr>
        <w:rPr>
          <w:sz w:val="20"/>
          <w:szCs w:val="20"/>
        </w:rPr>
      </w:pPr>
      <w:r w:rsidRPr="00E372B8">
        <w:rPr>
          <w:sz w:val="20"/>
          <w:szCs w:val="20"/>
        </w:rPr>
        <w:t xml:space="preserve"> </w:t>
      </w:r>
    </w:p>
    <w:p w14:paraId="545B40AB" w14:textId="648F3A6C" w:rsidR="00F10053" w:rsidRPr="00E372B8" w:rsidRDefault="00F21B93" w:rsidP="00801041">
      <w:pPr>
        <w:rPr>
          <w:sz w:val="20"/>
          <w:szCs w:val="20"/>
        </w:rPr>
      </w:pPr>
      <w:r w:rsidRPr="00E372B8">
        <w:rPr>
          <w:sz w:val="20"/>
          <w:szCs w:val="20"/>
        </w:rPr>
        <w:t xml:space="preserve"> </w:t>
      </w:r>
    </w:p>
    <w:p w14:paraId="07CC9A66" w14:textId="69441B37" w:rsidR="00F21B93" w:rsidRPr="00E372B8" w:rsidRDefault="00F21B93" w:rsidP="00F21B93">
      <w:pPr>
        <w:pStyle w:val="Title"/>
        <w:rPr>
          <w:sz w:val="48"/>
          <w:szCs w:val="48"/>
        </w:rPr>
      </w:pPr>
      <w:r w:rsidRPr="00E372B8">
        <w:rPr>
          <w:sz w:val="48"/>
          <w:szCs w:val="48"/>
        </w:rPr>
        <w:t xml:space="preserve"> Changemakers  Creativity and Value Creation Professions</w:t>
      </w:r>
    </w:p>
    <w:p w14:paraId="4F4BEAA2" w14:textId="77777777" w:rsidR="00F21B93" w:rsidRPr="00E372B8" w:rsidRDefault="00F21B93" w:rsidP="00F21B93">
      <w:pPr>
        <w:pStyle w:val="Title"/>
        <w:rPr>
          <w:sz w:val="48"/>
          <w:szCs w:val="48"/>
        </w:rPr>
      </w:pPr>
      <w:r w:rsidRPr="00E372B8">
        <w:rPr>
          <w:sz w:val="48"/>
          <w:szCs w:val="48"/>
        </w:rPr>
        <w:t>(BMHP5014)</w:t>
      </w:r>
    </w:p>
    <w:p w14:paraId="54BF630F" w14:textId="77777777" w:rsidR="00F21B93" w:rsidRPr="00E372B8" w:rsidRDefault="00F21B93" w:rsidP="00F21B93">
      <w:pPr>
        <w:pStyle w:val="Title"/>
        <w:rPr>
          <w:sz w:val="48"/>
          <w:szCs w:val="48"/>
        </w:rPr>
      </w:pPr>
    </w:p>
    <w:p w14:paraId="5C814F74" w14:textId="77777777" w:rsidR="00760738" w:rsidRPr="00E372B8" w:rsidRDefault="00760738" w:rsidP="00760738">
      <w:pPr>
        <w:pStyle w:val="Title"/>
        <w:rPr>
          <w:sz w:val="48"/>
          <w:szCs w:val="48"/>
        </w:rPr>
      </w:pPr>
      <w:r w:rsidRPr="00E372B8">
        <w:rPr>
          <w:sz w:val="48"/>
          <w:szCs w:val="48"/>
        </w:rPr>
        <w:t>BridgeHome</w:t>
      </w:r>
    </w:p>
    <w:p w14:paraId="6A192257" w14:textId="67D1FE1D" w:rsidR="00760738" w:rsidRPr="00E372B8" w:rsidRDefault="00760738" w:rsidP="00760738">
      <w:pPr>
        <w:pStyle w:val="Title"/>
        <w:rPr>
          <w:sz w:val="48"/>
          <w:szCs w:val="48"/>
        </w:rPr>
      </w:pPr>
      <w:r w:rsidRPr="00E372B8">
        <w:rPr>
          <w:sz w:val="48"/>
          <w:szCs w:val="48"/>
        </w:rPr>
        <w:t>A Poster and Pitch for an NHS App-Linked Discharge and Recovery Companion for Older People</w:t>
      </w:r>
    </w:p>
    <w:p w14:paraId="0EED0CDE" w14:textId="77777777" w:rsidR="00760738" w:rsidRPr="00E372B8" w:rsidRDefault="00760738" w:rsidP="00760738">
      <w:pPr>
        <w:pStyle w:val="Title"/>
        <w:rPr>
          <w:sz w:val="48"/>
          <w:szCs w:val="48"/>
        </w:rPr>
      </w:pPr>
    </w:p>
    <w:p w14:paraId="2A1CDAED" w14:textId="30077A82" w:rsidR="00E372B8" w:rsidRPr="00E372B8" w:rsidRDefault="00760738" w:rsidP="00801041">
      <w:pPr>
        <w:rPr>
          <w:rFonts w:ascii="Calibri" w:hAnsi="Calibri" w:cs="Calibri"/>
          <w:i/>
          <w:iCs/>
          <w:sz w:val="48"/>
          <w:szCs w:val="48"/>
        </w:rPr>
      </w:pPr>
      <w:r w:rsidRPr="00E372B8">
        <w:rPr>
          <w:rFonts w:ascii="Calibri" w:hAnsi="Calibri" w:cs="Calibri"/>
          <w:i/>
          <w:iCs/>
          <w:sz w:val="48"/>
          <w:szCs w:val="48"/>
        </w:rPr>
        <w:t>Assignment Title: Component 2: Written Assignment (Poster and Pitch)</w:t>
      </w:r>
    </w:p>
    <w:p w14:paraId="4BCCB0BE" w14:textId="7974A8ED" w:rsidR="00E372B8" w:rsidRDefault="00E372B8" w:rsidP="00E372B8">
      <w:pPr>
        <w:sectPr w:rsidR="00E372B8">
          <w:pgSz w:w="11906" w:h="16838"/>
          <w:pgMar w:top="1440" w:right="1440" w:bottom="1440" w:left="1440" w:header="708" w:footer="708" w:gutter="0"/>
          <w:cols w:space="720"/>
          <w:docGrid w:linePitch="360"/>
        </w:sectPr>
      </w:pPr>
      <w:r>
        <w:t>Claudiu Girbea</w:t>
      </w:r>
      <w:r>
        <w:t xml:space="preserve"> </w:t>
      </w:r>
      <w:r>
        <w:t>2430595</w:t>
      </w:r>
    </w:p>
    <w:p w14:paraId="7BC2A025" w14:textId="7D96860C" w:rsidR="00F10053" w:rsidRDefault="00F21B93" w:rsidP="00801041">
      <w:r>
        <w:lastRenderedPageBreak/>
        <w:t xml:space="preserve"> </w:t>
      </w:r>
    </w:p>
    <w:sdt>
      <w:sdtPr>
        <w:rPr>
          <w:rFonts w:ascii="Times New Roman" w:eastAsia="Calibri" w:hAnsi="Times New Roman" w:cs="Times New Roman"/>
          <w:color w:val="auto"/>
          <w:sz w:val="24"/>
          <w:szCs w:val="24"/>
          <w:lang w:val="en-GB" w:eastAsia="en-GB"/>
        </w:rPr>
        <w:id w:val="379211588"/>
        <w:docPartObj>
          <w:docPartGallery w:val="Table of Contents"/>
          <w:docPartUnique/>
        </w:docPartObj>
      </w:sdtPr>
      <w:sdtEndPr>
        <w:rPr>
          <w:noProof/>
        </w:rPr>
      </w:sdtEndPr>
      <w:sdtContent>
        <w:p w14:paraId="7618559E" w14:textId="0874FE51" w:rsidR="00F21B93" w:rsidRDefault="00F21B93">
          <w:pPr>
            <w:pStyle w:val="TOCHeading"/>
          </w:pPr>
          <w:r>
            <w:t>Table of Contents</w:t>
          </w:r>
        </w:p>
        <w:p w14:paraId="55E9216F" w14:textId="07304DFA" w:rsidR="00E372B8" w:rsidRDefault="00F21B93">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145844" w:history="1">
            <w:r w:rsidR="00E372B8" w:rsidRPr="004844A2">
              <w:rPr>
                <w:rStyle w:val="Hyperlink"/>
                <w:noProof/>
              </w:rPr>
              <w:t>Poster</w:t>
            </w:r>
            <w:r w:rsidR="00E372B8">
              <w:rPr>
                <w:noProof/>
                <w:webHidden/>
              </w:rPr>
              <w:tab/>
            </w:r>
            <w:r w:rsidR="00E372B8">
              <w:rPr>
                <w:noProof/>
                <w:webHidden/>
              </w:rPr>
              <w:fldChar w:fldCharType="begin"/>
            </w:r>
            <w:r w:rsidR="00E372B8">
              <w:rPr>
                <w:noProof/>
                <w:webHidden/>
              </w:rPr>
              <w:instrText xml:space="preserve"> PAGEREF _Toc236145844 \h </w:instrText>
            </w:r>
            <w:r w:rsidR="00E372B8">
              <w:rPr>
                <w:noProof/>
                <w:webHidden/>
              </w:rPr>
            </w:r>
            <w:r w:rsidR="00E372B8">
              <w:rPr>
                <w:noProof/>
                <w:webHidden/>
              </w:rPr>
              <w:fldChar w:fldCharType="separate"/>
            </w:r>
            <w:r w:rsidR="00E372B8">
              <w:rPr>
                <w:noProof/>
                <w:webHidden/>
              </w:rPr>
              <w:t>3</w:t>
            </w:r>
            <w:r w:rsidR="00E372B8">
              <w:rPr>
                <w:noProof/>
                <w:webHidden/>
              </w:rPr>
              <w:fldChar w:fldCharType="end"/>
            </w:r>
          </w:hyperlink>
        </w:p>
        <w:p w14:paraId="6BB48B12" w14:textId="301F031A"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45" w:history="1">
            <w:r w:rsidRPr="004844A2">
              <w:rPr>
                <w:rStyle w:val="Hyperlink"/>
                <w:noProof/>
              </w:rPr>
              <w:t>The Pitch: BridgeHome</w:t>
            </w:r>
            <w:r>
              <w:rPr>
                <w:noProof/>
                <w:webHidden/>
              </w:rPr>
              <w:tab/>
            </w:r>
            <w:r>
              <w:rPr>
                <w:noProof/>
                <w:webHidden/>
              </w:rPr>
              <w:fldChar w:fldCharType="begin"/>
            </w:r>
            <w:r>
              <w:rPr>
                <w:noProof/>
                <w:webHidden/>
              </w:rPr>
              <w:instrText xml:space="preserve"> PAGEREF _Toc236145845 \h </w:instrText>
            </w:r>
            <w:r>
              <w:rPr>
                <w:noProof/>
                <w:webHidden/>
              </w:rPr>
            </w:r>
            <w:r>
              <w:rPr>
                <w:noProof/>
                <w:webHidden/>
              </w:rPr>
              <w:fldChar w:fldCharType="separate"/>
            </w:r>
            <w:r>
              <w:rPr>
                <w:noProof/>
                <w:webHidden/>
              </w:rPr>
              <w:t>3</w:t>
            </w:r>
            <w:r>
              <w:rPr>
                <w:noProof/>
                <w:webHidden/>
              </w:rPr>
              <w:fldChar w:fldCharType="end"/>
            </w:r>
          </w:hyperlink>
        </w:p>
        <w:p w14:paraId="08482169" w14:textId="536B8A7B"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46" w:history="1">
            <w:r w:rsidRPr="004844A2">
              <w:rPr>
                <w:rStyle w:val="Hyperlink"/>
                <w:noProof/>
              </w:rPr>
              <w:t>Introduction</w:t>
            </w:r>
            <w:r>
              <w:rPr>
                <w:noProof/>
                <w:webHidden/>
              </w:rPr>
              <w:tab/>
            </w:r>
            <w:r>
              <w:rPr>
                <w:noProof/>
                <w:webHidden/>
              </w:rPr>
              <w:fldChar w:fldCharType="begin"/>
            </w:r>
            <w:r>
              <w:rPr>
                <w:noProof/>
                <w:webHidden/>
              </w:rPr>
              <w:instrText xml:space="preserve"> PAGEREF _Toc236145846 \h </w:instrText>
            </w:r>
            <w:r>
              <w:rPr>
                <w:noProof/>
                <w:webHidden/>
              </w:rPr>
            </w:r>
            <w:r>
              <w:rPr>
                <w:noProof/>
                <w:webHidden/>
              </w:rPr>
              <w:fldChar w:fldCharType="separate"/>
            </w:r>
            <w:r>
              <w:rPr>
                <w:noProof/>
                <w:webHidden/>
              </w:rPr>
              <w:t>3</w:t>
            </w:r>
            <w:r>
              <w:rPr>
                <w:noProof/>
                <w:webHidden/>
              </w:rPr>
              <w:fldChar w:fldCharType="end"/>
            </w:r>
          </w:hyperlink>
        </w:p>
        <w:p w14:paraId="523673F6" w14:textId="752900B8"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47" w:history="1">
            <w:r w:rsidRPr="004844A2">
              <w:rPr>
                <w:rStyle w:val="Hyperlink"/>
                <w:noProof/>
              </w:rPr>
              <w:t>Background</w:t>
            </w:r>
            <w:r>
              <w:rPr>
                <w:noProof/>
                <w:webHidden/>
              </w:rPr>
              <w:tab/>
            </w:r>
            <w:r>
              <w:rPr>
                <w:noProof/>
                <w:webHidden/>
              </w:rPr>
              <w:fldChar w:fldCharType="begin"/>
            </w:r>
            <w:r>
              <w:rPr>
                <w:noProof/>
                <w:webHidden/>
              </w:rPr>
              <w:instrText xml:space="preserve"> PAGEREF _Toc236145847 \h </w:instrText>
            </w:r>
            <w:r>
              <w:rPr>
                <w:noProof/>
                <w:webHidden/>
              </w:rPr>
            </w:r>
            <w:r>
              <w:rPr>
                <w:noProof/>
                <w:webHidden/>
              </w:rPr>
              <w:fldChar w:fldCharType="separate"/>
            </w:r>
            <w:r>
              <w:rPr>
                <w:noProof/>
                <w:webHidden/>
              </w:rPr>
              <w:t>3</w:t>
            </w:r>
            <w:r>
              <w:rPr>
                <w:noProof/>
                <w:webHidden/>
              </w:rPr>
              <w:fldChar w:fldCharType="end"/>
            </w:r>
          </w:hyperlink>
        </w:p>
        <w:p w14:paraId="0E0B94C3" w14:textId="3ECC7C2E"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48" w:history="1">
            <w:r w:rsidRPr="004844A2">
              <w:rPr>
                <w:rStyle w:val="Hyperlink"/>
                <w:noProof/>
              </w:rPr>
              <w:t>Innovation Description</w:t>
            </w:r>
            <w:r>
              <w:rPr>
                <w:noProof/>
                <w:webHidden/>
              </w:rPr>
              <w:tab/>
            </w:r>
            <w:r>
              <w:rPr>
                <w:noProof/>
                <w:webHidden/>
              </w:rPr>
              <w:fldChar w:fldCharType="begin"/>
            </w:r>
            <w:r>
              <w:rPr>
                <w:noProof/>
                <w:webHidden/>
              </w:rPr>
              <w:instrText xml:space="preserve"> PAGEREF _Toc236145848 \h </w:instrText>
            </w:r>
            <w:r>
              <w:rPr>
                <w:noProof/>
                <w:webHidden/>
              </w:rPr>
            </w:r>
            <w:r>
              <w:rPr>
                <w:noProof/>
                <w:webHidden/>
              </w:rPr>
              <w:fldChar w:fldCharType="separate"/>
            </w:r>
            <w:r>
              <w:rPr>
                <w:noProof/>
                <w:webHidden/>
              </w:rPr>
              <w:t>4</w:t>
            </w:r>
            <w:r>
              <w:rPr>
                <w:noProof/>
                <w:webHidden/>
              </w:rPr>
              <w:fldChar w:fldCharType="end"/>
            </w:r>
          </w:hyperlink>
        </w:p>
        <w:p w14:paraId="6D56C1FF" w14:textId="2ADA668A"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49" w:history="1">
            <w:r w:rsidRPr="004844A2">
              <w:rPr>
                <w:rStyle w:val="Hyperlink"/>
                <w:noProof/>
              </w:rPr>
              <w:t>Impact on Health and Social Care</w:t>
            </w:r>
            <w:r>
              <w:rPr>
                <w:noProof/>
                <w:webHidden/>
              </w:rPr>
              <w:tab/>
            </w:r>
            <w:r>
              <w:rPr>
                <w:noProof/>
                <w:webHidden/>
              </w:rPr>
              <w:fldChar w:fldCharType="begin"/>
            </w:r>
            <w:r>
              <w:rPr>
                <w:noProof/>
                <w:webHidden/>
              </w:rPr>
              <w:instrText xml:space="preserve"> PAGEREF _Toc236145849 \h </w:instrText>
            </w:r>
            <w:r>
              <w:rPr>
                <w:noProof/>
                <w:webHidden/>
              </w:rPr>
            </w:r>
            <w:r>
              <w:rPr>
                <w:noProof/>
                <w:webHidden/>
              </w:rPr>
              <w:fldChar w:fldCharType="separate"/>
            </w:r>
            <w:r>
              <w:rPr>
                <w:noProof/>
                <w:webHidden/>
              </w:rPr>
              <w:t>4</w:t>
            </w:r>
            <w:r>
              <w:rPr>
                <w:noProof/>
                <w:webHidden/>
              </w:rPr>
              <w:fldChar w:fldCharType="end"/>
            </w:r>
          </w:hyperlink>
        </w:p>
        <w:p w14:paraId="345D4694" w14:textId="6D911EDC"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50" w:history="1">
            <w:r w:rsidRPr="004844A2">
              <w:rPr>
                <w:rStyle w:val="Hyperlink"/>
                <w:noProof/>
              </w:rPr>
              <w:t>Public and Stakeholder Involvement</w:t>
            </w:r>
            <w:r>
              <w:rPr>
                <w:noProof/>
                <w:webHidden/>
              </w:rPr>
              <w:tab/>
            </w:r>
            <w:r>
              <w:rPr>
                <w:noProof/>
                <w:webHidden/>
              </w:rPr>
              <w:fldChar w:fldCharType="begin"/>
            </w:r>
            <w:r>
              <w:rPr>
                <w:noProof/>
                <w:webHidden/>
              </w:rPr>
              <w:instrText xml:space="preserve"> PAGEREF _Toc236145850 \h </w:instrText>
            </w:r>
            <w:r>
              <w:rPr>
                <w:noProof/>
                <w:webHidden/>
              </w:rPr>
            </w:r>
            <w:r>
              <w:rPr>
                <w:noProof/>
                <w:webHidden/>
              </w:rPr>
              <w:fldChar w:fldCharType="separate"/>
            </w:r>
            <w:r>
              <w:rPr>
                <w:noProof/>
                <w:webHidden/>
              </w:rPr>
              <w:t>5</w:t>
            </w:r>
            <w:r>
              <w:rPr>
                <w:noProof/>
                <w:webHidden/>
              </w:rPr>
              <w:fldChar w:fldCharType="end"/>
            </w:r>
          </w:hyperlink>
        </w:p>
        <w:p w14:paraId="796967D1" w14:textId="5678084E"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51" w:history="1">
            <w:r w:rsidRPr="004844A2">
              <w:rPr>
                <w:rStyle w:val="Hyperlink"/>
                <w:noProof/>
              </w:rPr>
              <w:t>Policies, Services, and Professional Links</w:t>
            </w:r>
            <w:r>
              <w:rPr>
                <w:noProof/>
                <w:webHidden/>
              </w:rPr>
              <w:tab/>
            </w:r>
            <w:r>
              <w:rPr>
                <w:noProof/>
                <w:webHidden/>
              </w:rPr>
              <w:fldChar w:fldCharType="begin"/>
            </w:r>
            <w:r>
              <w:rPr>
                <w:noProof/>
                <w:webHidden/>
              </w:rPr>
              <w:instrText xml:space="preserve"> PAGEREF _Toc236145851 \h </w:instrText>
            </w:r>
            <w:r>
              <w:rPr>
                <w:noProof/>
                <w:webHidden/>
              </w:rPr>
            </w:r>
            <w:r>
              <w:rPr>
                <w:noProof/>
                <w:webHidden/>
              </w:rPr>
              <w:fldChar w:fldCharType="separate"/>
            </w:r>
            <w:r>
              <w:rPr>
                <w:noProof/>
                <w:webHidden/>
              </w:rPr>
              <w:t>5</w:t>
            </w:r>
            <w:r>
              <w:rPr>
                <w:noProof/>
                <w:webHidden/>
              </w:rPr>
              <w:fldChar w:fldCharType="end"/>
            </w:r>
          </w:hyperlink>
        </w:p>
        <w:p w14:paraId="5BC0A4C6" w14:textId="1171FC18"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52" w:history="1">
            <w:r w:rsidRPr="004844A2">
              <w:rPr>
                <w:rStyle w:val="Hyperlink"/>
                <w:noProof/>
              </w:rPr>
              <w:t>Conclusion</w:t>
            </w:r>
            <w:r>
              <w:rPr>
                <w:noProof/>
                <w:webHidden/>
              </w:rPr>
              <w:tab/>
            </w:r>
            <w:r>
              <w:rPr>
                <w:noProof/>
                <w:webHidden/>
              </w:rPr>
              <w:fldChar w:fldCharType="begin"/>
            </w:r>
            <w:r>
              <w:rPr>
                <w:noProof/>
                <w:webHidden/>
              </w:rPr>
              <w:instrText xml:space="preserve"> PAGEREF _Toc236145852 \h </w:instrText>
            </w:r>
            <w:r>
              <w:rPr>
                <w:noProof/>
                <w:webHidden/>
              </w:rPr>
            </w:r>
            <w:r>
              <w:rPr>
                <w:noProof/>
                <w:webHidden/>
              </w:rPr>
              <w:fldChar w:fldCharType="separate"/>
            </w:r>
            <w:r>
              <w:rPr>
                <w:noProof/>
                <w:webHidden/>
              </w:rPr>
              <w:t>6</w:t>
            </w:r>
            <w:r>
              <w:rPr>
                <w:noProof/>
                <w:webHidden/>
              </w:rPr>
              <w:fldChar w:fldCharType="end"/>
            </w:r>
          </w:hyperlink>
        </w:p>
        <w:p w14:paraId="087E36D8" w14:textId="37239B3C" w:rsidR="00E372B8" w:rsidRDefault="00E372B8">
          <w:pPr>
            <w:pStyle w:val="TOC1"/>
            <w:tabs>
              <w:tab w:val="right" w:leader="dot" w:pos="9016"/>
            </w:tabs>
            <w:rPr>
              <w:rFonts w:asciiTheme="minorHAnsi" w:eastAsiaTheme="minorEastAsia" w:hAnsiTheme="minorHAnsi" w:cstheme="minorBidi"/>
              <w:noProof/>
              <w:kern w:val="2"/>
              <w14:ligatures w14:val="standardContextual"/>
            </w:rPr>
          </w:pPr>
          <w:hyperlink w:anchor="_Toc236145853" w:history="1">
            <w:r w:rsidRPr="004844A2">
              <w:rPr>
                <w:rStyle w:val="Hyperlink"/>
                <w:noProof/>
              </w:rPr>
              <w:t>Reference List</w:t>
            </w:r>
            <w:r>
              <w:rPr>
                <w:noProof/>
                <w:webHidden/>
              </w:rPr>
              <w:tab/>
            </w:r>
            <w:r>
              <w:rPr>
                <w:noProof/>
                <w:webHidden/>
              </w:rPr>
              <w:fldChar w:fldCharType="begin"/>
            </w:r>
            <w:r>
              <w:rPr>
                <w:noProof/>
                <w:webHidden/>
              </w:rPr>
              <w:instrText xml:space="preserve"> PAGEREF _Toc236145853 \h </w:instrText>
            </w:r>
            <w:r>
              <w:rPr>
                <w:noProof/>
                <w:webHidden/>
              </w:rPr>
            </w:r>
            <w:r>
              <w:rPr>
                <w:noProof/>
                <w:webHidden/>
              </w:rPr>
              <w:fldChar w:fldCharType="separate"/>
            </w:r>
            <w:r>
              <w:rPr>
                <w:noProof/>
                <w:webHidden/>
              </w:rPr>
              <w:t>6</w:t>
            </w:r>
            <w:r>
              <w:rPr>
                <w:noProof/>
                <w:webHidden/>
              </w:rPr>
              <w:fldChar w:fldCharType="end"/>
            </w:r>
          </w:hyperlink>
        </w:p>
        <w:p w14:paraId="1E9994D2" w14:textId="6D0ABA0F" w:rsidR="00F21B93" w:rsidRDefault="00F21B93" w:rsidP="00801041">
          <w:r>
            <w:rPr>
              <w:noProof/>
            </w:rPr>
            <w:fldChar w:fldCharType="end"/>
          </w:r>
        </w:p>
      </w:sdtContent>
    </w:sdt>
    <w:p w14:paraId="54E6B75D" w14:textId="77777777" w:rsidR="00F10053" w:rsidRDefault="00F10053" w:rsidP="00801041"/>
    <w:p w14:paraId="78C7D3D3" w14:textId="77777777" w:rsidR="00316BE4" w:rsidRDefault="00316BE4" w:rsidP="00801041"/>
    <w:p w14:paraId="5F6F17BD" w14:textId="77777777" w:rsidR="00316BE4" w:rsidRDefault="00316BE4" w:rsidP="00801041"/>
    <w:p w14:paraId="34494336" w14:textId="77777777" w:rsidR="00316BE4" w:rsidRDefault="00316BE4" w:rsidP="00801041"/>
    <w:p w14:paraId="2D4EAFC2" w14:textId="77777777" w:rsidR="00316BE4" w:rsidRDefault="00316BE4" w:rsidP="00801041"/>
    <w:p w14:paraId="7486A040" w14:textId="77777777" w:rsidR="00316BE4" w:rsidRDefault="00316BE4" w:rsidP="00801041">
      <w:pPr>
        <w:sectPr w:rsidR="00316BE4">
          <w:pgSz w:w="11906" w:h="16838"/>
          <w:pgMar w:top="1440" w:right="1440" w:bottom="1440" w:left="1440" w:header="708" w:footer="708" w:gutter="0"/>
          <w:cols w:space="720"/>
          <w:docGrid w:linePitch="360"/>
        </w:sectPr>
      </w:pPr>
    </w:p>
    <w:p w14:paraId="6BBEBE58" w14:textId="4CD6BBE1" w:rsidR="00F10053" w:rsidRDefault="00316BE4" w:rsidP="00316BE4">
      <w:pPr>
        <w:pStyle w:val="Heading1"/>
      </w:pPr>
      <w:r>
        <w:lastRenderedPageBreak/>
        <w:t xml:space="preserve"> </w:t>
      </w:r>
      <w:bookmarkStart w:id="0" w:name="_Toc236145844"/>
      <w:r>
        <w:t>Poster</w:t>
      </w:r>
      <w:bookmarkEnd w:id="0"/>
    </w:p>
    <w:p w14:paraId="46413F2E" w14:textId="1438FFC9" w:rsidR="00316BE4" w:rsidRDefault="00316BE4" w:rsidP="00316BE4">
      <w:r>
        <w:rPr>
          <w:noProof/>
        </w:rPr>
        <w:drawing>
          <wp:inline distT="0" distB="0" distL="0" distR="0" wp14:anchorId="69B985C1" wp14:editId="371312EA">
            <wp:extent cx="5731510" cy="3223895"/>
            <wp:effectExtent l="0" t="0" r="2540" b="0"/>
            <wp:docPr id="18169612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6128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DBF2218" w14:textId="77777777" w:rsidR="00316BE4" w:rsidRDefault="00316BE4" w:rsidP="00316BE4">
      <w:pPr>
        <w:pStyle w:val="Heading1"/>
      </w:pPr>
      <w:r>
        <w:t xml:space="preserve"> </w:t>
      </w:r>
      <w:bookmarkStart w:id="1" w:name="_Toc236145845"/>
      <w:r>
        <w:t>The Pitch: BridgeHome</w:t>
      </w:r>
      <w:bookmarkEnd w:id="1"/>
    </w:p>
    <w:p w14:paraId="688BBFBE" w14:textId="77777777" w:rsidR="00316BE4" w:rsidRDefault="00316BE4" w:rsidP="00316BE4">
      <w:pPr>
        <w:pStyle w:val="Heading1"/>
      </w:pPr>
      <w:bookmarkStart w:id="2" w:name="_Toc236145846"/>
      <w:r>
        <w:t>Introduction</w:t>
      </w:r>
      <w:bookmarkEnd w:id="2"/>
    </w:p>
    <w:p w14:paraId="5447D1BC" w14:textId="77777777" w:rsidR="00316BE4" w:rsidRDefault="00316BE4" w:rsidP="00316BE4">
      <w:r>
        <w:t>BridgeHome is a nurse-led recovery companion for older people discharged from hospital following sudden admission. It connects a simple smartphone or tablet application, with Bluetooth health monitors, to a community nursing team and to the patient's own NHS App account to ensure the vulnerable first few weeks after discharge are not left to chance. This innovation addresses a gap that has been identified: in the first month after returning home, older people receive little clinical monitoring or social support as it is withdrawn, leaving them vulnerable to being readmitted to hospital, or remaining isolated. The beneficiaries are patients aged 65 and over, their unpaid family carers and the community nurses and social care teams who have limited access to an individual's situation after they have left the ward.</w:t>
      </w:r>
    </w:p>
    <w:p w14:paraId="624600D9" w14:textId="77777777" w:rsidR="00316BE4" w:rsidRDefault="00316BE4" w:rsidP="00316BE4">
      <w:pPr>
        <w:pStyle w:val="Heading1"/>
      </w:pPr>
      <w:bookmarkStart w:id="3" w:name="_Toc236145847"/>
      <w:r>
        <w:t>Background</w:t>
      </w:r>
      <w:bookmarkEnd w:id="3"/>
    </w:p>
    <w:p w14:paraId="329B5FB9" w14:textId="77777777" w:rsidR="00316BE4" w:rsidRDefault="00316BE4" w:rsidP="00316BE4">
      <w:r>
        <w:t xml:space="preserve">The magnitude of the problem is well known. NHS England Digital (2025) data indicates that 17.9% of those aged 75 and older are readmitted to hospital in the next 30 days following an unplanned admission, and analysis by The Health Foundation (2018) reveals that rates have increased even when taking into account the underlying characteristics of patients. The King's Fund (2026) label the relationship between health and social care as a 'no man's land', with the number of hospital beds used in England by people who are medically fit to return home increasing by around 10,000 per day in five years, at an estimated cost of the NHS of £2.66 </w:t>
      </w:r>
      <w:r>
        <w:lastRenderedPageBreak/>
        <w:t>billion in 2025/26.The King's Fund (2026) refer to the interface between health and social care as a 'no man's land', and Age UK (2026) reports that the number of people discharged from hospital who are medically fit to move to the community has increased by nearly 70% over the last five years and that in 2025/26 an estimated £2.66 billion will be lost by the NHS from delayed discharges. This is already recognised nationally: NICE (2015) guideline NG27 encourages greater co-ordination between hospital and community services when children are moving between services, but this is not always being done. But the cost to human lives is also tremendous. Age UK (n.d.) believes that approximately 1.4 million older people in England are chronically lonely and that this increases significantly when a person has had a hospital stay where they are not moving around as well or feel as confident in themselves. House of Commons Library (2026) states that loneliness is associated with poor mental health, cognitive decline and premature death. This combination illustrates a system that often forgets about older adults right when they need help the most.</w:t>
      </w:r>
    </w:p>
    <w:p w14:paraId="0DB3FC59" w14:textId="77777777" w:rsidR="00316BE4" w:rsidRDefault="00316BE4" w:rsidP="00316BE4">
      <w:pPr>
        <w:pStyle w:val="Heading1"/>
      </w:pPr>
      <w:bookmarkStart w:id="4" w:name="_Toc236145848"/>
      <w:r>
        <w:t>Innovation Description</w:t>
      </w:r>
      <w:bookmarkEnd w:id="4"/>
    </w:p>
    <w:p w14:paraId="4CE4A864" w14:textId="69230877" w:rsidR="00316BE4" w:rsidRDefault="00316BE4" w:rsidP="00316BE4">
      <w:r>
        <w:t>BridgeHome is more than just a reminder application. Ward nurses prepare patients for discharge with a loan tablet or their own cell phone, fitted if required, with a Bluetooth blood pressure monitor or pulse oximeter. The app has a series of short questions that it asks every day for 30 days, covering symptoms, mood, medications, and automatically records any readings, which would otherwise be manually entered by hand, leading to inaccuracies. When a triage algorithm indicates that there may be a problem a named community 'virtual ward' nursing team (hosted by the local Integrated Care Board) can prioritise a call or home visit the same day. Most importantly, patients' recovery information is not in a different system from their GP records, but is linked to the patient's own NHS App account with NHS login, with non-clinical questions directed straight to Age UK reablement and companionship services. It's not a single feature that makes this innovative, it's the combination - a proactive, human-monitored safety net built on existing NHS infrastructure and not an expensive parallel system, deliberately designed with loan devices, large text and trained ‘digital buddy' volunteers, to ensure the very oldest and least digitally confident patients are not left behind.</w:t>
      </w:r>
    </w:p>
    <w:p w14:paraId="7B1CD7CC" w14:textId="77777777" w:rsidR="00316BE4" w:rsidRDefault="00316BE4" w:rsidP="00316BE4">
      <w:pPr>
        <w:pStyle w:val="Heading1"/>
      </w:pPr>
      <w:bookmarkStart w:id="5" w:name="_Toc236145849"/>
      <w:r>
        <w:t>Impact on Health and Social Care</w:t>
      </w:r>
      <w:bookmarkEnd w:id="5"/>
    </w:p>
    <w:p w14:paraId="1C8F944A" w14:textId="77777777" w:rsidR="00316BE4" w:rsidRDefault="00316BE4" w:rsidP="00316BE4">
      <w:r>
        <w:t xml:space="preserve">The vulnerable who will benefit the most are older people with multiple long-term conditions, who have a higher prevalence of both emergency readmissions and feelings of loneliness, unpaid family carers who are likely to have more complex monitoring or management roles but receive little support or guidance, and community nursing or social care teams working </w:t>
      </w:r>
      <w:r>
        <w:lastRenderedPageBreak/>
        <w:t>with patients with limited visibility of the patient's condition at home. Initial findings from similar services are promising, such as a study in the UK by researchers at the universities of Sheffield, Durham, Lancaster and Newcastle which has demonstrated that an NHS owned remote monitoring app lowered emergency hospital admissions by 25% in care homes (HDR UK, 2024). When it comes to post-discharge care, the same principles could help ensure patients receive timely support, especially for those who live in rural areas or might struggle to keep their appointments, and help keep care high-quality and continuous by informing community teams about the patient's decline. A direct line to a named nurse can alleviate the anxiety of having to care for symptoms themselves for unpaid carers. The wider system will also benefit from earlier access to community-based interventions, reducing the strain on ambulance services, emergency departments and increasing adult social care enquiries in the last decade from older people. BridgeHome helps to do other things for the common good: it expands the safety net of proactive nursing support and social connection from all patients discharged into the pathway, whether or not they are confident in technology or confident in their home environment.</w:t>
      </w:r>
    </w:p>
    <w:p w14:paraId="4B389301" w14:textId="77777777" w:rsidR="00316BE4" w:rsidRDefault="00316BE4" w:rsidP="00316BE4">
      <w:pPr>
        <w:pStyle w:val="Heading1"/>
      </w:pPr>
      <w:bookmarkStart w:id="6" w:name="_Toc236145850"/>
      <w:r>
        <w:t>Public and Stakeholder Involvement</w:t>
      </w:r>
      <w:bookmarkEnd w:id="6"/>
    </w:p>
    <w:p w14:paraId="546C6913" w14:textId="77777777" w:rsidR="00316BE4" w:rsidRDefault="00316BE4" w:rsidP="00316BE4">
      <w:r>
        <w:t>BridgeHome will be co-produced with the people it is designed for. A patient and carer advisory panel will also influence the language, daily questions and alerts in the app and make it more reflective of the actual experience of discharge and not assumptions made on a patient's behalf. Through collaborative programmes with Age UK and other community groups, volunteers will be welcomed to become ‘digital buddies' to assist other older neighbours who are not as comfortable with technology. Families will be asked by the hospital discharge team when their relatives are discharged from hospital whether BridgeHome is available, and patient and carer accounts will be used, with permission, to raise awareness about BridgeHome in awareness raising campaigns (e.g. Carers Week) to sustain the visibility and engagement of the public with the service beyond its initial launch.</w:t>
      </w:r>
    </w:p>
    <w:p w14:paraId="5E07E454" w14:textId="77777777" w:rsidR="00316BE4" w:rsidRDefault="00316BE4" w:rsidP="00316BE4">
      <w:pPr>
        <w:pStyle w:val="Heading1"/>
      </w:pPr>
      <w:bookmarkStart w:id="7" w:name="_Toc236145851"/>
      <w:r>
        <w:t>Policies, Services, and Professional Links</w:t>
      </w:r>
      <w:bookmarkEnd w:id="7"/>
    </w:p>
    <w:p w14:paraId="6FCF4FF7" w14:textId="77777777" w:rsidR="00316BE4" w:rsidRDefault="00316BE4" w:rsidP="00316BE4">
      <w:r>
        <w:t xml:space="preserve">BridgeHome is not intended to replace UK policy and services, but to operate within them. It meets the requirements of the Care Act 2014 for local authorities to promote wellbeing and prevent, reduce or delay care needs and covers NICE (2015) Guideline NG27: Safe transition between hospital and community settings. Inclusive design decisions, such as using loan devices and voice input, are underpinned by the duty on the Equality Act 2010 to not discriminate against disabled people and older patients. A close working relationship is </w:t>
      </w:r>
      <w:r>
        <w:lastRenderedPageBreak/>
        <w:t>required between services to ensure delivery, including hospital discharge teams, GP practices, community nursing services run by local Integrated Care Boards and voluntary sector partners including Age UK. Community nurses with oversight work under Nursing and Midwifery Council (NMC) regulations and any other members of staff, such as occupational therapists, who are involved are accountable to the Health and Care Professions Council (HCPC).</w:t>
      </w:r>
    </w:p>
    <w:p w14:paraId="7F3BB4AE" w14:textId="77777777" w:rsidR="00316BE4" w:rsidRDefault="00316BE4" w:rsidP="00316BE4">
      <w:pPr>
        <w:pStyle w:val="Heading1"/>
      </w:pPr>
      <w:bookmarkStart w:id="8" w:name="_Toc236145852"/>
      <w:r>
        <w:t>Conclusion</w:t>
      </w:r>
      <w:bookmarkEnd w:id="8"/>
    </w:p>
    <w:p w14:paraId="2317586F" w14:textId="308F8474" w:rsidR="00F10053" w:rsidRDefault="00316BE4" w:rsidP="00316BE4">
      <w:r>
        <w:t>The weeks following hospital discharge should be a transition period to independent living, rather than a run-off ramp to readmission or isolation. BridgeHome brings together technology that is easily accessible, a named team of community nurses and close partnerships with voluntary sector support services, filling an identified need on a sound evidence base and operating within the existing NHS framework, regulation and policy. By engaging the public, it is possible to facilitate the professional partnership and a step-by-step, evaluated roll-out of BridgeHome to make it a realistic and achievable way of safer, more connected care for older people.</w:t>
      </w:r>
    </w:p>
    <w:p w14:paraId="0AFB8450" w14:textId="77777777" w:rsidR="00F21B93" w:rsidRDefault="00F21B93" w:rsidP="00801041"/>
    <w:p w14:paraId="678D064C" w14:textId="77777777" w:rsidR="00F21B93" w:rsidRDefault="00F21B93" w:rsidP="00801041"/>
    <w:p w14:paraId="7327552B" w14:textId="77777777" w:rsidR="00F21B93" w:rsidRDefault="00F21B93" w:rsidP="00801041"/>
    <w:p w14:paraId="30A5916C" w14:textId="77777777" w:rsidR="00F21B93" w:rsidRDefault="00F21B93" w:rsidP="00801041"/>
    <w:p w14:paraId="5CEA5785" w14:textId="77777777" w:rsidR="00F21B93" w:rsidRDefault="00F21B93" w:rsidP="00801041"/>
    <w:p w14:paraId="0CBAEF74" w14:textId="7DE5810B" w:rsidR="00F21B93" w:rsidRDefault="00801041" w:rsidP="00801041">
      <w:r>
        <w:t xml:space="preserve">  </w:t>
      </w:r>
    </w:p>
    <w:p w14:paraId="51A85FA2" w14:textId="77777777" w:rsidR="00F10053" w:rsidRDefault="00F10053" w:rsidP="00801041"/>
    <w:p w14:paraId="72354F14" w14:textId="463ACBBD" w:rsidR="00316BE4" w:rsidRDefault="00000000" w:rsidP="00316BE4">
      <w:pPr>
        <w:pStyle w:val="Heading1"/>
      </w:pPr>
      <w:bookmarkStart w:id="9" w:name="_Toc236145853"/>
      <w:r>
        <w:t>Reference List</w:t>
      </w:r>
      <w:bookmarkEnd w:id="9"/>
      <w:r w:rsidR="00316BE4">
        <w:t xml:space="preserve"> </w:t>
      </w:r>
    </w:p>
    <w:p w14:paraId="022797F3" w14:textId="77777777" w:rsidR="00316BE4" w:rsidRDefault="00316BE4" w:rsidP="00316BE4">
      <w:pPr>
        <w:ind w:left="720" w:hanging="720"/>
      </w:pPr>
      <w:r>
        <w:rPr>
          <w:rFonts w:ascii="Arial" w:eastAsia="Arial" w:hAnsi="Arial" w:cs="Arial"/>
          <w:sz w:val="22"/>
          <w:szCs w:val="22"/>
        </w:rPr>
        <w:t>Age UK (2026) Recent governments have taken their eye off the ball on delayed discharges – up nearly 70% in five years. Available at: https://www.ageuk.org.uk/latest-press/age-uk-says-recent-governments-have-taken-their-eye-off-the-ball-on-delayed-discharges--up-nearly-70-in-five-years/ (Accessed: 24 July 2026).</w:t>
      </w:r>
    </w:p>
    <w:p w14:paraId="43FCE51F" w14:textId="77777777" w:rsidR="00316BE4" w:rsidRDefault="00316BE4" w:rsidP="00316BE4">
      <w:pPr>
        <w:ind w:left="720" w:hanging="720"/>
      </w:pPr>
      <w:r>
        <w:rPr>
          <w:rFonts w:ascii="Arial" w:eastAsia="Arial" w:hAnsi="Arial" w:cs="Arial"/>
          <w:sz w:val="22"/>
          <w:szCs w:val="22"/>
        </w:rPr>
        <w:t>Age UK (n.d.) Loneliness research and impact. Available at: https://www.ageuk.org.uk/our-impact/policy-research/loneliness-research-and-resources/ (Accessed: 24 July 2026).</w:t>
      </w:r>
    </w:p>
    <w:p w14:paraId="57EEB7AB" w14:textId="77777777" w:rsidR="00316BE4" w:rsidRDefault="00316BE4" w:rsidP="00316BE4">
      <w:pPr>
        <w:ind w:left="720" w:hanging="720"/>
      </w:pPr>
      <w:r>
        <w:rPr>
          <w:rFonts w:ascii="Arial" w:eastAsia="Arial" w:hAnsi="Arial" w:cs="Arial"/>
          <w:sz w:val="22"/>
          <w:szCs w:val="22"/>
        </w:rPr>
        <w:lastRenderedPageBreak/>
        <w:t>Care Act 2014. London: The Stationery Office. Available at: https://www.legislation.gov.uk/ukpga/2014/23/contents (Accessed: 24 July 2026).</w:t>
      </w:r>
    </w:p>
    <w:p w14:paraId="7C09110E" w14:textId="77777777" w:rsidR="00316BE4" w:rsidRDefault="00316BE4" w:rsidP="00316BE4">
      <w:pPr>
        <w:ind w:left="720" w:hanging="720"/>
      </w:pPr>
      <w:r>
        <w:rPr>
          <w:rFonts w:ascii="Arial" w:eastAsia="Arial" w:hAnsi="Arial" w:cs="Arial"/>
          <w:sz w:val="22"/>
          <w:szCs w:val="22"/>
        </w:rPr>
        <w:t>CMS (2025) Digital health apps and telemedicine in the United Kingdom. Available at: https://cms.law/en/int/expert-guides/cms-expert-guide-to-digital-health-apps-and-telemedicine/united-kingdom (Accessed: 24 July 2026).</w:t>
      </w:r>
    </w:p>
    <w:p w14:paraId="02E0428C" w14:textId="77777777" w:rsidR="00316BE4" w:rsidRDefault="00316BE4" w:rsidP="00316BE4">
      <w:pPr>
        <w:ind w:left="720" w:hanging="720"/>
      </w:pPr>
      <w:r>
        <w:rPr>
          <w:rFonts w:ascii="Arial" w:eastAsia="Arial" w:hAnsi="Arial" w:cs="Arial"/>
          <w:sz w:val="22"/>
          <w:szCs w:val="22"/>
        </w:rPr>
        <w:t>Equality Act 2010. London: The Stationery Office. Available at: https://www.legislation.gov.uk/ukpga/2010/15/contents (Accessed: 24 July 2026).</w:t>
      </w:r>
    </w:p>
    <w:p w14:paraId="70659D18" w14:textId="77777777" w:rsidR="00316BE4" w:rsidRDefault="00316BE4" w:rsidP="00316BE4">
      <w:pPr>
        <w:ind w:left="720" w:hanging="720"/>
      </w:pPr>
      <w:r>
        <w:rPr>
          <w:rFonts w:ascii="Arial" w:eastAsia="Arial" w:hAnsi="Arial" w:cs="Arial"/>
          <w:sz w:val="22"/>
          <w:szCs w:val="22"/>
        </w:rPr>
        <w:t>HDR UK (2024) Remote health monitoring smartphone app reduces emergency hospital admissions from care homes by 25%. Available at: https://www.hdruk.ac.uk/news/remote-monitoring-app-reduces-emergency-hospital-admissions-from-care-homes/ (Accessed: 24 July 2026).</w:t>
      </w:r>
    </w:p>
    <w:p w14:paraId="05489052" w14:textId="77777777" w:rsidR="00316BE4" w:rsidRDefault="00316BE4" w:rsidP="00316BE4">
      <w:pPr>
        <w:ind w:left="720" w:hanging="720"/>
      </w:pPr>
      <w:r>
        <w:rPr>
          <w:rFonts w:ascii="Arial" w:eastAsia="Arial" w:hAnsi="Arial" w:cs="Arial"/>
          <w:sz w:val="22"/>
          <w:szCs w:val="22"/>
        </w:rPr>
        <w:t>The Health Foundation (2018) What do changes in readmission rates tell us about quality of care in the NHS? Available at: https://www.health.org.uk/blogs/what-do-changes-in-readmission-rates-tell-us-about-quality-of-care-in-the-nhs (Accessed: 24 July 2026).</w:t>
      </w:r>
    </w:p>
    <w:p w14:paraId="4BD541E0" w14:textId="77777777" w:rsidR="00316BE4" w:rsidRDefault="00316BE4" w:rsidP="00316BE4">
      <w:pPr>
        <w:ind w:left="720" w:hanging="720"/>
      </w:pPr>
      <w:r>
        <w:rPr>
          <w:rFonts w:ascii="Arial" w:eastAsia="Arial" w:hAnsi="Arial" w:cs="Arial"/>
          <w:sz w:val="22"/>
          <w:szCs w:val="22"/>
        </w:rPr>
        <w:t>House of Commons Library (2026) Loneliness and isolation in elderly and vulnerable people. Available at: https://commonslibrary.parliament.uk/research-briefings/cdp-2023-0215/ (Accessed: 24 July 2026).</w:t>
      </w:r>
    </w:p>
    <w:p w14:paraId="4F4D0F08" w14:textId="77777777" w:rsidR="00316BE4" w:rsidRDefault="00316BE4" w:rsidP="00316BE4">
      <w:pPr>
        <w:ind w:left="720" w:hanging="720"/>
      </w:pPr>
      <w:r>
        <w:rPr>
          <w:rFonts w:ascii="Arial" w:eastAsia="Arial" w:hAnsi="Arial" w:cs="Arial"/>
          <w:sz w:val="22"/>
          <w:szCs w:val="22"/>
        </w:rPr>
        <w:t>The King's Fund (2026) The experience of patients at the interface of health and social care. Available at: https://www.kingsfund.org.uk/insight-and-analysis/long-reads/experience-patients-interface-health-social-care (Accessed: 24 July 2026).</w:t>
      </w:r>
    </w:p>
    <w:p w14:paraId="5A468BE2" w14:textId="77777777" w:rsidR="00316BE4" w:rsidRDefault="00316BE4" w:rsidP="00316BE4">
      <w:pPr>
        <w:ind w:left="720" w:hanging="720"/>
      </w:pPr>
      <w:r>
        <w:rPr>
          <w:rFonts w:ascii="Arial" w:eastAsia="Arial" w:hAnsi="Arial" w:cs="Arial"/>
          <w:sz w:val="22"/>
          <w:szCs w:val="22"/>
        </w:rPr>
        <w:t>The King's Fund (2023) Hospital discharge funds: experiences of winter 2022–23. Available at: https://www.kingsfund.org.uk/insight-and-analysis/reports/hospital-discharge-funds (Accessed: 24 July 2026).</w:t>
      </w:r>
    </w:p>
    <w:p w14:paraId="5F713F1B" w14:textId="77777777" w:rsidR="00316BE4" w:rsidRDefault="00316BE4" w:rsidP="00316BE4">
      <w:pPr>
        <w:ind w:left="720" w:hanging="720"/>
      </w:pPr>
      <w:r>
        <w:rPr>
          <w:rFonts w:ascii="Arial" w:eastAsia="Arial" w:hAnsi="Arial" w:cs="Arial"/>
          <w:sz w:val="22"/>
          <w:szCs w:val="22"/>
        </w:rPr>
        <w:t>Naq Cyber (2026) What is NHS DTAC? Digital Technology Assessment Criteria — a complete guide. Available at: https://www.periculo.co.uk/cyber-security-blog/what-is-nhs-dtac-digital-technology-assessment-criteria-a-complete-guide (Accessed: 24 July 2026).</w:t>
      </w:r>
    </w:p>
    <w:p w14:paraId="168EDF21" w14:textId="77777777" w:rsidR="00316BE4" w:rsidRDefault="00316BE4" w:rsidP="00316BE4">
      <w:pPr>
        <w:ind w:left="720" w:hanging="720"/>
      </w:pPr>
      <w:r>
        <w:rPr>
          <w:rFonts w:ascii="Arial" w:eastAsia="Arial" w:hAnsi="Arial" w:cs="Arial"/>
          <w:sz w:val="22"/>
          <w:szCs w:val="22"/>
        </w:rPr>
        <w:t>National Institute for Health and Care Excellence (2015) Transition between inpatient hospital settings and community or care home settings for adults with social care needs (NG27). Available at: https://www.nice.org.uk/guidance/ng27 (Accessed: 24 July 2026).</w:t>
      </w:r>
    </w:p>
    <w:p w14:paraId="0212B32F" w14:textId="77777777" w:rsidR="00316BE4" w:rsidRDefault="00316BE4" w:rsidP="00316BE4">
      <w:pPr>
        <w:ind w:left="720" w:hanging="720"/>
      </w:pPr>
      <w:r>
        <w:rPr>
          <w:rFonts w:ascii="Arial" w:eastAsia="Arial" w:hAnsi="Arial" w:cs="Arial"/>
          <w:sz w:val="22"/>
          <w:szCs w:val="22"/>
        </w:rPr>
        <w:lastRenderedPageBreak/>
        <w:t>NHS England Digital (2025) Compendium: emergency readmissions to hospital within 30 days of discharge. Available at: https://digital.nhs.uk/data-and-information/publications/statistical/compendium-emergency-readmissions/current (Accessed: 24 July 2026).</w:t>
      </w:r>
    </w:p>
    <w:p w14:paraId="04413B98" w14:textId="2270BC69" w:rsidR="00F10053" w:rsidRDefault="00F10053" w:rsidP="00801041"/>
    <w:sectPr w:rsidR="00F10053">
      <w:headerReference w:type="default" r:id="rId10"/>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CEFD3" w14:textId="77777777" w:rsidR="00AF7873" w:rsidRDefault="00AF7873" w:rsidP="00801041">
      <w:r>
        <w:separator/>
      </w:r>
    </w:p>
  </w:endnote>
  <w:endnote w:type="continuationSeparator" w:id="0">
    <w:p w14:paraId="434DCD33" w14:textId="77777777" w:rsidR="00AF7873" w:rsidRDefault="00AF7873" w:rsidP="00801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B46650" w14:textId="77777777" w:rsidR="00F10053" w:rsidRDefault="00000000" w:rsidP="00801041">
    <w:r>
      <w:fldChar w:fldCharType="begin"/>
    </w:r>
    <w:r>
      <w:instrText>PAGE</w:instrText>
    </w:r>
    <w:r>
      <w:fldChar w:fldCharType="separate"/>
    </w:r>
    <w:r w:rsidR="00F21B9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187A2" w14:textId="77777777" w:rsidR="00AF7873" w:rsidRDefault="00AF7873" w:rsidP="00801041">
      <w:r>
        <w:separator/>
      </w:r>
    </w:p>
  </w:footnote>
  <w:footnote w:type="continuationSeparator" w:id="0">
    <w:p w14:paraId="0C329476" w14:textId="77777777" w:rsidR="00AF7873" w:rsidRDefault="00AF7873" w:rsidP="008010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BDC3C1" w14:textId="79047F78" w:rsidR="00F10053" w:rsidRDefault="00F10053" w:rsidP="0080104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21A5"/>
    <w:multiLevelType w:val="hybridMultilevel"/>
    <w:tmpl w:val="D62260DC"/>
    <w:lvl w:ilvl="0" w:tplc="71C2A942">
      <w:start w:val="1"/>
      <w:numFmt w:val="bullet"/>
      <w:lvlText w:val="●"/>
      <w:lvlJc w:val="left"/>
      <w:pPr>
        <w:ind w:left="720" w:hanging="360"/>
      </w:pPr>
    </w:lvl>
    <w:lvl w:ilvl="1" w:tplc="D92635CA">
      <w:start w:val="1"/>
      <w:numFmt w:val="bullet"/>
      <w:lvlText w:val="○"/>
      <w:lvlJc w:val="left"/>
      <w:pPr>
        <w:ind w:left="1440" w:hanging="360"/>
      </w:pPr>
    </w:lvl>
    <w:lvl w:ilvl="2" w:tplc="1436A034">
      <w:start w:val="1"/>
      <w:numFmt w:val="bullet"/>
      <w:lvlText w:val="■"/>
      <w:lvlJc w:val="left"/>
      <w:pPr>
        <w:ind w:left="2160" w:hanging="360"/>
      </w:pPr>
    </w:lvl>
    <w:lvl w:ilvl="3" w:tplc="7444F3D6">
      <w:start w:val="1"/>
      <w:numFmt w:val="bullet"/>
      <w:lvlText w:val="●"/>
      <w:lvlJc w:val="left"/>
      <w:pPr>
        <w:ind w:left="2880" w:hanging="360"/>
      </w:pPr>
    </w:lvl>
    <w:lvl w:ilvl="4" w:tplc="0AD04A18">
      <w:start w:val="1"/>
      <w:numFmt w:val="bullet"/>
      <w:lvlText w:val="○"/>
      <w:lvlJc w:val="left"/>
      <w:pPr>
        <w:ind w:left="3600" w:hanging="360"/>
      </w:pPr>
    </w:lvl>
    <w:lvl w:ilvl="5" w:tplc="D2324C12">
      <w:start w:val="1"/>
      <w:numFmt w:val="bullet"/>
      <w:lvlText w:val="■"/>
      <w:lvlJc w:val="left"/>
      <w:pPr>
        <w:ind w:left="4320" w:hanging="360"/>
      </w:pPr>
    </w:lvl>
    <w:lvl w:ilvl="6" w:tplc="D414A3E2">
      <w:start w:val="1"/>
      <w:numFmt w:val="bullet"/>
      <w:lvlText w:val="●"/>
      <w:lvlJc w:val="left"/>
      <w:pPr>
        <w:ind w:left="5040" w:hanging="360"/>
      </w:pPr>
    </w:lvl>
    <w:lvl w:ilvl="7" w:tplc="7EB42DD0">
      <w:start w:val="1"/>
      <w:numFmt w:val="bullet"/>
      <w:lvlText w:val="●"/>
      <w:lvlJc w:val="left"/>
      <w:pPr>
        <w:ind w:left="5760" w:hanging="360"/>
      </w:pPr>
    </w:lvl>
    <w:lvl w:ilvl="8" w:tplc="F11A3D38">
      <w:start w:val="1"/>
      <w:numFmt w:val="bullet"/>
      <w:lvlText w:val="●"/>
      <w:lvlJc w:val="left"/>
      <w:pPr>
        <w:ind w:left="6480" w:hanging="360"/>
      </w:pPr>
    </w:lvl>
  </w:abstractNum>
  <w:num w:numId="1" w16cid:durableId="85157640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053"/>
    <w:rsid w:val="00046CC9"/>
    <w:rsid w:val="00116C72"/>
    <w:rsid w:val="001C009A"/>
    <w:rsid w:val="00316BE4"/>
    <w:rsid w:val="0060709B"/>
    <w:rsid w:val="006912D9"/>
    <w:rsid w:val="00760738"/>
    <w:rsid w:val="00801041"/>
    <w:rsid w:val="00AF7873"/>
    <w:rsid w:val="00E372B8"/>
    <w:rsid w:val="00F10053"/>
    <w:rsid w:val="00F21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0488E"/>
  <w15:docId w15:val="{83464BC4-AC89-42DD-9CD2-E285C298D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041"/>
    <w:pPr>
      <w:spacing w:after="200" w:line="360" w:lineRule="auto"/>
      <w:jc w:val="both"/>
    </w:pPr>
    <w:rPr>
      <w:rFonts w:ascii="Times New Roman" w:hAnsi="Times New Roman" w:cs="Times New Roman"/>
      <w:sz w:val="24"/>
      <w:szCs w:val="24"/>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21B93"/>
    <w:pPr>
      <w:tabs>
        <w:tab w:val="center" w:pos="4513"/>
        <w:tab w:val="right" w:pos="9026"/>
      </w:tabs>
    </w:pPr>
  </w:style>
  <w:style w:type="character" w:customStyle="1" w:styleId="HeaderChar">
    <w:name w:val="Header Char"/>
    <w:basedOn w:val="DefaultParagraphFont"/>
    <w:link w:val="Header"/>
    <w:uiPriority w:val="99"/>
    <w:rsid w:val="00F21B93"/>
  </w:style>
  <w:style w:type="paragraph" w:styleId="Footer">
    <w:name w:val="footer"/>
    <w:basedOn w:val="Normal"/>
    <w:link w:val="FooterChar"/>
    <w:uiPriority w:val="99"/>
    <w:unhideWhenUsed/>
    <w:rsid w:val="00F21B93"/>
    <w:pPr>
      <w:tabs>
        <w:tab w:val="center" w:pos="4513"/>
        <w:tab w:val="right" w:pos="9026"/>
      </w:tabs>
    </w:pPr>
  </w:style>
  <w:style w:type="character" w:customStyle="1" w:styleId="FooterChar">
    <w:name w:val="Footer Char"/>
    <w:basedOn w:val="DefaultParagraphFont"/>
    <w:link w:val="Footer"/>
    <w:uiPriority w:val="99"/>
    <w:rsid w:val="00F21B93"/>
  </w:style>
  <w:style w:type="paragraph" w:styleId="TOCHeading">
    <w:name w:val="TOC Heading"/>
    <w:basedOn w:val="Heading1"/>
    <w:next w:val="Normal"/>
    <w:uiPriority w:val="39"/>
    <w:unhideWhenUsed/>
    <w:qFormat/>
    <w:rsid w:val="00F21B93"/>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F21B93"/>
    <w:pPr>
      <w:spacing w:after="100"/>
    </w:pPr>
  </w:style>
  <w:style w:type="paragraph" w:styleId="TOC2">
    <w:name w:val="toc 2"/>
    <w:basedOn w:val="Normal"/>
    <w:next w:val="Normal"/>
    <w:autoRedefine/>
    <w:uiPriority w:val="39"/>
    <w:unhideWhenUsed/>
    <w:rsid w:val="00F21B93"/>
    <w:pPr>
      <w:spacing w:after="100"/>
      <w:ind w:left="220"/>
    </w:pPr>
  </w:style>
  <w:style w:type="character" w:styleId="SubtleEmphasis">
    <w:name w:val="Subtle Emphasis"/>
    <w:basedOn w:val="DefaultParagraphFont"/>
    <w:uiPriority w:val="19"/>
    <w:qFormat/>
    <w:rsid w:val="0080104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EEF17-ADD6-4003-B260-89F5F7E1D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1740</Words>
  <Characters>10701</Characters>
  <Application>Microsoft Office Word</Application>
  <DocSecurity>0</DocSecurity>
  <Lines>194</Lines>
  <Paragraphs>57</Paragraphs>
  <ScaleCrop>false</ScaleCrop>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anon</cp:lastModifiedBy>
  <cp:revision>5</cp:revision>
  <dcterms:created xsi:type="dcterms:W3CDTF">2026-07-28T13:13:00Z</dcterms:created>
  <dcterms:modified xsi:type="dcterms:W3CDTF">2026-07-28T14:43:00Z</dcterms:modified>
</cp:coreProperties>
</file>