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3E28DA" w14:textId="4526E09E" w:rsidR="009802B4" w:rsidRPr="00710C0E" w:rsidRDefault="009802B4" w:rsidP="00ED1C54">
      <w:pPr>
        <w:spacing w:line="360" w:lineRule="auto"/>
        <w:rPr>
          <w:rFonts w:cs="Arial"/>
        </w:rPr>
      </w:pPr>
    </w:p>
    <w:p w14:paraId="2F64D65A" w14:textId="77777777" w:rsidR="003E55C4" w:rsidRPr="00710C0E" w:rsidRDefault="003E55C4" w:rsidP="00ED1C54">
      <w:pPr>
        <w:spacing w:line="360" w:lineRule="auto"/>
        <w:rPr>
          <w:rFonts w:cs="Arial"/>
        </w:rPr>
      </w:pPr>
    </w:p>
    <w:p w14:paraId="2C7016A9" w14:textId="77777777" w:rsidR="003E55C4" w:rsidRPr="00710C0E" w:rsidRDefault="003E55C4" w:rsidP="00ED1C54">
      <w:pPr>
        <w:spacing w:line="360" w:lineRule="auto"/>
        <w:rPr>
          <w:rFonts w:cs="Arial"/>
        </w:rPr>
      </w:pPr>
    </w:p>
    <w:p w14:paraId="308292BD" w14:textId="6860E7B3" w:rsidR="003E55C4" w:rsidRPr="00710C0E" w:rsidRDefault="54FF2BD7" w:rsidP="00ED1C54">
      <w:pPr>
        <w:spacing w:line="360" w:lineRule="auto"/>
      </w:pPr>
      <w:r w:rsidRPr="283BE1BA">
        <w:rPr>
          <w:rFonts w:cs="Arial"/>
        </w:rPr>
        <w:t xml:space="preserve"> </w:t>
      </w:r>
    </w:p>
    <w:p w14:paraId="40DBC734" w14:textId="77777777" w:rsidR="00707CD5" w:rsidRPr="00B874C5" w:rsidRDefault="00707CD5" w:rsidP="00ED1C54">
      <w:pPr>
        <w:spacing w:line="360" w:lineRule="auto"/>
        <w:jc w:val="center"/>
        <w:rPr>
          <w:rFonts w:cs="Arial"/>
          <w:b/>
          <w:bCs/>
          <w:sz w:val="22"/>
        </w:rPr>
      </w:pPr>
      <w:r w:rsidRPr="00B874C5">
        <w:rPr>
          <w:rFonts w:cs="Arial"/>
          <w:noProof/>
          <w:sz w:val="22"/>
        </w:rPr>
        <w:drawing>
          <wp:inline distT="0" distB="0" distL="0" distR="0" wp14:anchorId="4A58C568" wp14:editId="4A99FDFF">
            <wp:extent cx="1809750" cy="723900"/>
            <wp:effectExtent l="0" t="0" r="0" b="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pic:nvPicPr>
                  <pic:blipFill>
                    <a:blip r:embed="rId8"/>
                    <a:srcRect/>
                    <a:stretch>
                      <a:fillRect/>
                    </a:stretch>
                  </pic:blipFill>
                  <pic:spPr>
                    <a:xfrm>
                      <a:off x="0" y="0"/>
                      <a:ext cx="1809750" cy="723900"/>
                    </a:xfrm>
                    <a:prstGeom prst="rect">
                      <a:avLst/>
                    </a:prstGeom>
                    <a:ln/>
                  </pic:spPr>
                </pic:pic>
              </a:graphicData>
            </a:graphic>
          </wp:inline>
        </w:drawing>
      </w:r>
    </w:p>
    <w:p w14:paraId="4A75F0EE" w14:textId="0BCE2D30" w:rsidR="00707CD5" w:rsidRPr="00B874C5" w:rsidRDefault="00707CD5" w:rsidP="283BE1BA">
      <w:pPr>
        <w:spacing w:line="360" w:lineRule="auto"/>
        <w:jc w:val="center"/>
        <w:rPr>
          <w:rFonts w:cs="Arial"/>
          <w:b/>
          <w:bCs/>
          <w:sz w:val="22"/>
        </w:rPr>
      </w:pPr>
      <w:r w:rsidRPr="283BE1BA">
        <w:rPr>
          <w:rFonts w:cs="Arial"/>
          <w:b/>
          <w:bCs/>
          <w:sz w:val="22"/>
        </w:rPr>
        <w:t>Student Name:</w:t>
      </w:r>
      <w:r w:rsidR="280340FF" w:rsidRPr="283BE1BA">
        <w:rPr>
          <w:rFonts w:cs="Arial"/>
          <w:b/>
          <w:bCs/>
          <w:sz w:val="22"/>
        </w:rPr>
        <w:t xml:space="preserve"> Asima bibi</w:t>
      </w:r>
    </w:p>
    <w:p w14:paraId="29A8A88A" w14:textId="60FF2102" w:rsidR="00707CD5" w:rsidRPr="00B874C5" w:rsidRDefault="00707CD5" w:rsidP="283BE1BA">
      <w:pPr>
        <w:spacing w:line="360" w:lineRule="auto"/>
        <w:jc w:val="center"/>
        <w:rPr>
          <w:rFonts w:cs="Arial"/>
          <w:b/>
          <w:bCs/>
          <w:sz w:val="22"/>
        </w:rPr>
      </w:pPr>
      <w:r w:rsidRPr="283BE1BA">
        <w:rPr>
          <w:rFonts w:cs="Arial"/>
          <w:b/>
          <w:bCs/>
          <w:sz w:val="22"/>
        </w:rPr>
        <w:t>Student Number:</w:t>
      </w:r>
      <w:r w:rsidR="5CCF5560" w:rsidRPr="283BE1BA">
        <w:rPr>
          <w:rFonts w:cs="Arial"/>
          <w:b/>
          <w:bCs/>
          <w:sz w:val="22"/>
        </w:rPr>
        <w:t>2225758</w:t>
      </w:r>
    </w:p>
    <w:p w14:paraId="465673F3" w14:textId="77777777" w:rsidR="00707CD5" w:rsidRPr="00B874C5" w:rsidRDefault="00707CD5" w:rsidP="00ED1C54">
      <w:pPr>
        <w:spacing w:line="360" w:lineRule="auto"/>
        <w:jc w:val="center"/>
        <w:rPr>
          <w:rFonts w:cs="Arial"/>
          <w:b/>
          <w:bCs/>
          <w:sz w:val="22"/>
        </w:rPr>
      </w:pPr>
      <w:r w:rsidRPr="00B874C5">
        <w:rPr>
          <w:rFonts w:cs="Arial"/>
          <w:b/>
          <w:bCs/>
          <w:sz w:val="22"/>
        </w:rPr>
        <w:t>Module Title: Principles of Health and Social Care Practice</w:t>
      </w:r>
    </w:p>
    <w:p w14:paraId="7DAB057E" w14:textId="77777777" w:rsidR="00707CD5" w:rsidRPr="00B874C5" w:rsidRDefault="00707CD5" w:rsidP="00ED1C54">
      <w:pPr>
        <w:spacing w:line="360" w:lineRule="auto"/>
        <w:jc w:val="center"/>
        <w:rPr>
          <w:rFonts w:cs="Arial"/>
          <w:b/>
          <w:bCs/>
          <w:sz w:val="22"/>
        </w:rPr>
      </w:pPr>
      <w:r w:rsidRPr="00B874C5">
        <w:rPr>
          <w:rFonts w:cs="Arial"/>
          <w:b/>
          <w:bCs/>
          <w:sz w:val="22"/>
        </w:rPr>
        <w:t>Module Code: BMHP5016</w:t>
      </w:r>
    </w:p>
    <w:p w14:paraId="24FEB946" w14:textId="77777777" w:rsidR="00707CD5" w:rsidRPr="00B874C5" w:rsidRDefault="00707CD5" w:rsidP="00ED1C54">
      <w:pPr>
        <w:spacing w:line="360" w:lineRule="auto"/>
        <w:jc w:val="center"/>
        <w:rPr>
          <w:rFonts w:cs="Arial"/>
          <w:b/>
          <w:bCs/>
          <w:sz w:val="22"/>
        </w:rPr>
      </w:pPr>
      <w:r w:rsidRPr="00B874C5">
        <w:rPr>
          <w:rFonts w:cs="Arial"/>
          <w:b/>
          <w:bCs/>
          <w:sz w:val="22"/>
        </w:rPr>
        <w:t>Assignment Title:</w:t>
      </w:r>
    </w:p>
    <w:p w14:paraId="5B1667B4" w14:textId="77777777" w:rsidR="00707CD5" w:rsidRPr="00B874C5" w:rsidRDefault="00707CD5" w:rsidP="00ED1C54">
      <w:pPr>
        <w:spacing w:line="360" w:lineRule="auto"/>
        <w:jc w:val="center"/>
        <w:rPr>
          <w:rFonts w:cs="Arial"/>
          <w:b/>
          <w:bCs/>
          <w:sz w:val="22"/>
        </w:rPr>
      </w:pPr>
      <w:r w:rsidRPr="00B874C5">
        <w:rPr>
          <w:rFonts w:cs="Arial"/>
          <w:b/>
          <w:bCs/>
          <w:sz w:val="22"/>
        </w:rPr>
        <w:t>Component 1: Reflective Report</w:t>
      </w:r>
    </w:p>
    <w:p w14:paraId="059543DA" w14:textId="36E6E237" w:rsidR="00707CD5" w:rsidRPr="00B874C5" w:rsidRDefault="00707CD5" w:rsidP="00FC24DD">
      <w:pPr>
        <w:spacing w:line="360" w:lineRule="auto"/>
        <w:rPr>
          <w:rFonts w:cs="Arial"/>
          <w:b/>
          <w:bCs/>
          <w:sz w:val="22"/>
        </w:rPr>
      </w:pPr>
    </w:p>
    <w:p w14:paraId="7D3C9D14" w14:textId="77777777" w:rsidR="003E55C4" w:rsidRPr="00710C0E" w:rsidRDefault="003E55C4" w:rsidP="00ED1C54">
      <w:pPr>
        <w:spacing w:line="360" w:lineRule="auto"/>
        <w:rPr>
          <w:rFonts w:cs="Arial"/>
        </w:rPr>
      </w:pPr>
    </w:p>
    <w:p w14:paraId="05576BCB" w14:textId="77777777" w:rsidR="003E55C4" w:rsidRPr="00710C0E" w:rsidRDefault="003E55C4" w:rsidP="00ED1C54">
      <w:pPr>
        <w:spacing w:line="360" w:lineRule="auto"/>
        <w:rPr>
          <w:rFonts w:cs="Arial"/>
        </w:rPr>
      </w:pPr>
    </w:p>
    <w:p w14:paraId="709CC6A5" w14:textId="77777777" w:rsidR="003E55C4" w:rsidRPr="00710C0E" w:rsidRDefault="003E55C4" w:rsidP="00ED1C54">
      <w:pPr>
        <w:spacing w:line="360" w:lineRule="auto"/>
        <w:rPr>
          <w:rFonts w:cs="Arial"/>
        </w:rPr>
      </w:pPr>
    </w:p>
    <w:p w14:paraId="71F96405" w14:textId="77777777" w:rsidR="003E55C4" w:rsidRPr="00710C0E" w:rsidRDefault="003E55C4" w:rsidP="00ED1C54">
      <w:pPr>
        <w:spacing w:line="360" w:lineRule="auto"/>
        <w:rPr>
          <w:rFonts w:cs="Arial"/>
        </w:rPr>
      </w:pPr>
    </w:p>
    <w:p w14:paraId="2F3E8C03" w14:textId="77777777" w:rsidR="003E55C4" w:rsidRPr="00710C0E" w:rsidRDefault="003E55C4" w:rsidP="00ED1C54">
      <w:pPr>
        <w:spacing w:line="360" w:lineRule="auto"/>
        <w:rPr>
          <w:rFonts w:cs="Arial"/>
        </w:rPr>
      </w:pPr>
    </w:p>
    <w:p w14:paraId="21662867" w14:textId="77777777" w:rsidR="003E55C4" w:rsidRPr="00710C0E" w:rsidRDefault="003E55C4" w:rsidP="00ED1C54">
      <w:pPr>
        <w:spacing w:line="360" w:lineRule="auto"/>
        <w:rPr>
          <w:rFonts w:cs="Arial"/>
        </w:rPr>
      </w:pPr>
    </w:p>
    <w:p w14:paraId="2141A18F" w14:textId="77777777" w:rsidR="003E55C4" w:rsidRPr="00710C0E" w:rsidRDefault="003E55C4" w:rsidP="00ED1C54">
      <w:pPr>
        <w:spacing w:line="360" w:lineRule="auto"/>
        <w:rPr>
          <w:rFonts w:cs="Arial"/>
        </w:rPr>
      </w:pPr>
    </w:p>
    <w:p w14:paraId="3A9C016E" w14:textId="77777777" w:rsidR="003E55C4" w:rsidRPr="00710C0E" w:rsidRDefault="003E55C4" w:rsidP="00ED1C54">
      <w:pPr>
        <w:spacing w:line="360" w:lineRule="auto"/>
        <w:rPr>
          <w:rFonts w:cs="Arial"/>
        </w:rPr>
      </w:pPr>
    </w:p>
    <w:p w14:paraId="3D389057" w14:textId="77777777" w:rsidR="003E55C4" w:rsidRPr="00710C0E" w:rsidRDefault="003E55C4" w:rsidP="00ED1C54">
      <w:pPr>
        <w:spacing w:line="360" w:lineRule="auto"/>
        <w:rPr>
          <w:rFonts w:cs="Arial"/>
        </w:rPr>
      </w:pPr>
    </w:p>
    <w:p w14:paraId="0B869568" w14:textId="77777777" w:rsidR="003E55C4" w:rsidRPr="00710C0E" w:rsidRDefault="003E55C4" w:rsidP="00ED1C54">
      <w:pPr>
        <w:spacing w:line="360" w:lineRule="auto"/>
        <w:rPr>
          <w:rFonts w:cs="Arial"/>
        </w:rPr>
      </w:pPr>
    </w:p>
    <w:p w14:paraId="38D40F30" w14:textId="77777777" w:rsidR="003E55C4" w:rsidRPr="00710C0E" w:rsidRDefault="003E55C4" w:rsidP="00ED1C54">
      <w:pPr>
        <w:spacing w:line="360" w:lineRule="auto"/>
        <w:rPr>
          <w:rFonts w:cs="Arial"/>
        </w:rPr>
      </w:pPr>
    </w:p>
    <w:p w14:paraId="57296193" w14:textId="77777777" w:rsidR="003E55C4" w:rsidRPr="00710C0E" w:rsidRDefault="003E55C4" w:rsidP="00ED1C54">
      <w:pPr>
        <w:spacing w:line="360" w:lineRule="auto"/>
        <w:rPr>
          <w:rFonts w:cs="Arial"/>
        </w:rPr>
      </w:pPr>
    </w:p>
    <w:p w14:paraId="7F70001F" w14:textId="77777777" w:rsidR="003E55C4" w:rsidRPr="00710C0E" w:rsidRDefault="003E55C4" w:rsidP="00ED1C54">
      <w:pPr>
        <w:spacing w:line="360" w:lineRule="auto"/>
        <w:rPr>
          <w:rFonts w:cs="Arial"/>
        </w:rPr>
      </w:pPr>
    </w:p>
    <w:sdt>
      <w:sdtPr>
        <w:rPr>
          <w:rFonts w:ascii="Arial" w:eastAsia="Arial" w:hAnsi="Arial" w:cs="Arial"/>
          <w:color w:val="282D34"/>
          <w:sz w:val="22"/>
          <w:szCs w:val="22"/>
        </w:rPr>
        <w:id w:val="1797794038"/>
        <w:docPartObj>
          <w:docPartGallery w:val="Table of Contents"/>
          <w:docPartUnique/>
        </w:docPartObj>
      </w:sdtPr>
      <w:sdtEndPr>
        <w:rPr>
          <w:b/>
          <w:bCs/>
          <w:noProof/>
        </w:rPr>
      </w:sdtEndPr>
      <w:sdtContent>
        <w:p w14:paraId="58A3D41A" w14:textId="52CA4A61" w:rsidR="003E55C4" w:rsidRPr="003C1EF1" w:rsidRDefault="003E55C4" w:rsidP="00ED1C54">
          <w:pPr>
            <w:pStyle w:val="TOCHeading"/>
            <w:spacing w:line="360" w:lineRule="auto"/>
            <w:rPr>
              <w:rFonts w:ascii="Arial" w:hAnsi="Arial" w:cs="Arial"/>
              <w:b/>
              <w:bCs/>
              <w:color w:val="auto"/>
            </w:rPr>
          </w:pPr>
          <w:r w:rsidRPr="003C1EF1">
            <w:rPr>
              <w:rFonts w:ascii="Arial" w:hAnsi="Arial" w:cs="Arial"/>
              <w:b/>
              <w:bCs/>
              <w:color w:val="auto"/>
            </w:rPr>
            <w:t>Contents</w:t>
          </w:r>
        </w:p>
        <w:p w14:paraId="08F72730" w14:textId="029C1AC1" w:rsidR="00710C0E" w:rsidRPr="003C1EF1" w:rsidRDefault="003E55C4" w:rsidP="00ED1C54">
          <w:pPr>
            <w:pStyle w:val="TOC1"/>
            <w:tabs>
              <w:tab w:val="right" w:leader="dot" w:pos="9638"/>
            </w:tabs>
            <w:spacing w:line="360" w:lineRule="auto"/>
            <w:rPr>
              <w:rFonts w:asciiTheme="minorHAnsi" w:eastAsiaTheme="minorEastAsia" w:hAnsiTheme="minorHAnsi"/>
              <w:noProof/>
              <w:color w:val="auto"/>
              <w:kern w:val="2"/>
              <w:sz w:val="22"/>
              <w14:ligatures w14:val="standardContextual"/>
            </w:rPr>
          </w:pPr>
          <w:r w:rsidRPr="003C1EF1">
            <w:rPr>
              <w:rFonts w:cs="Arial"/>
              <w:sz w:val="22"/>
            </w:rPr>
            <w:fldChar w:fldCharType="begin"/>
          </w:r>
          <w:r w:rsidRPr="003C1EF1">
            <w:rPr>
              <w:rFonts w:cs="Arial"/>
              <w:sz w:val="22"/>
            </w:rPr>
            <w:instrText xml:space="preserve"> TOC \o "1-3" \h \z \u </w:instrText>
          </w:r>
          <w:r w:rsidRPr="003C1EF1">
            <w:rPr>
              <w:rFonts w:cs="Arial"/>
              <w:sz w:val="22"/>
            </w:rPr>
            <w:fldChar w:fldCharType="separate"/>
          </w:r>
          <w:hyperlink w:anchor="_Toc242565784" w:history="1">
            <w:r w:rsidR="00710C0E" w:rsidRPr="003C1EF1">
              <w:rPr>
                <w:rStyle w:val="Hyperlink"/>
                <w:rFonts w:cs="Arial"/>
                <w:b/>
                <w:bCs/>
                <w:noProof/>
                <w:sz w:val="22"/>
              </w:rPr>
              <w:t>Component 1: Reflective Report</w:t>
            </w:r>
            <w:r w:rsidR="00710C0E" w:rsidRPr="003C1EF1">
              <w:rPr>
                <w:noProof/>
                <w:webHidden/>
                <w:sz w:val="22"/>
              </w:rPr>
              <w:tab/>
            </w:r>
            <w:r w:rsidR="00710C0E" w:rsidRPr="003C1EF1">
              <w:rPr>
                <w:noProof/>
                <w:webHidden/>
                <w:sz w:val="22"/>
              </w:rPr>
              <w:fldChar w:fldCharType="begin"/>
            </w:r>
            <w:r w:rsidR="00710C0E" w:rsidRPr="003C1EF1">
              <w:rPr>
                <w:noProof/>
                <w:webHidden/>
                <w:sz w:val="22"/>
              </w:rPr>
              <w:instrText xml:space="preserve"> PAGEREF _Toc242565784 \h </w:instrText>
            </w:r>
            <w:r w:rsidR="00710C0E" w:rsidRPr="003C1EF1">
              <w:rPr>
                <w:noProof/>
                <w:webHidden/>
                <w:sz w:val="22"/>
              </w:rPr>
            </w:r>
            <w:r w:rsidR="00710C0E" w:rsidRPr="003C1EF1">
              <w:rPr>
                <w:noProof/>
                <w:webHidden/>
                <w:sz w:val="22"/>
              </w:rPr>
              <w:fldChar w:fldCharType="separate"/>
            </w:r>
            <w:r w:rsidR="00710C0E" w:rsidRPr="003C1EF1">
              <w:rPr>
                <w:noProof/>
                <w:webHidden/>
                <w:sz w:val="22"/>
              </w:rPr>
              <w:t>3</w:t>
            </w:r>
            <w:r w:rsidR="00710C0E" w:rsidRPr="003C1EF1">
              <w:rPr>
                <w:noProof/>
                <w:webHidden/>
                <w:sz w:val="22"/>
              </w:rPr>
              <w:fldChar w:fldCharType="end"/>
            </w:r>
          </w:hyperlink>
        </w:p>
        <w:p w14:paraId="0CA7070A" w14:textId="5A1CEE54" w:rsidR="00710C0E" w:rsidRPr="003C1EF1" w:rsidRDefault="00710C0E" w:rsidP="00ED1C54">
          <w:pPr>
            <w:pStyle w:val="TOC2"/>
            <w:tabs>
              <w:tab w:val="right" w:leader="dot" w:pos="9638"/>
            </w:tabs>
            <w:spacing w:line="360" w:lineRule="auto"/>
            <w:rPr>
              <w:rFonts w:asciiTheme="minorHAnsi" w:eastAsiaTheme="minorEastAsia" w:hAnsiTheme="minorHAnsi"/>
              <w:noProof/>
              <w:color w:val="auto"/>
              <w:kern w:val="2"/>
              <w:sz w:val="22"/>
              <w14:ligatures w14:val="standardContextual"/>
            </w:rPr>
          </w:pPr>
          <w:hyperlink w:anchor="_Toc242565785" w:history="1">
            <w:r w:rsidRPr="003C1EF1">
              <w:rPr>
                <w:rStyle w:val="Hyperlink"/>
                <w:rFonts w:cs="Arial"/>
                <w:b/>
                <w:bCs/>
                <w:noProof/>
                <w:sz w:val="22"/>
              </w:rPr>
              <w:t>Introduction</w:t>
            </w:r>
            <w:r w:rsidRPr="003C1EF1">
              <w:rPr>
                <w:noProof/>
                <w:webHidden/>
                <w:sz w:val="22"/>
              </w:rPr>
              <w:tab/>
            </w:r>
            <w:r w:rsidRPr="003C1EF1">
              <w:rPr>
                <w:noProof/>
                <w:webHidden/>
                <w:sz w:val="22"/>
              </w:rPr>
              <w:fldChar w:fldCharType="begin"/>
            </w:r>
            <w:r w:rsidRPr="003C1EF1">
              <w:rPr>
                <w:noProof/>
                <w:webHidden/>
                <w:sz w:val="22"/>
              </w:rPr>
              <w:instrText xml:space="preserve"> PAGEREF _Toc242565785 \h </w:instrText>
            </w:r>
            <w:r w:rsidRPr="003C1EF1">
              <w:rPr>
                <w:noProof/>
                <w:webHidden/>
                <w:sz w:val="22"/>
              </w:rPr>
            </w:r>
            <w:r w:rsidRPr="003C1EF1">
              <w:rPr>
                <w:noProof/>
                <w:webHidden/>
                <w:sz w:val="22"/>
              </w:rPr>
              <w:fldChar w:fldCharType="separate"/>
            </w:r>
            <w:r w:rsidRPr="003C1EF1">
              <w:rPr>
                <w:noProof/>
                <w:webHidden/>
                <w:sz w:val="22"/>
              </w:rPr>
              <w:t>3</w:t>
            </w:r>
            <w:r w:rsidRPr="003C1EF1">
              <w:rPr>
                <w:noProof/>
                <w:webHidden/>
                <w:sz w:val="22"/>
              </w:rPr>
              <w:fldChar w:fldCharType="end"/>
            </w:r>
          </w:hyperlink>
        </w:p>
        <w:p w14:paraId="7EC5B500" w14:textId="6A1FAED0" w:rsidR="00710C0E" w:rsidRPr="003C1EF1" w:rsidRDefault="00710C0E" w:rsidP="00ED1C54">
          <w:pPr>
            <w:pStyle w:val="TOC2"/>
            <w:tabs>
              <w:tab w:val="right" w:leader="dot" w:pos="9638"/>
            </w:tabs>
            <w:spacing w:line="360" w:lineRule="auto"/>
            <w:rPr>
              <w:rFonts w:asciiTheme="minorHAnsi" w:eastAsiaTheme="minorEastAsia" w:hAnsiTheme="minorHAnsi"/>
              <w:noProof/>
              <w:color w:val="auto"/>
              <w:kern w:val="2"/>
              <w:sz w:val="22"/>
              <w14:ligatures w14:val="standardContextual"/>
            </w:rPr>
          </w:pPr>
          <w:hyperlink w:anchor="_Toc242565786" w:history="1">
            <w:r w:rsidRPr="003C1EF1">
              <w:rPr>
                <w:rStyle w:val="Hyperlink"/>
                <w:rFonts w:cs="Arial"/>
                <w:b/>
                <w:bCs/>
                <w:noProof/>
                <w:sz w:val="22"/>
              </w:rPr>
              <w:t>Task 1 – Reflection on the Importance of Principles of Health and Social Care Practice</w:t>
            </w:r>
            <w:r w:rsidRPr="003C1EF1">
              <w:rPr>
                <w:noProof/>
                <w:webHidden/>
                <w:sz w:val="22"/>
              </w:rPr>
              <w:tab/>
            </w:r>
            <w:r w:rsidRPr="003C1EF1">
              <w:rPr>
                <w:noProof/>
                <w:webHidden/>
                <w:sz w:val="22"/>
              </w:rPr>
              <w:fldChar w:fldCharType="begin"/>
            </w:r>
            <w:r w:rsidRPr="003C1EF1">
              <w:rPr>
                <w:noProof/>
                <w:webHidden/>
                <w:sz w:val="22"/>
              </w:rPr>
              <w:instrText xml:space="preserve"> PAGEREF _Toc242565786 \h </w:instrText>
            </w:r>
            <w:r w:rsidRPr="003C1EF1">
              <w:rPr>
                <w:noProof/>
                <w:webHidden/>
                <w:sz w:val="22"/>
              </w:rPr>
            </w:r>
            <w:r w:rsidRPr="003C1EF1">
              <w:rPr>
                <w:noProof/>
                <w:webHidden/>
                <w:sz w:val="22"/>
              </w:rPr>
              <w:fldChar w:fldCharType="separate"/>
            </w:r>
            <w:r w:rsidRPr="003C1EF1">
              <w:rPr>
                <w:noProof/>
                <w:webHidden/>
                <w:sz w:val="22"/>
              </w:rPr>
              <w:t>3</w:t>
            </w:r>
            <w:r w:rsidRPr="003C1EF1">
              <w:rPr>
                <w:noProof/>
                <w:webHidden/>
                <w:sz w:val="22"/>
              </w:rPr>
              <w:fldChar w:fldCharType="end"/>
            </w:r>
          </w:hyperlink>
        </w:p>
        <w:p w14:paraId="01BDC990" w14:textId="0DBD129B" w:rsidR="00710C0E" w:rsidRPr="003C1EF1" w:rsidRDefault="00710C0E" w:rsidP="00ED1C54">
          <w:pPr>
            <w:pStyle w:val="TOC2"/>
            <w:tabs>
              <w:tab w:val="right" w:leader="dot" w:pos="9638"/>
            </w:tabs>
            <w:spacing w:line="360" w:lineRule="auto"/>
            <w:rPr>
              <w:rFonts w:asciiTheme="minorHAnsi" w:eastAsiaTheme="minorEastAsia" w:hAnsiTheme="minorHAnsi"/>
              <w:noProof/>
              <w:color w:val="auto"/>
              <w:kern w:val="2"/>
              <w:sz w:val="22"/>
              <w14:ligatures w14:val="standardContextual"/>
            </w:rPr>
          </w:pPr>
          <w:hyperlink w:anchor="_Toc242565787" w:history="1">
            <w:r w:rsidRPr="003C1EF1">
              <w:rPr>
                <w:rStyle w:val="Hyperlink"/>
                <w:rFonts w:cs="Arial"/>
                <w:b/>
                <w:bCs/>
                <w:noProof/>
                <w:sz w:val="22"/>
              </w:rPr>
              <w:t>Task 2 – Practical Example in Practice: Robyn’s Story</w:t>
            </w:r>
            <w:r w:rsidRPr="003C1EF1">
              <w:rPr>
                <w:noProof/>
                <w:webHidden/>
                <w:sz w:val="22"/>
              </w:rPr>
              <w:tab/>
            </w:r>
            <w:r w:rsidRPr="003C1EF1">
              <w:rPr>
                <w:noProof/>
                <w:webHidden/>
                <w:sz w:val="22"/>
              </w:rPr>
              <w:fldChar w:fldCharType="begin"/>
            </w:r>
            <w:r w:rsidRPr="003C1EF1">
              <w:rPr>
                <w:noProof/>
                <w:webHidden/>
                <w:sz w:val="22"/>
              </w:rPr>
              <w:instrText xml:space="preserve"> PAGEREF _Toc242565787 \h </w:instrText>
            </w:r>
            <w:r w:rsidRPr="003C1EF1">
              <w:rPr>
                <w:noProof/>
                <w:webHidden/>
                <w:sz w:val="22"/>
              </w:rPr>
            </w:r>
            <w:r w:rsidRPr="003C1EF1">
              <w:rPr>
                <w:noProof/>
                <w:webHidden/>
                <w:sz w:val="22"/>
              </w:rPr>
              <w:fldChar w:fldCharType="separate"/>
            </w:r>
            <w:r w:rsidRPr="003C1EF1">
              <w:rPr>
                <w:noProof/>
                <w:webHidden/>
                <w:sz w:val="22"/>
              </w:rPr>
              <w:t>4</w:t>
            </w:r>
            <w:r w:rsidRPr="003C1EF1">
              <w:rPr>
                <w:noProof/>
                <w:webHidden/>
                <w:sz w:val="22"/>
              </w:rPr>
              <w:fldChar w:fldCharType="end"/>
            </w:r>
          </w:hyperlink>
        </w:p>
        <w:p w14:paraId="68EA3B41" w14:textId="1CFD4AD8" w:rsidR="00710C0E" w:rsidRPr="003C1EF1" w:rsidRDefault="00710C0E" w:rsidP="00ED1C54">
          <w:pPr>
            <w:pStyle w:val="TOC2"/>
            <w:tabs>
              <w:tab w:val="right" w:leader="dot" w:pos="9638"/>
            </w:tabs>
            <w:spacing w:line="360" w:lineRule="auto"/>
            <w:rPr>
              <w:rFonts w:asciiTheme="minorHAnsi" w:eastAsiaTheme="minorEastAsia" w:hAnsiTheme="minorHAnsi"/>
              <w:noProof/>
              <w:color w:val="auto"/>
              <w:kern w:val="2"/>
              <w:sz w:val="22"/>
              <w14:ligatures w14:val="standardContextual"/>
            </w:rPr>
          </w:pPr>
          <w:hyperlink w:anchor="_Toc242565788" w:history="1">
            <w:r w:rsidRPr="003C1EF1">
              <w:rPr>
                <w:rStyle w:val="Hyperlink"/>
                <w:rFonts w:cs="Arial"/>
                <w:b/>
                <w:bCs/>
                <w:noProof/>
                <w:sz w:val="22"/>
              </w:rPr>
              <w:t>Task 3 – Self-Reflection as a Health and Social Care Professional</w:t>
            </w:r>
            <w:r w:rsidRPr="003C1EF1">
              <w:rPr>
                <w:noProof/>
                <w:webHidden/>
                <w:sz w:val="22"/>
              </w:rPr>
              <w:tab/>
            </w:r>
            <w:r w:rsidRPr="003C1EF1">
              <w:rPr>
                <w:noProof/>
                <w:webHidden/>
                <w:sz w:val="22"/>
              </w:rPr>
              <w:fldChar w:fldCharType="begin"/>
            </w:r>
            <w:r w:rsidRPr="003C1EF1">
              <w:rPr>
                <w:noProof/>
                <w:webHidden/>
                <w:sz w:val="22"/>
              </w:rPr>
              <w:instrText xml:space="preserve"> PAGEREF _Toc242565788 \h </w:instrText>
            </w:r>
            <w:r w:rsidRPr="003C1EF1">
              <w:rPr>
                <w:noProof/>
                <w:webHidden/>
                <w:sz w:val="22"/>
              </w:rPr>
            </w:r>
            <w:r w:rsidRPr="003C1EF1">
              <w:rPr>
                <w:noProof/>
                <w:webHidden/>
                <w:sz w:val="22"/>
              </w:rPr>
              <w:fldChar w:fldCharType="separate"/>
            </w:r>
            <w:r w:rsidRPr="003C1EF1">
              <w:rPr>
                <w:noProof/>
                <w:webHidden/>
                <w:sz w:val="22"/>
              </w:rPr>
              <w:t>7</w:t>
            </w:r>
            <w:r w:rsidRPr="003C1EF1">
              <w:rPr>
                <w:noProof/>
                <w:webHidden/>
                <w:sz w:val="22"/>
              </w:rPr>
              <w:fldChar w:fldCharType="end"/>
            </w:r>
          </w:hyperlink>
        </w:p>
        <w:p w14:paraId="7CF01151" w14:textId="27A22E08" w:rsidR="00710C0E" w:rsidRPr="003C1EF1" w:rsidRDefault="00710C0E" w:rsidP="00ED1C54">
          <w:pPr>
            <w:pStyle w:val="TOC3"/>
            <w:tabs>
              <w:tab w:val="right" w:leader="dot" w:pos="9638"/>
            </w:tabs>
            <w:spacing w:line="360" w:lineRule="auto"/>
            <w:rPr>
              <w:rFonts w:asciiTheme="minorHAnsi" w:eastAsiaTheme="minorEastAsia" w:hAnsiTheme="minorHAnsi"/>
              <w:noProof/>
              <w:color w:val="auto"/>
              <w:kern w:val="2"/>
              <w:sz w:val="22"/>
              <w14:ligatures w14:val="standardContextual"/>
            </w:rPr>
          </w:pPr>
          <w:hyperlink w:anchor="_Toc242565789" w:history="1">
            <w:r w:rsidRPr="003C1EF1">
              <w:rPr>
                <w:rStyle w:val="Hyperlink"/>
                <w:rFonts w:cs="Arial"/>
                <w:b/>
                <w:bCs/>
                <w:noProof/>
                <w:sz w:val="22"/>
              </w:rPr>
              <w:t>Introduction</w:t>
            </w:r>
            <w:r w:rsidRPr="003C1EF1">
              <w:rPr>
                <w:noProof/>
                <w:webHidden/>
                <w:sz w:val="22"/>
              </w:rPr>
              <w:tab/>
            </w:r>
            <w:r w:rsidRPr="003C1EF1">
              <w:rPr>
                <w:noProof/>
                <w:webHidden/>
                <w:sz w:val="22"/>
              </w:rPr>
              <w:fldChar w:fldCharType="begin"/>
            </w:r>
            <w:r w:rsidRPr="003C1EF1">
              <w:rPr>
                <w:noProof/>
                <w:webHidden/>
                <w:sz w:val="22"/>
              </w:rPr>
              <w:instrText xml:space="preserve"> PAGEREF _Toc242565789 \h </w:instrText>
            </w:r>
            <w:r w:rsidRPr="003C1EF1">
              <w:rPr>
                <w:noProof/>
                <w:webHidden/>
                <w:sz w:val="22"/>
              </w:rPr>
            </w:r>
            <w:r w:rsidRPr="003C1EF1">
              <w:rPr>
                <w:noProof/>
                <w:webHidden/>
                <w:sz w:val="22"/>
              </w:rPr>
              <w:fldChar w:fldCharType="separate"/>
            </w:r>
            <w:r w:rsidRPr="003C1EF1">
              <w:rPr>
                <w:noProof/>
                <w:webHidden/>
                <w:sz w:val="22"/>
              </w:rPr>
              <w:t>7</w:t>
            </w:r>
            <w:r w:rsidRPr="003C1EF1">
              <w:rPr>
                <w:noProof/>
                <w:webHidden/>
                <w:sz w:val="22"/>
              </w:rPr>
              <w:fldChar w:fldCharType="end"/>
            </w:r>
          </w:hyperlink>
        </w:p>
        <w:p w14:paraId="20D54611" w14:textId="2D69D853" w:rsidR="00710C0E" w:rsidRPr="003C1EF1" w:rsidRDefault="00710C0E" w:rsidP="00ED1C54">
          <w:pPr>
            <w:pStyle w:val="TOC3"/>
            <w:tabs>
              <w:tab w:val="right" w:leader="dot" w:pos="9638"/>
            </w:tabs>
            <w:spacing w:line="360" w:lineRule="auto"/>
            <w:rPr>
              <w:rFonts w:asciiTheme="minorHAnsi" w:eastAsiaTheme="minorEastAsia" w:hAnsiTheme="minorHAnsi"/>
              <w:noProof/>
              <w:color w:val="auto"/>
              <w:kern w:val="2"/>
              <w:sz w:val="22"/>
              <w14:ligatures w14:val="standardContextual"/>
            </w:rPr>
          </w:pPr>
          <w:hyperlink w:anchor="_Toc242565790" w:history="1">
            <w:r w:rsidRPr="003C1EF1">
              <w:rPr>
                <w:rStyle w:val="Hyperlink"/>
                <w:rFonts w:cs="Arial"/>
                <w:b/>
                <w:bCs/>
                <w:noProof/>
                <w:sz w:val="22"/>
              </w:rPr>
              <w:t>Description</w:t>
            </w:r>
            <w:r w:rsidRPr="003C1EF1">
              <w:rPr>
                <w:noProof/>
                <w:webHidden/>
                <w:sz w:val="22"/>
              </w:rPr>
              <w:tab/>
            </w:r>
            <w:r w:rsidRPr="003C1EF1">
              <w:rPr>
                <w:noProof/>
                <w:webHidden/>
                <w:sz w:val="22"/>
              </w:rPr>
              <w:fldChar w:fldCharType="begin"/>
            </w:r>
            <w:r w:rsidRPr="003C1EF1">
              <w:rPr>
                <w:noProof/>
                <w:webHidden/>
                <w:sz w:val="22"/>
              </w:rPr>
              <w:instrText xml:space="preserve"> PAGEREF _Toc242565790 \h </w:instrText>
            </w:r>
            <w:r w:rsidRPr="003C1EF1">
              <w:rPr>
                <w:noProof/>
                <w:webHidden/>
                <w:sz w:val="22"/>
              </w:rPr>
            </w:r>
            <w:r w:rsidRPr="003C1EF1">
              <w:rPr>
                <w:noProof/>
                <w:webHidden/>
                <w:sz w:val="22"/>
              </w:rPr>
              <w:fldChar w:fldCharType="separate"/>
            </w:r>
            <w:r w:rsidRPr="003C1EF1">
              <w:rPr>
                <w:noProof/>
                <w:webHidden/>
                <w:sz w:val="22"/>
              </w:rPr>
              <w:t>7</w:t>
            </w:r>
            <w:r w:rsidRPr="003C1EF1">
              <w:rPr>
                <w:noProof/>
                <w:webHidden/>
                <w:sz w:val="22"/>
              </w:rPr>
              <w:fldChar w:fldCharType="end"/>
            </w:r>
          </w:hyperlink>
        </w:p>
        <w:p w14:paraId="30EDB48C" w14:textId="26699A5D" w:rsidR="00710C0E" w:rsidRPr="003C1EF1" w:rsidRDefault="00710C0E" w:rsidP="00ED1C54">
          <w:pPr>
            <w:pStyle w:val="TOC3"/>
            <w:tabs>
              <w:tab w:val="right" w:leader="dot" w:pos="9638"/>
            </w:tabs>
            <w:spacing w:line="360" w:lineRule="auto"/>
            <w:rPr>
              <w:rFonts w:asciiTheme="minorHAnsi" w:eastAsiaTheme="minorEastAsia" w:hAnsiTheme="minorHAnsi"/>
              <w:noProof/>
              <w:color w:val="auto"/>
              <w:kern w:val="2"/>
              <w:sz w:val="22"/>
              <w14:ligatures w14:val="standardContextual"/>
            </w:rPr>
          </w:pPr>
          <w:hyperlink w:anchor="_Toc242565791" w:history="1">
            <w:r w:rsidRPr="003C1EF1">
              <w:rPr>
                <w:rStyle w:val="Hyperlink"/>
                <w:rFonts w:cs="Arial"/>
                <w:b/>
                <w:bCs/>
                <w:noProof/>
                <w:sz w:val="22"/>
              </w:rPr>
              <w:t>Feelings</w:t>
            </w:r>
            <w:r w:rsidRPr="003C1EF1">
              <w:rPr>
                <w:noProof/>
                <w:webHidden/>
                <w:sz w:val="22"/>
              </w:rPr>
              <w:tab/>
            </w:r>
            <w:r w:rsidRPr="003C1EF1">
              <w:rPr>
                <w:noProof/>
                <w:webHidden/>
                <w:sz w:val="22"/>
              </w:rPr>
              <w:fldChar w:fldCharType="begin"/>
            </w:r>
            <w:r w:rsidRPr="003C1EF1">
              <w:rPr>
                <w:noProof/>
                <w:webHidden/>
                <w:sz w:val="22"/>
              </w:rPr>
              <w:instrText xml:space="preserve"> PAGEREF _Toc242565791 \h </w:instrText>
            </w:r>
            <w:r w:rsidRPr="003C1EF1">
              <w:rPr>
                <w:noProof/>
                <w:webHidden/>
                <w:sz w:val="22"/>
              </w:rPr>
            </w:r>
            <w:r w:rsidRPr="003C1EF1">
              <w:rPr>
                <w:noProof/>
                <w:webHidden/>
                <w:sz w:val="22"/>
              </w:rPr>
              <w:fldChar w:fldCharType="separate"/>
            </w:r>
            <w:r w:rsidRPr="003C1EF1">
              <w:rPr>
                <w:noProof/>
                <w:webHidden/>
                <w:sz w:val="22"/>
              </w:rPr>
              <w:t>7</w:t>
            </w:r>
            <w:r w:rsidRPr="003C1EF1">
              <w:rPr>
                <w:noProof/>
                <w:webHidden/>
                <w:sz w:val="22"/>
              </w:rPr>
              <w:fldChar w:fldCharType="end"/>
            </w:r>
          </w:hyperlink>
        </w:p>
        <w:p w14:paraId="2A342572" w14:textId="71F30A92" w:rsidR="00710C0E" w:rsidRPr="003C1EF1" w:rsidRDefault="00710C0E" w:rsidP="00ED1C54">
          <w:pPr>
            <w:pStyle w:val="TOC3"/>
            <w:tabs>
              <w:tab w:val="right" w:leader="dot" w:pos="9638"/>
            </w:tabs>
            <w:spacing w:line="360" w:lineRule="auto"/>
            <w:rPr>
              <w:rFonts w:asciiTheme="minorHAnsi" w:eastAsiaTheme="minorEastAsia" w:hAnsiTheme="minorHAnsi"/>
              <w:noProof/>
              <w:color w:val="auto"/>
              <w:kern w:val="2"/>
              <w:sz w:val="22"/>
              <w14:ligatures w14:val="standardContextual"/>
            </w:rPr>
          </w:pPr>
          <w:hyperlink w:anchor="_Toc242565792" w:history="1">
            <w:r w:rsidRPr="003C1EF1">
              <w:rPr>
                <w:rStyle w:val="Hyperlink"/>
                <w:rFonts w:cs="Arial"/>
                <w:b/>
                <w:bCs/>
                <w:noProof/>
                <w:sz w:val="22"/>
              </w:rPr>
              <w:t>Evaluation</w:t>
            </w:r>
            <w:r w:rsidRPr="003C1EF1">
              <w:rPr>
                <w:noProof/>
                <w:webHidden/>
                <w:sz w:val="22"/>
              </w:rPr>
              <w:tab/>
            </w:r>
            <w:r w:rsidRPr="003C1EF1">
              <w:rPr>
                <w:noProof/>
                <w:webHidden/>
                <w:sz w:val="22"/>
              </w:rPr>
              <w:fldChar w:fldCharType="begin"/>
            </w:r>
            <w:r w:rsidRPr="003C1EF1">
              <w:rPr>
                <w:noProof/>
                <w:webHidden/>
                <w:sz w:val="22"/>
              </w:rPr>
              <w:instrText xml:space="preserve"> PAGEREF _Toc242565792 \h </w:instrText>
            </w:r>
            <w:r w:rsidRPr="003C1EF1">
              <w:rPr>
                <w:noProof/>
                <w:webHidden/>
                <w:sz w:val="22"/>
              </w:rPr>
            </w:r>
            <w:r w:rsidRPr="003C1EF1">
              <w:rPr>
                <w:noProof/>
                <w:webHidden/>
                <w:sz w:val="22"/>
              </w:rPr>
              <w:fldChar w:fldCharType="separate"/>
            </w:r>
            <w:r w:rsidRPr="003C1EF1">
              <w:rPr>
                <w:noProof/>
                <w:webHidden/>
                <w:sz w:val="22"/>
              </w:rPr>
              <w:t>7</w:t>
            </w:r>
            <w:r w:rsidRPr="003C1EF1">
              <w:rPr>
                <w:noProof/>
                <w:webHidden/>
                <w:sz w:val="22"/>
              </w:rPr>
              <w:fldChar w:fldCharType="end"/>
            </w:r>
          </w:hyperlink>
        </w:p>
        <w:p w14:paraId="2D8D3DF0" w14:textId="00E6AD11" w:rsidR="00710C0E" w:rsidRPr="003C1EF1" w:rsidRDefault="00710C0E" w:rsidP="00ED1C54">
          <w:pPr>
            <w:pStyle w:val="TOC3"/>
            <w:tabs>
              <w:tab w:val="right" w:leader="dot" w:pos="9638"/>
            </w:tabs>
            <w:spacing w:line="360" w:lineRule="auto"/>
            <w:rPr>
              <w:rFonts w:asciiTheme="minorHAnsi" w:eastAsiaTheme="minorEastAsia" w:hAnsiTheme="minorHAnsi"/>
              <w:noProof/>
              <w:color w:val="auto"/>
              <w:kern w:val="2"/>
              <w:sz w:val="22"/>
              <w14:ligatures w14:val="standardContextual"/>
            </w:rPr>
          </w:pPr>
          <w:hyperlink w:anchor="_Toc242565793" w:history="1">
            <w:r w:rsidRPr="003C1EF1">
              <w:rPr>
                <w:rStyle w:val="Hyperlink"/>
                <w:rFonts w:cs="Arial"/>
                <w:b/>
                <w:bCs/>
                <w:noProof/>
                <w:sz w:val="22"/>
              </w:rPr>
              <w:t>Analysis</w:t>
            </w:r>
            <w:r w:rsidRPr="003C1EF1">
              <w:rPr>
                <w:noProof/>
                <w:webHidden/>
                <w:sz w:val="22"/>
              </w:rPr>
              <w:tab/>
            </w:r>
            <w:r w:rsidRPr="003C1EF1">
              <w:rPr>
                <w:noProof/>
                <w:webHidden/>
                <w:sz w:val="22"/>
              </w:rPr>
              <w:fldChar w:fldCharType="begin"/>
            </w:r>
            <w:r w:rsidRPr="003C1EF1">
              <w:rPr>
                <w:noProof/>
                <w:webHidden/>
                <w:sz w:val="22"/>
              </w:rPr>
              <w:instrText xml:space="preserve"> PAGEREF _Toc242565793 \h </w:instrText>
            </w:r>
            <w:r w:rsidRPr="003C1EF1">
              <w:rPr>
                <w:noProof/>
                <w:webHidden/>
                <w:sz w:val="22"/>
              </w:rPr>
            </w:r>
            <w:r w:rsidRPr="003C1EF1">
              <w:rPr>
                <w:noProof/>
                <w:webHidden/>
                <w:sz w:val="22"/>
              </w:rPr>
              <w:fldChar w:fldCharType="separate"/>
            </w:r>
            <w:r w:rsidRPr="003C1EF1">
              <w:rPr>
                <w:noProof/>
                <w:webHidden/>
                <w:sz w:val="22"/>
              </w:rPr>
              <w:t>8</w:t>
            </w:r>
            <w:r w:rsidRPr="003C1EF1">
              <w:rPr>
                <w:noProof/>
                <w:webHidden/>
                <w:sz w:val="22"/>
              </w:rPr>
              <w:fldChar w:fldCharType="end"/>
            </w:r>
          </w:hyperlink>
        </w:p>
        <w:p w14:paraId="1E8DEA85" w14:textId="48F4AF6F" w:rsidR="00710C0E" w:rsidRPr="003C1EF1" w:rsidRDefault="00710C0E" w:rsidP="00ED1C54">
          <w:pPr>
            <w:pStyle w:val="TOC3"/>
            <w:tabs>
              <w:tab w:val="right" w:leader="dot" w:pos="9638"/>
            </w:tabs>
            <w:spacing w:line="360" w:lineRule="auto"/>
            <w:rPr>
              <w:rFonts w:asciiTheme="minorHAnsi" w:eastAsiaTheme="minorEastAsia" w:hAnsiTheme="minorHAnsi"/>
              <w:noProof/>
              <w:color w:val="auto"/>
              <w:kern w:val="2"/>
              <w:sz w:val="22"/>
              <w14:ligatures w14:val="standardContextual"/>
            </w:rPr>
          </w:pPr>
          <w:hyperlink w:anchor="_Toc242565794" w:history="1">
            <w:r w:rsidRPr="003C1EF1">
              <w:rPr>
                <w:rStyle w:val="Hyperlink"/>
                <w:rFonts w:cs="Arial"/>
                <w:b/>
                <w:bCs/>
                <w:noProof/>
                <w:sz w:val="22"/>
              </w:rPr>
              <w:t>Conclusion</w:t>
            </w:r>
            <w:r w:rsidRPr="003C1EF1">
              <w:rPr>
                <w:noProof/>
                <w:webHidden/>
                <w:sz w:val="22"/>
              </w:rPr>
              <w:tab/>
            </w:r>
            <w:r w:rsidRPr="003C1EF1">
              <w:rPr>
                <w:noProof/>
                <w:webHidden/>
                <w:sz w:val="22"/>
              </w:rPr>
              <w:fldChar w:fldCharType="begin"/>
            </w:r>
            <w:r w:rsidRPr="003C1EF1">
              <w:rPr>
                <w:noProof/>
                <w:webHidden/>
                <w:sz w:val="22"/>
              </w:rPr>
              <w:instrText xml:space="preserve"> PAGEREF _Toc242565794 \h </w:instrText>
            </w:r>
            <w:r w:rsidRPr="003C1EF1">
              <w:rPr>
                <w:noProof/>
                <w:webHidden/>
                <w:sz w:val="22"/>
              </w:rPr>
            </w:r>
            <w:r w:rsidRPr="003C1EF1">
              <w:rPr>
                <w:noProof/>
                <w:webHidden/>
                <w:sz w:val="22"/>
              </w:rPr>
              <w:fldChar w:fldCharType="separate"/>
            </w:r>
            <w:r w:rsidRPr="003C1EF1">
              <w:rPr>
                <w:noProof/>
                <w:webHidden/>
                <w:sz w:val="22"/>
              </w:rPr>
              <w:t>8</w:t>
            </w:r>
            <w:r w:rsidRPr="003C1EF1">
              <w:rPr>
                <w:noProof/>
                <w:webHidden/>
                <w:sz w:val="22"/>
              </w:rPr>
              <w:fldChar w:fldCharType="end"/>
            </w:r>
          </w:hyperlink>
        </w:p>
        <w:p w14:paraId="456AAAFC" w14:textId="56969C64" w:rsidR="00710C0E" w:rsidRPr="003C1EF1" w:rsidRDefault="00710C0E" w:rsidP="00ED1C54">
          <w:pPr>
            <w:pStyle w:val="TOC3"/>
            <w:tabs>
              <w:tab w:val="right" w:leader="dot" w:pos="9638"/>
            </w:tabs>
            <w:spacing w:line="360" w:lineRule="auto"/>
            <w:rPr>
              <w:rFonts w:asciiTheme="minorHAnsi" w:eastAsiaTheme="minorEastAsia" w:hAnsiTheme="minorHAnsi"/>
              <w:noProof/>
              <w:color w:val="auto"/>
              <w:kern w:val="2"/>
              <w:sz w:val="22"/>
              <w14:ligatures w14:val="standardContextual"/>
            </w:rPr>
          </w:pPr>
          <w:hyperlink w:anchor="_Toc242565795" w:history="1">
            <w:r w:rsidRPr="003C1EF1">
              <w:rPr>
                <w:rStyle w:val="Hyperlink"/>
                <w:rFonts w:cs="Arial"/>
                <w:b/>
                <w:bCs/>
                <w:noProof/>
                <w:sz w:val="22"/>
              </w:rPr>
              <w:t>Action Plan</w:t>
            </w:r>
            <w:r w:rsidRPr="003C1EF1">
              <w:rPr>
                <w:noProof/>
                <w:webHidden/>
                <w:sz w:val="22"/>
              </w:rPr>
              <w:tab/>
            </w:r>
            <w:r w:rsidRPr="003C1EF1">
              <w:rPr>
                <w:noProof/>
                <w:webHidden/>
                <w:sz w:val="22"/>
              </w:rPr>
              <w:fldChar w:fldCharType="begin"/>
            </w:r>
            <w:r w:rsidRPr="003C1EF1">
              <w:rPr>
                <w:noProof/>
                <w:webHidden/>
                <w:sz w:val="22"/>
              </w:rPr>
              <w:instrText xml:space="preserve"> PAGEREF _Toc242565795 \h </w:instrText>
            </w:r>
            <w:r w:rsidRPr="003C1EF1">
              <w:rPr>
                <w:noProof/>
                <w:webHidden/>
                <w:sz w:val="22"/>
              </w:rPr>
            </w:r>
            <w:r w:rsidRPr="003C1EF1">
              <w:rPr>
                <w:noProof/>
                <w:webHidden/>
                <w:sz w:val="22"/>
              </w:rPr>
              <w:fldChar w:fldCharType="separate"/>
            </w:r>
            <w:r w:rsidRPr="003C1EF1">
              <w:rPr>
                <w:noProof/>
                <w:webHidden/>
                <w:sz w:val="22"/>
              </w:rPr>
              <w:t>8</w:t>
            </w:r>
            <w:r w:rsidRPr="003C1EF1">
              <w:rPr>
                <w:noProof/>
                <w:webHidden/>
                <w:sz w:val="22"/>
              </w:rPr>
              <w:fldChar w:fldCharType="end"/>
            </w:r>
          </w:hyperlink>
        </w:p>
        <w:p w14:paraId="282E6801" w14:textId="29C1E1E1" w:rsidR="00710C0E" w:rsidRPr="003C1EF1" w:rsidRDefault="00710C0E" w:rsidP="00ED1C54">
          <w:pPr>
            <w:pStyle w:val="TOC2"/>
            <w:tabs>
              <w:tab w:val="right" w:leader="dot" w:pos="9638"/>
            </w:tabs>
            <w:spacing w:line="360" w:lineRule="auto"/>
            <w:rPr>
              <w:rFonts w:asciiTheme="minorHAnsi" w:eastAsiaTheme="minorEastAsia" w:hAnsiTheme="minorHAnsi"/>
              <w:noProof/>
              <w:color w:val="auto"/>
              <w:kern w:val="2"/>
              <w:sz w:val="22"/>
              <w14:ligatures w14:val="standardContextual"/>
            </w:rPr>
          </w:pPr>
          <w:hyperlink w:anchor="_Toc242565796" w:history="1">
            <w:r w:rsidRPr="003C1EF1">
              <w:rPr>
                <w:rStyle w:val="Hyperlink"/>
                <w:rFonts w:cs="Arial"/>
                <w:b/>
                <w:bCs/>
                <w:noProof/>
                <w:sz w:val="22"/>
              </w:rPr>
              <w:t>Conclusion</w:t>
            </w:r>
            <w:r w:rsidRPr="003C1EF1">
              <w:rPr>
                <w:noProof/>
                <w:webHidden/>
                <w:sz w:val="22"/>
              </w:rPr>
              <w:tab/>
            </w:r>
            <w:r w:rsidRPr="003C1EF1">
              <w:rPr>
                <w:noProof/>
                <w:webHidden/>
                <w:sz w:val="22"/>
              </w:rPr>
              <w:fldChar w:fldCharType="begin"/>
            </w:r>
            <w:r w:rsidRPr="003C1EF1">
              <w:rPr>
                <w:noProof/>
                <w:webHidden/>
                <w:sz w:val="22"/>
              </w:rPr>
              <w:instrText xml:space="preserve"> PAGEREF _Toc242565796 \h </w:instrText>
            </w:r>
            <w:r w:rsidRPr="003C1EF1">
              <w:rPr>
                <w:noProof/>
                <w:webHidden/>
                <w:sz w:val="22"/>
              </w:rPr>
            </w:r>
            <w:r w:rsidRPr="003C1EF1">
              <w:rPr>
                <w:noProof/>
                <w:webHidden/>
                <w:sz w:val="22"/>
              </w:rPr>
              <w:fldChar w:fldCharType="separate"/>
            </w:r>
            <w:r w:rsidRPr="003C1EF1">
              <w:rPr>
                <w:noProof/>
                <w:webHidden/>
                <w:sz w:val="22"/>
              </w:rPr>
              <w:t>8</w:t>
            </w:r>
            <w:r w:rsidRPr="003C1EF1">
              <w:rPr>
                <w:noProof/>
                <w:webHidden/>
                <w:sz w:val="22"/>
              </w:rPr>
              <w:fldChar w:fldCharType="end"/>
            </w:r>
          </w:hyperlink>
        </w:p>
        <w:p w14:paraId="1758BBC4" w14:textId="2B6C892B" w:rsidR="00710C0E" w:rsidRPr="003C1EF1" w:rsidRDefault="00710C0E" w:rsidP="00ED1C54">
          <w:pPr>
            <w:pStyle w:val="TOC2"/>
            <w:tabs>
              <w:tab w:val="right" w:leader="dot" w:pos="9638"/>
            </w:tabs>
            <w:spacing w:line="360" w:lineRule="auto"/>
            <w:rPr>
              <w:rFonts w:asciiTheme="minorHAnsi" w:eastAsiaTheme="minorEastAsia" w:hAnsiTheme="minorHAnsi"/>
              <w:noProof/>
              <w:color w:val="auto"/>
              <w:kern w:val="2"/>
              <w:sz w:val="22"/>
              <w14:ligatures w14:val="standardContextual"/>
            </w:rPr>
          </w:pPr>
          <w:hyperlink w:anchor="_Toc242565797" w:history="1">
            <w:r w:rsidRPr="003C1EF1">
              <w:rPr>
                <w:rStyle w:val="Hyperlink"/>
                <w:rFonts w:cs="Arial"/>
                <w:b/>
                <w:bCs/>
                <w:noProof/>
                <w:sz w:val="22"/>
              </w:rPr>
              <w:t>References</w:t>
            </w:r>
            <w:r w:rsidRPr="003C1EF1">
              <w:rPr>
                <w:noProof/>
                <w:webHidden/>
                <w:sz w:val="22"/>
              </w:rPr>
              <w:tab/>
            </w:r>
            <w:r w:rsidRPr="003C1EF1">
              <w:rPr>
                <w:noProof/>
                <w:webHidden/>
                <w:sz w:val="22"/>
              </w:rPr>
              <w:fldChar w:fldCharType="begin"/>
            </w:r>
            <w:r w:rsidRPr="003C1EF1">
              <w:rPr>
                <w:noProof/>
                <w:webHidden/>
                <w:sz w:val="22"/>
              </w:rPr>
              <w:instrText xml:space="preserve"> PAGEREF _Toc242565797 \h </w:instrText>
            </w:r>
            <w:r w:rsidRPr="003C1EF1">
              <w:rPr>
                <w:noProof/>
                <w:webHidden/>
                <w:sz w:val="22"/>
              </w:rPr>
            </w:r>
            <w:r w:rsidRPr="003C1EF1">
              <w:rPr>
                <w:noProof/>
                <w:webHidden/>
                <w:sz w:val="22"/>
              </w:rPr>
              <w:fldChar w:fldCharType="separate"/>
            </w:r>
            <w:r w:rsidRPr="003C1EF1">
              <w:rPr>
                <w:noProof/>
                <w:webHidden/>
                <w:sz w:val="22"/>
              </w:rPr>
              <w:t>10</w:t>
            </w:r>
            <w:r w:rsidRPr="003C1EF1">
              <w:rPr>
                <w:noProof/>
                <w:webHidden/>
                <w:sz w:val="22"/>
              </w:rPr>
              <w:fldChar w:fldCharType="end"/>
            </w:r>
          </w:hyperlink>
        </w:p>
        <w:p w14:paraId="200CDA24" w14:textId="42281A08" w:rsidR="003E55C4" w:rsidRPr="003C1EF1" w:rsidRDefault="003E55C4" w:rsidP="00ED1C54">
          <w:pPr>
            <w:spacing w:line="360" w:lineRule="auto"/>
            <w:rPr>
              <w:rFonts w:cs="Arial"/>
              <w:sz w:val="22"/>
            </w:rPr>
          </w:pPr>
          <w:r w:rsidRPr="003C1EF1">
            <w:rPr>
              <w:rFonts w:cs="Arial"/>
              <w:b/>
              <w:bCs/>
              <w:noProof/>
              <w:sz w:val="22"/>
            </w:rPr>
            <w:fldChar w:fldCharType="end"/>
          </w:r>
        </w:p>
      </w:sdtContent>
    </w:sdt>
    <w:p w14:paraId="4F824621" w14:textId="77777777" w:rsidR="003E55C4" w:rsidRPr="00710C0E" w:rsidRDefault="003E55C4" w:rsidP="00ED1C54">
      <w:pPr>
        <w:spacing w:line="360" w:lineRule="auto"/>
        <w:rPr>
          <w:rFonts w:cs="Arial"/>
        </w:rPr>
      </w:pPr>
    </w:p>
    <w:p w14:paraId="03C36FE5" w14:textId="77777777" w:rsidR="009802B4" w:rsidRPr="00710C0E" w:rsidRDefault="009802B4" w:rsidP="00ED1C54">
      <w:pPr>
        <w:spacing w:line="360" w:lineRule="auto"/>
        <w:rPr>
          <w:rFonts w:cs="Arial"/>
        </w:rPr>
      </w:pPr>
    </w:p>
    <w:p w14:paraId="03BF523B" w14:textId="77777777" w:rsidR="009802B4" w:rsidRPr="00710C0E" w:rsidRDefault="009802B4" w:rsidP="00ED1C54">
      <w:pPr>
        <w:spacing w:line="360" w:lineRule="auto"/>
        <w:rPr>
          <w:rFonts w:cs="Arial"/>
        </w:rPr>
      </w:pPr>
    </w:p>
    <w:p w14:paraId="0060616E" w14:textId="77777777" w:rsidR="009802B4" w:rsidRPr="00710C0E" w:rsidRDefault="009802B4" w:rsidP="00ED1C54">
      <w:pPr>
        <w:spacing w:line="360" w:lineRule="auto"/>
        <w:rPr>
          <w:rFonts w:cs="Arial"/>
        </w:rPr>
      </w:pPr>
    </w:p>
    <w:p w14:paraId="1909B83F" w14:textId="77777777" w:rsidR="009802B4" w:rsidRPr="00710C0E" w:rsidRDefault="009802B4" w:rsidP="00ED1C54">
      <w:pPr>
        <w:spacing w:line="360" w:lineRule="auto"/>
        <w:rPr>
          <w:rFonts w:cs="Arial"/>
        </w:rPr>
      </w:pPr>
    </w:p>
    <w:p w14:paraId="5BE24FDB" w14:textId="77777777" w:rsidR="009802B4" w:rsidRPr="00710C0E" w:rsidRDefault="009802B4" w:rsidP="00ED1C54">
      <w:pPr>
        <w:spacing w:line="360" w:lineRule="auto"/>
        <w:rPr>
          <w:rFonts w:cs="Arial"/>
        </w:rPr>
      </w:pPr>
    </w:p>
    <w:p w14:paraId="6F83894F" w14:textId="77777777" w:rsidR="009802B4" w:rsidRPr="00710C0E" w:rsidRDefault="009802B4" w:rsidP="00ED1C54">
      <w:pPr>
        <w:spacing w:line="360" w:lineRule="auto"/>
        <w:rPr>
          <w:rFonts w:cs="Arial"/>
        </w:rPr>
      </w:pPr>
    </w:p>
    <w:p w14:paraId="3FC9BC51" w14:textId="77777777" w:rsidR="009802B4" w:rsidRPr="00710C0E" w:rsidRDefault="009802B4" w:rsidP="00ED1C54">
      <w:pPr>
        <w:spacing w:line="360" w:lineRule="auto"/>
        <w:rPr>
          <w:rFonts w:cs="Arial"/>
        </w:rPr>
      </w:pPr>
    </w:p>
    <w:p w14:paraId="48151EBE" w14:textId="6B021C79" w:rsidR="005C6891" w:rsidRPr="00710C0E" w:rsidRDefault="009959E8" w:rsidP="00ED1C54">
      <w:pPr>
        <w:pStyle w:val="Heading1"/>
        <w:spacing w:line="360" w:lineRule="auto"/>
        <w:jc w:val="center"/>
        <w:rPr>
          <w:rFonts w:ascii="Arial" w:hAnsi="Arial" w:cs="Arial"/>
          <w:b/>
          <w:bCs/>
          <w:color w:val="auto"/>
          <w:sz w:val="32"/>
          <w:szCs w:val="32"/>
        </w:rPr>
      </w:pPr>
      <w:bookmarkStart w:id="0" w:name="_Toc242565784"/>
      <w:r w:rsidRPr="00710C0E">
        <w:rPr>
          <w:rFonts w:ascii="Arial" w:hAnsi="Arial" w:cs="Arial"/>
          <w:b/>
          <w:bCs/>
          <w:color w:val="auto"/>
          <w:sz w:val="32"/>
          <w:szCs w:val="32"/>
        </w:rPr>
        <w:lastRenderedPageBreak/>
        <w:t xml:space="preserve">Component 1: </w:t>
      </w:r>
      <w:r w:rsidR="005C6891" w:rsidRPr="00710C0E">
        <w:rPr>
          <w:rFonts w:ascii="Arial" w:hAnsi="Arial" w:cs="Arial"/>
          <w:b/>
          <w:bCs/>
          <w:color w:val="auto"/>
          <w:sz w:val="32"/>
          <w:szCs w:val="32"/>
        </w:rPr>
        <w:t>Reflective Report</w:t>
      </w:r>
      <w:bookmarkEnd w:id="0"/>
      <w:r w:rsidRPr="00710C0E">
        <w:rPr>
          <w:rFonts w:ascii="Arial" w:hAnsi="Arial" w:cs="Arial"/>
          <w:b/>
          <w:bCs/>
          <w:color w:val="auto"/>
          <w:sz w:val="32"/>
          <w:szCs w:val="32"/>
        </w:rPr>
        <w:t xml:space="preserve"> </w:t>
      </w:r>
    </w:p>
    <w:p w14:paraId="6D492F58" w14:textId="77777777" w:rsidR="005C6891" w:rsidRPr="00710C0E" w:rsidRDefault="005C6891" w:rsidP="00ED1C54">
      <w:pPr>
        <w:pStyle w:val="Heading2"/>
        <w:spacing w:line="360" w:lineRule="auto"/>
        <w:jc w:val="both"/>
        <w:rPr>
          <w:rFonts w:ascii="Arial" w:hAnsi="Arial" w:cs="Arial"/>
          <w:b/>
          <w:bCs/>
          <w:color w:val="auto"/>
          <w:sz w:val="28"/>
          <w:szCs w:val="28"/>
        </w:rPr>
      </w:pPr>
      <w:bookmarkStart w:id="1" w:name="_Toc242565785"/>
      <w:r w:rsidRPr="00710C0E">
        <w:rPr>
          <w:rFonts w:ascii="Arial" w:hAnsi="Arial" w:cs="Arial"/>
          <w:b/>
          <w:bCs/>
          <w:color w:val="auto"/>
          <w:sz w:val="28"/>
          <w:szCs w:val="28"/>
        </w:rPr>
        <w:t>Introduction</w:t>
      </w:r>
      <w:bookmarkEnd w:id="1"/>
    </w:p>
    <w:p w14:paraId="0EAA59BE" w14:textId="4F6932B5" w:rsidR="00016B2A" w:rsidRPr="00710C0E" w:rsidRDefault="00827ED3" w:rsidP="283BE1BA">
      <w:pPr>
        <w:spacing w:after="100" w:line="360" w:lineRule="auto"/>
        <w:jc w:val="both"/>
        <w:rPr>
          <w:rFonts w:cs="Arial"/>
          <w:sz w:val="22"/>
        </w:rPr>
      </w:pPr>
      <w:r w:rsidRPr="283BE1BA">
        <w:rPr>
          <w:rFonts w:cs="Arial"/>
          <w:sz w:val="22"/>
        </w:rPr>
        <w:t>This reflective report looks at the concepts of person-</w:t>
      </w:r>
      <w:r w:rsidR="4E97DF1E" w:rsidRPr="283BE1BA">
        <w:rPr>
          <w:rFonts w:cs="Arial"/>
          <w:sz w:val="22"/>
        </w:rPr>
        <w:t>centered</w:t>
      </w:r>
      <w:r w:rsidRPr="283BE1BA">
        <w:rPr>
          <w:rFonts w:cs="Arial"/>
          <w:sz w:val="22"/>
        </w:rPr>
        <w:t xml:space="preserve"> care, partnership working and ethical practice in the UK health and social care sector. Person-</w:t>
      </w:r>
      <w:r w:rsidR="7330E765" w:rsidRPr="283BE1BA">
        <w:rPr>
          <w:rFonts w:cs="Arial"/>
          <w:sz w:val="22"/>
        </w:rPr>
        <w:t>centered</w:t>
      </w:r>
      <w:r w:rsidRPr="283BE1BA">
        <w:rPr>
          <w:rFonts w:cs="Arial"/>
          <w:sz w:val="22"/>
        </w:rPr>
        <w:t xml:space="preserve"> care does not limit a person's values and preferences, relationships and goals to assessed needs (McCormack et al., 2012). Studies about care planning </w:t>
      </w:r>
      <w:r w:rsidR="1BE221A5" w:rsidRPr="283BE1BA">
        <w:rPr>
          <w:rFonts w:cs="Arial"/>
          <w:sz w:val="22"/>
        </w:rPr>
        <w:t>emphasize</w:t>
      </w:r>
      <w:r w:rsidRPr="283BE1BA">
        <w:rPr>
          <w:rFonts w:cs="Arial"/>
          <w:sz w:val="22"/>
        </w:rPr>
        <w:t xml:space="preserve"> the need to include people in the decision-making process and to make sure that </w:t>
      </w:r>
      <w:proofErr w:type="gramStart"/>
      <w:r w:rsidRPr="283BE1BA">
        <w:rPr>
          <w:rFonts w:cs="Arial"/>
          <w:sz w:val="22"/>
        </w:rPr>
        <w:t>the support</w:t>
      </w:r>
      <w:proofErr w:type="gramEnd"/>
      <w:r w:rsidRPr="283BE1BA">
        <w:rPr>
          <w:rFonts w:cs="Arial"/>
          <w:sz w:val="22"/>
        </w:rPr>
        <w:t xml:space="preserve"> is in the right context (Damant et al., 2026). Coordinated support and continuity can be found through partnership </w:t>
      </w:r>
      <w:r w:rsidR="61334670" w:rsidRPr="283BE1BA">
        <w:rPr>
          <w:rFonts w:cs="Arial"/>
          <w:sz w:val="22"/>
        </w:rPr>
        <w:t>work</w:t>
      </w:r>
      <w:r w:rsidRPr="283BE1BA">
        <w:rPr>
          <w:rFonts w:cs="Arial"/>
          <w:sz w:val="22"/>
        </w:rPr>
        <w:t xml:space="preserve"> (Mackie and Darvill, 2016</w:t>
      </w:r>
      <w:r w:rsidR="00016B2A" w:rsidRPr="283BE1BA">
        <w:rPr>
          <w:rFonts w:cs="Arial"/>
          <w:sz w:val="22"/>
        </w:rPr>
        <w:t>).</w:t>
      </w:r>
    </w:p>
    <w:p w14:paraId="3C41D35B" w14:textId="54F6471C" w:rsidR="005C6891" w:rsidRPr="00710C0E" w:rsidRDefault="003E6201" w:rsidP="283BE1BA">
      <w:pPr>
        <w:spacing w:after="100" w:line="360" w:lineRule="auto"/>
        <w:jc w:val="both"/>
        <w:rPr>
          <w:rFonts w:cs="Arial"/>
          <w:sz w:val="22"/>
        </w:rPr>
      </w:pPr>
      <w:r w:rsidRPr="283BE1BA">
        <w:rPr>
          <w:rFonts w:cs="Arial"/>
          <w:sz w:val="22"/>
        </w:rPr>
        <w:t xml:space="preserve">These principles and the social model of health are explored in the report, before then being used in a case study of Robyn, who with a </w:t>
      </w:r>
      <w:r w:rsidR="2BF8D8B5" w:rsidRPr="283BE1BA">
        <w:rPr>
          <w:rFonts w:cs="Arial"/>
          <w:sz w:val="22"/>
        </w:rPr>
        <w:t>personalized</w:t>
      </w:r>
      <w:r w:rsidRPr="283BE1BA">
        <w:rPr>
          <w:rFonts w:cs="Arial"/>
          <w:sz w:val="22"/>
        </w:rPr>
        <w:t xml:space="preserve"> health budget, was able to have more control over her health (NHS England, n.d.). The last activity involves a reflective activity that adapts the Gibbs' Reflective Cycle (1988) to critically examine a practice experience, identify </w:t>
      </w:r>
      <w:r w:rsidR="44E89C7F" w:rsidRPr="283BE1BA">
        <w:rPr>
          <w:rFonts w:cs="Arial"/>
          <w:sz w:val="22"/>
        </w:rPr>
        <w:t>learning,</w:t>
      </w:r>
      <w:r w:rsidRPr="283BE1BA">
        <w:rPr>
          <w:rFonts w:cs="Arial"/>
          <w:sz w:val="22"/>
        </w:rPr>
        <w:t xml:space="preserve"> and create an action plan. The report also </w:t>
      </w:r>
      <w:r w:rsidR="009863AA" w:rsidRPr="283BE1BA">
        <w:rPr>
          <w:rFonts w:cs="Arial"/>
          <w:sz w:val="22"/>
        </w:rPr>
        <w:t>considers</w:t>
      </w:r>
      <w:r w:rsidRPr="283BE1BA">
        <w:rPr>
          <w:rFonts w:cs="Arial"/>
          <w:sz w:val="22"/>
        </w:rPr>
        <w:t xml:space="preserve"> the relevant legislation, policy and professional expectations throughout, as effective support will also involve clear communication, appropriate resources and constant review</w:t>
      </w:r>
      <w:r w:rsidR="00016B2A" w:rsidRPr="283BE1BA">
        <w:rPr>
          <w:rFonts w:cs="Arial"/>
          <w:sz w:val="22"/>
        </w:rPr>
        <w:t>.</w:t>
      </w:r>
    </w:p>
    <w:p w14:paraId="44561609" w14:textId="77777777" w:rsidR="005C6891" w:rsidRPr="00710C0E" w:rsidRDefault="005C6891" w:rsidP="00ED1C54">
      <w:pPr>
        <w:pStyle w:val="Heading2"/>
        <w:spacing w:line="360" w:lineRule="auto"/>
        <w:rPr>
          <w:rFonts w:ascii="Arial" w:hAnsi="Arial" w:cs="Arial"/>
          <w:b/>
          <w:bCs/>
          <w:color w:val="auto"/>
          <w:sz w:val="28"/>
          <w:szCs w:val="28"/>
        </w:rPr>
      </w:pPr>
      <w:bookmarkStart w:id="2" w:name="_Toc242565786"/>
      <w:r w:rsidRPr="00710C0E">
        <w:rPr>
          <w:rFonts w:ascii="Arial" w:hAnsi="Arial" w:cs="Arial"/>
          <w:b/>
          <w:bCs/>
          <w:color w:val="auto"/>
          <w:sz w:val="28"/>
          <w:szCs w:val="28"/>
        </w:rPr>
        <w:t>Task 1 – Reflection on the Importance of Principles of Health and Social Care Practice</w:t>
      </w:r>
      <w:bookmarkEnd w:id="2"/>
    </w:p>
    <w:p w14:paraId="510CD8AC" w14:textId="577E1E0A" w:rsidR="00DE443A" w:rsidRPr="00710C0E" w:rsidRDefault="00167F84" w:rsidP="283BE1BA">
      <w:pPr>
        <w:spacing w:after="100" w:line="360" w:lineRule="auto"/>
        <w:ind w:firstLine="360"/>
        <w:jc w:val="both"/>
        <w:rPr>
          <w:rFonts w:cs="Arial"/>
          <w:sz w:val="22"/>
        </w:rPr>
      </w:pPr>
      <w:r w:rsidRPr="283BE1BA">
        <w:rPr>
          <w:rFonts w:cs="Arial"/>
          <w:sz w:val="22"/>
        </w:rPr>
        <w:t>Person-</w:t>
      </w:r>
      <w:r w:rsidR="25C38B2A" w:rsidRPr="283BE1BA">
        <w:rPr>
          <w:rFonts w:cs="Arial"/>
          <w:sz w:val="22"/>
        </w:rPr>
        <w:t>centered</w:t>
      </w:r>
      <w:r w:rsidR="00CF42F0" w:rsidRPr="283BE1BA">
        <w:rPr>
          <w:rFonts w:cs="Arial"/>
          <w:sz w:val="22"/>
        </w:rPr>
        <w:t xml:space="preserve"> care is where support is based on a person's values, preferences, </w:t>
      </w:r>
      <w:r w:rsidR="3484CBC5" w:rsidRPr="283BE1BA">
        <w:rPr>
          <w:rFonts w:cs="Arial"/>
          <w:sz w:val="22"/>
        </w:rPr>
        <w:t>relationships,</w:t>
      </w:r>
      <w:r w:rsidR="00CF42F0" w:rsidRPr="283BE1BA">
        <w:rPr>
          <w:rFonts w:cs="Arial"/>
          <w:sz w:val="22"/>
        </w:rPr>
        <w:t xml:space="preserve"> and </w:t>
      </w:r>
      <w:r w:rsidR="003A2B89" w:rsidRPr="283BE1BA">
        <w:rPr>
          <w:rFonts w:cs="Arial"/>
          <w:sz w:val="22"/>
        </w:rPr>
        <w:t>goals,</w:t>
      </w:r>
      <w:r w:rsidR="00CF42F0" w:rsidRPr="283BE1BA">
        <w:rPr>
          <w:rFonts w:cs="Arial"/>
          <w:sz w:val="22"/>
        </w:rPr>
        <w:t xml:space="preserve"> not just on work tasks. There is an emphasis on personhood and relationships as </w:t>
      </w:r>
      <w:r w:rsidR="5E6DA5F6" w:rsidRPr="283BE1BA">
        <w:rPr>
          <w:rFonts w:cs="Arial"/>
          <w:sz w:val="22"/>
        </w:rPr>
        <w:t>emphasized</w:t>
      </w:r>
      <w:r w:rsidR="00CF42F0" w:rsidRPr="283BE1BA">
        <w:rPr>
          <w:rFonts w:cs="Arial"/>
          <w:sz w:val="22"/>
        </w:rPr>
        <w:t xml:space="preserve"> by McCormack et al. (2012) and Damant et al. (2026) who stress the importance of engaging the person in care planning. This is a way that helps to take an active role in listening, promotes dignity, </w:t>
      </w:r>
      <w:r w:rsidR="1138419A" w:rsidRPr="283BE1BA">
        <w:rPr>
          <w:rFonts w:cs="Arial"/>
          <w:sz w:val="22"/>
        </w:rPr>
        <w:t>autonomy,</w:t>
      </w:r>
      <w:r w:rsidR="00CF42F0" w:rsidRPr="283BE1BA">
        <w:rPr>
          <w:rFonts w:cs="Arial"/>
          <w:sz w:val="22"/>
        </w:rPr>
        <w:t xml:space="preserve"> and participation, but needs regular review. Robyn's desire to stay in touch with her animals is an example of the importance of caring in line with one's own goals. The first part of the Care Act 2014 consolidates the importance of wellbeing, and the right to control over life and participation in adult social care (Care Act 2014, s. 1).</w:t>
      </w:r>
    </w:p>
    <w:p w14:paraId="74E129C7" w14:textId="2C08AFF5" w:rsidR="00DE443A" w:rsidRPr="00710C0E" w:rsidRDefault="38395CE8" w:rsidP="283BE1BA">
      <w:pPr>
        <w:spacing w:after="100" w:line="360" w:lineRule="auto"/>
        <w:ind w:firstLine="360"/>
        <w:jc w:val="both"/>
        <w:rPr>
          <w:rFonts w:cs="Arial"/>
          <w:sz w:val="22"/>
        </w:rPr>
      </w:pPr>
      <w:r w:rsidRPr="283BE1BA">
        <w:rPr>
          <w:rFonts w:cs="Arial"/>
          <w:sz w:val="22"/>
        </w:rPr>
        <w:t>The s</w:t>
      </w:r>
      <w:r w:rsidR="00167F84" w:rsidRPr="283BE1BA">
        <w:rPr>
          <w:rFonts w:cs="Arial"/>
          <w:sz w:val="22"/>
        </w:rPr>
        <w:t xml:space="preserve">ocial </w:t>
      </w:r>
      <w:r w:rsidR="1BFCCC8F" w:rsidRPr="283BE1BA">
        <w:rPr>
          <w:rFonts w:cs="Arial"/>
          <w:sz w:val="22"/>
        </w:rPr>
        <w:t>m</w:t>
      </w:r>
      <w:r w:rsidR="00167F84" w:rsidRPr="283BE1BA">
        <w:rPr>
          <w:rFonts w:cs="Arial"/>
          <w:sz w:val="22"/>
        </w:rPr>
        <w:t xml:space="preserve">odel of </w:t>
      </w:r>
      <w:r w:rsidR="74F5E953" w:rsidRPr="283BE1BA">
        <w:rPr>
          <w:rFonts w:cs="Arial"/>
          <w:sz w:val="22"/>
        </w:rPr>
        <w:t>h</w:t>
      </w:r>
      <w:r w:rsidR="00167F84" w:rsidRPr="283BE1BA">
        <w:rPr>
          <w:rFonts w:cs="Arial"/>
          <w:sz w:val="22"/>
        </w:rPr>
        <w:t>ealth</w:t>
      </w:r>
      <w:r w:rsidR="2C1D8AB5" w:rsidRPr="283BE1BA">
        <w:rPr>
          <w:rFonts w:cs="Arial"/>
          <w:sz w:val="22"/>
        </w:rPr>
        <w:t xml:space="preserve"> purports that </w:t>
      </w:r>
      <w:r w:rsidR="00167F84" w:rsidRPr="283BE1BA">
        <w:rPr>
          <w:rFonts w:cs="Arial"/>
          <w:sz w:val="22"/>
        </w:rPr>
        <w:t xml:space="preserve">social, </w:t>
      </w:r>
      <w:r w:rsidR="7C8CF3BD" w:rsidRPr="283BE1BA">
        <w:rPr>
          <w:rFonts w:cs="Arial"/>
          <w:sz w:val="22"/>
        </w:rPr>
        <w:t>physical,</w:t>
      </w:r>
      <w:r w:rsidR="00167F84" w:rsidRPr="283BE1BA">
        <w:rPr>
          <w:rFonts w:cs="Arial"/>
          <w:sz w:val="22"/>
        </w:rPr>
        <w:t xml:space="preserve"> </w:t>
      </w:r>
      <w:r w:rsidR="37E65E21" w:rsidRPr="283BE1BA">
        <w:rPr>
          <w:rFonts w:cs="Arial"/>
          <w:sz w:val="22"/>
        </w:rPr>
        <w:t>and economic</w:t>
      </w:r>
      <w:r w:rsidR="00167F84" w:rsidRPr="283BE1BA">
        <w:rPr>
          <w:rFonts w:cs="Arial"/>
          <w:sz w:val="22"/>
        </w:rPr>
        <w:t xml:space="preserve"> conditions affect wellbeing (WHO, 2013). Participation in the environment may be limited by inaccessible environments, by the lack of transport and by the lack of support, especially for people with disabilities. This approach advocates professionals to </w:t>
      </w:r>
      <w:r w:rsidR="168AF509" w:rsidRPr="283BE1BA">
        <w:rPr>
          <w:rFonts w:cs="Arial"/>
          <w:sz w:val="22"/>
        </w:rPr>
        <w:t>minimize</w:t>
      </w:r>
      <w:r w:rsidR="00167F84" w:rsidRPr="283BE1BA">
        <w:rPr>
          <w:rFonts w:cs="Arial"/>
          <w:sz w:val="22"/>
        </w:rPr>
        <w:t xml:space="preserve"> external barriers and not solely focus on the individual. The barriers are highlighted in Robyn's struggles to get the right kind of support. But, while there will be environmental improvements which can go part of the way towards meeting health needs, there will also be clinical and personal care and support needs to be met</w:t>
      </w:r>
      <w:r w:rsidR="00DE443A" w:rsidRPr="283BE1BA">
        <w:rPr>
          <w:rFonts w:cs="Arial"/>
          <w:sz w:val="22"/>
        </w:rPr>
        <w:t>.</w:t>
      </w:r>
    </w:p>
    <w:p w14:paraId="7D0CBBB0" w14:textId="312845A2" w:rsidR="00DE443A" w:rsidRPr="00710C0E" w:rsidRDefault="3AE98BAA" w:rsidP="283BE1BA">
      <w:pPr>
        <w:spacing w:after="100" w:line="360" w:lineRule="auto"/>
        <w:ind w:firstLine="360"/>
        <w:jc w:val="both"/>
        <w:rPr>
          <w:rFonts w:cs="Arial"/>
          <w:sz w:val="22"/>
        </w:rPr>
      </w:pPr>
      <w:r w:rsidRPr="283BE1BA">
        <w:rPr>
          <w:rFonts w:cs="Arial"/>
          <w:sz w:val="22"/>
        </w:rPr>
        <w:lastRenderedPageBreak/>
        <w:t xml:space="preserve">According to the principle of partnership working, people </w:t>
      </w:r>
      <w:r w:rsidR="00167F84" w:rsidRPr="283BE1BA">
        <w:rPr>
          <w:rFonts w:cs="Arial"/>
          <w:sz w:val="22"/>
        </w:rPr>
        <w:t xml:space="preserve">must work together, as </w:t>
      </w:r>
      <w:r w:rsidR="4C91A2A1" w:rsidRPr="283BE1BA">
        <w:rPr>
          <w:rFonts w:cs="Arial"/>
          <w:sz w:val="22"/>
        </w:rPr>
        <w:t xml:space="preserve">they </w:t>
      </w:r>
      <w:r w:rsidR="00167F84" w:rsidRPr="283BE1BA">
        <w:rPr>
          <w:rFonts w:cs="Arial"/>
          <w:sz w:val="22"/>
        </w:rPr>
        <w:t xml:space="preserve">may need several professionals and </w:t>
      </w:r>
      <w:r w:rsidR="6CC7E1A7" w:rsidRPr="283BE1BA">
        <w:rPr>
          <w:rFonts w:cs="Arial"/>
          <w:sz w:val="22"/>
        </w:rPr>
        <w:t>organizations</w:t>
      </w:r>
      <w:r w:rsidR="00167F84" w:rsidRPr="283BE1BA">
        <w:rPr>
          <w:rFonts w:cs="Arial"/>
          <w:sz w:val="22"/>
        </w:rPr>
        <w:t xml:space="preserve"> to help them. Collaboration requires that there is a sharing of relevant information, a clear delineation of </w:t>
      </w:r>
      <w:r w:rsidR="7F4B867D" w:rsidRPr="283BE1BA">
        <w:rPr>
          <w:rFonts w:cs="Arial"/>
          <w:sz w:val="22"/>
        </w:rPr>
        <w:t>responsibilities,</w:t>
      </w:r>
      <w:r w:rsidR="00167F84" w:rsidRPr="283BE1BA">
        <w:rPr>
          <w:rFonts w:cs="Arial"/>
          <w:sz w:val="22"/>
        </w:rPr>
        <w:t xml:space="preserve"> and participation in decision-making. Mackie and Darvill (2016) have pinpointed communication and leadership and </w:t>
      </w:r>
      <w:r w:rsidR="5B47863D" w:rsidRPr="283BE1BA">
        <w:rPr>
          <w:rFonts w:cs="Arial"/>
          <w:sz w:val="22"/>
        </w:rPr>
        <w:t>organizational</w:t>
      </w:r>
      <w:r w:rsidR="00167F84" w:rsidRPr="283BE1BA">
        <w:rPr>
          <w:rFonts w:cs="Arial"/>
          <w:sz w:val="22"/>
        </w:rPr>
        <w:t xml:space="preserve"> support as key aspects of integrated working. Continuity and longer-term support </w:t>
      </w:r>
      <w:r w:rsidR="001C2AB2" w:rsidRPr="283BE1BA">
        <w:rPr>
          <w:rFonts w:cs="Arial"/>
          <w:sz w:val="22"/>
        </w:rPr>
        <w:t>are</w:t>
      </w:r>
      <w:r w:rsidR="00167F84" w:rsidRPr="283BE1BA">
        <w:rPr>
          <w:rFonts w:cs="Arial"/>
          <w:sz w:val="22"/>
        </w:rPr>
        <w:t xml:space="preserve"> also </w:t>
      </w:r>
      <w:r w:rsidR="6A8B1547" w:rsidRPr="283BE1BA">
        <w:rPr>
          <w:rFonts w:cs="Arial"/>
          <w:sz w:val="22"/>
        </w:rPr>
        <w:t>recognized</w:t>
      </w:r>
      <w:r w:rsidR="00167F84" w:rsidRPr="283BE1BA">
        <w:rPr>
          <w:rFonts w:cs="Arial"/>
          <w:sz w:val="22"/>
        </w:rPr>
        <w:t xml:space="preserve"> as important by Petch et al. (2013). For Robyn, it has been vital that there has been good coordination between the local authority, NHS Continuing </w:t>
      </w:r>
      <w:r w:rsidR="272461EC" w:rsidRPr="283BE1BA">
        <w:rPr>
          <w:rFonts w:cs="Arial"/>
          <w:sz w:val="22"/>
        </w:rPr>
        <w:t>Healthcare,</w:t>
      </w:r>
      <w:r w:rsidR="00167F84" w:rsidRPr="283BE1BA">
        <w:rPr>
          <w:rFonts w:cs="Arial"/>
          <w:sz w:val="22"/>
        </w:rPr>
        <w:t xml:space="preserve"> and personal assistants. But confusion about who is responsible and the lack of communication can result in disjointed care, and lack of achieving individual goals.</w:t>
      </w:r>
    </w:p>
    <w:p w14:paraId="6C894DA4" w14:textId="15C57B4B" w:rsidR="00DE443A" w:rsidRPr="00710C0E" w:rsidRDefault="00FB65C4" w:rsidP="283BE1BA">
      <w:pPr>
        <w:spacing w:after="100" w:line="360" w:lineRule="auto"/>
        <w:ind w:firstLine="360"/>
        <w:jc w:val="both"/>
        <w:rPr>
          <w:rFonts w:cs="Arial"/>
          <w:sz w:val="22"/>
        </w:rPr>
      </w:pPr>
      <w:r w:rsidRPr="283BE1BA">
        <w:rPr>
          <w:rFonts w:cs="Arial"/>
          <w:sz w:val="22"/>
        </w:rPr>
        <w:t xml:space="preserve">Ethical practice fosters autonomy, dignity, fairness, </w:t>
      </w:r>
      <w:r w:rsidR="4D21EAB9" w:rsidRPr="283BE1BA">
        <w:rPr>
          <w:rFonts w:cs="Arial"/>
          <w:sz w:val="22"/>
        </w:rPr>
        <w:t>safety,</w:t>
      </w:r>
      <w:r w:rsidRPr="283BE1BA">
        <w:rPr>
          <w:rFonts w:cs="Arial"/>
          <w:sz w:val="22"/>
        </w:rPr>
        <w:t xml:space="preserve"> and accountability. Risk and resources, as well as safeguarding, responsibilities, must be </w:t>
      </w:r>
      <w:r w:rsidR="71EFA8A4" w:rsidRPr="283BE1BA">
        <w:rPr>
          <w:rFonts w:cs="Arial"/>
          <w:sz w:val="22"/>
        </w:rPr>
        <w:t>considered,</w:t>
      </w:r>
      <w:r w:rsidRPr="283BE1BA">
        <w:rPr>
          <w:rFonts w:cs="Arial"/>
          <w:sz w:val="22"/>
        </w:rPr>
        <w:t xml:space="preserve"> but professionals should respect individual choices. In the article by Boulton et al. (2023), and Morley et al. (2020), ethical issues in care practice are explored. There should be </w:t>
      </w:r>
      <w:r w:rsidR="00D170C2" w:rsidRPr="283BE1BA">
        <w:rPr>
          <w:rFonts w:cs="Arial"/>
          <w:sz w:val="22"/>
        </w:rPr>
        <w:t>clear</w:t>
      </w:r>
      <w:r w:rsidRPr="283BE1BA">
        <w:rPr>
          <w:rFonts w:cs="Arial"/>
          <w:sz w:val="22"/>
        </w:rPr>
        <w:t xml:space="preserve"> logic in decisions, </w:t>
      </w:r>
      <w:r w:rsidR="18FAC197" w:rsidRPr="283BE1BA">
        <w:rPr>
          <w:rFonts w:cs="Arial"/>
          <w:sz w:val="22"/>
        </w:rPr>
        <w:t>proportional</w:t>
      </w:r>
      <w:r w:rsidRPr="283BE1BA">
        <w:rPr>
          <w:rFonts w:cs="Arial"/>
          <w:sz w:val="22"/>
        </w:rPr>
        <w:t xml:space="preserve"> risk </w:t>
      </w:r>
      <w:r w:rsidR="38ECEB24" w:rsidRPr="283BE1BA">
        <w:rPr>
          <w:rFonts w:cs="Arial"/>
          <w:sz w:val="22"/>
        </w:rPr>
        <w:t>assessment,</w:t>
      </w:r>
      <w:r w:rsidRPr="283BE1BA">
        <w:rPr>
          <w:rFonts w:cs="Arial"/>
          <w:sz w:val="22"/>
        </w:rPr>
        <w:t xml:space="preserve"> and active participation. Robyn's desire to provide regular support and visits to her animals is an example of the link between personal choice and quality of life. However, there must be appropriate and necessary safeguards to respect autonomy.</w:t>
      </w:r>
      <w:r w:rsidR="0027772D" w:rsidRPr="283BE1BA">
        <w:rPr>
          <w:rFonts w:ascii="Times New Roman" w:eastAsia="Times New Roman" w:hAnsi="Times New Roman" w:cs="Times New Roman"/>
          <w:color w:val="auto"/>
          <w:sz w:val="24"/>
          <w:szCs w:val="24"/>
        </w:rPr>
        <w:t xml:space="preserve"> </w:t>
      </w:r>
      <w:r w:rsidR="0027772D" w:rsidRPr="283BE1BA">
        <w:rPr>
          <w:rFonts w:cs="Arial"/>
          <w:sz w:val="22"/>
        </w:rPr>
        <w:t xml:space="preserve">These principles promote dignity, </w:t>
      </w:r>
      <w:r w:rsidR="5E3C6CC7" w:rsidRPr="283BE1BA">
        <w:rPr>
          <w:rFonts w:cs="Arial"/>
          <w:sz w:val="22"/>
        </w:rPr>
        <w:t>independence,</w:t>
      </w:r>
      <w:r w:rsidR="0027772D" w:rsidRPr="283BE1BA">
        <w:rPr>
          <w:rFonts w:cs="Arial"/>
          <w:sz w:val="22"/>
        </w:rPr>
        <w:t xml:space="preserve"> and better care outcomes. However, limited resources, staff </w:t>
      </w:r>
      <w:r w:rsidR="754D64CC" w:rsidRPr="283BE1BA">
        <w:rPr>
          <w:rFonts w:cs="Arial"/>
          <w:sz w:val="22"/>
        </w:rPr>
        <w:t>shortages,</w:t>
      </w:r>
      <w:r w:rsidR="0027772D" w:rsidRPr="283BE1BA">
        <w:rPr>
          <w:rFonts w:cs="Arial"/>
          <w:sz w:val="22"/>
        </w:rPr>
        <w:t xml:space="preserve"> and poor communication can hinder implementation, as Robyn’s experience demonstrates the importance of balancing safety with personal choice.</w:t>
      </w:r>
    </w:p>
    <w:p w14:paraId="5DE5BF64" w14:textId="5D5C0F30" w:rsidR="005C6891" w:rsidRPr="00710C0E" w:rsidRDefault="00FB65C4" w:rsidP="283BE1BA">
      <w:pPr>
        <w:spacing w:after="100" w:line="360" w:lineRule="auto"/>
        <w:ind w:firstLine="360"/>
        <w:jc w:val="both"/>
        <w:rPr>
          <w:rFonts w:cs="Arial"/>
          <w:sz w:val="22"/>
        </w:rPr>
      </w:pPr>
      <w:r w:rsidRPr="283BE1BA">
        <w:rPr>
          <w:rFonts w:cs="Arial"/>
          <w:sz w:val="22"/>
        </w:rPr>
        <w:t xml:space="preserve">In general, these principles are interrelated to each other. The individual priorities are identified in person </w:t>
      </w:r>
      <w:r w:rsidR="3925B81A" w:rsidRPr="283BE1BA">
        <w:rPr>
          <w:rFonts w:cs="Arial"/>
          <w:sz w:val="22"/>
        </w:rPr>
        <w:t>centered</w:t>
      </w:r>
      <w:r w:rsidRPr="283BE1BA">
        <w:rPr>
          <w:rFonts w:cs="Arial"/>
          <w:sz w:val="22"/>
        </w:rPr>
        <w:t xml:space="preserve"> </w:t>
      </w:r>
      <w:r w:rsidR="18DA2E7A" w:rsidRPr="283BE1BA">
        <w:rPr>
          <w:rFonts w:cs="Arial"/>
          <w:sz w:val="22"/>
        </w:rPr>
        <w:t>care;</w:t>
      </w:r>
      <w:r w:rsidRPr="283BE1BA">
        <w:rPr>
          <w:rFonts w:cs="Arial"/>
          <w:sz w:val="22"/>
        </w:rPr>
        <w:t xml:space="preserve"> the Social Model of Health raises awareness of external barriers</w:t>
      </w:r>
      <w:r w:rsidR="6CDDF746" w:rsidRPr="283BE1BA">
        <w:rPr>
          <w:rFonts w:cs="Arial"/>
          <w:sz w:val="22"/>
        </w:rPr>
        <w:t>. Working</w:t>
      </w:r>
      <w:r w:rsidRPr="283BE1BA">
        <w:rPr>
          <w:rFonts w:cs="Arial"/>
          <w:sz w:val="22"/>
        </w:rPr>
        <w:t xml:space="preserve"> partnership coordinates care and ethical practice guides difficult care decisions. Effective care needs to foster wellbeing and participation, not just providing services, as Robyn's case shows. </w:t>
      </w:r>
    </w:p>
    <w:p w14:paraId="51EC4CDF" w14:textId="77777777" w:rsidR="005C6891" w:rsidRPr="00710C0E" w:rsidRDefault="005C6891" w:rsidP="00ED1C54">
      <w:pPr>
        <w:pStyle w:val="Heading2"/>
        <w:spacing w:line="360" w:lineRule="auto"/>
        <w:rPr>
          <w:rFonts w:ascii="Arial" w:hAnsi="Arial" w:cs="Arial"/>
          <w:b/>
          <w:bCs/>
          <w:color w:val="auto"/>
          <w:sz w:val="28"/>
          <w:szCs w:val="28"/>
        </w:rPr>
      </w:pPr>
      <w:bookmarkStart w:id="3" w:name="_Toc242565787"/>
      <w:r w:rsidRPr="00710C0E">
        <w:rPr>
          <w:rFonts w:ascii="Arial" w:hAnsi="Arial" w:cs="Arial"/>
          <w:b/>
          <w:bCs/>
          <w:color w:val="auto"/>
          <w:sz w:val="28"/>
          <w:szCs w:val="28"/>
        </w:rPr>
        <w:t>Task 2 – Practical Example in Practice: Robyn’s Story</w:t>
      </w:r>
      <w:bookmarkEnd w:id="3"/>
    </w:p>
    <w:p w14:paraId="714DF647" w14:textId="109B1D59" w:rsidR="005C6891" w:rsidRPr="00710C0E" w:rsidRDefault="00F7707E" w:rsidP="00ED1C54">
      <w:pPr>
        <w:spacing w:after="100" w:line="360" w:lineRule="auto"/>
        <w:ind w:firstLine="360"/>
        <w:jc w:val="both"/>
        <w:rPr>
          <w:rFonts w:cs="Arial"/>
          <w:sz w:val="22"/>
        </w:rPr>
      </w:pPr>
      <w:r w:rsidRPr="00710C0E">
        <w:rPr>
          <w:rFonts w:cs="Arial"/>
          <w:sz w:val="22"/>
        </w:rPr>
        <w:t xml:space="preserve">Robyn's story is an example of a service that addresses the basic physical requirements of a person, but not the lifestyle that they want to live. At age 21 Robyn suffered a spinal injury and began a life of needing around-the-clock care. In 2014, there were 36 different personal assistants (PAs) in support of her care agency as it grew. Others were terrified of, or allergic to, her animals, and others </w:t>
      </w:r>
      <w:r w:rsidR="001F390D" w:rsidRPr="00710C0E">
        <w:rPr>
          <w:rFonts w:cs="Arial"/>
          <w:sz w:val="22"/>
        </w:rPr>
        <w:t>could not</w:t>
      </w:r>
      <w:r w:rsidRPr="00710C0E">
        <w:rPr>
          <w:rFonts w:cs="Arial"/>
          <w:sz w:val="22"/>
        </w:rPr>
        <w:t xml:space="preserve"> drive her down to the stables. Visits and staffing were irregular and unpredictable, making it difficult for Robyn to get out of the house, establish routines and make plans (NHS England, n.d.)</w:t>
      </w:r>
      <w:r w:rsidR="005C6891" w:rsidRPr="00710C0E">
        <w:rPr>
          <w:rFonts w:cs="Arial"/>
          <w:sz w:val="22"/>
        </w:rPr>
        <w:t>.</w:t>
      </w:r>
    </w:p>
    <w:p w14:paraId="56EDF7E1" w14:textId="2413B88B" w:rsidR="005C6891" w:rsidRPr="00710C0E" w:rsidRDefault="00F7707E" w:rsidP="283BE1BA">
      <w:pPr>
        <w:spacing w:after="100" w:line="360" w:lineRule="auto"/>
        <w:ind w:firstLine="360"/>
        <w:jc w:val="both"/>
        <w:rPr>
          <w:rFonts w:cs="Arial"/>
          <w:sz w:val="22"/>
        </w:rPr>
      </w:pPr>
      <w:r w:rsidRPr="283BE1BA">
        <w:rPr>
          <w:rFonts w:cs="Arial"/>
          <w:sz w:val="22"/>
        </w:rPr>
        <w:t xml:space="preserve">It was not a </w:t>
      </w:r>
      <w:bookmarkStart w:id="4" w:name="_Int_poYacLcE"/>
      <w:r w:rsidRPr="283BE1BA">
        <w:rPr>
          <w:rFonts w:cs="Arial"/>
          <w:sz w:val="22"/>
        </w:rPr>
        <w:t>completely</w:t>
      </w:r>
      <w:bookmarkEnd w:id="4"/>
      <w:r w:rsidRPr="283BE1BA">
        <w:rPr>
          <w:rFonts w:cs="Arial"/>
          <w:sz w:val="22"/>
        </w:rPr>
        <w:t xml:space="preserve"> </w:t>
      </w:r>
      <w:bookmarkStart w:id="5" w:name="_Int_fxCYf4Mu"/>
      <w:proofErr w:type="gramStart"/>
      <w:r w:rsidRPr="283BE1BA">
        <w:rPr>
          <w:rFonts w:cs="Arial"/>
          <w:sz w:val="22"/>
        </w:rPr>
        <w:t xml:space="preserve">person </w:t>
      </w:r>
      <w:r w:rsidR="4BAC0933" w:rsidRPr="283BE1BA">
        <w:rPr>
          <w:rFonts w:cs="Arial"/>
          <w:sz w:val="22"/>
        </w:rPr>
        <w:t>centered</w:t>
      </w:r>
      <w:bookmarkEnd w:id="5"/>
      <w:proofErr w:type="gramEnd"/>
      <w:r w:rsidRPr="283BE1BA">
        <w:rPr>
          <w:rFonts w:cs="Arial"/>
          <w:sz w:val="22"/>
        </w:rPr>
        <w:t xml:space="preserve"> arrangement. It focused on delivering people the necessary tasks, not matching support with Robyn's values, </w:t>
      </w:r>
      <w:r w:rsidR="108D12F3" w:rsidRPr="283BE1BA">
        <w:rPr>
          <w:rFonts w:cs="Arial"/>
          <w:sz w:val="22"/>
        </w:rPr>
        <w:t>relationships,</w:t>
      </w:r>
      <w:r w:rsidRPr="283BE1BA">
        <w:rPr>
          <w:rFonts w:cs="Arial"/>
          <w:sz w:val="22"/>
        </w:rPr>
        <w:t xml:space="preserve"> and aspirations. It's important to </w:t>
      </w:r>
      <w:r w:rsidR="54E39F33" w:rsidRPr="283BE1BA">
        <w:rPr>
          <w:rFonts w:cs="Arial"/>
          <w:sz w:val="22"/>
        </w:rPr>
        <w:t>recognize</w:t>
      </w:r>
      <w:r w:rsidRPr="283BE1BA">
        <w:rPr>
          <w:rFonts w:cs="Arial"/>
          <w:sz w:val="22"/>
        </w:rPr>
        <w:t xml:space="preserve"> personhood by focusing on identity and relationships, as noted by McCormack et al. (2012). Appropriate PAs were required who would grasp her interest in animals </w:t>
      </w:r>
      <w:r w:rsidRPr="283BE1BA">
        <w:rPr>
          <w:rFonts w:cs="Arial"/>
          <w:sz w:val="22"/>
        </w:rPr>
        <w:lastRenderedPageBreak/>
        <w:t xml:space="preserve">and make her feel comfortable to join in with everyday experience. Safety is to enhance independence, not to supersede it. </w:t>
      </w:r>
      <w:r w:rsidR="001F390D" w:rsidRPr="283BE1BA">
        <w:rPr>
          <w:rFonts w:cs="Arial"/>
          <w:sz w:val="22"/>
        </w:rPr>
        <w:t>Plans</w:t>
      </w:r>
      <w:r w:rsidRPr="283BE1BA">
        <w:rPr>
          <w:rFonts w:cs="Arial"/>
          <w:sz w:val="22"/>
        </w:rPr>
        <w:t xml:space="preserve"> should be recorded of preferences, practical needs, </w:t>
      </w:r>
      <w:r w:rsidR="19AE28FE" w:rsidRPr="283BE1BA">
        <w:rPr>
          <w:rFonts w:cs="Arial"/>
          <w:sz w:val="22"/>
        </w:rPr>
        <w:t>risks,</w:t>
      </w:r>
      <w:r w:rsidRPr="283BE1BA">
        <w:rPr>
          <w:rFonts w:cs="Arial"/>
          <w:sz w:val="22"/>
        </w:rPr>
        <w:t xml:space="preserve"> and review arrangements</w:t>
      </w:r>
      <w:r w:rsidR="005C6891" w:rsidRPr="283BE1BA">
        <w:rPr>
          <w:rFonts w:cs="Arial"/>
          <w:sz w:val="22"/>
        </w:rPr>
        <w:t>.</w:t>
      </w:r>
    </w:p>
    <w:p w14:paraId="024B56C6" w14:textId="0E94BC83" w:rsidR="005C6891" w:rsidRPr="00710C0E" w:rsidRDefault="00100B0C" w:rsidP="283BE1BA">
      <w:pPr>
        <w:spacing w:after="100" w:line="360" w:lineRule="auto"/>
        <w:ind w:firstLine="360"/>
        <w:jc w:val="both"/>
        <w:rPr>
          <w:rFonts w:cs="Arial"/>
          <w:sz w:val="22"/>
        </w:rPr>
      </w:pPr>
      <w:r w:rsidRPr="283BE1BA">
        <w:rPr>
          <w:rFonts w:cs="Arial"/>
          <w:sz w:val="22"/>
        </w:rPr>
        <w:t xml:space="preserve">Robyn spoke to social care and Continuing Healthcare about considering a personal health budget (PHB). With the help of the Personal Budget Support Service, she put together a plan and came to take control of recruiting PAs and </w:t>
      </w:r>
      <w:r w:rsidR="32DF6F28" w:rsidRPr="283BE1BA">
        <w:rPr>
          <w:rFonts w:cs="Arial"/>
          <w:sz w:val="22"/>
        </w:rPr>
        <w:t>organizing</w:t>
      </w:r>
      <w:r w:rsidRPr="283BE1BA">
        <w:rPr>
          <w:rFonts w:cs="Arial"/>
          <w:sz w:val="22"/>
        </w:rPr>
        <w:t xml:space="preserve"> shifts on a regular basis. She joined the PHB in November 2015 with regular assistants from NHS England (n.d.). This is a partnership as Robyn, health staff and social care professionals planned. Mackie and Darvill (2016) focus on communication and </w:t>
      </w:r>
      <w:r w:rsidR="28611731" w:rsidRPr="283BE1BA">
        <w:rPr>
          <w:rFonts w:cs="Arial"/>
          <w:sz w:val="22"/>
        </w:rPr>
        <w:t>organizational</w:t>
      </w:r>
      <w:r w:rsidRPr="283BE1BA">
        <w:rPr>
          <w:rFonts w:cs="Arial"/>
          <w:sz w:val="22"/>
        </w:rPr>
        <w:t xml:space="preserve"> support; while Petch et al. (2013) emphasize continuity and longer-term support</w:t>
      </w:r>
      <w:r w:rsidR="005C6891" w:rsidRPr="283BE1BA">
        <w:rPr>
          <w:rFonts w:cs="Arial"/>
          <w:sz w:val="22"/>
        </w:rPr>
        <w:t>.</w:t>
      </w:r>
    </w:p>
    <w:p w14:paraId="1F4C89DA" w14:textId="75C2D8A6" w:rsidR="005C6891" w:rsidRPr="00710C0E" w:rsidRDefault="00100B0C" w:rsidP="00ED1C54">
      <w:pPr>
        <w:spacing w:after="100" w:line="360" w:lineRule="auto"/>
        <w:ind w:firstLine="360"/>
        <w:jc w:val="both"/>
        <w:rPr>
          <w:rFonts w:cs="Arial"/>
          <w:sz w:val="22"/>
        </w:rPr>
      </w:pPr>
      <w:r w:rsidRPr="00710C0E">
        <w:rPr>
          <w:rFonts w:cs="Arial"/>
          <w:sz w:val="22"/>
        </w:rPr>
        <w:t>The Health and Care Act 2022 is applicable to the broader framework for supporting people with cases like Robyn's. The S.2022 Health and Care Act includes sections on integrated care boards (section 19) and on general functions and duties (section 25), including the promotion of effective health services and integrated services (Health and Care Act 2022, s.25(4)). 19, 25). These provisions reinforce the need to facilitate integration where that can be achieved across service boundaries to enhance service results. But Robyn's PHB wasn't established by the Act itself, and a joined-up experience can't be ensured by law. Her 18-month PHB process on an issue has been characterized with limited updates at times, and the need for communication and clear responsibility has been identified and is still necessary</w:t>
      </w:r>
      <w:r w:rsidR="005C6891" w:rsidRPr="00710C0E">
        <w:rPr>
          <w:rFonts w:cs="Arial"/>
          <w:sz w:val="22"/>
        </w:rPr>
        <w:t>.</w:t>
      </w:r>
    </w:p>
    <w:p w14:paraId="56513235" w14:textId="36DB99A5" w:rsidR="005C6891" w:rsidRPr="00710C0E" w:rsidRDefault="007819B0" w:rsidP="283BE1BA">
      <w:pPr>
        <w:spacing w:after="100" w:line="360" w:lineRule="auto"/>
        <w:ind w:firstLine="360"/>
        <w:jc w:val="both"/>
        <w:rPr>
          <w:rFonts w:cs="Arial"/>
          <w:sz w:val="22"/>
        </w:rPr>
      </w:pPr>
      <w:r w:rsidRPr="283BE1BA">
        <w:rPr>
          <w:rFonts w:cs="Arial"/>
          <w:sz w:val="22"/>
        </w:rPr>
        <w:t xml:space="preserve">The PHB increased autonomy as Robyn had greater choice regarding who she allowed in and how she was assisted. Shared decision-making with people knowing their choices and what they will mean is recommended by NICE (2021). Personal budgets, however, have responsibilities which should not be unreasonable to the person, however. Practical help, timely </w:t>
      </w:r>
      <w:r w:rsidR="70245AB4" w:rsidRPr="283BE1BA">
        <w:rPr>
          <w:rFonts w:cs="Arial"/>
          <w:sz w:val="22"/>
        </w:rPr>
        <w:t>information,</w:t>
      </w:r>
      <w:r w:rsidRPr="283BE1BA">
        <w:rPr>
          <w:rFonts w:cs="Arial"/>
          <w:sz w:val="22"/>
        </w:rPr>
        <w:t xml:space="preserve"> and updates should be given by professionals in an accessible way. </w:t>
      </w:r>
      <w:r w:rsidR="3514189D" w:rsidRPr="283BE1BA">
        <w:rPr>
          <w:rFonts w:cs="Arial"/>
          <w:sz w:val="22"/>
        </w:rPr>
        <w:t>Personalized</w:t>
      </w:r>
      <w:r w:rsidRPr="283BE1BA">
        <w:rPr>
          <w:rFonts w:cs="Arial"/>
          <w:sz w:val="22"/>
        </w:rPr>
        <w:t xml:space="preserve"> funding can give an increase in choice and continuity, as Robyn's case demonstrates, but services need to evaluate outcomes from the perspective of the person, not just the number of hours of service delivered. Robyn's feedback, </w:t>
      </w:r>
      <w:r w:rsidR="402F735C" w:rsidRPr="283BE1BA">
        <w:rPr>
          <w:rFonts w:cs="Arial"/>
          <w:sz w:val="22"/>
        </w:rPr>
        <w:t>priorities,</w:t>
      </w:r>
      <w:r w:rsidRPr="283BE1BA">
        <w:rPr>
          <w:rFonts w:cs="Arial"/>
          <w:sz w:val="22"/>
        </w:rPr>
        <w:t xml:space="preserve"> and preferences should be included in reviews </w:t>
      </w:r>
      <w:r w:rsidR="31C2807B" w:rsidRPr="283BE1BA">
        <w:rPr>
          <w:rFonts w:cs="Arial"/>
          <w:sz w:val="22"/>
        </w:rPr>
        <w:t>regularly,</w:t>
      </w:r>
      <w:r w:rsidRPr="283BE1BA">
        <w:rPr>
          <w:rFonts w:cs="Arial"/>
          <w:sz w:val="22"/>
        </w:rPr>
        <w:t xml:space="preserve"> and clear evidence of her independence should be demonstrated over time</w:t>
      </w:r>
      <w:r w:rsidR="005C6891" w:rsidRPr="283BE1BA">
        <w:rPr>
          <w:rFonts w:cs="Arial"/>
          <w:sz w:val="22"/>
        </w:rPr>
        <w:t>.</w:t>
      </w:r>
    </w:p>
    <w:p w14:paraId="11024202" w14:textId="7F1FC0B9" w:rsidR="005C6891" w:rsidRPr="002F5DC7" w:rsidRDefault="005C6891" w:rsidP="00ED1C54">
      <w:pPr>
        <w:pStyle w:val="Heading2"/>
        <w:spacing w:line="360" w:lineRule="auto"/>
        <w:rPr>
          <w:rFonts w:ascii="Arial" w:hAnsi="Arial" w:cs="Arial"/>
          <w:b/>
          <w:bCs/>
          <w:color w:val="auto"/>
          <w:sz w:val="28"/>
          <w:szCs w:val="28"/>
        </w:rPr>
      </w:pPr>
      <w:bookmarkStart w:id="6" w:name="_Toc242565788"/>
      <w:r w:rsidRPr="002F5DC7">
        <w:rPr>
          <w:rFonts w:ascii="Arial" w:hAnsi="Arial" w:cs="Arial"/>
          <w:b/>
          <w:bCs/>
          <w:color w:val="auto"/>
          <w:sz w:val="28"/>
          <w:szCs w:val="28"/>
        </w:rPr>
        <w:t>Task 3 – Self-Reflection as a Health and Social Care Professional</w:t>
      </w:r>
      <w:bookmarkEnd w:id="6"/>
    </w:p>
    <w:p w14:paraId="1EAB11BB" w14:textId="77777777" w:rsidR="005C6891" w:rsidRPr="00710C0E" w:rsidRDefault="005C6891" w:rsidP="00ED1C54">
      <w:pPr>
        <w:pStyle w:val="Heading3"/>
        <w:spacing w:line="360" w:lineRule="auto"/>
        <w:rPr>
          <w:rFonts w:ascii="Arial" w:hAnsi="Arial" w:cs="Arial"/>
          <w:b/>
          <w:bCs/>
          <w:color w:val="auto"/>
          <w:sz w:val="24"/>
          <w:szCs w:val="24"/>
        </w:rPr>
      </w:pPr>
      <w:bookmarkStart w:id="7" w:name="_Toc242565789"/>
      <w:r w:rsidRPr="00710C0E">
        <w:rPr>
          <w:rFonts w:ascii="Arial" w:hAnsi="Arial" w:cs="Arial"/>
          <w:b/>
          <w:bCs/>
          <w:color w:val="auto"/>
          <w:sz w:val="24"/>
          <w:szCs w:val="24"/>
        </w:rPr>
        <w:t>Introduction</w:t>
      </w:r>
      <w:bookmarkEnd w:id="7"/>
    </w:p>
    <w:p w14:paraId="23D405F5" w14:textId="7C9607DB" w:rsidR="005C6891" w:rsidRPr="00710C0E" w:rsidRDefault="00BA5968" w:rsidP="283BE1BA">
      <w:pPr>
        <w:spacing w:after="100" w:line="360" w:lineRule="auto"/>
        <w:jc w:val="both"/>
        <w:rPr>
          <w:rFonts w:cs="Arial"/>
          <w:sz w:val="22"/>
        </w:rPr>
      </w:pPr>
      <w:r w:rsidRPr="283BE1BA">
        <w:rPr>
          <w:rFonts w:cs="Arial"/>
          <w:sz w:val="22"/>
        </w:rPr>
        <w:t xml:space="preserve">This reflection will </w:t>
      </w:r>
      <w:r w:rsidR="7493D6B4" w:rsidRPr="283BE1BA">
        <w:rPr>
          <w:rFonts w:cs="Arial"/>
          <w:sz w:val="22"/>
        </w:rPr>
        <w:t>reflect</w:t>
      </w:r>
      <w:r w:rsidR="32CA8CCD" w:rsidRPr="283BE1BA">
        <w:rPr>
          <w:rFonts w:cs="Arial"/>
          <w:sz w:val="22"/>
        </w:rPr>
        <w:t xml:space="preserve"> my </w:t>
      </w:r>
      <w:r w:rsidRPr="283BE1BA">
        <w:rPr>
          <w:rFonts w:cs="Arial"/>
          <w:sz w:val="22"/>
        </w:rPr>
        <w:t xml:space="preserve">experience of supporting a child in school, following Gibbs' Reflective Cycle (1988). </w:t>
      </w:r>
      <w:r w:rsidR="1EB4D169" w:rsidRPr="283BE1BA">
        <w:rPr>
          <w:rFonts w:cs="Arial"/>
          <w:sz w:val="22"/>
        </w:rPr>
        <w:t>It will a</w:t>
      </w:r>
      <w:r w:rsidRPr="283BE1BA">
        <w:rPr>
          <w:rFonts w:cs="Arial"/>
          <w:sz w:val="22"/>
        </w:rPr>
        <w:t>ssess my communication, professional responsibilities, and areas for improvement.</w:t>
      </w:r>
    </w:p>
    <w:p w14:paraId="17F5455F" w14:textId="36986973" w:rsidR="005C6891" w:rsidRPr="00710C0E" w:rsidRDefault="00801EBF" w:rsidP="00ED1C54">
      <w:pPr>
        <w:spacing w:after="0" w:line="360" w:lineRule="auto"/>
        <w:jc w:val="both"/>
        <w:rPr>
          <w:rFonts w:cs="Arial"/>
          <w:sz w:val="22"/>
        </w:rPr>
      </w:pPr>
      <w:r w:rsidRPr="00710C0E">
        <w:rPr>
          <w:rFonts w:cs="Arial"/>
          <w:noProof/>
          <w:sz w:val="22"/>
          <w14:ligatures w14:val="standardContextual"/>
        </w:rPr>
        <w:lastRenderedPageBreak/>
        <w:drawing>
          <wp:inline distT="0" distB="0" distL="0" distR="0" wp14:anchorId="46908589" wp14:editId="417BCF14">
            <wp:extent cx="5345724" cy="3277773"/>
            <wp:effectExtent l="0" t="0" r="0" b="18415"/>
            <wp:docPr id="206751423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7731E49" w14:textId="77777777" w:rsidR="005C6891" w:rsidRPr="00710C0E" w:rsidRDefault="005C6891" w:rsidP="00ED1C54">
      <w:pPr>
        <w:spacing w:after="120" w:line="360" w:lineRule="auto"/>
        <w:jc w:val="center"/>
        <w:rPr>
          <w:rFonts w:cs="Arial"/>
          <w:i/>
          <w:sz w:val="22"/>
        </w:rPr>
      </w:pPr>
      <w:r w:rsidRPr="00710C0E">
        <w:rPr>
          <w:rFonts w:cs="Arial"/>
          <w:i/>
          <w:sz w:val="22"/>
        </w:rPr>
        <w:t>Figure 1: Gibbs’ Reflective Cycle</w:t>
      </w:r>
    </w:p>
    <w:p w14:paraId="0ACBDE94" w14:textId="77777777" w:rsidR="00750C35" w:rsidRPr="00710C0E" w:rsidRDefault="00750C35" w:rsidP="00ED1C54">
      <w:pPr>
        <w:pStyle w:val="Heading3"/>
        <w:spacing w:line="360" w:lineRule="auto"/>
        <w:rPr>
          <w:rFonts w:ascii="Arial" w:hAnsi="Arial" w:cs="Arial"/>
          <w:b/>
          <w:bCs/>
          <w:color w:val="auto"/>
          <w:sz w:val="24"/>
          <w:szCs w:val="24"/>
        </w:rPr>
      </w:pPr>
      <w:bookmarkStart w:id="8" w:name="_Toc242565790"/>
      <w:r w:rsidRPr="00710C0E">
        <w:rPr>
          <w:rFonts w:ascii="Arial" w:hAnsi="Arial" w:cs="Arial"/>
          <w:b/>
          <w:bCs/>
          <w:color w:val="auto"/>
          <w:sz w:val="24"/>
          <w:szCs w:val="24"/>
        </w:rPr>
        <w:t>Description</w:t>
      </w:r>
      <w:bookmarkEnd w:id="8"/>
    </w:p>
    <w:p w14:paraId="4A268A8A" w14:textId="0C4672D6" w:rsidR="00750C35" w:rsidRPr="00710C0E" w:rsidRDefault="000240E4" w:rsidP="283BE1BA">
      <w:pPr>
        <w:spacing w:after="120" w:line="360" w:lineRule="auto"/>
        <w:jc w:val="both"/>
        <w:rPr>
          <w:rFonts w:cs="Arial"/>
          <w:sz w:val="22"/>
        </w:rPr>
      </w:pPr>
      <w:r w:rsidRPr="283BE1BA">
        <w:rPr>
          <w:rFonts w:cs="Arial"/>
          <w:sz w:val="22"/>
        </w:rPr>
        <w:t xml:space="preserve">When supporting a child at school, I was met with some reluctance in taking </w:t>
      </w:r>
      <w:r w:rsidR="65A5D7ED" w:rsidRPr="283BE1BA">
        <w:rPr>
          <w:rFonts w:cs="Arial"/>
          <w:sz w:val="22"/>
        </w:rPr>
        <w:t>support</w:t>
      </w:r>
      <w:r w:rsidRPr="283BE1BA">
        <w:rPr>
          <w:rFonts w:cs="Arial"/>
          <w:sz w:val="22"/>
        </w:rPr>
        <w:t xml:space="preserve">. First, I gave my explanation again and offered acceptance. I then asked the child to state their concerns. Child was concerned about how support would impact their normal routine. I heard and thought about other </w:t>
      </w:r>
      <w:r w:rsidR="00E809E1" w:rsidRPr="283BE1BA">
        <w:rPr>
          <w:rFonts w:cs="Arial"/>
          <w:sz w:val="22"/>
        </w:rPr>
        <w:t>options but</w:t>
      </w:r>
      <w:r w:rsidRPr="283BE1BA">
        <w:rPr>
          <w:rFonts w:cs="Arial"/>
          <w:sz w:val="22"/>
        </w:rPr>
        <w:t xml:space="preserve"> didn't push them.</w:t>
      </w:r>
    </w:p>
    <w:p w14:paraId="439DA181" w14:textId="77777777" w:rsidR="00750C35" w:rsidRPr="00710C0E" w:rsidRDefault="00750C35" w:rsidP="00ED1C54">
      <w:pPr>
        <w:pStyle w:val="Heading3"/>
        <w:spacing w:line="360" w:lineRule="auto"/>
        <w:rPr>
          <w:rFonts w:ascii="Arial" w:hAnsi="Arial" w:cs="Arial"/>
          <w:b/>
          <w:bCs/>
          <w:color w:val="auto"/>
          <w:sz w:val="24"/>
          <w:szCs w:val="24"/>
        </w:rPr>
      </w:pPr>
      <w:bookmarkStart w:id="9" w:name="_Toc242565791"/>
      <w:r w:rsidRPr="00710C0E">
        <w:rPr>
          <w:rFonts w:ascii="Arial" w:hAnsi="Arial" w:cs="Arial"/>
          <w:b/>
          <w:bCs/>
          <w:color w:val="auto"/>
          <w:sz w:val="24"/>
          <w:szCs w:val="24"/>
        </w:rPr>
        <w:t>Feelings</w:t>
      </w:r>
      <w:bookmarkEnd w:id="9"/>
    </w:p>
    <w:p w14:paraId="1149B5BF" w14:textId="519B6484" w:rsidR="00750C35" w:rsidRPr="00710C0E" w:rsidRDefault="00DC459B" w:rsidP="283BE1BA">
      <w:pPr>
        <w:spacing w:after="120" w:line="360" w:lineRule="auto"/>
        <w:jc w:val="both"/>
        <w:rPr>
          <w:rFonts w:cs="Arial"/>
          <w:sz w:val="22"/>
        </w:rPr>
      </w:pPr>
      <w:r w:rsidRPr="283BE1BA">
        <w:rPr>
          <w:rFonts w:cs="Arial"/>
          <w:sz w:val="22"/>
        </w:rPr>
        <w:t xml:space="preserve">At first, I felt it was my responsibility to make it work and thought that if I explained it over, it would get rid of the hesitation. I was worried about the </w:t>
      </w:r>
      <w:r w:rsidR="023B38F9" w:rsidRPr="283BE1BA">
        <w:rPr>
          <w:rFonts w:cs="Arial"/>
          <w:sz w:val="22"/>
        </w:rPr>
        <w:t>delayed</w:t>
      </w:r>
      <w:r w:rsidRPr="283BE1BA">
        <w:rPr>
          <w:rFonts w:cs="Arial"/>
          <w:sz w:val="22"/>
        </w:rPr>
        <w:t xml:space="preserve"> issues. But I knew that the urgency of the situation may not give me time to grasp the child's point of view. This helped me to understand the value of patience and respectful communication!</w:t>
      </w:r>
    </w:p>
    <w:p w14:paraId="53CE18BB" w14:textId="77777777" w:rsidR="00750C35" w:rsidRPr="00710C0E" w:rsidRDefault="00750C35" w:rsidP="00ED1C54">
      <w:pPr>
        <w:pStyle w:val="Heading3"/>
        <w:spacing w:line="360" w:lineRule="auto"/>
        <w:rPr>
          <w:rFonts w:ascii="Arial" w:hAnsi="Arial" w:cs="Arial"/>
          <w:b/>
          <w:bCs/>
          <w:color w:val="auto"/>
          <w:sz w:val="24"/>
          <w:szCs w:val="24"/>
        </w:rPr>
      </w:pPr>
      <w:bookmarkStart w:id="10" w:name="_Toc242565792"/>
      <w:r w:rsidRPr="00710C0E">
        <w:rPr>
          <w:rFonts w:ascii="Arial" w:hAnsi="Arial" w:cs="Arial"/>
          <w:b/>
          <w:bCs/>
          <w:color w:val="auto"/>
          <w:sz w:val="24"/>
          <w:szCs w:val="24"/>
        </w:rPr>
        <w:t>Evaluation</w:t>
      </w:r>
      <w:bookmarkEnd w:id="10"/>
    </w:p>
    <w:p w14:paraId="2497AE8E" w14:textId="22083D0D" w:rsidR="00750C35" w:rsidRPr="00710C0E" w:rsidRDefault="00DC459B" w:rsidP="283BE1BA">
      <w:pPr>
        <w:spacing w:after="120" w:line="360" w:lineRule="auto"/>
        <w:jc w:val="both"/>
        <w:rPr>
          <w:rFonts w:cs="Arial"/>
          <w:sz w:val="22"/>
        </w:rPr>
      </w:pPr>
      <w:r w:rsidRPr="283BE1BA">
        <w:rPr>
          <w:rFonts w:cs="Arial"/>
          <w:sz w:val="22"/>
        </w:rPr>
        <w:t xml:space="preserve">One good thing I did, however, was that I went to listen and thought about alternatives instead of assuming that if I didn't think about it, it meant I didn't comply. I started out being directive, but I could have been perceived by the child as dismissing their voice. I should have been more open </w:t>
      </w:r>
      <w:r w:rsidR="78A6AA91" w:rsidRPr="283BE1BA">
        <w:rPr>
          <w:rFonts w:cs="Arial"/>
          <w:sz w:val="22"/>
        </w:rPr>
        <w:t>to</w:t>
      </w:r>
      <w:r w:rsidRPr="283BE1BA">
        <w:rPr>
          <w:rFonts w:cs="Arial"/>
          <w:sz w:val="22"/>
        </w:rPr>
        <w:t xml:space="preserve"> my questions. I also found that it's not simply listening that gives the </w:t>
      </w:r>
      <w:r w:rsidR="401386FC" w:rsidRPr="283BE1BA">
        <w:rPr>
          <w:rFonts w:cs="Arial"/>
          <w:sz w:val="22"/>
        </w:rPr>
        <w:t>answer;</w:t>
      </w:r>
      <w:r w:rsidRPr="283BE1BA">
        <w:rPr>
          <w:rFonts w:cs="Arial"/>
          <w:sz w:val="22"/>
        </w:rPr>
        <w:t xml:space="preserve"> there needs to be agreed support</w:t>
      </w:r>
      <w:r w:rsidR="00750C35" w:rsidRPr="283BE1BA">
        <w:rPr>
          <w:rFonts w:cs="Arial"/>
          <w:sz w:val="22"/>
        </w:rPr>
        <w:t>.</w:t>
      </w:r>
    </w:p>
    <w:p w14:paraId="6A103149" w14:textId="77777777" w:rsidR="00750C35" w:rsidRPr="00710C0E" w:rsidRDefault="00750C35" w:rsidP="00ED1C54">
      <w:pPr>
        <w:pStyle w:val="Heading3"/>
        <w:spacing w:line="360" w:lineRule="auto"/>
        <w:rPr>
          <w:rFonts w:ascii="Arial" w:hAnsi="Arial" w:cs="Arial"/>
          <w:b/>
          <w:bCs/>
          <w:color w:val="auto"/>
          <w:sz w:val="24"/>
          <w:szCs w:val="24"/>
        </w:rPr>
      </w:pPr>
      <w:bookmarkStart w:id="11" w:name="_Toc242565793"/>
      <w:r w:rsidRPr="00710C0E">
        <w:rPr>
          <w:rFonts w:ascii="Arial" w:hAnsi="Arial" w:cs="Arial"/>
          <w:b/>
          <w:bCs/>
          <w:color w:val="auto"/>
          <w:sz w:val="24"/>
          <w:szCs w:val="24"/>
        </w:rPr>
        <w:lastRenderedPageBreak/>
        <w:t>Analysis</w:t>
      </w:r>
      <w:bookmarkEnd w:id="11"/>
    </w:p>
    <w:p w14:paraId="0A3FA41A" w14:textId="3C64B79A" w:rsidR="00750C35" w:rsidRPr="00710C0E" w:rsidRDefault="00C05E2D" w:rsidP="283BE1BA">
      <w:pPr>
        <w:spacing w:after="120" w:line="360" w:lineRule="auto"/>
        <w:jc w:val="both"/>
        <w:rPr>
          <w:rFonts w:cs="Arial"/>
          <w:sz w:val="22"/>
        </w:rPr>
      </w:pPr>
      <w:r w:rsidRPr="283BE1BA">
        <w:rPr>
          <w:rFonts w:cs="Arial"/>
          <w:sz w:val="22"/>
        </w:rPr>
        <w:t xml:space="preserve">My experience is related to Robyn's story because both came to pass showing that it is not doing what is </w:t>
      </w:r>
      <w:r w:rsidR="775E88B2" w:rsidRPr="283BE1BA">
        <w:rPr>
          <w:rFonts w:cs="Arial"/>
          <w:sz w:val="22"/>
        </w:rPr>
        <w:t>appropriate,</w:t>
      </w:r>
      <w:r w:rsidRPr="283BE1BA">
        <w:rPr>
          <w:rFonts w:cs="Arial"/>
          <w:sz w:val="22"/>
        </w:rPr>
        <w:t xml:space="preserve"> disrupting the routine of the individual. Robyn had </w:t>
      </w:r>
      <w:r w:rsidR="00C20DFA" w:rsidRPr="283BE1BA">
        <w:rPr>
          <w:rFonts w:cs="Arial"/>
          <w:sz w:val="22"/>
        </w:rPr>
        <w:t>several</w:t>
      </w:r>
      <w:r w:rsidRPr="283BE1BA">
        <w:rPr>
          <w:rFonts w:cs="Arial"/>
          <w:sz w:val="22"/>
        </w:rPr>
        <w:t xml:space="preserve"> changes </w:t>
      </w:r>
      <w:r w:rsidR="5AAFB7D2" w:rsidRPr="283BE1BA">
        <w:rPr>
          <w:rFonts w:cs="Arial"/>
          <w:sz w:val="22"/>
        </w:rPr>
        <w:t>to</w:t>
      </w:r>
      <w:r w:rsidRPr="283BE1BA">
        <w:rPr>
          <w:rFonts w:cs="Arial"/>
          <w:sz w:val="22"/>
        </w:rPr>
        <w:t xml:space="preserve"> </w:t>
      </w:r>
      <w:proofErr w:type="gramStart"/>
      <w:r w:rsidRPr="283BE1BA">
        <w:rPr>
          <w:rFonts w:cs="Arial"/>
          <w:sz w:val="22"/>
        </w:rPr>
        <w:t>personal</w:t>
      </w:r>
      <w:proofErr w:type="gramEnd"/>
      <w:r w:rsidRPr="283BE1BA">
        <w:rPr>
          <w:rFonts w:cs="Arial"/>
          <w:sz w:val="22"/>
        </w:rPr>
        <w:t xml:space="preserve"> assistant and problems with accessing her animals (NHS England, n.d.). Likewise, the little one was worried about alterations in his or her schedule. While both examples are different, they show that support should be in line with the individual's preferences and not just convenience. When I was at the stage where I was learning about person-</w:t>
      </w:r>
      <w:r w:rsidR="4FB39C5A" w:rsidRPr="283BE1BA">
        <w:rPr>
          <w:rFonts w:cs="Arial"/>
          <w:sz w:val="22"/>
        </w:rPr>
        <w:t>centered</w:t>
      </w:r>
      <w:r w:rsidRPr="283BE1BA">
        <w:rPr>
          <w:rFonts w:cs="Arial"/>
          <w:sz w:val="22"/>
        </w:rPr>
        <w:t xml:space="preserve"> care, Robyn's experience taught me how important it is to have choice, </w:t>
      </w:r>
      <w:r w:rsidR="19866D39" w:rsidRPr="283BE1BA">
        <w:rPr>
          <w:rFonts w:cs="Arial"/>
          <w:sz w:val="22"/>
        </w:rPr>
        <w:t>continuity,</w:t>
      </w:r>
      <w:r w:rsidRPr="283BE1BA">
        <w:rPr>
          <w:rFonts w:cs="Arial"/>
          <w:sz w:val="22"/>
        </w:rPr>
        <w:t xml:space="preserve"> and communication in a person's care</w:t>
      </w:r>
      <w:r w:rsidR="00750C35" w:rsidRPr="283BE1BA">
        <w:rPr>
          <w:rFonts w:cs="Arial"/>
          <w:sz w:val="22"/>
        </w:rPr>
        <w:t>.</w:t>
      </w:r>
    </w:p>
    <w:p w14:paraId="4687201C" w14:textId="55C777BC" w:rsidR="00750C35" w:rsidRPr="00710C0E" w:rsidRDefault="00C05E2D" w:rsidP="283BE1BA">
      <w:pPr>
        <w:spacing w:after="120" w:line="360" w:lineRule="auto"/>
        <w:jc w:val="both"/>
        <w:rPr>
          <w:rFonts w:cs="Arial"/>
          <w:sz w:val="22"/>
        </w:rPr>
      </w:pPr>
      <w:r w:rsidRPr="283BE1BA">
        <w:rPr>
          <w:rFonts w:cs="Arial"/>
          <w:sz w:val="22"/>
        </w:rPr>
        <w:t xml:space="preserve">The Care Act 2014, s.1, makes wellbeing a focus </w:t>
      </w:r>
      <w:r w:rsidR="6C131BF0" w:rsidRPr="283BE1BA">
        <w:rPr>
          <w:rFonts w:cs="Arial"/>
          <w:sz w:val="22"/>
        </w:rPr>
        <w:t>on</w:t>
      </w:r>
      <w:r w:rsidRPr="283BE1BA">
        <w:rPr>
          <w:rFonts w:cs="Arial"/>
          <w:sz w:val="22"/>
        </w:rPr>
        <w:t xml:space="preserve"> adult social care. 1). It is not directly about school-based child support but is there to support and encourage wellbeing. Respect, communication, and accountability are important values stated in the professional Code of Conduct (Skills for Care and Skills for Health, 2013). Keeping Children Safe in Education 2026 offer guidance which is relevant to safeguarding in school (Department for Education, 2026). Most importantly, acknowledging children's concerns is not synonymous with </w:t>
      </w:r>
      <w:r w:rsidR="27CDB67A" w:rsidRPr="283BE1BA">
        <w:rPr>
          <w:rFonts w:cs="Arial"/>
          <w:sz w:val="22"/>
        </w:rPr>
        <w:t>compromising</w:t>
      </w:r>
      <w:r w:rsidRPr="283BE1BA">
        <w:rPr>
          <w:rFonts w:cs="Arial"/>
          <w:sz w:val="22"/>
        </w:rPr>
        <w:t xml:space="preserve"> safety; professionals need to consider each child's needs and their safeguarding responsibilities. I should thus investigate the concerns first, before I make the decision on what to do</w:t>
      </w:r>
      <w:r w:rsidR="00750C35" w:rsidRPr="283BE1BA">
        <w:rPr>
          <w:rFonts w:cs="Arial"/>
          <w:sz w:val="22"/>
        </w:rPr>
        <w:t>.</w:t>
      </w:r>
    </w:p>
    <w:p w14:paraId="48E7A185" w14:textId="77777777" w:rsidR="00750C35" w:rsidRPr="00710C0E" w:rsidRDefault="00750C35" w:rsidP="00ED1C54">
      <w:pPr>
        <w:pStyle w:val="Heading3"/>
        <w:spacing w:line="360" w:lineRule="auto"/>
        <w:rPr>
          <w:rFonts w:ascii="Arial" w:hAnsi="Arial" w:cs="Arial"/>
          <w:b/>
          <w:bCs/>
          <w:color w:val="auto"/>
          <w:sz w:val="24"/>
          <w:szCs w:val="24"/>
        </w:rPr>
      </w:pPr>
      <w:bookmarkStart w:id="12" w:name="_Toc242565794"/>
      <w:r w:rsidRPr="00710C0E">
        <w:rPr>
          <w:rFonts w:ascii="Arial" w:hAnsi="Arial" w:cs="Arial"/>
          <w:b/>
          <w:bCs/>
          <w:color w:val="auto"/>
          <w:sz w:val="24"/>
          <w:szCs w:val="24"/>
        </w:rPr>
        <w:t>Conclusion</w:t>
      </w:r>
      <w:bookmarkEnd w:id="12"/>
    </w:p>
    <w:p w14:paraId="792C52DD" w14:textId="1CF6CDF0" w:rsidR="00750C35" w:rsidRPr="00710C0E" w:rsidRDefault="00FD789D" w:rsidP="283BE1BA">
      <w:pPr>
        <w:spacing w:after="120" w:line="360" w:lineRule="auto"/>
        <w:jc w:val="both"/>
        <w:rPr>
          <w:rFonts w:cs="Arial"/>
          <w:sz w:val="22"/>
        </w:rPr>
      </w:pPr>
      <w:r w:rsidRPr="283BE1BA">
        <w:rPr>
          <w:rFonts w:cs="Arial"/>
          <w:sz w:val="22"/>
        </w:rPr>
        <w:t xml:space="preserve">I learned that sometimes hesitation can be a clue to something that a person is concerned about, not necessarily that they're not ready to cooperate. Strengths are listening and being flexible; an area for development is to make assumptions quickly. My experience and Robyn's story exemplify that person </w:t>
      </w:r>
      <w:r w:rsidR="67935A4C" w:rsidRPr="283BE1BA">
        <w:rPr>
          <w:rFonts w:cs="Arial"/>
          <w:sz w:val="22"/>
        </w:rPr>
        <w:t>centered</w:t>
      </w:r>
      <w:r w:rsidRPr="283BE1BA">
        <w:rPr>
          <w:rFonts w:cs="Arial"/>
          <w:sz w:val="22"/>
        </w:rPr>
        <w:t xml:space="preserve"> support is about involving people, not just giving them activities to do</w:t>
      </w:r>
      <w:r w:rsidR="00750C35" w:rsidRPr="283BE1BA">
        <w:rPr>
          <w:rFonts w:cs="Arial"/>
          <w:sz w:val="22"/>
        </w:rPr>
        <w:t>.</w:t>
      </w:r>
    </w:p>
    <w:p w14:paraId="3473E98A" w14:textId="77777777" w:rsidR="00750C35" w:rsidRPr="00710C0E" w:rsidRDefault="00750C35" w:rsidP="00ED1C54">
      <w:pPr>
        <w:pStyle w:val="Heading3"/>
        <w:spacing w:line="360" w:lineRule="auto"/>
        <w:rPr>
          <w:rFonts w:ascii="Arial" w:hAnsi="Arial" w:cs="Arial"/>
          <w:b/>
          <w:bCs/>
          <w:color w:val="auto"/>
          <w:sz w:val="24"/>
          <w:szCs w:val="24"/>
        </w:rPr>
      </w:pPr>
      <w:bookmarkStart w:id="13" w:name="_Toc242565795"/>
      <w:r w:rsidRPr="00710C0E">
        <w:rPr>
          <w:rFonts w:ascii="Arial" w:hAnsi="Arial" w:cs="Arial"/>
          <w:b/>
          <w:bCs/>
          <w:color w:val="auto"/>
          <w:sz w:val="24"/>
          <w:szCs w:val="24"/>
        </w:rPr>
        <w:t>Action Plan</w:t>
      </w:r>
      <w:bookmarkEnd w:id="13"/>
    </w:p>
    <w:p w14:paraId="5D7EC4DD" w14:textId="72B65BBC" w:rsidR="00750C35" w:rsidRPr="00710C0E" w:rsidRDefault="00751AE3" w:rsidP="283BE1BA">
      <w:pPr>
        <w:spacing w:after="120" w:line="360" w:lineRule="auto"/>
        <w:jc w:val="both"/>
        <w:rPr>
          <w:rFonts w:cs="Arial"/>
          <w:sz w:val="22"/>
        </w:rPr>
      </w:pPr>
      <w:r w:rsidRPr="283BE1BA">
        <w:rPr>
          <w:rFonts w:cs="Arial"/>
          <w:sz w:val="22"/>
        </w:rPr>
        <w:t xml:space="preserve">In </w:t>
      </w:r>
      <w:r w:rsidR="18F787BC" w:rsidRPr="283BE1BA">
        <w:rPr>
          <w:rFonts w:cs="Arial"/>
          <w:sz w:val="22"/>
        </w:rPr>
        <w:t>the future</w:t>
      </w:r>
      <w:r w:rsidRPr="283BE1BA">
        <w:rPr>
          <w:rFonts w:cs="Arial"/>
          <w:sz w:val="22"/>
        </w:rPr>
        <w:t xml:space="preserve">, I will ask open questions rather than immediately suggesting arrangements. I will explain the available options clearly and ask questions to check understanding. I will discuss reasonable alternatives with appropriate people, follow safeguarding </w:t>
      </w:r>
      <w:r w:rsidR="25652667" w:rsidRPr="283BE1BA">
        <w:rPr>
          <w:rFonts w:cs="Arial"/>
          <w:sz w:val="22"/>
        </w:rPr>
        <w:t>procedures,</w:t>
      </w:r>
      <w:r w:rsidRPr="283BE1BA">
        <w:rPr>
          <w:rFonts w:cs="Arial"/>
          <w:sz w:val="22"/>
        </w:rPr>
        <w:t xml:space="preserve"> and seek advice when necessary. After relevant interactions, I will reflect on whether I listened effectively and whether the agreed support met the individual’s needs. I will also review my progress with appropriate people or colleagues, using their feedback to identify areas for improvement and strengthen my professional practice.</w:t>
      </w:r>
    </w:p>
    <w:p w14:paraId="663A2F0E" w14:textId="2C47B012" w:rsidR="005C6891" w:rsidRPr="00710C0E" w:rsidRDefault="008E6868" w:rsidP="00ED1C54">
      <w:pPr>
        <w:pStyle w:val="Heading2"/>
        <w:spacing w:line="360" w:lineRule="auto"/>
        <w:rPr>
          <w:rFonts w:ascii="Arial" w:hAnsi="Arial" w:cs="Arial"/>
          <w:b/>
          <w:bCs/>
          <w:color w:val="auto"/>
          <w:sz w:val="28"/>
          <w:szCs w:val="28"/>
        </w:rPr>
      </w:pPr>
      <w:bookmarkStart w:id="14" w:name="_Toc242565796"/>
      <w:r w:rsidRPr="00710C0E">
        <w:rPr>
          <w:rFonts w:ascii="Arial" w:hAnsi="Arial" w:cs="Arial"/>
          <w:b/>
          <w:bCs/>
          <w:color w:val="auto"/>
          <w:sz w:val="28"/>
          <w:szCs w:val="28"/>
        </w:rPr>
        <w:t>Conclusion</w:t>
      </w:r>
      <w:bookmarkEnd w:id="14"/>
      <w:r w:rsidRPr="00710C0E">
        <w:rPr>
          <w:rFonts w:ascii="Arial" w:hAnsi="Arial" w:cs="Arial"/>
          <w:b/>
          <w:bCs/>
          <w:color w:val="auto"/>
          <w:sz w:val="28"/>
          <w:szCs w:val="28"/>
        </w:rPr>
        <w:t xml:space="preserve"> </w:t>
      </w:r>
    </w:p>
    <w:p w14:paraId="463A533C" w14:textId="042B43CF" w:rsidR="002F5DC7" w:rsidRDefault="002D3C42" w:rsidP="283BE1BA">
      <w:pPr>
        <w:spacing w:after="100" w:line="360" w:lineRule="auto"/>
        <w:jc w:val="both"/>
        <w:rPr>
          <w:rFonts w:cs="Arial"/>
          <w:sz w:val="22"/>
        </w:rPr>
      </w:pPr>
      <w:r w:rsidRPr="283BE1BA">
        <w:rPr>
          <w:rFonts w:cs="Arial"/>
          <w:sz w:val="22"/>
        </w:rPr>
        <w:t>Safe care needs to include identity and participation and choice as well, as Robyn's experience demonstrates. Person-</w:t>
      </w:r>
      <w:r w:rsidR="279610A5" w:rsidRPr="283BE1BA">
        <w:rPr>
          <w:rFonts w:cs="Arial"/>
          <w:sz w:val="22"/>
        </w:rPr>
        <w:t>centered</w:t>
      </w:r>
      <w:r w:rsidRPr="283BE1BA">
        <w:rPr>
          <w:rFonts w:cs="Arial"/>
          <w:sz w:val="22"/>
        </w:rPr>
        <w:t xml:space="preserve"> planning helps to make things clear to the </w:t>
      </w:r>
      <w:r w:rsidR="4687EFBF" w:rsidRPr="283BE1BA">
        <w:rPr>
          <w:rFonts w:cs="Arial"/>
          <w:sz w:val="22"/>
        </w:rPr>
        <w:t>person;</w:t>
      </w:r>
      <w:r w:rsidRPr="283BE1BA">
        <w:rPr>
          <w:rFonts w:cs="Arial"/>
          <w:sz w:val="22"/>
        </w:rPr>
        <w:t xml:space="preserve"> partnership ensures people and services work together effectively, and ethical practice ensures a balance </w:t>
      </w:r>
      <w:r w:rsidRPr="283BE1BA">
        <w:rPr>
          <w:rFonts w:cs="Arial"/>
          <w:sz w:val="22"/>
        </w:rPr>
        <w:lastRenderedPageBreak/>
        <w:t xml:space="preserve">between autonomy, dignity and safety. There are some relevant legal frameworks in the Care Act 2014 and </w:t>
      </w:r>
      <w:r w:rsidR="2B7062BF" w:rsidRPr="283BE1BA">
        <w:rPr>
          <w:rFonts w:cs="Arial"/>
          <w:sz w:val="22"/>
        </w:rPr>
        <w:t>the Health</w:t>
      </w:r>
      <w:r w:rsidRPr="283BE1BA">
        <w:rPr>
          <w:rFonts w:cs="Arial"/>
          <w:sz w:val="22"/>
        </w:rPr>
        <w:t xml:space="preserve"> and Care Act 2022</w:t>
      </w:r>
      <w:r w:rsidR="7E265E0A" w:rsidRPr="283BE1BA">
        <w:rPr>
          <w:rFonts w:cs="Arial"/>
          <w:sz w:val="22"/>
        </w:rPr>
        <w:t>. However</w:t>
      </w:r>
      <w:r w:rsidRPr="283BE1BA">
        <w:rPr>
          <w:rFonts w:cs="Arial"/>
          <w:sz w:val="22"/>
        </w:rPr>
        <w:t xml:space="preserve">, outcomes will rely on the way in which professionals communicate, share </w:t>
      </w:r>
      <w:r w:rsidR="5862420F" w:rsidRPr="283BE1BA">
        <w:rPr>
          <w:rFonts w:cs="Arial"/>
          <w:sz w:val="22"/>
        </w:rPr>
        <w:t>responsibility,</w:t>
      </w:r>
      <w:r w:rsidRPr="283BE1BA">
        <w:rPr>
          <w:rFonts w:cs="Arial"/>
          <w:sz w:val="22"/>
        </w:rPr>
        <w:t xml:space="preserve"> and review support. The strength I identify from my reflection is </w:t>
      </w:r>
      <w:r w:rsidR="78E6733C" w:rsidRPr="283BE1BA">
        <w:rPr>
          <w:rFonts w:cs="Arial"/>
          <w:sz w:val="22"/>
        </w:rPr>
        <w:t>listening,</w:t>
      </w:r>
      <w:r w:rsidRPr="283BE1BA">
        <w:rPr>
          <w:rFonts w:cs="Arial"/>
          <w:sz w:val="22"/>
        </w:rPr>
        <w:t xml:space="preserve"> and an area for development is initial assumptions. </w:t>
      </w:r>
      <w:r w:rsidR="004C6262" w:rsidRPr="283BE1BA">
        <w:rPr>
          <w:rFonts w:cs="Arial"/>
          <w:sz w:val="22"/>
        </w:rPr>
        <w:t xml:space="preserve">I will apply these lessons through open questions, accurate records, </w:t>
      </w:r>
      <w:r w:rsidR="338C185F" w:rsidRPr="283BE1BA">
        <w:rPr>
          <w:rFonts w:cs="Arial"/>
          <w:sz w:val="22"/>
        </w:rPr>
        <w:t>supervision,</w:t>
      </w:r>
      <w:r w:rsidR="004C6262" w:rsidRPr="283BE1BA">
        <w:rPr>
          <w:rFonts w:cs="Arial"/>
          <w:sz w:val="22"/>
        </w:rPr>
        <w:t xml:space="preserve"> and feedback.</w:t>
      </w:r>
      <w:bookmarkStart w:id="15" w:name="_Toc242565797"/>
    </w:p>
    <w:p w14:paraId="4B260BEF" w14:textId="02CA046F" w:rsidR="005C6891" w:rsidRPr="002F5DC7" w:rsidRDefault="005C6891" w:rsidP="283BE1BA">
      <w:pPr>
        <w:pStyle w:val="Heading2"/>
        <w:spacing w:line="360" w:lineRule="auto"/>
        <w:rPr>
          <w:rFonts w:ascii="Arial" w:hAnsi="Arial" w:cs="Arial"/>
          <w:b/>
          <w:bCs/>
          <w:color w:val="auto"/>
          <w:sz w:val="28"/>
          <w:szCs w:val="28"/>
        </w:rPr>
      </w:pPr>
    </w:p>
    <w:p w14:paraId="3E3E14BA" w14:textId="5231275A" w:rsidR="005C6891" w:rsidRPr="002F5DC7" w:rsidRDefault="005C6891" w:rsidP="283BE1BA">
      <w:pPr>
        <w:spacing w:line="360" w:lineRule="auto"/>
      </w:pPr>
      <w:r>
        <w:br w:type="page"/>
      </w:r>
    </w:p>
    <w:p w14:paraId="44006E16" w14:textId="2D7999D5" w:rsidR="005C6891" w:rsidRPr="002F5DC7" w:rsidRDefault="005C6891" w:rsidP="00ED1C54">
      <w:pPr>
        <w:pStyle w:val="Heading2"/>
        <w:spacing w:line="360" w:lineRule="auto"/>
        <w:rPr>
          <w:rFonts w:ascii="Arial" w:hAnsi="Arial" w:cs="Arial"/>
          <w:b/>
          <w:bCs/>
          <w:color w:val="auto"/>
          <w:sz w:val="28"/>
          <w:szCs w:val="28"/>
        </w:rPr>
      </w:pPr>
      <w:r w:rsidRPr="283BE1BA">
        <w:rPr>
          <w:rFonts w:ascii="Arial" w:hAnsi="Arial" w:cs="Arial"/>
          <w:b/>
          <w:bCs/>
          <w:color w:val="auto"/>
          <w:sz w:val="28"/>
          <w:szCs w:val="28"/>
        </w:rPr>
        <w:lastRenderedPageBreak/>
        <w:t>References</w:t>
      </w:r>
      <w:bookmarkEnd w:id="15"/>
    </w:p>
    <w:p w14:paraId="5F8C1CE1" w14:textId="1C5CD214" w:rsidR="005C6891" w:rsidRPr="00710C0E" w:rsidRDefault="005C6891" w:rsidP="00ED1C54">
      <w:pPr>
        <w:pStyle w:val="ListParagraph"/>
        <w:numPr>
          <w:ilvl w:val="0"/>
          <w:numId w:val="1"/>
        </w:numPr>
        <w:spacing w:after="120" w:line="360" w:lineRule="auto"/>
        <w:jc w:val="both"/>
        <w:rPr>
          <w:rFonts w:ascii="Arial" w:hAnsi="Arial" w:cs="Arial"/>
          <w:sz w:val="22"/>
          <w:szCs w:val="22"/>
        </w:rPr>
      </w:pPr>
      <w:r w:rsidRPr="283BE1BA">
        <w:rPr>
          <w:rFonts w:ascii="Arial" w:hAnsi="Arial" w:cs="Arial"/>
          <w:sz w:val="22"/>
          <w:szCs w:val="22"/>
        </w:rPr>
        <w:t xml:space="preserve">Boulton, A.J., </w:t>
      </w:r>
      <w:r w:rsidR="5C88E1AB" w:rsidRPr="283BE1BA">
        <w:rPr>
          <w:rFonts w:ascii="Arial" w:hAnsi="Arial" w:cs="Arial"/>
          <w:sz w:val="22"/>
          <w:szCs w:val="22"/>
        </w:rPr>
        <w:t>Lowther</w:t>
      </w:r>
      <w:r w:rsidRPr="283BE1BA">
        <w:rPr>
          <w:rFonts w:ascii="Arial" w:hAnsi="Arial" w:cs="Arial"/>
          <w:sz w:val="22"/>
          <w:szCs w:val="22"/>
        </w:rPr>
        <w:t>, A., Yeung, J. and Bassford, C. (</w:t>
      </w:r>
      <w:proofErr w:type="gramStart"/>
      <w:r w:rsidRPr="283BE1BA">
        <w:rPr>
          <w:rFonts w:ascii="Arial" w:hAnsi="Arial" w:cs="Arial"/>
          <w:sz w:val="22"/>
          <w:szCs w:val="22"/>
        </w:rPr>
        <w:t>2023) ‘</w:t>
      </w:r>
      <w:proofErr w:type="gramEnd"/>
      <w:r w:rsidRPr="283BE1BA">
        <w:rPr>
          <w:rFonts w:ascii="Arial" w:hAnsi="Arial" w:cs="Arial"/>
          <w:sz w:val="22"/>
          <w:szCs w:val="22"/>
        </w:rPr>
        <w:t xml:space="preserve">Moral distress among intensive care unit professions in the UK: a mixed-methods study’, </w:t>
      </w:r>
      <w:r w:rsidRPr="283BE1BA">
        <w:rPr>
          <w:rFonts w:ascii="Arial" w:hAnsi="Arial" w:cs="Arial"/>
          <w:i/>
          <w:iCs/>
          <w:sz w:val="22"/>
          <w:szCs w:val="22"/>
        </w:rPr>
        <w:t>BMJ Open</w:t>
      </w:r>
      <w:r w:rsidRPr="283BE1BA">
        <w:rPr>
          <w:rFonts w:ascii="Arial" w:hAnsi="Arial" w:cs="Arial"/>
          <w:sz w:val="22"/>
          <w:szCs w:val="22"/>
        </w:rPr>
        <w:t>, 13(4), article e068918. Available at: https://doi.org/10.1136/bmjopen-2022-068918.</w:t>
      </w:r>
    </w:p>
    <w:p w14:paraId="1D3CCA3E" w14:textId="77777777" w:rsidR="005C6891" w:rsidRPr="00710C0E" w:rsidRDefault="005C6891" w:rsidP="00ED1C54">
      <w:pPr>
        <w:pStyle w:val="ListParagraph"/>
        <w:numPr>
          <w:ilvl w:val="0"/>
          <w:numId w:val="1"/>
        </w:numPr>
        <w:spacing w:after="120" w:line="360" w:lineRule="auto"/>
        <w:jc w:val="both"/>
        <w:rPr>
          <w:rFonts w:ascii="Arial" w:hAnsi="Arial" w:cs="Arial"/>
          <w:sz w:val="22"/>
          <w:szCs w:val="22"/>
        </w:rPr>
      </w:pPr>
      <w:r w:rsidRPr="00710C0E">
        <w:rPr>
          <w:rFonts w:ascii="Arial" w:hAnsi="Arial" w:cs="Arial"/>
          <w:i/>
          <w:sz w:val="22"/>
          <w:szCs w:val="22"/>
        </w:rPr>
        <w:t>Care Act 2014</w:t>
      </w:r>
      <w:r w:rsidRPr="00710C0E">
        <w:rPr>
          <w:rFonts w:ascii="Arial" w:hAnsi="Arial" w:cs="Arial"/>
          <w:sz w:val="22"/>
          <w:szCs w:val="22"/>
        </w:rPr>
        <w:t>, c. 23. Available at: https://www.legislation.gov.uk/ukpga/2014/23/part/1 (Accessed: 10 October 2026).</w:t>
      </w:r>
    </w:p>
    <w:p w14:paraId="40277295" w14:textId="77777777" w:rsidR="005C6891" w:rsidRPr="00710C0E" w:rsidRDefault="005C6891" w:rsidP="00ED1C54">
      <w:pPr>
        <w:pStyle w:val="ListParagraph"/>
        <w:numPr>
          <w:ilvl w:val="0"/>
          <w:numId w:val="1"/>
        </w:numPr>
        <w:spacing w:after="120" w:line="360" w:lineRule="auto"/>
        <w:jc w:val="both"/>
        <w:rPr>
          <w:rFonts w:ascii="Arial" w:hAnsi="Arial" w:cs="Arial"/>
          <w:sz w:val="22"/>
          <w:szCs w:val="22"/>
        </w:rPr>
      </w:pPr>
      <w:r w:rsidRPr="00710C0E">
        <w:rPr>
          <w:rFonts w:ascii="Arial" w:hAnsi="Arial" w:cs="Arial"/>
          <w:sz w:val="22"/>
          <w:szCs w:val="22"/>
        </w:rPr>
        <w:t xml:space="preserve">Damant, J., </w:t>
      </w:r>
      <w:proofErr w:type="spellStart"/>
      <w:r w:rsidRPr="00710C0E">
        <w:rPr>
          <w:rFonts w:ascii="Arial" w:hAnsi="Arial" w:cs="Arial"/>
          <w:sz w:val="22"/>
          <w:szCs w:val="22"/>
        </w:rPr>
        <w:t>Hamashima</w:t>
      </w:r>
      <w:proofErr w:type="spellEnd"/>
      <w:r w:rsidRPr="00710C0E">
        <w:rPr>
          <w:rFonts w:ascii="Arial" w:hAnsi="Arial" w:cs="Arial"/>
          <w:sz w:val="22"/>
          <w:szCs w:val="22"/>
        </w:rPr>
        <w:t xml:space="preserve">, Y., Toma, M., Smith, N., Taylor, J., Caprioli, T., Jasim, S., Prato, L., McLeod, H., Giebel, C., Peters, M., Montague, A.F., Wright, L., Knapp, M. and Towers, A. (2026) ‘Investigating person-centred care planning in care homes across England: an exploratory study of practices and contextual factors’, </w:t>
      </w:r>
      <w:r w:rsidRPr="00710C0E">
        <w:rPr>
          <w:rFonts w:ascii="Arial" w:hAnsi="Arial" w:cs="Arial"/>
          <w:i/>
          <w:sz w:val="22"/>
          <w:szCs w:val="22"/>
        </w:rPr>
        <w:t>Journal of Advanced Nursing</w:t>
      </w:r>
      <w:r w:rsidRPr="00710C0E">
        <w:rPr>
          <w:rFonts w:ascii="Arial" w:hAnsi="Arial" w:cs="Arial"/>
          <w:sz w:val="22"/>
          <w:szCs w:val="22"/>
        </w:rPr>
        <w:t>, 82(1), pp. 617–631. Available at: https://doi.org/10.1111/jan.16965.</w:t>
      </w:r>
    </w:p>
    <w:p w14:paraId="44639199" w14:textId="77777777" w:rsidR="005C6891" w:rsidRPr="00710C0E" w:rsidRDefault="005C6891" w:rsidP="00ED1C54">
      <w:pPr>
        <w:pStyle w:val="ListParagraph"/>
        <w:numPr>
          <w:ilvl w:val="0"/>
          <w:numId w:val="1"/>
        </w:numPr>
        <w:spacing w:after="120" w:line="360" w:lineRule="auto"/>
        <w:jc w:val="both"/>
        <w:rPr>
          <w:rFonts w:ascii="Arial" w:hAnsi="Arial" w:cs="Arial"/>
          <w:sz w:val="22"/>
          <w:szCs w:val="22"/>
        </w:rPr>
      </w:pPr>
      <w:r w:rsidRPr="00710C0E">
        <w:rPr>
          <w:rFonts w:ascii="Arial" w:hAnsi="Arial" w:cs="Arial"/>
          <w:sz w:val="22"/>
          <w:szCs w:val="22"/>
        </w:rPr>
        <w:t xml:space="preserve">Department for Education (2026) </w:t>
      </w:r>
      <w:r w:rsidRPr="00710C0E">
        <w:rPr>
          <w:rFonts w:ascii="Arial" w:hAnsi="Arial" w:cs="Arial"/>
          <w:i/>
          <w:sz w:val="22"/>
          <w:szCs w:val="22"/>
        </w:rPr>
        <w:t>Keeping children safe in education 2026: statutory guidance for schools and colleges</w:t>
      </w:r>
      <w:r w:rsidRPr="00710C0E">
        <w:rPr>
          <w:rFonts w:ascii="Arial" w:hAnsi="Arial" w:cs="Arial"/>
          <w:sz w:val="22"/>
          <w:szCs w:val="22"/>
        </w:rPr>
        <w:t>. Available at: https://www.gov.uk/government/publications/keeping-children-safe-in-education--2 (Accessed: 10 October 2026).</w:t>
      </w:r>
    </w:p>
    <w:p w14:paraId="3AD581C2" w14:textId="77777777" w:rsidR="005C6891" w:rsidRPr="00710C0E" w:rsidRDefault="005C6891" w:rsidP="00ED1C54">
      <w:pPr>
        <w:pStyle w:val="ListParagraph"/>
        <w:numPr>
          <w:ilvl w:val="0"/>
          <w:numId w:val="1"/>
        </w:numPr>
        <w:spacing w:after="120" w:line="360" w:lineRule="auto"/>
        <w:jc w:val="both"/>
        <w:rPr>
          <w:rFonts w:ascii="Arial" w:hAnsi="Arial" w:cs="Arial"/>
          <w:sz w:val="22"/>
          <w:szCs w:val="22"/>
        </w:rPr>
      </w:pPr>
      <w:r w:rsidRPr="00710C0E">
        <w:rPr>
          <w:rFonts w:ascii="Arial" w:hAnsi="Arial" w:cs="Arial"/>
          <w:sz w:val="22"/>
          <w:szCs w:val="22"/>
        </w:rPr>
        <w:t xml:space="preserve">Gibbs, G. (1988) </w:t>
      </w:r>
      <w:r w:rsidRPr="00710C0E">
        <w:rPr>
          <w:rFonts w:ascii="Arial" w:hAnsi="Arial" w:cs="Arial"/>
          <w:i/>
          <w:sz w:val="22"/>
          <w:szCs w:val="22"/>
        </w:rPr>
        <w:t>Learning by Doing: A Guide to Teaching and Learning Methods</w:t>
      </w:r>
      <w:r w:rsidRPr="00710C0E">
        <w:rPr>
          <w:rFonts w:ascii="Arial" w:hAnsi="Arial" w:cs="Arial"/>
          <w:sz w:val="22"/>
          <w:szCs w:val="22"/>
        </w:rPr>
        <w:t>. Oxford: Further Education Unit, Oxford Polytechnic.</w:t>
      </w:r>
    </w:p>
    <w:p w14:paraId="2BDFCDE3" w14:textId="77777777" w:rsidR="005C6891" w:rsidRPr="00710C0E" w:rsidRDefault="005C6891" w:rsidP="00ED1C54">
      <w:pPr>
        <w:pStyle w:val="ListParagraph"/>
        <w:numPr>
          <w:ilvl w:val="0"/>
          <w:numId w:val="1"/>
        </w:numPr>
        <w:spacing w:after="120" w:line="360" w:lineRule="auto"/>
        <w:jc w:val="both"/>
        <w:rPr>
          <w:rFonts w:ascii="Arial" w:hAnsi="Arial" w:cs="Arial"/>
          <w:sz w:val="22"/>
          <w:szCs w:val="22"/>
        </w:rPr>
      </w:pPr>
      <w:r w:rsidRPr="00710C0E">
        <w:rPr>
          <w:rFonts w:ascii="Arial" w:hAnsi="Arial" w:cs="Arial"/>
          <w:i/>
          <w:sz w:val="22"/>
          <w:szCs w:val="22"/>
        </w:rPr>
        <w:t>Health and Care Act 2022</w:t>
      </w:r>
      <w:r w:rsidRPr="00710C0E">
        <w:rPr>
          <w:rFonts w:ascii="Arial" w:hAnsi="Arial" w:cs="Arial"/>
          <w:sz w:val="22"/>
          <w:szCs w:val="22"/>
        </w:rPr>
        <w:t>, c. 31. Available at: https://www.legislation.gov.uk/ukpga/2022/31/contents (Accessed: 10 October 2026).</w:t>
      </w:r>
    </w:p>
    <w:p w14:paraId="43EA5235" w14:textId="77777777" w:rsidR="005C6891" w:rsidRPr="00710C0E" w:rsidRDefault="005C6891" w:rsidP="00ED1C54">
      <w:pPr>
        <w:pStyle w:val="ListParagraph"/>
        <w:numPr>
          <w:ilvl w:val="0"/>
          <w:numId w:val="1"/>
        </w:numPr>
        <w:spacing w:after="120" w:line="360" w:lineRule="auto"/>
        <w:jc w:val="both"/>
        <w:rPr>
          <w:rFonts w:ascii="Arial" w:hAnsi="Arial" w:cs="Arial"/>
          <w:sz w:val="22"/>
          <w:szCs w:val="22"/>
        </w:rPr>
      </w:pPr>
      <w:r w:rsidRPr="00710C0E">
        <w:rPr>
          <w:rFonts w:ascii="Arial" w:hAnsi="Arial" w:cs="Arial"/>
          <w:sz w:val="22"/>
          <w:szCs w:val="22"/>
        </w:rPr>
        <w:t xml:space="preserve">Mackie, S. and Darvill, A. (2016) ‘Factors enabling implementation of integrated health and social care: a systematic review’, </w:t>
      </w:r>
      <w:r w:rsidRPr="00710C0E">
        <w:rPr>
          <w:rFonts w:ascii="Arial" w:hAnsi="Arial" w:cs="Arial"/>
          <w:i/>
          <w:sz w:val="22"/>
          <w:szCs w:val="22"/>
        </w:rPr>
        <w:t>British Journal of Community Nursing</w:t>
      </w:r>
      <w:r w:rsidRPr="00710C0E">
        <w:rPr>
          <w:rFonts w:ascii="Arial" w:hAnsi="Arial" w:cs="Arial"/>
          <w:sz w:val="22"/>
          <w:szCs w:val="22"/>
        </w:rPr>
        <w:t>, 21(2), pp. 82–87. Available at: https://doi.org/10.12968/bjcn.2016.21.2.82.</w:t>
      </w:r>
    </w:p>
    <w:p w14:paraId="0F60A5CE" w14:textId="77777777" w:rsidR="005C6891" w:rsidRPr="00710C0E" w:rsidRDefault="005C6891" w:rsidP="00ED1C54">
      <w:pPr>
        <w:pStyle w:val="ListParagraph"/>
        <w:numPr>
          <w:ilvl w:val="0"/>
          <w:numId w:val="1"/>
        </w:numPr>
        <w:spacing w:after="120" w:line="360" w:lineRule="auto"/>
        <w:jc w:val="both"/>
        <w:rPr>
          <w:rFonts w:ascii="Arial" w:hAnsi="Arial" w:cs="Arial"/>
          <w:sz w:val="22"/>
          <w:szCs w:val="22"/>
        </w:rPr>
      </w:pPr>
      <w:r w:rsidRPr="00710C0E">
        <w:rPr>
          <w:rFonts w:ascii="Arial" w:hAnsi="Arial" w:cs="Arial"/>
          <w:sz w:val="22"/>
          <w:szCs w:val="22"/>
        </w:rPr>
        <w:t xml:space="preserve">McCormack, B., Roberts, T., Meyer, J., Morgan, D. and </w:t>
      </w:r>
      <w:proofErr w:type="spellStart"/>
      <w:r w:rsidRPr="00710C0E">
        <w:rPr>
          <w:rFonts w:ascii="Arial" w:hAnsi="Arial" w:cs="Arial"/>
          <w:sz w:val="22"/>
          <w:szCs w:val="22"/>
        </w:rPr>
        <w:t>Boscart</w:t>
      </w:r>
      <w:proofErr w:type="spellEnd"/>
      <w:r w:rsidRPr="00710C0E">
        <w:rPr>
          <w:rFonts w:ascii="Arial" w:hAnsi="Arial" w:cs="Arial"/>
          <w:sz w:val="22"/>
          <w:szCs w:val="22"/>
        </w:rPr>
        <w:t xml:space="preserve">, V. (2012) ‘Appreciating the “person” in long-term care’, </w:t>
      </w:r>
      <w:r w:rsidRPr="00710C0E">
        <w:rPr>
          <w:rFonts w:ascii="Arial" w:hAnsi="Arial" w:cs="Arial"/>
          <w:i/>
          <w:sz w:val="22"/>
          <w:szCs w:val="22"/>
        </w:rPr>
        <w:t>International Journal of Older People Nursing</w:t>
      </w:r>
      <w:r w:rsidRPr="00710C0E">
        <w:rPr>
          <w:rFonts w:ascii="Arial" w:hAnsi="Arial" w:cs="Arial"/>
          <w:sz w:val="22"/>
          <w:szCs w:val="22"/>
        </w:rPr>
        <w:t>, 7(4), pp. 284–294. Available at: https://doi.org/10.1111/j.1748-3743.2012.00342.x.</w:t>
      </w:r>
    </w:p>
    <w:p w14:paraId="09C58E8E" w14:textId="77777777" w:rsidR="005C6891" w:rsidRPr="00710C0E" w:rsidRDefault="005C6891" w:rsidP="00ED1C54">
      <w:pPr>
        <w:pStyle w:val="ListParagraph"/>
        <w:numPr>
          <w:ilvl w:val="0"/>
          <w:numId w:val="1"/>
        </w:numPr>
        <w:spacing w:after="120" w:line="360" w:lineRule="auto"/>
        <w:jc w:val="both"/>
        <w:rPr>
          <w:rFonts w:ascii="Arial" w:hAnsi="Arial" w:cs="Arial"/>
          <w:sz w:val="22"/>
          <w:szCs w:val="22"/>
        </w:rPr>
      </w:pPr>
      <w:r w:rsidRPr="00710C0E">
        <w:rPr>
          <w:rFonts w:ascii="Arial" w:hAnsi="Arial" w:cs="Arial"/>
          <w:sz w:val="22"/>
          <w:szCs w:val="22"/>
        </w:rPr>
        <w:t xml:space="preserve">Morley, G., Bradbury-Jones, C. and Ives, J. (2020) ‘What is “moral distress” in nursing? A feminist empirical bioethics study’, </w:t>
      </w:r>
      <w:r w:rsidRPr="00710C0E">
        <w:rPr>
          <w:rFonts w:ascii="Arial" w:hAnsi="Arial" w:cs="Arial"/>
          <w:i/>
          <w:sz w:val="22"/>
          <w:szCs w:val="22"/>
        </w:rPr>
        <w:t>Nursing Ethics</w:t>
      </w:r>
      <w:r w:rsidRPr="00710C0E">
        <w:rPr>
          <w:rFonts w:ascii="Arial" w:hAnsi="Arial" w:cs="Arial"/>
          <w:sz w:val="22"/>
          <w:szCs w:val="22"/>
        </w:rPr>
        <w:t>, 27(5), pp. 1297–1314. Available at: https://doi.org/10.1177/0969733019874492.</w:t>
      </w:r>
    </w:p>
    <w:p w14:paraId="7AFA9255" w14:textId="77777777" w:rsidR="005C6891" w:rsidRPr="00710C0E" w:rsidRDefault="005C6891" w:rsidP="00ED1C54">
      <w:pPr>
        <w:pStyle w:val="ListParagraph"/>
        <w:numPr>
          <w:ilvl w:val="0"/>
          <w:numId w:val="1"/>
        </w:numPr>
        <w:spacing w:after="120" w:line="360" w:lineRule="auto"/>
        <w:jc w:val="both"/>
        <w:rPr>
          <w:rFonts w:ascii="Arial" w:hAnsi="Arial" w:cs="Arial"/>
          <w:sz w:val="22"/>
          <w:szCs w:val="22"/>
        </w:rPr>
      </w:pPr>
      <w:r w:rsidRPr="00710C0E">
        <w:rPr>
          <w:rFonts w:ascii="Arial" w:hAnsi="Arial" w:cs="Arial"/>
          <w:sz w:val="22"/>
          <w:szCs w:val="22"/>
        </w:rPr>
        <w:t xml:space="preserve">National Institute for Health and Care Excellence (NICE) (2021) </w:t>
      </w:r>
      <w:r w:rsidRPr="00710C0E">
        <w:rPr>
          <w:rFonts w:ascii="Arial" w:hAnsi="Arial" w:cs="Arial"/>
          <w:i/>
          <w:sz w:val="22"/>
          <w:szCs w:val="22"/>
        </w:rPr>
        <w:t>Shared decision making (NG197)</w:t>
      </w:r>
      <w:r w:rsidRPr="00710C0E">
        <w:rPr>
          <w:rFonts w:ascii="Arial" w:hAnsi="Arial" w:cs="Arial"/>
          <w:sz w:val="22"/>
          <w:szCs w:val="22"/>
        </w:rPr>
        <w:t>. Available at: https://www.nice.org.uk/guidance/ng197 (Accessed: 10 October 2026).</w:t>
      </w:r>
    </w:p>
    <w:p w14:paraId="79CCC248" w14:textId="77777777" w:rsidR="005C6891" w:rsidRPr="00710C0E" w:rsidRDefault="005C6891" w:rsidP="00ED1C54">
      <w:pPr>
        <w:pStyle w:val="ListParagraph"/>
        <w:numPr>
          <w:ilvl w:val="0"/>
          <w:numId w:val="1"/>
        </w:numPr>
        <w:spacing w:after="120" w:line="360" w:lineRule="auto"/>
        <w:jc w:val="both"/>
        <w:rPr>
          <w:rFonts w:ascii="Arial" w:hAnsi="Arial" w:cs="Arial"/>
          <w:sz w:val="22"/>
          <w:szCs w:val="22"/>
        </w:rPr>
      </w:pPr>
      <w:r w:rsidRPr="00710C0E">
        <w:rPr>
          <w:rFonts w:ascii="Arial" w:hAnsi="Arial" w:cs="Arial"/>
          <w:sz w:val="22"/>
          <w:szCs w:val="22"/>
        </w:rPr>
        <w:t xml:space="preserve">NHS England (n.d.) </w:t>
      </w:r>
      <w:r w:rsidRPr="00710C0E">
        <w:rPr>
          <w:rFonts w:ascii="Arial" w:hAnsi="Arial" w:cs="Arial"/>
          <w:i/>
          <w:sz w:val="22"/>
          <w:szCs w:val="22"/>
        </w:rPr>
        <w:t>Robyn’s story</w:t>
      </w:r>
      <w:r w:rsidRPr="00710C0E">
        <w:rPr>
          <w:rFonts w:ascii="Arial" w:hAnsi="Arial" w:cs="Arial"/>
          <w:sz w:val="22"/>
          <w:szCs w:val="22"/>
        </w:rPr>
        <w:t>. Available at: https://www.england.nhs.uk/personalisedcare/comprehensive-model/case-studies/robyns-story/ (Accessed: 10 October 2026).</w:t>
      </w:r>
    </w:p>
    <w:p w14:paraId="3F464AA7" w14:textId="77777777" w:rsidR="005C6891" w:rsidRPr="00710C0E" w:rsidRDefault="005C6891" w:rsidP="00ED1C54">
      <w:pPr>
        <w:pStyle w:val="ListParagraph"/>
        <w:numPr>
          <w:ilvl w:val="0"/>
          <w:numId w:val="1"/>
        </w:numPr>
        <w:spacing w:after="120" w:line="360" w:lineRule="auto"/>
        <w:jc w:val="both"/>
        <w:rPr>
          <w:rFonts w:ascii="Arial" w:hAnsi="Arial" w:cs="Arial"/>
          <w:sz w:val="22"/>
          <w:szCs w:val="22"/>
        </w:rPr>
      </w:pPr>
      <w:r w:rsidRPr="00710C0E">
        <w:rPr>
          <w:rFonts w:ascii="Arial" w:hAnsi="Arial" w:cs="Arial"/>
          <w:sz w:val="22"/>
          <w:szCs w:val="22"/>
        </w:rPr>
        <w:lastRenderedPageBreak/>
        <w:t xml:space="preserve">Petch, A., Cook, A. and Miller, E. (2013) ‘Partnership working and outcomes: do health and social care partnerships deliver for users and carers?’, </w:t>
      </w:r>
      <w:r w:rsidRPr="00710C0E">
        <w:rPr>
          <w:rFonts w:ascii="Arial" w:hAnsi="Arial" w:cs="Arial"/>
          <w:i/>
          <w:sz w:val="22"/>
          <w:szCs w:val="22"/>
        </w:rPr>
        <w:t>Health &amp; Social Care in the Community</w:t>
      </w:r>
      <w:r w:rsidRPr="00710C0E">
        <w:rPr>
          <w:rFonts w:ascii="Arial" w:hAnsi="Arial" w:cs="Arial"/>
          <w:sz w:val="22"/>
          <w:szCs w:val="22"/>
        </w:rPr>
        <w:t>, 21(6), pp. 623–633. Available at: https://doi.org/10.1111/hsc.12050.</w:t>
      </w:r>
    </w:p>
    <w:p w14:paraId="06AAC44F" w14:textId="77777777" w:rsidR="005C6891" w:rsidRPr="00710C0E" w:rsidRDefault="005C6891" w:rsidP="00ED1C54">
      <w:pPr>
        <w:pStyle w:val="ListParagraph"/>
        <w:numPr>
          <w:ilvl w:val="0"/>
          <w:numId w:val="1"/>
        </w:numPr>
        <w:spacing w:after="120" w:line="360" w:lineRule="auto"/>
        <w:jc w:val="both"/>
        <w:rPr>
          <w:rFonts w:ascii="Arial" w:hAnsi="Arial" w:cs="Arial"/>
          <w:sz w:val="22"/>
          <w:szCs w:val="22"/>
        </w:rPr>
      </w:pPr>
      <w:r w:rsidRPr="00710C0E">
        <w:rPr>
          <w:rFonts w:ascii="Arial" w:hAnsi="Arial" w:cs="Arial"/>
          <w:sz w:val="22"/>
          <w:szCs w:val="22"/>
        </w:rPr>
        <w:t xml:space="preserve">Skills for Care and Skills for Health (2013) </w:t>
      </w:r>
      <w:r w:rsidRPr="00710C0E">
        <w:rPr>
          <w:rFonts w:ascii="Arial" w:hAnsi="Arial" w:cs="Arial"/>
          <w:i/>
          <w:sz w:val="22"/>
          <w:szCs w:val="22"/>
        </w:rPr>
        <w:t>Code of Conduct for Healthcare Support Workers and Adult Social Care Workers in England</w:t>
      </w:r>
      <w:r w:rsidRPr="00710C0E">
        <w:rPr>
          <w:rFonts w:ascii="Arial" w:hAnsi="Arial" w:cs="Arial"/>
          <w:sz w:val="22"/>
          <w:szCs w:val="22"/>
        </w:rPr>
        <w:t>. Available at: https://www.skillsforcare.org.uk/Support-for-leaders-and-managers/Managing-people/Code-of-Conduct.aspx (Accessed: 10 October 2026).</w:t>
      </w:r>
    </w:p>
    <w:p w14:paraId="6039C3CB" w14:textId="77777777" w:rsidR="005C6891" w:rsidRPr="00710C0E" w:rsidRDefault="005C6891" w:rsidP="00ED1C54">
      <w:pPr>
        <w:pStyle w:val="ListParagraph"/>
        <w:numPr>
          <w:ilvl w:val="0"/>
          <w:numId w:val="1"/>
        </w:numPr>
        <w:spacing w:after="120" w:line="360" w:lineRule="auto"/>
        <w:jc w:val="both"/>
        <w:rPr>
          <w:rFonts w:ascii="Arial" w:hAnsi="Arial" w:cs="Arial"/>
          <w:sz w:val="22"/>
          <w:szCs w:val="22"/>
        </w:rPr>
      </w:pPr>
      <w:r w:rsidRPr="00710C0E">
        <w:rPr>
          <w:rFonts w:ascii="Arial" w:hAnsi="Arial" w:cs="Arial"/>
          <w:sz w:val="22"/>
          <w:szCs w:val="22"/>
        </w:rPr>
        <w:t xml:space="preserve">World Health Organization (2013) </w:t>
      </w:r>
      <w:r w:rsidRPr="00710C0E">
        <w:rPr>
          <w:rFonts w:ascii="Arial" w:hAnsi="Arial" w:cs="Arial"/>
          <w:i/>
          <w:sz w:val="22"/>
          <w:szCs w:val="22"/>
        </w:rPr>
        <w:t>Social determinants of health: key concepts</w:t>
      </w:r>
      <w:r w:rsidRPr="00710C0E">
        <w:rPr>
          <w:rFonts w:ascii="Arial" w:hAnsi="Arial" w:cs="Arial"/>
          <w:sz w:val="22"/>
          <w:szCs w:val="22"/>
        </w:rPr>
        <w:t>. Available at: https://www.who.int/news-room/questions-and-answers/item/social-determinants-of-health-key-concepts (Accessed: 10 October 2026).</w:t>
      </w:r>
    </w:p>
    <w:p w14:paraId="56CC1248" w14:textId="77777777" w:rsidR="00723F98" w:rsidRPr="00710C0E" w:rsidRDefault="00723F98" w:rsidP="00ED1C54">
      <w:pPr>
        <w:spacing w:line="360" w:lineRule="auto"/>
        <w:jc w:val="both"/>
        <w:rPr>
          <w:rFonts w:cs="Arial"/>
          <w:sz w:val="22"/>
        </w:rPr>
      </w:pPr>
    </w:p>
    <w:sectPr w:rsidR="00723F98" w:rsidRPr="00710C0E" w:rsidSect="005C6891">
      <w:headerReference w:type="default" r:id="rId14"/>
      <w:footerReference w:type="default" r:id="rId15"/>
      <w:pgSz w:w="12240" w:h="15840"/>
      <w:pgMar w:top="1080" w:right="1296" w:bottom="1080"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CAE13D" w14:textId="77777777" w:rsidR="00500113" w:rsidRDefault="00500113">
      <w:pPr>
        <w:spacing w:after="0" w:line="240" w:lineRule="auto"/>
      </w:pPr>
      <w:r>
        <w:separator/>
      </w:r>
    </w:p>
  </w:endnote>
  <w:endnote w:type="continuationSeparator" w:id="0">
    <w:p w14:paraId="3F31972D" w14:textId="77777777" w:rsidR="00500113" w:rsidRDefault="00500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05AAA6" w14:textId="77777777" w:rsidR="005C6891" w:rsidRDefault="005C6891">
    <w:pPr>
      <w:pStyle w:val="Footer"/>
      <w:jc w:val="center"/>
    </w:pPr>
    <w:r>
      <w:rPr>
        <w:color w:val="646E7D"/>
        <w:sz w:val="18"/>
      </w:rPr>
      <w:fldChar w:fldCharType="begin"/>
    </w:r>
    <w:r>
      <w:rPr>
        <w:color w:val="646E7D"/>
        <w:sz w:val="18"/>
      </w:rPr>
      <w:instrText xml:space="preserve"> PAGE </w:instrText>
    </w:r>
    <w:r>
      <w:rPr>
        <w:color w:val="646E7D"/>
        <w:sz w:val="18"/>
      </w:rPr>
      <w:fldChar w:fldCharType="separate"/>
    </w:r>
    <w:r>
      <w:rPr>
        <w:noProof/>
        <w:color w:val="646E7D"/>
        <w:sz w:val="18"/>
      </w:rPr>
      <w:t>1</w:t>
    </w:r>
    <w:r>
      <w:rPr>
        <w:color w:val="646E7D"/>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BEBC5E" w14:textId="77777777" w:rsidR="00500113" w:rsidRDefault="00500113">
      <w:pPr>
        <w:spacing w:after="0" w:line="240" w:lineRule="auto"/>
      </w:pPr>
      <w:r>
        <w:separator/>
      </w:r>
    </w:p>
  </w:footnote>
  <w:footnote w:type="continuationSeparator" w:id="0">
    <w:p w14:paraId="26421C2F" w14:textId="77777777" w:rsidR="00500113" w:rsidRDefault="005001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5399B0" w14:textId="0546D75D" w:rsidR="005C6891" w:rsidRDefault="005C6891">
    <w:pPr>
      <w:pStyle w:val="Header"/>
      <w:jc w:val="right"/>
    </w:pPr>
  </w:p>
</w:hdr>
</file>

<file path=word/intelligence2.xml><?xml version="1.0" encoding="utf-8"?>
<int2:intelligence xmlns:int2="http://schemas.microsoft.com/office/intelligence/2020/intelligence" xmlns:oel="http://schemas.microsoft.com/office/2019/extlst">
  <int2:observations>
    <int2:bookmark int2:bookmarkName="_Int_fxCYf4Mu" int2:invalidationBookmarkName="" int2:hashCode="6KC7axG7xy4l1R" int2:id="XdWKgeNw">
      <int2:state int2:value="Rejected" int2:type="gram"/>
    </int2:bookmark>
    <int2:bookmark int2:bookmarkName="_Int_poYacLcE" int2:invalidationBookmarkName="" int2:hashCode="NhUlh7f4Nhz7zx" int2:id="WHEQ6Ja3">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E2163E"/>
    <w:multiLevelType w:val="hybridMultilevel"/>
    <w:tmpl w:val="EABCB3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200574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891"/>
    <w:rsid w:val="00016B2A"/>
    <w:rsid w:val="000240E4"/>
    <w:rsid w:val="00100B0C"/>
    <w:rsid w:val="00102B68"/>
    <w:rsid w:val="00112ED0"/>
    <w:rsid w:val="001148D7"/>
    <w:rsid w:val="00167F84"/>
    <w:rsid w:val="001C2AB2"/>
    <w:rsid w:val="001F390D"/>
    <w:rsid w:val="0027772D"/>
    <w:rsid w:val="002A73CA"/>
    <w:rsid w:val="002D3C42"/>
    <w:rsid w:val="002F5DC7"/>
    <w:rsid w:val="003A2B89"/>
    <w:rsid w:val="003A44AD"/>
    <w:rsid w:val="003A44B2"/>
    <w:rsid w:val="003C1EF1"/>
    <w:rsid w:val="003E55C4"/>
    <w:rsid w:val="003E6201"/>
    <w:rsid w:val="00443960"/>
    <w:rsid w:val="00463CB7"/>
    <w:rsid w:val="004C6262"/>
    <w:rsid w:val="004E436E"/>
    <w:rsid w:val="00500113"/>
    <w:rsid w:val="0052332B"/>
    <w:rsid w:val="005B79D7"/>
    <w:rsid w:val="005C6891"/>
    <w:rsid w:val="005D2B47"/>
    <w:rsid w:val="006B3937"/>
    <w:rsid w:val="006C163B"/>
    <w:rsid w:val="006D0668"/>
    <w:rsid w:val="00707CD5"/>
    <w:rsid w:val="00710C0E"/>
    <w:rsid w:val="00711D7A"/>
    <w:rsid w:val="00723F98"/>
    <w:rsid w:val="00733990"/>
    <w:rsid w:val="00750C35"/>
    <w:rsid w:val="00751AE3"/>
    <w:rsid w:val="007819B0"/>
    <w:rsid w:val="00801EBF"/>
    <w:rsid w:val="00815154"/>
    <w:rsid w:val="00827ED3"/>
    <w:rsid w:val="00832008"/>
    <w:rsid w:val="00890366"/>
    <w:rsid w:val="008E6868"/>
    <w:rsid w:val="008F68E8"/>
    <w:rsid w:val="009802B4"/>
    <w:rsid w:val="009863AA"/>
    <w:rsid w:val="009959E8"/>
    <w:rsid w:val="009D7211"/>
    <w:rsid w:val="009E4FC9"/>
    <w:rsid w:val="00AB3881"/>
    <w:rsid w:val="00B93444"/>
    <w:rsid w:val="00BA2DC8"/>
    <w:rsid w:val="00BA41BB"/>
    <w:rsid w:val="00BA5968"/>
    <w:rsid w:val="00BC2E93"/>
    <w:rsid w:val="00C05E2D"/>
    <w:rsid w:val="00C20DFA"/>
    <w:rsid w:val="00C77435"/>
    <w:rsid w:val="00CA1659"/>
    <w:rsid w:val="00CC46AA"/>
    <w:rsid w:val="00CE4BA5"/>
    <w:rsid w:val="00CF1677"/>
    <w:rsid w:val="00CF42F0"/>
    <w:rsid w:val="00D170C2"/>
    <w:rsid w:val="00D439B6"/>
    <w:rsid w:val="00D65284"/>
    <w:rsid w:val="00D742F0"/>
    <w:rsid w:val="00DA2B2C"/>
    <w:rsid w:val="00DA624F"/>
    <w:rsid w:val="00DC459B"/>
    <w:rsid w:val="00DE443A"/>
    <w:rsid w:val="00E809E1"/>
    <w:rsid w:val="00ED1C54"/>
    <w:rsid w:val="00F7707E"/>
    <w:rsid w:val="00F94914"/>
    <w:rsid w:val="00FB65C4"/>
    <w:rsid w:val="00FC24DD"/>
    <w:rsid w:val="00FD789D"/>
    <w:rsid w:val="023B38F9"/>
    <w:rsid w:val="0357BBF8"/>
    <w:rsid w:val="07312F59"/>
    <w:rsid w:val="0B79F85D"/>
    <w:rsid w:val="108D12F3"/>
    <w:rsid w:val="1138419A"/>
    <w:rsid w:val="163B2F23"/>
    <w:rsid w:val="168AF509"/>
    <w:rsid w:val="18DA2E7A"/>
    <w:rsid w:val="18F787BC"/>
    <w:rsid w:val="18FAC197"/>
    <w:rsid w:val="19866D39"/>
    <w:rsid w:val="19AE28FE"/>
    <w:rsid w:val="1A4A045C"/>
    <w:rsid w:val="1AED5D91"/>
    <w:rsid w:val="1BE221A5"/>
    <w:rsid w:val="1BFCCC8F"/>
    <w:rsid w:val="1C764D75"/>
    <w:rsid w:val="1EB4D169"/>
    <w:rsid w:val="23052A52"/>
    <w:rsid w:val="25652667"/>
    <w:rsid w:val="25C38B2A"/>
    <w:rsid w:val="272461EC"/>
    <w:rsid w:val="279610A5"/>
    <w:rsid w:val="279C33D1"/>
    <w:rsid w:val="27CDB67A"/>
    <w:rsid w:val="280340FF"/>
    <w:rsid w:val="283BE1BA"/>
    <w:rsid w:val="28611731"/>
    <w:rsid w:val="2B7062BF"/>
    <w:rsid w:val="2BF8D8B5"/>
    <w:rsid w:val="2BFC2F05"/>
    <w:rsid w:val="2C1D8AB5"/>
    <w:rsid w:val="2D75D78C"/>
    <w:rsid w:val="2D853944"/>
    <w:rsid w:val="31C2807B"/>
    <w:rsid w:val="32CA8CCD"/>
    <w:rsid w:val="32DF6F28"/>
    <w:rsid w:val="338C185F"/>
    <w:rsid w:val="3484CBC5"/>
    <w:rsid w:val="3514189D"/>
    <w:rsid w:val="3599421B"/>
    <w:rsid w:val="35FAF22A"/>
    <w:rsid w:val="37E65E21"/>
    <w:rsid w:val="38267DCE"/>
    <w:rsid w:val="38395CE8"/>
    <w:rsid w:val="38ECEB24"/>
    <w:rsid w:val="3925B81A"/>
    <w:rsid w:val="3AE98BAA"/>
    <w:rsid w:val="3F7E9041"/>
    <w:rsid w:val="401386FC"/>
    <w:rsid w:val="402F735C"/>
    <w:rsid w:val="44B0D596"/>
    <w:rsid w:val="44E89C7F"/>
    <w:rsid w:val="45DA892A"/>
    <w:rsid w:val="4687EFBF"/>
    <w:rsid w:val="4963ADED"/>
    <w:rsid w:val="4BAC0933"/>
    <w:rsid w:val="4C91A2A1"/>
    <w:rsid w:val="4D21EAB9"/>
    <w:rsid w:val="4D829471"/>
    <w:rsid w:val="4E97DF1E"/>
    <w:rsid w:val="4FB39C5A"/>
    <w:rsid w:val="54E39F33"/>
    <w:rsid w:val="54FF2BD7"/>
    <w:rsid w:val="5862420F"/>
    <w:rsid w:val="5AAFB7D2"/>
    <w:rsid w:val="5B47863D"/>
    <w:rsid w:val="5BD0C5D4"/>
    <w:rsid w:val="5C88E1AB"/>
    <w:rsid w:val="5CCF5560"/>
    <w:rsid w:val="5E3C6CC7"/>
    <w:rsid w:val="5E6DA5F6"/>
    <w:rsid w:val="61334670"/>
    <w:rsid w:val="620A7432"/>
    <w:rsid w:val="65A5D7ED"/>
    <w:rsid w:val="67935A4C"/>
    <w:rsid w:val="69C61F41"/>
    <w:rsid w:val="6A8B1547"/>
    <w:rsid w:val="6C131BF0"/>
    <w:rsid w:val="6CC7E1A7"/>
    <w:rsid w:val="6CDDF746"/>
    <w:rsid w:val="70245AB4"/>
    <w:rsid w:val="70D47D55"/>
    <w:rsid w:val="71EFA8A4"/>
    <w:rsid w:val="7330E765"/>
    <w:rsid w:val="7493D6B4"/>
    <w:rsid w:val="74E3C1F4"/>
    <w:rsid w:val="74F5E953"/>
    <w:rsid w:val="754D64CC"/>
    <w:rsid w:val="775E88B2"/>
    <w:rsid w:val="78A6AA91"/>
    <w:rsid w:val="78E6733C"/>
    <w:rsid w:val="79D538FE"/>
    <w:rsid w:val="7BF15E8B"/>
    <w:rsid w:val="7C8CF3BD"/>
    <w:rsid w:val="7E265E0A"/>
    <w:rsid w:val="7F4B86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31BAB"/>
  <w15:chartTrackingRefBased/>
  <w15:docId w15:val="{C73BC00B-2286-4890-AEC8-34DCEB770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6891"/>
    <w:pPr>
      <w:spacing w:after="200" w:line="259" w:lineRule="auto"/>
    </w:pPr>
    <w:rPr>
      <w:rFonts w:ascii="Arial" w:eastAsia="Arial" w:hAnsi="Arial"/>
      <w:color w:val="282D34"/>
      <w:kern w:val="0"/>
      <w:sz w:val="20"/>
      <w:szCs w:val="22"/>
      <w14:ligatures w14:val="none"/>
    </w:rPr>
  </w:style>
  <w:style w:type="paragraph" w:styleId="Heading1">
    <w:name w:val="heading 1"/>
    <w:basedOn w:val="Normal"/>
    <w:next w:val="Normal"/>
    <w:link w:val="Heading1Char"/>
    <w:uiPriority w:val="9"/>
    <w:qFormat/>
    <w:rsid w:val="005C6891"/>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5C6891"/>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5C6891"/>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unhideWhenUsed/>
    <w:qFormat/>
    <w:rsid w:val="005C6891"/>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5C6891"/>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5C6891"/>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5C6891"/>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5C6891"/>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5C6891"/>
    <w:pPr>
      <w:keepNext/>
      <w:keepLines/>
      <w:spacing w:after="0" w:line="278" w:lineRule="auto"/>
      <w:outlineLvl w:val="8"/>
    </w:pPr>
    <w:rPr>
      <w:rFonts w:asciiTheme="minorHAnsi" w:eastAsiaTheme="majorEastAsia" w:hAnsiTheme="minorHAnsi"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8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C68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C68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C68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68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68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68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68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6891"/>
    <w:rPr>
      <w:rFonts w:eastAsiaTheme="majorEastAsia" w:cstheme="majorBidi"/>
      <w:color w:val="272727" w:themeColor="text1" w:themeTint="D8"/>
    </w:rPr>
  </w:style>
  <w:style w:type="paragraph" w:styleId="Title">
    <w:name w:val="Title"/>
    <w:basedOn w:val="Normal"/>
    <w:next w:val="Normal"/>
    <w:link w:val="TitleChar"/>
    <w:uiPriority w:val="10"/>
    <w:qFormat/>
    <w:rsid w:val="005C6891"/>
    <w:pPr>
      <w:spacing w:after="80" w:line="240" w:lineRule="auto"/>
      <w:contextualSpacing/>
    </w:pPr>
    <w:rPr>
      <w:rFonts w:asciiTheme="majorHAnsi" w:eastAsiaTheme="majorEastAsia" w:hAnsiTheme="majorHAnsi" w:cstheme="majorBidi"/>
      <w:color w:val="auto"/>
      <w:spacing w:val="-10"/>
      <w:kern w:val="28"/>
      <w:sz w:val="56"/>
      <w:szCs w:val="56"/>
      <w14:ligatures w14:val="standardContextual"/>
    </w:rPr>
  </w:style>
  <w:style w:type="character" w:customStyle="1" w:styleId="TitleChar">
    <w:name w:val="Title Char"/>
    <w:basedOn w:val="DefaultParagraphFont"/>
    <w:link w:val="Title"/>
    <w:uiPriority w:val="10"/>
    <w:rsid w:val="005C68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6891"/>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5C68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6891"/>
    <w:pPr>
      <w:spacing w:before="160" w:after="160" w:line="278" w:lineRule="auto"/>
      <w:jc w:val="center"/>
    </w:pPr>
    <w:rPr>
      <w:rFonts w:asciiTheme="minorHAnsi" w:eastAsiaTheme="minorHAnsi" w:hAnsiTheme="minorHAnsi"/>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5C6891"/>
    <w:rPr>
      <w:i/>
      <w:iCs/>
      <w:color w:val="404040" w:themeColor="text1" w:themeTint="BF"/>
    </w:rPr>
  </w:style>
  <w:style w:type="paragraph" w:styleId="ListParagraph">
    <w:name w:val="List Paragraph"/>
    <w:basedOn w:val="Normal"/>
    <w:uiPriority w:val="34"/>
    <w:qFormat/>
    <w:rsid w:val="005C6891"/>
    <w:pPr>
      <w:spacing w:after="160" w:line="278" w:lineRule="auto"/>
      <w:ind w:left="720"/>
      <w:contextualSpacing/>
    </w:pPr>
    <w:rPr>
      <w:rFonts w:asciiTheme="minorHAnsi" w:eastAsiaTheme="minorHAnsi" w:hAnsiTheme="minorHAnsi"/>
      <w:color w:val="auto"/>
      <w:kern w:val="2"/>
      <w:sz w:val="24"/>
      <w:szCs w:val="24"/>
      <w14:ligatures w14:val="standardContextual"/>
    </w:rPr>
  </w:style>
  <w:style w:type="character" w:styleId="IntenseEmphasis">
    <w:name w:val="Intense Emphasis"/>
    <w:basedOn w:val="DefaultParagraphFont"/>
    <w:uiPriority w:val="21"/>
    <w:qFormat/>
    <w:rsid w:val="005C6891"/>
    <w:rPr>
      <w:i/>
      <w:iCs/>
      <w:color w:val="0F4761" w:themeColor="accent1" w:themeShade="BF"/>
    </w:rPr>
  </w:style>
  <w:style w:type="paragraph" w:styleId="IntenseQuote">
    <w:name w:val="Intense Quote"/>
    <w:basedOn w:val="Normal"/>
    <w:next w:val="Normal"/>
    <w:link w:val="IntenseQuoteChar"/>
    <w:uiPriority w:val="30"/>
    <w:qFormat/>
    <w:rsid w:val="005C689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5C6891"/>
    <w:rPr>
      <w:i/>
      <w:iCs/>
      <w:color w:val="0F4761" w:themeColor="accent1" w:themeShade="BF"/>
    </w:rPr>
  </w:style>
  <w:style w:type="character" w:styleId="IntenseReference">
    <w:name w:val="Intense Reference"/>
    <w:basedOn w:val="DefaultParagraphFont"/>
    <w:uiPriority w:val="32"/>
    <w:qFormat/>
    <w:rsid w:val="005C6891"/>
    <w:rPr>
      <w:b/>
      <w:bCs/>
      <w:smallCaps/>
      <w:color w:val="0F4761" w:themeColor="accent1" w:themeShade="BF"/>
      <w:spacing w:val="5"/>
    </w:rPr>
  </w:style>
  <w:style w:type="paragraph" w:styleId="Header">
    <w:name w:val="header"/>
    <w:basedOn w:val="Normal"/>
    <w:link w:val="HeaderChar"/>
    <w:uiPriority w:val="99"/>
    <w:unhideWhenUsed/>
    <w:rsid w:val="005C68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6891"/>
    <w:rPr>
      <w:rFonts w:ascii="Arial" w:eastAsia="Arial" w:hAnsi="Arial"/>
      <w:color w:val="282D34"/>
      <w:kern w:val="0"/>
      <w:sz w:val="20"/>
      <w:szCs w:val="22"/>
      <w14:ligatures w14:val="none"/>
    </w:rPr>
  </w:style>
  <w:style w:type="paragraph" w:styleId="Footer">
    <w:name w:val="footer"/>
    <w:basedOn w:val="Normal"/>
    <w:link w:val="FooterChar"/>
    <w:uiPriority w:val="99"/>
    <w:unhideWhenUsed/>
    <w:rsid w:val="005C68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6891"/>
    <w:rPr>
      <w:rFonts w:ascii="Arial" w:eastAsia="Arial" w:hAnsi="Arial"/>
      <w:color w:val="282D34"/>
      <w:kern w:val="0"/>
      <w:sz w:val="20"/>
      <w:szCs w:val="22"/>
      <w14:ligatures w14:val="none"/>
    </w:rPr>
  </w:style>
  <w:style w:type="paragraph" w:styleId="TOCHeading">
    <w:name w:val="TOC Heading"/>
    <w:basedOn w:val="Heading1"/>
    <w:next w:val="Normal"/>
    <w:uiPriority w:val="39"/>
    <w:unhideWhenUsed/>
    <w:qFormat/>
    <w:rsid w:val="003E55C4"/>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E55C4"/>
    <w:pPr>
      <w:spacing w:after="100"/>
    </w:pPr>
  </w:style>
  <w:style w:type="paragraph" w:styleId="TOC2">
    <w:name w:val="toc 2"/>
    <w:basedOn w:val="Normal"/>
    <w:next w:val="Normal"/>
    <w:autoRedefine/>
    <w:uiPriority w:val="39"/>
    <w:unhideWhenUsed/>
    <w:rsid w:val="003E55C4"/>
    <w:pPr>
      <w:spacing w:after="100"/>
      <w:ind w:left="200"/>
    </w:pPr>
  </w:style>
  <w:style w:type="paragraph" w:styleId="TOC3">
    <w:name w:val="toc 3"/>
    <w:basedOn w:val="Normal"/>
    <w:next w:val="Normal"/>
    <w:autoRedefine/>
    <w:uiPriority w:val="39"/>
    <w:unhideWhenUsed/>
    <w:rsid w:val="003E55C4"/>
    <w:pPr>
      <w:spacing w:after="100"/>
      <w:ind w:left="400"/>
    </w:pPr>
  </w:style>
  <w:style w:type="character" w:styleId="Hyperlink">
    <w:name w:val="Hyperlink"/>
    <w:basedOn w:val="DefaultParagraphFont"/>
    <w:uiPriority w:val="99"/>
    <w:unhideWhenUsed/>
    <w:rsid w:val="003E55C4"/>
    <w:rPr>
      <w:color w:val="467886" w:themeColor="hyperlink"/>
      <w:u w:val="single"/>
    </w:rPr>
  </w:style>
  <w:style w:type="paragraph" w:styleId="NormalWeb">
    <w:name w:val="Normal (Web)"/>
    <w:basedOn w:val="Normal"/>
    <w:uiPriority w:val="99"/>
    <w:semiHidden/>
    <w:unhideWhenUsed/>
    <w:rsid w:val="0027772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652CD29-7BA3-43C5-9ADA-E470B60A2481}" type="doc">
      <dgm:prSet loTypeId="urn:microsoft.com/office/officeart/2005/8/layout/radial6" loCatId="relationship" qsTypeId="urn:microsoft.com/office/officeart/2005/8/quickstyle/simple1" qsCatId="simple" csTypeId="urn:microsoft.com/office/officeart/2005/8/colors/accent3_1" csCatId="accent3" phldr="1"/>
      <dgm:spPr/>
      <dgm:t>
        <a:bodyPr/>
        <a:lstStyle/>
        <a:p>
          <a:endParaRPr lang="en-US"/>
        </a:p>
      </dgm:t>
    </dgm:pt>
    <dgm:pt modelId="{BD133C4B-38A1-42AA-BB5C-FBEBE8D6B980}">
      <dgm:prSet phldrT="[Text]"/>
      <dgm:spPr/>
      <dgm:t>
        <a:bodyPr/>
        <a:lstStyle/>
        <a:p>
          <a:r>
            <a:rPr lang="en-US"/>
            <a:t>Gibbs' Reflective Cycle</a:t>
          </a:r>
        </a:p>
      </dgm:t>
    </dgm:pt>
    <dgm:pt modelId="{0821820F-5472-46BC-8404-224086A0CF53}" type="parTrans" cxnId="{B33B61A7-E7D6-48F8-831D-44563EDE7ABC}">
      <dgm:prSet/>
      <dgm:spPr/>
      <dgm:t>
        <a:bodyPr/>
        <a:lstStyle/>
        <a:p>
          <a:endParaRPr lang="en-US"/>
        </a:p>
      </dgm:t>
    </dgm:pt>
    <dgm:pt modelId="{BC871292-9565-4B98-BC4E-68A9D7A50280}" type="sibTrans" cxnId="{B33B61A7-E7D6-48F8-831D-44563EDE7ABC}">
      <dgm:prSet/>
      <dgm:spPr/>
      <dgm:t>
        <a:bodyPr/>
        <a:lstStyle/>
        <a:p>
          <a:endParaRPr lang="en-US"/>
        </a:p>
      </dgm:t>
    </dgm:pt>
    <dgm:pt modelId="{3B5C60AE-A6AC-4BE4-B861-D9FED886886F}">
      <dgm:prSet phldrT="[Text]"/>
      <dgm:spPr/>
      <dgm:t>
        <a:bodyPr/>
        <a:lstStyle/>
        <a:p>
          <a:r>
            <a:rPr lang="en-US"/>
            <a:t>Descrption</a:t>
          </a:r>
        </a:p>
      </dgm:t>
    </dgm:pt>
    <dgm:pt modelId="{0D557BB6-6E09-43B2-968C-00077E5051FA}" type="parTrans" cxnId="{359EEE82-FA09-46D2-B3D9-F925445A5817}">
      <dgm:prSet/>
      <dgm:spPr/>
      <dgm:t>
        <a:bodyPr/>
        <a:lstStyle/>
        <a:p>
          <a:endParaRPr lang="en-US"/>
        </a:p>
      </dgm:t>
    </dgm:pt>
    <dgm:pt modelId="{AFF7C514-93E7-4462-9F5C-6F642AFC0535}" type="sibTrans" cxnId="{359EEE82-FA09-46D2-B3D9-F925445A5817}">
      <dgm:prSet/>
      <dgm:spPr/>
      <dgm:t>
        <a:bodyPr/>
        <a:lstStyle/>
        <a:p>
          <a:endParaRPr lang="en-US"/>
        </a:p>
      </dgm:t>
    </dgm:pt>
    <dgm:pt modelId="{84D423F0-D8BA-4E0A-A88E-D13E1003F515}">
      <dgm:prSet phldrT="[Text]"/>
      <dgm:spPr/>
      <dgm:t>
        <a:bodyPr/>
        <a:lstStyle/>
        <a:p>
          <a:r>
            <a:rPr lang="en-US"/>
            <a:t>Feelings</a:t>
          </a:r>
        </a:p>
      </dgm:t>
    </dgm:pt>
    <dgm:pt modelId="{46143245-6209-4C80-BA2A-B5865431EB13}" type="parTrans" cxnId="{C6BF8F3A-D226-43D7-AB19-A52AE7CCF369}">
      <dgm:prSet/>
      <dgm:spPr/>
      <dgm:t>
        <a:bodyPr/>
        <a:lstStyle/>
        <a:p>
          <a:endParaRPr lang="en-US"/>
        </a:p>
      </dgm:t>
    </dgm:pt>
    <dgm:pt modelId="{2ED84B27-50AD-4CFB-A4D8-570B6F3111E4}" type="sibTrans" cxnId="{C6BF8F3A-D226-43D7-AB19-A52AE7CCF369}">
      <dgm:prSet/>
      <dgm:spPr/>
      <dgm:t>
        <a:bodyPr/>
        <a:lstStyle/>
        <a:p>
          <a:endParaRPr lang="en-US"/>
        </a:p>
      </dgm:t>
    </dgm:pt>
    <dgm:pt modelId="{0EE0FAE0-C670-476A-8DE9-404BA2231CB5}">
      <dgm:prSet phldrT="[Text]"/>
      <dgm:spPr/>
      <dgm:t>
        <a:bodyPr/>
        <a:lstStyle/>
        <a:p>
          <a:r>
            <a:rPr lang="en-US"/>
            <a:t>Evaluation</a:t>
          </a:r>
        </a:p>
      </dgm:t>
    </dgm:pt>
    <dgm:pt modelId="{E7727B83-2F1E-469F-A1E6-6FE47B1337D8}" type="parTrans" cxnId="{627C779F-BD09-41F3-BD2D-841693BD3964}">
      <dgm:prSet/>
      <dgm:spPr/>
      <dgm:t>
        <a:bodyPr/>
        <a:lstStyle/>
        <a:p>
          <a:endParaRPr lang="en-US"/>
        </a:p>
      </dgm:t>
    </dgm:pt>
    <dgm:pt modelId="{0A69864B-AF8C-4EFB-919A-9E5A05462E0B}" type="sibTrans" cxnId="{627C779F-BD09-41F3-BD2D-841693BD3964}">
      <dgm:prSet/>
      <dgm:spPr/>
      <dgm:t>
        <a:bodyPr/>
        <a:lstStyle/>
        <a:p>
          <a:endParaRPr lang="en-US"/>
        </a:p>
      </dgm:t>
    </dgm:pt>
    <dgm:pt modelId="{151145E0-7C89-465B-8D38-C72F2DDC3C96}">
      <dgm:prSet phldrT="[Text]"/>
      <dgm:spPr/>
      <dgm:t>
        <a:bodyPr/>
        <a:lstStyle/>
        <a:p>
          <a:r>
            <a:rPr lang="en-US"/>
            <a:t>Analysis</a:t>
          </a:r>
        </a:p>
      </dgm:t>
    </dgm:pt>
    <dgm:pt modelId="{3CF57301-7D6B-4818-8C8D-8FBDE371542A}" type="parTrans" cxnId="{449ACF5F-C1B0-4734-9C63-5064DAFAD9DC}">
      <dgm:prSet/>
      <dgm:spPr/>
      <dgm:t>
        <a:bodyPr/>
        <a:lstStyle/>
        <a:p>
          <a:endParaRPr lang="en-US"/>
        </a:p>
      </dgm:t>
    </dgm:pt>
    <dgm:pt modelId="{C15DB8D6-510A-4A67-9EEB-2FA8406FACD1}" type="sibTrans" cxnId="{449ACF5F-C1B0-4734-9C63-5064DAFAD9DC}">
      <dgm:prSet/>
      <dgm:spPr/>
      <dgm:t>
        <a:bodyPr/>
        <a:lstStyle/>
        <a:p>
          <a:endParaRPr lang="en-US"/>
        </a:p>
      </dgm:t>
    </dgm:pt>
    <dgm:pt modelId="{9A599B34-98C5-4588-80AF-EA6B88D8EC45}">
      <dgm:prSet phldrT="[Text]"/>
      <dgm:spPr/>
      <dgm:t>
        <a:bodyPr/>
        <a:lstStyle/>
        <a:p>
          <a:r>
            <a:rPr lang="en-US"/>
            <a:t>Conclusion</a:t>
          </a:r>
        </a:p>
      </dgm:t>
    </dgm:pt>
    <dgm:pt modelId="{162B5A11-13E8-47B3-A811-09593B67ACC9}" type="parTrans" cxnId="{8AE6EED3-8E35-40AB-A484-3566AE0EDF35}">
      <dgm:prSet/>
      <dgm:spPr/>
      <dgm:t>
        <a:bodyPr/>
        <a:lstStyle/>
        <a:p>
          <a:endParaRPr lang="en-US"/>
        </a:p>
      </dgm:t>
    </dgm:pt>
    <dgm:pt modelId="{04F7FA08-D77A-472D-9675-9490303E85AC}" type="sibTrans" cxnId="{8AE6EED3-8E35-40AB-A484-3566AE0EDF35}">
      <dgm:prSet/>
      <dgm:spPr/>
      <dgm:t>
        <a:bodyPr/>
        <a:lstStyle/>
        <a:p>
          <a:endParaRPr lang="en-US"/>
        </a:p>
      </dgm:t>
    </dgm:pt>
    <dgm:pt modelId="{D2D77113-BC9A-4E72-9C80-052B9CF88E69}">
      <dgm:prSet phldrT="[Text]"/>
      <dgm:spPr/>
      <dgm:t>
        <a:bodyPr/>
        <a:lstStyle/>
        <a:p>
          <a:r>
            <a:rPr lang="en-US"/>
            <a:t>Action Plan</a:t>
          </a:r>
        </a:p>
      </dgm:t>
    </dgm:pt>
    <dgm:pt modelId="{F47309AF-83ED-49A6-82AE-9390F668FB66}" type="parTrans" cxnId="{2DF58C87-8F3F-4B0B-A6B1-FA6F20F9F7A0}">
      <dgm:prSet/>
      <dgm:spPr/>
      <dgm:t>
        <a:bodyPr/>
        <a:lstStyle/>
        <a:p>
          <a:endParaRPr lang="en-US"/>
        </a:p>
      </dgm:t>
    </dgm:pt>
    <dgm:pt modelId="{5123CA52-D031-4C2F-81B0-E0737FE31C77}" type="sibTrans" cxnId="{2DF58C87-8F3F-4B0B-A6B1-FA6F20F9F7A0}">
      <dgm:prSet/>
      <dgm:spPr/>
      <dgm:t>
        <a:bodyPr/>
        <a:lstStyle/>
        <a:p>
          <a:endParaRPr lang="en-US"/>
        </a:p>
      </dgm:t>
    </dgm:pt>
    <dgm:pt modelId="{FFCE1E70-860A-49D9-AD71-4F4352AC51E9}" type="pres">
      <dgm:prSet presAssocID="{9652CD29-7BA3-43C5-9ADA-E470B60A2481}" presName="Name0" presStyleCnt="0">
        <dgm:presLayoutVars>
          <dgm:chMax val="1"/>
          <dgm:dir/>
          <dgm:animLvl val="ctr"/>
          <dgm:resizeHandles val="exact"/>
        </dgm:presLayoutVars>
      </dgm:prSet>
      <dgm:spPr/>
    </dgm:pt>
    <dgm:pt modelId="{C694801E-7956-4817-AB5D-C39895B8B5C3}" type="pres">
      <dgm:prSet presAssocID="{BD133C4B-38A1-42AA-BB5C-FBEBE8D6B980}" presName="centerShape" presStyleLbl="node0" presStyleIdx="0" presStyleCnt="1"/>
      <dgm:spPr/>
    </dgm:pt>
    <dgm:pt modelId="{3DB96BFC-6050-4948-A06F-46308786C9F9}" type="pres">
      <dgm:prSet presAssocID="{3B5C60AE-A6AC-4BE4-B861-D9FED886886F}" presName="node" presStyleLbl="node1" presStyleIdx="0" presStyleCnt="6">
        <dgm:presLayoutVars>
          <dgm:bulletEnabled val="1"/>
        </dgm:presLayoutVars>
      </dgm:prSet>
      <dgm:spPr/>
    </dgm:pt>
    <dgm:pt modelId="{392C6F06-91E2-4F10-9E56-730B8C9C7C9B}" type="pres">
      <dgm:prSet presAssocID="{3B5C60AE-A6AC-4BE4-B861-D9FED886886F}" presName="dummy" presStyleCnt="0"/>
      <dgm:spPr/>
    </dgm:pt>
    <dgm:pt modelId="{E4FEC6A6-BDBA-478F-8D9F-27C05AEBD130}" type="pres">
      <dgm:prSet presAssocID="{AFF7C514-93E7-4462-9F5C-6F642AFC0535}" presName="sibTrans" presStyleLbl="sibTrans2D1" presStyleIdx="0" presStyleCnt="6"/>
      <dgm:spPr/>
    </dgm:pt>
    <dgm:pt modelId="{41CDA1E4-5DD9-4B61-AEF2-C57684E84361}" type="pres">
      <dgm:prSet presAssocID="{84D423F0-D8BA-4E0A-A88E-D13E1003F515}" presName="node" presStyleLbl="node1" presStyleIdx="1" presStyleCnt="6">
        <dgm:presLayoutVars>
          <dgm:bulletEnabled val="1"/>
        </dgm:presLayoutVars>
      </dgm:prSet>
      <dgm:spPr/>
    </dgm:pt>
    <dgm:pt modelId="{AAE41083-D622-48C4-B8C2-506205CCD576}" type="pres">
      <dgm:prSet presAssocID="{84D423F0-D8BA-4E0A-A88E-D13E1003F515}" presName="dummy" presStyleCnt="0"/>
      <dgm:spPr/>
    </dgm:pt>
    <dgm:pt modelId="{3771C668-6C20-49AB-A9FA-9794F2FF3D33}" type="pres">
      <dgm:prSet presAssocID="{2ED84B27-50AD-4CFB-A4D8-570B6F3111E4}" presName="sibTrans" presStyleLbl="sibTrans2D1" presStyleIdx="1" presStyleCnt="6"/>
      <dgm:spPr/>
    </dgm:pt>
    <dgm:pt modelId="{2979ACF7-0B34-4630-998D-F8E8BFBB0B01}" type="pres">
      <dgm:prSet presAssocID="{0EE0FAE0-C670-476A-8DE9-404BA2231CB5}" presName="node" presStyleLbl="node1" presStyleIdx="2" presStyleCnt="6">
        <dgm:presLayoutVars>
          <dgm:bulletEnabled val="1"/>
        </dgm:presLayoutVars>
      </dgm:prSet>
      <dgm:spPr/>
    </dgm:pt>
    <dgm:pt modelId="{5458BF42-B945-4A37-A7D0-E444AD5555FC}" type="pres">
      <dgm:prSet presAssocID="{0EE0FAE0-C670-476A-8DE9-404BA2231CB5}" presName="dummy" presStyleCnt="0"/>
      <dgm:spPr/>
    </dgm:pt>
    <dgm:pt modelId="{8FC525BF-9C37-4887-AB82-0DAA71BE5F27}" type="pres">
      <dgm:prSet presAssocID="{0A69864B-AF8C-4EFB-919A-9E5A05462E0B}" presName="sibTrans" presStyleLbl="sibTrans2D1" presStyleIdx="2" presStyleCnt="6"/>
      <dgm:spPr/>
    </dgm:pt>
    <dgm:pt modelId="{B83C3D04-C47B-4560-830C-4E205D9D18E8}" type="pres">
      <dgm:prSet presAssocID="{151145E0-7C89-465B-8D38-C72F2DDC3C96}" presName="node" presStyleLbl="node1" presStyleIdx="3" presStyleCnt="6">
        <dgm:presLayoutVars>
          <dgm:bulletEnabled val="1"/>
        </dgm:presLayoutVars>
      </dgm:prSet>
      <dgm:spPr/>
    </dgm:pt>
    <dgm:pt modelId="{286DA7C6-198C-46A5-B3E7-3AE57E201B23}" type="pres">
      <dgm:prSet presAssocID="{151145E0-7C89-465B-8D38-C72F2DDC3C96}" presName="dummy" presStyleCnt="0"/>
      <dgm:spPr/>
    </dgm:pt>
    <dgm:pt modelId="{D520063E-9EA5-4ECC-9ACB-EC92D616613B}" type="pres">
      <dgm:prSet presAssocID="{C15DB8D6-510A-4A67-9EEB-2FA8406FACD1}" presName="sibTrans" presStyleLbl="sibTrans2D1" presStyleIdx="3" presStyleCnt="6"/>
      <dgm:spPr/>
    </dgm:pt>
    <dgm:pt modelId="{D6E41F23-B108-4CB3-86DD-34190A0CEAC4}" type="pres">
      <dgm:prSet presAssocID="{9A599B34-98C5-4588-80AF-EA6B88D8EC45}" presName="node" presStyleLbl="node1" presStyleIdx="4" presStyleCnt="6">
        <dgm:presLayoutVars>
          <dgm:bulletEnabled val="1"/>
        </dgm:presLayoutVars>
      </dgm:prSet>
      <dgm:spPr/>
    </dgm:pt>
    <dgm:pt modelId="{821E3DFD-A8BC-4214-A7EA-FC384D055D29}" type="pres">
      <dgm:prSet presAssocID="{9A599B34-98C5-4588-80AF-EA6B88D8EC45}" presName="dummy" presStyleCnt="0"/>
      <dgm:spPr/>
    </dgm:pt>
    <dgm:pt modelId="{28F764D9-7673-4BB3-A297-94F5EFE9AACB}" type="pres">
      <dgm:prSet presAssocID="{04F7FA08-D77A-472D-9675-9490303E85AC}" presName="sibTrans" presStyleLbl="sibTrans2D1" presStyleIdx="4" presStyleCnt="6"/>
      <dgm:spPr/>
    </dgm:pt>
    <dgm:pt modelId="{D14EDCAC-DFC0-4885-AB1B-6B72E74A01A1}" type="pres">
      <dgm:prSet presAssocID="{D2D77113-BC9A-4E72-9C80-052B9CF88E69}" presName="node" presStyleLbl="node1" presStyleIdx="5" presStyleCnt="6">
        <dgm:presLayoutVars>
          <dgm:bulletEnabled val="1"/>
        </dgm:presLayoutVars>
      </dgm:prSet>
      <dgm:spPr/>
    </dgm:pt>
    <dgm:pt modelId="{DF36CE85-E8FC-4018-A9E2-AF86DB1A516F}" type="pres">
      <dgm:prSet presAssocID="{D2D77113-BC9A-4E72-9C80-052B9CF88E69}" presName="dummy" presStyleCnt="0"/>
      <dgm:spPr/>
    </dgm:pt>
    <dgm:pt modelId="{C8AB47E1-23AD-4195-B5AC-62D2EEA44EF7}" type="pres">
      <dgm:prSet presAssocID="{5123CA52-D031-4C2F-81B0-E0737FE31C77}" presName="sibTrans" presStyleLbl="sibTrans2D1" presStyleIdx="5" presStyleCnt="6"/>
      <dgm:spPr/>
    </dgm:pt>
  </dgm:ptLst>
  <dgm:cxnLst>
    <dgm:cxn modelId="{8E223515-C2EE-43B6-AEE4-D4376DFA8BA6}" type="presOf" srcId="{0A69864B-AF8C-4EFB-919A-9E5A05462E0B}" destId="{8FC525BF-9C37-4887-AB82-0DAA71BE5F27}" srcOrd="0" destOrd="0" presId="urn:microsoft.com/office/officeart/2005/8/layout/radial6"/>
    <dgm:cxn modelId="{3B814D28-A2D0-4F2A-A23D-9F6E8DFDCC31}" type="presOf" srcId="{BD133C4B-38A1-42AA-BB5C-FBEBE8D6B980}" destId="{C694801E-7956-4817-AB5D-C39895B8B5C3}" srcOrd="0" destOrd="0" presId="urn:microsoft.com/office/officeart/2005/8/layout/radial6"/>
    <dgm:cxn modelId="{37827C2F-A355-45F6-94B8-4870739157A3}" type="presOf" srcId="{C15DB8D6-510A-4A67-9EEB-2FA8406FACD1}" destId="{D520063E-9EA5-4ECC-9ACB-EC92D616613B}" srcOrd="0" destOrd="0" presId="urn:microsoft.com/office/officeart/2005/8/layout/radial6"/>
    <dgm:cxn modelId="{C6BF8F3A-D226-43D7-AB19-A52AE7CCF369}" srcId="{BD133C4B-38A1-42AA-BB5C-FBEBE8D6B980}" destId="{84D423F0-D8BA-4E0A-A88E-D13E1003F515}" srcOrd="1" destOrd="0" parTransId="{46143245-6209-4C80-BA2A-B5865431EB13}" sibTransId="{2ED84B27-50AD-4CFB-A4D8-570B6F3111E4}"/>
    <dgm:cxn modelId="{449ACF5F-C1B0-4734-9C63-5064DAFAD9DC}" srcId="{BD133C4B-38A1-42AA-BB5C-FBEBE8D6B980}" destId="{151145E0-7C89-465B-8D38-C72F2DDC3C96}" srcOrd="3" destOrd="0" parTransId="{3CF57301-7D6B-4818-8C8D-8FBDE371542A}" sibTransId="{C15DB8D6-510A-4A67-9EEB-2FA8406FACD1}"/>
    <dgm:cxn modelId="{67741844-A60E-451E-A1AF-FE27A464CA83}" type="presOf" srcId="{D2D77113-BC9A-4E72-9C80-052B9CF88E69}" destId="{D14EDCAC-DFC0-4885-AB1B-6B72E74A01A1}" srcOrd="0" destOrd="0" presId="urn:microsoft.com/office/officeart/2005/8/layout/radial6"/>
    <dgm:cxn modelId="{9C08A273-23FA-4598-BC14-438F98DF2436}" type="presOf" srcId="{84D423F0-D8BA-4E0A-A88E-D13E1003F515}" destId="{41CDA1E4-5DD9-4B61-AEF2-C57684E84361}" srcOrd="0" destOrd="0" presId="urn:microsoft.com/office/officeart/2005/8/layout/radial6"/>
    <dgm:cxn modelId="{88FE0958-4BEB-43A6-A156-B7EC385412E0}" type="presOf" srcId="{9652CD29-7BA3-43C5-9ADA-E470B60A2481}" destId="{FFCE1E70-860A-49D9-AD71-4F4352AC51E9}" srcOrd="0" destOrd="0" presId="urn:microsoft.com/office/officeart/2005/8/layout/radial6"/>
    <dgm:cxn modelId="{359EEE82-FA09-46D2-B3D9-F925445A5817}" srcId="{BD133C4B-38A1-42AA-BB5C-FBEBE8D6B980}" destId="{3B5C60AE-A6AC-4BE4-B861-D9FED886886F}" srcOrd="0" destOrd="0" parTransId="{0D557BB6-6E09-43B2-968C-00077E5051FA}" sibTransId="{AFF7C514-93E7-4462-9F5C-6F642AFC0535}"/>
    <dgm:cxn modelId="{2DF58C87-8F3F-4B0B-A6B1-FA6F20F9F7A0}" srcId="{BD133C4B-38A1-42AA-BB5C-FBEBE8D6B980}" destId="{D2D77113-BC9A-4E72-9C80-052B9CF88E69}" srcOrd="5" destOrd="0" parTransId="{F47309AF-83ED-49A6-82AE-9390F668FB66}" sibTransId="{5123CA52-D031-4C2F-81B0-E0737FE31C77}"/>
    <dgm:cxn modelId="{07A3D39E-6F8D-42AD-9691-214139640D78}" type="presOf" srcId="{3B5C60AE-A6AC-4BE4-B861-D9FED886886F}" destId="{3DB96BFC-6050-4948-A06F-46308786C9F9}" srcOrd="0" destOrd="0" presId="urn:microsoft.com/office/officeart/2005/8/layout/radial6"/>
    <dgm:cxn modelId="{627C779F-BD09-41F3-BD2D-841693BD3964}" srcId="{BD133C4B-38A1-42AA-BB5C-FBEBE8D6B980}" destId="{0EE0FAE0-C670-476A-8DE9-404BA2231CB5}" srcOrd="2" destOrd="0" parTransId="{E7727B83-2F1E-469F-A1E6-6FE47B1337D8}" sibTransId="{0A69864B-AF8C-4EFB-919A-9E5A05462E0B}"/>
    <dgm:cxn modelId="{464C37A0-8FE7-49B6-BF8A-5FC3DB57EEC3}" type="presOf" srcId="{AFF7C514-93E7-4462-9F5C-6F642AFC0535}" destId="{E4FEC6A6-BDBA-478F-8D9F-27C05AEBD130}" srcOrd="0" destOrd="0" presId="urn:microsoft.com/office/officeart/2005/8/layout/radial6"/>
    <dgm:cxn modelId="{78B0E5A0-88C4-4809-887C-BFF5361B3C94}" type="presOf" srcId="{0EE0FAE0-C670-476A-8DE9-404BA2231CB5}" destId="{2979ACF7-0B34-4630-998D-F8E8BFBB0B01}" srcOrd="0" destOrd="0" presId="urn:microsoft.com/office/officeart/2005/8/layout/radial6"/>
    <dgm:cxn modelId="{B33B61A7-E7D6-48F8-831D-44563EDE7ABC}" srcId="{9652CD29-7BA3-43C5-9ADA-E470B60A2481}" destId="{BD133C4B-38A1-42AA-BB5C-FBEBE8D6B980}" srcOrd="0" destOrd="0" parTransId="{0821820F-5472-46BC-8404-224086A0CF53}" sibTransId="{BC871292-9565-4B98-BC4E-68A9D7A50280}"/>
    <dgm:cxn modelId="{AED9C8B1-9F00-4F45-A308-BF0D662B13B4}" type="presOf" srcId="{151145E0-7C89-465B-8D38-C72F2DDC3C96}" destId="{B83C3D04-C47B-4560-830C-4E205D9D18E8}" srcOrd="0" destOrd="0" presId="urn:microsoft.com/office/officeart/2005/8/layout/radial6"/>
    <dgm:cxn modelId="{D9B3B3BD-4BB4-47BA-BEE4-ADCA052A37F2}" type="presOf" srcId="{04F7FA08-D77A-472D-9675-9490303E85AC}" destId="{28F764D9-7673-4BB3-A297-94F5EFE9AACB}" srcOrd="0" destOrd="0" presId="urn:microsoft.com/office/officeart/2005/8/layout/radial6"/>
    <dgm:cxn modelId="{F49553BF-5216-4779-82B8-B31143E512FC}" type="presOf" srcId="{2ED84B27-50AD-4CFB-A4D8-570B6F3111E4}" destId="{3771C668-6C20-49AB-A9FA-9794F2FF3D33}" srcOrd="0" destOrd="0" presId="urn:microsoft.com/office/officeart/2005/8/layout/radial6"/>
    <dgm:cxn modelId="{6C4FFFC2-E004-4A3D-BABA-408E8F5BA1EF}" type="presOf" srcId="{9A599B34-98C5-4588-80AF-EA6B88D8EC45}" destId="{D6E41F23-B108-4CB3-86DD-34190A0CEAC4}" srcOrd="0" destOrd="0" presId="urn:microsoft.com/office/officeart/2005/8/layout/radial6"/>
    <dgm:cxn modelId="{6EB7C4C9-984C-4E5E-93D4-A1B75271FBA5}" type="presOf" srcId="{5123CA52-D031-4C2F-81B0-E0737FE31C77}" destId="{C8AB47E1-23AD-4195-B5AC-62D2EEA44EF7}" srcOrd="0" destOrd="0" presId="urn:microsoft.com/office/officeart/2005/8/layout/radial6"/>
    <dgm:cxn modelId="{8AE6EED3-8E35-40AB-A484-3566AE0EDF35}" srcId="{BD133C4B-38A1-42AA-BB5C-FBEBE8D6B980}" destId="{9A599B34-98C5-4588-80AF-EA6B88D8EC45}" srcOrd="4" destOrd="0" parTransId="{162B5A11-13E8-47B3-A811-09593B67ACC9}" sibTransId="{04F7FA08-D77A-472D-9675-9490303E85AC}"/>
    <dgm:cxn modelId="{429A2182-4AD1-4C52-85D3-E35CF2680211}" type="presParOf" srcId="{FFCE1E70-860A-49D9-AD71-4F4352AC51E9}" destId="{C694801E-7956-4817-AB5D-C39895B8B5C3}" srcOrd="0" destOrd="0" presId="urn:microsoft.com/office/officeart/2005/8/layout/radial6"/>
    <dgm:cxn modelId="{A14229CC-DFC8-4EC7-8F0A-C88951E075BB}" type="presParOf" srcId="{FFCE1E70-860A-49D9-AD71-4F4352AC51E9}" destId="{3DB96BFC-6050-4948-A06F-46308786C9F9}" srcOrd="1" destOrd="0" presId="urn:microsoft.com/office/officeart/2005/8/layout/radial6"/>
    <dgm:cxn modelId="{61E28E20-CCAC-4DC1-8197-B2E6033D1F8E}" type="presParOf" srcId="{FFCE1E70-860A-49D9-AD71-4F4352AC51E9}" destId="{392C6F06-91E2-4F10-9E56-730B8C9C7C9B}" srcOrd="2" destOrd="0" presId="urn:microsoft.com/office/officeart/2005/8/layout/radial6"/>
    <dgm:cxn modelId="{3F113155-2E85-492A-8A07-2BA038E89233}" type="presParOf" srcId="{FFCE1E70-860A-49D9-AD71-4F4352AC51E9}" destId="{E4FEC6A6-BDBA-478F-8D9F-27C05AEBD130}" srcOrd="3" destOrd="0" presId="urn:microsoft.com/office/officeart/2005/8/layout/radial6"/>
    <dgm:cxn modelId="{1EBABDD5-DD7E-4338-A22E-6C87D84FF14B}" type="presParOf" srcId="{FFCE1E70-860A-49D9-AD71-4F4352AC51E9}" destId="{41CDA1E4-5DD9-4B61-AEF2-C57684E84361}" srcOrd="4" destOrd="0" presId="urn:microsoft.com/office/officeart/2005/8/layout/radial6"/>
    <dgm:cxn modelId="{9942F66E-BB4D-43FB-95A7-D495E8CD83CD}" type="presParOf" srcId="{FFCE1E70-860A-49D9-AD71-4F4352AC51E9}" destId="{AAE41083-D622-48C4-B8C2-506205CCD576}" srcOrd="5" destOrd="0" presId="urn:microsoft.com/office/officeart/2005/8/layout/radial6"/>
    <dgm:cxn modelId="{99BE96F2-B428-4D8E-B766-6DD2B323136A}" type="presParOf" srcId="{FFCE1E70-860A-49D9-AD71-4F4352AC51E9}" destId="{3771C668-6C20-49AB-A9FA-9794F2FF3D33}" srcOrd="6" destOrd="0" presId="urn:microsoft.com/office/officeart/2005/8/layout/radial6"/>
    <dgm:cxn modelId="{ACECDE4C-DDFE-44E4-B0EC-B939DAEBC432}" type="presParOf" srcId="{FFCE1E70-860A-49D9-AD71-4F4352AC51E9}" destId="{2979ACF7-0B34-4630-998D-F8E8BFBB0B01}" srcOrd="7" destOrd="0" presId="urn:microsoft.com/office/officeart/2005/8/layout/radial6"/>
    <dgm:cxn modelId="{06BE161F-F2AB-4AE4-A492-3245AA5376EA}" type="presParOf" srcId="{FFCE1E70-860A-49D9-AD71-4F4352AC51E9}" destId="{5458BF42-B945-4A37-A7D0-E444AD5555FC}" srcOrd="8" destOrd="0" presId="urn:microsoft.com/office/officeart/2005/8/layout/radial6"/>
    <dgm:cxn modelId="{0A96979E-DFB2-42F4-A4C3-DDB2C8181A5B}" type="presParOf" srcId="{FFCE1E70-860A-49D9-AD71-4F4352AC51E9}" destId="{8FC525BF-9C37-4887-AB82-0DAA71BE5F27}" srcOrd="9" destOrd="0" presId="urn:microsoft.com/office/officeart/2005/8/layout/radial6"/>
    <dgm:cxn modelId="{E40853C8-832E-4507-8219-71EFB1159D15}" type="presParOf" srcId="{FFCE1E70-860A-49D9-AD71-4F4352AC51E9}" destId="{B83C3D04-C47B-4560-830C-4E205D9D18E8}" srcOrd="10" destOrd="0" presId="urn:microsoft.com/office/officeart/2005/8/layout/radial6"/>
    <dgm:cxn modelId="{15AC878C-7FAD-4C8A-917B-8C2D806E7798}" type="presParOf" srcId="{FFCE1E70-860A-49D9-AD71-4F4352AC51E9}" destId="{286DA7C6-198C-46A5-B3E7-3AE57E201B23}" srcOrd="11" destOrd="0" presId="urn:microsoft.com/office/officeart/2005/8/layout/radial6"/>
    <dgm:cxn modelId="{AA5F80C0-9803-4321-AC3D-DEDA65ADF2FD}" type="presParOf" srcId="{FFCE1E70-860A-49D9-AD71-4F4352AC51E9}" destId="{D520063E-9EA5-4ECC-9ACB-EC92D616613B}" srcOrd="12" destOrd="0" presId="urn:microsoft.com/office/officeart/2005/8/layout/radial6"/>
    <dgm:cxn modelId="{403EAFF8-19E0-4E9B-BA66-A10F2FD52AF5}" type="presParOf" srcId="{FFCE1E70-860A-49D9-AD71-4F4352AC51E9}" destId="{D6E41F23-B108-4CB3-86DD-34190A0CEAC4}" srcOrd="13" destOrd="0" presId="urn:microsoft.com/office/officeart/2005/8/layout/radial6"/>
    <dgm:cxn modelId="{99C5B759-E38E-4DCD-9A49-F58022071007}" type="presParOf" srcId="{FFCE1E70-860A-49D9-AD71-4F4352AC51E9}" destId="{821E3DFD-A8BC-4214-A7EA-FC384D055D29}" srcOrd="14" destOrd="0" presId="urn:microsoft.com/office/officeart/2005/8/layout/radial6"/>
    <dgm:cxn modelId="{7FFDE260-1C6A-4F22-B6CB-0EC4DB9EBE88}" type="presParOf" srcId="{FFCE1E70-860A-49D9-AD71-4F4352AC51E9}" destId="{28F764D9-7673-4BB3-A297-94F5EFE9AACB}" srcOrd="15" destOrd="0" presId="urn:microsoft.com/office/officeart/2005/8/layout/radial6"/>
    <dgm:cxn modelId="{1F2EA91A-F50E-4BDB-B301-673168A533AE}" type="presParOf" srcId="{FFCE1E70-860A-49D9-AD71-4F4352AC51E9}" destId="{D14EDCAC-DFC0-4885-AB1B-6B72E74A01A1}" srcOrd="16" destOrd="0" presId="urn:microsoft.com/office/officeart/2005/8/layout/radial6"/>
    <dgm:cxn modelId="{914C2C5C-8E26-4C12-AEB0-F9F3926DD777}" type="presParOf" srcId="{FFCE1E70-860A-49D9-AD71-4F4352AC51E9}" destId="{DF36CE85-E8FC-4018-A9E2-AF86DB1A516F}" srcOrd="17" destOrd="0" presId="urn:microsoft.com/office/officeart/2005/8/layout/radial6"/>
    <dgm:cxn modelId="{5158CD8C-C424-4523-859F-DC07BBDB44FE}" type="presParOf" srcId="{FFCE1E70-860A-49D9-AD71-4F4352AC51E9}" destId="{C8AB47E1-23AD-4195-B5AC-62D2EEA44EF7}" srcOrd="18" destOrd="0" presId="urn:microsoft.com/office/officeart/2005/8/layout/radial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AB47E1-23AD-4195-B5AC-62D2EEA44EF7}">
      <dsp:nvSpPr>
        <dsp:cNvPr id="0" name=""/>
        <dsp:cNvSpPr/>
      </dsp:nvSpPr>
      <dsp:spPr>
        <a:xfrm>
          <a:off x="1403224" y="369249"/>
          <a:ext cx="2539274" cy="2539274"/>
        </a:xfrm>
        <a:prstGeom prst="blockArc">
          <a:avLst>
            <a:gd name="adj1" fmla="val 12600000"/>
            <a:gd name="adj2" fmla="val 16200000"/>
            <a:gd name="adj3" fmla="val 4507"/>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8F764D9-7673-4BB3-A297-94F5EFE9AACB}">
      <dsp:nvSpPr>
        <dsp:cNvPr id="0" name=""/>
        <dsp:cNvSpPr/>
      </dsp:nvSpPr>
      <dsp:spPr>
        <a:xfrm>
          <a:off x="1403224" y="369249"/>
          <a:ext cx="2539274" cy="2539274"/>
        </a:xfrm>
        <a:prstGeom prst="blockArc">
          <a:avLst>
            <a:gd name="adj1" fmla="val 9000000"/>
            <a:gd name="adj2" fmla="val 12600000"/>
            <a:gd name="adj3" fmla="val 4507"/>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520063E-9EA5-4ECC-9ACB-EC92D616613B}">
      <dsp:nvSpPr>
        <dsp:cNvPr id="0" name=""/>
        <dsp:cNvSpPr/>
      </dsp:nvSpPr>
      <dsp:spPr>
        <a:xfrm>
          <a:off x="1403224" y="369249"/>
          <a:ext cx="2539274" cy="2539274"/>
        </a:xfrm>
        <a:prstGeom prst="blockArc">
          <a:avLst>
            <a:gd name="adj1" fmla="val 5400000"/>
            <a:gd name="adj2" fmla="val 9000000"/>
            <a:gd name="adj3" fmla="val 4507"/>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FC525BF-9C37-4887-AB82-0DAA71BE5F27}">
      <dsp:nvSpPr>
        <dsp:cNvPr id="0" name=""/>
        <dsp:cNvSpPr/>
      </dsp:nvSpPr>
      <dsp:spPr>
        <a:xfrm>
          <a:off x="1403224" y="369249"/>
          <a:ext cx="2539274" cy="2539274"/>
        </a:xfrm>
        <a:prstGeom prst="blockArc">
          <a:avLst>
            <a:gd name="adj1" fmla="val 1800000"/>
            <a:gd name="adj2" fmla="val 5400000"/>
            <a:gd name="adj3" fmla="val 4507"/>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771C668-6C20-49AB-A9FA-9794F2FF3D33}">
      <dsp:nvSpPr>
        <dsp:cNvPr id="0" name=""/>
        <dsp:cNvSpPr/>
      </dsp:nvSpPr>
      <dsp:spPr>
        <a:xfrm>
          <a:off x="1403224" y="369249"/>
          <a:ext cx="2539274" cy="2539274"/>
        </a:xfrm>
        <a:prstGeom prst="blockArc">
          <a:avLst>
            <a:gd name="adj1" fmla="val 19800000"/>
            <a:gd name="adj2" fmla="val 1800000"/>
            <a:gd name="adj3" fmla="val 4507"/>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4FEC6A6-BDBA-478F-8D9F-27C05AEBD130}">
      <dsp:nvSpPr>
        <dsp:cNvPr id="0" name=""/>
        <dsp:cNvSpPr/>
      </dsp:nvSpPr>
      <dsp:spPr>
        <a:xfrm>
          <a:off x="1403224" y="369249"/>
          <a:ext cx="2539274" cy="2539274"/>
        </a:xfrm>
        <a:prstGeom prst="blockArc">
          <a:avLst>
            <a:gd name="adj1" fmla="val 16200000"/>
            <a:gd name="adj2" fmla="val 19800000"/>
            <a:gd name="adj3" fmla="val 4507"/>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694801E-7956-4817-AB5D-C39895B8B5C3}">
      <dsp:nvSpPr>
        <dsp:cNvPr id="0" name=""/>
        <dsp:cNvSpPr/>
      </dsp:nvSpPr>
      <dsp:spPr>
        <a:xfrm>
          <a:off x="2105139" y="1071164"/>
          <a:ext cx="1135444" cy="1135444"/>
        </a:xfrm>
        <a:prstGeom prst="ellipse">
          <a:avLst/>
        </a:prstGeom>
        <a:solidFill>
          <a:schemeClr val="lt1">
            <a:hueOff val="0"/>
            <a:satOff val="0"/>
            <a:lumOff val="0"/>
            <a:alphaOff val="0"/>
          </a:schemeClr>
        </a:solidFill>
        <a:ln w="1905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t>Gibbs' Reflective Cycle</a:t>
          </a:r>
        </a:p>
      </dsp:txBody>
      <dsp:txXfrm>
        <a:off x="2271421" y="1237446"/>
        <a:ext cx="802880" cy="802880"/>
      </dsp:txXfrm>
    </dsp:sp>
    <dsp:sp modelId="{3DB96BFC-6050-4948-A06F-46308786C9F9}">
      <dsp:nvSpPr>
        <dsp:cNvPr id="0" name=""/>
        <dsp:cNvSpPr/>
      </dsp:nvSpPr>
      <dsp:spPr>
        <a:xfrm>
          <a:off x="2275456" y="456"/>
          <a:ext cx="794811" cy="794811"/>
        </a:xfrm>
        <a:prstGeom prst="ellipse">
          <a:avLst/>
        </a:prstGeom>
        <a:solidFill>
          <a:schemeClr val="lt1">
            <a:hueOff val="0"/>
            <a:satOff val="0"/>
            <a:lumOff val="0"/>
            <a:alphaOff val="0"/>
          </a:schemeClr>
        </a:solidFill>
        <a:ln w="1905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Descrption</a:t>
          </a:r>
        </a:p>
      </dsp:txBody>
      <dsp:txXfrm>
        <a:off x="2391853" y="116853"/>
        <a:ext cx="562017" cy="562017"/>
      </dsp:txXfrm>
    </dsp:sp>
    <dsp:sp modelId="{41CDA1E4-5DD9-4B61-AEF2-C57684E84361}">
      <dsp:nvSpPr>
        <dsp:cNvPr id="0" name=""/>
        <dsp:cNvSpPr/>
      </dsp:nvSpPr>
      <dsp:spPr>
        <a:xfrm>
          <a:off x="3350214" y="620968"/>
          <a:ext cx="794811" cy="794811"/>
        </a:xfrm>
        <a:prstGeom prst="ellipse">
          <a:avLst/>
        </a:prstGeom>
        <a:solidFill>
          <a:schemeClr val="lt1">
            <a:hueOff val="0"/>
            <a:satOff val="0"/>
            <a:lumOff val="0"/>
            <a:alphaOff val="0"/>
          </a:schemeClr>
        </a:solidFill>
        <a:ln w="1905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Feelings</a:t>
          </a:r>
        </a:p>
      </dsp:txBody>
      <dsp:txXfrm>
        <a:off x="3466611" y="737365"/>
        <a:ext cx="562017" cy="562017"/>
      </dsp:txXfrm>
    </dsp:sp>
    <dsp:sp modelId="{2979ACF7-0B34-4630-998D-F8E8BFBB0B01}">
      <dsp:nvSpPr>
        <dsp:cNvPr id="0" name=""/>
        <dsp:cNvSpPr/>
      </dsp:nvSpPr>
      <dsp:spPr>
        <a:xfrm>
          <a:off x="3350214" y="1861992"/>
          <a:ext cx="794811" cy="794811"/>
        </a:xfrm>
        <a:prstGeom prst="ellipse">
          <a:avLst/>
        </a:prstGeom>
        <a:solidFill>
          <a:schemeClr val="lt1">
            <a:hueOff val="0"/>
            <a:satOff val="0"/>
            <a:lumOff val="0"/>
            <a:alphaOff val="0"/>
          </a:schemeClr>
        </a:solidFill>
        <a:ln w="1905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Evaluation</a:t>
          </a:r>
        </a:p>
      </dsp:txBody>
      <dsp:txXfrm>
        <a:off x="3466611" y="1978389"/>
        <a:ext cx="562017" cy="562017"/>
      </dsp:txXfrm>
    </dsp:sp>
    <dsp:sp modelId="{B83C3D04-C47B-4560-830C-4E205D9D18E8}">
      <dsp:nvSpPr>
        <dsp:cNvPr id="0" name=""/>
        <dsp:cNvSpPr/>
      </dsp:nvSpPr>
      <dsp:spPr>
        <a:xfrm>
          <a:off x="2275456" y="2482504"/>
          <a:ext cx="794811" cy="794811"/>
        </a:xfrm>
        <a:prstGeom prst="ellipse">
          <a:avLst/>
        </a:prstGeom>
        <a:solidFill>
          <a:schemeClr val="lt1">
            <a:hueOff val="0"/>
            <a:satOff val="0"/>
            <a:lumOff val="0"/>
            <a:alphaOff val="0"/>
          </a:schemeClr>
        </a:solidFill>
        <a:ln w="1905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Analysis</a:t>
          </a:r>
        </a:p>
      </dsp:txBody>
      <dsp:txXfrm>
        <a:off x="2391853" y="2598901"/>
        <a:ext cx="562017" cy="562017"/>
      </dsp:txXfrm>
    </dsp:sp>
    <dsp:sp modelId="{D6E41F23-B108-4CB3-86DD-34190A0CEAC4}">
      <dsp:nvSpPr>
        <dsp:cNvPr id="0" name=""/>
        <dsp:cNvSpPr/>
      </dsp:nvSpPr>
      <dsp:spPr>
        <a:xfrm>
          <a:off x="1200698" y="1861992"/>
          <a:ext cx="794811" cy="794811"/>
        </a:xfrm>
        <a:prstGeom prst="ellipse">
          <a:avLst/>
        </a:prstGeom>
        <a:solidFill>
          <a:schemeClr val="lt1">
            <a:hueOff val="0"/>
            <a:satOff val="0"/>
            <a:lumOff val="0"/>
            <a:alphaOff val="0"/>
          </a:schemeClr>
        </a:solidFill>
        <a:ln w="1905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Conclusion</a:t>
          </a:r>
        </a:p>
      </dsp:txBody>
      <dsp:txXfrm>
        <a:off x="1317095" y="1978389"/>
        <a:ext cx="562017" cy="562017"/>
      </dsp:txXfrm>
    </dsp:sp>
    <dsp:sp modelId="{D14EDCAC-DFC0-4885-AB1B-6B72E74A01A1}">
      <dsp:nvSpPr>
        <dsp:cNvPr id="0" name=""/>
        <dsp:cNvSpPr/>
      </dsp:nvSpPr>
      <dsp:spPr>
        <a:xfrm>
          <a:off x="1200698" y="620968"/>
          <a:ext cx="794811" cy="794811"/>
        </a:xfrm>
        <a:prstGeom prst="ellipse">
          <a:avLst/>
        </a:prstGeom>
        <a:solidFill>
          <a:schemeClr val="lt1">
            <a:hueOff val="0"/>
            <a:satOff val="0"/>
            <a:lumOff val="0"/>
            <a:alphaOff val="0"/>
          </a:schemeClr>
        </a:solidFill>
        <a:ln w="1905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Action Plan</a:t>
          </a:r>
        </a:p>
      </dsp:txBody>
      <dsp:txXfrm>
        <a:off x="1317095" y="737365"/>
        <a:ext cx="562017" cy="562017"/>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451735-0901-4A3D-91B1-E52BF8106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2623</Words>
  <Characters>14952</Characters>
  <Application>Microsoft Office Word</Application>
  <DocSecurity>0</DocSecurity>
  <Lines>124</Lines>
  <Paragraphs>35</Paragraphs>
  <ScaleCrop>false</ScaleCrop>
  <Company/>
  <LinksUpToDate>false</LinksUpToDate>
  <CharactersWithSpaces>17540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NIZAM UD DIN</dc:creator>
  <cp:keywords/>
  <dc:description/>
  <cp:lastModifiedBy>Asima Bibi (2225758)</cp:lastModifiedBy>
  <cp:revision>75</cp:revision>
  <dcterms:created xsi:type="dcterms:W3CDTF">2026-10-11T04:22:00Z</dcterms:created>
  <dcterms:modified xsi:type="dcterms:W3CDTF">2026-10-24T11:45:00Z</dcterms:modified>
</cp:coreProperties>
</file>