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B72AE7A" w14:textId="3F6A8EC4" w:rsidR="009B12A2" w:rsidRDefault="0039003F">
      <w:r>
        <w:rPr>
          <w:noProof/>
        </w:rPr>
        <w:drawing>
          <wp:anchor distT="0" distB="0" distL="114300" distR="114300" simplePos="0" relativeHeight="251659264" behindDoc="0" locked="0" layoutInCell="1" allowOverlap="1" wp14:anchorId="75F3D901" wp14:editId="26D8F978">
            <wp:simplePos x="0" y="0"/>
            <wp:positionH relativeFrom="column">
              <wp:posOffset>0</wp:posOffset>
            </wp:positionH>
            <wp:positionV relativeFrom="paragraph">
              <wp:posOffset>311785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5042EDD" w14:textId="77777777" w:rsidR="0039003F" w:rsidRPr="0039003F" w:rsidRDefault="0039003F" w:rsidP="0039003F"/>
    <w:p w14:paraId="2EFC420F" w14:textId="77777777" w:rsidR="0039003F" w:rsidRPr="0039003F" w:rsidRDefault="0039003F" w:rsidP="0039003F"/>
    <w:p w14:paraId="08ACD6BE" w14:textId="77777777" w:rsidR="0039003F" w:rsidRPr="0039003F" w:rsidRDefault="0039003F" w:rsidP="0039003F"/>
    <w:p w14:paraId="2C657E9C" w14:textId="77777777" w:rsidR="0039003F" w:rsidRPr="0039003F" w:rsidRDefault="0039003F" w:rsidP="0039003F"/>
    <w:p w14:paraId="206DF7DD" w14:textId="77777777" w:rsidR="0039003F" w:rsidRDefault="0039003F" w:rsidP="0039003F"/>
    <w:p w14:paraId="38C2ECC7" w14:textId="29025939" w:rsidR="0039003F" w:rsidRDefault="0039003F" w:rsidP="0039003F">
      <w:pPr>
        <w:tabs>
          <w:tab w:val="left" w:pos="915"/>
        </w:tabs>
      </w:pPr>
      <w:r>
        <w:tab/>
      </w:r>
    </w:p>
    <w:p w14:paraId="723B1953" w14:textId="77777777" w:rsidR="0039003F" w:rsidRDefault="0039003F" w:rsidP="0039003F">
      <w:pPr>
        <w:tabs>
          <w:tab w:val="left" w:pos="915"/>
        </w:tabs>
      </w:pPr>
    </w:p>
    <w:p w14:paraId="3169961A" w14:textId="77777777" w:rsidR="0039003F" w:rsidRDefault="0039003F" w:rsidP="0039003F">
      <w:pPr>
        <w:tabs>
          <w:tab w:val="left" w:pos="915"/>
        </w:tabs>
      </w:pPr>
    </w:p>
    <w:p w14:paraId="2BE6C966" w14:textId="77777777" w:rsidR="00DE2477" w:rsidRDefault="00DE2477" w:rsidP="0039003F">
      <w:pPr>
        <w:tabs>
          <w:tab w:val="left" w:pos="915"/>
        </w:tabs>
      </w:pPr>
    </w:p>
    <w:p w14:paraId="72E12FCD" w14:textId="77777777" w:rsidR="00DE2477" w:rsidRDefault="00DE2477" w:rsidP="0039003F">
      <w:pPr>
        <w:tabs>
          <w:tab w:val="left" w:pos="915"/>
        </w:tabs>
      </w:pPr>
    </w:p>
    <w:p w14:paraId="788C382E" w14:textId="77777777" w:rsidR="00DE2477" w:rsidRDefault="00DE2477" w:rsidP="0039003F">
      <w:pPr>
        <w:tabs>
          <w:tab w:val="left" w:pos="915"/>
        </w:tabs>
      </w:pPr>
    </w:p>
    <w:p w14:paraId="5516F858" w14:textId="77777777" w:rsidR="00DE2477" w:rsidRDefault="00DE2477" w:rsidP="0039003F">
      <w:pPr>
        <w:tabs>
          <w:tab w:val="left" w:pos="915"/>
        </w:tabs>
      </w:pPr>
    </w:p>
    <w:p w14:paraId="1C237EDE" w14:textId="77777777" w:rsidR="00DE2477" w:rsidRDefault="00DE2477" w:rsidP="0039003F">
      <w:pPr>
        <w:tabs>
          <w:tab w:val="left" w:pos="915"/>
        </w:tabs>
      </w:pPr>
    </w:p>
    <w:p w14:paraId="06966668" w14:textId="2079EDDD" w:rsidR="0039003F" w:rsidRPr="0039003F" w:rsidRDefault="0039003F" w:rsidP="0039003F">
      <w:pPr>
        <w:tabs>
          <w:tab w:val="left" w:pos="915"/>
        </w:tabs>
        <w:rPr>
          <w:lang w:val="nl-NL"/>
        </w:rPr>
      </w:pPr>
      <w:r w:rsidRPr="0039003F">
        <w:rPr>
          <w:b/>
          <w:bCs/>
          <w:lang w:val="nl-NL"/>
        </w:rPr>
        <w:t xml:space="preserve">Student </w:t>
      </w:r>
      <w:r w:rsidR="00807560">
        <w:rPr>
          <w:b/>
          <w:bCs/>
          <w:lang w:val="nl-NL"/>
        </w:rPr>
        <w:t>N</w:t>
      </w:r>
      <w:r w:rsidRPr="0039003F">
        <w:rPr>
          <w:b/>
          <w:bCs/>
          <w:lang w:val="nl-NL"/>
        </w:rPr>
        <w:t>ame</w:t>
      </w:r>
      <w:r w:rsidRPr="0039003F">
        <w:rPr>
          <w:lang w:val="nl-NL"/>
        </w:rPr>
        <w:t>:</w:t>
      </w:r>
      <w:r w:rsidR="00807560">
        <w:rPr>
          <w:lang w:val="nl-NL"/>
        </w:rPr>
        <w:t xml:space="preserve"> Jodiel Joploh</w:t>
      </w:r>
    </w:p>
    <w:p w14:paraId="52E34D5E" w14:textId="06DC32B3" w:rsidR="0039003F" w:rsidRPr="0039003F" w:rsidRDefault="0039003F" w:rsidP="0039003F">
      <w:pPr>
        <w:tabs>
          <w:tab w:val="left" w:pos="915"/>
        </w:tabs>
        <w:rPr>
          <w:lang w:val="nl-NL"/>
        </w:rPr>
      </w:pPr>
      <w:r w:rsidRPr="0039003F">
        <w:rPr>
          <w:b/>
          <w:bCs/>
          <w:lang w:val="nl-NL"/>
        </w:rPr>
        <w:t>Student ID</w:t>
      </w:r>
      <w:r w:rsidRPr="0039003F">
        <w:rPr>
          <w:lang w:val="nl-NL"/>
        </w:rPr>
        <w:t>:</w:t>
      </w:r>
      <w:r w:rsidR="00807560">
        <w:rPr>
          <w:lang w:val="nl-NL"/>
        </w:rPr>
        <w:t>2438789</w:t>
      </w:r>
    </w:p>
    <w:p w14:paraId="751BE1B7" w14:textId="77777777" w:rsidR="0039003F" w:rsidRPr="0039003F" w:rsidRDefault="0039003F" w:rsidP="0039003F">
      <w:pPr>
        <w:tabs>
          <w:tab w:val="left" w:pos="915"/>
        </w:tabs>
        <w:rPr>
          <w:lang w:val="nl-NL"/>
        </w:rPr>
      </w:pPr>
    </w:p>
    <w:p w14:paraId="49AF3020" w14:textId="00B6029D" w:rsidR="0039003F" w:rsidRPr="00306018" w:rsidRDefault="0039003F" w:rsidP="0039003F">
      <w:pPr>
        <w:tabs>
          <w:tab w:val="left" w:pos="915"/>
        </w:tabs>
      </w:pPr>
      <w:r w:rsidRPr="0039003F">
        <w:rPr>
          <w:b/>
          <w:bCs/>
          <w:lang w:val="nl-NL"/>
        </w:rPr>
        <w:t>Module name</w:t>
      </w:r>
      <w:r w:rsidRPr="0039003F">
        <w:rPr>
          <w:lang w:val="nl-NL"/>
        </w:rPr>
        <w:t xml:space="preserve">: </w:t>
      </w:r>
      <w:r w:rsidR="00306018" w:rsidRPr="00306018">
        <w:rPr>
          <w:b/>
          <w:bCs/>
        </w:rPr>
        <w:t>Principles of Health and Social Care Practice</w:t>
      </w:r>
    </w:p>
    <w:p w14:paraId="60D62533" w14:textId="618EFC01" w:rsidR="0039003F" w:rsidRPr="0039003F" w:rsidRDefault="0039003F" w:rsidP="0039003F">
      <w:pPr>
        <w:tabs>
          <w:tab w:val="left" w:pos="915"/>
        </w:tabs>
      </w:pPr>
      <w:r w:rsidRPr="0039003F">
        <w:rPr>
          <w:b/>
          <w:bCs/>
        </w:rPr>
        <w:t>Module code</w:t>
      </w:r>
      <w:r w:rsidRPr="0039003F">
        <w:t>:</w:t>
      </w:r>
      <w:r w:rsidR="00306018" w:rsidRPr="00306018">
        <w:rPr>
          <w:rFonts w:ascii="Arial" w:eastAsia="Times New Roman" w:hAnsi="Arial" w:cs="Arial"/>
          <w:b/>
          <w:bCs/>
          <w:color w:val="000000"/>
          <w:kern w:val="0"/>
          <w:sz w:val="17"/>
          <w:szCs w:val="17"/>
          <w:lang w:eastAsia="en-GB"/>
          <w14:ligatures w14:val="none"/>
        </w:rPr>
        <w:t xml:space="preserve"> </w:t>
      </w:r>
      <w:r w:rsidR="00306018" w:rsidRPr="00306018">
        <w:rPr>
          <w:b/>
          <w:bCs/>
        </w:rPr>
        <w:t>BMHP5016</w:t>
      </w:r>
      <w:r w:rsidR="00306018" w:rsidRPr="00306018">
        <w:t> </w:t>
      </w:r>
    </w:p>
    <w:p w14:paraId="125DECBF" w14:textId="44BA0940" w:rsidR="0039003F" w:rsidRDefault="0039003F" w:rsidP="0039003F">
      <w:pPr>
        <w:tabs>
          <w:tab w:val="left" w:pos="915"/>
        </w:tabs>
      </w:pPr>
      <w:r w:rsidRPr="0039003F">
        <w:rPr>
          <w:b/>
          <w:bCs/>
        </w:rPr>
        <w:t>Lecturer name</w:t>
      </w:r>
      <w:r w:rsidRPr="0039003F">
        <w:t>:</w:t>
      </w:r>
      <w:r w:rsidR="00306018">
        <w:t xml:space="preserve"> </w:t>
      </w:r>
      <w:r w:rsidR="00306018" w:rsidRPr="00306018">
        <w:rPr>
          <w:b/>
          <w:bCs/>
        </w:rPr>
        <w:t>Lou Wells</w:t>
      </w:r>
    </w:p>
    <w:p w14:paraId="74CB23A5" w14:textId="77777777" w:rsidR="0039003F" w:rsidRDefault="0039003F" w:rsidP="0039003F">
      <w:pPr>
        <w:tabs>
          <w:tab w:val="left" w:pos="915"/>
        </w:tabs>
      </w:pPr>
    </w:p>
    <w:p w14:paraId="5BD21D83" w14:textId="77777777" w:rsidR="0039003F" w:rsidRDefault="0039003F" w:rsidP="0039003F">
      <w:pPr>
        <w:tabs>
          <w:tab w:val="left" w:pos="915"/>
        </w:tabs>
      </w:pPr>
    </w:p>
    <w:p w14:paraId="263F7716" w14:textId="77777777" w:rsidR="0039003F" w:rsidRDefault="0039003F" w:rsidP="0039003F">
      <w:pPr>
        <w:tabs>
          <w:tab w:val="left" w:pos="915"/>
        </w:tabs>
      </w:pPr>
    </w:p>
    <w:p w14:paraId="7F2F5475" w14:textId="77777777" w:rsidR="0039003F" w:rsidRDefault="0039003F" w:rsidP="0039003F">
      <w:pPr>
        <w:tabs>
          <w:tab w:val="left" w:pos="915"/>
        </w:tabs>
      </w:pPr>
    </w:p>
    <w:p w14:paraId="735AB301" w14:textId="77777777" w:rsidR="0039003F" w:rsidRDefault="0039003F" w:rsidP="0039003F">
      <w:pPr>
        <w:tabs>
          <w:tab w:val="left" w:pos="915"/>
        </w:tabs>
      </w:pPr>
    </w:p>
    <w:p w14:paraId="74057239" w14:textId="77777777" w:rsidR="0039003F" w:rsidRDefault="0039003F" w:rsidP="0039003F">
      <w:pPr>
        <w:tabs>
          <w:tab w:val="left" w:pos="915"/>
        </w:tabs>
      </w:pPr>
    </w:p>
    <w:p w14:paraId="4BB69104" w14:textId="77777777" w:rsidR="0039003F" w:rsidRDefault="0039003F" w:rsidP="0039003F">
      <w:pPr>
        <w:tabs>
          <w:tab w:val="left" w:pos="915"/>
        </w:tabs>
      </w:pPr>
    </w:p>
    <w:p w14:paraId="3DB56D81" w14:textId="77777777" w:rsidR="0039003F" w:rsidRDefault="0039003F" w:rsidP="0039003F">
      <w:pPr>
        <w:tabs>
          <w:tab w:val="left" w:pos="915"/>
        </w:tabs>
      </w:pPr>
    </w:p>
    <w:p w14:paraId="5A1DEADF" w14:textId="00CC1610" w:rsidR="0039003F" w:rsidRPr="002E1A7B" w:rsidRDefault="0039003F" w:rsidP="0039003F">
      <w:pPr>
        <w:tabs>
          <w:tab w:val="left" w:pos="915"/>
        </w:tabs>
        <w:spacing w:line="276" w:lineRule="auto"/>
        <w:rPr>
          <w:b/>
          <w:bCs/>
        </w:rPr>
      </w:pPr>
      <w:r w:rsidRPr="002E1A7B">
        <w:rPr>
          <w:b/>
          <w:bCs/>
        </w:rPr>
        <w:lastRenderedPageBreak/>
        <w:t xml:space="preserve">Introduction </w:t>
      </w:r>
    </w:p>
    <w:p w14:paraId="51B23F43" w14:textId="1914E075" w:rsidR="00A956AF" w:rsidRPr="002B3C16" w:rsidRDefault="00A956AF" w:rsidP="0039003F">
      <w:pPr>
        <w:tabs>
          <w:tab w:val="left" w:pos="915"/>
        </w:tabs>
        <w:spacing w:line="276" w:lineRule="auto"/>
        <w:rPr>
          <w:sz w:val="22"/>
          <w:szCs w:val="22"/>
        </w:rPr>
      </w:pPr>
      <w:r w:rsidRPr="002B3C16">
        <w:rPr>
          <w:sz w:val="22"/>
          <w:szCs w:val="22"/>
        </w:rPr>
        <w:t>This essay will critically analyse the Social Model of Disability’s origins and evolution, assess the model’s primary criticisms and rebuttals, look at how the model is used in health and social care policy and practice, and offer suggestions for improving person-centred care in the UK.</w:t>
      </w:r>
    </w:p>
    <w:p w14:paraId="633869E4" w14:textId="59513A9B" w:rsidR="0039003F" w:rsidRPr="002B3C16" w:rsidRDefault="0039003F" w:rsidP="0039003F">
      <w:pPr>
        <w:tabs>
          <w:tab w:val="left" w:pos="915"/>
        </w:tabs>
        <w:spacing w:line="276" w:lineRule="auto"/>
        <w:rPr>
          <w:sz w:val="22"/>
          <w:szCs w:val="22"/>
        </w:rPr>
      </w:pPr>
      <w:r w:rsidRPr="002B3C16">
        <w:rPr>
          <w:sz w:val="22"/>
          <w:szCs w:val="22"/>
        </w:rPr>
        <w:t>Person-centred put people at the centre of choices about their care and ensures that their preferences, values and rights are honoured. Person-centred care is acknowledged as a core principle of modern health and social care (NHS England,2023). The Social Model of Disability, which contends that physical, organisational and attitudinal impediments within society rather than an individual’s impairment alone are the main causes of disability</w:t>
      </w:r>
      <w:r w:rsidR="00A450DA" w:rsidRPr="002B3C16">
        <w:rPr>
          <w:sz w:val="22"/>
          <w:szCs w:val="22"/>
        </w:rPr>
        <w:t xml:space="preserve"> (Oliver 1990)</w:t>
      </w:r>
      <w:r w:rsidRPr="002B3C16">
        <w:rPr>
          <w:sz w:val="22"/>
          <w:szCs w:val="22"/>
        </w:rPr>
        <w:t xml:space="preserve">, is a concept that firmly supports this approach (World Health Organisation (WHO), 2022). This idea is crucial because it promotes equality, independence, and inclusion by shifting the emphasis from “fixing’ the individual to removing obstacles that keep disabled people from fully engaging in society. </w:t>
      </w:r>
    </w:p>
    <w:p w14:paraId="341F8A8D" w14:textId="445EDEC4" w:rsidR="00A450DA" w:rsidRPr="002B3C16" w:rsidRDefault="00A450DA" w:rsidP="0039003F">
      <w:pPr>
        <w:tabs>
          <w:tab w:val="left" w:pos="915"/>
        </w:tabs>
        <w:spacing w:line="276" w:lineRule="auto"/>
        <w:rPr>
          <w:sz w:val="22"/>
          <w:szCs w:val="22"/>
        </w:rPr>
      </w:pPr>
      <w:r w:rsidRPr="002B3C16">
        <w:rPr>
          <w:sz w:val="22"/>
          <w:szCs w:val="22"/>
        </w:rPr>
        <w:t xml:space="preserve">By encouraging professionals to use a rights-based and person-centred approach to care, the Social Model of Disability has had a considerable impact on health and social care. For instance, the Equality Act 2010 mandates that organisations make reasonable accommodation to lessen discrimination, and UK laws like the Care Act 2014 requires pratciti0ners to promote wellbeing, independence, and individual choice (Department of Health and Social Care,2024; UK Government,2024). As a result, rather than concentrating just on people’s disabilities, the model helps health and social care workers identify people’s skills, abilities, and resources. This leads to more inclusive services, increased autonomy, and better health outcomes (NHS England,2023). </w:t>
      </w:r>
    </w:p>
    <w:p w14:paraId="562DEDF4" w14:textId="67229BCB" w:rsidR="0039003F" w:rsidRPr="002E1A7B" w:rsidRDefault="00A450DA" w:rsidP="0039003F">
      <w:pPr>
        <w:tabs>
          <w:tab w:val="left" w:pos="915"/>
        </w:tabs>
        <w:spacing w:line="276" w:lineRule="auto"/>
        <w:rPr>
          <w:sz w:val="22"/>
          <w:szCs w:val="22"/>
        </w:rPr>
      </w:pPr>
      <w:r w:rsidRPr="002B3C16">
        <w:rPr>
          <w:sz w:val="22"/>
          <w:szCs w:val="22"/>
        </w:rPr>
        <w:t>The Societal Model of Disability has been challenged for emphasising societal barriers more than the lived experiences of impairment, chronic pain, and complex health conditions, despite its broad acceptance (WHO,2022). According to a recent study, effective person-centred care should recognise the interplay between impairment, health requirements and environmental factors, even though reducing societal obstacles is crucial (Shakespeare, Watson, and Brubber,2022). Therefore, to comprehend the model’s advantages and disadvantages in the context of modern health and social care practice,</w:t>
      </w:r>
      <w:r w:rsidR="00A956AF" w:rsidRPr="002B3C16">
        <w:rPr>
          <w:sz w:val="22"/>
          <w:szCs w:val="22"/>
        </w:rPr>
        <w:t xml:space="preserve"> </w:t>
      </w:r>
      <w:r w:rsidRPr="002B3C16">
        <w:rPr>
          <w:sz w:val="22"/>
          <w:szCs w:val="22"/>
        </w:rPr>
        <w:t xml:space="preserve">a critical analysis of the model is required.  </w:t>
      </w:r>
    </w:p>
    <w:p w14:paraId="1479DEB9" w14:textId="083C0940" w:rsidR="0039003F" w:rsidRPr="002E1A7B" w:rsidRDefault="00A956AF" w:rsidP="0039003F">
      <w:pPr>
        <w:tabs>
          <w:tab w:val="left" w:pos="915"/>
        </w:tabs>
        <w:spacing w:line="276" w:lineRule="auto"/>
        <w:rPr>
          <w:b/>
          <w:bCs/>
        </w:rPr>
      </w:pPr>
      <w:r w:rsidRPr="002E1A7B">
        <w:rPr>
          <w:b/>
          <w:bCs/>
        </w:rPr>
        <w:t xml:space="preserve">The development of the Social Model of Disability </w:t>
      </w:r>
    </w:p>
    <w:p w14:paraId="7BB7D939" w14:textId="1E3E7335" w:rsidR="00A956AF" w:rsidRPr="002B3C16" w:rsidRDefault="00A956AF" w:rsidP="0039003F">
      <w:pPr>
        <w:tabs>
          <w:tab w:val="left" w:pos="915"/>
        </w:tabs>
        <w:spacing w:line="276" w:lineRule="auto"/>
        <w:rPr>
          <w:sz w:val="22"/>
          <w:szCs w:val="22"/>
        </w:rPr>
      </w:pPr>
      <w:r w:rsidRPr="002B3C16">
        <w:rPr>
          <w:sz w:val="22"/>
          <w:szCs w:val="22"/>
        </w:rPr>
        <w:t>The limitation of the conventional medical paradigm, which saw di</w:t>
      </w:r>
      <w:r w:rsidR="00D24159" w:rsidRPr="002B3C16">
        <w:rPr>
          <w:sz w:val="22"/>
          <w:szCs w:val="22"/>
        </w:rPr>
        <w:t>sabi</w:t>
      </w:r>
      <w:r w:rsidRPr="002B3C16">
        <w:rPr>
          <w:sz w:val="22"/>
          <w:szCs w:val="22"/>
        </w:rPr>
        <w:t>lity as an indi</w:t>
      </w:r>
      <w:r w:rsidR="00D24159" w:rsidRPr="002B3C16">
        <w:rPr>
          <w:sz w:val="22"/>
          <w:szCs w:val="22"/>
        </w:rPr>
        <w:t>vi</w:t>
      </w:r>
      <w:r w:rsidRPr="002B3C16">
        <w:rPr>
          <w:sz w:val="22"/>
          <w:szCs w:val="22"/>
        </w:rPr>
        <w:t xml:space="preserve">dual’s impairment requiring treatment, rehabilitation, or cure, gave rise to the </w:t>
      </w:r>
      <w:r w:rsidR="00D24159" w:rsidRPr="002B3C16">
        <w:rPr>
          <w:sz w:val="22"/>
          <w:szCs w:val="22"/>
        </w:rPr>
        <w:t>social</w:t>
      </w:r>
      <w:r w:rsidRPr="002B3C16">
        <w:rPr>
          <w:sz w:val="22"/>
          <w:szCs w:val="22"/>
        </w:rPr>
        <w:t xml:space="preserve"> paradigm of Disability. Disabled peo</w:t>
      </w:r>
      <w:r w:rsidR="00D24159" w:rsidRPr="002B3C16">
        <w:rPr>
          <w:sz w:val="22"/>
          <w:szCs w:val="22"/>
        </w:rPr>
        <w:t>p</w:t>
      </w:r>
      <w:r w:rsidRPr="002B3C16">
        <w:rPr>
          <w:sz w:val="22"/>
          <w:szCs w:val="22"/>
        </w:rPr>
        <w:t>le criticised this st</w:t>
      </w:r>
      <w:r w:rsidR="00D24159" w:rsidRPr="002B3C16">
        <w:rPr>
          <w:sz w:val="22"/>
          <w:szCs w:val="22"/>
        </w:rPr>
        <w:t>rateg</w:t>
      </w:r>
      <w:r w:rsidRPr="002B3C16">
        <w:rPr>
          <w:sz w:val="22"/>
          <w:szCs w:val="22"/>
        </w:rPr>
        <w:t xml:space="preserve">y </w:t>
      </w:r>
      <w:proofErr w:type="gramStart"/>
      <w:r w:rsidRPr="002B3C16">
        <w:rPr>
          <w:sz w:val="22"/>
          <w:szCs w:val="22"/>
        </w:rPr>
        <w:t>more and more</w:t>
      </w:r>
      <w:proofErr w:type="gramEnd"/>
      <w:r w:rsidRPr="002B3C16">
        <w:rPr>
          <w:sz w:val="22"/>
          <w:szCs w:val="22"/>
        </w:rPr>
        <w:t>, cla</w:t>
      </w:r>
      <w:r w:rsidR="00D24159" w:rsidRPr="002B3C16">
        <w:rPr>
          <w:sz w:val="22"/>
          <w:szCs w:val="22"/>
        </w:rPr>
        <w:t>i</w:t>
      </w:r>
      <w:r w:rsidRPr="002B3C16">
        <w:rPr>
          <w:sz w:val="22"/>
          <w:szCs w:val="22"/>
        </w:rPr>
        <w:t>ming that many of the challenges they faced were caused by inaccessible surroundings, discriminat</w:t>
      </w:r>
      <w:r w:rsidR="00D24159" w:rsidRPr="002B3C16">
        <w:rPr>
          <w:sz w:val="22"/>
          <w:szCs w:val="22"/>
        </w:rPr>
        <w:t>ory</w:t>
      </w:r>
      <w:r w:rsidRPr="002B3C16">
        <w:rPr>
          <w:sz w:val="22"/>
          <w:szCs w:val="22"/>
        </w:rPr>
        <w:t xml:space="preserve"> attitudes, and unequal ch</w:t>
      </w:r>
      <w:r w:rsidR="00D24159" w:rsidRPr="002B3C16">
        <w:rPr>
          <w:sz w:val="22"/>
          <w:szCs w:val="22"/>
        </w:rPr>
        <w:t>an</w:t>
      </w:r>
      <w:r w:rsidRPr="002B3C16">
        <w:rPr>
          <w:sz w:val="22"/>
          <w:szCs w:val="22"/>
        </w:rPr>
        <w:t xml:space="preserve">ces in society </w:t>
      </w:r>
      <w:r w:rsidR="00D24159" w:rsidRPr="002B3C16">
        <w:rPr>
          <w:sz w:val="22"/>
          <w:szCs w:val="22"/>
        </w:rPr>
        <w:t>r</w:t>
      </w:r>
      <w:r w:rsidRPr="002B3C16">
        <w:rPr>
          <w:sz w:val="22"/>
          <w:szCs w:val="22"/>
        </w:rPr>
        <w:t xml:space="preserve">ather than their impairment </w:t>
      </w:r>
      <w:r w:rsidR="00D24159" w:rsidRPr="002B3C16">
        <w:rPr>
          <w:sz w:val="22"/>
          <w:szCs w:val="22"/>
        </w:rPr>
        <w:t>(Oliver,1990). Therefore, rather than expecting disabled individuals to adapt to their surroundings, the paradigm signified a substantial shift in thinking by placing duty on society to remove barriers and promote inclusion. This change is still significant since it supports person-centred care by acknowledging people’s autonomy, rights and strengths rather than concentrating only on their medical illnesses (World Health Organisation (WHO),2022).</w:t>
      </w:r>
    </w:p>
    <w:p w14:paraId="2A6E0568" w14:textId="338FA3AC" w:rsidR="00D24159" w:rsidRPr="002B3C16" w:rsidRDefault="00D24159" w:rsidP="0039003F">
      <w:pPr>
        <w:tabs>
          <w:tab w:val="left" w:pos="915"/>
        </w:tabs>
        <w:spacing w:line="276" w:lineRule="auto"/>
        <w:rPr>
          <w:sz w:val="22"/>
          <w:szCs w:val="22"/>
        </w:rPr>
      </w:pPr>
      <w:r w:rsidRPr="002B3C16">
        <w:rPr>
          <w:sz w:val="22"/>
          <w:szCs w:val="22"/>
        </w:rPr>
        <w:lastRenderedPageBreak/>
        <w:t>The Union of the Physically Impaired Against Segregation (UPIAS) created the Social Model during the 1970s disability rights campaign in the UK. According to UPIAS, rather than being caused by impairment per se, disability should be viewed as a type of social oppression brought about by inaccessible building</w:t>
      </w:r>
      <w:r w:rsidR="00FF3F5C" w:rsidRPr="002B3C16">
        <w:rPr>
          <w:sz w:val="22"/>
          <w:szCs w:val="22"/>
        </w:rPr>
        <w:t>s</w:t>
      </w:r>
      <w:r w:rsidRPr="002B3C16">
        <w:rPr>
          <w:sz w:val="22"/>
          <w:szCs w:val="22"/>
        </w:rPr>
        <w:t>, transportation, education, jobs and unfavourable public perception (Oliver,1990). Building on th</w:t>
      </w:r>
      <w:r w:rsidR="00FF3F5C" w:rsidRPr="002B3C16">
        <w:rPr>
          <w:sz w:val="22"/>
          <w:szCs w:val="22"/>
        </w:rPr>
        <w:t xml:space="preserve">is </w:t>
      </w:r>
      <w:r w:rsidRPr="002B3C16">
        <w:rPr>
          <w:sz w:val="22"/>
          <w:szCs w:val="22"/>
        </w:rPr>
        <w:t>concept, Michael Oliver formally coined the phrase ‘Social Model of Dis</w:t>
      </w:r>
      <w:r w:rsidR="00FF3F5C" w:rsidRPr="002B3C16">
        <w:rPr>
          <w:sz w:val="22"/>
          <w:szCs w:val="22"/>
        </w:rPr>
        <w:t>ab</w:t>
      </w:r>
      <w:r w:rsidRPr="002B3C16">
        <w:rPr>
          <w:sz w:val="22"/>
          <w:szCs w:val="22"/>
        </w:rPr>
        <w:t xml:space="preserve">ility’ in the 1980s, making a </w:t>
      </w:r>
      <w:r w:rsidR="004F492E">
        <w:rPr>
          <w:sz w:val="22"/>
          <w:szCs w:val="22"/>
        </w:rPr>
        <w:t xml:space="preserve">foundational </w:t>
      </w:r>
      <w:r w:rsidRPr="002B3C16">
        <w:rPr>
          <w:sz w:val="22"/>
          <w:szCs w:val="22"/>
        </w:rPr>
        <w:t>distinction between ‘</w:t>
      </w:r>
      <w:r w:rsidR="00FF3F5C" w:rsidRPr="002B3C16">
        <w:rPr>
          <w:sz w:val="22"/>
          <w:szCs w:val="22"/>
        </w:rPr>
        <w:t>disability’</w:t>
      </w:r>
      <w:r w:rsidRPr="002B3C16">
        <w:rPr>
          <w:sz w:val="22"/>
          <w:szCs w:val="22"/>
        </w:rPr>
        <w:t>, which refer</w:t>
      </w:r>
      <w:r w:rsidR="00FF3F5C" w:rsidRPr="002B3C16">
        <w:rPr>
          <w:sz w:val="22"/>
          <w:szCs w:val="22"/>
        </w:rPr>
        <w:t>s</w:t>
      </w:r>
      <w:r w:rsidRPr="002B3C16">
        <w:rPr>
          <w:sz w:val="22"/>
          <w:szCs w:val="22"/>
        </w:rPr>
        <w:t xml:space="preserve"> t</w:t>
      </w:r>
      <w:r w:rsidR="00FF3F5C" w:rsidRPr="002B3C16">
        <w:rPr>
          <w:sz w:val="22"/>
          <w:szCs w:val="22"/>
        </w:rPr>
        <w:t>o</w:t>
      </w:r>
      <w:r w:rsidRPr="002B3C16">
        <w:rPr>
          <w:sz w:val="22"/>
          <w:szCs w:val="22"/>
        </w:rPr>
        <w:t xml:space="preserve"> social impediment, and impairment, which refers to peop</w:t>
      </w:r>
      <w:r w:rsidR="00FF3F5C" w:rsidRPr="002B3C16">
        <w:rPr>
          <w:sz w:val="22"/>
          <w:szCs w:val="22"/>
        </w:rPr>
        <w:t>le</w:t>
      </w:r>
      <w:r w:rsidRPr="002B3C16">
        <w:rPr>
          <w:sz w:val="22"/>
          <w:szCs w:val="22"/>
        </w:rPr>
        <w:t>’s physical, sensory, or intellectual state (Oliver,1990). By pus</w:t>
      </w:r>
      <w:r w:rsidR="00FF3F5C" w:rsidRPr="002B3C16">
        <w:rPr>
          <w:sz w:val="22"/>
          <w:szCs w:val="22"/>
        </w:rPr>
        <w:t>h</w:t>
      </w:r>
      <w:r w:rsidRPr="002B3C16">
        <w:rPr>
          <w:sz w:val="22"/>
          <w:szCs w:val="22"/>
        </w:rPr>
        <w:t xml:space="preserve">ing </w:t>
      </w:r>
      <w:r w:rsidR="00FF3F5C" w:rsidRPr="002B3C16">
        <w:rPr>
          <w:sz w:val="22"/>
          <w:szCs w:val="22"/>
        </w:rPr>
        <w:t>government</w:t>
      </w:r>
      <w:r w:rsidRPr="002B3C16">
        <w:rPr>
          <w:sz w:val="22"/>
          <w:szCs w:val="22"/>
        </w:rPr>
        <w:t xml:space="preserve"> a</w:t>
      </w:r>
      <w:r w:rsidR="00FF3F5C" w:rsidRPr="002B3C16">
        <w:rPr>
          <w:sz w:val="22"/>
          <w:szCs w:val="22"/>
        </w:rPr>
        <w:t>n</w:t>
      </w:r>
      <w:r w:rsidRPr="002B3C16">
        <w:rPr>
          <w:sz w:val="22"/>
          <w:szCs w:val="22"/>
        </w:rPr>
        <w:t xml:space="preserve">d health care </w:t>
      </w:r>
      <w:r w:rsidR="00FF3F5C" w:rsidRPr="002B3C16">
        <w:rPr>
          <w:sz w:val="22"/>
          <w:szCs w:val="22"/>
        </w:rPr>
        <w:t>g</w:t>
      </w:r>
      <w:r w:rsidRPr="002B3C16">
        <w:rPr>
          <w:sz w:val="22"/>
          <w:szCs w:val="22"/>
        </w:rPr>
        <w:t>roups to remove barr</w:t>
      </w:r>
      <w:r w:rsidR="00FF3F5C" w:rsidRPr="002B3C16">
        <w:rPr>
          <w:sz w:val="22"/>
          <w:szCs w:val="22"/>
        </w:rPr>
        <w:t>ier</w:t>
      </w:r>
      <w:r w:rsidRPr="002B3C16">
        <w:rPr>
          <w:sz w:val="22"/>
          <w:szCs w:val="22"/>
        </w:rPr>
        <w:t>s rather than focusing solely on medical interventions, this distinction signi</w:t>
      </w:r>
      <w:r w:rsidR="00FF3F5C" w:rsidRPr="002B3C16">
        <w:rPr>
          <w:sz w:val="22"/>
          <w:szCs w:val="22"/>
        </w:rPr>
        <w:t>fi</w:t>
      </w:r>
      <w:r w:rsidRPr="002B3C16">
        <w:rPr>
          <w:sz w:val="22"/>
          <w:szCs w:val="22"/>
        </w:rPr>
        <w:t>cantly altered disability policy</w:t>
      </w:r>
      <w:r w:rsidR="00F86D6D">
        <w:rPr>
          <w:sz w:val="22"/>
          <w:szCs w:val="22"/>
        </w:rPr>
        <w:t xml:space="preserve"> and laid</w:t>
      </w:r>
      <w:r w:rsidRPr="002B3C16">
        <w:rPr>
          <w:sz w:val="22"/>
          <w:szCs w:val="22"/>
        </w:rPr>
        <w:t>.</w:t>
      </w:r>
      <w:r w:rsidR="00F86D6D">
        <w:rPr>
          <w:sz w:val="22"/>
          <w:szCs w:val="22"/>
        </w:rPr>
        <w:t xml:space="preserve"> The bedrock for modern advocacy.</w:t>
      </w:r>
    </w:p>
    <w:p w14:paraId="3EE66B17" w14:textId="0E38C1E2" w:rsidR="00FF3F5C" w:rsidRDefault="00FF3F5C" w:rsidP="0039003F">
      <w:pPr>
        <w:tabs>
          <w:tab w:val="left" w:pos="915"/>
        </w:tabs>
        <w:spacing w:line="276" w:lineRule="auto"/>
        <w:rPr>
          <w:sz w:val="22"/>
          <w:szCs w:val="22"/>
        </w:rPr>
      </w:pPr>
      <w:r w:rsidRPr="002B3C16">
        <w:rPr>
          <w:sz w:val="22"/>
          <w:szCs w:val="22"/>
        </w:rPr>
        <w:t xml:space="preserve">As the Social Model gained traction, it had a big impact on professional practice, health policy, and disability laws both domestically and abroad. The Equality Act 2010, which mandates that organisations provide reasonable accommodations for individuals with disabilities, and the Care Act 2014, which encourages wellbeing, independence, and individualised care by increasing people’s participation in decisions that impact their lives, are two examples of laws that have been influenced by the model (Department of Health and Social Care,2024). In addition, the World Health Organisation (2022) recognises that achieving health equity for individuals with disabilities requires lowering social and environmental barriers. Because it encourages health and social care workers to prioritise empowerment, inclusion and involvement above dependency, the Social Model has become a cornerstone of person-centred care. </w:t>
      </w:r>
    </w:p>
    <w:p w14:paraId="0A93547E" w14:textId="267E056D" w:rsidR="009203E2" w:rsidRPr="00A773F3" w:rsidRDefault="009203E2" w:rsidP="0039003F">
      <w:pPr>
        <w:tabs>
          <w:tab w:val="left" w:pos="915"/>
        </w:tabs>
        <w:spacing w:line="276" w:lineRule="auto"/>
        <w:rPr>
          <w:b/>
          <w:bCs/>
        </w:rPr>
      </w:pPr>
      <w:r w:rsidRPr="00A773F3">
        <w:rPr>
          <w:b/>
          <w:bCs/>
        </w:rPr>
        <w:t xml:space="preserve">Critiques and Response </w:t>
      </w:r>
    </w:p>
    <w:p w14:paraId="76FBDA47" w14:textId="46092924" w:rsidR="00FF3F5C" w:rsidRPr="002B3C16" w:rsidRDefault="00FF3F5C" w:rsidP="0039003F">
      <w:pPr>
        <w:tabs>
          <w:tab w:val="left" w:pos="915"/>
        </w:tabs>
        <w:spacing w:line="276" w:lineRule="auto"/>
        <w:rPr>
          <w:sz w:val="22"/>
          <w:szCs w:val="22"/>
        </w:rPr>
      </w:pPr>
      <w:r w:rsidRPr="002B3C16">
        <w:rPr>
          <w:sz w:val="22"/>
          <w:szCs w:val="22"/>
        </w:rPr>
        <w:t>Despite these succ</w:t>
      </w:r>
      <w:r w:rsidR="00C632B3" w:rsidRPr="002B3C16">
        <w:rPr>
          <w:sz w:val="22"/>
          <w:szCs w:val="22"/>
        </w:rPr>
        <w:t>esse</w:t>
      </w:r>
      <w:r w:rsidRPr="002B3C16">
        <w:rPr>
          <w:sz w:val="22"/>
          <w:szCs w:val="22"/>
        </w:rPr>
        <w:t>s, the So</w:t>
      </w:r>
      <w:r w:rsidR="00C632B3" w:rsidRPr="002B3C16">
        <w:rPr>
          <w:sz w:val="22"/>
          <w:szCs w:val="22"/>
        </w:rPr>
        <w:t>c</w:t>
      </w:r>
      <w:r w:rsidRPr="002B3C16">
        <w:rPr>
          <w:sz w:val="22"/>
          <w:szCs w:val="22"/>
        </w:rPr>
        <w:t xml:space="preserve">ial Model has come under fire for not giving </w:t>
      </w:r>
      <w:r w:rsidR="00C632B3" w:rsidRPr="002B3C16">
        <w:rPr>
          <w:sz w:val="22"/>
          <w:szCs w:val="22"/>
        </w:rPr>
        <w:t>e</w:t>
      </w:r>
      <w:r w:rsidRPr="002B3C16">
        <w:rPr>
          <w:sz w:val="22"/>
          <w:szCs w:val="22"/>
        </w:rPr>
        <w:t>nough atte</w:t>
      </w:r>
      <w:r w:rsidR="00C632B3" w:rsidRPr="002B3C16">
        <w:rPr>
          <w:sz w:val="22"/>
          <w:szCs w:val="22"/>
        </w:rPr>
        <w:t>n</w:t>
      </w:r>
      <w:r w:rsidRPr="002B3C16">
        <w:rPr>
          <w:sz w:val="22"/>
          <w:szCs w:val="22"/>
        </w:rPr>
        <w:t>tion to how im</w:t>
      </w:r>
      <w:r w:rsidR="00C632B3" w:rsidRPr="002B3C16">
        <w:rPr>
          <w:sz w:val="22"/>
          <w:szCs w:val="22"/>
        </w:rPr>
        <w:t>pa</w:t>
      </w:r>
      <w:r w:rsidRPr="002B3C16">
        <w:rPr>
          <w:sz w:val="22"/>
          <w:szCs w:val="22"/>
        </w:rPr>
        <w:t>irment, ch</w:t>
      </w:r>
      <w:r w:rsidR="00C632B3" w:rsidRPr="002B3C16">
        <w:rPr>
          <w:sz w:val="22"/>
          <w:szCs w:val="22"/>
        </w:rPr>
        <w:t>ronic</w:t>
      </w:r>
      <w:r w:rsidRPr="002B3C16">
        <w:rPr>
          <w:sz w:val="22"/>
          <w:szCs w:val="22"/>
        </w:rPr>
        <w:t xml:space="preserve"> sickness, and </w:t>
      </w:r>
      <w:r w:rsidR="00B062A3">
        <w:rPr>
          <w:sz w:val="22"/>
          <w:szCs w:val="22"/>
        </w:rPr>
        <w:t>bi</w:t>
      </w:r>
      <w:r w:rsidR="00446734">
        <w:rPr>
          <w:sz w:val="22"/>
          <w:szCs w:val="22"/>
        </w:rPr>
        <w:t xml:space="preserve">ological </w:t>
      </w:r>
      <w:r w:rsidRPr="002B3C16">
        <w:rPr>
          <w:sz w:val="22"/>
          <w:szCs w:val="22"/>
        </w:rPr>
        <w:t>suffering affect people’s day-to</w:t>
      </w:r>
      <w:r w:rsidR="00C632B3" w:rsidRPr="002B3C16">
        <w:rPr>
          <w:sz w:val="22"/>
          <w:szCs w:val="22"/>
        </w:rPr>
        <w:t>-d</w:t>
      </w:r>
      <w:r w:rsidRPr="002B3C16">
        <w:rPr>
          <w:sz w:val="22"/>
          <w:szCs w:val="22"/>
        </w:rPr>
        <w:t>ay lives. Critics conten</w:t>
      </w:r>
      <w:r w:rsidR="00C632B3" w:rsidRPr="002B3C16">
        <w:rPr>
          <w:sz w:val="22"/>
          <w:szCs w:val="22"/>
        </w:rPr>
        <w:t>d</w:t>
      </w:r>
      <w:r w:rsidRPr="002B3C16">
        <w:rPr>
          <w:sz w:val="22"/>
          <w:szCs w:val="22"/>
        </w:rPr>
        <w:t xml:space="preserve"> that while eliminating social barriers is crucial, </w:t>
      </w:r>
      <w:r w:rsidR="00C632B3" w:rsidRPr="002B3C16">
        <w:rPr>
          <w:sz w:val="22"/>
          <w:szCs w:val="22"/>
        </w:rPr>
        <w:t>ma</w:t>
      </w:r>
      <w:r w:rsidRPr="002B3C16">
        <w:rPr>
          <w:sz w:val="22"/>
          <w:szCs w:val="22"/>
        </w:rPr>
        <w:t xml:space="preserve">ny </w:t>
      </w:r>
      <w:r w:rsidR="00C632B3" w:rsidRPr="002B3C16">
        <w:rPr>
          <w:sz w:val="22"/>
          <w:szCs w:val="22"/>
        </w:rPr>
        <w:t>dis</w:t>
      </w:r>
      <w:r w:rsidRPr="002B3C16">
        <w:rPr>
          <w:sz w:val="22"/>
          <w:szCs w:val="22"/>
        </w:rPr>
        <w:t xml:space="preserve">abled </w:t>
      </w:r>
      <w:r w:rsidR="00C632B3" w:rsidRPr="002B3C16">
        <w:rPr>
          <w:sz w:val="22"/>
          <w:szCs w:val="22"/>
        </w:rPr>
        <w:t>people</w:t>
      </w:r>
      <w:r w:rsidRPr="002B3C16">
        <w:rPr>
          <w:sz w:val="22"/>
          <w:szCs w:val="22"/>
        </w:rPr>
        <w:t xml:space="preserve"> still need me</w:t>
      </w:r>
      <w:r w:rsidR="00C632B3" w:rsidRPr="002B3C16">
        <w:rPr>
          <w:sz w:val="22"/>
          <w:szCs w:val="22"/>
        </w:rPr>
        <w:t>d</w:t>
      </w:r>
      <w:r w:rsidRPr="002B3C16">
        <w:rPr>
          <w:sz w:val="22"/>
          <w:szCs w:val="22"/>
        </w:rPr>
        <w:t>ical care, rehabil</w:t>
      </w:r>
      <w:r w:rsidR="00C632B3" w:rsidRPr="002B3C16">
        <w:rPr>
          <w:sz w:val="22"/>
          <w:szCs w:val="22"/>
        </w:rPr>
        <w:t>ita</w:t>
      </w:r>
      <w:r w:rsidRPr="002B3C16">
        <w:rPr>
          <w:sz w:val="22"/>
          <w:szCs w:val="22"/>
        </w:rPr>
        <w:t>tion, and conti</w:t>
      </w:r>
      <w:r w:rsidR="00C632B3" w:rsidRPr="002B3C16">
        <w:rPr>
          <w:sz w:val="22"/>
          <w:szCs w:val="22"/>
        </w:rPr>
        <w:t>nuo</w:t>
      </w:r>
      <w:r w:rsidRPr="002B3C16">
        <w:rPr>
          <w:sz w:val="22"/>
          <w:szCs w:val="22"/>
        </w:rPr>
        <w:t>us health assistance, which cannot be full</w:t>
      </w:r>
      <w:r w:rsidR="00C632B3" w:rsidRPr="002B3C16">
        <w:rPr>
          <w:sz w:val="22"/>
          <w:szCs w:val="22"/>
        </w:rPr>
        <w:t>y</w:t>
      </w:r>
      <w:r w:rsidRPr="002B3C16">
        <w:rPr>
          <w:sz w:val="22"/>
          <w:szCs w:val="22"/>
        </w:rPr>
        <w:t xml:space="preserve"> attributed to social disa</w:t>
      </w:r>
      <w:r w:rsidR="00C632B3" w:rsidRPr="002B3C16">
        <w:rPr>
          <w:sz w:val="22"/>
          <w:szCs w:val="22"/>
        </w:rPr>
        <w:t>dvanta</w:t>
      </w:r>
      <w:r w:rsidRPr="002B3C16">
        <w:rPr>
          <w:sz w:val="22"/>
          <w:szCs w:val="22"/>
        </w:rPr>
        <w:t>ges (Shake</w:t>
      </w:r>
      <w:r w:rsidR="007B6B0E">
        <w:rPr>
          <w:sz w:val="22"/>
          <w:szCs w:val="22"/>
        </w:rPr>
        <w:t>speare</w:t>
      </w:r>
      <w:r w:rsidRPr="002B3C16">
        <w:rPr>
          <w:sz w:val="22"/>
          <w:szCs w:val="22"/>
        </w:rPr>
        <w:t>,20</w:t>
      </w:r>
      <w:r w:rsidR="007B6B0E">
        <w:rPr>
          <w:sz w:val="22"/>
          <w:szCs w:val="22"/>
        </w:rPr>
        <w:t>06</w:t>
      </w:r>
      <w:r w:rsidRPr="002B3C16">
        <w:rPr>
          <w:sz w:val="22"/>
          <w:szCs w:val="22"/>
        </w:rPr>
        <w:t xml:space="preserve">). In a similar vein, some </w:t>
      </w:r>
      <w:r w:rsidR="00C632B3" w:rsidRPr="002B3C16">
        <w:rPr>
          <w:sz w:val="22"/>
          <w:szCs w:val="22"/>
        </w:rPr>
        <w:t>researcher</w:t>
      </w:r>
      <w:r w:rsidR="00807560">
        <w:rPr>
          <w:sz w:val="22"/>
          <w:szCs w:val="22"/>
        </w:rPr>
        <w:t>s</w:t>
      </w:r>
      <w:r w:rsidR="00C632B3" w:rsidRPr="002B3C16">
        <w:rPr>
          <w:sz w:val="22"/>
          <w:szCs w:val="22"/>
        </w:rPr>
        <w:t xml:space="preserve"> conten</w:t>
      </w:r>
      <w:r w:rsidR="00807560">
        <w:rPr>
          <w:sz w:val="22"/>
          <w:szCs w:val="22"/>
        </w:rPr>
        <w:t>d</w:t>
      </w:r>
      <w:r w:rsidR="00C632B3" w:rsidRPr="002B3C16">
        <w:rPr>
          <w:sz w:val="22"/>
          <w:szCs w:val="22"/>
        </w:rPr>
        <w:t xml:space="preserve"> that the model fails to sufficiently account for the experiences of individuals with complex or variable conditions, such as learning disabilities, dementia, and severe mental health disorders, where quality of life is also influenced by biological and psychological factors (WHO,2022). According to these critiques, depending solely on the Social Model could oversimplify the variety of experiences that people with disabilities have. </w:t>
      </w:r>
    </w:p>
    <w:p w14:paraId="67BFE25D" w14:textId="76A2EF5D" w:rsidR="0032133A" w:rsidRDefault="007C011C" w:rsidP="0039003F">
      <w:pPr>
        <w:tabs>
          <w:tab w:val="left" w:pos="915"/>
        </w:tabs>
        <w:spacing w:line="276" w:lineRule="auto"/>
        <w:rPr>
          <w:sz w:val="22"/>
          <w:szCs w:val="22"/>
        </w:rPr>
      </w:pPr>
      <w:r w:rsidRPr="002B3C16">
        <w:rPr>
          <w:sz w:val="22"/>
          <w:szCs w:val="22"/>
        </w:rPr>
        <w:t>In re</w:t>
      </w:r>
      <w:r w:rsidR="00807560">
        <w:rPr>
          <w:sz w:val="22"/>
          <w:szCs w:val="22"/>
        </w:rPr>
        <w:t>sponse</w:t>
      </w:r>
      <w:r w:rsidR="001F4288" w:rsidRPr="002B3C16">
        <w:rPr>
          <w:sz w:val="22"/>
          <w:szCs w:val="22"/>
        </w:rPr>
        <w:t xml:space="preserve"> to these concerns, modern academics have argued for a more </w:t>
      </w:r>
      <w:r w:rsidR="00E2019D" w:rsidRPr="002B3C16">
        <w:rPr>
          <w:sz w:val="22"/>
          <w:szCs w:val="22"/>
        </w:rPr>
        <w:t>comprehensiv</w:t>
      </w:r>
      <w:r w:rsidR="001F4288" w:rsidRPr="002B3C16">
        <w:rPr>
          <w:sz w:val="22"/>
          <w:szCs w:val="22"/>
        </w:rPr>
        <w:t>e understan</w:t>
      </w:r>
      <w:r w:rsidR="00E2019D" w:rsidRPr="002B3C16">
        <w:rPr>
          <w:sz w:val="22"/>
          <w:szCs w:val="22"/>
        </w:rPr>
        <w:t>d</w:t>
      </w:r>
      <w:r w:rsidR="001F4288" w:rsidRPr="002B3C16">
        <w:rPr>
          <w:sz w:val="22"/>
          <w:szCs w:val="22"/>
        </w:rPr>
        <w:t xml:space="preserve">ing </w:t>
      </w:r>
      <w:r w:rsidR="00FA7830" w:rsidRPr="002B3C16">
        <w:rPr>
          <w:sz w:val="22"/>
          <w:szCs w:val="22"/>
        </w:rPr>
        <w:t>of di</w:t>
      </w:r>
      <w:r w:rsidR="00E2019D" w:rsidRPr="002B3C16">
        <w:rPr>
          <w:sz w:val="22"/>
          <w:szCs w:val="22"/>
        </w:rPr>
        <w:t>s</w:t>
      </w:r>
      <w:r w:rsidR="00FA7830" w:rsidRPr="002B3C16">
        <w:rPr>
          <w:sz w:val="22"/>
          <w:szCs w:val="22"/>
        </w:rPr>
        <w:t xml:space="preserve">ability that acknowledges people’s health </w:t>
      </w:r>
      <w:r w:rsidR="00807560">
        <w:rPr>
          <w:sz w:val="22"/>
          <w:szCs w:val="22"/>
        </w:rPr>
        <w:t>need</w:t>
      </w:r>
      <w:r w:rsidR="00FA7830" w:rsidRPr="002B3C16">
        <w:rPr>
          <w:sz w:val="22"/>
          <w:szCs w:val="22"/>
        </w:rPr>
        <w:t xml:space="preserve">s while </w:t>
      </w:r>
      <w:r w:rsidR="00E2019D" w:rsidRPr="002B3C16">
        <w:rPr>
          <w:sz w:val="22"/>
          <w:szCs w:val="22"/>
        </w:rPr>
        <w:t>i</w:t>
      </w:r>
      <w:r w:rsidR="00FA7830" w:rsidRPr="002B3C16">
        <w:rPr>
          <w:sz w:val="22"/>
          <w:szCs w:val="22"/>
        </w:rPr>
        <w:t>nc</w:t>
      </w:r>
      <w:r w:rsidR="00807560">
        <w:rPr>
          <w:sz w:val="22"/>
          <w:szCs w:val="22"/>
        </w:rPr>
        <w:t>orporat</w:t>
      </w:r>
      <w:r w:rsidR="00FA7830" w:rsidRPr="002B3C16">
        <w:rPr>
          <w:sz w:val="22"/>
          <w:szCs w:val="22"/>
        </w:rPr>
        <w:t>ing the advantages of the Social Model. By recognising that imp</w:t>
      </w:r>
      <w:r w:rsidR="00E2019D" w:rsidRPr="002B3C16">
        <w:rPr>
          <w:sz w:val="22"/>
          <w:szCs w:val="22"/>
        </w:rPr>
        <w:t>air</w:t>
      </w:r>
      <w:r w:rsidR="00FA7830" w:rsidRPr="002B3C16">
        <w:rPr>
          <w:sz w:val="22"/>
          <w:szCs w:val="22"/>
        </w:rPr>
        <w:t>ment, environment</w:t>
      </w:r>
      <w:r w:rsidR="00E2019D" w:rsidRPr="002B3C16">
        <w:rPr>
          <w:sz w:val="22"/>
          <w:szCs w:val="22"/>
        </w:rPr>
        <w:t>al</w:t>
      </w:r>
      <w:r w:rsidR="00FA7830" w:rsidRPr="002B3C16">
        <w:rPr>
          <w:sz w:val="22"/>
          <w:szCs w:val="22"/>
        </w:rPr>
        <w:t xml:space="preserve"> </w:t>
      </w:r>
      <w:r w:rsidR="00F932A1" w:rsidRPr="002B3C16">
        <w:rPr>
          <w:sz w:val="22"/>
          <w:szCs w:val="22"/>
        </w:rPr>
        <w:t>obstacles, and social injustices inter</w:t>
      </w:r>
      <w:r w:rsidR="00E2019D" w:rsidRPr="002B3C16">
        <w:rPr>
          <w:sz w:val="22"/>
          <w:szCs w:val="22"/>
        </w:rPr>
        <w:t>ac</w:t>
      </w:r>
      <w:r w:rsidR="00F932A1" w:rsidRPr="002B3C16">
        <w:rPr>
          <w:sz w:val="22"/>
          <w:szCs w:val="22"/>
        </w:rPr>
        <w:t xml:space="preserve">t to cause disability, this </w:t>
      </w:r>
      <w:r w:rsidR="00CA2077">
        <w:rPr>
          <w:sz w:val="22"/>
          <w:szCs w:val="22"/>
        </w:rPr>
        <w:t xml:space="preserve">biopsychosocial </w:t>
      </w:r>
      <w:r w:rsidR="00F932A1" w:rsidRPr="002B3C16">
        <w:rPr>
          <w:sz w:val="22"/>
          <w:szCs w:val="22"/>
        </w:rPr>
        <w:t xml:space="preserve">approach enhances rather than replaces the Social Model </w:t>
      </w:r>
      <w:r w:rsidR="00E2019D" w:rsidRPr="002B3C16">
        <w:rPr>
          <w:sz w:val="22"/>
          <w:szCs w:val="22"/>
        </w:rPr>
        <w:t>(Biggeri</w:t>
      </w:r>
      <w:r w:rsidR="00F647D9" w:rsidRPr="002B3C16">
        <w:rPr>
          <w:sz w:val="22"/>
          <w:szCs w:val="22"/>
        </w:rPr>
        <w:t>, Mitra, and van der Veen,2025). In a similar vein, the World Health Organi</w:t>
      </w:r>
      <w:r w:rsidR="00E2019D" w:rsidRPr="002B3C16">
        <w:rPr>
          <w:sz w:val="22"/>
          <w:szCs w:val="22"/>
        </w:rPr>
        <w:t>s</w:t>
      </w:r>
      <w:r w:rsidR="00F647D9" w:rsidRPr="002B3C16">
        <w:rPr>
          <w:sz w:val="22"/>
          <w:szCs w:val="22"/>
        </w:rPr>
        <w:t xml:space="preserve">ation’s </w:t>
      </w:r>
      <w:r w:rsidR="00E2019D" w:rsidRPr="002B3C16">
        <w:rPr>
          <w:sz w:val="22"/>
          <w:szCs w:val="22"/>
        </w:rPr>
        <w:t>Intern</w:t>
      </w:r>
      <w:r w:rsidR="00F647D9" w:rsidRPr="002B3C16">
        <w:rPr>
          <w:sz w:val="22"/>
          <w:szCs w:val="22"/>
        </w:rPr>
        <w:t>ational Classif</w:t>
      </w:r>
      <w:r w:rsidR="00E2019D" w:rsidRPr="002B3C16">
        <w:rPr>
          <w:sz w:val="22"/>
          <w:szCs w:val="22"/>
        </w:rPr>
        <w:t>i</w:t>
      </w:r>
      <w:r w:rsidR="00F647D9" w:rsidRPr="002B3C16">
        <w:rPr>
          <w:sz w:val="22"/>
          <w:szCs w:val="22"/>
        </w:rPr>
        <w:t>cation of Functioning</w:t>
      </w:r>
      <w:r w:rsidR="00406B80">
        <w:rPr>
          <w:sz w:val="22"/>
          <w:szCs w:val="22"/>
        </w:rPr>
        <w:t xml:space="preserve">. </w:t>
      </w:r>
      <w:r w:rsidR="00A934A9">
        <w:rPr>
          <w:sz w:val="22"/>
          <w:szCs w:val="22"/>
        </w:rPr>
        <w:t xml:space="preserve">disability and </w:t>
      </w:r>
      <w:r w:rsidR="00406B80">
        <w:rPr>
          <w:sz w:val="22"/>
          <w:szCs w:val="22"/>
        </w:rPr>
        <w:t xml:space="preserve">Health </w:t>
      </w:r>
      <w:r w:rsidR="00A9582E">
        <w:rPr>
          <w:sz w:val="22"/>
          <w:szCs w:val="22"/>
        </w:rPr>
        <w:t>(</w:t>
      </w:r>
      <w:r w:rsidR="00E2019D" w:rsidRPr="002B3C16">
        <w:rPr>
          <w:sz w:val="22"/>
          <w:szCs w:val="22"/>
        </w:rPr>
        <w:t>Impa</w:t>
      </w:r>
      <w:r w:rsidR="00F647D9" w:rsidRPr="002B3C16">
        <w:rPr>
          <w:sz w:val="22"/>
          <w:szCs w:val="22"/>
        </w:rPr>
        <w:t xml:space="preserve">irment and </w:t>
      </w:r>
      <w:r w:rsidR="009506B7" w:rsidRPr="002B3C16">
        <w:rPr>
          <w:sz w:val="22"/>
          <w:szCs w:val="22"/>
        </w:rPr>
        <w:t>Health) (</w:t>
      </w:r>
      <w:r w:rsidR="00F647D9" w:rsidRPr="002B3C16">
        <w:rPr>
          <w:sz w:val="22"/>
          <w:szCs w:val="22"/>
        </w:rPr>
        <w:t xml:space="preserve">ICF) </w:t>
      </w:r>
      <w:r w:rsidR="00A9582E">
        <w:rPr>
          <w:sz w:val="22"/>
          <w:szCs w:val="22"/>
        </w:rPr>
        <w:t>framework</w:t>
      </w:r>
      <w:r w:rsidR="00195622">
        <w:rPr>
          <w:sz w:val="22"/>
          <w:szCs w:val="22"/>
        </w:rPr>
        <w:t xml:space="preserve"> demonst</w:t>
      </w:r>
      <w:r w:rsidR="00660F5B">
        <w:rPr>
          <w:sz w:val="22"/>
          <w:szCs w:val="22"/>
        </w:rPr>
        <w:t>rates</w:t>
      </w:r>
      <w:r w:rsidR="00195622">
        <w:rPr>
          <w:sz w:val="22"/>
          <w:szCs w:val="22"/>
        </w:rPr>
        <w:t xml:space="preserve"> how environmental </w:t>
      </w:r>
      <w:r w:rsidR="00B831B0">
        <w:rPr>
          <w:sz w:val="22"/>
          <w:szCs w:val="22"/>
        </w:rPr>
        <w:t xml:space="preserve">and biological factors interact to determine </w:t>
      </w:r>
      <w:r w:rsidR="00660F5B">
        <w:rPr>
          <w:sz w:val="22"/>
          <w:szCs w:val="22"/>
        </w:rPr>
        <w:t xml:space="preserve">functioning </w:t>
      </w:r>
      <w:r w:rsidR="00F647D9" w:rsidRPr="002B3C16">
        <w:rPr>
          <w:sz w:val="22"/>
          <w:szCs w:val="22"/>
        </w:rPr>
        <w:t>(WHO,2022). By addressing both the removal of societal barriers and the indi</w:t>
      </w:r>
      <w:r w:rsidR="00E2019D" w:rsidRPr="002B3C16">
        <w:rPr>
          <w:sz w:val="22"/>
          <w:szCs w:val="22"/>
        </w:rPr>
        <w:t>v</w:t>
      </w:r>
      <w:r w:rsidR="00F647D9" w:rsidRPr="002B3C16">
        <w:rPr>
          <w:sz w:val="22"/>
          <w:szCs w:val="22"/>
        </w:rPr>
        <w:t>idual’s medical and support needs, this advan</w:t>
      </w:r>
      <w:r w:rsidR="00A24A92" w:rsidRPr="002B3C16">
        <w:rPr>
          <w:sz w:val="22"/>
          <w:szCs w:val="22"/>
        </w:rPr>
        <w:t>cement allows health and social care professionals to provide mo</w:t>
      </w:r>
      <w:r w:rsidR="00E2019D" w:rsidRPr="002B3C16">
        <w:rPr>
          <w:sz w:val="22"/>
          <w:szCs w:val="22"/>
        </w:rPr>
        <w:t>r</w:t>
      </w:r>
      <w:r w:rsidR="00A24A92" w:rsidRPr="002B3C16">
        <w:rPr>
          <w:sz w:val="22"/>
          <w:szCs w:val="22"/>
        </w:rPr>
        <w:t>e com</w:t>
      </w:r>
      <w:r w:rsidR="00E2019D" w:rsidRPr="002B3C16">
        <w:rPr>
          <w:sz w:val="22"/>
          <w:szCs w:val="22"/>
        </w:rPr>
        <w:t>prehe</w:t>
      </w:r>
      <w:r w:rsidR="00A24A92" w:rsidRPr="002B3C16">
        <w:rPr>
          <w:sz w:val="22"/>
          <w:szCs w:val="22"/>
        </w:rPr>
        <w:t>nsive, pe</w:t>
      </w:r>
      <w:r w:rsidR="005A7168">
        <w:rPr>
          <w:sz w:val="22"/>
          <w:szCs w:val="22"/>
        </w:rPr>
        <w:t>rson-</w:t>
      </w:r>
      <w:r w:rsidR="00A24A92" w:rsidRPr="002B3C16">
        <w:rPr>
          <w:sz w:val="22"/>
          <w:szCs w:val="22"/>
        </w:rPr>
        <w:t>cent</w:t>
      </w:r>
      <w:r w:rsidR="005A7168">
        <w:rPr>
          <w:sz w:val="22"/>
          <w:szCs w:val="22"/>
        </w:rPr>
        <w:t>r</w:t>
      </w:r>
      <w:r w:rsidR="00A24A92" w:rsidRPr="002B3C16">
        <w:rPr>
          <w:sz w:val="22"/>
          <w:szCs w:val="22"/>
        </w:rPr>
        <w:t>ed care</w:t>
      </w:r>
      <w:r w:rsidR="006F56FB">
        <w:rPr>
          <w:sz w:val="22"/>
          <w:szCs w:val="22"/>
        </w:rPr>
        <w:t xml:space="preserve"> without abandoning the model’s core </w:t>
      </w:r>
      <w:r w:rsidR="00CE3885">
        <w:rPr>
          <w:sz w:val="22"/>
          <w:szCs w:val="22"/>
        </w:rPr>
        <w:t>emancipatory principles</w:t>
      </w:r>
      <w:r w:rsidR="00A24A92" w:rsidRPr="002B3C16">
        <w:rPr>
          <w:sz w:val="22"/>
          <w:szCs w:val="22"/>
        </w:rPr>
        <w:t xml:space="preserve">. </w:t>
      </w:r>
    </w:p>
    <w:p w14:paraId="310EFF8C" w14:textId="1AF24F47" w:rsidR="0032133A" w:rsidRPr="00A773F3" w:rsidRDefault="0032133A" w:rsidP="0039003F">
      <w:pPr>
        <w:tabs>
          <w:tab w:val="left" w:pos="915"/>
        </w:tabs>
        <w:spacing w:line="276" w:lineRule="auto"/>
        <w:rPr>
          <w:b/>
          <w:bCs/>
        </w:rPr>
      </w:pPr>
      <w:r w:rsidRPr="00A773F3">
        <w:rPr>
          <w:b/>
          <w:bCs/>
        </w:rPr>
        <w:lastRenderedPageBreak/>
        <w:t>A</w:t>
      </w:r>
      <w:r w:rsidR="00020A62" w:rsidRPr="00A773F3">
        <w:rPr>
          <w:b/>
          <w:bCs/>
        </w:rPr>
        <w:t xml:space="preserve">pplication to Policy and Practice </w:t>
      </w:r>
    </w:p>
    <w:p w14:paraId="4A0E3EB6" w14:textId="296A6B77" w:rsidR="002A508B" w:rsidRPr="002A508B" w:rsidRDefault="002A508B" w:rsidP="002A508B">
      <w:pPr>
        <w:tabs>
          <w:tab w:val="left" w:pos="915"/>
        </w:tabs>
        <w:spacing w:line="276" w:lineRule="auto"/>
        <w:rPr>
          <w:sz w:val="22"/>
          <w:szCs w:val="22"/>
        </w:rPr>
      </w:pPr>
      <w:r w:rsidRPr="002A508B">
        <w:rPr>
          <w:sz w:val="22"/>
          <w:szCs w:val="22"/>
        </w:rPr>
        <w:t>Although their practical operationali</w:t>
      </w:r>
      <w:r>
        <w:rPr>
          <w:sz w:val="22"/>
          <w:szCs w:val="22"/>
        </w:rPr>
        <w:t>s</w:t>
      </w:r>
      <w:r w:rsidRPr="002A508B">
        <w:rPr>
          <w:sz w:val="22"/>
          <w:szCs w:val="22"/>
        </w:rPr>
        <w:t>ation is still incredibly uneven, the social model of disability and the person-centred care philosophy are explicitly incorporated into current health and social care legislation and strategic policy frameworks in the United Kingdom. The Equality Act 2010, which forbids direct and indirect discrimination and legally requires employers, public bodies, and service providers to make reasonable accommodations to eliminate significant disadvantages faced by disabled people, is a key piece of legislation that reflects social model thinking (UK Government, 2024). The legislation operationali</w:t>
      </w:r>
      <w:r>
        <w:rPr>
          <w:sz w:val="22"/>
          <w:szCs w:val="22"/>
        </w:rPr>
        <w:t>s</w:t>
      </w:r>
      <w:r w:rsidRPr="002A508B">
        <w:rPr>
          <w:sz w:val="22"/>
          <w:szCs w:val="22"/>
        </w:rPr>
        <w:t>es the fundamental tenet of the social model—that society must change to embrace human diversity—by legally shifting the burden of adaptation and accommodation from the individual body to organi</w:t>
      </w:r>
      <w:r>
        <w:rPr>
          <w:sz w:val="22"/>
          <w:szCs w:val="22"/>
        </w:rPr>
        <w:t>s</w:t>
      </w:r>
      <w:r w:rsidRPr="002A508B">
        <w:rPr>
          <w:sz w:val="22"/>
          <w:szCs w:val="22"/>
        </w:rPr>
        <w:t>ational structures and environmental design. Although their practical operationali</w:t>
      </w:r>
      <w:r>
        <w:rPr>
          <w:sz w:val="22"/>
          <w:szCs w:val="22"/>
        </w:rPr>
        <w:t>s</w:t>
      </w:r>
      <w:r w:rsidRPr="002A508B">
        <w:rPr>
          <w:sz w:val="22"/>
          <w:szCs w:val="22"/>
        </w:rPr>
        <w:t>ation is still incredibly uneven, the social model of disability and the person-centred care philosophy are explicitly incorporated into current health and social care legislation and strategic policy frameworks in the United Kingdom. The Equality Act 2010, which forbids direct and indirect discrimination and legally requires employers, public bodies, and service providers to make reasonable accommodations to eliminate significant disadvantages faced by disabled people, is a key piece of legislation that reflects social model thinking (UK Government, 2024). The legislation operationali</w:t>
      </w:r>
      <w:r>
        <w:rPr>
          <w:sz w:val="22"/>
          <w:szCs w:val="22"/>
        </w:rPr>
        <w:t>s</w:t>
      </w:r>
      <w:r w:rsidRPr="002A508B">
        <w:rPr>
          <w:sz w:val="22"/>
          <w:szCs w:val="22"/>
        </w:rPr>
        <w:t>es the fundamental tenet of the social model—that society must change to embrace human diversity—by legally shifting the burden of adaptation and accommodation from the individual body to organi</w:t>
      </w:r>
      <w:r>
        <w:rPr>
          <w:sz w:val="22"/>
          <w:szCs w:val="22"/>
        </w:rPr>
        <w:t>s</w:t>
      </w:r>
      <w:r w:rsidRPr="002A508B">
        <w:rPr>
          <w:sz w:val="22"/>
          <w:szCs w:val="22"/>
        </w:rPr>
        <w:t>ational structures and environmental design.</w:t>
      </w:r>
    </w:p>
    <w:p w14:paraId="1BF2265C" w14:textId="42C04166" w:rsidR="00020A62" w:rsidRDefault="00562893" w:rsidP="0039003F">
      <w:pPr>
        <w:tabs>
          <w:tab w:val="left" w:pos="915"/>
        </w:tabs>
        <w:spacing w:line="276" w:lineRule="auto"/>
        <w:rPr>
          <w:sz w:val="22"/>
          <w:szCs w:val="22"/>
        </w:rPr>
      </w:pPr>
      <w:r w:rsidRPr="00562893">
        <w:rPr>
          <w:sz w:val="22"/>
          <w:szCs w:val="22"/>
        </w:rPr>
        <w:t>The Care Act 2014, which legally requires local authorities to support individual control, dignity, and active participation in family, work, and community life, enshrines the overarching well-being principle within adult social care (Department of Health and Social Care, 2024). The delivery of direct payments and personal budgets is made easier by this historic statutory obligation, which supports the larger personali</w:t>
      </w:r>
      <w:r>
        <w:rPr>
          <w:sz w:val="22"/>
          <w:szCs w:val="22"/>
        </w:rPr>
        <w:t>s</w:t>
      </w:r>
      <w:r w:rsidRPr="00562893">
        <w:rPr>
          <w:sz w:val="22"/>
          <w:szCs w:val="22"/>
        </w:rPr>
        <w:t>ation agenda. By enabling disabled people to commission their own customi</w:t>
      </w:r>
      <w:r>
        <w:rPr>
          <w:sz w:val="22"/>
          <w:szCs w:val="22"/>
        </w:rPr>
        <w:t>s</w:t>
      </w:r>
      <w:r w:rsidRPr="00562893">
        <w:rPr>
          <w:sz w:val="22"/>
          <w:szCs w:val="22"/>
        </w:rPr>
        <w:t>ed, person-centred support packages, these financial mechanisms were specifically created to undermine paternalistic, institutional care models. Additionally, NHS England's (2023) personali</w:t>
      </w:r>
      <w:r>
        <w:rPr>
          <w:sz w:val="22"/>
          <w:szCs w:val="22"/>
        </w:rPr>
        <w:t>s</w:t>
      </w:r>
      <w:r w:rsidRPr="00562893">
        <w:rPr>
          <w:sz w:val="22"/>
          <w:szCs w:val="22"/>
        </w:rPr>
        <w:t>ed care initiatives aim to directly align healthcare delivery with socio-political models of disability by incorporating autonomy, respect, and civil rights into clinical encounters.</w:t>
      </w:r>
    </w:p>
    <w:p w14:paraId="1B551042" w14:textId="5049CD51" w:rsidR="004A6BBE" w:rsidRPr="004A6BBE" w:rsidRDefault="004A6BBE" w:rsidP="004A6BBE">
      <w:pPr>
        <w:tabs>
          <w:tab w:val="left" w:pos="915"/>
        </w:tabs>
        <w:spacing w:line="276" w:lineRule="auto"/>
        <w:rPr>
          <w:sz w:val="22"/>
          <w:szCs w:val="22"/>
        </w:rPr>
      </w:pPr>
      <w:r w:rsidRPr="004A6BBE">
        <w:rPr>
          <w:sz w:val="22"/>
          <w:szCs w:val="22"/>
        </w:rPr>
        <w:t>However, the social model's practical implementation in health and social care is consistently hampered by serious structural conflicts, inconsistencies, and policy failures. The UK social security system's long-standing reliance on biomedical and functional assessment regimes, such as the Work Capability Assessment (WCA) and Personal Independence Payment (PIP) evaluations, is a stark contradiction. Instead of identifying or reducing incapacitating environmental barriers, these bureaucratic assessment procedures measure medical pathology through a reductionist, individualistic, and deficit-based lens (Machin, 2024). As a result, current social security and welfare policies actively re-medicali</w:t>
      </w:r>
      <w:r>
        <w:rPr>
          <w:sz w:val="22"/>
          <w:szCs w:val="22"/>
        </w:rPr>
        <w:t>s</w:t>
      </w:r>
      <w:r w:rsidRPr="004A6BBE">
        <w:rPr>
          <w:sz w:val="22"/>
          <w:szCs w:val="22"/>
        </w:rPr>
        <w:t>e disability, subjecting claimants to dehumani</w:t>
      </w:r>
      <w:r>
        <w:rPr>
          <w:sz w:val="22"/>
          <w:szCs w:val="22"/>
        </w:rPr>
        <w:t>s</w:t>
      </w:r>
      <w:r w:rsidRPr="004A6BBE">
        <w:rPr>
          <w:sz w:val="22"/>
          <w:szCs w:val="22"/>
        </w:rPr>
        <w:t xml:space="preserve">ing scrutiny and perpetuating the individual tragedy model. In addition, social care infrastructure has been severely damaged by more than ten years of severe public sector austerity, local government funding cuts, and real-term budget constraints. According to Barnes (2005), care systems invariably turn away from proactive, social model-inspired </w:t>
      </w:r>
      <w:r w:rsidRPr="004A6BBE">
        <w:rPr>
          <w:sz w:val="22"/>
          <w:szCs w:val="22"/>
        </w:rPr>
        <w:lastRenderedPageBreak/>
        <w:t>independent living initiatives when resources become limited, regressing toward reactive, survival-oriented rationing that jeopardi</w:t>
      </w:r>
      <w:r>
        <w:rPr>
          <w:sz w:val="22"/>
          <w:szCs w:val="22"/>
        </w:rPr>
        <w:t>s</w:t>
      </w:r>
      <w:r w:rsidRPr="004A6BBE">
        <w:rPr>
          <w:sz w:val="22"/>
          <w:szCs w:val="22"/>
        </w:rPr>
        <w:t>es service user autonomy and human dignity.</w:t>
      </w:r>
    </w:p>
    <w:p w14:paraId="606CC843" w14:textId="2D9238E1" w:rsidR="00F14515" w:rsidRPr="00A773F3" w:rsidRDefault="00333004" w:rsidP="004A6BBE">
      <w:pPr>
        <w:tabs>
          <w:tab w:val="left" w:pos="915"/>
        </w:tabs>
        <w:spacing w:line="276" w:lineRule="auto"/>
        <w:rPr>
          <w:b/>
          <w:bCs/>
        </w:rPr>
      </w:pPr>
      <w:r w:rsidRPr="00A773F3">
        <w:rPr>
          <w:b/>
          <w:bCs/>
        </w:rPr>
        <w:t xml:space="preserve">Recommendation for policy and practice </w:t>
      </w:r>
    </w:p>
    <w:p w14:paraId="05C6CC83" w14:textId="77777777" w:rsidR="00242E52" w:rsidRPr="00242E52" w:rsidRDefault="00242E52" w:rsidP="00242E52">
      <w:pPr>
        <w:tabs>
          <w:tab w:val="left" w:pos="915"/>
        </w:tabs>
        <w:spacing w:line="276" w:lineRule="auto"/>
        <w:rPr>
          <w:sz w:val="22"/>
          <w:szCs w:val="22"/>
        </w:rPr>
      </w:pPr>
      <w:r w:rsidRPr="00242E52">
        <w:rPr>
          <w:sz w:val="22"/>
          <w:szCs w:val="22"/>
        </w:rPr>
        <w:t>Systemic policy changes are desperately needed to close the gap between current health and social care practices and social model ideals. First, co-production must be integrated into policy design and service delivery at all levels by the central government and health commissioners. Co-production ensures that disabled individuals and experts by experience act as equal partners in shaping care pathways, shifting services away from paternalistic oversight toward genuine self-determination (Research in Practice, 2024). This collaborative approach ensures that support services target actual environmental and institutional barriers rather than perceived individual deficits.</w:t>
      </w:r>
    </w:p>
    <w:p w14:paraId="159D217C" w14:textId="77777777" w:rsidR="00226301" w:rsidRDefault="00226301" w:rsidP="00226301">
      <w:pPr>
        <w:tabs>
          <w:tab w:val="left" w:pos="915"/>
        </w:tabs>
        <w:spacing w:line="276" w:lineRule="auto"/>
        <w:rPr>
          <w:sz w:val="22"/>
          <w:szCs w:val="22"/>
        </w:rPr>
      </w:pPr>
      <w:r w:rsidRPr="00226301">
        <w:rPr>
          <w:sz w:val="22"/>
          <w:szCs w:val="22"/>
        </w:rPr>
        <w:t xml:space="preserve">Second, </w:t>
      </w:r>
      <w:proofErr w:type="gramStart"/>
      <w:r w:rsidRPr="00226301">
        <w:rPr>
          <w:sz w:val="22"/>
          <w:szCs w:val="22"/>
        </w:rPr>
        <w:t>in order to</w:t>
      </w:r>
      <w:proofErr w:type="gramEnd"/>
      <w:r w:rsidRPr="00226301">
        <w:rPr>
          <w:sz w:val="22"/>
          <w:szCs w:val="22"/>
        </w:rPr>
        <w:t xml:space="preserve"> assess how societal infrastructure limits participation, assessment frameworks for social security and care eligibility—such as PIP and adult social care needs assessments—must be redesigned to include a thorough social and environmental barriers audit, moving away from specific medical diagnostics (Lawson, 2021). Assessment procedures can more accurately capture the realities of incapacitating environments by evaluating people within their social context.</w:t>
      </w:r>
    </w:p>
    <w:p w14:paraId="30FDFAA0" w14:textId="63ED178D" w:rsidR="00226301" w:rsidRPr="00226301" w:rsidRDefault="006264F6" w:rsidP="00226301">
      <w:pPr>
        <w:tabs>
          <w:tab w:val="left" w:pos="915"/>
        </w:tabs>
        <w:spacing w:line="276" w:lineRule="auto"/>
        <w:rPr>
          <w:sz w:val="22"/>
          <w:szCs w:val="22"/>
        </w:rPr>
      </w:pPr>
      <w:r w:rsidRPr="006264F6">
        <w:rPr>
          <w:sz w:val="22"/>
          <w:szCs w:val="22"/>
        </w:rPr>
        <w:t>Lastly, mandatory, values-based training based on the social model and human rights framework must be implemented by health and social care organi</w:t>
      </w:r>
      <w:r>
        <w:rPr>
          <w:sz w:val="22"/>
          <w:szCs w:val="22"/>
        </w:rPr>
        <w:t>s</w:t>
      </w:r>
      <w:r w:rsidRPr="006264F6">
        <w:rPr>
          <w:sz w:val="22"/>
          <w:szCs w:val="22"/>
        </w:rPr>
        <w:t xml:space="preserve">ations for all professionals. </w:t>
      </w:r>
      <w:proofErr w:type="gramStart"/>
      <w:r w:rsidRPr="006264F6">
        <w:rPr>
          <w:sz w:val="22"/>
          <w:szCs w:val="22"/>
        </w:rPr>
        <w:t>In order to</w:t>
      </w:r>
      <w:proofErr w:type="gramEnd"/>
      <w:r w:rsidRPr="006264F6">
        <w:rPr>
          <w:sz w:val="22"/>
          <w:szCs w:val="22"/>
        </w:rPr>
        <w:t xml:space="preserve"> ensure that person-centred care is translated from political rhetoric into everyday operational reality, practitioners must be assisted in their transition from gatekeepers of institutional resources to facilitators of inclusive, community-based living (Lezzoni et al., 2021).</w:t>
      </w:r>
    </w:p>
    <w:p w14:paraId="36A076E9" w14:textId="0A12DD46" w:rsidR="00242E52" w:rsidRPr="00A773F3" w:rsidRDefault="004B4A16" w:rsidP="00242E52">
      <w:pPr>
        <w:tabs>
          <w:tab w:val="left" w:pos="915"/>
        </w:tabs>
        <w:spacing w:line="276" w:lineRule="auto"/>
        <w:rPr>
          <w:b/>
          <w:bCs/>
        </w:rPr>
      </w:pPr>
      <w:r w:rsidRPr="00A773F3">
        <w:rPr>
          <w:b/>
          <w:bCs/>
        </w:rPr>
        <w:t xml:space="preserve">Conclusion </w:t>
      </w:r>
    </w:p>
    <w:p w14:paraId="179B1AF0" w14:textId="2BA9910B" w:rsidR="00DF1FA3" w:rsidRPr="00DF1FA3" w:rsidRDefault="00DF1FA3" w:rsidP="00DF1FA3">
      <w:pPr>
        <w:tabs>
          <w:tab w:val="left" w:pos="915"/>
        </w:tabs>
        <w:spacing w:line="276" w:lineRule="auto"/>
        <w:rPr>
          <w:sz w:val="22"/>
          <w:szCs w:val="22"/>
        </w:rPr>
      </w:pPr>
      <w:r w:rsidRPr="00DF1FA3">
        <w:rPr>
          <w:sz w:val="22"/>
          <w:szCs w:val="22"/>
        </w:rPr>
        <w:t>In summary, the Social Model of Disability has radically changed how we think about disability today, moving the focus from individual medical tragedy to group socio-political responsibility. By conceptuali</w:t>
      </w:r>
      <w:r>
        <w:rPr>
          <w:sz w:val="22"/>
          <w:szCs w:val="22"/>
        </w:rPr>
        <w:t>s</w:t>
      </w:r>
      <w:r w:rsidRPr="00DF1FA3">
        <w:rPr>
          <w:sz w:val="22"/>
          <w:szCs w:val="22"/>
        </w:rPr>
        <w:t>ing disability as the product of environmental, attitudinal, and institutional barriers, the social model serves as an indispensable theoretical foundation for person-</w:t>
      </w:r>
      <w:r w:rsidRPr="00DF1FA3">
        <w:rPr>
          <w:sz w:val="22"/>
          <w:szCs w:val="22"/>
        </w:rPr>
        <w:t>c</w:t>
      </w:r>
      <w:r>
        <w:rPr>
          <w:sz w:val="22"/>
          <w:szCs w:val="22"/>
        </w:rPr>
        <w:t>ent</w:t>
      </w:r>
      <w:r w:rsidRPr="00DF1FA3">
        <w:rPr>
          <w:sz w:val="22"/>
          <w:szCs w:val="22"/>
        </w:rPr>
        <w:t>red</w:t>
      </w:r>
      <w:r w:rsidRPr="00DF1FA3">
        <w:rPr>
          <w:sz w:val="22"/>
          <w:szCs w:val="22"/>
        </w:rPr>
        <w:t xml:space="preserve"> care. Its analytical robustness has been successfully reinforced by developments like the biopsychosocial and social relational frameworks, despite legitimate academic criticisms about the body's neglect and the necessity of intersectional sensitivity. Although social model principles are embodied in UK policy applications, such as the Equality Act 2010 and the Care Act 2014, full implementation is still hampered by enduring institutional barriers like medicali</w:t>
      </w:r>
      <w:r>
        <w:rPr>
          <w:sz w:val="22"/>
          <w:szCs w:val="22"/>
        </w:rPr>
        <w:t>s</w:t>
      </w:r>
      <w:r w:rsidRPr="00DF1FA3">
        <w:rPr>
          <w:sz w:val="22"/>
          <w:szCs w:val="22"/>
        </w:rPr>
        <w:t>ed welfare assessments and funding austerity. Policy and practice can attain true empowerment, equity, and inclusion for all disabled people by embracing co-production, changing assessment frameworks, and integrating social model training throughout health and social care.</w:t>
      </w:r>
    </w:p>
    <w:p w14:paraId="1E4F9876" w14:textId="77777777" w:rsidR="004B4A16" w:rsidRDefault="004B4A16" w:rsidP="00242E52">
      <w:pPr>
        <w:tabs>
          <w:tab w:val="left" w:pos="915"/>
        </w:tabs>
        <w:spacing w:line="276" w:lineRule="auto"/>
        <w:rPr>
          <w:sz w:val="22"/>
          <w:szCs w:val="22"/>
        </w:rPr>
      </w:pPr>
    </w:p>
    <w:p w14:paraId="7300AA20" w14:textId="77777777" w:rsidR="004B4A16" w:rsidRDefault="004B4A16" w:rsidP="00242E52">
      <w:pPr>
        <w:tabs>
          <w:tab w:val="left" w:pos="915"/>
        </w:tabs>
        <w:spacing w:line="276" w:lineRule="auto"/>
        <w:rPr>
          <w:sz w:val="22"/>
          <w:szCs w:val="22"/>
        </w:rPr>
      </w:pPr>
    </w:p>
    <w:p w14:paraId="6AB4BB9C" w14:textId="77777777" w:rsidR="00355CA1" w:rsidRDefault="00355CA1" w:rsidP="00242E52">
      <w:pPr>
        <w:tabs>
          <w:tab w:val="left" w:pos="915"/>
        </w:tabs>
        <w:spacing w:line="276" w:lineRule="auto"/>
        <w:rPr>
          <w:sz w:val="22"/>
          <w:szCs w:val="22"/>
        </w:rPr>
      </w:pPr>
    </w:p>
    <w:p w14:paraId="150EBEEB" w14:textId="14A31F4E" w:rsidR="00355CA1" w:rsidRPr="00246465" w:rsidRDefault="00355CA1" w:rsidP="00242E52">
      <w:pPr>
        <w:tabs>
          <w:tab w:val="left" w:pos="915"/>
        </w:tabs>
        <w:spacing w:line="276" w:lineRule="auto"/>
        <w:rPr>
          <w:b/>
          <w:bCs/>
        </w:rPr>
      </w:pPr>
      <w:r w:rsidRPr="00246465">
        <w:rPr>
          <w:b/>
          <w:bCs/>
        </w:rPr>
        <w:lastRenderedPageBreak/>
        <w:t xml:space="preserve">Referencing List </w:t>
      </w:r>
    </w:p>
    <w:p w14:paraId="7F8B163E" w14:textId="77777777" w:rsidR="008F1BC6" w:rsidRPr="00351B26" w:rsidRDefault="009C65C3" w:rsidP="008F1BC6">
      <w:pPr>
        <w:pStyle w:val="ListParagraph"/>
        <w:numPr>
          <w:ilvl w:val="0"/>
          <w:numId w:val="2"/>
        </w:numPr>
        <w:tabs>
          <w:tab w:val="left" w:pos="915"/>
        </w:tabs>
        <w:spacing w:line="276" w:lineRule="auto"/>
        <w:rPr>
          <w:sz w:val="20"/>
          <w:szCs w:val="20"/>
        </w:rPr>
      </w:pPr>
      <w:r w:rsidRPr="00351B26">
        <w:rPr>
          <w:rFonts w:ascii="System Font" w:hAnsi="System Font" w:cs="System Font"/>
          <w:kern w:val="0"/>
          <w:sz w:val="22"/>
          <w:szCs w:val="22"/>
        </w:rPr>
        <w:t xml:space="preserve">Barnes, C., 2005. Independent living, politics and policy in the United Kingdom: A social model account. </w:t>
      </w:r>
      <w:r w:rsidRPr="00351B26">
        <w:rPr>
          <w:rFonts w:ascii="System Font" w:hAnsi="System Font" w:cs="System Font"/>
          <w:i/>
          <w:iCs/>
          <w:kern w:val="0"/>
          <w:sz w:val="22"/>
          <w:szCs w:val="22"/>
        </w:rPr>
        <w:t>Review of Disability Studies: An International Journal</w:t>
      </w:r>
      <w:r w:rsidRPr="00351B26">
        <w:rPr>
          <w:rFonts w:ascii="System Font" w:hAnsi="System Font" w:cs="System Font"/>
          <w:kern w:val="0"/>
          <w:sz w:val="22"/>
          <w:szCs w:val="22"/>
        </w:rPr>
        <w:t xml:space="preserve">, </w:t>
      </w:r>
      <w:r w:rsidRPr="00351B26">
        <w:rPr>
          <w:rFonts w:ascii="System Font" w:hAnsi="System Font" w:cs="System Font"/>
          <w:i/>
          <w:iCs/>
          <w:kern w:val="0"/>
          <w:sz w:val="22"/>
          <w:szCs w:val="22"/>
        </w:rPr>
        <w:t>1</w:t>
      </w:r>
      <w:r w:rsidRPr="00351B26">
        <w:rPr>
          <w:rFonts w:ascii="System Font" w:hAnsi="System Font" w:cs="System Font"/>
          <w:kern w:val="0"/>
          <w:sz w:val="22"/>
          <w:szCs w:val="22"/>
        </w:rPr>
        <w:t>(4).</w:t>
      </w:r>
      <w:r w:rsidR="008C350F" w:rsidRPr="00351B26">
        <w:rPr>
          <w:rFonts w:ascii="System Font" w:hAnsi="System Font" w:cs="System Font"/>
          <w:kern w:val="0"/>
          <w:sz w:val="22"/>
          <w:szCs w:val="22"/>
        </w:rPr>
        <w:t xml:space="preserve"> (Accessed</w:t>
      </w:r>
      <w:r w:rsidR="00267805" w:rsidRPr="00351B26">
        <w:rPr>
          <w:rFonts w:ascii="System Font" w:hAnsi="System Font" w:cs="System Font"/>
          <w:kern w:val="0"/>
          <w:sz w:val="22"/>
          <w:szCs w:val="22"/>
        </w:rPr>
        <w:t>:</w:t>
      </w:r>
      <w:r w:rsidR="008C350F" w:rsidRPr="00351B26">
        <w:rPr>
          <w:rFonts w:ascii="System Font" w:hAnsi="System Font" w:cs="System Font"/>
          <w:kern w:val="0"/>
          <w:sz w:val="22"/>
          <w:szCs w:val="22"/>
        </w:rPr>
        <w:t xml:space="preserve"> 10 July 2026)</w:t>
      </w:r>
    </w:p>
    <w:p w14:paraId="05D3AFCF" w14:textId="77777777" w:rsidR="008F1BC6" w:rsidRPr="00351B26" w:rsidRDefault="0088508B" w:rsidP="000F54C8">
      <w:pPr>
        <w:pStyle w:val="ListParagraph"/>
        <w:numPr>
          <w:ilvl w:val="0"/>
          <w:numId w:val="2"/>
        </w:numPr>
        <w:tabs>
          <w:tab w:val="left" w:pos="915"/>
        </w:tabs>
        <w:spacing w:line="276" w:lineRule="auto"/>
        <w:rPr>
          <w:sz w:val="20"/>
          <w:szCs w:val="20"/>
        </w:rPr>
      </w:pPr>
      <w:proofErr w:type="spellStart"/>
      <w:r w:rsidRPr="00351B26">
        <w:rPr>
          <w:color w:val="000000"/>
          <w:sz w:val="22"/>
          <w:szCs w:val="22"/>
        </w:rPr>
        <w:t>Biggeri</w:t>
      </w:r>
      <w:proofErr w:type="spellEnd"/>
      <w:r w:rsidRPr="00351B26">
        <w:rPr>
          <w:color w:val="000000"/>
          <w:sz w:val="22"/>
          <w:szCs w:val="22"/>
        </w:rPr>
        <w:t xml:space="preserve">, M., Mitra, S. and van der Veen, S. (2025). Towards person-centred care: Using the capability approach together with the </w:t>
      </w:r>
      <w:r w:rsidR="00DB0EFC" w:rsidRPr="00351B26">
        <w:rPr>
          <w:color w:val="000000"/>
          <w:sz w:val="22"/>
          <w:szCs w:val="22"/>
        </w:rPr>
        <w:t>I</w:t>
      </w:r>
      <w:r w:rsidRPr="00351B26">
        <w:rPr>
          <w:color w:val="000000"/>
          <w:sz w:val="22"/>
          <w:szCs w:val="22"/>
        </w:rPr>
        <w:t xml:space="preserve">nternational </w:t>
      </w:r>
      <w:r w:rsidR="00DB0EFC" w:rsidRPr="00351B26">
        <w:rPr>
          <w:color w:val="000000"/>
          <w:sz w:val="22"/>
          <w:szCs w:val="22"/>
        </w:rPr>
        <w:t>C</w:t>
      </w:r>
      <w:r w:rsidRPr="00351B26">
        <w:rPr>
          <w:color w:val="000000"/>
          <w:sz w:val="22"/>
          <w:szCs w:val="22"/>
        </w:rPr>
        <w:t>lassification of functioning, disability and health.</w:t>
      </w:r>
      <w:r w:rsidRPr="00351B26">
        <w:rPr>
          <w:rStyle w:val="apple-converted-space"/>
          <w:color w:val="000000"/>
          <w:sz w:val="22"/>
          <w:szCs w:val="22"/>
        </w:rPr>
        <w:t> </w:t>
      </w:r>
      <w:r w:rsidRPr="00351B26">
        <w:rPr>
          <w:i/>
          <w:iCs/>
          <w:color w:val="000000"/>
          <w:sz w:val="22"/>
          <w:szCs w:val="22"/>
        </w:rPr>
        <w:t>Journal of Human Development and Capabilities</w:t>
      </w:r>
      <w:r w:rsidRPr="00351B26">
        <w:rPr>
          <w:color w:val="000000"/>
          <w:sz w:val="22"/>
          <w:szCs w:val="22"/>
        </w:rPr>
        <w:t>, 26(2), pp.276–284. doi:10.1080/19452829.2025.2477525.</w:t>
      </w:r>
      <w:r w:rsidRPr="00351B26">
        <w:rPr>
          <w:color w:val="000000"/>
          <w:sz w:val="22"/>
          <w:szCs w:val="22"/>
        </w:rPr>
        <w:t xml:space="preserve"> </w:t>
      </w:r>
      <w:r w:rsidR="009508B0" w:rsidRPr="00351B26">
        <w:rPr>
          <w:color w:val="000000"/>
          <w:sz w:val="22"/>
          <w:szCs w:val="22"/>
        </w:rPr>
        <w:t>(Accessed: 20 July 2026)</w:t>
      </w:r>
    </w:p>
    <w:p w14:paraId="520CF4BA" w14:textId="77777777" w:rsidR="008F1BC6" w:rsidRPr="00351B26" w:rsidRDefault="000F54C8" w:rsidP="008F1BC6">
      <w:pPr>
        <w:pStyle w:val="ListParagraph"/>
        <w:numPr>
          <w:ilvl w:val="0"/>
          <w:numId w:val="2"/>
        </w:numPr>
        <w:tabs>
          <w:tab w:val="left" w:pos="915"/>
        </w:tabs>
        <w:spacing w:line="276" w:lineRule="auto"/>
        <w:rPr>
          <w:sz w:val="20"/>
          <w:szCs w:val="20"/>
        </w:rPr>
      </w:pPr>
      <w:r w:rsidRPr="00351B26">
        <w:rPr>
          <w:sz w:val="22"/>
          <w:szCs w:val="22"/>
        </w:rPr>
        <w:t xml:space="preserve">Department of Health and Social Care (2024) The Care Act 2014: Guidance and Wellbeing Principles. London: HMSO. Available at: https://www.gov.uk/government/publications/care-act-statutory-guidance/care-and-support-statutory-guidance (Accessed: </w:t>
      </w:r>
      <w:r w:rsidR="005A6D28" w:rsidRPr="00351B26">
        <w:rPr>
          <w:sz w:val="22"/>
          <w:szCs w:val="22"/>
        </w:rPr>
        <w:t>25 July</w:t>
      </w:r>
      <w:r w:rsidRPr="00351B26">
        <w:rPr>
          <w:sz w:val="22"/>
          <w:szCs w:val="22"/>
        </w:rPr>
        <w:t xml:space="preserve"> </w:t>
      </w:r>
      <w:proofErr w:type="gramStart"/>
      <w:r w:rsidRPr="00351B26">
        <w:rPr>
          <w:sz w:val="22"/>
          <w:szCs w:val="22"/>
        </w:rPr>
        <w:t>2026 )</w:t>
      </w:r>
      <w:proofErr w:type="gramEnd"/>
      <w:r w:rsidRPr="00351B26">
        <w:rPr>
          <w:sz w:val="22"/>
          <w:szCs w:val="22"/>
        </w:rPr>
        <w:t>.</w:t>
      </w:r>
    </w:p>
    <w:p w14:paraId="78421E73" w14:textId="77777777" w:rsidR="008F1BC6" w:rsidRPr="00351B26" w:rsidRDefault="00246B95" w:rsidP="000F54C8">
      <w:pPr>
        <w:pStyle w:val="ListParagraph"/>
        <w:numPr>
          <w:ilvl w:val="0"/>
          <w:numId w:val="2"/>
        </w:numPr>
        <w:tabs>
          <w:tab w:val="left" w:pos="915"/>
        </w:tabs>
        <w:spacing w:line="276" w:lineRule="auto"/>
        <w:rPr>
          <w:sz w:val="20"/>
          <w:szCs w:val="20"/>
        </w:rPr>
      </w:pPr>
      <w:r w:rsidRPr="00351B26">
        <w:rPr>
          <w:color w:val="000000"/>
          <w:sz w:val="22"/>
          <w:szCs w:val="22"/>
        </w:rPr>
        <w:t xml:space="preserve">Iezzoni, L.I., Rao, S.R., </w:t>
      </w:r>
      <w:proofErr w:type="spellStart"/>
      <w:r w:rsidRPr="00351B26">
        <w:rPr>
          <w:color w:val="000000"/>
          <w:sz w:val="22"/>
          <w:szCs w:val="22"/>
        </w:rPr>
        <w:t>Ressalam</w:t>
      </w:r>
      <w:proofErr w:type="spellEnd"/>
      <w:r w:rsidRPr="00351B26">
        <w:rPr>
          <w:color w:val="000000"/>
          <w:sz w:val="22"/>
          <w:szCs w:val="22"/>
        </w:rPr>
        <w:t xml:space="preserve">, J., </w:t>
      </w:r>
      <w:proofErr w:type="spellStart"/>
      <w:r w:rsidRPr="00351B26">
        <w:rPr>
          <w:color w:val="000000"/>
          <w:sz w:val="22"/>
          <w:szCs w:val="22"/>
        </w:rPr>
        <w:t>Bolcic</w:t>
      </w:r>
      <w:proofErr w:type="spellEnd"/>
      <w:r w:rsidRPr="00351B26">
        <w:rPr>
          <w:color w:val="000000"/>
          <w:sz w:val="22"/>
          <w:szCs w:val="22"/>
        </w:rPr>
        <w:t xml:space="preserve">-Jankovic, D., </w:t>
      </w:r>
      <w:proofErr w:type="spellStart"/>
      <w:r w:rsidRPr="00351B26">
        <w:rPr>
          <w:color w:val="000000"/>
          <w:sz w:val="22"/>
          <w:szCs w:val="22"/>
        </w:rPr>
        <w:t>Agaronnik</w:t>
      </w:r>
      <w:proofErr w:type="spellEnd"/>
      <w:r w:rsidRPr="00351B26">
        <w:rPr>
          <w:color w:val="000000"/>
          <w:sz w:val="22"/>
          <w:szCs w:val="22"/>
        </w:rPr>
        <w:t>, N.D., Donelan, K., Lagu, T. and Campbell, E.G. (2021). Physicians’ perceptions of people with disability and their health care.</w:t>
      </w:r>
      <w:r w:rsidRPr="00351B26">
        <w:rPr>
          <w:rStyle w:val="apple-converted-space"/>
          <w:color w:val="000000"/>
          <w:sz w:val="22"/>
          <w:szCs w:val="22"/>
        </w:rPr>
        <w:t> </w:t>
      </w:r>
      <w:r w:rsidRPr="00351B26">
        <w:rPr>
          <w:i/>
          <w:iCs/>
          <w:color w:val="000000"/>
          <w:sz w:val="22"/>
          <w:szCs w:val="22"/>
        </w:rPr>
        <w:t>Health Affairs</w:t>
      </w:r>
      <w:r w:rsidRPr="00351B26">
        <w:rPr>
          <w:color w:val="000000"/>
          <w:sz w:val="22"/>
          <w:szCs w:val="22"/>
        </w:rPr>
        <w:t>, 40(2), pp.297–306. doi:10.1377/hlthaff.2020.01452.</w:t>
      </w:r>
      <w:r w:rsidRPr="00351B26">
        <w:rPr>
          <w:color w:val="000000"/>
          <w:sz w:val="22"/>
          <w:szCs w:val="22"/>
        </w:rPr>
        <w:t xml:space="preserve"> (Accessed: </w:t>
      </w:r>
      <w:r w:rsidR="00A44A82" w:rsidRPr="00351B26">
        <w:rPr>
          <w:color w:val="000000"/>
          <w:sz w:val="22"/>
          <w:szCs w:val="22"/>
        </w:rPr>
        <w:t>26 July 2026)</w:t>
      </w:r>
    </w:p>
    <w:p w14:paraId="7295DAA4" w14:textId="77777777" w:rsidR="008F1BC6" w:rsidRPr="00351B26" w:rsidRDefault="00D4082B" w:rsidP="000F54C8">
      <w:pPr>
        <w:pStyle w:val="ListParagraph"/>
        <w:numPr>
          <w:ilvl w:val="0"/>
          <w:numId w:val="2"/>
        </w:numPr>
        <w:tabs>
          <w:tab w:val="left" w:pos="915"/>
        </w:tabs>
        <w:spacing w:line="276" w:lineRule="auto"/>
        <w:rPr>
          <w:sz w:val="20"/>
          <w:szCs w:val="20"/>
        </w:rPr>
      </w:pPr>
      <w:r w:rsidRPr="00351B26">
        <w:rPr>
          <w:rFonts w:ascii="System Font" w:hAnsi="System Font" w:cs="System Font"/>
          <w:kern w:val="0"/>
          <w:sz w:val="22"/>
          <w:szCs w:val="22"/>
        </w:rPr>
        <w:t xml:space="preserve">Lawson, A. and Beckett, A.E., 2021. The social and human rights models of disability: towards a complementarity thesis. </w:t>
      </w:r>
      <w:r w:rsidRPr="00351B26">
        <w:rPr>
          <w:rFonts w:ascii="System Font" w:hAnsi="System Font" w:cs="System Font"/>
          <w:i/>
          <w:iCs/>
          <w:kern w:val="0"/>
          <w:sz w:val="22"/>
          <w:szCs w:val="22"/>
        </w:rPr>
        <w:t>The International Journal of Human Rights</w:t>
      </w:r>
      <w:r w:rsidRPr="00351B26">
        <w:rPr>
          <w:rFonts w:ascii="System Font" w:hAnsi="System Font" w:cs="System Font"/>
          <w:kern w:val="0"/>
          <w:sz w:val="22"/>
          <w:szCs w:val="22"/>
        </w:rPr>
        <w:t xml:space="preserve">, </w:t>
      </w:r>
      <w:r w:rsidRPr="00351B26">
        <w:rPr>
          <w:rFonts w:ascii="System Font" w:hAnsi="System Font" w:cs="System Font"/>
          <w:i/>
          <w:iCs/>
          <w:kern w:val="0"/>
          <w:sz w:val="22"/>
          <w:szCs w:val="22"/>
        </w:rPr>
        <w:t>25</w:t>
      </w:r>
      <w:r w:rsidRPr="00351B26">
        <w:rPr>
          <w:rFonts w:ascii="System Font" w:hAnsi="System Font" w:cs="System Font"/>
          <w:kern w:val="0"/>
          <w:sz w:val="22"/>
          <w:szCs w:val="22"/>
        </w:rPr>
        <w:t>(2), pp.348-</w:t>
      </w:r>
      <w:proofErr w:type="gramStart"/>
      <w:r w:rsidRPr="00351B26">
        <w:rPr>
          <w:rFonts w:ascii="System Font" w:hAnsi="System Font" w:cs="System Font"/>
          <w:kern w:val="0"/>
          <w:sz w:val="22"/>
          <w:szCs w:val="22"/>
        </w:rPr>
        <w:t>379.</w:t>
      </w:r>
      <w:r w:rsidR="007C53EB" w:rsidRPr="00351B26">
        <w:rPr>
          <w:rFonts w:ascii="System Font" w:hAnsi="System Font" w:cs="System Font"/>
          <w:kern w:val="0"/>
          <w:sz w:val="22"/>
          <w:szCs w:val="22"/>
        </w:rPr>
        <w:t>(</w:t>
      </w:r>
      <w:proofErr w:type="gramEnd"/>
      <w:r w:rsidR="007C53EB" w:rsidRPr="00351B26">
        <w:rPr>
          <w:rFonts w:ascii="System Font" w:hAnsi="System Font" w:cs="System Font"/>
          <w:kern w:val="0"/>
          <w:sz w:val="22"/>
          <w:szCs w:val="22"/>
        </w:rPr>
        <w:t xml:space="preserve">Accessed: 20 </w:t>
      </w:r>
      <w:r w:rsidR="007C2794" w:rsidRPr="00351B26">
        <w:rPr>
          <w:rFonts w:ascii="System Font" w:hAnsi="System Font" w:cs="System Font"/>
          <w:kern w:val="0"/>
          <w:sz w:val="22"/>
          <w:szCs w:val="22"/>
        </w:rPr>
        <w:t>July 2026)</w:t>
      </w:r>
    </w:p>
    <w:p w14:paraId="5AE79026" w14:textId="77777777" w:rsidR="008F1BC6" w:rsidRPr="00351B26" w:rsidRDefault="00B733FC" w:rsidP="008F1BC6">
      <w:pPr>
        <w:pStyle w:val="ListParagraph"/>
        <w:numPr>
          <w:ilvl w:val="0"/>
          <w:numId w:val="2"/>
        </w:numPr>
        <w:tabs>
          <w:tab w:val="left" w:pos="915"/>
        </w:tabs>
        <w:spacing w:line="276" w:lineRule="auto"/>
        <w:rPr>
          <w:sz w:val="20"/>
          <w:szCs w:val="20"/>
        </w:rPr>
      </w:pPr>
      <w:r w:rsidRPr="00351B26">
        <w:rPr>
          <w:rFonts w:ascii="System Font" w:hAnsi="System Font" w:cs="System Font"/>
          <w:kern w:val="0"/>
          <w:sz w:val="22"/>
          <w:szCs w:val="22"/>
        </w:rPr>
        <w:t xml:space="preserve">Machin, R. and Reynolds, A., 2024. New development: The commodification of social security medical assessments—academic analysis and practitioner experience. </w:t>
      </w:r>
      <w:r w:rsidRPr="00351B26">
        <w:rPr>
          <w:rFonts w:ascii="System Font" w:hAnsi="System Font" w:cs="System Font"/>
          <w:i/>
          <w:iCs/>
          <w:kern w:val="0"/>
          <w:sz w:val="22"/>
          <w:szCs w:val="22"/>
        </w:rPr>
        <w:t>Public Money &amp; Management</w:t>
      </w:r>
      <w:r w:rsidRPr="00351B26">
        <w:rPr>
          <w:rFonts w:ascii="System Font" w:hAnsi="System Font" w:cs="System Font"/>
          <w:kern w:val="0"/>
          <w:sz w:val="22"/>
          <w:szCs w:val="22"/>
        </w:rPr>
        <w:t xml:space="preserve">, </w:t>
      </w:r>
      <w:r w:rsidRPr="00351B26">
        <w:rPr>
          <w:rFonts w:ascii="System Font" w:hAnsi="System Font" w:cs="System Font"/>
          <w:i/>
          <w:iCs/>
          <w:kern w:val="0"/>
          <w:sz w:val="22"/>
          <w:szCs w:val="22"/>
        </w:rPr>
        <w:t>44</w:t>
      </w:r>
      <w:r w:rsidRPr="00351B26">
        <w:rPr>
          <w:rFonts w:ascii="System Font" w:hAnsi="System Font" w:cs="System Font"/>
          <w:kern w:val="0"/>
          <w:sz w:val="22"/>
          <w:szCs w:val="22"/>
        </w:rPr>
        <w:t>(4), pp.335-338.</w:t>
      </w:r>
      <w:r w:rsidRPr="00351B26">
        <w:rPr>
          <w:rFonts w:ascii="System Font" w:hAnsi="System Font" w:cs="System Font"/>
          <w:kern w:val="0"/>
          <w:sz w:val="22"/>
          <w:szCs w:val="22"/>
        </w:rPr>
        <w:t xml:space="preserve"> </w:t>
      </w:r>
      <w:r w:rsidR="00434C5B" w:rsidRPr="00351B26">
        <w:rPr>
          <w:rFonts w:ascii="System Font" w:hAnsi="System Font" w:cs="System Font"/>
          <w:kern w:val="0"/>
          <w:sz w:val="22"/>
          <w:szCs w:val="22"/>
        </w:rPr>
        <w:t xml:space="preserve">(Accessed: 21 July </w:t>
      </w:r>
      <w:r w:rsidR="000511EA" w:rsidRPr="00351B26">
        <w:rPr>
          <w:rFonts w:ascii="System Font" w:hAnsi="System Font" w:cs="System Font"/>
          <w:kern w:val="0"/>
          <w:sz w:val="22"/>
          <w:szCs w:val="22"/>
        </w:rPr>
        <w:t>2026).</w:t>
      </w:r>
    </w:p>
    <w:p w14:paraId="4577E2B9" w14:textId="77777777" w:rsidR="008F1BC6" w:rsidRPr="00351B26" w:rsidRDefault="00E1356D" w:rsidP="008F1BC6">
      <w:pPr>
        <w:pStyle w:val="ListParagraph"/>
        <w:numPr>
          <w:ilvl w:val="0"/>
          <w:numId w:val="2"/>
        </w:numPr>
        <w:tabs>
          <w:tab w:val="left" w:pos="915"/>
        </w:tabs>
        <w:spacing w:line="276" w:lineRule="auto"/>
        <w:rPr>
          <w:sz w:val="20"/>
          <w:szCs w:val="20"/>
        </w:rPr>
      </w:pPr>
      <w:r w:rsidRPr="00351B26">
        <w:rPr>
          <w:color w:val="000000"/>
          <w:sz w:val="22"/>
          <w:szCs w:val="22"/>
        </w:rPr>
        <w:t>NHS (2023).</w:t>
      </w:r>
      <w:r w:rsidRPr="00351B26">
        <w:rPr>
          <w:rStyle w:val="apple-converted-space"/>
          <w:color w:val="000000"/>
          <w:sz w:val="22"/>
          <w:szCs w:val="22"/>
        </w:rPr>
        <w:t> </w:t>
      </w:r>
      <w:r w:rsidRPr="00351B26">
        <w:rPr>
          <w:i/>
          <w:iCs/>
          <w:color w:val="000000"/>
          <w:sz w:val="22"/>
          <w:szCs w:val="22"/>
        </w:rPr>
        <w:t>NHS England</w:t>
      </w:r>
      <w:r w:rsidRPr="00351B26">
        <w:rPr>
          <w:rFonts w:ascii="Arial" w:hAnsi="Arial" w:cs="Arial"/>
          <w:i/>
          <w:iCs/>
          <w:color w:val="000000"/>
          <w:sz w:val="22"/>
          <w:szCs w:val="22"/>
        </w:rPr>
        <w:t> </w:t>
      </w:r>
      <w:r w:rsidRPr="00351B26">
        <w:rPr>
          <w:i/>
          <w:iCs/>
          <w:color w:val="000000"/>
          <w:sz w:val="22"/>
          <w:szCs w:val="22"/>
        </w:rPr>
        <w:t>» Personalised care</w:t>
      </w:r>
      <w:r w:rsidRPr="00351B26">
        <w:rPr>
          <w:color w:val="000000"/>
          <w:sz w:val="22"/>
          <w:szCs w:val="22"/>
        </w:rPr>
        <w:t>. [online]</w:t>
      </w:r>
      <w:r w:rsidRPr="00351B26">
        <w:rPr>
          <w:rStyle w:val="apple-converted-space"/>
          <w:color w:val="000000"/>
          <w:sz w:val="22"/>
          <w:szCs w:val="22"/>
        </w:rPr>
        <w:t> </w:t>
      </w:r>
      <w:r w:rsidRPr="00351B26">
        <w:rPr>
          <w:i/>
          <w:iCs/>
          <w:color w:val="000000"/>
          <w:sz w:val="22"/>
          <w:szCs w:val="22"/>
        </w:rPr>
        <w:t>www.england.nhs.uk</w:t>
      </w:r>
      <w:r w:rsidRPr="00351B26">
        <w:rPr>
          <w:color w:val="000000"/>
          <w:sz w:val="22"/>
          <w:szCs w:val="22"/>
        </w:rPr>
        <w:t>. Available at: https://www.england.nhs.uk/personalisedcare [Accessed 7 Aug. 2026].</w:t>
      </w:r>
    </w:p>
    <w:p w14:paraId="71C63166" w14:textId="77777777" w:rsidR="008F1BC6" w:rsidRPr="00351B26" w:rsidRDefault="00A34B81" w:rsidP="000F54C8">
      <w:pPr>
        <w:pStyle w:val="ListParagraph"/>
        <w:numPr>
          <w:ilvl w:val="0"/>
          <w:numId w:val="2"/>
        </w:numPr>
        <w:tabs>
          <w:tab w:val="left" w:pos="915"/>
        </w:tabs>
        <w:spacing w:line="276" w:lineRule="auto"/>
        <w:rPr>
          <w:sz w:val="20"/>
          <w:szCs w:val="20"/>
        </w:rPr>
      </w:pPr>
      <w:r w:rsidRPr="00351B26">
        <w:rPr>
          <w:color w:val="000000"/>
          <w:sz w:val="22"/>
          <w:szCs w:val="22"/>
        </w:rPr>
        <w:t>Oliver, M. (1990).</w:t>
      </w:r>
      <w:r w:rsidRPr="00351B26">
        <w:rPr>
          <w:rStyle w:val="apple-converted-space"/>
          <w:color w:val="000000"/>
          <w:sz w:val="22"/>
          <w:szCs w:val="22"/>
        </w:rPr>
        <w:t> </w:t>
      </w:r>
      <w:r w:rsidRPr="00351B26">
        <w:rPr>
          <w:i/>
          <w:iCs/>
          <w:color w:val="000000"/>
          <w:sz w:val="22"/>
          <w:szCs w:val="22"/>
        </w:rPr>
        <w:t>The politics of disablement</w:t>
      </w:r>
      <w:r w:rsidRPr="00351B26">
        <w:rPr>
          <w:color w:val="000000"/>
          <w:sz w:val="22"/>
          <w:szCs w:val="22"/>
        </w:rPr>
        <w:t>. Macmillian.</w:t>
      </w:r>
      <w:r w:rsidR="002D6737" w:rsidRPr="00351B26">
        <w:rPr>
          <w:color w:val="000000"/>
          <w:sz w:val="22"/>
          <w:szCs w:val="22"/>
        </w:rPr>
        <w:t xml:space="preserve"> (Accessed: 28 July 2026)</w:t>
      </w:r>
    </w:p>
    <w:p w14:paraId="1FC77DF6" w14:textId="77777777" w:rsidR="008F1BC6" w:rsidRPr="00351B26" w:rsidRDefault="00E562A9" w:rsidP="000F54C8">
      <w:pPr>
        <w:pStyle w:val="ListParagraph"/>
        <w:numPr>
          <w:ilvl w:val="0"/>
          <w:numId w:val="2"/>
        </w:numPr>
        <w:tabs>
          <w:tab w:val="left" w:pos="915"/>
        </w:tabs>
        <w:spacing w:line="276" w:lineRule="auto"/>
        <w:rPr>
          <w:sz w:val="20"/>
          <w:szCs w:val="20"/>
        </w:rPr>
      </w:pPr>
      <w:r w:rsidRPr="00351B26">
        <w:rPr>
          <w:rFonts w:ascii="Arial" w:hAnsi="Arial" w:cs="Arial"/>
          <w:color w:val="222222"/>
          <w:sz w:val="22"/>
          <w:szCs w:val="22"/>
          <w:shd w:val="clear" w:color="auto" w:fill="FFFFFF"/>
        </w:rPr>
        <w:t xml:space="preserve">Johansson, T., Pask, S., Goodrich, J., Budd, L., Okamoto, I., Kumar, R., Laidlaw, L., Ghiglieri, C., Woodhead, A., Chambers, R.L. and Davies, J., 2024. Better End of Life 2024. Time to Care: Findings from a nationally representative </w:t>
      </w:r>
      <w:r w:rsidRPr="00351B26">
        <w:rPr>
          <w:rFonts w:ascii="Arial" w:hAnsi="Arial" w:cs="Arial"/>
          <w:color w:val="222222"/>
          <w:sz w:val="21"/>
          <w:szCs w:val="21"/>
          <w:shd w:val="clear" w:color="auto" w:fill="FFFFFF"/>
        </w:rPr>
        <w:t xml:space="preserve">survey of experiences at the end of </w:t>
      </w:r>
      <w:r w:rsidRPr="00351B26">
        <w:rPr>
          <w:rFonts w:ascii="Arial" w:hAnsi="Arial" w:cs="Arial"/>
          <w:color w:val="222222"/>
          <w:sz w:val="22"/>
          <w:szCs w:val="22"/>
          <w:shd w:val="clear" w:color="auto" w:fill="FFFFFF"/>
        </w:rPr>
        <w:t xml:space="preserve">life in England and </w:t>
      </w:r>
      <w:r w:rsidR="00C9260A" w:rsidRPr="00351B26">
        <w:rPr>
          <w:rFonts w:ascii="Arial" w:hAnsi="Arial" w:cs="Arial"/>
          <w:color w:val="222222"/>
          <w:sz w:val="22"/>
          <w:szCs w:val="22"/>
          <w:shd w:val="clear" w:color="auto" w:fill="FFFFFF"/>
        </w:rPr>
        <w:t>Wales. (Accessed</w:t>
      </w:r>
      <w:r w:rsidR="00E356FF" w:rsidRPr="00351B26">
        <w:rPr>
          <w:rFonts w:ascii="Arial" w:hAnsi="Arial" w:cs="Arial"/>
          <w:color w:val="222222"/>
          <w:sz w:val="22"/>
          <w:szCs w:val="22"/>
          <w:shd w:val="clear" w:color="auto" w:fill="FFFFFF"/>
        </w:rPr>
        <w:t xml:space="preserve"> </w:t>
      </w:r>
      <w:r w:rsidR="00C9260A" w:rsidRPr="00351B26">
        <w:rPr>
          <w:rFonts w:ascii="Arial" w:hAnsi="Arial" w:cs="Arial"/>
          <w:color w:val="222222"/>
          <w:sz w:val="22"/>
          <w:szCs w:val="22"/>
          <w:shd w:val="clear" w:color="auto" w:fill="FFFFFF"/>
        </w:rPr>
        <w:t>28 July 2026)</w:t>
      </w:r>
    </w:p>
    <w:p w14:paraId="2F4D1C0A" w14:textId="77777777" w:rsidR="008F1BC6" w:rsidRPr="00351B26" w:rsidRDefault="00D90B5C" w:rsidP="000F54C8">
      <w:pPr>
        <w:pStyle w:val="ListParagraph"/>
        <w:numPr>
          <w:ilvl w:val="0"/>
          <w:numId w:val="2"/>
        </w:numPr>
        <w:tabs>
          <w:tab w:val="left" w:pos="915"/>
        </w:tabs>
        <w:spacing w:line="276" w:lineRule="auto"/>
        <w:rPr>
          <w:sz w:val="20"/>
          <w:szCs w:val="20"/>
        </w:rPr>
      </w:pPr>
      <w:r w:rsidRPr="00351B26">
        <w:rPr>
          <w:rFonts w:ascii="Arial" w:hAnsi="Arial" w:cs="Arial"/>
          <w:color w:val="222222"/>
          <w:sz w:val="22"/>
          <w:szCs w:val="22"/>
          <w:shd w:val="clear" w:color="auto" w:fill="FFFFFF"/>
        </w:rPr>
        <w:t>Shakespeare, T., 2006.</w:t>
      </w:r>
      <w:r w:rsidRPr="00351B26">
        <w:rPr>
          <w:rStyle w:val="apple-converted-space"/>
          <w:rFonts w:ascii="Arial" w:hAnsi="Arial" w:cs="Arial"/>
          <w:color w:val="222222"/>
          <w:sz w:val="22"/>
          <w:szCs w:val="22"/>
          <w:shd w:val="clear" w:color="auto" w:fill="FFFFFF"/>
        </w:rPr>
        <w:t> </w:t>
      </w:r>
      <w:r w:rsidRPr="00351B26">
        <w:rPr>
          <w:rFonts w:ascii="Arial" w:hAnsi="Arial" w:cs="Arial"/>
          <w:i/>
          <w:iCs/>
          <w:color w:val="222222"/>
          <w:sz w:val="22"/>
          <w:szCs w:val="22"/>
        </w:rPr>
        <w:t>Disability rights and wrongs</w:t>
      </w:r>
      <w:r w:rsidRPr="00351B26">
        <w:rPr>
          <w:rFonts w:ascii="Arial" w:hAnsi="Arial" w:cs="Arial"/>
          <w:color w:val="222222"/>
          <w:sz w:val="22"/>
          <w:szCs w:val="22"/>
          <w:shd w:val="clear" w:color="auto" w:fill="FFFFFF"/>
        </w:rPr>
        <w:t>. Routledge.</w:t>
      </w:r>
      <w:r w:rsidRPr="00351B26">
        <w:rPr>
          <w:rFonts w:ascii="Arial" w:hAnsi="Arial" w:cs="Arial"/>
          <w:color w:val="222222"/>
          <w:sz w:val="22"/>
          <w:szCs w:val="22"/>
          <w:shd w:val="clear" w:color="auto" w:fill="FFFFFF"/>
        </w:rPr>
        <w:t xml:space="preserve"> </w:t>
      </w:r>
      <w:r w:rsidR="00FE543D" w:rsidRPr="00351B26">
        <w:rPr>
          <w:rFonts w:ascii="Arial" w:hAnsi="Arial" w:cs="Arial"/>
          <w:color w:val="222222"/>
          <w:sz w:val="22"/>
          <w:szCs w:val="22"/>
          <w:shd w:val="clear" w:color="auto" w:fill="FFFFFF"/>
        </w:rPr>
        <w:t>(Accessed</w:t>
      </w:r>
      <w:r w:rsidRPr="00351B26">
        <w:rPr>
          <w:rFonts w:ascii="Arial" w:hAnsi="Arial" w:cs="Arial"/>
          <w:color w:val="222222"/>
          <w:sz w:val="22"/>
          <w:szCs w:val="22"/>
          <w:shd w:val="clear" w:color="auto" w:fill="FFFFFF"/>
        </w:rPr>
        <w:t>: 29 July 2026)</w:t>
      </w:r>
    </w:p>
    <w:p w14:paraId="437B7200" w14:textId="77777777" w:rsidR="008F1BC6" w:rsidRPr="00351B26" w:rsidRDefault="00DD66AE" w:rsidP="000F54C8">
      <w:pPr>
        <w:pStyle w:val="ListParagraph"/>
        <w:numPr>
          <w:ilvl w:val="0"/>
          <w:numId w:val="2"/>
        </w:numPr>
        <w:tabs>
          <w:tab w:val="left" w:pos="915"/>
        </w:tabs>
        <w:spacing w:line="276" w:lineRule="auto"/>
        <w:rPr>
          <w:sz w:val="20"/>
          <w:szCs w:val="20"/>
        </w:rPr>
      </w:pPr>
      <w:r w:rsidRPr="00351B26">
        <w:rPr>
          <w:rFonts w:ascii="Arial" w:hAnsi="Arial" w:cs="Arial"/>
          <w:color w:val="222222"/>
          <w:sz w:val="22"/>
          <w:szCs w:val="22"/>
          <w:shd w:val="clear" w:color="auto" w:fill="FFFFFF"/>
        </w:rPr>
        <w:t>Shakespeare, T., 2006. The social model of disability.</w:t>
      </w:r>
      <w:r w:rsidRPr="00351B26">
        <w:rPr>
          <w:rStyle w:val="apple-converted-space"/>
          <w:rFonts w:ascii="Arial" w:hAnsi="Arial" w:cs="Arial"/>
          <w:color w:val="222222"/>
          <w:sz w:val="22"/>
          <w:szCs w:val="22"/>
          <w:shd w:val="clear" w:color="auto" w:fill="FFFFFF"/>
        </w:rPr>
        <w:t> </w:t>
      </w:r>
      <w:r w:rsidRPr="00351B26">
        <w:rPr>
          <w:rFonts w:ascii="Arial" w:hAnsi="Arial" w:cs="Arial"/>
          <w:i/>
          <w:iCs/>
          <w:color w:val="222222"/>
          <w:sz w:val="22"/>
          <w:szCs w:val="22"/>
        </w:rPr>
        <w:t>The disability studies reader</w:t>
      </w:r>
      <w:r w:rsidRPr="00351B26">
        <w:rPr>
          <w:rFonts w:ascii="Arial" w:hAnsi="Arial" w:cs="Arial"/>
          <w:color w:val="222222"/>
          <w:sz w:val="22"/>
          <w:szCs w:val="22"/>
          <w:shd w:val="clear" w:color="auto" w:fill="FFFFFF"/>
        </w:rPr>
        <w:t>,</w:t>
      </w:r>
      <w:r w:rsidRPr="00351B26">
        <w:rPr>
          <w:rStyle w:val="apple-converted-space"/>
          <w:rFonts w:ascii="Arial" w:hAnsi="Arial" w:cs="Arial"/>
          <w:color w:val="222222"/>
          <w:sz w:val="22"/>
          <w:szCs w:val="22"/>
          <w:shd w:val="clear" w:color="auto" w:fill="FFFFFF"/>
        </w:rPr>
        <w:t> </w:t>
      </w:r>
      <w:r w:rsidRPr="00351B26">
        <w:rPr>
          <w:rFonts w:ascii="Arial" w:hAnsi="Arial" w:cs="Arial"/>
          <w:i/>
          <w:iCs/>
          <w:color w:val="222222"/>
          <w:sz w:val="22"/>
          <w:szCs w:val="22"/>
        </w:rPr>
        <w:t>2</w:t>
      </w:r>
      <w:r w:rsidRPr="00351B26">
        <w:rPr>
          <w:rFonts w:ascii="Arial" w:hAnsi="Arial" w:cs="Arial"/>
          <w:color w:val="222222"/>
          <w:sz w:val="22"/>
          <w:szCs w:val="22"/>
          <w:shd w:val="clear" w:color="auto" w:fill="FFFFFF"/>
        </w:rPr>
        <w:t>(3), pp.197-204.</w:t>
      </w:r>
      <w:r w:rsidR="004534A1" w:rsidRPr="00351B26">
        <w:rPr>
          <w:rFonts w:ascii="Arial" w:hAnsi="Arial" w:cs="Arial"/>
          <w:color w:val="222222"/>
          <w:sz w:val="22"/>
          <w:szCs w:val="22"/>
          <w:shd w:val="clear" w:color="auto" w:fill="FFFFFF"/>
        </w:rPr>
        <w:t xml:space="preserve"> (Accessed</w:t>
      </w:r>
      <w:r w:rsidR="00A858C7" w:rsidRPr="00351B26">
        <w:rPr>
          <w:rFonts w:ascii="Arial" w:hAnsi="Arial" w:cs="Arial"/>
          <w:color w:val="222222"/>
          <w:sz w:val="22"/>
          <w:szCs w:val="22"/>
          <w:shd w:val="clear" w:color="auto" w:fill="FFFFFF"/>
        </w:rPr>
        <w:t>:29 July 2026</w:t>
      </w:r>
    </w:p>
    <w:p w14:paraId="7EA8BF7D" w14:textId="77777777" w:rsidR="008F1BC6" w:rsidRPr="00351B26" w:rsidRDefault="004C5A09" w:rsidP="000F54C8">
      <w:pPr>
        <w:pStyle w:val="ListParagraph"/>
        <w:numPr>
          <w:ilvl w:val="0"/>
          <w:numId w:val="2"/>
        </w:numPr>
        <w:tabs>
          <w:tab w:val="left" w:pos="915"/>
        </w:tabs>
        <w:spacing w:line="276" w:lineRule="auto"/>
        <w:rPr>
          <w:sz w:val="20"/>
          <w:szCs w:val="20"/>
        </w:rPr>
      </w:pPr>
      <w:r w:rsidRPr="00351B26">
        <w:rPr>
          <w:rFonts w:ascii="Arial" w:hAnsi="Arial" w:cs="Arial"/>
          <w:color w:val="222222"/>
          <w:sz w:val="22"/>
          <w:szCs w:val="22"/>
          <w:shd w:val="clear" w:color="auto" w:fill="FFFFFF"/>
        </w:rPr>
        <w:t>Lourens, H., 2018. Driving in unheard silence: Disability and the politics of shutting up.</w:t>
      </w:r>
      <w:r w:rsidRPr="00351B26">
        <w:rPr>
          <w:rStyle w:val="apple-converted-space"/>
          <w:rFonts w:ascii="Arial" w:hAnsi="Arial" w:cs="Arial"/>
          <w:color w:val="222222"/>
          <w:sz w:val="22"/>
          <w:szCs w:val="22"/>
          <w:shd w:val="clear" w:color="auto" w:fill="FFFFFF"/>
        </w:rPr>
        <w:t> </w:t>
      </w:r>
      <w:r w:rsidRPr="00351B26">
        <w:rPr>
          <w:rFonts w:ascii="Arial" w:hAnsi="Arial" w:cs="Arial"/>
          <w:i/>
          <w:iCs/>
          <w:color w:val="222222"/>
          <w:sz w:val="22"/>
          <w:szCs w:val="22"/>
        </w:rPr>
        <w:t>Journal of Health Psychology</w:t>
      </w:r>
      <w:r w:rsidRPr="00351B26">
        <w:rPr>
          <w:rFonts w:ascii="Arial" w:hAnsi="Arial" w:cs="Arial"/>
          <w:color w:val="222222"/>
          <w:sz w:val="22"/>
          <w:szCs w:val="22"/>
          <w:shd w:val="clear" w:color="auto" w:fill="FFFFFF"/>
        </w:rPr>
        <w:t>,</w:t>
      </w:r>
      <w:r w:rsidRPr="00351B26">
        <w:rPr>
          <w:rStyle w:val="apple-converted-space"/>
          <w:rFonts w:ascii="Arial" w:hAnsi="Arial" w:cs="Arial"/>
          <w:color w:val="222222"/>
          <w:sz w:val="22"/>
          <w:szCs w:val="22"/>
          <w:shd w:val="clear" w:color="auto" w:fill="FFFFFF"/>
        </w:rPr>
        <w:t> </w:t>
      </w:r>
      <w:r w:rsidRPr="00351B26">
        <w:rPr>
          <w:rFonts w:ascii="Arial" w:hAnsi="Arial" w:cs="Arial"/>
          <w:i/>
          <w:iCs/>
          <w:color w:val="222222"/>
          <w:sz w:val="22"/>
          <w:szCs w:val="22"/>
        </w:rPr>
        <w:t>23</w:t>
      </w:r>
      <w:r w:rsidRPr="00351B26">
        <w:rPr>
          <w:rFonts w:ascii="Arial" w:hAnsi="Arial" w:cs="Arial"/>
          <w:color w:val="222222"/>
          <w:sz w:val="22"/>
          <w:szCs w:val="22"/>
          <w:shd w:val="clear" w:color="auto" w:fill="FFFFFF"/>
        </w:rPr>
        <w:t>(4), pp.567-</w:t>
      </w:r>
      <w:proofErr w:type="gramStart"/>
      <w:r w:rsidRPr="00351B26">
        <w:rPr>
          <w:rFonts w:ascii="Arial" w:hAnsi="Arial" w:cs="Arial"/>
          <w:color w:val="222222"/>
          <w:sz w:val="22"/>
          <w:szCs w:val="22"/>
          <w:shd w:val="clear" w:color="auto" w:fill="FFFFFF"/>
        </w:rPr>
        <w:t>576.</w:t>
      </w:r>
      <w:r w:rsidRPr="00351B26">
        <w:rPr>
          <w:rFonts w:ascii="Arial" w:hAnsi="Arial" w:cs="Arial"/>
          <w:color w:val="222222"/>
          <w:sz w:val="22"/>
          <w:szCs w:val="22"/>
          <w:shd w:val="clear" w:color="auto" w:fill="FFFFFF"/>
        </w:rPr>
        <w:t>(</w:t>
      </w:r>
      <w:proofErr w:type="gramEnd"/>
      <w:r w:rsidRPr="00351B26">
        <w:rPr>
          <w:rFonts w:ascii="Arial" w:hAnsi="Arial" w:cs="Arial"/>
          <w:color w:val="222222"/>
          <w:sz w:val="22"/>
          <w:szCs w:val="22"/>
          <w:shd w:val="clear" w:color="auto" w:fill="FFFFFF"/>
        </w:rPr>
        <w:t xml:space="preserve"> Accessed: 24 July </w:t>
      </w:r>
      <w:r w:rsidR="008F1376" w:rsidRPr="00351B26">
        <w:rPr>
          <w:rFonts w:ascii="Arial" w:hAnsi="Arial" w:cs="Arial"/>
          <w:color w:val="222222"/>
          <w:sz w:val="22"/>
          <w:szCs w:val="22"/>
          <w:shd w:val="clear" w:color="auto" w:fill="FFFFFF"/>
        </w:rPr>
        <w:t>2026)</w:t>
      </w:r>
    </w:p>
    <w:p w14:paraId="7BCA956B" w14:textId="77777777" w:rsidR="008F1BC6" w:rsidRPr="00351B26" w:rsidRDefault="00840E5E" w:rsidP="000F54C8">
      <w:pPr>
        <w:pStyle w:val="ListParagraph"/>
        <w:numPr>
          <w:ilvl w:val="0"/>
          <w:numId w:val="2"/>
        </w:numPr>
        <w:tabs>
          <w:tab w:val="left" w:pos="915"/>
        </w:tabs>
        <w:spacing w:line="276" w:lineRule="auto"/>
        <w:rPr>
          <w:sz w:val="20"/>
          <w:szCs w:val="20"/>
        </w:rPr>
      </w:pPr>
      <w:r w:rsidRPr="00351B26">
        <w:rPr>
          <w:rFonts w:ascii="System Font" w:hAnsi="System Font" w:cs="System Font"/>
          <w:kern w:val="0"/>
          <w:sz w:val="22"/>
          <w:szCs w:val="22"/>
        </w:rPr>
        <w:t xml:space="preserve">Thomas, C., 2004. Rescuing a social relational understanding of disability. </w:t>
      </w:r>
      <w:r w:rsidRPr="00351B26">
        <w:rPr>
          <w:rFonts w:ascii="System Font" w:hAnsi="System Font" w:cs="System Font"/>
          <w:i/>
          <w:iCs/>
          <w:kern w:val="0"/>
          <w:sz w:val="22"/>
          <w:szCs w:val="22"/>
        </w:rPr>
        <w:t>Scandinavian Journal of Disability Research</w:t>
      </w:r>
      <w:r w:rsidRPr="00351B26">
        <w:rPr>
          <w:rFonts w:ascii="System Font" w:hAnsi="System Font" w:cs="System Font"/>
          <w:kern w:val="0"/>
          <w:sz w:val="22"/>
          <w:szCs w:val="22"/>
        </w:rPr>
        <w:t xml:space="preserve">, </w:t>
      </w:r>
      <w:r w:rsidRPr="00351B26">
        <w:rPr>
          <w:rFonts w:ascii="System Font" w:hAnsi="System Font" w:cs="System Font"/>
          <w:i/>
          <w:iCs/>
          <w:kern w:val="0"/>
          <w:sz w:val="22"/>
          <w:szCs w:val="22"/>
        </w:rPr>
        <w:t>6</w:t>
      </w:r>
      <w:r w:rsidRPr="00351B26">
        <w:rPr>
          <w:rFonts w:ascii="System Font" w:hAnsi="System Font" w:cs="System Font"/>
          <w:kern w:val="0"/>
          <w:sz w:val="22"/>
          <w:szCs w:val="22"/>
        </w:rPr>
        <w:t>(1), pp.22-</w:t>
      </w:r>
      <w:proofErr w:type="gramStart"/>
      <w:r w:rsidRPr="00351B26">
        <w:rPr>
          <w:rFonts w:ascii="System Font" w:hAnsi="System Font" w:cs="System Font"/>
          <w:kern w:val="0"/>
          <w:sz w:val="22"/>
          <w:szCs w:val="22"/>
        </w:rPr>
        <w:t>36.</w:t>
      </w:r>
      <w:r w:rsidRPr="00351B26">
        <w:rPr>
          <w:rFonts w:ascii="System Font" w:hAnsi="System Font" w:cs="System Font"/>
          <w:kern w:val="0"/>
          <w:sz w:val="22"/>
          <w:szCs w:val="22"/>
        </w:rPr>
        <w:t>(</w:t>
      </w:r>
      <w:proofErr w:type="gramEnd"/>
      <w:r w:rsidRPr="00351B26">
        <w:rPr>
          <w:rFonts w:ascii="System Font" w:hAnsi="System Font" w:cs="System Font"/>
          <w:kern w:val="0"/>
          <w:sz w:val="22"/>
          <w:szCs w:val="22"/>
        </w:rPr>
        <w:t xml:space="preserve"> </w:t>
      </w:r>
      <w:r w:rsidR="003325C7" w:rsidRPr="00351B26">
        <w:rPr>
          <w:rFonts w:ascii="System Font" w:hAnsi="System Font" w:cs="System Font"/>
          <w:kern w:val="0"/>
          <w:sz w:val="22"/>
          <w:szCs w:val="22"/>
        </w:rPr>
        <w:t>Accessed: 20 July 2026)</w:t>
      </w:r>
    </w:p>
    <w:p w14:paraId="0F4D8746" w14:textId="77777777" w:rsidR="008F1BC6" w:rsidRPr="00351B26" w:rsidRDefault="004D6D0D" w:rsidP="008F1BC6">
      <w:pPr>
        <w:pStyle w:val="ListParagraph"/>
        <w:numPr>
          <w:ilvl w:val="0"/>
          <w:numId w:val="2"/>
        </w:numPr>
        <w:tabs>
          <w:tab w:val="left" w:pos="915"/>
        </w:tabs>
        <w:spacing w:line="276" w:lineRule="auto"/>
        <w:rPr>
          <w:sz w:val="20"/>
          <w:szCs w:val="20"/>
        </w:rPr>
      </w:pPr>
      <w:r w:rsidRPr="00351B26">
        <w:rPr>
          <w:rFonts w:ascii="System Font" w:hAnsi="System Font" w:cs="System Font"/>
          <w:kern w:val="0"/>
          <w:sz w:val="22"/>
          <w:szCs w:val="22"/>
        </w:rPr>
        <w:t xml:space="preserve">GOV.UK (2013). </w:t>
      </w:r>
      <w:r w:rsidRPr="00351B26">
        <w:rPr>
          <w:rFonts w:ascii="System Font" w:hAnsi="System Font" w:cs="System Font"/>
          <w:i/>
          <w:iCs/>
          <w:kern w:val="0"/>
          <w:sz w:val="22"/>
          <w:szCs w:val="22"/>
        </w:rPr>
        <w:t>Equality act 2010</w:t>
      </w:r>
      <w:r w:rsidRPr="00351B26">
        <w:rPr>
          <w:rFonts w:ascii="System Font" w:hAnsi="System Font" w:cs="System Font"/>
          <w:kern w:val="0"/>
          <w:sz w:val="22"/>
          <w:szCs w:val="22"/>
        </w:rPr>
        <w:t xml:space="preserve">. [online] </w:t>
      </w:r>
      <w:r w:rsidRPr="00351B26">
        <w:rPr>
          <w:rFonts w:ascii="System Font" w:hAnsi="System Font" w:cs="System Font"/>
          <w:i/>
          <w:iCs/>
          <w:kern w:val="0"/>
          <w:sz w:val="22"/>
          <w:szCs w:val="22"/>
        </w:rPr>
        <w:t>GOV.UK</w:t>
      </w:r>
      <w:r w:rsidRPr="00351B26">
        <w:rPr>
          <w:rFonts w:ascii="System Font" w:hAnsi="System Font" w:cs="System Font"/>
          <w:kern w:val="0"/>
          <w:sz w:val="22"/>
          <w:szCs w:val="22"/>
        </w:rPr>
        <w:t xml:space="preserve">. Available at: https://www.gov.uk/guidance/equality-act-2010-guidance [Accessed </w:t>
      </w:r>
      <w:r w:rsidR="00114F47" w:rsidRPr="00351B26">
        <w:rPr>
          <w:rFonts w:ascii="System Font" w:hAnsi="System Font" w:cs="System Font"/>
          <w:kern w:val="0"/>
          <w:sz w:val="22"/>
          <w:szCs w:val="22"/>
        </w:rPr>
        <w:t xml:space="preserve">2 </w:t>
      </w:r>
      <w:r w:rsidRPr="00351B26">
        <w:rPr>
          <w:rFonts w:ascii="System Font" w:hAnsi="System Font" w:cs="System Font"/>
          <w:kern w:val="0"/>
          <w:sz w:val="22"/>
          <w:szCs w:val="22"/>
        </w:rPr>
        <w:t>Aug. 2026].</w:t>
      </w:r>
    </w:p>
    <w:p w14:paraId="2B593A3D" w14:textId="77777777" w:rsidR="008F1BC6" w:rsidRPr="00351B26" w:rsidRDefault="0008164E" w:rsidP="00242E52">
      <w:pPr>
        <w:pStyle w:val="ListParagraph"/>
        <w:numPr>
          <w:ilvl w:val="0"/>
          <w:numId w:val="2"/>
        </w:numPr>
        <w:tabs>
          <w:tab w:val="left" w:pos="915"/>
        </w:tabs>
        <w:spacing w:line="276" w:lineRule="auto"/>
        <w:rPr>
          <w:sz w:val="20"/>
          <w:szCs w:val="20"/>
        </w:rPr>
      </w:pPr>
      <w:r w:rsidRPr="00351B26">
        <w:rPr>
          <w:rFonts w:ascii="System Font" w:hAnsi="System Font" w:cs="System Font"/>
          <w:kern w:val="0"/>
          <w:sz w:val="22"/>
          <w:szCs w:val="22"/>
        </w:rPr>
        <w:t xml:space="preserve">Union of the Physically Impaired Against Segregation and Disability Alliance (1976). </w:t>
      </w:r>
      <w:r w:rsidRPr="00351B26">
        <w:rPr>
          <w:rFonts w:ascii="System Font" w:hAnsi="System Font" w:cs="System Font"/>
          <w:i/>
          <w:iCs/>
          <w:kern w:val="0"/>
          <w:sz w:val="22"/>
          <w:szCs w:val="22"/>
        </w:rPr>
        <w:t>Fundamental principles of disability</w:t>
      </w:r>
      <w:r w:rsidRPr="00351B26">
        <w:rPr>
          <w:rFonts w:ascii="System Font" w:hAnsi="System Font" w:cs="System Font"/>
          <w:kern w:val="0"/>
          <w:sz w:val="22"/>
          <w:szCs w:val="22"/>
        </w:rPr>
        <w:t xml:space="preserve">. </w:t>
      </w:r>
      <w:proofErr w:type="gramStart"/>
      <w:r w:rsidRPr="00351B26">
        <w:rPr>
          <w:rFonts w:ascii="System Font" w:hAnsi="System Font" w:cs="System Font"/>
          <w:kern w:val="0"/>
          <w:sz w:val="22"/>
          <w:szCs w:val="22"/>
        </w:rPr>
        <w:t>London.</w:t>
      </w:r>
      <w:r w:rsidRPr="00351B26">
        <w:rPr>
          <w:rFonts w:ascii="System Font" w:hAnsi="System Font" w:cs="System Font"/>
          <w:kern w:val="0"/>
          <w:sz w:val="22"/>
          <w:szCs w:val="22"/>
        </w:rPr>
        <w:t>(</w:t>
      </w:r>
      <w:proofErr w:type="gramEnd"/>
      <w:r w:rsidRPr="00351B26">
        <w:rPr>
          <w:rFonts w:ascii="System Font" w:hAnsi="System Font" w:cs="System Font"/>
          <w:kern w:val="0"/>
          <w:sz w:val="22"/>
          <w:szCs w:val="22"/>
        </w:rPr>
        <w:t xml:space="preserve"> Accessed:</w:t>
      </w:r>
      <w:r w:rsidR="00C723FA" w:rsidRPr="00351B26">
        <w:rPr>
          <w:rFonts w:ascii="System Font" w:hAnsi="System Font" w:cs="System Font"/>
          <w:kern w:val="0"/>
          <w:sz w:val="22"/>
          <w:szCs w:val="22"/>
        </w:rPr>
        <w:t>16 July 2026)</w:t>
      </w:r>
    </w:p>
    <w:p w14:paraId="2446567B" w14:textId="58074E71" w:rsidR="00355CA1" w:rsidRPr="00351B26" w:rsidRDefault="003E213B" w:rsidP="00242E52">
      <w:pPr>
        <w:pStyle w:val="ListParagraph"/>
        <w:numPr>
          <w:ilvl w:val="0"/>
          <w:numId w:val="2"/>
        </w:numPr>
        <w:tabs>
          <w:tab w:val="left" w:pos="915"/>
        </w:tabs>
        <w:spacing w:line="276" w:lineRule="auto"/>
        <w:rPr>
          <w:sz w:val="20"/>
          <w:szCs w:val="20"/>
        </w:rPr>
      </w:pPr>
      <w:r w:rsidRPr="00351B26">
        <w:rPr>
          <w:rFonts w:ascii="System Font" w:hAnsi="System Font" w:cs="System Font"/>
          <w:kern w:val="0"/>
          <w:sz w:val="22"/>
          <w:szCs w:val="22"/>
        </w:rPr>
        <w:t>World Health Organi</w:t>
      </w:r>
      <w:r w:rsidR="00C46F26" w:rsidRPr="00351B26">
        <w:rPr>
          <w:rFonts w:ascii="System Font" w:hAnsi="System Font" w:cs="System Font"/>
          <w:kern w:val="0"/>
          <w:sz w:val="22"/>
          <w:szCs w:val="22"/>
        </w:rPr>
        <w:t>s</w:t>
      </w:r>
      <w:r w:rsidRPr="00351B26">
        <w:rPr>
          <w:rFonts w:ascii="System Font" w:hAnsi="System Font" w:cs="System Font"/>
          <w:kern w:val="0"/>
          <w:sz w:val="22"/>
          <w:szCs w:val="22"/>
        </w:rPr>
        <w:t xml:space="preserve">ation, 2022. </w:t>
      </w:r>
      <w:r w:rsidRPr="00351B26">
        <w:rPr>
          <w:rFonts w:ascii="System Font" w:hAnsi="System Font" w:cs="System Font"/>
          <w:i/>
          <w:iCs/>
          <w:kern w:val="0"/>
          <w:sz w:val="22"/>
          <w:szCs w:val="22"/>
        </w:rPr>
        <w:t>Global report on health equity for persons with disabilities: executive summary</w:t>
      </w:r>
      <w:r w:rsidRPr="00351B26">
        <w:rPr>
          <w:rFonts w:ascii="System Font" w:hAnsi="System Font" w:cs="System Font"/>
          <w:kern w:val="0"/>
          <w:sz w:val="22"/>
          <w:szCs w:val="22"/>
        </w:rPr>
        <w:t xml:space="preserve">. World Health </w:t>
      </w:r>
      <w:proofErr w:type="gramStart"/>
      <w:r w:rsidRPr="00351B26">
        <w:rPr>
          <w:rFonts w:ascii="System Font" w:hAnsi="System Font" w:cs="System Font"/>
          <w:kern w:val="0"/>
          <w:sz w:val="22"/>
          <w:szCs w:val="22"/>
        </w:rPr>
        <w:t>Organi</w:t>
      </w:r>
      <w:r w:rsidRPr="00351B26">
        <w:rPr>
          <w:rFonts w:ascii="System Font" w:hAnsi="System Font" w:cs="System Font"/>
          <w:kern w:val="0"/>
          <w:sz w:val="22"/>
          <w:szCs w:val="22"/>
        </w:rPr>
        <w:t>s</w:t>
      </w:r>
      <w:r w:rsidRPr="00351B26">
        <w:rPr>
          <w:rFonts w:ascii="System Font" w:hAnsi="System Font" w:cs="System Font"/>
          <w:kern w:val="0"/>
          <w:sz w:val="22"/>
          <w:szCs w:val="22"/>
        </w:rPr>
        <w:t>ation.</w:t>
      </w:r>
      <w:r w:rsidRPr="00351B26">
        <w:rPr>
          <w:rFonts w:ascii="System Font" w:hAnsi="System Font" w:cs="System Font"/>
          <w:kern w:val="0"/>
          <w:sz w:val="22"/>
          <w:szCs w:val="22"/>
        </w:rPr>
        <w:t>(</w:t>
      </w:r>
      <w:proofErr w:type="gramEnd"/>
      <w:r w:rsidRPr="00351B26">
        <w:rPr>
          <w:rFonts w:ascii="System Font" w:hAnsi="System Font" w:cs="System Font"/>
          <w:kern w:val="0"/>
          <w:sz w:val="22"/>
          <w:szCs w:val="22"/>
        </w:rPr>
        <w:t xml:space="preserve"> Accessed: 20 July 2026)</w:t>
      </w:r>
    </w:p>
    <w:p w14:paraId="64F0C482" w14:textId="77777777" w:rsidR="00333004" w:rsidRPr="002B3C16" w:rsidRDefault="00333004" w:rsidP="004A6BBE">
      <w:pPr>
        <w:tabs>
          <w:tab w:val="left" w:pos="915"/>
        </w:tabs>
        <w:spacing w:line="276" w:lineRule="auto"/>
        <w:rPr>
          <w:sz w:val="22"/>
          <w:szCs w:val="22"/>
        </w:rPr>
      </w:pPr>
    </w:p>
    <w:sectPr w:rsidR="00333004" w:rsidRPr="002B3C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0984EC1"/>
    <w:multiLevelType w:val="hybridMultilevel"/>
    <w:tmpl w:val="2A72E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0B73EE"/>
    <w:multiLevelType w:val="hybridMultilevel"/>
    <w:tmpl w:val="A6C453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3743741">
    <w:abstractNumId w:val="0"/>
  </w:num>
  <w:num w:numId="2" w16cid:durableId="46789246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03F"/>
    <w:rsid w:val="00020A62"/>
    <w:rsid w:val="000511EA"/>
    <w:rsid w:val="0008164E"/>
    <w:rsid w:val="000F54C8"/>
    <w:rsid w:val="00114F47"/>
    <w:rsid w:val="00163150"/>
    <w:rsid w:val="00181F93"/>
    <w:rsid w:val="00195622"/>
    <w:rsid w:val="001F4288"/>
    <w:rsid w:val="0022253C"/>
    <w:rsid w:val="00226301"/>
    <w:rsid w:val="00242E52"/>
    <w:rsid w:val="00246465"/>
    <w:rsid w:val="00246B95"/>
    <w:rsid w:val="00255E30"/>
    <w:rsid w:val="00267805"/>
    <w:rsid w:val="002A508B"/>
    <w:rsid w:val="002B3817"/>
    <w:rsid w:val="002B3C16"/>
    <w:rsid w:val="002D6737"/>
    <w:rsid w:val="002E1A7B"/>
    <w:rsid w:val="002F3930"/>
    <w:rsid w:val="00306018"/>
    <w:rsid w:val="0032133A"/>
    <w:rsid w:val="003325C7"/>
    <w:rsid w:val="00333004"/>
    <w:rsid w:val="00351B26"/>
    <w:rsid w:val="00355CA1"/>
    <w:rsid w:val="00385E3D"/>
    <w:rsid w:val="0039003F"/>
    <w:rsid w:val="003919C6"/>
    <w:rsid w:val="003A3F9B"/>
    <w:rsid w:val="003A7F31"/>
    <w:rsid w:val="003E213B"/>
    <w:rsid w:val="00406B80"/>
    <w:rsid w:val="00426DBB"/>
    <w:rsid w:val="00434C5B"/>
    <w:rsid w:val="00446734"/>
    <w:rsid w:val="004534A1"/>
    <w:rsid w:val="00470362"/>
    <w:rsid w:val="004A6BBE"/>
    <w:rsid w:val="004B4A16"/>
    <w:rsid w:val="004C5A09"/>
    <w:rsid w:val="004D5138"/>
    <w:rsid w:val="004D6D0D"/>
    <w:rsid w:val="004F492E"/>
    <w:rsid w:val="005349BE"/>
    <w:rsid w:val="00562893"/>
    <w:rsid w:val="005A6D28"/>
    <w:rsid w:val="005A7168"/>
    <w:rsid w:val="006264F6"/>
    <w:rsid w:val="00660F5B"/>
    <w:rsid w:val="006F3844"/>
    <w:rsid w:val="006F56FB"/>
    <w:rsid w:val="00736DBD"/>
    <w:rsid w:val="007A1467"/>
    <w:rsid w:val="007A2CEA"/>
    <w:rsid w:val="007B6B0E"/>
    <w:rsid w:val="007C011C"/>
    <w:rsid w:val="007C2794"/>
    <w:rsid w:val="007C53EB"/>
    <w:rsid w:val="007C6579"/>
    <w:rsid w:val="007D7B6F"/>
    <w:rsid w:val="00807560"/>
    <w:rsid w:val="00840E5E"/>
    <w:rsid w:val="0086756E"/>
    <w:rsid w:val="0087114B"/>
    <w:rsid w:val="0088508B"/>
    <w:rsid w:val="008B3D2A"/>
    <w:rsid w:val="008C350F"/>
    <w:rsid w:val="008C58BB"/>
    <w:rsid w:val="008F1376"/>
    <w:rsid w:val="008F1BC6"/>
    <w:rsid w:val="009203E2"/>
    <w:rsid w:val="009506B7"/>
    <w:rsid w:val="009508B0"/>
    <w:rsid w:val="00972F5D"/>
    <w:rsid w:val="009B12A2"/>
    <w:rsid w:val="009C65C3"/>
    <w:rsid w:val="009D742C"/>
    <w:rsid w:val="00A14C12"/>
    <w:rsid w:val="00A24A92"/>
    <w:rsid w:val="00A34B81"/>
    <w:rsid w:val="00A44A82"/>
    <w:rsid w:val="00A450DA"/>
    <w:rsid w:val="00A6266A"/>
    <w:rsid w:val="00A773F3"/>
    <w:rsid w:val="00A858C7"/>
    <w:rsid w:val="00A934A9"/>
    <w:rsid w:val="00A956AF"/>
    <w:rsid w:val="00A9582E"/>
    <w:rsid w:val="00B062A3"/>
    <w:rsid w:val="00B335A7"/>
    <w:rsid w:val="00B71C29"/>
    <w:rsid w:val="00B733FC"/>
    <w:rsid w:val="00B8054D"/>
    <w:rsid w:val="00B831B0"/>
    <w:rsid w:val="00BC6053"/>
    <w:rsid w:val="00C46F26"/>
    <w:rsid w:val="00C632B3"/>
    <w:rsid w:val="00C723FA"/>
    <w:rsid w:val="00C9260A"/>
    <w:rsid w:val="00C927C1"/>
    <w:rsid w:val="00CA2077"/>
    <w:rsid w:val="00CB51C0"/>
    <w:rsid w:val="00CC6B42"/>
    <w:rsid w:val="00CE3885"/>
    <w:rsid w:val="00CF7643"/>
    <w:rsid w:val="00D202C3"/>
    <w:rsid w:val="00D24159"/>
    <w:rsid w:val="00D4082B"/>
    <w:rsid w:val="00D53437"/>
    <w:rsid w:val="00D90B5C"/>
    <w:rsid w:val="00DB0EFC"/>
    <w:rsid w:val="00DD66AE"/>
    <w:rsid w:val="00DE2477"/>
    <w:rsid w:val="00DF1FA3"/>
    <w:rsid w:val="00E1356D"/>
    <w:rsid w:val="00E2019D"/>
    <w:rsid w:val="00E356FF"/>
    <w:rsid w:val="00E562A9"/>
    <w:rsid w:val="00E701A4"/>
    <w:rsid w:val="00F02488"/>
    <w:rsid w:val="00F14515"/>
    <w:rsid w:val="00F647D9"/>
    <w:rsid w:val="00F86D6D"/>
    <w:rsid w:val="00F932A1"/>
    <w:rsid w:val="00FA7830"/>
    <w:rsid w:val="00FE543D"/>
    <w:rsid w:val="00FF3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F12AB3"/>
  <w15:chartTrackingRefBased/>
  <w15:docId w15:val="{B30990F4-F5DD-C84A-BE11-71F3FA596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0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0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0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0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0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0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0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0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0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0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0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0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0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0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0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0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0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03F"/>
    <w:rPr>
      <w:rFonts w:eastAsiaTheme="majorEastAsia" w:cstheme="majorBidi"/>
      <w:color w:val="272727" w:themeColor="text1" w:themeTint="D8"/>
    </w:rPr>
  </w:style>
  <w:style w:type="paragraph" w:styleId="Title">
    <w:name w:val="Title"/>
    <w:basedOn w:val="Normal"/>
    <w:next w:val="Normal"/>
    <w:link w:val="TitleChar"/>
    <w:uiPriority w:val="10"/>
    <w:qFormat/>
    <w:rsid w:val="003900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0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0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0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03F"/>
    <w:pPr>
      <w:spacing w:before="160"/>
      <w:jc w:val="center"/>
    </w:pPr>
    <w:rPr>
      <w:i/>
      <w:iCs/>
      <w:color w:val="404040" w:themeColor="text1" w:themeTint="BF"/>
    </w:rPr>
  </w:style>
  <w:style w:type="character" w:customStyle="1" w:styleId="QuoteChar">
    <w:name w:val="Quote Char"/>
    <w:basedOn w:val="DefaultParagraphFont"/>
    <w:link w:val="Quote"/>
    <w:uiPriority w:val="29"/>
    <w:rsid w:val="0039003F"/>
    <w:rPr>
      <w:i/>
      <w:iCs/>
      <w:color w:val="404040" w:themeColor="text1" w:themeTint="BF"/>
    </w:rPr>
  </w:style>
  <w:style w:type="paragraph" w:styleId="ListParagraph">
    <w:name w:val="List Paragraph"/>
    <w:basedOn w:val="Normal"/>
    <w:uiPriority w:val="34"/>
    <w:qFormat/>
    <w:rsid w:val="0039003F"/>
    <w:pPr>
      <w:ind w:left="720"/>
      <w:contextualSpacing/>
    </w:pPr>
  </w:style>
  <w:style w:type="character" w:styleId="IntenseEmphasis">
    <w:name w:val="Intense Emphasis"/>
    <w:basedOn w:val="DefaultParagraphFont"/>
    <w:uiPriority w:val="21"/>
    <w:qFormat/>
    <w:rsid w:val="0039003F"/>
    <w:rPr>
      <w:i/>
      <w:iCs/>
      <w:color w:val="0F4761" w:themeColor="accent1" w:themeShade="BF"/>
    </w:rPr>
  </w:style>
  <w:style w:type="paragraph" w:styleId="IntenseQuote">
    <w:name w:val="Intense Quote"/>
    <w:basedOn w:val="Normal"/>
    <w:next w:val="Normal"/>
    <w:link w:val="IntenseQuoteChar"/>
    <w:uiPriority w:val="30"/>
    <w:qFormat/>
    <w:rsid w:val="003900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03F"/>
    <w:rPr>
      <w:i/>
      <w:iCs/>
      <w:color w:val="0F4761" w:themeColor="accent1" w:themeShade="BF"/>
    </w:rPr>
  </w:style>
  <w:style w:type="character" w:styleId="IntenseReference">
    <w:name w:val="Intense Reference"/>
    <w:basedOn w:val="DefaultParagraphFont"/>
    <w:uiPriority w:val="32"/>
    <w:qFormat/>
    <w:rsid w:val="0039003F"/>
    <w:rPr>
      <w:b/>
      <w:bCs/>
      <w:smallCaps/>
      <w:color w:val="0F4761" w:themeColor="accent1" w:themeShade="BF"/>
      <w:spacing w:val="5"/>
    </w:rPr>
  </w:style>
  <w:style w:type="character" w:styleId="Hyperlink">
    <w:name w:val="Hyperlink"/>
    <w:basedOn w:val="DefaultParagraphFont"/>
    <w:uiPriority w:val="99"/>
    <w:unhideWhenUsed/>
    <w:rsid w:val="007A1467"/>
    <w:rPr>
      <w:color w:val="467886" w:themeColor="hyperlink"/>
      <w:u w:val="single"/>
    </w:rPr>
  </w:style>
  <w:style w:type="character" w:styleId="UnresolvedMention">
    <w:name w:val="Unresolved Mention"/>
    <w:basedOn w:val="DefaultParagraphFont"/>
    <w:uiPriority w:val="99"/>
    <w:semiHidden/>
    <w:unhideWhenUsed/>
    <w:rsid w:val="007A1467"/>
    <w:rPr>
      <w:color w:val="605E5C"/>
      <w:shd w:val="clear" w:color="auto" w:fill="E1DFDD"/>
    </w:rPr>
  </w:style>
  <w:style w:type="paragraph" w:styleId="NormalWeb">
    <w:name w:val="Normal (Web)"/>
    <w:basedOn w:val="Normal"/>
    <w:uiPriority w:val="99"/>
    <w:unhideWhenUsed/>
    <w:rsid w:val="0088508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85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Jodiel N Joploh (2438789)</dc:creator>
  <cp:keywords/>
  <dc:description/>
  <cp:lastModifiedBy>Jodiel N Joploh (2438789)</cp:lastModifiedBy>
  <cp:revision>2</cp:revision>
  <dcterms:created xsi:type="dcterms:W3CDTF">2026-08-07T07:20:00Z</dcterms:created>
  <dcterms:modified xsi:type="dcterms:W3CDTF">2026-08-07T07:20:00Z</dcterms:modified>
</cp:coreProperties>
</file>