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380D50" w14:textId="577BCEBC" w:rsidR="00C728B9" w:rsidRPr="00322120" w:rsidRDefault="00506ADC" w:rsidP="00E75782">
      <w:pPr>
        <w:pStyle w:val="NoSpacing"/>
        <w:jc w:val="both"/>
        <w:rPr>
          <w:sz w:val="22"/>
          <w:szCs w:val="22"/>
        </w:rPr>
      </w:pPr>
      <w:r w:rsidRPr="00322120">
        <w:rPr>
          <w:sz w:val="22"/>
          <w:szCs w:val="22"/>
        </w:rPr>
        <w:t xml:space="preserve">Currently in England and Wales the regulation of equity and trusts is decentralised with the responsibility for enforcing these regulations being delegated to several different agencies. This has led to some unintentional consequences, such as, legal loopholes for creating and managing trusts </w:t>
      </w:r>
      <w:r w:rsidR="00E75782" w:rsidRPr="00322120">
        <w:rPr>
          <w:sz w:val="22"/>
          <w:szCs w:val="22"/>
        </w:rPr>
        <w:t>and also a variation between how regulators deal with their cases – with Equity often left to balance the scales of justice due to the inadequacies of the law. Our group proposal for a unified and centralised regulatory body addresses these issues and such reforms would allow for greater efficiency and effectiveness in relation to trustee’s duties and obligatio</w:t>
      </w:r>
      <w:r w:rsidR="00640CE2" w:rsidRPr="00322120">
        <w:rPr>
          <w:sz w:val="22"/>
          <w:szCs w:val="22"/>
        </w:rPr>
        <w:t xml:space="preserve">ns, as well as foster more confidence in beneficiaries and stakeholders that their interests will be protected under one centralised system. The reforms would also provide greater consistency in its rulings, a more stringent and concise guidance that would be easier to understand so all parties know where they stand and what is expected of them.  It is also essential that the reforms we offer are </w:t>
      </w:r>
      <w:r w:rsidR="00B35EB2" w:rsidRPr="00322120">
        <w:rPr>
          <w:sz w:val="22"/>
          <w:szCs w:val="22"/>
        </w:rPr>
        <w:t xml:space="preserve">not only </w:t>
      </w:r>
      <w:r w:rsidR="00640CE2" w:rsidRPr="00322120">
        <w:rPr>
          <w:sz w:val="22"/>
          <w:szCs w:val="22"/>
        </w:rPr>
        <w:t xml:space="preserve">broad, robust and flexible to allow for amendments </w:t>
      </w:r>
      <w:r w:rsidR="00B35EB2" w:rsidRPr="00322120">
        <w:rPr>
          <w:sz w:val="22"/>
          <w:szCs w:val="22"/>
        </w:rPr>
        <w:t xml:space="preserve">to account for changes to equity and trusts as time progresses, but that they also correlate with </w:t>
      </w:r>
      <w:r w:rsidR="00E97BC7" w:rsidRPr="00322120">
        <w:rPr>
          <w:sz w:val="22"/>
          <w:szCs w:val="22"/>
        </w:rPr>
        <w:t xml:space="preserve">equity’s underpinning principles of fairness and justice for all. We must also consider whether the implementation of these reforms may cause any potential challenges and discuss how to address them. </w:t>
      </w:r>
    </w:p>
    <w:p w14:paraId="586A44EC" w14:textId="77777777" w:rsidR="00E97BC7" w:rsidRPr="00322120" w:rsidRDefault="00E97BC7" w:rsidP="00E75782">
      <w:pPr>
        <w:pStyle w:val="NoSpacing"/>
        <w:jc w:val="both"/>
        <w:rPr>
          <w:sz w:val="22"/>
          <w:szCs w:val="22"/>
        </w:rPr>
      </w:pPr>
    </w:p>
    <w:p w14:paraId="473791DB" w14:textId="77777777" w:rsidR="00322120" w:rsidRPr="00322120" w:rsidRDefault="00E97BC7" w:rsidP="00E75782">
      <w:pPr>
        <w:pStyle w:val="NoSpacing"/>
        <w:jc w:val="both"/>
        <w:rPr>
          <w:sz w:val="22"/>
          <w:szCs w:val="22"/>
        </w:rPr>
      </w:pPr>
      <w:r w:rsidRPr="00322120">
        <w:rPr>
          <w:b/>
          <w:bCs/>
          <w:sz w:val="22"/>
          <w:szCs w:val="22"/>
        </w:rPr>
        <w:t>Current Position:</w:t>
      </w:r>
      <w:r w:rsidRPr="00322120">
        <w:rPr>
          <w:sz w:val="22"/>
          <w:szCs w:val="22"/>
        </w:rPr>
        <w:t xml:space="preserve"> </w:t>
      </w:r>
    </w:p>
    <w:p w14:paraId="3FE732E7" w14:textId="344E9F07" w:rsidR="00E97BC7" w:rsidRPr="00322120" w:rsidRDefault="00E97BC7" w:rsidP="00E75782">
      <w:pPr>
        <w:pStyle w:val="NoSpacing"/>
        <w:jc w:val="both"/>
        <w:rPr>
          <w:sz w:val="22"/>
          <w:szCs w:val="22"/>
        </w:rPr>
      </w:pPr>
      <w:r w:rsidRPr="00322120">
        <w:rPr>
          <w:sz w:val="22"/>
          <w:szCs w:val="22"/>
        </w:rPr>
        <w:t xml:space="preserve">The current decentralised approach is split </w:t>
      </w:r>
      <w:r w:rsidR="001675BE" w:rsidRPr="00322120">
        <w:rPr>
          <w:sz w:val="22"/>
          <w:szCs w:val="22"/>
        </w:rPr>
        <w:t xml:space="preserve">into </w:t>
      </w:r>
      <w:r w:rsidR="00CB6F95" w:rsidRPr="00322120">
        <w:rPr>
          <w:sz w:val="22"/>
          <w:szCs w:val="22"/>
        </w:rPr>
        <w:t xml:space="preserve">several </w:t>
      </w:r>
      <w:r w:rsidR="001675BE" w:rsidRPr="00322120">
        <w:rPr>
          <w:sz w:val="22"/>
          <w:szCs w:val="22"/>
        </w:rPr>
        <w:t>areas, firstly there are private trusts which are regulated by legislation which is enforced by the High Court’s Chancery Division. Private trusts can also be managed by professional trustees, such as, Chartered Accountants</w:t>
      </w:r>
      <w:r w:rsidR="00CB6F95" w:rsidRPr="00322120">
        <w:rPr>
          <w:sz w:val="22"/>
          <w:szCs w:val="22"/>
        </w:rPr>
        <w:t xml:space="preserve"> and Solicitors who would also be expected to adhere to the regulations from the Solicitor’s Regulation Authority and Financial Conduct Authority</w:t>
      </w:r>
      <w:r w:rsidR="006C77DF" w:rsidRPr="00322120">
        <w:rPr>
          <w:sz w:val="22"/>
          <w:szCs w:val="22"/>
        </w:rPr>
        <w:t>, ensuring they meet the necessary professional standards and that they possess the required qualifications and skillset to manage the trusts effectively</w:t>
      </w:r>
      <w:r w:rsidR="00CB6F95" w:rsidRPr="00322120">
        <w:rPr>
          <w:sz w:val="22"/>
          <w:szCs w:val="22"/>
        </w:rPr>
        <w:t>. Then there are charitable trusts which are largely regulated by the Charity Commission which was established with the introduction of the Charitable Trusts Act 185</w:t>
      </w:r>
      <w:r w:rsidR="00510064" w:rsidRPr="00322120">
        <w:rPr>
          <w:sz w:val="22"/>
          <w:szCs w:val="22"/>
        </w:rPr>
        <w:t xml:space="preserve">3, Jones (2024).  </w:t>
      </w:r>
    </w:p>
    <w:p w14:paraId="7222C1F1" w14:textId="0AED91AD" w:rsidR="00B47080" w:rsidRPr="00322120" w:rsidRDefault="00B47080" w:rsidP="00E75782">
      <w:pPr>
        <w:pStyle w:val="NoSpacing"/>
        <w:jc w:val="both"/>
        <w:rPr>
          <w:sz w:val="22"/>
          <w:szCs w:val="22"/>
        </w:rPr>
      </w:pPr>
    </w:p>
    <w:p w14:paraId="3F7E7267" w14:textId="450485EA" w:rsidR="00EA215C" w:rsidRPr="00322120" w:rsidRDefault="006C77DF" w:rsidP="00E75782">
      <w:pPr>
        <w:pStyle w:val="NoSpacing"/>
        <w:jc w:val="both"/>
        <w:rPr>
          <w:sz w:val="22"/>
          <w:szCs w:val="22"/>
        </w:rPr>
      </w:pPr>
      <w:r w:rsidRPr="00322120">
        <w:rPr>
          <w:sz w:val="22"/>
          <w:szCs w:val="22"/>
        </w:rPr>
        <w:t>The differences between regulatory bodies and their approaches could not be more apparent under this decentralised system. The High Court’s Chancery Division is the primary regulatory body relating to private trust</w:t>
      </w:r>
      <w:r w:rsidR="006826F3" w:rsidRPr="00322120">
        <w:rPr>
          <w:sz w:val="22"/>
          <w:szCs w:val="22"/>
        </w:rPr>
        <w:t xml:space="preserve">s, and they make regulations pertaining to the fiduciary responsibility of trustees to cestui que trusts and also dispute resolution and adjudication, which is essential to ensuring that </w:t>
      </w:r>
      <w:r w:rsidR="00BF2609" w:rsidRPr="00322120">
        <w:rPr>
          <w:sz w:val="22"/>
          <w:szCs w:val="22"/>
        </w:rPr>
        <w:t>trusts are able to operate effectively</w:t>
      </w:r>
      <w:r w:rsidR="00B9149D" w:rsidRPr="00322120">
        <w:rPr>
          <w:sz w:val="22"/>
          <w:szCs w:val="22"/>
        </w:rPr>
        <w:t>, Edwards &amp; Stockwell, (2015)</w:t>
      </w:r>
      <w:r w:rsidR="00BF2609" w:rsidRPr="00322120">
        <w:rPr>
          <w:sz w:val="22"/>
          <w:szCs w:val="22"/>
        </w:rPr>
        <w:t xml:space="preserve">. </w:t>
      </w:r>
    </w:p>
    <w:p w14:paraId="6793D471" w14:textId="77777777" w:rsidR="00EA215C" w:rsidRPr="00322120" w:rsidRDefault="00EA215C" w:rsidP="00E75782">
      <w:pPr>
        <w:pStyle w:val="NoSpacing"/>
        <w:jc w:val="both"/>
        <w:rPr>
          <w:sz w:val="22"/>
          <w:szCs w:val="22"/>
        </w:rPr>
      </w:pPr>
    </w:p>
    <w:p w14:paraId="6521861D" w14:textId="77777777" w:rsidR="00B9149D" w:rsidRPr="00322120" w:rsidRDefault="00EA215C" w:rsidP="00E75782">
      <w:pPr>
        <w:pStyle w:val="NoSpacing"/>
        <w:jc w:val="both"/>
        <w:rPr>
          <w:sz w:val="22"/>
          <w:szCs w:val="22"/>
        </w:rPr>
      </w:pPr>
      <w:r w:rsidRPr="00322120">
        <w:rPr>
          <w:sz w:val="22"/>
          <w:szCs w:val="22"/>
        </w:rPr>
        <w:t xml:space="preserve">Then there is the Charity Commission which is duly responsible for the regulations is the </w:t>
      </w:r>
      <w:r w:rsidR="00B9149D" w:rsidRPr="00322120">
        <w:rPr>
          <w:sz w:val="22"/>
          <w:szCs w:val="22"/>
        </w:rPr>
        <w:t xml:space="preserve">overarching authority on charity trust regulation, </w:t>
      </w:r>
      <w:r w:rsidRPr="00322120">
        <w:rPr>
          <w:sz w:val="22"/>
          <w:szCs w:val="22"/>
        </w:rPr>
        <w:t xml:space="preserve">which not only ensure that charities operate effectively and within the law but also to ensure that charities </w:t>
      </w:r>
      <w:r w:rsidR="00B9149D" w:rsidRPr="00322120">
        <w:rPr>
          <w:sz w:val="22"/>
          <w:szCs w:val="22"/>
        </w:rPr>
        <w:t xml:space="preserve">are accountable to the communities which they serve as well as providing services which are useful and beneficial to them, Gov.uk, (2023). </w:t>
      </w:r>
    </w:p>
    <w:p w14:paraId="23D4DD33" w14:textId="77777777" w:rsidR="00B9149D" w:rsidRPr="00322120" w:rsidRDefault="00B9149D" w:rsidP="00E75782">
      <w:pPr>
        <w:pStyle w:val="NoSpacing"/>
        <w:jc w:val="both"/>
        <w:rPr>
          <w:sz w:val="22"/>
          <w:szCs w:val="22"/>
        </w:rPr>
      </w:pPr>
    </w:p>
    <w:p w14:paraId="29C63792" w14:textId="77777777" w:rsidR="00322120" w:rsidRPr="00322120" w:rsidRDefault="00B9149D" w:rsidP="00E75782">
      <w:pPr>
        <w:pStyle w:val="NoSpacing"/>
        <w:jc w:val="both"/>
        <w:rPr>
          <w:sz w:val="22"/>
          <w:szCs w:val="22"/>
        </w:rPr>
      </w:pPr>
      <w:r w:rsidRPr="00322120">
        <w:rPr>
          <w:b/>
          <w:bCs/>
          <w:sz w:val="22"/>
          <w:szCs w:val="22"/>
        </w:rPr>
        <w:t>Current Challenges:</w:t>
      </w:r>
      <w:r w:rsidRPr="00322120">
        <w:rPr>
          <w:sz w:val="22"/>
          <w:szCs w:val="22"/>
        </w:rPr>
        <w:t xml:space="preserve"> </w:t>
      </w:r>
    </w:p>
    <w:p w14:paraId="3FE99846" w14:textId="338FABFF" w:rsidR="00A577C2" w:rsidRPr="00322120" w:rsidRDefault="00B9149D" w:rsidP="00E75782">
      <w:pPr>
        <w:pStyle w:val="NoSpacing"/>
        <w:jc w:val="both"/>
        <w:rPr>
          <w:sz w:val="22"/>
          <w:szCs w:val="22"/>
        </w:rPr>
      </w:pPr>
      <w:r w:rsidRPr="00322120">
        <w:rPr>
          <w:sz w:val="22"/>
          <w:szCs w:val="22"/>
        </w:rPr>
        <w:t>The main challenges of having such a decentralised regulatory system surrounding this area of the legal system is</w:t>
      </w:r>
      <w:r w:rsidR="007C4474" w:rsidRPr="00322120">
        <w:rPr>
          <w:sz w:val="22"/>
          <w:szCs w:val="22"/>
        </w:rPr>
        <w:t xml:space="preserve"> that there are too many agencies involved in regulating several sectors, some may say that this is beneficial as it allows bodies to utilise people with specialist experience and knowledge of that sector to implement regulations and processes</w:t>
      </w:r>
      <w:r w:rsidR="006261E9" w:rsidRPr="00322120">
        <w:rPr>
          <w:sz w:val="22"/>
          <w:szCs w:val="22"/>
        </w:rPr>
        <w:t xml:space="preserve">. </w:t>
      </w:r>
      <w:r w:rsidR="00510064" w:rsidRPr="00322120">
        <w:rPr>
          <w:sz w:val="22"/>
          <w:szCs w:val="22"/>
        </w:rPr>
        <w:t>Whereas</w:t>
      </w:r>
      <w:r w:rsidR="007C4474" w:rsidRPr="00322120">
        <w:rPr>
          <w:sz w:val="22"/>
          <w:szCs w:val="22"/>
        </w:rPr>
        <w:t xml:space="preserve"> others consider</w:t>
      </w:r>
      <w:r w:rsidR="00510064" w:rsidRPr="00322120">
        <w:rPr>
          <w:sz w:val="22"/>
          <w:szCs w:val="22"/>
        </w:rPr>
        <w:t xml:space="preserve"> t</w:t>
      </w:r>
      <w:r w:rsidR="006261E9" w:rsidRPr="00322120">
        <w:rPr>
          <w:sz w:val="22"/>
          <w:szCs w:val="22"/>
        </w:rPr>
        <w:t>his fractured approach to actually impede justice as there can be several overlaps between regulators and legislation, which in turn have inadvertently created loopholes and legal grey areas that could potentially have a negative impact on the rights and protections of the beneficiaries.</w:t>
      </w:r>
      <w:r w:rsidR="004F0A79" w:rsidRPr="00322120">
        <w:rPr>
          <w:sz w:val="22"/>
          <w:szCs w:val="22"/>
        </w:rPr>
        <w:t xml:space="preserve"> </w:t>
      </w:r>
    </w:p>
    <w:p w14:paraId="72DA55BB" w14:textId="77777777" w:rsidR="00A577C2" w:rsidRPr="00322120" w:rsidRDefault="00A577C2" w:rsidP="00E75782">
      <w:pPr>
        <w:pStyle w:val="NoSpacing"/>
        <w:jc w:val="both"/>
        <w:rPr>
          <w:sz w:val="22"/>
          <w:szCs w:val="22"/>
        </w:rPr>
      </w:pPr>
    </w:p>
    <w:p w14:paraId="149BDDA4" w14:textId="6F769D74" w:rsidR="0031653C" w:rsidRPr="00322120" w:rsidRDefault="00A577C2" w:rsidP="00E75782">
      <w:pPr>
        <w:pStyle w:val="NoSpacing"/>
        <w:jc w:val="both"/>
        <w:rPr>
          <w:sz w:val="22"/>
          <w:szCs w:val="22"/>
        </w:rPr>
      </w:pPr>
      <w:r w:rsidRPr="00322120">
        <w:rPr>
          <w:sz w:val="22"/>
          <w:szCs w:val="22"/>
        </w:rPr>
        <w:t xml:space="preserve">A coalition of several stakeholders have voiced their concerns about the current boundaries and practical issues with our current legal system in relation to trust law.  It has been recommended </w:t>
      </w:r>
      <w:r w:rsidRPr="00322120">
        <w:rPr>
          <w:sz w:val="22"/>
          <w:szCs w:val="22"/>
        </w:rPr>
        <w:lastRenderedPageBreak/>
        <w:t xml:space="preserve">that those advocating for reform on this issue to focus an area of trust law which is outdated with the view of adapting the current legal framework with the aim of increasing our effectiveness in the global market. The current system of trust law has not been </w:t>
      </w:r>
      <w:r w:rsidR="0031653C" w:rsidRPr="00322120">
        <w:rPr>
          <w:sz w:val="22"/>
          <w:szCs w:val="22"/>
        </w:rPr>
        <w:t xml:space="preserve">systematically reviewed since 1925, however there has been significant and innovative improvement to trust law not only in Scotland and Jersey, but also Singapore has all successfully reformed their laws while managing to remain competitive, </w:t>
      </w:r>
      <w:r w:rsidR="008B466E" w:rsidRPr="00322120">
        <w:rPr>
          <w:sz w:val="22"/>
          <w:szCs w:val="22"/>
        </w:rPr>
        <w:t xml:space="preserve">Law Commission, (2017). </w:t>
      </w:r>
    </w:p>
    <w:p w14:paraId="2D6706FF" w14:textId="77777777" w:rsidR="008B466E" w:rsidRPr="00322120" w:rsidRDefault="008B466E" w:rsidP="00E75782">
      <w:pPr>
        <w:pStyle w:val="NoSpacing"/>
        <w:jc w:val="both"/>
        <w:rPr>
          <w:sz w:val="22"/>
          <w:szCs w:val="22"/>
        </w:rPr>
      </w:pPr>
    </w:p>
    <w:p w14:paraId="4A365541" w14:textId="00F84D12" w:rsidR="00FE2E65" w:rsidRDefault="000D1777" w:rsidP="00E75782">
      <w:pPr>
        <w:pStyle w:val="NoSpacing"/>
        <w:jc w:val="both"/>
        <w:rPr>
          <w:sz w:val="22"/>
          <w:szCs w:val="22"/>
        </w:rPr>
      </w:pPr>
      <w:r w:rsidRPr="00322120">
        <w:rPr>
          <w:sz w:val="22"/>
          <w:szCs w:val="22"/>
        </w:rPr>
        <w:t xml:space="preserve">Equity and trust regulation is presented with numerous challenges as a result of its decentralised approach, all of which indicate that it is time for reform in this area. Such challenges include the necessity for transparency within the system, as well as accountability and fairness. There is also the need to consider that trust agreements today are </w:t>
      </w:r>
      <w:r w:rsidR="00AB120F" w:rsidRPr="00322120">
        <w:rPr>
          <w:sz w:val="22"/>
          <w:szCs w:val="22"/>
        </w:rPr>
        <w:t>becoming more complex to meet the needs of a rapidly changing society</w:t>
      </w:r>
      <w:r w:rsidR="00FE2E65" w:rsidRPr="00322120">
        <w:rPr>
          <w:sz w:val="22"/>
          <w:szCs w:val="22"/>
        </w:rPr>
        <w:t>, and it is evident th</w:t>
      </w:r>
      <w:r w:rsidR="002E2181" w:rsidRPr="00322120">
        <w:rPr>
          <w:sz w:val="22"/>
          <w:szCs w:val="22"/>
        </w:rPr>
        <w:t>at as the foundations of trust administration continue to change, the key legal frameworks which underpin this area of law must also adapt to remain relevant</w:t>
      </w:r>
      <w:r w:rsidR="00AB120F" w:rsidRPr="00322120">
        <w:rPr>
          <w:sz w:val="22"/>
          <w:szCs w:val="22"/>
        </w:rPr>
        <w:t>. In order for these reforms to be successful</w:t>
      </w:r>
      <w:r w:rsidR="00FE2E65" w:rsidRPr="00322120">
        <w:rPr>
          <w:sz w:val="22"/>
          <w:szCs w:val="22"/>
        </w:rPr>
        <w:t xml:space="preserve">, legislators need to not only enact legislation which effectively and decisively tackles these challenges but work together with legal professionals and regulatory bodies to streamline this system so that protections of </w:t>
      </w:r>
      <w:r w:rsidR="002E2181" w:rsidRPr="00322120">
        <w:rPr>
          <w:sz w:val="22"/>
          <w:szCs w:val="22"/>
        </w:rPr>
        <w:t>beneficiary’s</w:t>
      </w:r>
      <w:r w:rsidR="00FE2E65" w:rsidRPr="00322120">
        <w:rPr>
          <w:sz w:val="22"/>
          <w:szCs w:val="22"/>
        </w:rPr>
        <w:t xml:space="preserve"> interests can be strengthened while simultaneously ensuring that trustees fulfil their fiduciary obligations to the trust, House of Lords, (2004). </w:t>
      </w:r>
    </w:p>
    <w:p w14:paraId="3129862A" w14:textId="77777777" w:rsidR="00E20078" w:rsidRDefault="00E20078" w:rsidP="00E75782">
      <w:pPr>
        <w:pStyle w:val="NoSpacing"/>
        <w:jc w:val="both"/>
        <w:rPr>
          <w:sz w:val="22"/>
          <w:szCs w:val="22"/>
        </w:rPr>
      </w:pPr>
    </w:p>
    <w:p w14:paraId="01EBF033" w14:textId="0B7D19B9" w:rsidR="00E20078" w:rsidRPr="00322120" w:rsidRDefault="00E20078" w:rsidP="00E75782">
      <w:pPr>
        <w:pStyle w:val="NoSpacing"/>
        <w:jc w:val="both"/>
        <w:rPr>
          <w:sz w:val="22"/>
          <w:szCs w:val="22"/>
        </w:rPr>
      </w:pPr>
      <w:r>
        <w:rPr>
          <w:sz w:val="22"/>
          <w:szCs w:val="22"/>
        </w:rPr>
        <w:t xml:space="preserve">There are also issues with the perception of trusts, with the majority of the public having a negative view on trusts – due largely to the media’s reporting of </w:t>
      </w:r>
      <w:r w:rsidR="00555CC6">
        <w:rPr>
          <w:sz w:val="22"/>
          <w:szCs w:val="22"/>
        </w:rPr>
        <w:t xml:space="preserve">celebrity and other high-profile cases relating to tax avoidance and money laundering which have exacerbated mistrust among the public. They are perceived as being mysterious and secretive and only beneficial to the elite, while the positive work that trusts achieve rarely being publicised or considered newsworthy. How can we alter this perception of trusts and highlight the positive and practical benefits to everyday people in a way that will instil confidence and remove some of the common misconceptions surrounding trusts? </w:t>
      </w:r>
      <w:r w:rsidR="004D58CA">
        <w:rPr>
          <w:sz w:val="22"/>
          <w:szCs w:val="22"/>
        </w:rPr>
        <w:t xml:space="preserve">Adopting a centralised regulatory body with a singular governance and objective could be a step towards achieving this goal as it not only would cut bureaucracy and dismantle the perception of secrecy, but it would also substantially reconstruct the current system and allow it to be developed to meet the needs of modern society. In the UK there have been several regulatory measures, such as the OECD’s </w:t>
      </w:r>
      <w:r w:rsidR="000F7B88">
        <w:rPr>
          <w:sz w:val="22"/>
          <w:szCs w:val="22"/>
        </w:rPr>
        <w:t>Common Reporting System and also the Register of Beneficial Ownership along with implementing and going beyond some of the EU Fifth AML Directive</w:t>
      </w:r>
      <w:r w:rsidR="004D58CA">
        <w:rPr>
          <w:sz w:val="22"/>
          <w:szCs w:val="22"/>
        </w:rPr>
        <w:t xml:space="preserve">, </w:t>
      </w:r>
      <w:r w:rsidR="000F7B88">
        <w:rPr>
          <w:sz w:val="22"/>
          <w:szCs w:val="22"/>
        </w:rPr>
        <w:t xml:space="preserve">namely the requirement for trustees to ascertain all of the beneficiaries regardless of their share in the trust, demonstrating that there is clear appetite for reform in this area, Carington, </w:t>
      </w:r>
      <w:r w:rsidR="004D58CA">
        <w:rPr>
          <w:sz w:val="22"/>
          <w:szCs w:val="22"/>
        </w:rPr>
        <w:t xml:space="preserve">(2022). </w:t>
      </w:r>
    </w:p>
    <w:p w14:paraId="17E94C74" w14:textId="77777777" w:rsidR="00DD660F" w:rsidRPr="00322120" w:rsidRDefault="00DD660F" w:rsidP="00E75782">
      <w:pPr>
        <w:pStyle w:val="NoSpacing"/>
        <w:jc w:val="both"/>
        <w:rPr>
          <w:sz w:val="22"/>
          <w:szCs w:val="22"/>
        </w:rPr>
      </w:pPr>
    </w:p>
    <w:p w14:paraId="6054E2DA" w14:textId="77777777" w:rsidR="00322120" w:rsidRPr="00322120" w:rsidRDefault="00322120" w:rsidP="00322120">
      <w:pPr>
        <w:pStyle w:val="NoSpacing"/>
        <w:jc w:val="both"/>
        <w:rPr>
          <w:sz w:val="22"/>
          <w:szCs w:val="22"/>
        </w:rPr>
      </w:pPr>
      <w:r w:rsidRPr="00322120">
        <w:rPr>
          <w:b/>
          <w:bCs/>
          <w:sz w:val="22"/>
          <w:szCs w:val="22"/>
        </w:rPr>
        <w:t>Proposals for Reform:</w:t>
      </w:r>
      <w:r w:rsidRPr="00322120">
        <w:rPr>
          <w:sz w:val="22"/>
          <w:szCs w:val="22"/>
        </w:rPr>
        <w:t xml:space="preserve"> </w:t>
      </w:r>
    </w:p>
    <w:p w14:paraId="79120797" w14:textId="1E8E9E20" w:rsidR="00322120" w:rsidRPr="00322120" w:rsidRDefault="00322120" w:rsidP="00322120">
      <w:pPr>
        <w:pStyle w:val="NoSpacing"/>
        <w:jc w:val="both"/>
        <w:rPr>
          <w:sz w:val="22"/>
          <w:szCs w:val="22"/>
        </w:rPr>
      </w:pPr>
      <w:r w:rsidRPr="00322120">
        <w:rPr>
          <w:sz w:val="22"/>
          <w:szCs w:val="22"/>
        </w:rPr>
        <w:t>An Act to establish a single Regulatory Authority for Trustees; to set standards and guidelines for trustees; to protect beneficiaries’ rights; and for related purposes. </w:t>
      </w:r>
    </w:p>
    <w:p w14:paraId="16DC5AA8" w14:textId="77777777" w:rsidR="00322120" w:rsidRPr="00322120" w:rsidRDefault="00322120" w:rsidP="00322120">
      <w:pPr>
        <w:pStyle w:val="NoSpacing"/>
        <w:jc w:val="both"/>
        <w:rPr>
          <w:sz w:val="22"/>
          <w:szCs w:val="22"/>
        </w:rPr>
      </w:pPr>
    </w:p>
    <w:p w14:paraId="43BA14AE" w14:textId="09DA4D83" w:rsidR="00322120" w:rsidRPr="00322120" w:rsidRDefault="00322120" w:rsidP="00322120">
      <w:pPr>
        <w:pStyle w:val="NoSpacing"/>
        <w:jc w:val="both"/>
        <w:rPr>
          <w:sz w:val="22"/>
          <w:szCs w:val="22"/>
        </w:rPr>
      </w:pPr>
      <w:r w:rsidRPr="00322120">
        <w:rPr>
          <w:sz w:val="22"/>
          <w:szCs w:val="22"/>
        </w:rPr>
        <w:t>Be it enacted by the Parliament of the United Kingdom as follows: </w:t>
      </w:r>
    </w:p>
    <w:p w14:paraId="34B97F56" w14:textId="77777777" w:rsidR="00322120" w:rsidRPr="00322120" w:rsidRDefault="00322120" w:rsidP="00322120">
      <w:pPr>
        <w:pStyle w:val="NoSpacing"/>
        <w:jc w:val="both"/>
        <w:rPr>
          <w:sz w:val="22"/>
          <w:szCs w:val="22"/>
        </w:rPr>
      </w:pPr>
    </w:p>
    <w:p w14:paraId="54B8358B" w14:textId="77777777" w:rsidR="00322120" w:rsidRPr="00322120" w:rsidRDefault="00322120" w:rsidP="00322120">
      <w:pPr>
        <w:pStyle w:val="NoSpacing"/>
        <w:jc w:val="both"/>
        <w:rPr>
          <w:sz w:val="22"/>
          <w:szCs w:val="22"/>
        </w:rPr>
      </w:pPr>
      <w:r w:rsidRPr="00322120">
        <w:rPr>
          <w:sz w:val="22"/>
          <w:szCs w:val="22"/>
        </w:rPr>
        <w:t>1. Establishment of the Regulatory Authority </w:t>
      </w:r>
    </w:p>
    <w:p w14:paraId="39EB09A3" w14:textId="77777777" w:rsidR="00322120" w:rsidRPr="00322120" w:rsidRDefault="00322120" w:rsidP="00322120">
      <w:pPr>
        <w:pStyle w:val="NoSpacing"/>
        <w:jc w:val="both"/>
        <w:rPr>
          <w:sz w:val="22"/>
          <w:szCs w:val="22"/>
        </w:rPr>
      </w:pPr>
      <w:r w:rsidRPr="00322120">
        <w:rPr>
          <w:sz w:val="22"/>
          <w:szCs w:val="22"/>
        </w:rPr>
        <w:t>(1) A body known as the Regulatory Authority for trustees (the authority) shall be established. </w:t>
      </w:r>
    </w:p>
    <w:p w14:paraId="08DD7A86" w14:textId="77777777" w:rsidR="00322120" w:rsidRPr="00322120" w:rsidRDefault="00322120" w:rsidP="00322120">
      <w:pPr>
        <w:pStyle w:val="NoSpacing"/>
        <w:jc w:val="both"/>
        <w:rPr>
          <w:sz w:val="22"/>
          <w:szCs w:val="22"/>
        </w:rPr>
      </w:pPr>
      <w:r w:rsidRPr="00322120">
        <w:rPr>
          <w:sz w:val="22"/>
          <w:szCs w:val="22"/>
        </w:rPr>
        <w:t>(2) The Authority shall have the power to establish and enforce standards and guidelines for trustees’ conduct. </w:t>
      </w:r>
    </w:p>
    <w:p w14:paraId="5E441E48" w14:textId="77777777" w:rsidR="00322120" w:rsidRPr="00322120" w:rsidRDefault="00322120" w:rsidP="00322120">
      <w:pPr>
        <w:pStyle w:val="NoSpacing"/>
        <w:jc w:val="both"/>
        <w:rPr>
          <w:sz w:val="22"/>
          <w:szCs w:val="22"/>
        </w:rPr>
      </w:pPr>
    </w:p>
    <w:p w14:paraId="33B22505" w14:textId="77777777" w:rsidR="00322120" w:rsidRPr="00322120" w:rsidRDefault="00322120" w:rsidP="00322120">
      <w:pPr>
        <w:pStyle w:val="NoSpacing"/>
        <w:jc w:val="both"/>
        <w:rPr>
          <w:sz w:val="22"/>
          <w:szCs w:val="22"/>
        </w:rPr>
      </w:pPr>
      <w:r w:rsidRPr="00322120">
        <w:rPr>
          <w:sz w:val="22"/>
          <w:szCs w:val="22"/>
        </w:rPr>
        <w:t>2. Fiduciary Duties and Ethical Standards </w:t>
      </w:r>
    </w:p>
    <w:p w14:paraId="54430F73" w14:textId="77777777" w:rsidR="00322120" w:rsidRPr="00322120" w:rsidRDefault="00322120" w:rsidP="00322120">
      <w:pPr>
        <w:pStyle w:val="NoSpacing"/>
        <w:jc w:val="both"/>
        <w:rPr>
          <w:sz w:val="22"/>
          <w:szCs w:val="22"/>
        </w:rPr>
      </w:pPr>
      <w:r w:rsidRPr="00322120">
        <w:rPr>
          <w:sz w:val="22"/>
          <w:szCs w:val="22"/>
        </w:rPr>
        <w:t>(1) The authority shall develop a code of ethics for trustees. </w:t>
      </w:r>
    </w:p>
    <w:p w14:paraId="2BB4986E" w14:textId="77777777" w:rsidR="00322120" w:rsidRPr="00322120" w:rsidRDefault="00322120" w:rsidP="00322120">
      <w:pPr>
        <w:pStyle w:val="NoSpacing"/>
        <w:jc w:val="both"/>
        <w:rPr>
          <w:sz w:val="22"/>
          <w:szCs w:val="22"/>
        </w:rPr>
      </w:pPr>
      <w:r w:rsidRPr="00322120">
        <w:rPr>
          <w:sz w:val="22"/>
          <w:szCs w:val="22"/>
        </w:rPr>
        <w:t>(2) The Authority shall implement mandatory training and certification programs for trustees. </w:t>
      </w:r>
    </w:p>
    <w:p w14:paraId="29261910" w14:textId="77777777" w:rsidR="00322120" w:rsidRPr="00322120" w:rsidRDefault="00322120" w:rsidP="00322120">
      <w:pPr>
        <w:pStyle w:val="NoSpacing"/>
        <w:jc w:val="both"/>
        <w:rPr>
          <w:sz w:val="22"/>
          <w:szCs w:val="22"/>
        </w:rPr>
      </w:pPr>
    </w:p>
    <w:p w14:paraId="6AFD134C" w14:textId="77777777" w:rsidR="00322120" w:rsidRPr="00322120" w:rsidRDefault="00322120" w:rsidP="00322120">
      <w:pPr>
        <w:pStyle w:val="NoSpacing"/>
        <w:jc w:val="both"/>
        <w:rPr>
          <w:sz w:val="22"/>
          <w:szCs w:val="22"/>
        </w:rPr>
      </w:pPr>
      <w:r w:rsidRPr="00322120">
        <w:rPr>
          <w:sz w:val="22"/>
          <w:szCs w:val="22"/>
        </w:rPr>
        <w:t>3. Dispute Resolution Mechanism </w:t>
      </w:r>
    </w:p>
    <w:p w14:paraId="575BBDDB" w14:textId="6CCF625A" w:rsidR="00322120" w:rsidRPr="00322120" w:rsidRDefault="00322120" w:rsidP="00322120">
      <w:pPr>
        <w:pStyle w:val="NoSpacing"/>
        <w:jc w:val="both"/>
        <w:rPr>
          <w:sz w:val="22"/>
          <w:szCs w:val="22"/>
        </w:rPr>
      </w:pPr>
      <w:r w:rsidRPr="00322120">
        <w:rPr>
          <w:sz w:val="22"/>
          <w:szCs w:val="22"/>
        </w:rPr>
        <w:t>(1) The Authority shall address grievances and disputes between trustees and beneficiaries. </w:t>
      </w:r>
    </w:p>
    <w:p w14:paraId="758F7178" w14:textId="77777777" w:rsidR="00322120" w:rsidRPr="00322120" w:rsidRDefault="00322120" w:rsidP="00322120">
      <w:pPr>
        <w:pStyle w:val="NoSpacing"/>
        <w:jc w:val="both"/>
        <w:rPr>
          <w:sz w:val="22"/>
          <w:szCs w:val="22"/>
        </w:rPr>
      </w:pPr>
      <w:r w:rsidRPr="00322120">
        <w:rPr>
          <w:sz w:val="22"/>
          <w:szCs w:val="22"/>
        </w:rPr>
        <w:t>(2) The Authority shall provide a framework for dispute resolution, enabling beneficiaries to seek redress. </w:t>
      </w:r>
    </w:p>
    <w:p w14:paraId="4712773D" w14:textId="77777777" w:rsidR="00322120" w:rsidRPr="00322120" w:rsidRDefault="00322120" w:rsidP="00322120">
      <w:pPr>
        <w:pStyle w:val="NoSpacing"/>
        <w:jc w:val="both"/>
        <w:rPr>
          <w:sz w:val="22"/>
          <w:szCs w:val="22"/>
        </w:rPr>
      </w:pPr>
    </w:p>
    <w:p w14:paraId="1B00EC8D" w14:textId="77777777" w:rsidR="00322120" w:rsidRPr="00322120" w:rsidRDefault="00322120" w:rsidP="00322120">
      <w:pPr>
        <w:pStyle w:val="NoSpacing"/>
        <w:jc w:val="both"/>
        <w:rPr>
          <w:sz w:val="22"/>
          <w:szCs w:val="22"/>
        </w:rPr>
      </w:pPr>
      <w:r w:rsidRPr="00322120">
        <w:rPr>
          <w:sz w:val="22"/>
          <w:szCs w:val="22"/>
        </w:rPr>
        <w:t>4. Transparency and Accountability </w:t>
      </w:r>
    </w:p>
    <w:p w14:paraId="0D7F9CB1" w14:textId="77777777" w:rsidR="00322120" w:rsidRPr="00322120" w:rsidRDefault="00322120" w:rsidP="00322120">
      <w:pPr>
        <w:pStyle w:val="NoSpacing"/>
        <w:jc w:val="both"/>
        <w:rPr>
          <w:sz w:val="22"/>
          <w:szCs w:val="22"/>
        </w:rPr>
      </w:pPr>
      <w:r w:rsidRPr="00322120">
        <w:rPr>
          <w:sz w:val="22"/>
          <w:szCs w:val="22"/>
        </w:rPr>
        <w:t>(1) The Authority shall promote transparency and accountability through regular reporting and oversight. </w:t>
      </w:r>
    </w:p>
    <w:p w14:paraId="700130AF" w14:textId="77777777" w:rsidR="00322120" w:rsidRPr="00322120" w:rsidRDefault="00322120" w:rsidP="00322120">
      <w:pPr>
        <w:pStyle w:val="NoSpacing"/>
        <w:jc w:val="both"/>
        <w:rPr>
          <w:sz w:val="22"/>
          <w:szCs w:val="22"/>
        </w:rPr>
      </w:pPr>
    </w:p>
    <w:p w14:paraId="73AAE001" w14:textId="77777777" w:rsidR="00322120" w:rsidRPr="00322120" w:rsidRDefault="00322120" w:rsidP="00322120">
      <w:pPr>
        <w:pStyle w:val="NoSpacing"/>
        <w:jc w:val="both"/>
        <w:rPr>
          <w:sz w:val="22"/>
          <w:szCs w:val="22"/>
        </w:rPr>
      </w:pPr>
      <w:r w:rsidRPr="00322120">
        <w:rPr>
          <w:sz w:val="22"/>
          <w:szCs w:val="22"/>
        </w:rPr>
        <w:t>5. Commencement </w:t>
      </w:r>
    </w:p>
    <w:p w14:paraId="7D607EEB" w14:textId="77777777" w:rsidR="00322120" w:rsidRPr="00322120" w:rsidRDefault="00322120" w:rsidP="00322120">
      <w:pPr>
        <w:pStyle w:val="NoSpacing"/>
        <w:jc w:val="both"/>
        <w:rPr>
          <w:sz w:val="22"/>
          <w:szCs w:val="22"/>
        </w:rPr>
      </w:pPr>
      <w:r w:rsidRPr="00322120">
        <w:rPr>
          <w:sz w:val="22"/>
          <w:szCs w:val="22"/>
        </w:rPr>
        <w:t>(1) This act shall come into force on a date appointed by the Secretary of State. </w:t>
      </w:r>
    </w:p>
    <w:p w14:paraId="59EFEDBF" w14:textId="77777777" w:rsidR="00322120" w:rsidRPr="00322120" w:rsidRDefault="00322120" w:rsidP="00322120">
      <w:pPr>
        <w:pStyle w:val="NoSpacing"/>
        <w:jc w:val="both"/>
        <w:rPr>
          <w:sz w:val="22"/>
          <w:szCs w:val="22"/>
        </w:rPr>
      </w:pPr>
    </w:p>
    <w:p w14:paraId="6AAC9B25" w14:textId="7AC8BC5F" w:rsidR="00322120" w:rsidRPr="00322120" w:rsidRDefault="00322120" w:rsidP="00322120">
      <w:pPr>
        <w:pStyle w:val="NoSpacing"/>
        <w:jc w:val="both"/>
        <w:rPr>
          <w:sz w:val="22"/>
          <w:szCs w:val="22"/>
        </w:rPr>
      </w:pPr>
      <w:r w:rsidRPr="00322120">
        <w:rPr>
          <w:sz w:val="22"/>
          <w:szCs w:val="22"/>
        </w:rPr>
        <w:t>6. Short Title </w:t>
      </w:r>
    </w:p>
    <w:p w14:paraId="551AF0D2" w14:textId="77777777" w:rsidR="00322120" w:rsidRPr="00322120" w:rsidRDefault="00322120" w:rsidP="00322120">
      <w:pPr>
        <w:pStyle w:val="NoSpacing"/>
        <w:jc w:val="both"/>
        <w:rPr>
          <w:sz w:val="22"/>
          <w:szCs w:val="22"/>
        </w:rPr>
      </w:pPr>
      <w:r w:rsidRPr="00322120">
        <w:rPr>
          <w:sz w:val="22"/>
          <w:szCs w:val="22"/>
        </w:rPr>
        <w:t>(1) This Act may be cited as the Trustees Regulatory Authority Act 2024 </w:t>
      </w:r>
    </w:p>
    <w:p w14:paraId="05957997" w14:textId="77777777" w:rsidR="00322120" w:rsidRDefault="00322120" w:rsidP="00322120">
      <w:pPr>
        <w:pStyle w:val="NoSpacing"/>
        <w:jc w:val="both"/>
        <w:rPr>
          <w:sz w:val="22"/>
          <w:szCs w:val="22"/>
        </w:rPr>
      </w:pPr>
      <w:r w:rsidRPr="00322120">
        <w:rPr>
          <w:sz w:val="22"/>
          <w:szCs w:val="22"/>
        </w:rPr>
        <w:t>This Act establishes a Regulatory Authority to enhance beneficiary protection, promote ethical conduct and ensure fiduciary compliance in trusts.</w:t>
      </w:r>
    </w:p>
    <w:p w14:paraId="00D3DC03" w14:textId="77777777" w:rsidR="000F7B88" w:rsidRDefault="000F7B88" w:rsidP="00322120">
      <w:pPr>
        <w:pStyle w:val="NoSpacing"/>
        <w:jc w:val="both"/>
        <w:rPr>
          <w:sz w:val="22"/>
          <w:szCs w:val="22"/>
        </w:rPr>
      </w:pPr>
    </w:p>
    <w:p w14:paraId="14686C56" w14:textId="5B3BDEED" w:rsidR="000F7B88" w:rsidRDefault="00DD660F" w:rsidP="00322120">
      <w:pPr>
        <w:pStyle w:val="NoSpacing"/>
        <w:jc w:val="both"/>
        <w:rPr>
          <w:b/>
          <w:bCs/>
          <w:sz w:val="22"/>
          <w:szCs w:val="22"/>
        </w:rPr>
      </w:pPr>
      <w:r>
        <w:rPr>
          <w:b/>
          <w:bCs/>
          <w:sz w:val="22"/>
          <w:szCs w:val="22"/>
        </w:rPr>
        <w:t xml:space="preserve">Evaluation of Reform Proposals: </w:t>
      </w:r>
    </w:p>
    <w:p w14:paraId="60560326" w14:textId="2D4F5CE4" w:rsidR="00322120" w:rsidRDefault="00DD660F" w:rsidP="00607421">
      <w:pPr>
        <w:pStyle w:val="NoSpacing"/>
        <w:jc w:val="both"/>
        <w:rPr>
          <w:sz w:val="22"/>
          <w:szCs w:val="22"/>
        </w:rPr>
      </w:pPr>
      <w:r>
        <w:rPr>
          <w:sz w:val="22"/>
          <w:szCs w:val="22"/>
        </w:rPr>
        <w:t xml:space="preserve">The main issue that these reforms seek to address the multi-agency approach to trust law and bring clarity to both </w:t>
      </w:r>
      <w:r w:rsidR="008125B5">
        <w:rPr>
          <w:sz w:val="22"/>
          <w:szCs w:val="22"/>
        </w:rPr>
        <w:t>trustees,</w:t>
      </w:r>
      <w:r>
        <w:rPr>
          <w:sz w:val="22"/>
          <w:szCs w:val="22"/>
        </w:rPr>
        <w:t xml:space="preserve"> so they are able to confidently and </w:t>
      </w:r>
      <w:r w:rsidR="008125B5">
        <w:rPr>
          <w:sz w:val="22"/>
          <w:szCs w:val="22"/>
        </w:rPr>
        <w:t xml:space="preserve">effectively conduct the business of the trust and greater protections and security to beneficiaries. </w:t>
      </w:r>
      <w:r w:rsidR="00BC24ED">
        <w:rPr>
          <w:sz w:val="22"/>
          <w:szCs w:val="22"/>
        </w:rPr>
        <w:t xml:space="preserve">The legislation also seeks to </w:t>
      </w:r>
      <w:r w:rsidR="00607421">
        <w:rPr>
          <w:sz w:val="22"/>
          <w:szCs w:val="22"/>
        </w:rPr>
        <w:t xml:space="preserve">ensure there is a balance between the rights and obligations of trustees while also offering them some form of official legal guidance and protection. </w:t>
      </w:r>
      <w:r w:rsidR="008125B5">
        <w:rPr>
          <w:sz w:val="22"/>
          <w:szCs w:val="22"/>
        </w:rPr>
        <w:t xml:space="preserve">There will </w:t>
      </w:r>
      <w:r w:rsidR="00607421">
        <w:rPr>
          <w:sz w:val="22"/>
          <w:szCs w:val="22"/>
        </w:rPr>
        <w:t xml:space="preserve">also </w:t>
      </w:r>
      <w:r w:rsidR="008125B5">
        <w:rPr>
          <w:sz w:val="22"/>
          <w:szCs w:val="22"/>
        </w:rPr>
        <w:t>need to be a fine balance when enacting this new legislation as a fully centralised approach may unintentionally lead to overregulation.</w:t>
      </w:r>
      <w:r w:rsidR="00BC24ED">
        <w:rPr>
          <w:sz w:val="22"/>
          <w:szCs w:val="22"/>
        </w:rPr>
        <w:t xml:space="preserve"> </w:t>
      </w:r>
      <w:r w:rsidR="00607421">
        <w:rPr>
          <w:sz w:val="22"/>
          <w:szCs w:val="22"/>
        </w:rPr>
        <w:t xml:space="preserve">This would have a negative impact on the efficacy of trustees and may also lead to a sharp decrease in the number of trustees accepting roles for fears the work could be too onerous or burdensome, Lee and Nolan et al, (2024). </w:t>
      </w:r>
    </w:p>
    <w:p w14:paraId="40CF672B" w14:textId="77777777" w:rsidR="00607421" w:rsidRDefault="00607421" w:rsidP="00607421">
      <w:pPr>
        <w:pStyle w:val="NoSpacing"/>
        <w:jc w:val="both"/>
        <w:rPr>
          <w:sz w:val="22"/>
          <w:szCs w:val="22"/>
        </w:rPr>
      </w:pPr>
    </w:p>
    <w:p w14:paraId="33672D48" w14:textId="77777777" w:rsidR="006562D6" w:rsidRDefault="00607421" w:rsidP="00607421">
      <w:pPr>
        <w:pStyle w:val="NoSpacing"/>
        <w:jc w:val="both"/>
        <w:rPr>
          <w:sz w:val="22"/>
          <w:szCs w:val="22"/>
        </w:rPr>
      </w:pPr>
      <w:r>
        <w:rPr>
          <w:sz w:val="22"/>
          <w:szCs w:val="22"/>
        </w:rPr>
        <w:t>Another evaluation of this legislation can also deliver higher industry standards as well as greater transparency and accountability</w:t>
      </w:r>
      <w:r w:rsidR="00A427B3">
        <w:rPr>
          <w:sz w:val="22"/>
          <w:szCs w:val="22"/>
        </w:rPr>
        <w:t xml:space="preserve">. Not only will it address the imbalances of the current system but will allow for trustee’s duties and obligations to be regulated and enforced by a singular authority while simultaneously developing a systematic framework that allows them to raise any concerns or grievances and have them dealt with more efficiently without having to jump over bureaucratic hurdles for a matter to be resolved. </w:t>
      </w:r>
    </w:p>
    <w:p w14:paraId="0F92BBAF" w14:textId="77777777" w:rsidR="006562D6" w:rsidRDefault="006562D6" w:rsidP="00607421">
      <w:pPr>
        <w:pStyle w:val="NoSpacing"/>
        <w:jc w:val="both"/>
        <w:rPr>
          <w:sz w:val="22"/>
          <w:szCs w:val="22"/>
        </w:rPr>
      </w:pPr>
    </w:p>
    <w:p w14:paraId="241FCB23" w14:textId="15F430EA" w:rsidR="006562D6" w:rsidRDefault="00A427B3" w:rsidP="00607421">
      <w:pPr>
        <w:pStyle w:val="NoSpacing"/>
        <w:jc w:val="both"/>
        <w:rPr>
          <w:sz w:val="22"/>
          <w:szCs w:val="22"/>
        </w:rPr>
      </w:pPr>
      <w:r>
        <w:rPr>
          <w:sz w:val="22"/>
          <w:szCs w:val="22"/>
        </w:rPr>
        <w:t xml:space="preserve">Some further consideration is required when enacting legislation is </w:t>
      </w:r>
      <w:r w:rsidR="006562D6">
        <w:rPr>
          <w:sz w:val="22"/>
          <w:szCs w:val="22"/>
        </w:rPr>
        <w:t xml:space="preserve">how the Bill itself is to be drafted. All Bills should be drafted on the basis and understanding that they are of a ‘Good Law’ standard, meaning that the Bill or amendment of one should be concise, coherent, effective and necessary. The wording of the Bill needs to be clearly understood and must not be too broad as to leave gaps or omissions from the policy that could </w:t>
      </w:r>
      <w:r w:rsidR="00656A2A">
        <w:rPr>
          <w:sz w:val="22"/>
          <w:szCs w:val="22"/>
        </w:rPr>
        <w:t xml:space="preserve">leave room for ambiguity or confusion which can </w:t>
      </w:r>
      <w:r w:rsidR="006562D6">
        <w:rPr>
          <w:sz w:val="22"/>
          <w:szCs w:val="22"/>
        </w:rPr>
        <w:t>have a negative impact on the people that the Bill aims to protect</w:t>
      </w:r>
      <w:r w:rsidR="00656A2A">
        <w:rPr>
          <w:sz w:val="22"/>
          <w:szCs w:val="22"/>
        </w:rPr>
        <w:t xml:space="preserve">. The legislation itself should also be subject to rigorous scrutiny to ensure that it meets the threshold of good law and also holds up to the system of checks and balances to ensure that clauses, either individually or collectively, do not overreach to the point where it imputes the rights of trustees and beneficiaries, Cabinet Office, (2022). </w:t>
      </w:r>
    </w:p>
    <w:p w14:paraId="4713BD96" w14:textId="77777777" w:rsidR="002C03D3" w:rsidRDefault="002C03D3" w:rsidP="00607421">
      <w:pPr>
        <w:pStyle w:val="NoSpacing"/>
        <w:jc w:val="both"/>
        <w:rPr>
          <w:sz w:val="22"/>
          <w:szCs w:val="22"/>
        </w:rPr>
      </w:pPr>
    </w:p>
    <w:p w14:paraId="1972576D" w14:textId="3CA2E309" w:rsidR="002C03D3" w:rsidRDefault="002C03D3" w:rsidP="00607421">
      <w:pPr>
        <w:pStyle w:val="NoSpacing"/>
        <w:jc w:val="both"/>
        <w:rPr>
          <w:sz w:val="22"/>
          <w:szCs w:val="22"/>
        </w:rPr>
      </w:pPr>
      <w:r>
        <w:rPr>
          <w:sz w:val="22"/>
          <w:szCs w:val="22"/>
        </w:rPr>
        <w:t xml:space="preserve">These reforms will also have to work effectively with current legislation so that rights, obligations and interests of trustees and beneficiaries are expanded and protected. Any confliction between this reform the current legal framework could have serious repercussions and undermine the </w:t>
      </w:r>
      <w:r>
        <w:rPr>
          <w:sz w:val="22"/>
          <w:szCs w:val="22"/>
        </w:rPr>
        <w:lastRenderedPageBreak/>
        <w:t xml:space="preserve">principles and changes which the reform was intended to make. It is essential to the success of this Bill that it is able to function within the legal system so it must therefore compliment any laws or statutory instruments already in effect, Department for Work and Pensions, (2023). </w:t>
      </w:r>
    </w:p>
    <w:p w14:paraId="29567C58" w14:textId="77777777" w:rsidR="00607421" w:rsidRDefault="00607421" w:rsidP="00607421">
      <w:pPr>
        <w:pStyle w:val="NoSpacing"/>
        <w:jc w:val="both"/>
        <w:rPr>
          <w:sz w:val="22"/>
          <w:szCs w:val="22"/>
          <w:u w:val="single"/>
        </w:rPr>
      </w:pPr>
    </w:p>
    <w:p w14:paraId="020A8A64" w14:textId="18440CC5" w:rsidR="00A900D3" w:rsidRDefault="00A900D3" w:rsidP="00607421">
      <w:pPr>
        <w:pStyle w:val="NoSpacing"/>
        <w:jc w:val="both"/>
        <w:rPr>
          <w:sz w:val="22"/>
          <w:szCs w:val="22"/>
        </w:rPr>
      </w:pPr>
      <w:r>
        <w:rPr>
          <w:sz w:val="22"/>
          <w:szCs w:val="22"/>
        </w:rPr>
        <w:t xml:space="preserve">Although the introduction of this legislation could be a defining moment in UK trust law, it must be mentioned that these reforms do not address every issue with the current system, but it is a significant step towards achieving this. Even though this streamlined system would improve the way grievances are raised and handled while providing an efficient and effective discourse for dispute resolution, this one act cannot possibly conceive of every reason for why disputes may arise with certain cases calling for a more sophisticated and specialised way of dealing with them due to their complexities, NCVO, (2024). </w:t>
      </w:r>
    </w:p>
    <w:p w14:paraId="1EA3FE26" w14:textId="77777777" w:rsidR="00BE4ED6" w:rsidRDefault="00BE4ED6" w:rsidP="00607421">
      <w:pPr>
        <w:pStyle w:val="NoSpacing"/>
        <w:jc w:val="both"/>
        <w:rPr>
          <w:sz w:val="22"/>
          <w:szCs w:val="22"/>
        </w:rPr>
      </w:pPr>
    </w:p>
    <w:p w14:paraId="4FF2B07B" w14:textId="440D7260" w:rsidR="00BE4ED6" w:rsidRDefault="00BE4ED6" w:rsidP="00607421">
      <w:pPr>
        <w:pStyle w:val="NoSpacing"/>
        <w:jc w:val="both"/>
        <w:rPr>
          <w:sz w:val="22"/>
          <w:szCs w:val="22"/>
        </w:rPr>
      </w:pPr>
      <w:r>
        <w:rPr>
          <w:b/>
          <w:bCs/>
          <w:sz w:val="22"/>
          <w:szCs w:val="22"/>
        </w:rPr>
        <w:t>Conclusion:</w:t>
      </w:r>
    </w:p>
    <w:p w14:paraId="6962A401" w14:textId="538CBDDE" w:rsidR="00BE4ED6" w:rsidRDefault="00BE4ED6" w:rsidP="00607421">
      <w:pPr>
        <w:pStyle w:val="NoSpacing"/>
        <w:jc w:val="both"/>
        <w:rPr>
          <w:sz w:val="22"/>
          <w:szCs w:val="22"/>
        </w:rPr>
      </w:pPr>
      <w:r>
        <w:rPr>
          <w:sz w:val="22"/>
          <w:szCs w:val="22"/>
        </w:rPr>
        <w:t xml:space="preserve">In conclusion, this legislation will be a step forward in addressing the imbalances of the approaches of a decentralised system. It is meant to promote and foster a cohesive and innovative way to redefine the relationships between trustees and beneficiaries in a modern society. Also as discussed above, the UK has been implementing several regulatory reforms in trust law in recent years which demonstrates and understanding and appetite for the law to be reformed as there has been no significant progress made in this area since 1925. </w:t>
      </w:r>
    </w:p>
    <w:p w14:paraId="5B0F8D88" w14:textId="77777777" w:rsidR="00BE4ED6" w:rsidRDefault="00BE4ED6" w:rsidP="00607421">
      <w:pPr>
        <w:pStyle w:val="NoSpacing"/>
        <w:jc w:val="both"/>
        <w:rPr>
          <w:sz w:val="22"/>
          <w:szCs w:val="22"/>
        </w:rPr>
      </w:pPr>
    </w:p>
    <w:p w14:paraId="15F0DBC1" w14:textId="36AC3100" w:rsidR="00BE4ED6" w:rsidRDefault="00BE4ED6" w:rsidP="00607421">
      <w:pPr>
        <w:pStyle w:val="NoSpacing"/>
        <w:jc w:val="both"/>
        <w:rPr>
          <w:sz w:val="22"/>
          <w:szCs w:val="22"/>
        </w:rPr>
      </w:pPr>
      <w:r>
        <w:rPr>
          <w:sz w:val="22"/>
          <w:szCs w:val="22"/>
        </w:rPr>
        <w:t xml:space="preserve">This legislation may not deal with every single issue, but it does provide the foundations of a new legal framework that can empower and embolden trustees. We also understand that it needs to be practicable and implemented alongside coexisting legislation so we have had to consider ways in which this reform can interrelate with current legislation to be able to effectively deliver reforms which the public can have faith and confidence in. </w:t>
      </w:r>
    </w:p>
    <w:p w14:paraId="72E35DFB" w14:textId="77777777" w:rsidR="00BE4ED6" w:rsidRDefault="00BE4ED6" w:rsidP="00607421">
      <w:pPr>
        <w:pStyle w:val="NoSpacing"/>
        <w:jc w:val="both"/>
        <w:rPr>
          <w:sz w:val="22"/>
          <w:szCs w:val="22"/>
        </w:rPr>
      </w:pPr>
    </w:p>
    <w:p w14:paraId="73CE6C23" w14:textId="35243368" w:rsidR="00BE4ED6" w:rsidRDefault="00BE4ED6" w:rsidP="00607421">
      <w:pPr>
        <w:pStyle w:val="NoSpacing"/>
        <w:jc w:val="both"/>
        <w:rPr>
          <w:sz w:val="22"/>
          <w:szCs w:val="22"/>
        </w:rPr>
      </w:pPr>
      <w:r>
        <w:rPr>
          <w:sz w:val="22"/>
          <w:szCs w:val="22"/>
        </w:rPr>
        <w:t xml:space="preserve">The primary goal of this legislation is to ensure there is accountability and fairness within trust law while upholding rigorous and stringent standards to ensure that equity and trusts are able to operate efficiently </w:t>
      </w:r>
      <w:r w:rsidR="000B616E">
        <w:rPr>
          <w:sz w:val="22"/>
          <w:szCs w:val="22"/>
        </w:rPr>
        <w:t xml:space="preserve">and to assist with this achievement there will need to be effective and efficient mechanisms in place to ensure that these reforms meet the needs of society today. </w:t>
      </w:r>
    </w:p>
    <w:p w14:paraId="2C1D2DE9" w14:textId="77777777" w:rsidR="000B616E" w:rsidRDefault="000B616E" w:rsidP="00607421">
      <w:pPr>
        <w:pStyle w:val="NoSpacing"/>
        <w:jc w:val="both"/>
        <w:rPr>
          <w:sz w:val="22"/>
          <w:szCs w:val="22"/>
        </w:rPr>
      </w:pPr>
    </w:p>
    <w:p w14:paraId="50E9E448" w14:textId="77777777" w:rsidR="000B616E" w:rsidRDefault="000B616E" w:rsidP="00607421">
      <w:pPr>
        <w:pStyle w:val="NoSpacing"/>
        <w:jc w:val="both"/>
        <w:rPr>
          <w:sz w:val="22"/>
          <w:szCs w:val="22"/>
        </w:rPr>
      </w:pPr>
    </w:p>
    <w:p w14:paraId="465ABEA7" w14:textId="77777777" w:rsidR="000B616E" w:rsidRDefault="000B616E" w:rsidP="00607421">
      <w:pPr>
        <w:pStyle w:val="NoSpacing"/>
        <w:jc w:val="both"/>
        <w:rPr>
          <w:sz w:val="22"/>
          <w:szCs w:val="22"/>
        </w:rPr>
      </w:pPr>
    </w:p>
    <w:p w14:paraId="155A12E2" w14:textId="77777777" w:rsidR="000B616E" w:rsidRDefault="000B616E" w:rsidP="00607421">
      <w:pPr>
        <w:pStyle w:val="NoSpacing"/>
        <w:jc w:val="both"/>
        <w:rPr>
          <w:sz w:val="22"/>
          <w:szCs w:val="22"/>
        </w:rPr>
      </w:pPr>
    </w:p>
    <w:p w14:paraId="1778B8B7" w14:textId="77777777" w:rsidR="000B616E" w:rsidRDefault="000B616E" w:rsidP="00607421">
      <w:pPr>
        <w:pStyle w:val="NoSpacing"/>
        <w:jc w:val="both"/>
        <w:rPr>
          <w:sz w:val="22"/>
          <w:szCs w:val="22"/>
        </w:rPr>
      </w:pPr>
    </w:p>
    <w:p w14:paraId="42A9078E" w14:textId="77777777" w:rsidR="000B616E" w:rsidRDefault="000B616E" w:rsidP="00607421">
      <w:pPr>
        <w:pStyle w:val="NoSpacing"/>
        <w:jc w:val="both"/>
        <w:rPr>
          <w:sz w:val="22"/>
          <w:szCs w:val="22"/>
        </w:rPr>
      </w:pPr>
    </w:p>
    <w:p w14:paraId="6281154D" w14:textId="77777777" w:rsidR="000B616E" w:rsidRDefault="000B616E" w:rsidP="00607421">
      <w:pPr>
        <w:pStyle w:val="NoSpacing"/>
        <w:jc w:val="both"/>
        <w:rPr>
          <w:sz w:val="22"/>
          <w:szCs w:val="22"/>
        </w:rPr>
      </w:pPr>
    </w:p>
    <w:p w14:paraId="62CD97A0" w14:textId="77777777" w:rsidR="000B616E" w:rsidRDefault="000B616E" w:rsidP="00607421">
      <w:pPr>
        <w:pStyle w:val="NoSpacing"/>
        <w:jc w:val="both"/>
        <w:rPr>
          <w:sz w:val="22"/>
          <w:szCs w:val="22"/>
        </w:rPr>
      </w:pPr>
    </w:p>
    <w:p w14:paraId="77ECDBCF" w14:textId="77777777" w:rsidR="000B616E" w:rsidRDefault="000B616E" w:rsidP="00607421">
      <w:pPr>
        <w:pStyle w:val="NoSpacing"/>
        <w:jc w:val="both"/>
        <w:rPr>
          <w:sz w:val="22"/>
          <w:szCs w:val="22"/>
        </w:rPr>
      </w:pPr>
    </w:p>
    <w:p w14:paraId="6B5FE91D" w14:textId="77777777" w:rsidR="000B616E" w:rsidRDefault="000B616E" w:rsidP="00607421">
      <w:pPr>
        <w:pStyle w:val="NoSpacing"/>
        <w:jc w:val="both"/>
        <w:rPr>
          <w:sz w:val="22"/>
          <w:szCs w:val="22"/>
        </w:rPr>
      </w:pPr>
    </w:p>
    <w:p w14:paraId="7809EB21" w14:textId="77777777" w:rsidR="000B616E" w:rsidRDefault="000B616E" w:rsidP="00607421">
      <w:pPr>
        <w:pStyle w:val="NoSpacing"/>
        <w:jc w:val="both"/>
        <w:rPr>
          <w:sz w:val="22"/>
          <w:szCs w:val="22"/>
        </w:rPr>
      </w:pPr>
    </w:p>
    <w:p w14:paraId="02BC2BE4" w14:textId="77777777" w:rsidR="000B616E" w:rsidRDefault="000B616E" w:rsidP="00607421">
      <w:pPr>
        <w:pStyle w:val="NoSpacing"/>
        <w:jc w:val="both"/>
        <w:rPr>
          <w:sz w:val="22"/>
          <w:szCs w:val="22"/>
        </w:rPr>
      </w:pPr>
    </w:p>
    <w:p w14:paraId="1910EE2C" w14:textId="77777777" w:rsidR="000B616E" w:rsidRDefault="000B616E" w:rsidP="00607421">
      <w:pPr>
        <w:pStyle w:val="NoSpacing"/>
        <w:jc w:val="both"/>
        <w:rPr>
          <w:sz w:val="22"/>
          <w:szCs w:val="22"/>
        </w:rPr>
      </w:pPr>
    </w:p>
    <w:p w14:paraId="11E697AB" w14:textId="77777777" w:rsidR="000B616E" w:rsidRDefault="000B616E" w:rsidP="00607421">
      <w:pPr>
        <w:pStyle w:val="NoSpacing"/>
        <w:jc w:val="both"/>
        <w:rPr>
          <w:sz w:val="22"/>
          <w:szCs w:val="22"/>
        </w:rPr>
      </w:pPr>
    </w:p>
    <w:p w14:paraId="1B4E67C0" w14:textId="77777777" w:rsidR="000B616E" w:rsidRDefault="000B616E" w:rsidP="00607421">
      <w:pPr>
        <w:pStyle w:val="NoSpacing"/>
        <w:jc w:val="both"/>
        <w:rPr>
          <w:sz w:val="22"/>
          <w:szCs w:val="22"/>
        </w:rPr>
      </w:pPr>
    </w:p>
    <w:p w14:paraId="4EB8DF98" w14:textId="77777777" w:rsidR="000B616E" w:rsidRDefault="000B616E" w:rsidP="00607421">
      <w:pPr>
        <w:pStyle w:val="NoSpacing"/>
        <w:jc w:val="both"/>
        <w:rPr>
          <w:sz w:val="22"/>
          <w:szCs w:val="22"/>
        </w:rPr>
      </w:pPr>
    </w:p>
    <w:p w14:paraId="6C4F1507" w14:textId="77777777" w:rsidR="000B616E" w:rsidRDefault="000B616E" w:rsidP="00607421">
      <w:pPr>
        <w:pStyle w:val="NoSpacing"/>
        <w:jc w:val="both"/>
        <w:rPr>
          <w:sz w:val="22"/>
          <w:szCs w:val="22"/>
        </w:rPr>
      </w:pPr>
    </w:p>
    <w:p w14:paraId="180C9F1B" w14:textId="77777777" w:rsidR="000B616E" w:rsidRDefault="000B616E" w:rsidP="00607421">
      <w:pPr>
        <w:pStyle w:val="NoSpacing"/>
        <w:jc w:val="both"/>
        <w:rPr>
          <w:sz w:val="22"/>
          <w:szCs w:val="22"/>
        </w:rPr>
      </w:pPr>
    </w:p>
    <w:p w14:paraId="4279892E" w14:textId="77777777" w:rsidR="000B616E" w:rsidRDefault="000B616E" w:rsidP="00607421">
      <w:pPr>
        <w:pStyle w:val="NoSpacing"/>
        <w:jc w:val="both"/>
        <w:rPr>
          <w:sz w:val="22"/>
          <w:szCs w:val="22"/>
        </w:rPr>
      </w:pPr>
    </w:p>
    <w:p w14:paraId="0335DCD6" w14:textId="77777777" w:rsidR="000B616E" w:rsidRPr="00BE4ED6" w:rsidRDefault="000B616E" w:rsidP="00607421">
      <w:pPr>
        <w:pStyle w:val="NoSpacing"/>
        <w:jc w:val="both"/>
        <w:rPr>
          <w:sz w:val="22"/>
          <w:szCs w:val="22"/>
        </w:rPr>
      </w:pPr>
    </w:p>
    <w:p w14:paraId="17A3101E" w14:textId="77777777" w:rsidR="00656A2A" w:rsidRPr="00322120" w:rsidRDefault="00656A2A" w:rsidP="00607421">
      <w:pPr>
        <w:pStyle w:val="NoSpacing"/>
        <w:jc w:val="both"/>
        <w:rPr>
          <w:sz w:val="22"/>
          <w:szCs w:val="22"/>
          <w:u w:val="single"/>
        </w:rPr>
      </w:pPr>
    </w:p>
    <w:p w14:paraId="14049CBC" w14:textId="0D24266B" w:rsidR="00F07B09" w:rsidRPr="00322120" w:rsidRDefault="00F07B09" w:rsidP="00F07B09">
      <w:pPr>
        <w:pStyle w:val="NoSpacing"/>
        <w:jc w:val="center"/>
        <w:rPr>
          <w:sz w:val="22"/>
          <w:szCs w:val="22"/>
        </w:rPr>
      </w:pPr>
      <w:r w:rsidRPr="00322120">
        <w:rPr>
          <w:sz w:val="22"/>
          <w:szCs w:val="22"/>
          <w:u w:val="single"/>
        </w:rPr>
        <w:t>Reference List A: Collaborative Work</w:t>
      </w:r>
    </w:p>
    <w:p w14:paraId="43100504" w14:textId="4BDBA4E8" w:rsidR="00F07B09" w:rsidRPr="00322120" w:rsidRDefault="00F07B09" w:rsidP="00F07B09">
      <w:pPr>
        <w:pStyle w:val="NoSpacing"/>
        <w:jc w:val="both"/>
        <w:rPr>
          <w:sz w:val="22"/>
          <w:szCs w:val="22"/>
        </w:rPr>
      </w:pPr>
      <w:r w:rsidRPr="00322120">
        <w:rPr>
          <w:sz w:val="22"/>
          <w:szCs w:val="22"/>
        </w:rPr>
        <w:t xml:space="preserve">Higgins. K, (2024), </w:t>
      </w:r>
      <w:r w:rsidRPr="00322120">
        <w:rPr>
          <w:i/>
          <w:iCs/>
          <w:sz w:val="22"/>
          <w:szCs w:val="22"/>
        </w:rPr>
        <w:t>Share Action Calls on Next UK Government to Reform Fiduciary Duty Law for Pension Sector</w:t>
      </w:r>
      <w:r w:rsidRPr="00322120">
        <w:rPr>
          <w:sz w:val="22"/>
          <w:szCs w:val="22"/>
        </w:rPr>
        <w:t xml:space="preserve">, Investments &amp; Pensions Europe, Available at: </w:t>
      </w:r>
      <w:hyperlink r:id="rId6" w:history="1">
        <w:r w:rsidRPr="00322120">
          <w:rPr>
            <w:rStyle w:val="Hyperlink"/>
            <w:sz w:val="22"/>
            <w:szCs w:val="22"/>
          </w:rPr>
          <w:t>https://www.ipe.com/news/shareaction-calls-on-next-uk-government-to-reform-fiduciary-duty-law-for-pension-sector/10071928.article</w:t>
        </w:r>
      </w:hyperlink>
      <w:r w:rsidRPr="00322120">
        <w:rPr>
          <w:sz w:val="22"/>
          <w:szCs w:val="22"/>
        </w:rPr>
        <w:t xml:space="preserve"> (Accessed: 2</w:t>
      </w:r>
      <w:r w:rsidR="00B62631" w:rsidRPr="00322120">
        <w:rPr>
          <w:sz w:val="22"/>
          <w:szCs w:val="22"/>
        </w:rPr>
        <w:t>8</w:t>
      </w:r>
      <w:r w:rsidRPr="00322120">
        <w:rPr>
          <w:sz w:val="22"/>
          <w:szCs w:val="22"/>
        </w:rPr>
        <w:t xml:space="preserve">-Oct-2024). </w:t>
      </w:r>
    </w:p>
    <w:p w14:paraId="28916F85" w14:textId="77777777" w:rsidR="00F07B09" w:rsidRPr="00322120" w:rsidRDefault="00F07B09" w:rsidP="00F07B09">
      <w:pPr>
        <w:pStyle w:val="NoSpacing"/>
        <w:jc w:val="both"/>
        <w:rPr>
          <w:sz w:val="22"/>
          <w:szCs w:val="22"/>
        </w:rPr>
      </w:pPr>
    </w:p>
    <w:p w14:paraId="5B7B99F9" w14:textId="1E291A28" w:rsidR="00F07B09" w:rsidRPr="00322120" w:rsidRDefault="002E0C58" w:rsidP="00F07B09">
      <w:pPr>
        <w:pStyle w:val="NoSpacing"/>
        <w:jc w:val="both"/>
        <w:rPr>
          <w:sz w:val="22"/>
          <w:szCs w:val="22"/>
        </w:rPr>
      </w:pPr>
      <w:r w:rsidRPr="00322120">
        <w:rPr>
          <w:sz w:val="22"/>
          <w:szCs w:val="22"/>
        </w:rPr>
        <w:t xml:space="preserve">Law Commission, (2024), </w:t>
      </w:r>
      <w:r w:rsidRPr="00322120">
        <w:rPr>
          <w:i/>
          <w:iCs/>
          <w:sz w:val="22"/>
          <w:szCs w:val="22"/>
        </w:rPr>
        <w:t>Modernising Trust Law for a Global Britain</w:t>
      </w:r>
      <w:r w:rsidRPr="00322120">
        <w:rPr>
          <w:sz w:val="22"/>
          <w:szCs w:val="22"/>
        </w:rPr>
        <w:t xml:space="preserve">, </w:t>
      </w:r>
      <w:r w:rsidR="00B62631" w:rsidRPr="00322120">
        <w:rPr>
          <w:sz w:val="22"/>
          <w:szCs w:val="22"/>
        </w:rPr>
        <w:t xml:space="preserve">Available at: </w:t>
      </w:r>
      <w:hyperlink r:id="rId7" w:history="1">
        <w:r w:rsidR="00B62631" w:rsidRPr="00322120">
          <w:rPr>
            <w:rStyle w:val="Hyperlink"/>
            <w:sz w:val="22"/>
            <w:szCs w:val="22"/>
          </w:rPr>
          <w:t>https://lawcom.gov.uk/project/modernising-trust-law-for-a-global-britain/</w:t>
        </w:r>
      </w:hyperlink>
      <w:r w:rsidR="00B62631" w:rsidRPr="00322120">
        <w:rPr>
          <w:sz w:val="22"/>
          <w:szCs w:val="22"/>
        </w:rPr>
        <w:t xml:space="preserve"> (Accessed 27-Oct-2024). </w:t>
      </w:r>
    </w:p>
    <w:p w14:paraId="34DC55FE" w14:textId="77777777" w:rsidR="00B62631" w:rsidRPr="00322120" w:rsidRDefault="00B62631" w:rsidP="00F07B09">
      <w:pPr>
        <w:pStyle w:val="NoSpacing"/>
        <w:jc w:val="both"/>
        <w:rPr>
          <w:sz w:val="22"/>
          <w:szCs w:val="22"/>
        </w:rPr>
      </w:pPr>
    </w:p>
    <w:p w14:paraId="1F6587BB" w14:textId="1DDFBF28" w:rsidR="00B62631" w:rsidRPr="00322120" w:rsidRDefault="00B62631" w:rsidP="00F07B09">
      <w:pPr>
        <w:pStyle w:val="NoSpacing"/>
        <w:jc w:val="both"/>
        <w:rPr>
          <w:sz w:val="22"/>
          <w:szCs w:val="22"/>
        </w:rPr>
      </w:pPr>
      <w:r w:rsidRPr="00322120">
        <w:rPr>
          <w:sz w:val="22"/>
          <w:szCs w:val="22"/>
        </w:rPr>
        <w:t xml:space="preserve">Risk Assured Life Insurance, (2024), </w:t>
      </w:r>
      <w:r w:rsidRPr="00322120">
        <w:rPr>
          <w:i/>
          <w:iCs/>
          <w:sz w:val="22"/>
          <w:szCs w:val="22"/>
        </w:rPr>
        <w:t>Taxation Trusts Reform (Technical Paper)</w:t>
      </w:r>
      <w:r w:rsidRPr="00322120">
        <w:rPr>
          <w:sz w:val="22"/>
          <w:szCs w:val="22"/>
        </w:rPr>
        <w:t xml:space="preserve">, Available at: </w:t>
      </w:r>
      <w:hyperlink r:id="rId8" w:history="1">
        <w:r w:rsidRPr="00322120">
          <w:rPr>
            <w:rStyle w:val="Hyperlink"/>
            <w:sz w:val="22"/>
            <w:szCs w:val="22"/>
          </w:rPr>
          <w:t>https://www.riskassured.co.uk/app/uploads/2024/05/Taxation-of-trusts-reform-24.05.2024.pdf</w:t>
        </w:r>
      </w:hyperlink>
      <w:r w:rsidRPr="00322120">
        <w:rPr>
          <w:sz w:val="22"/>
          <w:szCs w:val="22"/>
        </w:rPr>
        <w:t xml:space="preserve"> (Accessed 28-Oct-2024). </w:t>
      </w:r>
    </w:p>
    <w:p w14:paraId="4D4E4DF8" w14:textId="77777777" w:rsidR="00B62631" w:rsidRPr="00322120" w:rsidRDefault="00B62631" w:rsidP="00F07B09">
      <w:pPr>
        <w:pStyle w:val="NoSpacing"/>
        <w:jc w:val="both"/>
        <w:rPr>
          <w:sz w:val="22"/>
          <w:szCs w:val="22"/>
        </w:rPr>
      </w:pPr>
    </w:p>
    <w:p w14:paraId="6079C7F5" w14:textId="2CC3A14F" w:rsidR="00B62631" w:rsidRPr="00322120" w:rsidRDefault="00B62631" w:rsidP="00F07B09">
      <w:pPr>
        <w:pStyle w:val="NoSpacing"/>
        <w:jc w:val="both"/>
        <w:rPr>
          <w:sz w:val="22"/>
          <w:szCs w:val="22"/>
        </w:rPr>
      </w:pPr>
      <w:r w:rsidRPr="00322120">
        <w:rPr>
          <w:sz w:val="22"/>
          <w:szCs w:val="22"/>
        </w:rPr>
        <w:t xml:space="preserve">Watt. G, (2021), </w:t>
      </w:r>
      <w:r w:rsidRPr="00322120">
        <w:rPr>
          <w:i/>
          <w:iCs/>
          <w:sz w:val="22"/>
          <w:szCs w:val="22"/>
        </w:rPr>
        <w:t>Equity and Trusts Law Seventh Edition</w:t>
      </w:r>
      <w:r w:rsidRPr="00322120">
        <w:rPr>
          <w:sz w:val="22"/>
          <w:szCs w:val="22"/>
        </w:rPr>
        <w:t xml:space="preserve">, Oxford University Press: Oxford. </w:t>
      </w:r>
    </w:p>
    <w:p w14:paraId="2BD86CD4" w14:textId="77777777" w:rsidR="00322120" w:rsidRPr="00322120" w:rsidRDefault="00322120" w:rsidP="00F07B09">
      <w:pPr>
        <w:pStyle w:val="NoSpacing"/>
        <w:jc w:val="both"/>
        <w:rPr>
          <w:sz w:val="22"/>
          <w:szCs w:val="22"/>
        </w:rPr>
      </w:pPr>
    </w:p>
    <w:p w14:paraId="77387A5A" w14:textId="4A86AE45" w:rsidR="00B62631" w:rsidRPr="00322120" w:rsidRDefault="00B62631" w:rsidP="00F07B09">
      <w:pPr>
        <w:pStyle w:val="NoSpacing"/>
        <w:jc w:val="both"/>
        <w:rPr>
          <w:sz w:val="22"/>
          <w:szCs w:val="22"/>
        </w:rPr>
      </w:pPr>
      <w:r w:rsidRPr="00322120">
        <w:rPr>
          <w:sz w:val="22"/>
          <w:szCs w:val="22"/>
        </w:rPr>
        <w:t xml:space="preserve">Zhang. R, (2022), </w:t>
      </w:r>
      <w:r w:rsidRPr="00322120">
        <w:rPr>
          <w:i/>
          <w:iCs/>
          <w:sz w:val="22"/>
          <w:szCs w:val="22"/>
        </w:rPr>
        <w:t>Principal Forms of Commercial Trusts in the UK and Rethinking of Traditional Approaches</w:t>
      </w:r>
      <w:r w:rsidRPr="00322120">
        <w:rPr>
          <w:sz w:val="22"/>
          <w:szCs w:val="22"/>
        </w:rPr>
        <w:t>, Trusts &amp; Trustees, Vol. 28, No. 8, pp.787</w:t>
      </w:r>
      <w:r w:rsidR="00322120" w:rsidRPr="00322120">
        <w:rPr>
          <w:sz w:val="22"/>
          <w:szCs w:val="22"/>
        </w:rPr>
        <w:t xml:space="preserve">-800, Available at: </w:t>
      </w:r>
      <w:hyperlink r:id="rId9" w:history="1">
        <w:r w:rsidR="00322120" w:rsidRPr="00322120">
          <w:rPr>
            <w:rStyle w:val="Hyperlink"/>
            <w:sz w:val="22"/>
            <w:szCs w:val="22"/>
          </w:rPr>
          <w:t>https://academic.oup.com/tandt/article/28/8/787/6654676#</w:t>
        </w:r>
      </w:hyperlink>
      <w:r w:rsidR="00322120" w:rsidRPr="00322120">
        <w:rPr>
          <w:sz w:val="22"/>
          <w:szCs w:val="22"/>
        </w:rPr>
        <w:t xml:space="preserve"> (Accessed: 28-Oct-2024). </w:t>
      </w:r>
    </w:p>
    <w:p w14:paraId="26EF84C9" w14:textId="77777777" w:rsidR="00F07B09" w:rsidRPr="00322120" w:rsidRDefault="00F07B09" w:rsidP="00F07B09">
      <w:pPr>
        <w:pStyle w:val="NoSpacing"/>
        <w:jc w:val="both"/>
        <w:rPr>
          <w:sz w:val="22"/>
          <w:szCs w:val="22"/>
        </w:rPr>
      </w:pPr>
    </w:p>
    <w:p w14:paraId="5262B859" w14:textId="48640CAD" w:rsidR="002E2181" w:rsidRPr="00322120" w:rsidRDefault="00E70660" w:rsidP="00E70660">
      <w:pPr>
        <w:pStyle w:val="NoSpacing"/>
        <w:jc w:val="center"/>
        <w:rPr>
          <w:sz w:val="22"/>
          <w:szCs w:val="22"/>
        </w:rPr>
      </w:pPr>
      <w:r w:rsidRPr="00322120">
        <w:rPr>
          <w:sz w:val="22"/>
          <w:szCs w:val="22"/>
          <w:u w:val="single"/>
        </w:rPr>
        <w:t>Reference List</w:t>
      </w:r>
      <w:r w:rsidR="00557610" w:rsidRPr="00322120">
        <w:rPr>
          <w:sz w:val="22"/>
          <w:szCs w:val="22"/>
          <w:u w:val="single"/>
        </w:rPr>
        <w:t xml:space="preserve"> B: Independent Work</w:t>
      </w:r>
    </w:p>
    <w:p w14:paraId="69BAC830" w14:textId="4EDE9DF1" w:rsidR="00656A2A" w:rsidRPr="00656A2A" w:rsidRDefault="00656A2A" w:rsidP="00E70660">
      <w:pPr>
        <w:pStyle w:val="NoSpacing"/>
        <w:rPr>
          <w:sz w:val="22"/>
          <w:szCs w:val="22"/>
        </w:rPr>
      </w:pPr>
      <w:r>
        <w:rPr>
          <w:sz w:val="22"/>
          <w:szCs w:val="22"/>
        </w:rPr>
        <w:t xml:space="preserve">Cabinet Office, (2022), </w:t>
      </w:r>
      <w:r>
        <w:rPr>
          <w:i/>
          <w:iCs/>
          <w:sz w:val="22"/>
          <w:szCs w:val="22"/>
        </w:rPr>
        <w:t>Guide to Making Legislation</w:t>
      </w:r>
      <w:r>
        <w:rPr>
          <w:sz w:val="22"/>
          <w:szCs w:val="22"/>
        </w:rPr>
        <w:t xml:space="preserve">, Crown Copyright, Available at: </w:t>
      </w:r>
      <w:hyperlink r:id="rId10" w:history="1">
        <w:r w:rsidRPr="00207899">
          <w:rPr>
            <w:rStyle w:val="Hyperlink"/>
            <w:sz w:val="22"/>
            <w:szCs w:val="22"/>
          </w:rPr>
          <w:t>https://assets.publishing.service.gov.uk/media/62fe365fe90e0703e1bb4844/2022-08_Guide_to_Making_Legislation_-_master_version__4_.pdf</w:t>
        </w:r>
      </w:hyperlink>
      <w:r>
        <w:rPr>
          <w:sz w:val="22"/>
          <w:szCs w:val="22"/>
        </w:rPr>
        <w:t xml:space="preserve"> (Accessed: 13-Nov-2024). </w:t>
      </w:r>
    </w:p>
    <w:p w14:paraId="0E13C82A" w14:textId="77777777" w:rsidR="00656A2A" w:rsidRDefault="00656A2A" w:rsidP="00E70660">
      <w:pPr>
        <w:pStyle w:val="NoSpacing"/>
        <w:rPr>
          <w:sz w:val="22"/>
          <w:szCs w:val="22"/>
        </w:rPr>
      </w:pPr>
    </w:p>
    <w:p w14:paraId="4538667E" w14:textId="73796D70" w:rsidR="002C03D3" w:rsidRDefault="002C03D3" w:rsidP="00E70660">
      <w:pPr>
        <w:pStyle w:val="NoSpacing"/>
        <w:rPr>
          <w:sz w:val="22"/>
          <w:szCs w:val="22"/>
        </w:rPr>
      </w:pPr>
      <w:r>
        <w:rPr>
          <w:sz w:val="22"/>
          <w:szCs w:val="22"/>
        </w:rPr>
        <w:t xml:space="preserve">Department for Work and Pensions, (2023), </w:t>
      </w:r>
      <w:r>
        <w:rPr>
          <w:i/>
          <w:iCs/>
          <w:sz w:val="22"/>
          <w:szCs w:val="22"/>
        </w:rPr>
        <w:t>Evolving the Regulatory Approach to Master Trusts: A Review of the Master Trusts Authorisation and Supervisory Regime</w:t>
      </w:r>
      <w:r w:rsidR="00A900D3">
        <w:rPr>
          <w:i/>
          <w:iCs/>
          <w:sz w:val="22"/>
          <w:szCs w:val="22"/>
        </w:rPr>
        <w:t xml:space="preserve"> and the Wider Market</w:t>
      </w:r>
      <w:r w:rsidR="00A900D3">
        <w:rPr>
          <w:sz w:val="22"/>
          <w:szCs w:val="22"/>
        </w:rPr>
        <w:t xml:space="preserve">, Available at: </w:t>
      </w:r>
    </w:p>
    <w:p w14:paraId="79631697" w14:textId="77777777" w:rsidR="00A900D3" w:rsidRPr="00A900D3" w:rsidRDefault="00A900D3" w:rsidP="00E70660">
      <w:pPr>
        <w:pStyle w:val="NoSpacing"/>
        <w:rPr>
          <w:sz w:val="22"/>
          <w:szCs w:val="22"/>
        </w:rPr>
      </w:pPr>
    </w:p>
    <w:p w14:paraId="5F54F4F3" w14:textId="3D9EBF0A" w:rsidR="00E70660" w:rsidRPr="00322120" w:rsidRDefault="00E70660" w:rsidP="00E70660">
      <w:pPr>
        <w:pStyle w:val="NoSpacing"/>
        <w:rPr>
          <w:sz w:val="22"/>
          <w:szCs w:val="22"/>
        </w:rPr>
      </w:pPr>
      <w:r w:rsidRPr="00322120">
        <w:rPr>
          <w:sz w:val="22"/>
          <w:szCs w:val="22"/>
        </w:rPr>
        <w:t xml:space="preserve">Edwards. R and Stockwell. N, (2015), </w:t>
      </w:r>
      <w:r w:rsidRPr="00322120">
        <w:rPr>
          <w:i/>
          <w:iCs/>
          <w:sz w:val="22"/>
          <w:szCs w:val="22"/>
        </w:rPr>
        <w:t>Trusts and Equity Twelfth Edition</w:t>
      </w:r>
      <w:r w:rsidRPr="00322120">
        <w:rPr>
          <w:sz w:val="22"/>
          <w:szCs w:val="22"/>
        </w:rPr>
        <w:t>, Pearson Education: Harlow</w:t>
      </w:r>
    </w:p>
    <w:p w14:paraId="64AA9CC5" w14:textId="77777777" w:rsidR="00E70660" w:rsidRPr="00322120" w:rsidRDefault="00E70660" w:rsidP="00E70660">
      <w:pPr>
        <w:pStyle w:val="NoSpacing"/>
        <w:rPr>
          <w:sz w:val="22"/>
          <w:szCs w:val="22"/>
        </w:rPr>
      </w:pPr>
    </w:p>
    <w:p w14:paraId="1437ED2C" w14:textId="1A06835F" w:rsidR="00E70660" w:rsidRPr="00322120" w:rsidRDefault="00E70660" w:rsidP="00E70660">
      <w:pPr>
        <w:pStyle w:val="NoSpacing"/>
        <w:rPr>
          <w:sz w:val="22"/>
          <w:szCs w:val="22"/>
        </w:rPr>
      </w:pPr>
      <w:r w:rsidRPr="00322120">
        <w:rPr>
          <w:sz w:val="22"/>
          <w:szCs w:val="22"/>
        </w:rPr>
        <w:t xml:space="preserve">House of Lords, (2004), </w:t>
      </w:r>
      <w:r w:rsidRPr="00322120">
        <w:rPr>
          <w:i/>
          <w:iCs/>
          <w:sz w:val="22"/>
          <w:szCs w:val="22"/>
        </w:rPr>
        <w:t xml:space="preserve">The Regulatory State: Ensuring its Accountability, </w:t>
      </w:r>
      <w:r w:rsidRPr="00322120">
        <w:rPr>
          <w:sz w:val="22"/>
          <w:szCs w:val="22"/>
        </w:rPr>
        <w:t>Select Committee on the Constitution, 6</w:t>
      </w:r>
      <w:r w:rsidRPr="00322120">
        <w:rPr>
          <w:sz w:val="22"/>
          <w:szCs w:val="22"/>
          <w:vertAlign w:val="superscript"/>
        </w:rPr>
        <w:t>th</w:t>
      </w:r>
      <w:r w:rsidRPr="00322120">
        <w:rPr>
          <w:sz w:val="22"/>
          <w:szCs w:val="22"/>
        </w:rPr>
        <w:t xml:space="preserve"> Report, Vol I, Available at: </w:t>
      </w:r>
      <w:hyperlink r:id="rId11" w:history="1">
        <w:r w:rsidR="00557610" w:rsidRPr="00322120">
          <w:rPr>
            <w:rStyle w:val="Hyperlink"/>
            <w:sz w:val="22"/>
            <w:szCs w:val="22"/>
          </w:rPr>
          <w:t>https://publications.parliament.uk/pa/ld200304/ldselect/ldconst/68/68.pdf</w:t>
        </w:r>
      </w:hyperlink>
      <w:r w:rsidR="00557610" w:rsidRPr="00322120">
        <w:rPr>
          <w:sz w:val="22"/>
          <w:szCs w:val="22"/>
        </w:rPr>
        <w:t xml:space="preserve"> (Accessed: 01-Nov-2024). </w:t>
      </w:r>
    </w:p>
    <w:p w14:paraId="0DDED965" w14:textId="77777777" w:rsidR="00557610" w:rsidRPr="00322120" w:rsidRDefault="00557610" w:rsidP="00E70660">
      <w:pPr>
        <w:pStyle w:val="NoSpacing"/>
        <w:rPr>
          <w:sz w:val="22"/>
          <w:szCs w:val="22"/>
        </w:rPr>
      </w:pPr>
    </w:p>
    <w:p w14:paraId="6715E2CF" w14:textId="245C27B1" w:rsidR="00557610" w:rsidRPr="00322120" w:rsidRDefault="00557610" w:rsidP="00E70660">
      <w:pPr>
        <w:pStyle w:val="NoSpacing"/>
        <w:rPr>
          <w:sz w:val="22"/>
          <w:szCs w:val="22"/>
        </w:rPr>
      </w:pPr>
      <w:r w:rsidRPr="00322120">
        <w:rPr>
          <w:sz w:val="22"/>
          <w:szCs w:val="22"/>
        </w:rPr>
        <w:t xml:space="preserve">Jones. I, (2024), </w:t>
      </w:r>
      <w:r w:rsidRPr="00322120">
        <w:rPr>
          <w:i/>
          <w:iCs/>
          <w:sz w:val="22"/>
          <w:szCs w:val="22"/>
        </w:rPr>
        <w:t xml:space="preserve">Everything You Need </w:t>
      </w:r>
      <w:r w:rsidR="00F07B09" w:rsidRPr="00322120">
        <w:rPr>
          <w:i/>
          <w:iCs/>
          <w:sz w:val="22"/>
          <w:szCs w:val="22"/>
        </w:rPr>
        <w:t>t</w:t>
      </w:r>
      <w:r w:rsidRPr="00322120">
        <w:rPr>
          <w:i/>
          <w:iCs/>
          <w:sz w:val="22"/>
          <w:szCs w:val="22"/>
        </w:rPr>
        <w:t>o Know About The Charity Commission</w:t>
      </w:r>
      <w:r w:rsidRPr="00322120">
        <w:rPr>
          <w:sz w:val="22"/>
          <w:szCs w:val="22"/>
        </w:rPr>
        <w:t xml:space="preserve">, Charity Digital, Available at: </w:t>
      </w:r>
      <w:hyperlink r:id="rId12" w:history="1">
        <w:r w:rsidRPr="00322120">
          <w:rPr>
            <w:rStyle w:val="Hyperlink"/>
            <w:sz w:val="22"/>
            <w:szCs w:val="22"/>
          </w:rPr>
          <w:t>https://charitydigital.org.uk/topics/what-is-the-charity-commission-11492</w:t>
        </w:r>
      </w:hyperlink>
      <w:r w:rsidRPr="00322120">
        <w:rPr>
          <w:sz w:val="22"/>
          <w:szCs w:val="22"/>
        </w:rPr>
        <w:t xml:space="preserve"> (Accessed 03-Nov-2024). </w:t>
      </w:r>
    </w:p>
    <w:p w14:paraId="4C4FC717" w14:textId="77777777" w:rsidR="00E70660" w:rsidRPr="00322120" w:rsidRDefault="00E70660" w:rsidP="00E70660">
      <w:pPr>
        <w:pStyle w:val="NoSpacing"/>
        <w:rPr>
          <w:sz w:val="22"/>
          <w:szCs w:val="22"/>
        </w:rPr>
      </w:pPr>
    </w:p>
    <w:p w14:paraId="6091460F" w14:textId="4395245A" w:rsidR="002E0C58" w:rsidRPr="00322120" w:rsidRDefault="002E0C58" w:rsidP="00E70660">
      <w:pPr>
        <w:pStyle w:val="NoSpacing"/>
        <w:rPr>
          <w:sz w:val="22"/>
          <w:szCs w:val="22"/>
        </w:rPr>
      </w:pPr>
      <w:r w:rsidRPr="00322120">
        <w:rPr>
          <w:sz w:val="22"/>
          <w:szCs w:val="22"/>
        </w:rPr>
        <w:t xml:space="preserve">Law Commission, (2006), </w:t>
      </w:r>
      <w:r w:rsidRPr="00322120">
        <w:rPr>
          <w:i/>
          <w:iCs/>
          <w:sz w:val="22"/>
          <w:szCs w:val="22"/>
        </w:rPr>
        <w:t xml:space="preserve">Trustee Exemption Clauses, </w:t>
      </w:r>
      <w:r w:rsidRPr="00322120">
        <w:rPr>
          <w:sz w:val="22"/>
          <w:szCs w:val="22"/>
        </w:rPr>
        <w:t xml:space="preserve">Law Com No. 307, Available at: </w:t>
      </w:r>
      <w:hyperlink r:id="rId13" w:history="1">
        <w:r w:rsidRPr="00322120">
          <w:rPr>
            <w:rStyle w:val="Hyperlink"/>
            <w:sz w:val="22"/>
            <w:szCs w:val="22"/>
          </w:rPr>
          <w:t>https://cloud-platform-e218f50a4812967ba1215eaecede923f.s3.amazonaws.com/uploads/sites/30/2015/03/lc301_Trustee_Exemption_Clauses.pdf</w:t>
        </w:r>
      </w:hyperlink>
      <w:r w:rsidRPr="00322120">
        <w:rPr>
          <w:sz w:val="22"/>
          <w:szCs w:val="22"/>
        </w:rPr>
        <w:t xml:space="preserve"> (Accessed 08-Nov-2024). </w:t>
      </w:r>
    </w:p>
    <w:p w14:paraId="66BBDD91" w14:textId="77777777" w:rsidR="002E0C58" w:rsidRPr="00322120" w:rsidRDefault="002E0C58" w:rsidP="00E70660">
      <w:pPr>
        <w:pStyle w:val="NoSpacing"/>
        <w:rPr>
          <w:sz w:val="22"/>
          <w:szCs w:val="22"/>
        </w:rPr>
      </w:pPr>
    </w:p>
    <w:p w14:paraId="5851B71D" w14:textId="04121398" w:rsidR="002E0C58" w:rsidRPr="00322120" w:rsidRDefault="002E0C58" w:rsidP="00E70660">
      <w:pPr>
        <w:pStyle w:val="NoSpacing"/>
        <w:rPr>
          <w:sz w:val="22"/>
          <w:szCs w:val="22"/>
        </w:rPr>
      </w:pPr>
      <w:r w:rsidRPr="00322120">
        <w:rPr>
          <w:sz w:val="22"/>
          <w:szCs w:val="22"/>
        </w:rPr>
        <w:t xml:space="preserve">Law Commission, (2006), </w:t>
      </w:r>
      <w:r w:rsidRPr="00322120">
        <w:rPr>
          <w:i/>
          <w:iCs/>
          <w:sz w:val="22"/>
          <w:szCs w:val="22"/>
        </w:rPr>
        <w:t>Trustee Exemption Clauses Executive Summary</w:t>
      </w:r>
      <w:r w:rsidRPr="00322120">
        <w:rPr>
          <w:sz w:val="22"/>
          <w:szCs w:val="22"/>
        </w:rPr>
        <w:t xml:space="preserve">, </w:t>
      </w:r>
      <w:r w:rsidR="00B62631" w:rsidRPr="00322120">
        <w:rPr>
          <w:sz w:val="22"/>
          <w:szCs w:val="22"/>
        </w:rPr>
        <w:t xml:space="preserve">Available at: </w:t>
      </w:r>
      <w:hyperlink r:id="rId14" w:history="1">
        <w:r w:rsidR="00B62631" w:rsidRPr="00322120">
          <w:rPr>
            <w:rStyle w:val="Hyperlink"/>
            <w:sz w:val="22"/>
            <w:szCs w:val="22"/>
          </w:rPr>
          <w:t>https://cloud-platform-</w:t>
        </w:r>
        <w:r w:rsidR="00B62631" w:rsidRPr="00322120">
          <w:rPr>
            <w:rStyle w:val="Hyperlink"/>
            <w:sz w:val="22"/>
            <w:szCs w:val="22"/>
          </w:rPr>
          <w:lastRenderedPageBreak/>
          <w:t>e218f50a4812967ba1215eaecede923f.s3.amazonaws.com/uploads/sites/30/2015/03/cp171_Trustee_Exemption_Clauses_Consultation_Summarypdf.pdf</w:t>
        </w:r>
      </w:hyperlink>
      <w:r w:rsidR="00B62631" w:rsidRPr="00322120">
        <w:rPr>
          <w:sz w:val="22"/>
          <w:szCs w:val="22"/>
        </w:rPr>
        <w:t xml:space="preserve"> (Accessed: 08-Nov-2024). </w:t>
      </w:r>
    </w:p>
    <w:p w14:paraId="79AED790" w14:textId="77777777" w:rsidR="002E0C58" w:rsidRPr="00322120" w:rsidRDefault="002E0C58" w:rsidP="00E70660">
      <w:pPr>
        <w:pStyle w:val="NoSpacing"/>
        <w:rPr>
          <w:sz w:val="22"/>
          <w:szCs w:val="22"/>
        </w:rPr>
      </w:pPr>
    </w:p>
    <w:p w14:paraId="0B79AC87" w14:textId="403984F7" w:rsidR="002E0C58" w:rsidRPr="00322120" w:rsidRDefault="002E0C58" w:rsidP="00E70660">
      <w:pPr>
        <w:pStyle w:val="NoSpacing"/>
        <w:rPr>
          <w:sz w:val="22"/>
          <w:szCs w:val="22"/>
        </w:rPr>
      </w:pPr>
      <w:r w:rsidRPr="00322120">
        <w:rPr>
          <w:sz w:val="22"/>
          <w:szCs w:val="22"/>
        </w:rPr>
        <w:t xml:space="preserve">Law Commission, (2017), </w:t>
      </w:r>
      <w:r w:rsidRPr="00322120">
        <w:rPr>
          <w:i/>
          <w:iCs/>
          <w:sz w:val="22"/>
          <w:szCs w:val="22"/>
        </w:rPr>
        <w:t>Thirteenth Programme of Law Reform</w:t>
      </w:r>
      <w:r w:rsidRPr="00322120">
        <w:rPr>
          <w:sz w:val="22"/>
          <w:szCs w:val="22"/>
        </w:rPr>
        <w:t xml:space="preserve">, Law Com No. 377, Available at: </w:t>
      </w:r>
      <w:hyperlink r:id="rId15" w:history="1">
        <w:r w:rsidRPr="00322120">
          <w:rPr>
            <w:rStyle w:val="Hyperlink"/>
            <w:sz w:val="22"/>
            <w:szCs w:val="22"/>
          </w:rPr>
          <w:t>https://cloud-platform-e218f50a4812967ba1215eaecede923f.s3.amazonaws.com/uploads/sites/30/2017/12/13th-Programme-of-Law-Reform.pdf</w:t>
        </w:r>
      </w:hyperlink>
      <w:r w:rsidRPr="00322120">
        <w:rPr>
          <w:sz w:val="22"/>
          <w:szCs w:val="22"/>
        </w:rPr>
        <w:t xml:space="preserve"> (Accessed: 08-Nov-2023). </w:t>
      </w:r>
    </w:p>
    <w:p w14:paraId="144D078E" w14:textId="77777777" w:rsidR="002E0C58" w:rsidRDefault="002E0C58" w:rsidP="00E70660">
      <w:pPr>
        <w:pStyle w:val="NoSpacing"/>
        <w:rPr>
          <w:sz w:val="22"/>
          <w:szCs w:val="22"/>
        </w:rPr>
      </w:pPr>
    </w:p>
    <w:p w14:paraId="032FEE18" w14:textId="5C3AEE91" w:rsidR="00607421" w:rsidRDefault="00607421" w:rsidP="00E70660">
      <w:pPr>
        <w:pStyle w:val="NoSpacing"/>
        <w:rPr>
          <w:sz w:val="22"/>
          <w:szCs w:val="22"/>
        </w:rPr>
      </w:pPr>
      <w:r>
        <w:rPr>
          <w:sz w:val="22"/>
          <w:szCs w:val="22"/>
        </w:rPr>
        <w:t xml:space="preserve">Lee. J, Nolan. R, Wu. TH, Yip. M, (2024), </w:t>
      </w:r>
      <w:r>
        <w:rPr>
          <w:i/>
          <w:iCs/>
          <w:sz w:val="22"/>
          <w:szCs w:val="22"/>
        </w:rPr>
        <w:t>Innovation and Reform in the Law of Trusts Editor’s Introduction</w:t>
      </w:r>
      <w:r>
        <w:rPr>
          <w:sz w:val="22"/>
          <w:szCs w:val="22"/>
        </w:rPr>
        <w:t xml:space="preserve">, King’s Law Journal, 35(1), pp. 1-4, Available at: </w:t>
      </w:r>
      <w:hyperlink r:id="rId16" w:history="1">
        <w:r w:rsidRPr="00207899">
          <w:rPr>
            <w:rStyle w:val="Hyperlink"/>
            <w:sz w:val="22"/>
            <w:szCs w:val="22"/>
          </w:rPr>
          <w:t>https://www.tandfonline.com/doi/full/10.1080/09615768.2024.2323790</w:t>
        </w:r>
      </w:hyperlink>
      <w:r>
        <w:rPr>
          <w:sz w:val="22"/>
          <w:szCs w:val="22"/>
        </w:rPr>
        <w:t xml:space="preserve"> (Accessed: </w:t>
      </w:r>
      <w:r w:rsidR="00656A2A">
        <w:rPr>
          <w:sz w:val="22"/>
          <w:szCs w:val="22"/>
        </w:rPr>
        <w:t>13</w:t>
      </w:r>
      <w:r>
        <w:rPr>
          <w:sz w:val="22"/>
          <w:szCs w:val="22"/>
        </w:rPr>
        <w:t xml:space="preserve">-Nov-2024). </w:t>
      </w:r>
    </w:p>
    <w:p w14:paraId="0029AA60" w14:textId="77777777" w:rsidR="00A900D3" w:rsidRDefault="00A900D3" w:rsidP="00E70660">
      <w:pPr>
        <w:pStyle w:val="NoSpacing"/>
        <w:rPr>
          <w:sz w:val="22"/>
          <w:szCs w:val="22"/>
        </w:rPr>
      </w:pPr>
    </w:p>
    <w:p w14:paraId="2FBBE568" w14:textId="2DDD0127" w:rsidR="00A900D3" w:rsidRPr="00BE4ED6" w:rsidRDefault="00A900D3" w:rsidP="00E70660">
      <w:pPr>
        <w:pStyle w:val="NoSpacing"/>
        <w:rPr>
          <w:sz w:val="22"/>
          <w:szCs w:val="22"/>
        </w:rPr>
      </w:pPr>
      <w:r>
        <w:rPr>
          <w:sz w:val="22"/>
          <w:szCs w:val="22"/>
        </w:rPr>
        <w:t xml:space="preserve">NCVO, (2024), </w:t>
      </w:r>
      <w:r w:rsidR="00BE4ED6">
        <w:rPr>
          <w:i/>
          <w:iCs/>
          <w:sz w:val="22"/>
          <w:szCs w:val="22"/>
        </w:rPr>
        <w:t>Responsibilities for Boards: The Legal Duties of Trustees</w:t>
      </w:r>
      <w:r w:rsidR="00BE4ED6">
        <w:rPr>
          <w:sz w:val="22"/>
          <w:szCs w:val="22"/>
        </w:rPr>
        <w:t xml:space="preserve">, Available at: </w:t>
      </w:r>
      <w:hyperlink r:id="rId17" w:history="1">
        <w:r w:rsidR="00BE4ED6" w:rsidRPr="00207899">
          <w:rPr>
            <w:rStyle w:val="Hyperlink"/>
            <w:sz w:val="22"/>
            <w:szCs w:val="22"/>
          </w:rPr>
          <w:t>https://www.ncvo.org.uk/help-and-guidance/governance/responsibilities-for-boards/the-legal-duties-of-trustees/</w:t>
        </w:r>
      </w:hyperlink>
      <w:r w:rsidR="00BE4ED6">
        <w:rPr>
          <w:sz w:val="22"/>
          <w:szCs w:val="22"/>
        </w:rPr>
        <w:t xml:space="preserve"> (Accessed: 14-Nov-2024). </w:t>
      </w:r>
    </w:p>
    <w:p w14:paraId="424B783A" w14:textId="77777777" w:rsidR="00607421" w:rsidRPr="00607421" w:rsidRDefault="00607421" w:rsidP="00E70660">
      <w:pPr>
        <w:pStyle w:val="NoSpacing"/>
        <w:rPr>
          <w:sz w:val="22"/>
          <w:szCs w:val="22"/>
        </w:rPr>
      </w:pPr>
    </w:p>
    <w:p w14:paraId="601076DC" w14:textId="1F11E04E" w:rsidR="00557610" w:rsidRPr="00322120" w:rsidRDefault="00557610" w:rsidP="00E70660">
      <w:pPr>
        <w:pStyle w:val="NoSpacing"/>
        <w:rPr>
          <w:sz w:val="22"/>
          <w:szCs w:val="22"/>
        </w:rPr>
      </w:pPr>
      <w:r w:rsidRPr="00322120">
        <w:rPr>
          <w:sz w:val="22"/>
          <w:szCs w:val="22"/>
        </w:rPr>
        <w:t xml:space="preserve">Noseda. F, (2024), </w:t>
      </w:r>
      <w:r w:rsidR="00F07B09" w:rsidRPr="00322120">
        <w:rPr>
          <w:i/>
          <w:iCs/>
          <w:sz w:val="22"/>
          <w:szCs w:val="22"/>
        </w:rPr>
        <w:t>Unpacking the Trust Concept: Closing the Common Law – Civil Law Gap</w:t>
      </w:r>
      <w:r w:rsidR="00F07B09" w:rsidRPr="00322120">
        <w:rPr>
          <w:sz w:val="22"/>
          <w:szCs w:val="22"/>
        </w:rPr>
        <w:t xml:space="preserve">, Trusts &amp; Trustees, Vol. 30, No.7, Oxford University Press, Available at: </w:t>
      </w:r>
      <w:hyperlink r:id="rId18" w:history="1">
        <w:r w:rsidR="00F07B09" w:rsidRPr="00322120">
          <w:rPr>
            <w:rStyle w:val="Hyperlink"/>
            <w:sz w:val="22"/>
            <w:szCs w:val="22"/>
          </w:rPr>
          <w:t>https://watermark.silverchair.com/ttae026.pdf?token=AQECAHi208BE49Ooan9kkhW_Ercy7Dm3ZL_9Cf3qfKAc485ysgAAA9Ewg</w:t>
        </w:r>
        <w:r w:rsidR="00656A2A" w:rsidRPr="00656A2A">
          <w:rPr>
            <w:rStyle w:val="Hyperlink"/>
            <w:sz w:val="22"/>
            <w:szCs w:val="22"/>
          </w:rPr>
          <w:t>https://assets.publishing.service.gov.uk/media/62fe365fe90e0703e1bb4844/2022-08_Guide_to_Making_Legislation_-_master_version__4_</w:t>
        </w:r>
        <w:r w:rsidR="00656A2A" w:rsidRPr="00656A2A">
          <w:rPr>
            <w:rStyle w:val="Hyperlink"/>
            <w:sz w:val="22"/>
            <w:szCs w:val="22"/>
          </w:rPr>
          <w:t>.</w:t>
        </w:r>
        <w:r w:rsidR="00656A2A" w:rsidRPr="00656A2A">
          <w:rPr>
            <w:rStyle w:val="Hyperlink"/>
            <w:sz w:val="22"/>
            <w:szCs w:val="22"/>
          </w:rPr>
          <w:t>pdf</w:t>
        </w:r>
        <w:r w:rsidR="00F07B09" w:rsidRPr="00322120">
          <w:rPr>
            <w:rStyle w:val="Hyperlink"/>
            <w:sz w:val="22"/>
            <w:szCs w:val="22"/>
          </w:rPr>
          <w:t>gPNBgkqhkiG9w0BBwagggO-MIIDugIBADCCA7MGCSqGSIb3DQEHATAeBglghkgBZQMEAS4wEQQMU8Yb_v4CSmI_9kZEAgEQgIIDhLeVwDVhra5nBhDPMdqXm5ZuoFZ5phU6WYZ7l70kFuoZjFp</w:t>
        </w:r>
      </w:hyperlink>
      <w:r w:rsidR="00F07B09" w:rsidRPr="00322120">
        <w:rPr>
          <w:sz w:val="22"/>
          <w:szCs w:val="22"/>
        </w:rPr>
        <w:t xml:space="preserve"> (Accessed: 08-Nov-2024). </w:t>
      </w:r>
    </w:p>
    <w:p w14:paraId="67CB2765" w14:textId="77777777" w:rsidR="00557610" w:rsidRPr="00322120" w:rsidRDefault="00557610" w:rsidP="00E70660">
      <w:pPr>
        <w:pStyle w:val="NoSpacing"/>
        <w:rPr>
          <w:sz w:val="22"/>
          <w:szCs w:val="22"/>
        </w:rPr>
      </w:pPr>
    </w:p>
    <w:p w14:paraId="63D48C0F" w14:textId="3F884B22" w:rsidR="00557610" w:rsidRPr="00322120" w:rsidRDefault="00557610" w:rsidP="00E70660">
      <w:pPr>
        <w:pStyle w:val="NoSpacing"/>
        <w:rPr>
          <w:i/>
          <w:iCs/>
          <w:sz w:val="22"/>
          <w:szCs w:val="22"/>
        </w:rPr>
      </w:pPr>
      <w:r w:rsidRPr="00322120">
        <w:rPr>
          <w:sz w:val="22"/>
          <w:szCs w:val="22"/>
        </w:rPr>
        <w:t xml:space="preserve">The Law Commission &amp; The Scottish Law Commission, (1999), </w:t>
      </w:r>
      <w:r w:rsidRPr="00322120">
        <w:rPr>
          <w:i/>
          <w:iCs/>
          <w:sz w:val="22"/>
          <w:szCs w:val="22"/>
        </w:rPr>
        <w:t>Trustees’ Powers and Duties</w:t>
      </w:r>
      <w:r w:rsidRPr="00322120">
        <w:rPr>
          <w:sz w:val="22"/>
          <w:szCs w:val="22"/>
        </w:rPr>
        <w:t xml:space="preserve">, Law Com No. 260, Available at: </w:t>
      </w:r>
      <w:hyperlink r:id="rId19" w:history="1">
        <w:r w:rsidRPr="00322120">
          <w:rPr>
            <w:rStyle w:val="Hyperlink"/>
            <w:sz w:val="22"/>
            <w:szCs w:val="22"/>
          </w:rPr>
          <w:t>https://cloud-platform-e218f50a4812967ba1215eaecede923f.s3.amazonaws.com/uploads/sites/30/2015/03/lc260_Trustees_Powers_and_Duties.pdf</w:t>
        </w:r>
      </w:hyperlink>
      <w:r w:rsidRPr="00322120">
        <w:rPr>
          <w:sz w:val="22"/>
          <w:szCs w:val="22"/>
        </w:rPr>
        <w:t xml:space="preserve"> (Accessed: 03-Nov-2024). </w:t>
      </w:r>
    </w:p>
    <w:p w14:paraId="6E9928C7" w14:textId="77777777" w:rsidR="00557610" w:rsidRPr="00322120" w:rsidRDefault="00557610" w:rsidP="00E70660">
      <w:pPr>
        <w:pStyle w:val="NoSpacing"/>
        <w:rPr>
          <w:sz w:val="22"/>
          <w:szCs w:val="22"/>
        </w:rPr>
      </w:pPr>
    </w:p>
    <w:p w14:paraId="2BA94DAE" w14:textId="7022317A" w:rsidR="00E70660" w:rsidRPr="00322120" w:rsidRDefault="00E70660" w:rsidP="00E70660">
      <w:pPr>
        <w:pStyle w:val="NoSpacing"/>
        <w:rPr>
          <w:sz w:val="22"/>
          <w:szCs w:val="22"/>
        </w:rPr>
      </w:pPr>
      <w:r w:rsidRPr="00322120">
        <w:rPr>
          <w:sz w:val="22"/>
          <w:szCs w:val="22"/>
        </w:rPr>
        <w:t xml:space="preserve">Yip. M and Lee. J, (2017), </w:t>
      </w:r>
      <w:r w:rsidRPr="00322120">
        <w:rPr>
          <w:i/>
          <w:iCs/>
          <w:sz w:val="22"/>
          <w:szCs w:val="22"/>
        </w:rPr>
        <w:t>The Commercialisation of Equity</w:t>
      </w:r>
      <w:r w:rsidRPr="00322120">
        <w:rPr>
          <w:sz w:val="22"/>
          <w:szCs w:val="22"/>
        </w:rPr>
        <w:t>, Legal Studies</w:t>
      </w:r>
      <w:r w:rsidR="00B62631" w:rsidRPr="00322120">
        <w:rPr>
          <w:sz w:val="22"/>
          <w:szCs w:val="22"/>
        </w:rPr>
        <w:t>,</w:t>
      </w:r>
      <w:r w:rsidRPr="00322120">
        <w:rPr>
          <w:sz w:val="22"/>
          <w:szCs w:val="22"/>
        </w:rPr>
        <w:t xml:space="preserve"> </w:t>
      </w:r>
      <w:r w:rsidR="00B62631" w:rsidRPr="00322120">
        <w:rPr>
          <w:sz w:val="22"/>
          <w:szCs w:val="22"/>
        </w:rPr>
        <w:t>Vol. 37, No. 4</w:t>
      </w:r>
      <w:r w:rsidRPr="00322120">
        <w:rPr>
          <w:sz w:val="22"/>
          <w:szCs w:val="22"/>
        </w:rPr>
        <w:t xml:space="preserve">, King’s College London, Available at: </w:t>
      </w:r>
      <w:hyperlink r:id="rId20" w:history="1">
        <w:r w:rsidRPr="00322120">
          <w:rPr>
            <w:rStyle w:val="Hyperlink"/>
            <w:sz w:val="22"/>
            <w:szCs w:val="22"/>
          </w:rPr>
          <w:t>https://kclpure.kcl.ac.uk/ws/portalfiles/portal/64382545/Man_Yip_and_James_Lee_The_Commercialisation_of_Equity_Final_Version.pdf</w:t>
        </w:r>
      </w:hyperlink>
      <w:r w:rsidRPr="00322120">
        <w:rPr>
          <w:sz w:val="22"/>
          <w:szCs w:val="22"/>
        </w:rPr>
        <w:t xml:space="preserve"> (Accessed: 01-Nov-2024)</w:t>
      </w:r>
      <w:r w:rsidR="00557610" w:rsidRPr="00322120">
        <w:rPr>
          <w:sz w:val="22"/>
          <w:szCs w:val="22"/>
        </w:rPr>
        <w:t xml:space="preserve">. </w:t>
      </w:r>
    </w:p>
    <w:sectPr w:rsidR="00E70660" w:rsidRPr="00322120" w:rsidSect="00B35EB2">
      <w:headerReference w:type="default" r:id="rId21"/>
      <w:footerReference w:type="even" r:id="rId22"/>
      <w:footerReference w:type="default" r:id="rId23"/>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76662D" w14:textId="77777777" w:rsidR="00B31296" w:rsidRDefault="00B31296" w:rsidP="00B35EB2">
      <w:r>
        <w:separator/>
      </w:r>
    </w:p>
  </w:endnote>
  <w:endnote w:type="continuationSeparator" w:id="0">
    <w:p w14:paraId="097C82D5" w14:textId="77777777" w:rsidR="00B31296" w:rsidRDefault="00B31296" w:rsidP="00B35E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77049203"/>
      <w:docPartObj>
        <w:docPartGallery w:val="Page Numbers (Bottom of Page)"/>
        <w:docPartUnique/>
      </w:docPartObj>
    </w:sdtPr>
    <w:sdtContent>
      <w:p w14:paraId="4E991D23" w14:textId="06C40542" w:rsidR="00B35EB2" w:rsidRDefault="00B35EB2" w:rsidP="002078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69C9AE" w14:textId="77777777" w:rsidR="00B35EB2" w:rsidRDefault="00B35E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64046729"/>
      <w:docPartObj>
        <w:docPartGallery w:val="Page Numbers (Bottom of Page)"/>
        <w:docPartUnique/>
      </w:docPartObj>
    </w:sdtPr>
    <w:sdtContent>
      <w:p w14:paraId="74F47081" w14:textId="7DD39362" w:rsidR="00B35EB2" w:rsidRDefault="00B35EB2" w:rsidP="0020789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- 1 -</w:t>
        </w:r>
        <w:r>
          <w:rPr>
            <w:rStyle w:val="PageNumber"/>
          </w:rPr>
          <w:fldChar w:fldCharType="end"/>
        </w:r>
      </w:p>
    </w:sdtContent>
  </w:sdt>
  <w:p w14:paraId="79F0ED9F" w14:textId="77651B2A" w:rsidR="00B35EB2" w:rsidRDefault="00B35EB2">
    <w:pPr>
      <w:pStyle w:val="Footer"/>
    </w:pPr>
    <w:r>
      <w:t>Ryan Green</w:t>
    </w:r>
    <w:r>
      <w:tab/>
    </w:r>
    <w:r>
      <w:ptab w:relativeTo="margin" w:alignment="right" w:leader="none"/>
    </w:r>
    <w:r>
      <w:t>Student ID: 2017590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7A67F6" w14:textId="77777777" w:rsidR="00B31296" w:rsidRDefault="00B31296" w:rsidP="00B35EB2">
      <w:r>
        <w:separator/>
      </w:r>
    </w:p>
  </w:footnote>
  <w:footnote w:type="continuationSeparator" w:id="0">
    <w:p w14:paraId="7FA4A3B4" w14:textId="77777777" w:rsidR="00B31296" w:rsidRDefault="00B31296" w:rsidP="00B35E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B6D862" w14:textId="3805A563" w:rsidR="00B35EB2" w:rsidRPr="00B35EB2" w:rsidRDefault="00B35EB2" w:rsidP="00B35EB2">
    <w:pPr>
      <w:pStyle w:val="NoSpacing"/>
      <w:jc w:val="center"/>
      <w:rPr>
        <w:sz w:val="22"/>
        <w:szCs w:val="22"/>
      </w:rPr>
    </w:pPr>
    <w:r w:rsidRPr="00B35EB2">
      <w:rPr>
        <w:b/>
        <w:bCs/>
        <w:sz w:val="22"/>
        <w:szCs w:val="22"/>
      </w:rPr>
      <w:t>University of Wales Trinity Saint David</w:t>
    </w:r>
  </w:p>
  <w:p w14:paraId="4087A249" w14:textId="01BA26E8" w:rsidR="00B35EB2" w:rsidRPr="00B35EB2" w:rsidRDefault="00B35EB2" w:rsidP="00B35EB2">
    <w:pPr>
      <w:pStyle w:val="NoSpacing"/>
      <w:jc w:val="center"/>
      <w:rPr>
        <w:sz w:val="22"/>
        <w:szCs w:val="22"/>
      </w:rPr>
    </w:pPr>
    <w:r w:rsidRPr="00B35EB2">
      <w:rPr>
        <w:sz w:val="22"/>
        <w:szCs w:val="22"/>
      </w:rPr>
      <w:t>School of Law, Criminology &amp; Policing | Blue Light Academy | Swansea Business Campus</w:t>
    </w:r>
  </w:p>
  <w:p w14:paraId="307D4431" w14:textId="69804169" w:rsidR="00B35EB2" w:rsidRDefault="00B35EB2" w:rsidP="00B35EB2">
    <w:pPr>
      <w:pStyle w:val="NoSpacing"/>
      <w:jc w:val="center"/>
      <w:rPr>
        <w:sz w:val="22"/>
        <w:szCs w:val="22"/>
      </w:rPr>
    </w:pPr>
    <w:r>
      <w:rPr>
        <w:noProof/>
        <w:sz w:val="22"/>
        <w:szCs w:val="22"/>
      </w:rPr>
      <mc:AlternateContent>
        <mc:Choice Requires="wps">
          <w:drawing>
            <wp:anchor distT="0" distB="0" distL="114300" distR="114300" simplePos="0" relativeHeight="251659264" behindDoc="0" locked="0" layoutInCell="1" allowOverlap="1" wp14:anchorId="785A389A" wp14:editId="3CE0EA98">
              <wp:simplePos x="0" y="0"/>
              <wp:positionH relativeFrom="column">
                <wp:posOffset>-571395</wp:posOffset>
              </wp:positionH>
              <wp:positionV relativeFrom="paragraph">
                <wp:posOffset>226060</wp:posOffset>
              </wp:positionV>
              <wp:extent cx="7029099" cy="33659"/>
              <wp:effectExtent l="0" t="0" r="19685" b="17145"/>
              <wp:wrapNone/>
              <wp:docPr id="1794386554" name="Straight Connector 1"/>
              <wp:cNvGraphicFramePr/>
              <a:graphic xmlns:a="http://schemas.openxmlformats.org/drawingml/2006/main">
                <a:graphicData uri="http://schemas.microsoft.com/office/word/2010/wordprocessingShape">
                  <wps:wsp>
                    <wps:cNvCnPr/>
                    <wps:spPr>
                      <a:xfrm>
                        <a:off x="0" y="0"/>
                        <a:ext cx="7029099" cy="33659"/>
                      </a:xfrm>
                      <a:prstGeom prst="line">
                        <a:avLst/>
                      </a:prstGeom>
                      <a:ln w="12700">
                        <a:solidFill>
                          <a:schemeClr val="accent4">
                            <a:lumMod val="60000"/>
                            <a:lumOff val="40000"/>
                          </a:schemeClr>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618303"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5pt,17.8pt" to="508.45pt,20.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JNYW2gEAACEEAAAOAAAAZHJzL2Uyb0RvYy54bWysU8tu2zAQvBfoPxC816Kd1KkFyzkkSC99&#13;&#10;BGnzAQy1tAjwBZKx5L/vkpLlIC0CtKgOlLS7s5wZLrfXg9HkACEqZxu6XDBKwArXKrtv6OPPuw+f&#13;&#10;KImJ25ZrZ6GhR4j0evf+3bb3Naxc53QLgWATG+veN7RLyddVFUUHhseF82AxKV0wPOFv2Fdt4D12&#13;&#10;N7paMbauehdaH5yAGDF6OybprvSXEkT6LmWERHRDkVsqayjrU16r3ZbX+8B9p8REg/8DC8OVxU3n&#13;&#10;Vrc8cfIc1G+tjBLBRSfTQjhTOSmVgKIB1SzZKzU/Ou6haEFzop9tiv+vrfh2uLH3AW3ofayjvw9Z&#13;&#10;xSCDyW/kR4Zi1nE2C4ZEBAav2GrDNhtKBOYuLtYfN9nM6gz2IabP4AzJHw3VymYtvOaHLzGNpaeS&#13;&#10;HNaW9DhBqyvGSll0WrV3SuucLPMANzqQA8eT5EKATZelTj+br64d42uGz3imGMaTH8OXpzCymzsV&#13;&#10;ri82wZy2GDz7UL7SUcNI7wEkUS0qX4788oi+prScPNAWqzNMooAZOAl7CzjVZyiU8f0b8IwoOzub&#13;&#10;ZrBR1oU/0U7DibIc608OjLqzBU+uPZYJKdbgHBbnpjuTB/3lf4Gfb/buFwAAAP//AwBQSwMEFAAG&#13;&#10;AAgAAAAhAIiryVzlAAAADwEAAA8AAABkcnMvZG93bnJldi54bWxMj8FOwzAQRO9I/IO1SFyq1i6U&#13;&#10;iKRxKlQEHCohCHB34iWJEttRvHXD3+Oe4LLSaHdn5uW72Qws4OQ7ZyWsVwIY2trpzjYSPj+elvfA&#13;&#10;PCmr1eAsSvhBD7vi8iJXmXYn+46hpIZFE+szJaElGjPOfd2iUX7lRrRx9+0moyjKqeF6UqdobgZ+&#13;&#10;I0TCjepsTGjViPsW6748GglUHnr+HMJ++qLeLF6q181bWEh5fTU/buN42AIjnOnvA84MsT8UsVjl&#13;&#10;jlZ7NkhYpiICkYTbuwTY+UCskxRYJWEjUuBFzv9zFL8AAAD//wMAUEsBAi0AFAAGAAgAAAAhALaD&#13;&#10;OJL+AAAA4QEAABMAAAAAAAAAAAAAAAAAAAAAAFtDb250ZW50X1R5cGVzXS54bWxQSwECLQAUAAYA&#13;&#10;CAAAACEAOP0h/9YAAACUAQAACwAAAAAAAAAAAAAAAAAvAQAAX3JlbHMvLnJlbHNQSwECLQAUAAYA&#13;&#10;CAAAACEAcSTWFtoBAAAhBAAADgAAAAAAAAAAAAAAAAAuAgAAZHJzL2Uyb0RvYy54bWxQSwECLQAU&#13;&#10;AAYACAAAACEAiKvJXOUAAAAPAQAADwAAAAAAAAAAAAAAAAA0BAAAZHJzL2Rvd25yZXYueG1sUEsF&#13;&#10;BgAAAAAEAAQA8wAAAEYFAAAAAA==&#13;&#10;" strokecolor="#60caf3 [1943]" strokeweight="1pt">
              <v:stroke joinstyle="miter"/>
            </v:line>
          </w:pict>
        </mc:Fallback>
      </mc:AlternateContent>
    </w:r>
    <w:r w:rsidRPr="00B35EB2">
      <w:rPr>
        <w:sz w:val="22"/>
        <w:szCs w:val="22"/>
      </w:rPr>
      <w:t>LLB Law &amp; Legal Practice | Level 6 | Equity &amp; Trusts (BMLW6011) | Lecturer: Martin Jones</w:t>
    </w:r>
  </w:p>
  <w:p w14:paraId="54F1B8FB" w14:textId="77777777" w:rsidR="00B35EB2" w:rsidRPr="00B35EB2" w:rsidRDefault="00B35EB2" w:rsidP="00B35EB2">
    <w:pPr>
      <w:pStyle w:val="NoSpacing"/>
      <w:jc w:val="center"/>
      <w:rPr>
        <w:sz w:val="22"/>
        <w:szCs w:val="22"/>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ADC"/>
    <w:rsid w:val="000B616E"/>
    <w:rsid w:val="000D1777"/>
    <w:rsid w:val="000F7B88"/>
    <w:rsid w:val="001675BE"/>
    <w:rsid w:val="002C03D3"/>
    <w:rsid w:val="002E0C58"/>
    <w:rsid w:val="002E2181"/>
    <w:rsid w:val="0031653C"/>
    <w:rsid w:val="00322120"/>
    <w:rsid w:val="0044389D"/>
    <w:rsid w:val="004D58CA"/>
    <w:rsid w:val="004F0A79"/>
    <w:rsid w:val="00506ADC"/>
    <w:rsid w:val="00510064"/>
    <w:rsid w:val="00521978"/>
    <w:rsid w:val="00555CC6"/>
    <w:rsid w:val="00557610"/>
    <w:rsid w:val="00607421"/>
    <w:rsid w:val="006261E9"/>
    <w:rsid w:val="00640CE2"/>
    <w:rsid w:val="006562D6"/>
    <w:rsid w:val="00656A2A"/>
    <w:rsid w:val="006826F3"/>
    <w:rsid w:val="006C77DF"/>
    <w:rsid w:val="007C4474"/>
    <w:rsid w:val="008125B5"/>
    <w:rsid w:val="00844243"/>
    <w:rsid w:val="008B466E"/>
    <w:rsid w:val="00A427B3"/>
    <w:rsid w:val="00A577C2"/>
    <w:rsid w:val="00A900D3"/>
    <w:rsid w:val="00AB120F"/>
    <w:rsid w:val="00B31296"/>
    <w:rsid w:val="00B35EB2"/>
    <w:rsid w:val="00B47080"/>
    <w:rsid w:val="00B62631"/>
    <w:rsid w:val="00B9149D"/>
    <w:rsid w:val="00BC24ED"/>
    <w:rsid w:val="00BE4ED6"/>
    <w:rsid w:val="00BF2609"/>
    <w:rsid w:val="00C728B9"/>
    <w:rsid w:val="00CB6F95"/>
    <w:rsid w:val="00DD660F"/>
    <w:rsid w:val="00E20078"/>
    <w:rsid w:val="00E70660"/>
    <w:rsid w:val="00E75782"/>
    <w:rsid w:val="00E97BC7"/>
    <w:rsid w:val="00EA215C"/>
    <w:rsid w:val="00EC3B99"/>
    <w:rsid w:val="00F07B09"/>
    <w:rsid w:val="00FE2E65"/>
    <w:rsid w:val="00FF6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066DCC"/>
  <w15:chartTrackingRefBased/>
  <w15:docId w15:val="{13DE7E39-01E0-7347-9CC1-BBBAC9510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06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06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06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06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06AD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06AD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06AD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06AD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06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06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06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06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06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06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06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06ADC"/>
    <w:rPr>
      <w:rFonts w:eastAsiaTheme="majorEastAsia" w:cstheme="majorBidi"/>
      <w:color w:val="272727" w:themeColor="text1" w:themeTint="D8"/>
    </w:rPr>
  </w:style>
  <w:style w:type="paragraph" w:styleId="Title">
    <w:name w:val="Title"/>
    <w:basedOn w:val="Normal"/>
    <w:next w:val="Normal"/>
    <w:link w:val="TitleChar"/>
    <w:uiPriority w:val="10"/>
    <w:qFormat/>
    <w:rsid w:val="00506A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06AD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06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06A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06ADC"/>
    <w:rPr>
      <w:i/>
      <w:iCs/>
      <w:color w:val="404040" w:themeColor="text1" w:themeTint="BF"/>
    </w:rPr>
  </w:style>
  <w:style w:type="paragraph" w:styleId="ListParagraph">
    <w:name w:val="List Paragraph"/>
    <w:basedOn w:val="Normal"/>
    <w:uiPriority w:val="34"/>
    <w:qFormat/>
    <w:rsid w:val="00506ADC"/>
    <w:pPr>
      <w:ind w:left="720"/>
      <w:contextualSpacing/>
    </w:pPr>
  </w:style>
  <w:style w:type="character" w:styleId="IntenseEmphasis">
    <w:name w:val="Intense Emphasis"/>
    <w:basedOn w:val="DefaultParagraphFont"/>
    <w:uiPriority w:val="21"/>
    <w:qFormat/>
    <w:rsid w:val="00506ADC"/>
    <w:rPr>
      <w:i/>
      <w:iCs/>
      <w:color w:val="0F4761" w:themeColor="accent1" w:themeShade="BF"/>
    </w:rPr>
  </w:style>
  <w:style w:type="paragraph" w:styleId="IntenseQuote">
    <w:name w:val="Intense Quote"/>
    <w:basedOn w:val="Normal"/>
    <w:next w:val="Normal"/>
    <w:link w:val="IntenseQuoteChar"/>
    <w:uiPriority w:val="30"/>
    <w:qFormat/>
    <w:rsid w:val="00506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06ADC"/>
    <w:rPr>
      <w:i/>
      <w:iCs/>
      <w:color w:val="0F4761" w:themeColor="accent1" w:themeShade="BF"/>
    </w:rPr>
  </w:style>
  <w:style w:type="character" w:styleId="IntenseReference">
    <w:name w:val="Intense Reference"/>
    <w:basedOn w:val="DefaultParagraphFont"/>
    <w:uiPriority w:val="32"/>
    <w:qFormat/>
    <w:rsid w:val="00506ADC"/>
    <w:rPr>
      <w:b/>
      <w:bCs/>
      <w:smallCaps/>
      <w:color w:val="0F4761" w:themeColor="accent1" w:themeShade="BF"/>
      <w:spacing w:val="5"/>
    </w:rPr>
  </w:style>
  <w:style w:type="paragraph" w:styleId="NoSpacing">
    <w:name w:val="No Spacing"/>
    <w:uiPriority w:val="1"/>
    <w:qFormat/>
    <w:rsid w:val="00506ADC"/>
  </w:style>
  <w:style w:type="paragraph" w:styleId="Header">
    <w:name w:val="header"/>
    <w:basedOn w:val="Normal"/>
    <w:link w:val="HeaderChar"/>
    <w:uiPriority w:val="99"/>
    <w:unhideWhenUsed/>
    <w:rsid w:val="00B35EB2"/>
    <w:pPr>
      <w:tabs>
        <w:tab w:val="center" w:pos="4513"/>
        <w:tab w:val="right" w:pos="9026"/>
      </w:tabs>
    </w:pPr>
  </w:style>
  <w:style w:type="character" w:customStyle="1" w:styleId="HeaderChar">
    <w:name w:val="Header Char"/>
    <w:basedOn w:val="DefaultParagraphFont"/>
    <w:link w:val="Header"/>
    <w:uiPriority w:val="99"/>
    <w:rsid w:val="00B35EB2"/>
  </w:style>
  <w:style w:type="paragraph" w:styleId="Footer">
    <w:name w:val="footer"/>
    <w:basedOn w:val="Normal"/>
    <w:link w:val="FooterChar"/>
    <w:uiPriority w:val="99"/>
    <w:unhideWhenUsed/>
    <w:rsid w:val="00B35EB2"/>
    <w:pPr>
      <w:tabs>
        <w:tab w:val="center" w:pos="4513"/>
        <w:tab w:val="right" w:pos="9026"/>
      </w:tabs>
    </w:pPr>
  </w:style>
  <w:style w:type="character" w:customStyle="1" w:styleId="FooterChar">
    <w:name w:val="Footer Char"/>
    <w:basedOn w:val="DefaultParagraphFont"/>
    <w:link w:val="Footer"/>
    <w:uiPriority w:val="99"/>
    <w:rsid w:val="00B35EB2"/>
  </w:style>
  <w:style w:type="character" w:styleId="PageNumber">
    <w:name w:val="page number"/>
    <w:basedOn w:val="DefaultParagraphFont"/>
    <w:uiPriority w:val="99"/>
    <w:semiHidden/>
    <w:unhideWhenUsed/>
    <w:rsid w:val="00B35EB2"/>
  </w:style>
  <w:style w:type="character" w:styleId="Hyperlink">
    <w:name w:val="Hyperlink"/>
    <w:basedOn w:val="DefaultParagraphFont"/>
    <w:uiPriority w:val="99"/>
    <w:unhideWhenUsed/>
    <w:rsid w:val="00E70660"/>
    <w:rPr>
      <w:color w:val="467886" w:themeColor="hyperlink"/>
      <w:u w:val="single"/>
    </w:rPr>
  </w:style>
  <w:style w:type="character" w:styleId="UnresolvedMention">
    <w:name w:val="Unresolved Mention"/>
    <w:basedOn w:val="DefaultParagraphFont"/>
    <w:uiPriority w:val="99"/>
    <w:semiHidden/>
    <w:unhideWhenUsed/>
    <w:rsid w:val="00E70660"/>
    <w:rPr>
      <w:color w:val="605E5C"/>
      <w:shd w:val="clear" w:color="auto" w:fill="E1DFDD"/>
    </w:rPr>
  </w:style>
  <w:style w:type="character" w:styleId="FollowedHyperlink">
    <w:name w:val="FollowedHyperlink"/>
    <w:basedOn w:val="DefaultParagraphFont"/>
    <w:uiPriority w:val="99"/>
    <w:semiHidden/>
    <w:unhideWhenUsed/>
    <w:rsid w:val="00656A2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64253020">
      <w:bodyDiv w:val="1"/>
      <w:marLeft w:val="0"/>
      <w:marRight w:val="0"/>
      <w:marTop w:val="0"/>
      <w:marBottom w:val="0"/>
      <w:divBdr>
        <w:top w:val="none" w:sz="0" w:space="0" w:color="auto"/>
        <w:left w:val="none" w:sz="0" w:space="0" w:color="auto"/>
        <w:bottom w:val="none" w:sz="0" w:space="0" w:color="auto"/>
        <w:right w:val="none" w:sz="0" w:space="0" w:color="auto"/>
      </w:divBdr>
    </w:div>
    <w:div w:id="2070373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skassured.co.uk/app/uploads/2024/05/Taxation-of-trusts-reform-24.05.2024.pdf" TargetMode="External"/><Relationship Id="rId13" Type="http://schemas.openxmlformats.org/officeDocument/2006/relationships/hyperlink" Target="https://cloud-platform-e218f50a4812967ba1215eaecede923f.s3.amazonaws.com/uploads/sites/30/2015/03/lc301_Trustee_Exemption_Clauses.pdf" TargetMode="External"/><Relationship Id="rId18" Type="http://schemas.openxmlformats.org/officeDocument/2006/relationships/hyperlink" Target="https://watermark.silverchair.com/ttae026.pdf?token=AQECAHi208BE49Ooan9kkhW_Ercy7Dm3ZL_9Cf3qfKAc485ysgAAA9EwggPNBgkqhkiG9w0BBwagggO-MIIDugIBADCCA7MGCSqGSIb3DQEHATAeBglghkgBZQMEAS4wEQQMU8Yb_v4CSmI_9kZEAgEQgIIDhLeVwDVhra5nBhDPMdqXm5ZuoFZ5phU6WYZ7l70kFuoZjFpfVWrTZrPeQeM0h3now0NvqyBro1IDpLSeR7OtGZ05Yeh0t7_RP4RTdtZsbgBfw8ZBYpZkwB5vb1bwBhqvZp-plIEh6o1A-cG6b6eoZ8hArcSlcrBvJODwVznQFRJ_56gOC8b_ZFUJGLkuehcJyYFdzNx-Fy6YbMvqd5opelkejfmiO68oBuXXjsBByPSdUCSz4l4iHc4JgbtnUKn5TqZ569v_CC7xMVLDSQ5tPKFe_cNHRnKbPP_nF-8LlAj8GaD2FUdOQJ8cB2LF8huy0zOfnH0BBqyN9gbQHAx27RfRdmI25WknCNBdQt9PYPeiXS4fXw9TqAcYp2z8aM6ASdp_pgobjy2wQHuZxaLMZDzDc6Zs3pv00fLBqasAsHHQrXg0pAvcMCKTBhtWwSfXWwRY1EGAiVsQAPq_IA6FwYTnesvM9Ib407jU4UHeaucGJ3EnBMW6AVxjmFxYTBV0bdwMvMtyyjjFTqgv3pB6PzPbK2Pf8gNNVhJ_3T6LMQiOujPOhmfhCwft7gh3ECyASiybdxLarkxcc456M4u_Hg3C5fD3iRI0Q2WXHDp1arFBaQpUYEiRXZTC1KVkvYcPID9WxLSuIXjgD9zYgEUe8ENSarW2wd0078Gwv8LIlXNFQRrTt_ssLgyRRATrJdlTL7Qf9g5nast1LEo4Z20Dby8jWmOtXMRpi6PCJMlRRFiqEJl1vLvihRc0tuWE30-8pG9sruzYlmZkOTHq9yV9UpT7zeHsOHhlotFanFZsU4pzPKMV9IdQLUSgEx1O-_SBnQvSrXyWHue20XRCBgu-L_kNm0AZco4d2gzwGGR1akd084yOlXjd82NL2FtWsKyYFoFWXp8KTjQxlXuh2fzZd-MipQFw8YLdP8CQU2oF2Q4UYG46Va-sbVwPG9U0s_lboo3MqusAu9J6raVI1rYmgNeubjjGfbNzxg74JhK6VbsjpA0u3kEvx_L6_Oi4jOLNPnbiRbj0te4QfewBlWEJH6W34ToEa6oDEOFN4M7UmAx09j_eAAsfgI25y7BrGvBFYnUl70JYWSLWkxxmtPOK3v1tY-4eIY5fvcW63jxFfJRZTtPBwQ4rFYRXTB6urEl7nISwkzSRHvBb9QBYE3oPYBdV8IaHH8Av22xBR3tVj28I8YVKJg"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lawcom.gov.uk/project/modernising-trust-law-for-a-global-britain/" TargetMode="External"/><Relationship Id="rId12" Type="http://schemas.openxmlformats.org/officeDocument/2006/relationships/hyperlink" Target="https://charitydigital.org.uk/topics/what-is-the-charity-commission-11492" TargetMode="External"/><Relationship Id="rId17" Type="http://schemas.openxmlformats.org/officeDocument/2006/relationships/hyperlink" Target="https://www.ncvo.org.uk/help-and-guidance/governance/responsibilities-for-boards/the-legal-duties-of-trustees/"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tandfonline.com/doi/full/10.1080/09615768.2024.2323790" TargetMode="External"/><Relationship Id="rId20" Type="http://schemas.openxmlformats.org/officeDocument/2006/relationships/hyperlink" Target="https://kclpure.kcl.ac.uk/ws/portalfiles/portal/64382545/Man_Yip_and_James_Lee_The_Commercialisation_of_Equity_Final_Version.pdf" TargetMode="External"/><Relationship Id="rId1" Type="http://schemas.openxmlformats.org/officeDocument/2006/relationships/styles" Target="styles.xml"/><Relationship Id="rId6" Type="http://schemas.openxmlformats.org/officeDocument/2006/relationships/hyperlink" Target="https://www.ipe.com/news/shareaction-calls-on-next-uk-government-to-reform-fiduciary-duty-law-for-pension-sector/10071928.article" TargetMode="External"/><Relationship Id="rId11" Type="http://schemas.openxmlformats.org/officeDocument/2006/relationships/hyperlink" Target="https://publications.parliament.uk/pa/ld200304/ldselect/ldconst/68/68.pdf"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cloud-platform-e218f50a4812967ba1215eaecede923f.s3.amazonaws.com/uploads/sites/30/2017/12/13th-Programme-of-Law-Reform.pdf" TargetMode="External"/><Relationship Id="rId23" Type="http://schemas.openxmlformats.org/officeDocument/2006/relationships/footer" Target="footer2.xml"/><Relationship Id="rId10" Type="http://schemas.openxmlformats.org/officeDocument/2006/relationships/hyperlink" Target="https://assets.publishing.service.gov.uk/media/62fe365fe90e0703e1bb4844/2022-08_Guide_to_Making_Legislation_-_master_version__4_.pdf" TargetMode="External"/><Relationship Id="rId19" Type="http://schemas.openxmlformats.org/officeDocument/2006/relationships/hyperlink" Target="https://cloud-platform-e218f50a4812967ba1215eaecede923f.s3.amazonaws.com/uploads/sites/30/2015/03/lc260_Trustees_Powers_and_Duties.pdf" TargetMode="External"/><Relationship Id="rId4" Type="http://schemas.openxmlformats.org/officeDocument/2006/relationships/footnotes" Target="footnotes.xml"/><Relationship Id="rId9" Type="http://schemas.openxmlformats.org/officeDocument/2006/relationships/hyperlink" Target="https://academic.oup.com/tandt/article/28/8/787/6654676#" TargetMode="External"/><Relationship Id="rId14" Type="http://schemas.openxmlformats.org/officeDocument/2006/relationships/hyperlink" Target="https://cloud-platform-e218f50a4812967ba1215eaecede923f.s3.amazonaws.com/uploads/sites/30/2015/03/cp171_Trustee_Exemption_Clauses_Consultation_Summarypdf.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382</TotalTime>
  <Pages>6</Pages>
  <Words>3118</Words>
  <Characters>17776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UWTSD - University of Wales Trinity Saint David</Company>
  <LinksUpToDate>false</LinksUpToDate>
  <CharactersWithSpaces>20853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Green (2017590)</dc:creator>
  <cp:keywords/>
  <dc:description/>
  <cp:lastModifiedBy>Ryan Green (2017590)</cp:lastModifiedBy>
  <cp:revision>3</cp:revision>
  <dcterms:created xsi:type="dcterms:W3CDTF">2024-11-14T13:23:00Z</dcterms:created>
  <dcterms:modified xsi:type="dcterms:W3CDTF">2024-11-15T15:08:00Z</dcterms:modified>
</cp:coreProperties>
</file>