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551D94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36EDA">
              <w:rPr>
                <w:rFonts w:ascii="Times New Roman" w:hAnsi="Times New Roman" w:cs="Times New Roman"/>
                <w:b/>
                <w:color w:val="auto"/>
                <w:sz w:val="48"/>
              </w:rPr>
              <w:t xml:space="preserve">Rhian Mason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F23250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36EDA">
              <w:rPr>
                <w:rFonts w:ascii="Times New Roman" w:hAnsi="Times New Roman" w:cs="Times New Roman"/>
                <w:b/>
                <w:color w:val="auto"/>
                <w:sz w:val="48"/>
              </w:rPr>
              <w:t xml:space="preserve"> Masonrhi86@gmail.com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CF9D1BD" w14:textId="77777777" w:rsidR="00936EDA" w:rsidRDefault="0085230E" w:rsidP="00936EDA">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36EDA">
              <w:rPr>
                <w:rFonts w:ascii="Times New Roman" w:hAnsi="Times New Roman" w:cs="Times New Roman"/>
                <w:b/>
                <w:color w:val="auto"/>
                <w:sz w:val="48"/>
              </w:rPr>
              <w:t xml:space="preserve"> </w:t>
            </w:r>
          </w:p>
          <w:p w14:paraId="30F090EA" w14:textId="1542566A" w:rsidR="00936EDA" w:rsidRPr="005D3F07" w:rsidRDefault="00936EDA" w:rsidP="00936ED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2317634</w:t>
            </w:r>
          </w:p>
          <w:p w14:paraId="4040A103" w14:textId="77777777" w:rsidR="00936EDA" w:rsidRPr="005D3F07" w:rsidRDefault="00936EDA"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70EF248" w14:textId="77777777" w:rsidR="00B61B25" w:rsidRDefault="00B61B25" w:rsidP="00FF7EBB">
            <w:pPr>
              <w:jc w:val="both"/>
              <w:rPr>
                <w:i/>
                <w:sz w:val="24"/>
                <w:szCs w:val="24"/>
              </w:rPr>
            </w:pPr>
          </w:p>
          <w:p w14:paraId="4AF7C6A0" w14:textId="77777777" w:rsidR="000E19D0" w:rsidRDefault="000E19D0" w:rsidP="000E19D0">
            <w:pPr>
              <w:jc w:val="both"/>
              <w:rPr>
                <w:sz w:val="24"/>
                <w:szCs w:val="24"/>
              </w:rPr>
            </w:pPr>
            <w:r w:rsidRPr="00684DE3">
              <w:rPr>
                <w:sz w:val="24"/>
                <w:szCs w:val="24"/>
              </w:rPr>
              <w:t>Wales is a devolved nation, meaning that certain governmental powers are managed by the Senedd (the Welsh Parliament), while other decisions are made in Westminster. This division can lead to differing outcomes on various issues. An example of this is the Care Act 2014; this does not apply in Wales, and instead Wales has the Social Services and Wellbeing (Wales) Act 2014 (SSWBWA14). An example that applies both in Wales and England is the Mental Capacity Act (2005). As practitioners, we are all responsible for individuals at risk of abuse and neglect. These are outlined within the National Wales Safeguarding Procedures for both children and adults (Welsh Government, 2022c) (WG, 2022c). As well as Wales who under Human Rights Convention, has a duty to protect its citizens (Anna Craft Trust, 2024). These National Safeguarding Procedures apply to all twenty-two local authorities, though each has its own distinct reporting arrangements. The aim of these legislati</w:t>
            </w:r>
            <w:r>
              <w:rPr>
                <w:sz w:val="24"/>
                <w:szCs w:val="24"/>
              </w:rPr>
              <w:t>on</w:t>
            </w:r>
            <w:r w:rsidRPr="00684DE3">
              <w:rPr>
                <w:sz w:val="24"/>
                <w:szCs w:val="24"/>
              </w:rPr>
              <w:t xml:space="preserve"> is to standardise safeguarding practices for all who have a duty to report safeguarding concerns (SSWBWA14). Safeguarding is everyone’s responsibility, and for safeguarding arrangements to be effective each professional and organisation must play their part (Public Health Wales, 2024). Professionals must adhere to the requirements of the Social Services and Well-being (Wales) Act 2014 and also the accompanying Working Together to Safeguard People Guidance (WG, 2002c).</w:t>
            </w:r>
          </w:p>
          <w:p w14:paraId="36F5CFEB" w14:textId="77777777" w:rsidR="000E19D0" w:rsidRPr="00684DE3" w:rsidRDefault="000E19D0" w:rsidP="000E19D0">
            <w:pPr>
              <w:jc w:val="both"/>
              <w:rPr>
                <w:sz w:val="24"/>
                <w:szCs w:val="24"/>
              </w:rPr>
            </w:pPr>
          </w:p>
          <w:p w14:paraId="1E8BD287" w14:textId="77777777" w:rsidR="000E19D0" w:rsidRPr="00684DE3" w:rsidRDefault="000E19D0" w:rsidP="000E19D0">
            <w:pPr>
              <w:jc w:val="both"/>
              <w:rPr>
                <w:sz w:val="24"/>
                <w:szCs w:val="24"/>
              </w:rPr>
            </w:pPr>
            <w:r w:rsidRPr="008A120D">
              <w:rPr>
                <w:sz w:val="24"/>
                <w:szCs w:val="24"/>
              </w:rPr>
              <w:t xml:space="preserve">The Social Services and Well-being (Wales) Act 2014 came into force on the 6th April 2016. The act provides professionals with the legal framework for improving the well-being of people who need care and support. Part 7 of the framework describes safeguarding procedures to enhance outcomes for adults and children at risk of abuse and neglect. In Wales, the definition </w:t>
            </w:r>
            <w:r w:rsidRPr="008A120D">
              <w:rPr>
                <w:sz w:val="24"/>
                <w:szCs w:val="24"/>
              </w:rPr>
              <w:lastRenderedPageBreak/>
              <w:t xml:space="preserve">of an adult at risk is broadly the same as England, although in Wales the definition does not include self-neglect. Within Wales, self-neglect falls under ‘mainstream’ assessment of care and support needs. The Social Services and Well-being (Wales) Act (2014) requires local authorities and partner agencies to promote well-being when carrying out any of their care and support functions with an individual or family. This is often called 'the wellbeing principle' as it </w:t>
            </w:r>
            <w:r w:rsidRPr="00684DE3">
              <w:rPr>
                <w:sz w:val="24"/>
                <w:szCs w:val="24"/>
              </w:rPr>
              <w:t>centres</w:t>
            </w:r>
            <w:r w:rsidRPr="008A120D">
              <w:rPr>
                <w:sz w:val="24"/>
                <w:szCs w:val="24"/>
              </w:rPr>
              <w:t xml:space="preserve"> on making wellbeing the focus of care and support. For safeguarding, this would include safeguarding activities in the widest community sense and is not confined to safeguarding inquiries under the act (xxxxxxx Adult at Risk Policy, 2024). </w:t>
            </w:r>
          </w:p>
          <w:p w14:paraId="751835D2" w14:textId="77777777" w:rsidR="000E19D0" w:rsidRPr="00684DE3" w:rsidRDefault="000E19D0" w:rsidP="000E19D0">
            <w:pPr>
              <w:jc w:val="both"/>
              <w:rPr>
                <w:sz w:val="24"/>
                <w:szCs w:val="24"/>
              </w:rPr>
            </w:pPr>
          </w:p>
          <w:p w14:paraId="3CD59CA5" w14:textId="77777777" w:rsidR="000E19D0" w:rsidRPr="00684DE3" w:rsidRDefault="000E19D0" w:rsidP="000E19D0">
            <w:pPr>
              <w:jc w:val="both"/>
              <w:rPr>
                <w:sz w:val="24"/>
                <w:szCs w:val="24"/>
              </w:rPr>
            </w:pPr>
          </w:p>
          <w:p w14:paraId="69E73A62" w14:textId="77777777" w:rsidR="000E19D0" w:rsidRPr="003F2635" w:rsidRDefault="000E19D0" w:rsidP="000E19D0">
            <w:pPr>
              <w:jc w:val="both"/>
              <w:rPr>
                <w:sz w:val="24"/>
                <w:szCs w:val="24"/>
              </w:rPr>
            </w:pPr>
            <w:r w:rsidRPr="003F2635">
              <w:rPr>
                <w:sz w:val="24"/>
                <w:szCs w:val="24"/>
              </w:rPr>
              <w:t xml:space="preserve">Social workers need a strong understanding of safeguarding and relevant laws to effectively </w:t>
            </w:r>
            <w:r w:rsidRPr="00684DE3">
              <w:rPr>
                <w:sz w:val="24"/>
                <w:szCs w:val="24"/>
              </w:rPr>
              <w:t>fulfil</w:t>
            </w:r>
            <w:r w:rsidRPr="003F2635">
              <w:rPr>
                <w:sz w:val="24"/>
                <w:szCs w:val="24"/>
              </w:rPr>
              <w:t xml:space="preserve"> their responsibilities. An example of some of the laws that a social worker may be using are the Mental Capacity Act (2010) Deprivation of Liberty Safeguards (DoLS), Equality Act (2010), Articles 3 &amp; 8 of the Human Rights Act 1998, the Data Protection Act 2018, Mental Health (Wales) Measure 2010, (Social Care Wales, 2023c) (SCW, 2023c). </w:t>
            </w:r>
          </w:p>
          <w:p w14:paraId="66B7B6A3" w14:textId="77777777" w:rsidR="000E19D0" w:rsidRPr="003F2635" w:rsidRDefault="000E19D0" w:rsidP="000E19D0">
            <w:pPr>
              <w:jc w:val="both"/>
              <w:rPr>
                <w:sz w:val="24"/>
                <w:szCs w:val="24"/>
              </w:rPr>
            </w:pPr>
            <w:r w:rsidRPr="003F2635">
              <w:rPr>
                <w:sz w:val="24"/>
                <w:szCs w:val="24"/>
              </w:rPr>
              <w:t> </w:t>
            </w:r>
          </w:p>
          <w:p w14:paraId="30E680C7" w14:textId="77777777" w:rsidR="000E19D0" w:rsidRPr="003F2635" w:rsidRDefault="000E19D0" w:rsidP="000E19D0">
            <w:pPr>
              <w:jc w:val="both"/>
              <w:rPr>
                <w:sz w:val="24"/>
                <w:szCs w:val="24"/>
              </w:rPr>
            </w:pPr>
            <w:r w:rsidRPr="003F2635">
              <w:rPr>
                <w:sz w:val="24"/>
                <w:szCs w:val="24"/>
              </w:rPr>
              <w:t xml:space="preserve">I will refer to the individual in this case study as Person 2. </w:t>
            </w:r>
          </w:p>
          <w:p w14:paraId="15E72BE9" w14:textId="77777777" w:rsidR="000E19D0" w:rsidRPr="00684DE3" w:rsidRDefault="000E19D0" w:rsidP="000E19D0">
            <w:pPr>
              <w:jc w:val="both"/>
              <w:rPr>
                <w:sz w:val="24"/>
                <w:szCs w:val="24"/>
              </w:rPr>
            </w:pPr>
            <w:r w:rsidRPr="003F2635">
              <w:rPr>
                <w:sz w:val="24"/>
                <w:szCs w:val="24"/>
              </w:rPr>
              <w:t> </w:t>
            </w:r>
          </w:p>
          <w:p w14:paraId="608C4669" w14:textId="77777777" w:rsidR="000E19D0" w:rsidRPr="001C3DF1" w:rsidRDefault="000E19D0" w:rsidP="000E19D0">
            <w:pPr>
              <w:jc w:val="both"/>
              <w:rPr>
                <w:sz w:val="24"/>
                <w:szCs w:val="24"/>
              </w:rPr>
            </w:pPr>
            <w:r w:rsidRPr="001C3DF1">
              <w:rPr>
                <w:sz w:val="24"/>
                <w:szCs w:val="24"/>
              </w:rPr>
              <w:t> </w:t>
            </w:r>
          </w:p>
          <w:p w14:paraId="00760FE7" w14:textId="77777777" w:rsidR="000E19D0" w:rsidRPr="001C3DF1" w:rsidRDefault="000E19D0" w:rsidP="000E19D0">
            <w:pPr>
              <w:jc w:val="both"/>
              <w:rPr>
                <w:sz w:val="24"/>
                <w:szCs w:val="24"/>
              </w:rPr>
            </w:pPr>
            <w:r w:rsidRPr="001C3DF1">
              <w:rPr>
                <w:sz w:val="24"/>
                <w:szCs w:val="24"/>
              </w:rPr>
              <w:t xml:space="preserve">This case study will show my understanding of the legal frameworks for supporting at-risk adults and how I comply with safeguarding standards in Wales. </w:t>
            </w:r>
          </w:p>
          <w:p w14:paraId="4C4CB7A8" w14:textId="77777777" w:rsidR="000E19D0" w:rsidRPr="001C3DF1" w:rsidRDefault="000E19D0" w:rsidP="000E19D0">
            <w:pPr>
              <w:jc w:val="both"/>
              <w:rPr>
                <w:sz w:val="24"/>
                <w:szCs w:val="24"/>
              </w:rPr>
            </w:pPr>
            <w:r w:rsidRPr="001C3DF1">
              <w:rPr>
                <w:sz w:val="24"/>
                <w:szCs w:val="24"/>
              </w:rPr>
              <w:t> </w:t>
            </w:r>
          </w:p>
          <w:p w14:paraId="362E7E5A" w14:textId="77777777" w:rsidR="000E19D0" w:rsidRPr="00684DE3" w:rsidRDefault="000E19D0" w:rsidP="000E19D0">
            <w:pPr>
              <w:jc w:val="both"/>
              <w:rPr>
                <w:sz w:val="24"/>
                <w:szCs w:val="24"/>
              </w:rPr>
            </w:pPr>
            <w:r w:rsidRPr="001C3DF1">
              <w:rPr>
                <w:sz w:val="24"/>
                <w:szCs w:val="24"/>
              </w:rPr>
              <w:t>The case study I will discuss is an allocated case within my social work role. Under Part 2 of the Mental Health (Wales) Measure 2010 (MHWM, 2010) (Welsh Government, 2017). 2 will have continued care through the process of the care and treatment plan process. Under the Mental Health (Wales) Measure, 2 is subject to section 117 aftercare. 2 has been well known to local psychiatric services with a diagnosis of schizophrenia, depression, and a history of self-neglect. He lives alone in a warden-controlled bungalow for older adults, situated in an urban area with easy access to transport and local amenities. Some areas of Wales are very rural and this can be isolating. Within rural areas there may be limited amenities or local services and also limited transport, all of which can put individuals who live in these areas at a disadvantage.   Apart from the involvement of community mental health services (CMHT). 2 does not have any other community support due to this previously breaking down. Over the recent months, 2 has been supported by CMHT and his family. Although 2 has the support of his family they live over an hour away and their support is via the telephone calls and placing online shopping orders for him so groceries are delivered on a regularly. This support should be identified as informal support.2 rarely leaves the confines of his property, although he sometimes makes the brief journey to the local convenience store on foot, but due to his fixed paranoid belief, this is very rare. In some areas of Wales there are very rural and this can be very isolating. There may be very few amenities or services locally and people may lack or have limited transport to get to amenities further away. This can put them at a disadvantage to others who may live in more urban areas.</w:t>
            </w:r>
          </w:p>
          <w:p w14:paraId="30B20B3A" w14:textId="77777777" w:rsidR="000E19D0" w:rsidRPr="00684DE3" w:rsidRDefault="000E19D0" w:rsidP="000E19D0">
            <w:pPr>
              <w:jc w:val="both"/>
              <w:rPr>
                <w:sz w:val="24"/>
                <w:szCs w:val="24"/>
              </w:rPr>
            </w:pPr>
          </w:p>
          <w:p w14:paraId="39658351" w14:textId="77777777" w:rsidR="000E19D0" w:rsidRPr="00084E1A" w:rsidRDefault="000E19D0" w:rsidP="000E19D0">
            <w:pPr>
              <w:jc w:val="both"/>
              <w:rPr>
                <w:sz w:val="24"/>
                <w:szCs w:val="24"/>
              </w:rPr>
            </w:pPr>
            <w:r w:rsidRPr="00084E1A">
              <w:rPr>
                <w:sz w:val="24"/>
                <w:szCs w:val="24"/>
              </w:rPr>
              <w:t> </w:t>
            </w:r>
          </w:p>
          <w:p w14:paraId="066B8CB3" w14:textId="77777777" w:rsidR="000E19D0" w:rsidRPr="00084E1A" w:rsidRDefault="000E19D0" w:rsidP="000E19D0">
            <w:pPr>
              <w:jc w:val="both"/>
              <w:rPr>
                <w:sz w:val="24"/>
                <w:szCs w:val="24"/>
              </w:rPr>
            </w:pPr>
            <w:r w:rsidRPr="00084E1A">
              <w:rPr>
                <w:sz w:val="24"/>
                <w:szCs w:val="24"/>
              </w:rPr>
              <w:t xml:space="preserve">I had been involved in 2’s care for a number of months and I had been alerted by a family member that they had concerns. They informed me that 2 had not been answering his home </w:t>
            </w:r>
            <w:r w:rsidRPr="00084E1A">
              <w:rPr>
                <w:sz w:val="24"/>
                <w:szCs w:val="24"/>
              </w:rPr>
              <w:lastRenderedPageBreak/>
              <w:t>telephone and he had not been ringing them to place his shopping orders. This was unusual for 2 as he would have contacted at least every other day. The family member was raising their concerns regarding risks to 2 health and wellbeing formally to myself as care coordinator. Following S126 of the Social Services and Well-being Act (2014). I would complete a welfare check to see if all was well. </w:t>
            </w:r>
          </w:p>
          <w:p w14:paraId="6701736F" w14:textId="77777777" w:rsidR="000E19D0" w:rsidRPr="00084E1A" w:rsidRDefault="000E19D0" w:rsidP="000E19D0">
            <w:pPr>
              <w:jc w:val="both"/>
              <w:rPr>
                <w:sz w:val="24"/>
                <w:szCs w:val="24"/>
              </w:rPr>
            </w:pPr>
          </w:p>
          <w:p w14:paraId="3DB6634F" w14:textId="77777777" w:rsidR="000E19D0" w:rsidRPr="00084E1A" w:rsidRDefault="000E19D0" w:rsidP="000E19D0">
            <w:pPr>
              <w:jc w:val="both"/>
              <w:rPr>
                <w:sz w:val="24"/>
                <w:szCs w:val="24"/>
              </w:rPr>
            </w:pPr>
            <w:r w:rsidRPr="00084E1A">
              <w:rPr>
                <w:sz w:val="24"/>
                <w:szCs w:val="24"/>
              </w:rPr>
              <w:t> </w:t>
            </w:r>
          </w:p>
          <w:p w14:paraId="190C9C74" w14:textId="77777777" w:rsidR="000E19D0" w:rsidRPr="00801A5C" w:rsidRDefault="000E19D0" w:rsidP="000E19D0">
            <w:pPr>
              <w:jc w:val="both"/>
              <w:rPr>
                <w:sz w:val="24"/>
                <w:szCs w:val="24"/>
              </w:rPr>
            </w:pPr>
            <w:r w:rsidRPr="00801A5C">
              <w:rPr>
                <w:sz w:val="24"/>
                <w:szCs w:val="24"/>
              </w:rPr>
              <w:t>I can share information about 2 with two named family members, as permitted by 2's confidentiality form. Practitioners must share information in accordance with the Data Protection Act (1998) and the common law duty of confidentiality. Practitioners must only share relevant information with relevant parties. In certain situations, personal information can be shared without consent if required by law or if deemed necessary for the public interest. An example of this exceptional circumstance would be to prevent abuse or serious harm to others (SCIE, 2019).</w:t>
            </w:r>
          </w:p>
          <w:p w14:paraId="13DABDF3" w14:textId="77777777" w:rsidR="000E19D0" w:rsidRPr="00801A5C" w:rsidRDefault="000E19D0" w:rsidP="000E19D0">
            <w:pPr>
              <w:jc w:val="both"/>
              <w:rPr>
                <w:sz w:val="24"/>
                <w:szCs w:val="24"/>
              </w:rPr>
            </w:pPr>
          </w:p>
          <w:p w14:paraId="49B5C268" w14:textId="77777777" w:rsidR="000E19D0" w:rsidRPr="00684DE3" w:rsidRDefault="000E19D0" w:rsidP="000E19D0">
            <w:pPr>
              <w:jc w:val="both"/>
              <w:rPr>
                <w:sz w:val="24"/>
                <w:szCs w:val="24"/>
              </w:rPr>
            </w:pPr>
            <w:r w:rsidRPr="000B1FA3">
              <w:rPr>
                <w:sz w:val="24"/>
                <w:szCs w:val="24"/>
              </w:rPr>
              <w:t>I decided to discuss the matter with a senior member of staff and also look at 2’s risk assessment to identify any risk factors.</w:t>
            </w:r>
            <w:r>
              <w:rPr>
                <w:sz w:val="24"/>
                <w:szCs w:val="24"/>
              </w:rPr>
              <w:t xml:space="preserve"> </w:t>
            </w:r>
            <w:r w:rsidRPr="000B1FA3">
              <w:rPr>
                <w:sz w:val="24"/>
                <w:szCs w:val="24"/>
              </w:rPr>
              <w:t>Isolating behaviour was identified as atypical for 2 and also highlighted the potential risk of breakthrough symptoms of his schizophrenia based on his risk assessment. I decided to follow the XXXX lone working policy and not attend this cold call alone. I buddied up with another practitioner. I also needed to consider the Health and Safety at Work Act, 1974 and whether there were any related risks, such as risk to the public. </w:t>
            </w:r>
          </w:p>
          <w:p w14:paraId="5CEFF349" w14:textId="77777777" w:rsidR="000E19D0" w:rsidRPr="00684DE3" w:rsidRDefault="000E19D0" w:rsidP="000E19D0">
            <w:pPr>
              <w:jc w:val="both"/>
              <w:rPr>
                <w:sz w:val="24"/>
                <w:szCs w:val="24"/>
              </w:rPr>
            </w:pPr>
          </w:p>
          <w:p w14:paraId="7C5519BF" w14:textId="77777777" w:rsidR="000E19D0" w:rsidRPr="00684DE3" w:rsidRDefault="000E19D0" w:rsidP="000E19D0">
            <w:pPr>
              <w:jc w:val="both"/>
              <w:rPr>
                <w:sz w:val="24"/>
                <w:szCs w:val="24"/>
              </w:rPr>
            </w:pPr>
            <w:r w:rsidRPr="0068261A">
              <w:rPr>
                <w:sz w:val="24"/>
                <w:szCs w:val="24"/>
              </w:rPr>
              <w:t xml:space="preserve">On arrival, 2 spoke through the door and stated that he was in bed. 2 was reluctant to come to the door. Eventually, I persuaded 2 to answer the door, and it was evident that this was a significant challenge and he was physically exhausted mobilising from the bed to the door. </w:t>
            </w:r>
            <w:r>
              <w:rPr>
                <w:sz w:val="24"/>
                <w:szCs w:val="24"/>
              </w:rPr>
              <w:t>I</w:t>
            </w:r>
            <w:r w:rsidRPr="0068261A">
              <w:rPr>
                <w:sz w:val="24"/>
                <w:szCs w:val="24"/>
              </w:rPr>
              <w:t>t was evident that there had been a drastic decline and there was evidence of self-neglect, poor home conditions, and 2’s pet also appeared neglected. I easily noticed the decline because I had previously visited his home and seen his living conditions multiple times. If I were visiting 2's home for the first time and I was unsure, I could refer to the XXXXX Local Authority Home Conditions assessment tool to guide me and also ensure these living conditions were based on a professional view, not a personal one. In this instance, I felt it was unsafe for 2 to stay within this property due to the environmental risk. In the event that 2 declined to respond to the door and I had grave apprehensions concerning his safety and well-being, I would need to consider calling the emergency services and asking them to attend. Police have powers to enter the property under section 17 of Police and Criminal Evidence Act 1984. </w:t>
            </w:r>
          </w:p>
          <w:p w14:paraId="67C9B99B" w14:textId="77777777" w:rsidR="000E19D0" w:rsidRPr="00684DE3" w:rsidRDefault="000E19D0" w:rsidP="000E19D0">
            <w:pPr>
              <w:jc w:val="both"/>
              <w:rPr>
                <w:sz w:val="24"/>
                <w:szCs w:val="24"/>
              </w:rPr>
            </w:pPr>
          </w:p>
          <w:p w14:paraId="40E26E03" w14:textId="77777777" w:rsidR="000E19D0" w:rsidRPr="00D31B44" w:rsidRDefault="000E19D0" w:rsidP="000E19D0">
            <w:pPr>
              <w:jc w:val="both"/>
              <w:rPr>
                <w:sz w:val="24"/>
                <w:szCs w:val="24"/>
              </w:rPr>
            </w:pPr>
            <w:r w:rsidRPr="00D31B44">
              <w:rPr>
                <w:sz w:val="24"/>
                <w:szCs w:val="24"/>
              </w:rPr>
              <w:t>A mental state examination using Maslow’s hierarchy of needs revealed that the individual is showing signs of self-neglect, has a low mood, and poor dietary intake.</w:t>
            </w:r>
          </w:p>
          <w:p w14:paraId="49A348D9" w14:textId="77777777" w:rsidR="000E19D0" w:rsidRPr="00D31B44" w:rsidRDefault="000E19D0" w:rsidP="000E19D0">
            <w:pPr>
              <w:jc w:val="both"/>
              <w:rPr>
                <w:sz w:val="24"/>
                <w:szCs w:val="24"/>
              </w:rPr>
            </w:pPr>
            <w:r w:rsidRPr="00D31B44">
              <w:rPr>
                <w:sz w:val="24"/>
                <w:szCs w:val="24"/>
              </w:rPr>
              <w:t xml:space="preserve">During this interaction, I recognised that 2’s physical health was the priority need at this moment. Social and medical perspectives each put forward their own interpretation of why a person is in the situation they are but at this moment in time it was important to recognise the priority need and how 2 had got to this point could be explored at a later date. Xxxxxxx argues that the best approach integrates both social and medical models, allowing practitioners to recognise medication's limitations. This is especially true when working with individuals with mental health issues. Maslow (1970) believed most mental health conditions where a response to a person’s situation; he argues medication will not alter the life difficulties a person </w:t>
            </w:r>
            <w:r w:rsidRPr="00D31B44">
              <w:rPr>
                <w:sz w:val="24"/>
                <w:szCs w:val="24"/>
              </w:rPr>
              <w:lastRenderedPageBreak/>
              <w:t xml:space="preserve">is facing. It could be suggested that 2’s mental health had impacted how he looked after his physical health. When 2 was experiencing periods of low mood, he would neglect to attend to his physical health. </w:t>
            </w:r>
          </w:p>
          <w:p w14:paraId="182E8BEB" w14:textId="77777777" w:rsidR="000E19D0" w:rsidRPr="00D31B44" w:rsidRDefault="000E19D0" w:rsidP="000E19D0">
            <w:pPr>
              <w:jc w:val="both"/>
              <w:rPr>
                <w:sz w:val="24"/>
                <w:szCs w:val="24"/>
              </w:rPr>
            </w:pPr>
            <w:r w:rsidRPr="00D31B44">
              <w:rPr>
                <w:sz w:val="24"/>
                <w:szCs w:val="24"/>
              </w:rPr>
              <w:t> </w:t>
            </w:r>
          </w:p>
          <w:p w14:paraId="4CBA7D1A" w14:textId="77777777" w:rsidR="000E19D0" w:rsidRPr="00D31B44" w:rsidRDefault="000E19D0" w:rsidP="000E19D0">
            <w:pPr>
              <w:jc w:val="both"/>
              <w:rPr>
                <w:sz w:val="24"/>
                <w:szCs w:val="24"/>
              </w:rPr>
            </w:pPr>
          </w:p>
          <w:p w14:paraId="295E3A45" w14:textId="77777777" w:rsidR="000E19D0" w:rsidRPr="0024649B" w:rsidRDefault="000E19D0" w:rsidP="000E19D0">
            <w:pPr>
              <w:jc w:val="both"/>
              <w:rPr>
                <w:sz w:val="24"/>
                <w:szCs w:val="24"/>
              </w:rPr>
            </w:pPr>
            <w:r w:rsidRPr="0024649B">
              <w:rPr>
                <w:sz w:val="24"/>
                <w:szCs w:val="24"/>
              </w:rPr>
              <w:t xml:space="preserve">It's important to understand the differences between health and social models, especially in a health setting. Although, Maclean (2015) states it is important to recognise that models do not directly correlate to a person’s profession. Some health professionals are very aware of the social model and will adopt various aspects of it. </w:t>
            </w:r>
          </w:p>
          <w:p w14:paraId="1EEE2B28" w14:textId="77777777" w:rsidR="000E19D0" w:rsidRPr="0024649B" w:rsidRDefault="000E19D0" w:rsidP="000E19D0">
            <w:pPr>
              <w:jc w:val="both"/>
              <w:rPr>
                <w:sz w:val="24"/>
                <w:szCs w:val="24"/>
              </w:rPr>
            </w:pPr>
            <w:r w:rsidRPr="0024649B">
              <w:rPr>
                <w:sz w:val="24"/>
                <w:szCs w:val="24"/>
              </w:rPr>
              <w:t> </w:t>
            </w:r>
          </w:p>
          <w:p w14:paraId="31FA58F3" w14:textId="77777777" w:rsidR="000E19D0" w:rsidRPr="0024649B" w:rsidRDefault="000E19D0" w:rsidP="000E19D0">
            <w:pPr>
              <w:jc w:val="both"/>
              <w:rPr>
                <w:sz w:val="24"/>
                <w:szCs w:val="24"/>
              </w:rPr>
            </w:pPr>
            <w:r w:rsidRPr="0024649B">
              <w:rPr>
                <w:sz w:val="24"/>
                <w:szCs w:val="24"/>
              </w:rPr>
              <w:t>Following the welfare check, I made contact with XXXX Local Authority Safeguarding team for advice and guidance on whether they felt a safeguarding adult risk management referral was needed. The safeguarding team felt that this case did not meet the criteria and would be screened as no further action required from safeguarding. They advised me to follow the self-neglect protocols within the All-Wales Self-Neglect Policy (2024). Self-neglect is not identified as a key indicator of an at-risk adult at risk within the SSWBA14. I personally feel this is a gap within safeguarding policies. This person was vulnerable and was making himself poorly due to his self-neglect, and a care and support protection plan (section 7, SSWBA14) would be beneficial. </w:t>
            </w:r>
          </w:p>
          <w:p w14:paraId="6C333DB0" w14:textId="77777777" w:rsidR="000E19D0" w:rsidRDefault="000E19D0" w:rsidP="000E19D0">
            <w:pPr>
              <w:jc w:val="both"/>
              <w:rPr>
                <w:sz w:val="24"/>
                <w:szCs w:val="24"/>
              </w:rPr>
            </w:pPr>
          </w:p>
          <w:p w14:paraId="04D279DC" w14:textId="77777777" w:rsidR="000E19D0" w:rsidRPr="00684DE3" w:rsidRDefault="000E19D0" w:rsidP="000E19D0">
            <w:pPr>
              <w:jc w:val="both"/>
              <w:rPr>
                <w:sz w:val="24"/>
                <w:szCs w:val="24"/>
              </w:rPr>
            </w:pPr>
            <w:r w:rsidRPr="00D47F4E">
              <w:rPr>
                <w:sz w:val="24"/>
                <w:szCs w:val="24"/>
              </w:rPr>
              <w:t>If it had been deemed that 2 met the criteria for a safeguarding referral, then the local authority would have a duty to make safeguarding enquiries under s.126 of the Social Services and Well-being Act (2014). This would determine if 2 was considered to be an adult at risk. Under Part 3 of the SSWBA (2014). If it was found that 2 had care and support needs, then he would require a social care assessment. Individuals have a right to refuse safeguarding action as long as the individual is deemed to have capacity to make this decision; this has to be respected. Individuals have the right to make unwise decisions (Mental Health Act, 2005). If an individual lacks capacity in relation to their care and support need the local authority has a duty to act in the individual’s best interest. During this process someone would need to advocate on behalf on the individual. If there is no one suitable then an Independent Mental Capacity Advocate (IMCA) would be appointed (MCA, 2005). They will be part of any best interests’ decisions and also ensure 2’s opinions are voiced.  </w:t>
            </w:r>
          </w:p>
          <w:p w14:paraId="19999636" w14:textId="77777777" w:rsidR="000E19D0" w:rsidRPr="00684DE3" w:rsidRDefault="000E19D0" w:rsidP="000E19D0">
            <w:pPr>
              <w:jc w:val="both"/>
              <w:rPr>
                <w:sz w:val="24"/>
                <w:szCs w:val="24"/>
              </w:rPr>
            </w:pPr>
          </w:p>
          <w:p w14:paraId="34244C51" w14:textId="77777777" w:rsidR="000E19D0" w:rsidRPr="00684DE3" w:rsidRDefault="000E19D0" w:rsidP="000E19D0">
            <w:pPr>
              <w:jc w:val="both"/>
              <w:rPr>
                <w:sz w:val="24"/>
                <w:szCs w:val="24"/>
              </w:rPr>
            </w:pPr>
            <w:r w:rsidRPr="005C7465">
              <w:rPr>
                <w:sz w:val="24"/>
                <w:szCs w:val="24"/>
              </w:rPr>
              <w:t xml:space="preserve">As 2 was well known to mental health services and had an established diagnosis of schizophrenia, it was important to assess whether his current presentation was caused by a relapse in his mental health. If it was deemed that 2 was experiencing a relapse in his mental illness and was posing as a risk to himself or others, it may have been appropriate to seek a Mental Health Act (1983) assessment. This may also have been appropriate if 2 was refusing an admission to hospital. Always seek the least restrictive option and explore support from crisis teams, social care reviews, or family assistance. Under the Human Rights Act (1989). Individuals have the right to personal freedom, but this can be revoked for detention under the Mental Health Act. </w:t>
            </w:r>
          </w:p>
          <w:p w14:paraId="6F9089D4" w14:textId="77777777" w:rsidR="000E19D0" w:rsidRPr="00684DE3" w:rsidRDefault="000E19D0" w:rsidP="000E19D0">
            <w:pPr>
              <w:jc w:val="both"/>
              <w:rPr>
                <w:sz w:val="24"/>
                <w:szCs w:val="24"/>
              </w:rPr>
            </w:pPr>
          </w:p>
          <w:p w14:paraId="17047205" w14:textId="77777777" w:rsidR="000E19D0" w:rsidRPr="004D055F" w:rsidRDefault="000E19D0" w:rsidP="000E19D0">
            <w:pPr>
              <w:jc w:val="both"/>
              <w:rPr>
                <w:sz w:val="24"/>
                <w:szCs w:val="24"/>
              </w:rPr>
            </w:pPr>
            <w:r w:rsidRPr="004D055F">
              <w:rPr>
                <w:sz w:val="24"/>
                <w:szCs w:val="24"/>
              </w:rPr>
              <w:t xml:space="preserve">2’s bedroom was littered with rubbish, vomit, and excrement. In the kitchen, there was evidence that 2 had not been eating, as there were a number of unopened food products which were long past their use by date. He stated that he hadn't eaten or drunk anything for </w:t>
            </w:r>
            <w:r w:rsidRPr="004D055F">
              <w:rPr>
                <w:sz w:val="24"/>
                <w:szCs w:val="24"/>
              </w:rPr>
              <w:lastRenderedPageBreak/>
              <w:t xml:space="preserve">several days but couldn't give a specific timeline. Due to the nature of his presentation, </w:t>
            </w:r>
            <w:r>
              <w:rPr>
                <w:sz w:val="24"/>
                <w:szCs w:val="24"/>
              </w:rPr>
              <w:t>t</w:t>
            </w:r>
            <w:r w:rsidRPr="004D055F">
              <w:rPr>
                <w:sz w:val="24"/>
                <w:szCs w:val="24"/>
              </w:rPr>
              <w:t>he decision was made to call an ambulance as this was in 2’s best interest, and 2 was taken to the local hospital. It was evident that 2 had been severely neglecting himself, his property, and his dog. In accordance with the Wales Safeguarding Procedures (SCW, 2024). I was required to determine if 2 was currently safe or whether he was in need of immediate protection. Due to 2 being taken to hospital, this could be determined as a place of safety, and I could liaise with health staff to ensure they were aware of 2’s current living conditions and if needed, we would have to delay discharge until all needs assessments were completed. </w:t>
            </w:r>
          </w:p>
          <w:p w14:paraId="2096E1CA" w14:textId="77777777" w:rsidR="000E19D0" w:rsidRPr="004D055F" w:rsidRDefault="000E19D0" w:rsidP="000E19D0">
            <w:pPr>
              <w:jc w:val="both"/>
              <w:rPr>
                <w:sz w:val="24"/>
                <w:szCs w:val="24"/>
              </w:rPr>
            </w:pPr>
          </w:p>
          <w:p w14:paraId="5760D028" w14:textId="77777777" w:rsidR="000E19D0" w:rsidRPr="004D055F" w:rsidRDefault="000E19D0" w:rsidP="000E19D0">
            <w:pPr>
              <w:jc w:val="both"/>
              <w:rPr>
                <w:sz w:val="24"/>
                <w:szCs w:val="24"/>
              </w:rPr>
            </w:pPr>
            <w:r w:rsidRPr="004D055F">
              <w:rPr>
                <w:sz w:val="24"/>
                <w:szCs w:val="24"/>
              </w:rPr>
              <w:t> </w:t>
            </w:r>
          </w:p>
          <w:p w14:paraId="381E7D33" w14:textId="77777777" w:rsidR="000E19D0" w:rsidRPr="00684DE3" w:rsidRDefault="000E19D0" w:rsidP="000E19D0">
            <w:pPr>
              <w:jc w:val="both"/>
              <w:rPr>
                <w:sz w:val="24"/>
                <w:szCs w:val="24"/>
              </w:rPr>
            </w:pPr>
            <w:r w:rsidRPr="00B05271">
              <w:rPr>
                <w:sz w:val="24"/>
                <w:szCs w:val="24"/>
              </w:rPr>
              <w:t xml:space="preserve">I organised and attended a multi-agency planning meeting following the Wales Safeguarding Procedures (2024) and the local authority's self-neglect protocol. The purpose of this meeting was to determine a plan for discharge. I also decided to complete a safeguarding referral in relation to 2 returning home to the same environment and previously being unable to meet his basic needs independently.  I discussed my plan to complete this referral with 2, he was able to identify what he feels his care and support needs were and how he had quickly declined prior to his hospital admission. This showed 2’s readiness to change and he was in the preparation stage of Prochaska and DiClemente model stages of change (1983). 2 would need to move forward to action and maintenance to work towards and sustain changes when living back in the community. It is also important to recognise with this model that some individuals relapse and revert to old behaviours. Consideration in relation to safeguarding procedures is individuals don't always agree to safeguarding inquiries and can sometimes feel as though local authority is trying to control their lives. This can also lead to disengagement from individuals and cause an ethical dilemma of care and control (Conn, 2018). One way to minimise this is to ensure individuals are informed of every part of the process and any decisions that affect them, they should feel fully informed and feel part of their care and support plan. </w:t>
            </w:r>
          </w:p>
          <w:p w14:paraId="04B5F23C" w14:textId="77777777" w:rsidR="000E19D0" w:rsidRPr="00684DE3" w:rsidRDefault="000E19D0" w:rsidP="000E19D0">
            <w:pPr>
              <w:jc w:val="both"/>
              <w:rPr>
                <w:sz w:val="24"/>
                <w:szCs w:val="24"/>
              </w:rPr>
            </w:pPr>
          </w:p>
          <w:p w14:paraId="531AA011" w14:textId="77777777" w:rsidR="000E19D0" w:rsidRDefault="000E19D0" w:rsidP="000E19D0">
            <w:pPr>
              <w:jc w:val="both"/>
              <w:rPr>
                <w:sz w:val="24"/>
                <w:szCs w:val="24"/>
              </w:rPr>
            </w:pPr>
            <w:r w:rsidRPr="00931D68">
              <w:rPr>
                <w:sz w:val="24"/>
                <w:szCs w:val="24"/>
              </w:rPr>
              <w:t>I invited current professionals, involved and, prospective professionals, and agencies to a professional meeting. During this meeting we discussed 2’s current issues and how we could further support him in the community</w:t>
            </w:r>
            <w:r>
              <w:rPr>
                <w:sz w:val="24"/>
                <w:szCs w:val="24"/>
              </w:rPr>
              <w:t xml:space="preserve"> to within his bungalow independently as this was his wish. </w:t>
            </w:r>
            <w:r w:rsidRPr="00931D68">
              <w:rPr>
                <w:sz w:val="24"/>
                <w:szCs w:val="24"/>
              </w:rPr>
              <w:t>Working to ensure practice was person-centred and 2 was fully involved and aware of the process. I visited the ward to have a conversation with 2 to discuss what I felt would be appropriate to support him and also find out his opinion on what he felt he needed and what involvement he would be happy to receive his home. Article 8 of the Human Rights Act (1989) outlines that everyone has the right to enjoy a private life</w:t>
            </w:r>
            <w:r>
              <w:rPr>
                <w:sz w:val="24"/>
                <w:szCs w:val="24"/>
              </w:rPr>
              <w:t xml:space="preserve"> and family life</w:t>
            </w:r>
            <w:r w:rsidRPr="00931D68">
              <w:rPr>
                <w:sz w:val="24"/>
                <w:szCs w:val="24"/>
              </w:rPr>
              <w:t>,</w:t>
            </w:r>
            <w:r>
              <w:rPr>
                <w:sz w:val="24"/>
                <w:szCs w:val="24"/>
              </w:rPr>
              <w:t xml:space="preserve"> his home and his correspondents. </w:t>
            </w:r>
            <w:r w:rsidRPr="00D02FBD">
              <w:rPr>
                <w:sz w:val="24"/>
                <w:szCs w:val="24"/>
              </w:rPr>
              <w:t xml:space="preserve">Public authorities can sometimes interfere with your right to privacy in your personal and family life, home, and correspondences but this is only permitted where the authority can show that its action is lawful, necessary and proportionate in order to: protect national security, protect public safety, protect the economy, protect health or morals, prevent disorder or crime or protect the rights and freedoms of other people. </w:t>
            </w:r>
            <w:r>
              <w:rPr>
                <w:sz w:val="24"/>
                <w:szCs w:val="24"/>
              </w:rPr>
              <w:t xml:space="preserve">For 2, </w:t>
            </w:r>
            <w:r w:rsidRPr="00931D68">
              <w:rPr>
                <w:sz w:val="24"/>
                <w:szCs w:val="24"/>
              </w:rPr>
              <w:t>having people come into his home regularly to support him may feel too invasive for him</w:t>
            </w:r>
            <w:r>
              <w:rPr>
                <w:sz w:val="24"/>
                <w:szCs w:val="24"/>
              </w:rPr>
              <w:t xml:space="preserve"> and a violation of his private life. </w:t>
            </w:r>
            <w:r w:rsidRPr="00931D68">
              <w:rPr>
                <w:sz w:val="24"/>
                <w:szCs w:val="24"/>
              </w:rPr>
              <w:t xml:space="preserve"> I could ensure we provided care and support for 2, but if that wasn't possible, I would have to consider the risks of 2 going home without community support</w:t>
            </w:r>
            <w:r>
              <w:rPr>
                <w:sz w:val="24"/>
                <w:szCs w:val="24"/>
              </w:rPr>
              <w:t xml:space="preserve"> and follow. </w:t>
            </w:r>
          </w:p>
          <w:p w14:paraId="3F7B95D3" w14:textId="77777777" w:rsidR="000E19D0" w:rsidRDefault="000E19D0" w:rsidP="000E19D0">
            <w:pPr>
              <w:jc w:val="both"/>
              <w:rPr>
                <w:sz w:val="24"/>
                <w:szCs w:val="24"/>
              </w:rPr>
            </w:pPr>
          </w:p>
          <w:p w14:paraId="032F9DD7" w14:textId="77777777" w:rsidR="000E19D0" w:rsidRPr="00931D68" w:rsidRDefault="000E19D0" w:rsidP="000E19D0">
            <w:pPr>
              <w:jc w:val="both"/>
              <w:rPr>
                <w:sz w:val="24"/>
                <w:szCs w:val="24"/>
              </w:rPr>
            </w:pPr>
          </w:p>
          <w:p w14:paraId="54C700F2" w14:textId="77777777" w:rsidR="000E19D0" w:rsidRPr="00931D68" w:rsidRDefault="000E19D0" w:rsidP="000E19D0">
            <w:pPr>
              <w:jc w:val="both"/>
              <w:rPr>
                <w:sz w:val="24"/>
                <w:szCs w:val="24"/>
              </w:rPr>
            </w:pPr>
          </w:p>
          <w:p w14:paraId="717C1476" w14:textId="77777777" w:rsidR="000E19D0" w:rsidRDefault="000E19D0" w:rsidP="000E19D0">
            <w:pPr>
              <w:jc w:val="both"/>
              <w:rPr>
                <w:sz w:val="24"/>
                <w:szCs w:val="24"/>
              </w:rPr>
            </w:pPr>
            <w:r w:rsidRPr="0046132F">
              <w:rPr>
                <w:sz w:val="24"/>
                <w:szCs w:val="24"/>
              </w:rPr>
              <w:t xml:space="preserve">Following one of the key principles of the SSWBA14, ‘A Person-Centred Approach’, I would identify what outcomes 2 would like to achieve and each professional’s role. This person-centred approach ensures that professionals do not make decisions based solely on their own judgment, but rather place individuals at the core of their own care and recognise their expertise in their own lives ((SCW, 2024) Through effective communication, I was able to work towards 2’s own personal outcomes and ensure professionals involved were working towards those desired outcomes. </w:t>
            </w:r>
            <w:r w:rsidRPr="00692592">
              <w:rPr>
                <w:sz w:val="24"/>
                <w:szCs w:val="24"/>
              </w:rPr>
              <w:t>There can be barriers to full engagement in the assessment process. This can include the individual's ability to understand the relevant information, retain information, weigh information, and communicate their wishes and feelings. Under Part 7 of SSWBA14, local authorities must consider if there is a role for an appropriate individual who can facilitate the involvement in the assessment, planning, and review process.</w:t>
            </w:r>
          </w:p>
          <w:p w14:paraId="4029EDD3" w14:textId="77777777" w:rsidR="000E19D0" w:rsidRDefault="000E19D0" w:rsidP="000E19D0">
            <w:pPr>
              <w:jc w:val="both"/>
              <w:rPr>
                <w:sz w:val="24"/>
                <w:szCs w:val="24"/>
              </w:rPr>
            </w:pPr>
          </w:p>
          <w:p w14:paraId="23959457" w14:textId="77777777" w:rsidR="000E19D0" w:rsidRPr="0046132F" w:rsidRDefault="000E19D0" w:rsidP="000E19D0">
            <w:pPr>
              <w:jc w:val="both"/>
              <w:rPr>
                <w:sz w:val="24"/>
                <w:szCs w:val="24"/>
              </w:rPr>
            </w:pPr>
            <w:r w:rsidRPr="0046132F">
              <w:rPr>
                <w:sz w:val="24"/>
                <w:szCs w:val="24"/>
              </w:rPr>
              <w:t>I took the time to develop an understanding of 2’s desired outcomes, one of which was that he would like to be able to return to his home address and live as independently. We identified his strengths, needs, and risks. I was aware through this process; I would need to balance empowerment and risk</w:t>
            </w:r>
            <w:r>
              <w:rPr>
                <w:sz w:val="24"/>
                <w:szCs w:val="24"/>
              </w:rPr>
              <w:t xml:space="preserve"> (Brown, 2010)</w:t>
            </w:r>
            <w:r w:rsidRPr="0046132F">
              <w:rPr>
                <w:sz w:val="24"/>
                <w:szCs w:val="24"/>
              </w:rPr>
              <w:t xml:space="preserve">. </w:t>
            </w:r>
            <w:r w:rsidRPr="00A77538">
              <w:rPr>
                <w:sz w:val="24"/>
                <w:szCs w:val="24"/>
              </w:rPr>
              <w:t xml:space="preserve">By using a practical tool (OHSE) effective risk management, I was able to evaluate the probability and the potential of the risk happening again.  </w:t>
            </w:r>
            <w:r w:rsidRPr="0046132F">
              <w:rPr>
                <w:sz w:val="24"/>
                <w:szCs w:val="24"/>
              </w:rPr>
              <w:t>There was significant evidence to suggest the risk of self-neglect would return when 2 was back in his own environment</w:t>
            </w:r>
            <w:r>
              <w:rPr>
                <w:sz w:val="24"/>
                <w:szCs w:val="24"/>
              </w:rPr>
              <w:t xml:space="preserve"> and I could outline this risk on his Wales Measure paperwork Part B (Wales mental health measure, 2010).</w:t>
            </w:r>
            <w:r w:rsidRPr="0046132F">
              <w:rPr>
                <w:sz w:val="24"/>
                <w:szCs w:val="24"/>
              </w:rPr>
              <w:t xml:space="preserve"> My role would now be to empower 2 to be able to return home but to also mitigate any further risk of harm through self-neglect. Using Ledford et al.'s empowerment model (2013). I worked with 2 to identify resources which are needed to help empower him, and create strategies to influence change and reduce the risk of harm. This case highlighted the importance of each professional role within the care planning process. Social workers must collaborate with other professionals while acknowledging and respecting their roles (SCW, 2017). </w:t>
            </w:r>
          </w:p>
          <w:p w14:paraId="3C689B88" w14:textId="77777777" w:rsidR="000E19D0" w:rsidRPr="0046132F" w:rsidRDefault="000E19D0" w:rsidP="000E19D0">
            <w:pPr>
              <w:jc w:val="both"/>
              <w:rPr>
                <w:sz w:val="24"/>
                <w:szCs w:val="24"/>
              </w:rPr>
            </w:pPr>
          </w:p>
          <w:p w14:paraId="142386A7" w14:textId="77777777" w:rsidR="000E19D0" w:rsidRPr="0046132F" w:rsidRDefault="000E19D0" w:rsidP="000E19D0">
            <w:pPr>
              <w:jc w:val="both"/>
              <w:rPr>
                <w:sz w:val="24"/>
                <w:szCs w:val="24"/>
              </w:rPr>
            </w:pPr>
          </w:p>
          <w:p w14:paraId="31F16AC4" w14:textId="77777777" w:rsidR="000E19D0" w:rsidRPr="00684DE3" w:rsidRDefault="000E19D0" w:rsidP="000E19D0">
            <w:pPr>
              <w:jc w:val="both"/>
              <w:rPr>
                <w:sz w:val="24"/>
                <w:szCs w:val="24"/>
              </w:rPr>
            </w:pPr>
            <w:r w:rsidRPr="00304D81">
              <w:rPr>
                <w:sz w:val="24"/>
                <w:szCs w:val="24"/>
              </w:rPr>
              <w:t>Following 2’s admission, it has been identified that he has been diagnosed with cancer, which goes some way in explaining the decline in his physical and mental health.</w:t>
            </w:r>
            <w:r>
              <w:rPr>
                <w:sz w:val="24"/>
                <w:szCs w:val="24"/>
              </w:rPr>
              <w:t xml:space="preserve"> </w:t>
            </w:r>
            <w:r w:rsidRPr="00304D81">
              <w:rPr>
                <w:sz w:val="24"/>
                <w:szCs w:val="24"/>
              </w:rPr>
              <w:t>2 decided he no longer wanted any further input in the community for his cancer. He decided not to proceed with any further investigation or treatment. When 2 made the decision not to access treatment for his cancer diagnosis, I had to consider if 2 lacked capacity to make this choice and was his diagnosis of schizophrenia impairing his ability to make wise choices. I would also need to consider if 2’s current mental state was impairing his current decision-making and his capacity could also be fluctuating (Mental Capacity Act, 2010). Spencer Lane (2019) states fluctuating capacity refers to situations where a person's decision-making ability varies. An individual may not have capacity during one assessment, but a follow-up assessment during a clearer moment may yield a different result. There are many reasons why individual’s capacity may fluctuate, such as mental illness, dementia, or brain injuries. In 2’s case, his mental illness may be impairing his decision-making. </w:t>
            </w:r>
          </w:p>
          <w:p w14:paraId="1599C097" w14:textId="77777777" w:rsidR="000E19D0" w:rsidRPr="00684DE3" w:rsidRDefault="000E19D0" w:rsidP="000E19D0">
            <w:pPr>
              <w:jc w:val="both"/>
              <w:rPr>
                <w:sz w:val="24"/>
                <w:szCs w:val="24"/>
              </w:rPr>
            </w:pPr>
          </w:p>
          <w:p w14:paraId="467E1D19" w14:textId="77777777" w:rsidR="000E19D0" w:rsidRPr="005C7CEF" w:rsidRDefault="000E19D0" w:rsidP="000E19D0">
            <w:pPr>
              <w:jc w:val="both"/>
              <w:rPr>
                <w:sz w:val="24"/>
                <w:szCs w:val="24"/>
              </w:rPr>
            </w:pPr>
            <w:r w:rsidRPr="005C7CEF">
              <w:rPr>
                <w:sz w:val="24"/>
                <w:szCs w:val="24"/>
              </w:rPr>
              <w:t xml:space="preserve">I discussed the case with my team manager and other health agencies. The decision was made for a formal capacity assessment to be completed. The test for capacity in the Mental </w:t>
            </w:r>
            <w:r w:rsidRPr="005C7CEF">
              <w:rPr>
                <w:sz w:val="24"/>
                <w:szCs w:val="24"/>
              </w:rPr>
              <w:lastRenderedPageBreak/>
              <w:t>Capacity Act 2005 (MCA) is contained in section 2, this sets out the purpose of the Act: “A person lacks capacity in relation to a matter if at the material time, he is unable to make a decision for himself in relation to the matter because of an impairment or a disturbance in the functioning of the mind or brain.”</w:t>
            </w:r>
          </w:p>
          <w:p w14:paraId="6F2F236B" w14:textId="77777777" w:rsidR="000E19D0" w:rsidRPr="005C7CEF" w:rsidRDefault="000E19D0" w:rsidP="000E19D0">
            <w:pPr>
              <w:jc w:val="both"/>
              <w:rPr>
                <w:sz w:val="24"/>
                <w:szCs w:val="24"/>
              </w:rPr>
            </w:pPr>
            <w:r w:rsidRPr="005C7CEF">
              <w:rPr>
                <w:sz w:val="24"/>
                <w:szCs w:val="24"/>
              </w:rPr>
              <w:t>Once completed, it was found that 2 was able to understand the information given by healthcare professionals and me. He was able to understand the information and communicate the key points of the decision, considering its pros and cons. Not only did I need to identify 2’s ability to understand the information he was being given but also if any of the decisions he was making were based on paranoid beliefs. People with schizophrenia often experience feelings of persecution and heightened suspicion (Didbin, 2022). For example; If 2 had made suggestions that he wasn’t going to undergo treatment because he believed that the doctor was trying to poison him, I would be questioning where these beliefs were coming from and whether it appropriate for 2 to also be reviewed medically by a psychiatrist. Many paranoid beliefs are fixed and are unable to be changed (Freeman &amp; Garety, 2018) Although sometimes these beliefs are able to be challenged and psychiatric medication can help alleviate these beliefs. I also reassured 2 that if he changed his mind at any point, I would support him in accessing the treatment he required. </w:t>
            </w:r>
          </w:p>
          <w:p w14:paraId="7E6EA9D1" w14:textId="77777777" w:rsidR="000E19D0" w:rsidRPr="005C7CEF" w:rsidRDefault="000E19D0" w:rsidP="000E19D0">
            <w:pPr>
              <w:jc w:val="both"/>
              <w:rPr>
                <w:sz w:val="24"/>
                <w:szCs w:val="24"/>
              </w:rPr>
            </w:pPr>
          </w:p>
          <w:p w14:paraId="7675B121" w14:textId="77777777" w:rsidR="000E19D0" w:rsidRPr="00B307EC" w:rsidRDefault="000E19D0" w:rsidP="000E19D0">
            <w:pPr>
              <w:jc w:val="both"/>
              <w:rPr>
                <w:sz w:val="24"/>
                <w:szCs w:val="24"/>
              </w:rPr>
            </w:pPr>
            <w:r w:rsidRPr="00B307EC">
              <w:rPr>
                <w:sz w:val="24"/>
                <w:szCs w:val="24"/>
              </w:rPr>
              <w:t xml:space="preserve">Following the Mental Capacity Act 2005, 2 was deemed to have capacity to make this decision. Although, as practitioners we may feel he is making an unwise decision. 2 has the right to make unwise choices. Although I had considered if 2 lacked capacity, under the Mental Health Act (2005) I had to assume capacity until proven otherwise and ensure that it is subject-focused. In relation to 2’s case I would be assessing his capacity in relation to him declining treatment for his cancer diagnosis. If there are concerns about his ability to manage finances or treatment for his mental illness, a separate capacity assessment would be required for each area. </w:t>
            </w:r>
          </w:p>
          <w:p w14:paraId="1C194915" w14:textId="77777777" w:rsidR="000E19D0" w:rsidRPr="00B307EC" w:rsidRDefault="000E19D0" w:rsidP="000E19D0">
            <w:pPr>
              <w:jc w:val="both"/>
              <w:rPr>
                <w:sz w:val="24"/>
                <w:szCs w:val="24"/>
              </w:rPr>
            </w:pPr>
            <w:r w:rsidRPr="00B307EC">
              <w:rPr>
                <w:sz w:val="24"/>
                <w:szCs w:val="24"/>
              </w:rPr>
              <w:t> </w:t>
            </w:r>
          </w:p>
          <w:p w14:paraId="11157B7B" w14:textId="77777777" w:rsidR="000E19D0" w:rsidRPr="00B307EC" w:rsidRDefault="000E19D0" w:rsidP="000E19D0">
            <w:pPr>
              <w:jc w:val="both"/>
              <w:rPr>
                <w:sz w:val="24"/>
                <w:szCs w:val="24"/>
              </w:rPr>
            </w:pPr>
            <w:r w:rsidRPr="00B307EC">
              <w:rPr>
                <w:sz w:val="24"/>
                <w:szCs w:val="24"/>
              </w:rPr>
              <w:t>If someone is considered to lack capacity, decisions for them should prioriti</w:t>
            </w:r>
            <w:r>
              <w:rPr>
                <w:sz w:val="24"/>
                <w:szCs w:val="24"/>
              </w:rPr>
              <w:t>s</w:t>
            </w:r>
            <w:r w:rsidRPr="00B307EC">
              <w:rPr>
                <w:sz w:val="24"/>
                <w:szCs w:val="24"/>
              </w:rPr>
              <w:t>e their best interests, taking into account their known wishes, beliefs, and overall well-being (M</w:t>
            </w:r>
            <w:r>
              <w:rPr>
                <w:sz w:val="24"/>
                <w:szCs w:val="24"/>
              </w:rPr>
              <w:t>CA</w:t>
            </w:r>
            <w:r w:rsidRPr="00B307EC">
              <w:rPr>
                <w:sz w:val="24"/>
                <w:szCs w:val="24"/>
              </w:rPr>
              <w:t>, 2005). To be able to ensure decisions are in 2’s best interest, I would need to engage 2 in the decision-making process, listen to and take into account his views, wishes, and feelings. This aligns with the standards and conduct outlined in section 1 of the 2017 Code of Professional Practice for Social Care (COPP17) by Social Care Wales. ((SCW, 2017) ‘Working with individuals and carers in ways that respect their dignity, privacy, preferences, culture, language, and rights. During this process, it is important for 2 to have an advocate. There would have been a role for an independent mental capacity advocate (IMCA) (SCIE, 2010). Independent mental capacity advocates are appointed to support and represent individuals who lack capacity when making certain decisions.</w:t>
            </w:r>
          </w:p>
          <w:p w14:paraId="002ED0CA" w14:textId="77777777" w:rsidR="000E19D0" w:rsidRPr="00B307EC" w:rsidRDefault="000E19D0" w:rsidP="000E19D0">
            <w:pPr>
              <w:jc w:val="both"/>
              <w:rPr>
                <w:sz w:val="24"/>
                <w:szCs w:val="24"/>
              </w:rPr>
            </w:pPr>
          </w:p>
          <w:p w14:paraId="1F0C8437" w14:textId="77777777" w:rsidR="000E19D0" w:rsidRPr="00B307EC" w:rsidRDefault="000E19D0" w:rsidP="000E19D0">
            <w:pPr>
              <w:jc w:val="both"/>
              <w:rPr>
                <w:sz w:val="24"/>
                <w:szCs w:val="24"/>
              </w:rPr>
            </w:pPr>
          </w:p>
          <w:p w14:paraId="3E38F99D" w14:textId="77777777" w:rsidR="000E19D0" w:rsidRPr="0088648B" w:rsidRDefault="000E19D0" w:rsidP="000E19D0">
            <w:pPr>
              <w:jc w:val="both"/>
              <w:rPr>
                <w:sz w:val="24"/>
                <w:szCs w:val="24"/>
              </w:rPr>
            </w:pPr>
            <w:r w:rsidRPr="0088648B">
              <w:rPr>
                <w:sz w:val="24"/>
                <w:szCs w:val="24"/>
              </w:rPr>
              <w:t xml:space="preserve">If 2 lacked the capacity to make a decision, and the decision needs to be made for them, the Mental Capacity Act (2005) states, the decision must be made in their best interest. In certain cases, the restrictions placed upon an individual who lacks capacity may lead to a deprivation of liberty (DoLS). If it is felt that this may be applicable the care provider or hospital has to apply to their local authority and the Court of Protection. Deprivation of Liberty Safeguards (DoLS) are an amendment to MCA and are the current safeguards which protect a person </w:t>
            </w:r>
            <w:r w:rsidRPr="0088648B">
              <w:rPr>
                <w:sz w:val="24"/>
                <w:szCs w:val="24"/>
              </w:rPr>
              <w:lastRenderedPageBreak/>
              <w:t>who lacks capacity to consent to their care and treatment in order to keep them safe from harm (DoLS). The Court of Protection will decide whether to authorise restricting a person's liberty at home, in a care home, or in a hospital setting. </w:t>
            </w:r>
          </w:p>
          <w:p w14:paraId="2ACCD6C6" w14:textId="77777777" w:rsidR="000E19D0" w:rsidRPr="0088648B" w:rsidRDefault="000E19D0" w:rsidP="000E19D0">
            <w:pPr>
              <w:jc w:val="both"/>
              <w:rPr>
                <w:sz w:val="24"/>
                <w:szCs w:val="24"/>
              </w:rPr>
            </w:pPr>
          </w:p>
          <w:p w14:paraId="0F584280" w14:textId="77777777" w:rsidR="000E19D0" w:rsidRPr="00671865" w:rsidRDefault="000E19D0" w:rsidP="000E19D0">
            <w:pPr>
              <w:jc w:val="both"/>
              <w:rPr>
                <w:sz w:val="24"/>
                <w:szCs w:val="24"/>
              </w:rPr>
            </w:pPr>
            <w:r w:rsidRPr="00671865">
              <w:rPr>
                <w:sz w:val="24"/>
                <w:szCs w:val="24"/>
              </w:rPr>
              <w:t>There can be a lot of stigmas and stereotyping towards individuals with schizophrenia, and this is widely related to it being misunderstood. This became apparent during 2’s stay in hospital where I felt he was being discriminated against. I was informed they would be considering moving 2 to a side room, when I asked why this was, I was informed due to his mental illness. I asked why this was being considered if there were no concerns regarding his mental health and he was also enjoying being in the company of others. I stated, unless there were identified risks of him staying in a communal ward, then they would need to consider if they were adhering to the Equality Act 2010. I also asked them to have a conversation with 2 and consider what he wanted to ensure decisions were person-centred. </w:t>
            </w:r>
          </w:p>
          <w:p w14:paraId="47FBD070" w14:textId="77777777" w:rsidR="000E19D0" w:rsidRPr="00684DE3" w:rsidRDefault="000E19D0" w:rsidP="000E19D0">
            <w:pPr>
              <w:jc w:val="both"/>
              <w:rPr>
                <w:sz w:val="24"/>
                <w:szCs w:val="24"/>
              </w:rPr>
            </w:pPr>
          </w:p>
          <w:p w14:paraId="22782B69" w14:textId="77777777" w:rsidR="000E19D0" w:rsidRPr="00684DE3" w:rsidRDefault="000E19D0" w:rsidP="000E19D0">
            <w:pPr>
              <w:jc w:val="both"/>
              <w:rPr>
                <w:sz w:val="24"/>
                <w:szCs w:val="24"/>
              </w:rPr>
            </w:pPr>
          </w:p>
          <w:p w14:paraId="772622FF" w14:textId="77777777" w:rsidR="000E19D0" w:rsidRPr="00837390" w:rsidRDefault="000E19D0" w:rsidP="000E19D0">
            <w:pPr>
              <w:jc w:val="both"/>
              <w:rPr>
                <w:sz w:val="24"/>
                <w:szCs w:val="24"/>
              </w:rPr>
            </w:pPr>
            <w:r w:rsidRPr="00837390">
              <w:rPr>
                <w:sz w:val="24"/>
                <w:szCs w:val="24"/>
              </w:rPr>
              <w:t>Once all relevant assessments for care and planning were completed and 2 was deemed medically fit and the planning for discharge started. This involved a multi-agency approach. Recognising and respecting the roles and expertise of other professionals and collaborating effectively with them is a fundamental principle of social work practice s.6 of COPP17 (SCW, 2017). During the occupational therapy assessments some areas were identified where 2 would need support to live independently. Such as some adaptations to his home and him having meals delivered that he could heat in the microwave.</w:t>
            </w:r>
          </w:p>
          <w:p w14:paraId="0D199843" w14:textId="77777777" w:rsidR="000E19D0" w:rsidRPr="00837390" w:rsidRDefault="000E19D0" w:rsidP="000E19D0">
            <w:pPr>
              <w:jc w:val="both"/>
              <w:rPr>
                <w:sz w:val="24"/>
                <w:szCs w:val="24"/>
              </w:rPr>
            </w:pPr>
          </w:p>
          <w:p w14:paraId="29F2ED20" w14:textId="77777777" w:rsidR="000E19D0" w:rsidRPr="00684DE3" w:rsidRDefault="000E19D0" w:rsidP="000E19D0">
            <w:pPr>
              <w:jc w:val="both"/>
              <w:rPr>
                <w:sz w:val="24"/>
                <w:szCs w:val="24"/>
              </w:rPr>
            </w:pPr>
            <w:r w:rsidRPr="00961C70">
              <w:rPr>
                <w:sz w:val="24"/>
                <w:szCs w:val="24"/>
              </w:rPr>
              <w:t>During my risk assessment, I identified that 2 needed a more robust way to communicate with the outside world and that he was also unsure of what to do in an emergency situation. It was discovered that the emergency cords in his home were not functioning, and a fall alarm would be necessary. I ensured I discussed all these options with 2 along the way and that he was in agreement to these services. The Human Rights Act 1998 states individuals have a right to a private life and if 2 decided he didn’t want further intrusion into his life and home, he has the right to make this decision. I used the strengths perspective (Saleebey, 1996) to help 2 identify his qualities and strengths. Using this theory, I needed to connect with 2 so he felt he was able to open up to me about his personal experiences that may have led to his self-neglect. By recognising the negative and positive aspects of circumstances, we would be able to identify positive ways of addressing these. A limitation of this is that not everyone wants contact with services, or individuals aren’t always open and honest during these conversations and this can cause a sceptical approach. </w:t>
            </w:r>
          </w:p>
          <w:p w14:paraId="677FB399" w14:textId="77777777" w:rsidR="000E19D0" w:rsidRPr="00684DE3" w:rsidRDefault="000E19D0" w:rsidP="000E19D0">
            <w:pPr>
              <w:jc w:val="both"/>
              <w:rPr>
                <w:sz w:val="24"/>
                <w:szCs w:val="24"/>
              </w:rPr>
            </w:pPr>
          </w:p>
          <w:p w14:paraId="2919DFA8" w14:textId="77777777" w:rsidR="000E19D0" w:rsidRDefault="000E19D0" w:rsidP="000E19D0">
            <w:pPr>
              <w:jc w:val="both"/>
              <w:rPr>
                <w:sz w:val="24"/>
                <w:szCs w:val="24"/>
              </w:rPr>
            </w:pPr>
            <w:r w:rsidRPr="00684DE3">
              <w:rPr>
                <w:sz w:val="24"/>
                <w:szCs w:val="24"/>
              </w:rPr>
              <w:t>This case study shows my understanding of safeguarding procedures and highlights where I feel there is a gap: the lack of attention to self-neglect. This case highlighted the difficulties practitioners can face when following the safeguarding process. Although the safeguarding process with this individual was difficult, I felt I kept my practice person-centred, ensuring 2 had full involvement in decision-making, and I have worked towards outcome-driven decision-making to achieve all outcomes he would like to achieve, all while managing risk. </w:t>
            </w:r>
          </w:p>
          <w:p w14:paraId="2F31654F" w14:textId="77777777" w:rsidR="000E19D0" w:rsidRDefault="000E19D0" w:rsidP="000E19D0">
            <w:pPr>
              <w:jc w:val="both"/>
              <w:rPr>
                <w:sz w:val="24"/>
                <w:szCs w:val="24"/>
              </w:rPr>
            </w:pPr>
          </w:p>
          <w:p w14:paraId="7B8D5414" w14:textId="3CA26126" w:rsidR="000E19D0" w:rsidRPr="00684DE3" w:rsidRDefault="000E19D0" w:rsidP="000E19D0">
            <w:pPr>
              <w:jc w:val="both"/>
              <w:rPr>
                <w:sz w:val="24"/>
                <w:szCs w:val="24"/>
              </w:rPr>
            </w:pPr>
            <w:r>
              <w:rPr>
                <w:sz w:val="24"/>
                <w:szCs w:val="24"/>
              </w:rPr>
              <w:t xml:space="preserve">Word count </w:t>
            </w:r>
            <w:r w:rsidR="00C037F4">
              <w:rPr>
                <w:sz w:val="24"/>
                <w:szCs w:val="24"/>
              </w:rPr>
              <w:t>4379</w:t>
            </w:r>
          </w:p>
          <w:p w14:paraId="60A5F929" w14:textId="77777777" w:rsidR="000E19D0" w:rsidRPr="00684DE3" w:rsidRDefault="000E19D0" w:rsidP="000E19D0">
            <w:pPr>
              <w:jc w:val="both"/>
              <w:rPr>
                <w:rFonts w:ascii="Times New Roman" w:hAnsi="Times New Roman" w:cs="Times New Roman"/>
                <w:sz w:val="24"/>
                <w:szCs w:val="24"/>
              </w:rPr>
            </w:pPr>
          </w:p>
          <w:p w14:paraId="5A547E86" w14:textId="77777777" w:rsidR="000E19D0" w:rsidRPr="00961C70" w:rsidRDefault="000E19D0" w:rsidP="000E19D0">
            <w:pPr>
              <w:jc w:val="both"/>
              <w:rPr>
                <w:rFonts w:ascii="Times New Roman" w:hAnsi="Times New Roman" w:cs="Times New Roman"/>
                <w:sz w:val="24"/>
                <w:szCs w:val="24"/>
              </w:rPr>
            </w:pPr>
          </w:p>
          <w:p w14:paraId="7686B258" w14:textId="77777777" w:rsidR="000E19D0" w:rsidRPr="00961C70" w:rsidRDefault="000E19D0" w:rsidP="000E19D0">
            <w:pPr>
              <w:jc w:val="both"/>
              <w:rPr>
                <w:rFonts w:ascii="Times New Roman" w:hAnsi="Times New Roman" w:cs="Times New Roman"/>
                <w:sz w:val="24"/>
                <w:szCs w:val="24"/>
              </w:rPr>
            </w:pPr>
          </w:p>
          <w:p w14:paraId="2874C7BE" w14:textId="77777777" w:rsidR="000E19D0" w:rsidRPr="00961C70" w:rsidRDefault="000E19D0" w:rsidP="000E19D0">
            <w:pPr>
              <w:jc w:val="both"/>
              <w:rPr>
                <w:rFonts w:ascii="Times New Roman" w:hAnsi="Times New Roman" w:cs="Times New Roman"/>
                <w:sz w:val="24"/>
                <w:szCs w:val="24"/>
              </w:rPr>
            </w:pPr>
          </w:p>
          <w:p w14:paraId="231F7B8C" w14:textId="77777777" w:rsidR="000E19D0" w:rsidRPr="00961C70" w:rsidRDefault="000E19D0" w:rsidP="000E19D0">
            <w:pPr>
              <w:jc w:val="both"/>
              <w:rPr>
                <w:rFonts w:ascii="Times New Roman" w:hAnsi="Times New Roman" w:cs="Times New Roman"/>
                <w:sz w:val="24"/>
                <w:szCs w:val="24"/>
              </w:rPr>
            </w:pPr>
          </w:p>
          <w:p w14:paraId="09D37431" w14:textId="77777777" w:rsidR="000E19D0" w:rsidRPr="00961C70" w:rsidRDefault="000E19D0" w:rsidP="000E19D0">
            <w:pPr>
              <w:jc w:val="both"/>
              <w:rPr>
                <w:rFonts w:ascii="Times New Roman" w:hAnsi="Times New Roman" w:cs="Times New Roman"/>
                <w:sz w:val="24"/>
                <w:szCs w:val="24"/>
              </w:rPr>
            </w:pPr>
          </w:p>
          <w:p w14:paraId="101D3679" w14:textId="77777777" w:rsidR="000E19D0" w:rsidRPr="00837390" w:rsidRDefault="000E19D0" w:rsidP="000E19D0">
            <w:pPr>
              <w:jc w:val="both"/>
              <w:rPr>
                <w:rFonts w:ascii="Times New Roman" w:hAnsi="Times New Roman" w:cs="Times New Roman"/>
                <w:sz w:val="24"/>
                <w:szCs w:val="24"/>
              </w:rPr>
            </w:pPr>
          </w:p>
          <w:p w14:paraId="4BBF7C0D" w14:textId="77777777" w:rsidR="000E19D0" w:rsidRPr="00837390" w:rsidRDefault="000E19D0" w:rsidP="000E19D0">
            <w:pPr>
              <w:jc w:val="both"/>
              <w:rPr>
                <w:rFonts w:ascii="Times New Roman" w:hAnsi="Times New Roman" w:cs="Times New Roman"/>
                <w:sz w:val="24"/>
                <w:szCs w:val="24"/>
              </w:rPr>
            </w:pPr>
          </w:p>
          <w:p w14:paraId="0C06CC21" w14:textId="77777777" w:rsidR="000E19D0" w:rsidRPr="00837390" w:rsidRDefault="000E19D0" w:rsidP="000E19D0">
            <w:pPr>
              <w:jc w:val="both"/>
              <w:rPr>
                <w:rFonts w:ascii="Times New Roman" w:hAnsi="Times New Roman" w:cs="Times New Roman"/>
                <w:sz w:val="24"/>
                <w:szCs w:val="24"/>
              </w:rPr>
            </w:pPr>
          </w:p>
          <w:p w14:paraId="7BD1B373" w14:textId="77777777" w:rsidR="000E19D0" w:rsidRPr="00837390" w:rsidRDefault="000E19D0" w:rsidP="000E19D0">
            <w:pPr>
              <w:jc w:val="both"/>
              <w:rPr>
                <w:rFonts w:ascii="Times New Roman" w:hAnsi="Times New Roman" w:cs="Times New Roman"/>
                <w:sz w:val="24"/>
                <w:szCs w:val="24"/>
              </w:rPr>
            </w:pPr>
          </w:p>
          <w:p w14:paraId="36DE3C16" w14:textId="77777777" w:rsidR="000E19D0" w:rsidRPr="00837390" w:rsidRDefault="000E19D0" w:rsidP="000E19D0">
            <w:pPr>
              <w:jc w:val="both"/>
              <w:rPr>
                <w:rFonts w:ascii="Times New Roman" w:hAnsi="Times New Roman" w:cs="Times New Roman"/>
                <w:sz w:val="24"/>
                <w:szCs w:val="24"/>
              </w:rPr>
            </w:pPr>
          </w:p>
          <w:p w14:paraId="06B3F4D5" w14:textId="77777777" w:rsidR="000E19D0" w:rsidRPr="00671865" w:rsidRDefault="000E19D0" w:rsidP="000E19D0">
            <w:pPr>
              <w:jc w:val="both"/>
              <w:rPr>
                <w:rFonts w:ascii="Times New Roman" w:hAnsi="Times New Roman" w:cs="Times New Roman"/>
                <w:sz w:val="24"/>
                <w:szCs w:val="24"/>
              </w:rPr>
            </w:pPr>
          </w:p>
          <w:p w14:paraId="40C444E1" w14:textId="77777777" w:rsidR="000E19D0" w:rsidRPr="00671865" w:rsidRDefault="000E19D0" w:rsidP="000E19D0">
            <w:pPr>
              <w:jc w:val="both"/>
              <w:rPr>
                <w:rFonts w:ascii="Times New Roman" w:hAnsi="Times New Roman" w:cs="Times New Roman"/>
                <w:sz w:val="24"/>
                <w:szCs w:val="24"/>
              </w:rPr>
            </w:pPr>
          </w:p>
          <w:p w14:paraId="449339BD" w14:textId="77777777" w:rsidR="000E19D0" w:rsidRPr="00671865" w:rsidRDefault="000E19D0" w:rsidP="000E19D0">
            <w:pPr>
              <w:jc w:val="both"/>
              <w:rPr>
                <w:rFonts w:ascii="Times New Roman" w:hAnsi="Times New Roman" w:cs="Times New Roman"/>
                <w:sz w:val="24"/>
                <w:szCs w:val="24"/>
              </w:rPr>
            </w:pPr>
          </w:p>
          <w:p w14:paraId="5F1AE4DF" w14:textId="77777777" w:rsidR="000E19D0" w:rsidRPr="00671865" w:rsidRDefault="000E19D0" w:rsidP="000E19D0">
            <w:pPr>
              <w:jc w:val="both"/>
              <w:rPr>
                <w:rFonts w:ascii="Times New Roman" w:hAnsi="Times New Roman" w:cs="Times New Roman"/>
                <w:sz w:val="24"/>
                <w:szCs w:val="24"/>
              </w:rPr>
            </w:pPr>
          </w:p>
          <w:p w14:paraId="25CB175B" w14:textId="77777777" w:rsidR="000E19D0" w:rsidRPr="00671865" w:rsidRDefault="000E19D0" w:rsidP="000E19D0">
            <w:pPr>
              <w:jc w:val="both"/>
              <w:rPr>
                <w:rFonts w:ascii="Times New Roman" w:hAnsi="Times New Roman" w:cs="Times New Roman"/>
                <w:sz w:val="24"/>
                <w:szCs w:val="24"/>
              </w:rPr>
            </w:pPr>
          </w:p>
          <w:p w14:paraId="7B4BB773" w14:textId="77777777" w:rsidR="000E19D0" w:rsidRPr="00671865" w:rsidRDefault="000E19D0" w:rsidP="000E19D0">
            <w:pPr>
              <w:jc w:val="both"/>
              <w:rPr>
                <w:rFonts w:ascii="Times New Roman" w:hAnsi="Times New Roman" w:cs="Times New Roman"/>
                <w:sz w:val="24"/>
                <w:szCs w:val="24"/>
              </w:rPr>
            </w:pPr>
          </w:p>
          <w:p w14:paraId="22C9BC3A" w14:textId="77777777" w:rsidR="000E19D0" w:rsidRPr="0088648B" w:rsidRDefault="000E19D0" w:rsidP="000E19D0">
            <w:pPr>
              <w:jc w:val="both"/>
              <w:rPr>
                <w:rFonts w:ascii="Times New Roman" w:hAnsi="Times New Roman" w:cs="Times New Roman"/>
                <w:sz w:val="24"/>
                <w:szCs w:val="24"/>
              </w:rPr>
            </w:pPr>
          </w:p>
          <w:p w14:paraId="3046C3E1" w14:textId="77777777" w:rsidR="000E19D0" w:rsidRPr="0088648B" w:rsidRDefault="000E19D0" w:rsidP="000E19D0">
            <w:pPr>
              <w:jc w:val="both"/>
              <w:rPr>
                <w:rFonts w:ascii="Times New Roman" w:hAnsi="Times New Roman" w:cs="Times New Roman"/>
                <w:sz w:val="24"/>
                <w:szCs w:val="24"/>
              </w:rPr>
            </w:pPr>
          </w:p>
          <w:p w14:paraId="25D55B2B" w14:textId="77777777" w:rsidR="000E19D0" w:rsidRPr="0088648B" w:rsidRDefault="000E19D0" w:rsidP="000E19D0">
            <w:pPr>
              <w:jc w:val="both"/>
              <w:rPr>
                <w:rFonts w:ascii="Times New Roman" w:hAnsi="Times New Roman" w:cs="Times New Roman"/>
                <w:sz w:val="24"/>
                <w:szCs w:val="24"/>
              </w:rPr>
            </w:pPr>
          </w:p>
          <w:p w14:paraId="05173E97" w14:textId="77777777" w:rsidR="000E19D0" w:rsidRPr="0088648B" w:rsidRDefault="000E19D0" w:rsidP="000E19D0">
            <w:pPr>
              <w:jc w:val="both"/>
              <w:rPr>
                <w:rFonts w:ascii="Times New Roman" w:hAnsi="Times New Roman" w:cs="Times New Roman"/>
                <w:sz w:val="24"/>
                <w:szCs w:val="24"/>
              </w:rPr>
            </w:pPr>
          </w:p>
          <w:p w14:paraId="42481083" w14:textId="77777777" w:rsidR="00B61B25" w:rsidRPr="00B61B25" w:rsidRDefault="00B61B25" w:rsidP="00FF7EBB">
            <w:pPr>
              <w:jc w:val="both"/>
              <w:rPr>
                <w:iCs/>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89197" w14:textId="77777777" w:rsidR="00C672E7" w:rsidRDefault="00C672E7">
      <w:r>
        <w:separator/>
      </w:r>
    </w:p>
  </w:endnote>
  <w:endnote w:type="continuationSeparator" w:id="0">
    <w:p w14:paraId="531440CD" w14:textId="77777777" w:rsidR="00C672E7" w:rsidRDefault="00C67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3AD45" w14:textId="77777777" w:rsidR="00C672E7" w:rsidRDefault="00C672E7">
      <w:r>
        <w:separator/>
      </w:r>
    </w:p>
  </w:footnote>
  <w:footnote w:type="continuationSeparator" w:id="0">
    <w:p w14:paraId="2A87181C" w14:textId="77777777" w:rsidR="00C672E7" w:rsidRDefault="00C67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19D0"/>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6EDA"/>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1B25"/>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37F4"/>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2E7"/>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4164</Words>
  <Characters>23738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Mason (BCUHB - Mental Health &amp; Learning Disabilities)</cp:lastModifiedBy>
  <cp:revision>5</cp:revision>
  <cp:lastPrinted>2020-02-11T19:20:00Z</cp:lastPrinted>
  <dcterms:created xsi:type="dcterms:W3CDTF">2025-02-17T09:24:00Z</dcterms:created>
  <dcterms:modified xsi:type="dcterms:W3CDTF">2025-02-17T12:09:00Z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