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60F6" w:rsidRPr="003B71CF" w:rsidRDefault="005760F6" w:rsidP="003B71CF">
      <w:pPr>
        <w:pStyle w:val="Alex"/>
        <w:rPr>
          <w:rFonts w:asciiTheme="minorHAnsi" w:hAnsiTheme="minorHAnsi"/>
          <w:b/>
          <w:u w:val="single"/>
        </w:rPr>
      </w:pPr>
      <w:r w:rsidRPr="003B71CF">
        <w:rPr>
          <w:rFonts w:asciiTheme="minorHAnsi" w:hAnsiTheme="minorHAnsi"/>
          <w:b/>
          <w:u w:val="single"/>
        </w:rPr>
        <w:t xml:space="preserve">AHHI5017 Contesting Conflict: Representations of War, 1789–Present </w:t>
      </w:r>
    </w:p>
    <w:p w:rsidR="00891BC9" w:rsidRPr="003B71CF" w:rsidRDefault="00891BC9" w:rsidP="003B71CF">
      <w:pPr>
        <w:pStyle w:val="Alex"/>
        <w:rPr>
          <w:rFonts w:asciiTheme="minorHAnsi" w:hAnsiTheme="minorHAnsi"/>
          <w:b/>
          <w:u w:val="single"/>
        </w:rPr>
      </w:pPr>
      <w:r w:rsidRPr="003B71CF">
        <w:rPr>
          <w:rFonts w:asciiTheme="minorHAnsi" w:hAnsiTheme="minorHAnsi"/>
          <w:b/>
          <w:u w:val="single"/>
        </w:rPr>
        <w:t xml:space="preserve">Week </w:t>
      </w:r>
      <w:r w:rsidR="005760F6" w:rsidRPr="003B71CF">
        <w:rPr>
          <w:rFonts w:asciiTheme="minorHAnsi" w:hAnsiTheme="minorHAnsi"/>
          <w:b/>
          <w:u w:val="single"/>
        </w:rPr>
        <w:t>6</w:t>
      </w:r>
      <w:r w:rsidRPr="003B71CF">
        <w:rPr>
          <w:rFonts w:asciiTheme="minorHAnsi" w:hAnsiTheme="minorHAnsi"/>
          <w:b/>
          <w:u w:val="single"/>
        </w:rPr>
        <w:t>: The First World War</w:t>
      </w:r>
    </w:p>
    <w:p w:rsidR="00112B15" w:rsidRPr="003B71CF" w:rsidRDefault="00112B15" w:rsidP="003B71CF">
      <w:pPr>
        <w:pStyle w:val="Alex"/>
        <w:ind w:firstLine="720"/>
        <w:rPr>
          <w:rFonts w:asciiTheme="minorHAnsi" w:hAnsiTheme="minorHAnsi"/>
          <w:lang w:eastAsia="en-GB"/>
        </w:rPr>
      </w:pPr>
      <w:r w:rsidRPr="003B71CF">
        <w:rPr>
          <w:rFonts w:asciiTheme="minorHAnsi" w:hAnsiTheme="minorHAnsi"/>
          <w:noProof/>
          <w:lang w:val="en-US"/>
        </w:rPr>
        <w:drawing>
          <wp:inline distT="0" distB="0" distL="0" distR="0">
            <wp:extent cx="4277075" cy="2803585"/>
            <wp:effectExtent l="0" t="0" r="9525" b="0"/>
            <wp:docPr id="1" name="Picture 1" descr="Image result for blackadder goes forth final sce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lackadder goes forth final scen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83161" cy="2807575"/>
                    </a:xfrm>
                    <a:prstGeom prst="rect">
                      <a:avLst/>
                    </a:prstGeom>
                    <a:noFill/>
                    <a:ln>
                      <a:noFill/>
                    </a:ln>
                  </pic:spPr>
                </pic:pic>
              </a:graphicData>
            </a:graphic>
          </wp:inline>
        </w:drawing>
      </w:r>
    </w:p>
    <w:p w:rsidR="00112B15" w:rsidRPr="003B71CF" w:rsidRDefault="00112B15" w:rsidP="003B71CF">
      <w:pPr>
        <w:pStyle w:val="Alex"/>
        <w:jc w:val="right"/>
        <w:rPr>
          <w:rFonts w:asciiTheme="minorHAnsi" w:hAnsiTheme="minorHAnsi"/>
          <w:i/>
        </w:rPr>
      </w:pPr>
      <w:r w:rsidRPr="003B71CF">
        <w:rPr>
          <w:rFonts w:asciiTheme="minorHAnsi" w:hAnsiTheme="minorHAnsi"/>
          <w:i/>
        </w:rPr>
        <w:t>Final scene of ‘</w:t>
      </w:r>
      <w:proofErr w:type="spellStart"/>
      <w:r w:rsidRPr="003B71CF">
        <w:rPr>
          <w:rFonts w:asciiTheme="minorHAnsi" w:hAnsiTheme="minorHAnsi"/>
          <w:i/>
        </w:rPr>
        <w:t>Goodbyeee</w:t>
      </w:r>
      <w:proofErr w:type="spellEnd"/>
      <w:r w:rsidRPr="003B71CF">
        <w:rPr>
          <w:rFonts w:asciiTheme="minorHAnsi" w:hAnsiTheme="minorHAnsi"/>
          <w:i/>
        </w:rPr>
        <w:t>,’</w:t>
      </w:r>
      <w:r w:rsidRPr="003B71CF">
        <w:rPr>
          <w:rFonts w:asciiTheme="minorHAnsi" w:hAnsiTheme="minorHAnsi"/>
        </w:rPr>
        <w:t xml:space="preserve"> </w:t>
      </w:r>
      <w:r w:rsidRPr="003B71CF">
        <w:rPr>
          <w:rFonts w:asciiTheme="minorHAnsi" w:hAnsiTheme="minorHAnsi"/>
          <w:lang w:eastAsia="en-GB"/>
        </w:rPr>
        <w:t xml:space="preserve">Blackadder Goes Forth </w:t>
      </w:r>
      <w:r w:rsidRPr="003B71CF">
        <w:rPr>
          <w:rFonts w:asciiTheme="minorHAnsi" w:hAnsiTheme="minorHAnsi"/>
          <w:i/>
          <w:lang w:eastAsia="en-GB"/>
        </w:rPr>
        <w:t>(1989)</w:t>
      </w:r>
    </w:p>
    <w:p w:rsidR="00891BC9" w:rsidRPr="003B71CF" w:rsidRDefault="00891BC9" w:rsidP="003B71CF">
      <w:pPr>
        <w:pStyle w:val="Alex"/>
        <w:rPr>
          <w:rFonts w:asciiTheme="minorHAnsi" w:hAnsiTheme="minorHAnsi"/>
          <w:i/>
          <w:u w:val="single"/>
        </w:rPr>
      </w:pPr>
      <w:r w:rsidRPr="003B71CF">
        <w:rPr>
          <w:rFonts w:asciiTheme="minorHAnsi" w:hAnsiTheme="minorHAnsi"/>
          <w:i/>
          <w:u w:val="single"/>
        </w:rPr>
        <w:t>Lectures summary:</w:t>
      </w:r>
    </w:p>
    <w:p w:rsidR="00891BC9" w:rsidRPr="003B71CF" w:rsidRDefault="00891BC9" w:rsidP="003B71CF">
      <w:pPr>
        <w:pStyle w:val="Alex"/>
        <w:rPr>
          <w:rFonts w:asciiTheme="minorHAnsi" w:hAnsiTheme="minorHAnsi"/>
          <w:lang w:eastAsia="en-GB"/>
        </w:rPr>
      </w:pPr>
      <w:r w:rsidRPr="003B71CF">
        <w:rPr>
          <w:rFonts w:asciiTheme="minorHAnsi" w:hAnsiTheme="minorHAnsi"/>
          <w:lang w:eastAsia="en-GB"/>
        </w:rPr>
        <w:t xml:space="preserve">In this week’s sessions we will contemplate the status of World War One in British culture. After examining memorial practices which were put in place in the immediate aftermath of the war, students will give thought to how attitudes have (or have not) shifted in the hundred years since. Taking a lead from media coverage of the war’s centenary, students will scrutinise common-held myths and tropes which surround the Great War and debate whether they think popular culture is a useful vehicle for helping to understand and interpret past conflicts. An episode of </w:t>
      </w:r>
      <w:r w:rsidRPr="003B71CF">
        <w:rPr>
          <w:rFonts w:asciiTheme="minorHAnsi" w:hAnsiTheme="minorHAnsi"/>
          <w:i/>
          <w:lang w:eastAsia="en-GB"/>
        </w:rPr>
        <w:t>Blackadder Goes Forth</w:t>
      </w:r>
      <w:r w:rsidRPr="003B71CF">
        <w:rPr>
          <w:rFonts w:asciiTheme="minorHAnsi" w:hAnsiTheme="minorHAnsi"/>
          <w:lang w:eastAsia="en-GB"/>
        </w:rPr>
        <w:t xml:space="preserve"> will act as a prompt to such discussions. </w:t>
      </w:r>
    </w:p>
    <w:p w:rsidR="00891BC9" w:rsidRPr="003B71CF" w:rsidRDefault="00891BC9" w:rsidP="003B71CF">
      <w:pPr>
        <w:pStyle w:val="Alex"/>
        <w:rPr>
          <w:rFonts w:asciiTheme="minorHAnsi" w:hAnsiTheme="minorHAnsi"/>
          <w:lang w:eastAsia="en-GB"/>
        </w:rPr>
      </w:pPr>
      <w:r w:rsidRPr="003B71CF">
        <w:rPr>
          <w:rFonts w:asciiTheme="minorHAnsi" w:hAnsiTheme="minorHAnsi"/>
          <w:lang w:eastAsia="en-GB"/>
        </w:rPr>
        <w:tab/>
        <w:t>On Monday, we will</w:t>
      </w:r>
      <w:r w:rsidR="00C63253" w:rsidRPr="003B71CF">
        <w:rPr>
          <w:rFonts w:asciiTheme="minorHAnsi" w:hAnsiTheme="minorHAnsi"/>
          <w:lang w:eastAsia="en-GB"/>
        </w:rPr>
        <w:t xml:space="preserve"> begin by outlining some of the general contours of First World War memory in Britain and continental Europe, paying special attention to various forms of public commemoration that developed in response to the conflict. From there, we will hone in on a distinctive form of commemoration that emerged from the World War One years: Britain’s Imperial War Museum.</w:t>
      </w:r>
    </w:p>
    <w:p w:rsidR="00C63253" w:rsidRPr="003B71CF" w:rsidRDefault="00891BC9" w:rsidP="003B71CF">
      <w:pPr>
        <w:pStyle w:val="Alex"/>
        <w:rPr>
          <w:rFonts w:asciiTheme="minorHAnsi" w:hAnsiTheme="minorHAnsi"/>
          <w:lang w:eastAsia="en-GB"/>
        </w:rPr>
      </w:pPr>
      <w:r w:rsidRPr="003B71CF">
        <w:rPr>
          <w:rFonts w:asciiTheme="minorHAnsi" w:hAnsiTheme="minorHAnsi"/>
          <w:lang w:eastAsia="en-GB"/>
        </w:rPr>
        <w:tab/>
      </w:r>
      <w:r w:rsidR="00C63253" w:rsidRPr="003B71CF">
        <w:rPr>
          <w:rFonts w:asciiTheme="minorHAnsi" w:hAnsiTheme="minorHAnsi"/>
          <w:lang w:eastAsia="en-GB"/>
        </w:rPr>
        <w:t xml:space="preserve">In </w:t>
      </w:r>
      <w:r w:rsidR="00112B15" w:rsidRPr="003B71CF">
        <w:rPr>
          <w:rFonts w:asciiTheme="minorHAnsi" w:hAnsiTheme="minorHAnsi"/>
          <w:lang w:eastAsia="en-GB"/>
        </w:rPr>
        <w:t>Friday</w:t>
      </w:r>
      <w:r w:rsidR="00C63253" w:rsidRPr="003B71CF">
        <w:rPr>
          <w:rFonts w:asciiTheme="minorHAnsi" w:hAnsiTheme="minorHAnsi"/>
          <w:lang w:eastAsia="en-GB"/>
        </w:rPr>
        <w:t xml:space="preserve">’s lecture, we will then scrutinising the status of World War One memory in contemporary Britain. The point of departure for our discussion will be articles about the war’s centenary which were penned by the UK’s then-Education Secretary Michael Gove, and his then-Shadow Minister </w:t>
      </w:r>
      <w:proofErr w:type="spellStart"/>
      <w:r w:rsidR="00C63253" w:rsidRPr="003B71CF">
        <w:rPr>
          <w:rFonts w:asciiTheme="minorHAnsi" w:hAnsiTheme="minorHAnsi"/>
          <w:lang w:eastAsia="en-GB"/>
        </w:rPr>
        <w:t>Tristram</w:t>
      </w:r>
      <w:proofErr w:type="spellEnd"/>
      <w:r w:rsidR="00C63253" w:rsidRPr="003B71CF">
        <w:rPr>
          <w:rFonts w:asciiTheme="minorHAnsi" w:hAnsiTheme="minorHAnsi"/>
          <w:lang w:eastAsia="en-GB"/>
        </w:rPr>
        <w:t xml:space="preserve"> Hunt. Because an important aspect of Gove’s </w:t>
      </w:r>
      <w:r w:rsidR="0040125C" w:rsidRPr="003B71CF">
        <w:rPr>
          <w:rFonts w:asciiTheme="minorHAnsi" w:hAnsiTheme="minorHAnsi"/>
          <w:lang w:eastAsia="en-GB"/>
        </w:rPr>
        <w:t xml:space="preserve">argument is his distaste for popular culture representations of the war, we will watch an episode of </w:t>
      </w:r>
      <w:r w:rsidR="0040125C" w:rsidRPr="003B71CF">
        <w:rPr>
          <w:rFonts w:asciiTheme="minorHAnsi" w:hAnsiTheme="minorHAnsi"/>
          <w:i/>
          <w:lang w:eastAsia="en-GB"/>
        </w:rPr>
        <w:t>Blackadder Goes Forth</w:t>
      </w:r>
      <w:r w:rsidR="0040125C" w:rsidRPr="003B71CF">
        <w:rPr>
          <w:rFonts w:asciiTheme="minorHAnsi" w:hAnsiTheme="minorHAnsi"/>
          <w:lang w:eastAsia="en-GB"/>
        </w:rPr>
        <w:t>, and think about it in relation to the different issues raised by the centenary of the war. This leads into an exercise designed to aid students’ prepar</w:t>
      </w:r>
      <w:r w:rsidR="005760F6" w:rsidRPr="003B71CF">
        <w:rPr>
          <w:rFonts w:asciiTheme="minorHAnsi" w:hAnsiTheme="minorHAnsi"/>
          <w:lang w:eastAsia="en-GB"/>
        </w:rPr>
        <w:t xml:space="preserve">ation for the upcoming AHHI5017 </w:t>
      </w:r>
      <w:r w:rsidR="0040125C" w:rsidRPr="003B71CF">
        <w:rPr>
          <w:rFonts w:asciiTheme="minorHAnsi" w:hAnsiTheme="minorHAnsi"/>
          <w:lang w:eastAsia="en-GB"/>
        </w:rPr>
        <w:t>coursework essay.</w:t>
      </w:r>
      <w:r w:rsidR="00C63253" w:rsidRPr="003B71CF">
        <w:rPr>
          <w:rFonts w:asciiTheme="minorHAnsi" w:hAnsiTheme="minorHAnsi"/>
          <w:lang w:eastAsia="en-GB"/>
        </w:rPr>
        <w:t xml:space="preserve">  </w:t>
      </w:r>
    </w:p>
    <w:p w:rsidR="00891BC9" w:rsidRPr="003B71CF" w:rsidRDefault="00891BC9" w:rsidP="003B71CF">
      <w:pPr>
        <w:pStyle w:val="Alex"/>
        <w:rPr>
          <w:rFonts w:asciiTheme="minorHAnsi" w:hAnsiTheme="minorHAnsi"/>
          <w:i/>
          <w:u w:val="single"/>
          <w:lang w:eastAsia="en-GB"/>
        </w:rPr>
      </w:pPr>
      <w:bookmarkStart w:id="0" w:name="_GoBack"/>
      <w:r w:rsidRPr="003B71CF">
        <w:rPr>
          <w:rFonts w:asciiTheme="minorHAnsi" w:hAnsiTheme="minorHAnsi"/>
          <w:i/>
          <w:u w:val="single"/>
          <w:lang w:eastAsia="en-GB"/>
        </w:rPr>
        <w:lastRenderedPageBreak/>
        <w:t>Required reading and other preparation:</w:t>
      </w:r>
    </w:p>
    <w:p w:rsidR="0040125C" w:rsidRPr="003B71CF" w:rsidRDefault="0040125C" w:rsidP="003B71CF">
      <w:pPr>
        <w:pStyle w:val="Alex"/>
        <w:numPr>
          <w:ilvl w:val="0"/>
          <w:numId w:val="9"/>
        </w:numPr>
        <w:rPr>
          <w:rFonts w:asciiTheme="minorHAnsi" w:hAnsiTheme="minorHAnsi"/>
        </w:rPr>
      </w:pPr>
      <w:r w:rsidRPr="003B71CF">
        <w:rPr>
          <w:rFonts w:asciiTheme="minorHAnsi" w:hAnsiTheme="minorHAnsi"/>
        </w:rPr>
        <w:t xml:space="preserve">Michael Gove, ‘Why does the Left insist on belittling true British heroes?’ </w:t>
      </w:r>
      <w:r w:rsidRPr="003B71CF">
        <w:rPr>
          <w:rFonts w:asciiTheme="minorHAnsi" w:hAnsiTheme="minorHAnsi"/>
          <w:i/>
          <w:iCs/>
        </w:rPr>
        <w:t>The Daily Mail</w:t>
      </w:r>
      <w:r w:rsidRPr="003B71CF">
        <w:rPr>
          <w:rFonts w:asciiTheme="minorHAnsi" w:hAnsiTheme="minorHAnsi"/>
        </w:rPr>
        <w:t>, January 2 2014 (</w:t>
      </w:r>
      <w:hyperlink r:id="rId6" w:anchor="ixzz3m69ehnXh" w:history="1">
        <w:r w:rsidRPr="003B71CF">
          <w:rPr>
            <w:rStyle w:val="Hyperlink"/>
            <w:rFonts w:asciiTheme="minorHAnsi" w:hAnsiTheme="minorHAnsi"/>
          </w:rPr>
          <w:t>http://www.dailymail.co.uk/debate/article-2532930/MICHAEL-GOVE-Why-does-Left-insist-belittling-true-British-heroes.html#ixzz3m69ehnXh</w:t>
        </w:r>
      </w:hyperlink>
      <w:r w:rsidR="00492BD6" w:rsidRPr="003B71CF">
        <w:rPr>
          <w:rFonts w:asciiTheme="minorHAnsi" w:hAnsiTheme="minorHAnsi"/>
          <w:lang w:eastAsia="en-GB"/>
        </w:rPr>
        <w:t>; accessed October 21 2015)</w:t>
      </w:r>
    </w:p>
    <w:p w:rsidR="0040125C" w:rsidRPr="003B71CF" w:rsidRDefault="0040125C" w:rsidP="003B71CF">
      <w:pPr>
        <w:pStyle w:val="Alex"/>
        <w:numPr>
          <w:ilvl w:val="0"/>
          <w:numId w:val="9"/>
        </w:numPr>
        <w:rPr>
          <w:rFonts w:asciiTheme="minorHAnsi" w:hAnsiTheme="minorHAnsi"/>
        </w:rPr>
      </w:pPr>
      <w:proofErr w:type="spellStart"/>
      <w:r w:rsidRPr="003B71CF">
        <w:rPr>
          <w:rFonts w:asciiTheme="minorHAnsi" w:hAnsiTheme="minorHAnsi"/>
          <w:lang w:eastAsia="en-GB"/>
        </w:rPr>
        <w:t>Tristram</w:t>
      </w:r>
      <w:proofErr w:type="spellEnd"/>
      <w:r w:rsidRPr="003B71CF">
        <w:rPr>
          <w:rFonts w:asciiTheme="minorHAnsi" w:hAnsiTheme="minorHAnsi"/>
          <w:lang w:eastAsia="en-GB"/>
        </w:rPr>
        <w:t xml:space="preserve"> Hunt, ‘Michael Gove, using history for politicking is tawdry,’ </w:t>
      </w:r>
      <w:r w:rsidRPr="003B71CF">
        <w:rPr>
          <w:rFonts w:asciiTheme="minorHAnsi" w:hAnsiTheme="minorHAnsi"/>
          <w:i/>
          <w:lang w:eastAsia="en-GB"/>
        </w:rPr>
        <w:t xml:space="preserve">The Guardian </w:t>
      </w:r>
      <w:r w:rsidRPr="003B71CF">
        <w:rPr>
          <w:rFonts w:asciiTheme="minorHAnsi" w:hAnsiTheme="minorHAnsi"/>
          <w:lang w:eastAsia="en-GB"/>
        </w:rPr>
        <w:t>online, January 4 2015  (</w:t>
      </w:r>
      <w:hyperlink r:id="rId7" w:history="1">
        <w:r w:rsidRPr="003B71CF">
          <w:rPr>
            <w:rStyle w:val="Hyperlink"/>
            <w:rFonts w:asciiTheme="minorHAnsi" w:eastAsia="Times New Roman" w:hAnsiTheme="minorHAnsi" w:cs="Times New Roman"/>
            <w:bCs/>
            <w:kern w:val="36"/>
            <w:lang w:eastAsia="en-GB"/>
          </w:rPr>
          <w:t>http://www.theguardian.com/commentisfree/2014/jan/04/first-world-war-michael-gove-left-bashing-history</w:t>
        </w:r>
      </w:hyperlink>
      <w:r w:rsidRPr="003B71CF">
        <w:rPr>
          <w:rFonts w:asciiTheme="minorHAnsi" w:hAnsiTheme="minorHAnsi"/>
          <w:lang w:eastAsia="en-GB"/>
        </w:rPr>
        <w:t>; accessed October 21 2015)</w:t>
      </w:r>
    </w:p>
    <w:p w:rsidR="0040125C" w:rsidRPr="003B71CF" w:rsidRDefault="0040125C" w:rsidP="003B71CF">
      <w:pPr>
        <w:pStyle w:val="Alex"/>
        <w:numPr>
          <w:ilvl w:val="0"/>
          <w:numId w:val="9"/>
        </w:numPr>
        <w:rPr>
          <w:rFonts w:asciiTheme="minorHAnsi" w:hAnsiTheme="minorHAnsi"/>
        </w:rPr>
      </w:pPr>
      <w:r w:rsidRPr="003B71CF">
        <w:rPr>
          <w:rFonts w:asciiTheme="minorHAnsi" w:hAnsiTheme="minorHAnsi"/>
        </w:rPr>
        <w:t xml:space="preserve">Catriona Pennell, ‘Popular History and Myth-Making: The Role and Responsibility of First World War Historians in the Centenary Commemorations,’ </w:t>
      </w:r>
      <w:r w:rsidRPr="003B71CF">
        <w:rPr>
          <w:rFonts w:asciiTheme="minorHAnsi" w:hAnsiTheme="minorHAnsi"/>
          <w:i/>
        </w:rPr>
        <w:t>Historically Speaking</w:t>
      </w:r>
      <w:r w:rsidRPr="003B71CF">
        <w:rPr>
          <w:rFonts w:asciiTheme="minorHAnsi" w:hAnsiTheme="minorHAnsi"/>
        </w:rPr>
        <w:t xml:space="preserve"> (Vol. 13, No. 5, November 2012) pp. 11–14</w:t>
      </w:r>
    </w:p>
    <w:p w:rsidR="00112B15" w:rsidRPr="003B71CF" w:rsidRDefault="00112B15" w:rsidP="003B71CF">
      <w:pPr>
        <w:pStyle w:val="Alex"/>
        <w:rPr>
          <w:rFonts w:asciiTheme="minorHAnsi" w:hAnsiTheme="minorHAnsi"/>
        </w:rPr>
      </w:pPr>
    </w:p>
    <w:p w:rsidR="001F79DB" w:rsidRPr="003B71CF" w:rsidRDefault="001F79DB" w:rsidP="003B71CF">
      <w:pPr>
        <w:pStyle w:val="Alex"/>
        <w:rPr>
          <w:rFonts w:asciiTheme="minorHAnsi" w:hAnsiTheme="minorHAnsi"/>
          <w:i/>
          <w:u w:val="single"/>
        </w:rPr>
      </w:pPr>
      <w:r w:rsidRPr="003B71CF">
        <w:rPr>
          <w:rFonts w:asciiTheme="minorHAnsi" w:hAnsiTheme="minorHAnsi"/>
          <w:i/>
          <w:u w:val="single"/>
        </w:rPr>
        <w:t>Background reading:</w:t>
      </w:r>
    </w:p>
    <w:p w:rsidR="003B71CF" w:rsidRPr="003B71CF" w:rsidRDefault="003B71CF" w:rsidP="003B71CF">
      <w:pPr>
        <w:pStyle w:val="Alex"/>
        <w:numPr>
          <w:ilvl w:val="0"/>
          <w:numId w:val="8"/>
        </w:numPr>
        <w:rPr>
          <w:rFonts w:asciiTheme="minorHAnsi" w:eastAsia="Times New Roman" w:hAnsiTheme="minorHAnsi" w:cs="Arial"/>
          <w:color w:val="000000"/>
          <w:lang w:val="en" w:eastAsia="en-GB"/>
        </w:rPr>
      </w:pPr>
      <w:r w:rsidRPr="003B71CF">
        <w:rPr>
          <w:rFonts w:asciiTheme="minorHAnsi" w:eastAsia="Times New Roman" w:hAnsiTheme="minorHAnsi" w:cs="Arial"/>
          <w:color w:val="000000"/>
          <w:lang w:val="en" w:eastAsia="en-GB"/>
        </w:rPr>
        <w:t xml:space="preserve">Marita </w:t>
      </w:r>
      <w:proofErr w:type="spellStart"/>
      <w:r w:rsidRPr="003B71CF">
        <w:rPr>
          <w:rFonts w:asciiTheme="minorHAnsi" w:eastAsia="Times New Roman" w:hAnsiTheme="minorHAnsi" w:cs="Arial"/>
          <w:color w:val="000000"/>
          <w:lang w:val="en" w:eastAsia="en-GB"/>
        </w:rPr>
        <w:t>Sturken</w:t>
      </w:r>
      <w:proofErr w:type="spellEnd"/>
      <w:r w:rsidRPr="003B71CF">
        <w:rPr>
          <w:rFonts w:asciiTheme="minorHAnsi" w:eastAsia="Times New Roman" w:hAnsiTheme="minorHAnsi" w:cs="Arial"/>
          <w:color w:val="000000"/>
          <w:lang w:val="en" w:eastAsia="en-GB"/>
        </w:rPr>
        <w:t xml:space="preserve">, introduction, </w:t>
      </w:r>
      <w:r w:rsidRPr="003B71CF">
        <w:rPr>
          <w:rFonts w:asciiTheme="minorHAnsi" w:eastAsia="Times New Roman" w:hAnsiTheme="minorHAnsi" w:cs="Arial"/>
          <w:i/>
          <w:iCs/>
          <w:color w:val="000000"/>
          <w:lang w:val="en" w:eastAsia="en-GB"/>
        </w:rPr>
        <w:t xml:space="preserve">Tangled Memories: The Vietnam War, the AIDS Epidemic, and the Politics of Remembering </w:t>
      </w:r>
      <w:r w:rsidRPr="003B71CF">
        <w:rPr>
          <w:rFonts w:asciiTheme="minorHAnsi" w:eastAsia="Times New Roman" w:hAnsiTheme="minorHAnsi" w:cs="Arial"/>
          <w:color w:val="000000"/>
          <w:lang w:val="en" w:eastAsia="en-GB"/>
        </w:rPr>
        <w:t xml:space="preserve">(University of California: Berkeley, 1997), pp. 1–17. </w:t>
      </w:r>
      <w:r w:rsidRPr="003B71CF">
        <w:rPr>
          <w:rFonts w:asciiTheme="minorHAnsi" w:eastAsia="Times New Roman" w:hAnsiTheme="minorHAnsi" w:cs="Arial"/>
          <w:b/>
          <w:color w:val="000000"/>
          <w:lang w:val="en" w:eastAsia="en-GB"/>
        </w:rPr>
        <w:t>On memory studies – referenced extensively in Monday lecture.</w:t>
      </w:r>
    </w:p>
    <w:p w:rsidR="001F79DB" w:rsidRPr="003B71CF" w:rsidRDefault="001F79DB" w:rsidP="003B71CF">
      <w:pPr>
        <w:pStyle w:val="Alex"/>
        <w:numPr>
          <w:ilvl w:val="0"/>
          <w:numId w:val="8"/>
        </w:numPr>
        <w:rPr>
          <w:rFonts w:asciiTheme="minorHAnsi" w:hAnsiTheme="minorHAnsi"/>
          <w:i/>
          <w:lang w:eastAsia="en-GB"/>
        </w:rPr>
      </w:pPr>
      <w:r w:rsidRPr="003B71CF">
        <w:rPr>
          <w:rFonts w:asciiTheme="minorHAnsi" w:hAnsiTheme="minorHAnsi"/>
          <w:lang w:eastAsia="en-GB"/>
        </w:rPr>
        <w:t xml:space="preserve">Jay Winter, ‘Introduction,’ ‘War Memorials and the Mourning Process’ in </w:t>
      </w:r>
      <w:r w:rsidRPr="003B71CF">
        <w:rPr>
          <w:rFonts w:asciiTheme="minorHAnsi" w:hAnsiTheme="minorHAnsi"/>
          <w:i/>
          <w:lang w:eastAsia="en-GB"/>
        </w:rPr>
        <w:t>Sites of Memory, Sites of Mourning: The Great War in European Cultural History</w:t>
      </w:r>
      <w:r w:rsidRPr="003B71CF">
        <w:rPr>
          <w:rFonts w:asciiTheme="minorHAnsi" w:hAnsiTheme="minorHAnsi"/>
          <w:lang w:eastAsia="en-GB"/>
        </w:rPr>
        <w:t xml:space="preserve">, pp. 1–11, 78–116. </w:t>
      </w:r>
      <w:r w:rsidRPr="003B71CF">
        <w:rPr>
          <w:rStyle w:val="Strong"/>
          <w:rFonts w:asciiTheme="minorHAnsi" w:hAnsiTheme="minorHAnsi"/>
          <w:i/>
          <w:u w:val="single"/>
        </w:rPr>
        <w:t>Note:</w:t>
      </w:r>
      <w:r w:rsidRPr="003B71CF">
        <w:rPr>
          <w:rStyle w:val="Strong"/>
          <w:rFonts w:asciiTheme="minorHAnsi" w:hAnsiTheme="minorHAnsi"/>
          <w:i/>
        </w:rPr>
        <w:t xml:space="preserve"> </w:t>
      </w:r>
      <w:r w:rsidRPr="003B71CF">
        <w:rPr>
          <w:rFonts w:asciiTheme="minorHAnsi" w:hAnsiTheme="minorHAnsi"/>
          <w:i/>
        </w:rPr>
        <w:t>the PDF file contains another chapter (‘Homecomings,’ pp. 15–28), which – while tangentially relevant – will not be discussed in the seminar.</w:t>
      </w:r>
    </w:p>
    <w:bookmarkEnd w:id="0"/>
    <w:p w:rsidR="003A41E4" w:rsidRPr="003B71CF" w:rsidRDefault="003A41E4" w:rsidP="003B71CF">
      <w:pPr>
        <w:pStyle w:val="Alex"/>
        <w:rPr>
          <w:rFonts w:asciiTheme="minorHAnsi" w:hAnsiTheme="minorHAnsi"/>
          <w:i/>
          <w:lang w:eastAsia="en-GB"/>
        </w:rPr>
      </w:pPr>
    </w:p>
    <w:p w:rsidR="00891BC9" w:rsidRPr="003B71CF" w:rsidRDefault="00891BC9" w:rsidP="003B71CF">
      <w:pPr>
        <w:pStyle w:val="Alex"/>
        <w:rPr>
          <w:rFonts w:asciiTheme="minorHAnsi" w:hAnsiTheme="minorHAnsi"/>
          <w:i/>
          <w:u w:val="single"/>
        </w:rPr>
      </w:pPr>
      <w:r w:rsidRPr="003B71CF">
        <w:rPr>
          <w:rFonts w:asciiTheme="minorHAnsi" w:hAnsiTheme="minorHAnsi"/>
          <w:i/>
          <w:u w:val="single"/>
        </w:rPr>
        <w:t>Preparing for the lectures:</w:t>
      </w:r>
    </w:p>
    <w:p w:rsidR="003B71CF" w:rsidRPr="003B71CF" w:rsidRDefault="001D0592" w:rsidP="003B71CF">
      <w:pPr>
        <w:pStyle w:val="Alex"/>
        <w:rPr>
          <w:rFonts w:asciiTheme="minorHAnsi" w:hAnsiTheme="minorHAnsi"/>
        </w:rPr>
      </w:pPr>
      <w:r w:rsidRPr="003B71CF">
        <w:rPr>
          <w:rFonts w:asciiTheme="minorHAnsi" w:hAnsiTheme="minorHAnsi"/>
        </w:rPr>
        <w:t xml:space="preserve">The assigned </w:t>
      </w:r>
      <w:r w:rsidR="003B71CF" w:rsidRPr="003B71CF">
        <w:rPr>
          <w:rFonts w:asciiTheme="minorHAnsi" w:hAnsiTheme="minorHAnsi"/>
        </w:rPr>
        <w:t>readings (</w:t>
      </w:r>
      <w:r w:rsidR="003B71CF">
        <w:rPr>
          <w:rFonts w:asciiTheme="minorHAnsi" w:hAnsiTheme="minorHAnsi"/>
        </w:rPr>
        <w:t>t</w:t>
      </w:r>
      <w:r w:rsidR="003B71CF" w:rsidRPr="003B71CF">
        <w:rPr>
          <w:rFonts w:asciiTheme="minorHAnsi" w:hAnsiTheme="minorHAnsi"/>
        </w:rPr>
        <w:t>he Gove and Hunt articles, an</w:t>
      </w:r>
      <w:r w:rsidR="003B71CF" w:rsidRPr="003B71CF">
        <w:rPr>
          <w:rFonts w:asciiTheme="minorHAnsi" w:hAnsiTheme="minorHAnsi"/>
        </w:rPr>
        <w:t xml:space="preserve">d the piece by Catriona Powell) concentrate on issues of </w:t>
      </w:r>
      <w:r w:rsidR="0040125C" w:rsidRPr="003B71CF">
        <w:rPr>
          <w:rFonts w:asciiTheme="minorHAnsi" w:hAnsiTheme="minorHAnsi"/>
        </w:rPr>
        <w:t>contemporary resonanc</w:t>
      </w:r>
      <w:r w:rsidR="003B71CF">
        <w:rPr>
          <w:rFonts w:asciiTheme="minorHAnsi" w:hAnsiTheme="minorHAnsi"/>
        </w:rPr>
        <w:t xml:space="preserve">e and </w:t>
      </w:r>
      <w:r w:rsidRPr="003B71CF">
        <w:rPr>
          <w:rFonts w:asciiTheme="minorHAnsi" w:hAnsiTheme="minorHAnsi"/>
        </w:rPr>
        <w:t xml:space="preserve">are all short: read the Michael Gove piece, and then its riposte by </w:t>
      </w:r>
      <w:proofErr w:type="spellStart"/>
      <w:r w:rsidRPr="003B71CF">
        <w:rPr>
          <w:rFonts w:asciiTheme="minorHAnsi" w:hAnsiTheme="minorHAnsi"/>
        </w:rPr>
        <w:t>Tristram</w:t>
      </w:r>
      <w:proofErr w:type="spellEnd"/>
      <w:r w:rsidRPr="003B71CF">
        <w:rPr>
          <w:rFonts w:asciiTheme="minorHAnsi" w:hAnsiTheme="minorHAnsi"/>
        </w:rPr>
        <w:t xml:space="preserve"> Hunt. Pennell’s article picks up on similar themes, relating the WWI centenary both to ‘popular history’ and the historiography of the conflict.</w:t>
      </w:r>
    </w:p>
    <w:p w:rsidR="003B71CF" w:rsidRPr="003B71CF" w:rsidRDefault="003B71CF" w:rsidP="003B71CF">
      <w:pPr>
        <w:pStyle w:val="Alex"/>
        <w:ind w:firstLine="720"/>
        <w:rPr>
          <w:rFonts w:asciiTheme="minorHAnsi" w:hAnsiTheme="minorHAnsi"/>
        </w:rPr>
      </w:pPr>
      <w:r w:rsidRPr="003B71CF">
        <w:rPr>
          <w:rFonts w:asciiTheme="minorHAnsi" w:hAnsiTheme="minorHAnsi"/>
        </w:rPr>
        <w:t xml:space="preserve">Two general background readings are also available via Moodle. The one by Marita </w:t>
      </w:r>
      <w:proofErr w:type="spellStart"/>
      <w:r w:rsidRPr="003B71CF">
        <w:rPr>
          <w:rFonts w:asciiTheme="minorHAnsi" w:hAnsiTheme="minorHAnsi"/>
        </w:rPr>
        <w:t>Sturken</w:t>
      </w:r>
      <w:proofErr w:type="spellEnd"/>
      <w:r w:rsidRPr="003B71CF">
        <w:rPr>
          <w:rFonts w:asciiTheme="minorHAnsi" w:hAnsiTheme="minorHAnsi"/>
        </w:rPr>
        <w:t xml:space="preserve"> discusses the concept of cultural memory, and will be referenced extensively in the Monday lecture. The chapters by Jay Winter are of relevance to this week and next week.</w:t>
      </w:r>
    </w:p>
    <w:p w:rsidR="00492BD6" w:rsidRPr="003B71CF" w:rsidRDefault="001D0592" w:rsidP="003B71CF">
      <w:pPr>
        <w:pStyle w:val="Alex"/>
        <w:ind w:firstLine="720"/>
        <w:rPr>
          <w:rFonts w:asciiTheme="minorHAnsi" w:hAnsiTheme="minorHAnsi"/>
        </w:rPr>
      </w:pPr>
      <w:r w:rsidRPr="003B71CF">
        <w:rPr>
          <w:rFonts w:asciiTheme="minorHAnsi" w:hAnsiTheme="minorHAnsi"/>
        </w:rPr>
        <w:t xml:space="preserve"> </w:t>
      </w:r>
      <w:r w:rsidR="000466E2" w:rsidRPr="003B71CF">
        <w:rPr>
          <w:rFonts w:asciiTheme="minorHAnsi" w:hAnsiTheme="minorHAnsi"/>
        </w:rPr>
        <w:t xml:space="preserve">A small selection of additional </w:t>
      </w:r>
      <w:r w:rsidR="003B71CF" w:rsidRPr="003B71CF">
        <w:rPr>
          <w:rFonts w:asciiTheme="minorHAnsi" w:hAnsiTheme="minorHAnsi"/>
        </w:rPr>
        <w:t xml:space="preserve">further </w:t>
      </w:r>
      <w:r w:rsidR="000466E2" w:rsidRPr="003B71CF">
        <w:rPr>
          <w:rFonts w:asciiTheme="minorHAnsi" w:hAnsiTheme="minorHAnsi"/>
        </w:rPr>
        <w:t>reading</w:t>
      </w:r>
      <w:r w:rsidR="003B71CF" w:rsidRPr="003B71CF">
        <w:rPr>
          <w:rFonts w:asciiTheme="minorHAnsi" w:hAnsiTheme="minorHAnsi"/>
        </w:rPr>
        <w:t xml:space="preserve"> </w:t>
      </w:r>
      <w:r w:rsidR="000466E2" w:rsidRPr="003B71CF">
        <w:rPr>
          <w:rFonts w:asciiTheme="minorHAnsi" w:hAnsiTheme="minorHAnsi"/>
        </w:rPr>
        <w:t xml:space="preserve">by historians on the World War One centenary </w:t>
      </w:r>
      <w:r w:rsidR="003B71CF" w:rsidRPr="003B71CF">
        <w:rPr>
          <w:rFonts w:asciiTheme="minorHAnsi" w:hAnsiTheme="minorHAnsi"/>
        </w:rPr>
        <w:t xml:space="preserve">on the Imperial War Museum is </w:t>
      </w:r>
      <w:r w:rsidR="000466E2" w:rsidRPr="003B71CF">
        <w:rPr>
          <w:rFonts w:asciiTheme="minorHAnsi" w:hAnsiTheme="minorHAnsi"/>
        </w:rPr>
        <w:t>also listed below.</w:t>
      </w:r>
    </w:p>
    <w:p w:rsidR="003B71CF" w:rsidRDefault="003B71CF">
      <w:pPr>
        <w:rPr>
          <w:i/>
          <w:u w:val="single"/>
        </w:rPr>
      </w:pPr>
      <w:r>
        <w:rPr>
          <w:i/>
          <w:u w:val="single"/>
        </w:rPr>
        <w:br w:type="page"/>
      </w:r>
    </w:p>
    <w:p w:rsidR="00891BC9" w:rsidRPr="003B71CF" w:rsidRDefault="00891BC9" w:rsidP="003B71CF">
      <w:pPr>
        <w:pStyle w:val="Alex"/>
        <w:rPr>
          <w:rFonts w:asciiTheme="minorHAnsi" w:hAnsiTheme="minorHAnsi"/>
          <w:i/>
          <w:u w:val="single"/>
        </w:rPr>
      </w:pPr>
      <w:r w:rsidRPr="003B71CF">
        <w:rPr>
          <w:rFonts w:asciiTheme="minorHAnsi" w:hAnsiTheme="minorHAnsi"/>
          <w:i/>
          <w:u w:val="single"/>
        </w:rPr>
        <w:lastRenderedPageBreak/>
        <w:t>Questions to consider:</w:t>
      </w:r>
    </w:p>
    <w:p w:rsidR="001D0592" w:rsidRPr="003B71CF" w:rsidRDefault="001D0592" w:rsidP="003B71CF">
      <w:pPr>
        <w:pStyle w:val="Alex"/>
        <w:rPr>
          <w:rFonts w:asciiTheme="minorHAnsi" w:hAnsiTheme="minorHAnsi"/>
          <w:b/>
          <w:u w:val="single"/>
        </w:rPr>
      </w:pPr>
      <w:r w:rsidRPr="003B71CF">
        <w:rPr>
          <w:rFonts w:asciiTheme="minorHAnsi" w:hAnsiTheme="minorHAnsi"/>
          <w:b/>
          <w:u w:val="single"/>
        </w:rPr>
        <w:t>General</w:t>
      </w:r>
    </w:p>
    <w:p w:rsidR="005B201D" w:rsidRPr="003B71CF" w:rsidRDefault="005B201D" w:rsidP="003B71CF">
      <w:pPr>
        <w:pStyle w:val="Alex"/>
        <w:numPr>
          <w:ilvl w:val="0"/>
          <w:numId w:val="10"/>
        </w:numPr>
        <w:rPr>
          <w:rFonts w:asciiTheme="minorHAnsi" w:hAnsiTheme="minorHAnsi"/>
          <w:b/>
          <w:u w:val="single"/>
        </w:rPr>
      </w:pPr>
      <w:r w:rsidRPr="003B71CF">
        <w:rPr>
          <w:rFonts w:asciiTheme="minorHAnsi" w:hAnsiTheme="minorHAnsi"/>
          <w:b/>
        </w:rPr>
        <w:t>What types of World War One memorials and commemorations are you familiar with?</w:t>
      </w:r>
    </w:p>
    <w:p w:rsidR="005B201D" w:rsidRPr="003B71CF" w:rsidRDefault="005B201D" w:rsidP="003B71CF">
      <w:pPr>
        <w:pStyle w:val="Alex"/>
        <w:numPr>
          <w:ilvl w:val="0"/>
          <w:numId w:val="11"/>
        </w:numPr>
        <w:rPr>
          <w:rFonts w:asciiTheme="minorHAnsi" w:hAnsiTheme="minorHAnsi"/>
          <w:u w:val="single"/>
        </w:rPr>
      </w:pPr>
      <w:r w:rsidRPr="003B71CF">
        <w:rPr>
          <w:rFonts w:asciiTheme="minorHAnsi" w:hAnsiTheme="minorHAnsi"/>
        </w:rPr>
        <w:t>What (if any) institutions and practices for commemorating the war have you been exposed to, and what are their notable characteristics?</w:t>
      </w:r>
    </w:p>
    <w:p w:rsidR="005B201D" w:rsidRPr="003B71CF" w:rsidRDefault="005B201D" w:rsidP="003B71CF">
      <w:pPr>
        <w:pStyle w:val="Alex"/>
        <w:numPr>
          <w:ilvl w:val="0"/>
          <w:numId w:val="11"/>
        </w:numPr>
        <w:rPr>
          <w:rFonts w:asciiTheme="minorHAnsi" w:hAnsiTheme="minorHAnsi"/>
          <w:u w:val="single"/>
        </w:rPr>
      </w:pPr>
      <w:r w:rsidRPr="003B71CF">
        <w:rPr>
          <w:rFonts w:asciiTheme="minorHAnsi" w:hAnsiTheme="minorHAnsi"/>
        </w:rPr>
        <w:t>Have you ever visited a museum display on the war, and if so what were its notable characteristics?</w:t>
      </w:r>
    </w:p>
    <w:p w:rsidR="005B201D" w:rsidRPr="003B71CF" w:rsidRDefault="005B201D" w:rsidP="003B71CF">
      <w:pPr>
        <w:pStyle w:val="Alex"/>
        <w:rPr>
          <w:rFonts w:asciiTheme="minorHAnsi" w:hAnsiTheme="minorHAnsi"/>
          <w:b/>
          <w:u w:val="single"/>
        </w:rPr>
      </w:pPr>
    </w:p>
    <w:p w:rsidR="005B201D" w:rsidRPr="003B71CF" w:rsidRDefault="005B201D" w:rsidP="003B71CF">
      <w:pPr>
        <w:pStyle w:val="Alex"/>
        <w:numPr>
          <w:ilvl w:val="0"/>
          <w:numId w:val="10"/>
        </w:numPr>
        <w:rPr>
          <w:rFonts w:asciiTheme="minorHAnsi" w:hAnsiTheme="minorHAnsi"/>
          <w:u w:val="single"/>
        </w:rPr>
      </w:pPr>
      <w:r w:rsidRPr="003B71CF">
        <w:rPr>
          <w:rFonts w:asciiTheme="minorHAnsi" w:hAnsiTheme="minorHAnsi"/>
          <w:b/>
        </w:rPr>
        <w:t>What (if any) cultural representations of the First World War are you familiar with, and what are their notable features and characteristics?</w:t>
      </w:r>
    </w:p>
    <w:p w:rsidR="005B201D" w:rsidRPr="003B71CF" w:rsidRDefault="005B201D" w:rsidP="003B71CF">
      <w:pPr>
        <w:pStyle w:val="Alex"/>
        <w:numPr>
          <w:ilvl w:val="0"/>
          <w:numId w:val="11"/>
        </w:numPr>
        <w:rPr>
          <w:rFonts w:asciiTheme="minorHAnsi" w:hAnsiTheme="minorHAnsi"/>
          <w:u w:val="single"/>
        </w:rPr>
      </w:pPr>
      <w:r w:rsidRPr="003B71CF">
        <w:rPr>
          <w:rFonts w:asciiTheme="minorHAnsi" w:hAnsiTheme="minorHAnsi"/>
        </w:rPr>
        <w:t>Are there any familiar images, tropes and stereotypes associated which recur in representations of the war?</w:t>
      </w:r>
    </w:p>
    <w:p w:rsidR="005B201D" w:rsidRPr="003B71CF" w:rsidRDefault="005B201D" w:rsidP="003B71CF">
      <w:pPr>
        <w:pStyle w:val="Alex"/>
        <w:numPr>
          <w:ilvl w:val="0"/>
          <w:numId w:val="11"/>
        </w:numPr>
        <w:rPr>
          <w:rFonts w:asciiTheme="minorHAnsi" w:hAnsiTheme="minorHAnsi"/>
          <w:u w:val="single"/>
        </w:rPr>
      </w:pPr>
      <w:r w:rsidRPr="003B71CF">
        <w:rPr>
          <w:rFonts w:asciiTheme="minorHAnsi" w:hAnsiTheme="minorHAnsi"/>
        </w:rPr>
        <w:t>How ‘accurate’ do you think cultural representations of the war are?</w:t>
      </w:r>
    </w:p>
    <w:p w:rsidR="005B201D" w:rsidRPr="003B71CF" w:rsidRDefault="005B201D" w:rsidP="003B71CF">
      <w:pPr>
        <w:pStyle w:val="Alex"/>
        <w:numPr>
          <w:ilvl w:val="0"/>
          <w:numId w:val="11"/>
        </w:numPr>
        <w:rPr>
          <w:rFonts w:asciiTheme="minorHAnsi" w:hAnsiTheme="minorHAnsi"/>
          <w:u w:val="single"/>
        </w:rPr>
      </w:pPr>
      <w:r w:rsidRPr="003B71CF">
        <w:rPr>
          <w:rFonts w:asciiTheme="minorHAnsi" w:hAnsiTheme="minorHAnsi"/>
        </w:rPr>
        <w:t>Is ‘accuracy’ an important virtue when representing war?</w:t>
      </w:r>
    </w:p>
    <w:p w:rsidR="000466E2" w:rsidRPr="003B71CF" w:rsidRDefault="000466E2" w:rsidP="003B71CF">
      <w:pPr>
        <w:pStyle w:val="Alex"/>
        <w:rPr>
          <w:rFonts w:asciiTheme="minorHAnsi" w:hAnsiTheme="minorHAnsi"/>
        </w:rPr>
      </w:pPr>
    </w:p>
    <w:p w:rsidR="000466E2" w:rsidRPr="003B71CF" w:rsidRDefault="000466E2" w:rsidP="003B71CF">
      <w:pPr>
        <w:pStyle w:val="Alex"/>
        <w:numPr>
          <w:ilvl w:val="0"/>
          <w:numId w:val="10"/>
        </w:numPr>
        <w:rPr>
          <w:rFonts w:asciiTheme="minorHAnsi" w:hAnsiTheme="minorHAnsi"/>
          <w:u w:val="single"/>
        </w:rPr>
      </w:pPr>
      <w:r w:rsidRPr="003B71CF">
        <w:rPr>
          <w:rFonts w:asciiTheme="minorHAnsi" w:hAnsiTheme="minorHAnsi"/>
          <w:b/>
        </w:rPr>
        <w:t>Has World War One been a feature of your education prior to attending university, and if so in what ways?</w:t>
      </w:r>
    </w:p>
    <w:p w:rsidR="000466E2" w:rsidRPr="003B71CF" w:rsidRDefault="000466E2" w:rsidP="003B71CF">
      <w:pPr>
        <w:pStyle w:val="Alex"/>
        <w:numPr>
          <w:ilvl w:val="0"/>
          <w:numId w:val="11"/>
        </w:numPr>
        <w:rPr>
          <w:rFonts w:asciiTheme="minorHAnsi" w:hAnsiTheme="minorHAnsi"/>
          <w:u w:val="single"/>
        </w:rPr>
      </w:pPr>
      <w:r w:rsidRPr="003B71CF">
        <w:rPr>
          <w:rFonts w:asciiTheme="minorHAnsi" w:hAnsiTheme="minorHAnsi"/>
        </w:rPr>
        <w:t>Have you learned about the history of the war, and if so in what ways?</w:t>
      </w:r>
    </w:p>
    <w:p w:rsidR="000466E2" w:rsidRPr="003B71CF" w:rsidRDefault="000466E2" w:rsidP="003B71CF">
      <w:pPr>
        <w:pStyle w:val="Alex"/>
        <w:numPr>
          <w:ilvl w:val="0"/>
          <w:numId w:val="11"/>
        </w:numPr>
        <w:rPr>
          <w:rFonts w:asciiTheme="minorHAnsi" w:hAnsiTheme="minorHAnsi"/>
          <w:u w:val="single"/>
        </w:rPr>
      </w:pPr>
      <w:r w:rsidRPr="003B71CF">
        <w:rPr>
          <w:rFonts w:asciiTheme="minorHAnsi" w:hAnsiTheme="minorHAnsi"/>
        </w:rPr>
        <w:t>Have you learned about the war in subjects besides history, and if so in what context?</w:t>
      </w:r>
    </w:p>
    <w:p w:rsidR="00891BC9" w:rsidRPr="003B71CF" w:rsidRDefault="00891BC9" w:rsidP="003B71CF">
      <w:pPr>
        <w:pStyle w:val="Alex"/>
        <w:rPr>
          <w:rFonts w:asciiTheme="minorHAnsi" w:hAnsiTheme="minorHAnsi"/>
        </w:rPr>
      </w:pPr>
    </w:p>
    <w:p w:rsidR="005B201D" w:rsidRPr="003B71CF" w:rsidRDefault="000466E2" w:rsidP="003B71CF">
      <w:pPr>
        <w:pStyle w:val="Alex"/>
        <w:rPr>
          <w:rFonts w:asciiTheme="minorHAnsi" w:hAnsiTheme="minorHAnsi"/>
          <w:b/>
          <w:u w:val="single"/>
        </w:rPr>
      </w:pPr>
      <w:r w:rsidRPr="003B71CF">
        <w:rPr>
          <w:rFonts w:asciiTheme="minorHAnsi" w:hAnsiTheme="minorHAnsi"/>
          <w:b/>
          <w:u w:val="single"/>
        </w:rPr>
        <w:t>Gove, Hunt</w:t>
      </w:r>
    </w:p>
    <w:p w:rsidR="005B201D" w:rsidRPr="003B71CF" w:rsidRDefault="000466E2" w:rsidP="003B71CF">
      <w:pPr>
        <w:pStyle w:val="Alex"/>
        <w:numPr>
          <w:ilvl w:val="0"/>
          <w:numId w:val="21"/>
        </w:numPr>
        <w:rPr>
          <w:rFonts w:asciiTheme="minorHAnsi" w:hAnsiTheme="minorHAnsi"/>
        </w:rPr>
      </w:pPr>
      <w:r w:rsidRPr="003B71CF">
        <w:rPr>
          <w:rFonts w:asciiTheme="minorHAnsi" w:hAnsiTheme="minorHAnsi"/>
          <w:b/>
        </w:rPr>
        <w:t>In what ways do the two articles differ in their attitude to the First World War, and why?</w:t>
      </w:r>
    </w:p>
    <w:p w:rsidR="000466E2" w:rsidRPr="003B71CF" w:rsidRDefault="000466E2" w:rsidP="003B71CF">
      <w:pPr>
        <w:pStyle w:val="Alex"/>
        <w:ind w:left="360"/>
        <w:rPr>
          <w:rFonts w:asciiTheme="minorHAnsi" w:hAnsiTheme="minorHAnsi"/>
        </w:rPr>
      </w:pPr>
    </w:p>
    <w:p w:rsidR="000466E2" w:rsidRPr="003B71CF" w:rsidRDefault="000466E2" w:rsidP="003B71CF">
      <w:pPr>
        <w:pStyle w:val="Alex"/>
        <w:numPr>
          <w:ilvl w:val="0"/>
          <w:numId w:val="21"/>
        </w:numPr>
        <w:rPr>
          <w:rFonts w:asciiTheme="minorHAnsi" w:hAnsiTheme="minorHAnsi"/>
        </w:rPr>
      </w:pPr>
      <w:r w:rsidRPr="003B71CF">
        <w:rPr>
          <w:rFonts w:asciiTheme="minorHAnsi" w:hAnsiTheme="minorHAnsi"/>
          <w:b/>
        </w:rPr>
        <w:t>Whose point-of-view are you more sympathetic to, and why?</w:t>
      </w:r>
    </w:p>
    <w:p w:rsidR="000466E2" w:rsidRPr="003B71CF" w:rsidRDefault="000466E2" w:rsidP="003B71CF">
      <w:pPr>
        <w:pStyle w:val="Alex"/>
        <w:ind w:left="360"/>
        <w:rPr>
          <w:rFonts w:asciiTheme="minorHAnsi" w:hAnsiTheme="minorHAnsi"/>
        </w:rPr>
      </w:pPr>
    </w:p>
    <w:p w:rsidR="000466E2" w:rsidRPr="003B71CF" w:rsidRDefault="000466E2" w:rsidP="003B71CF">
      <w:pPr>
        <w:pStyle w:val="Alex"/>
        <w:numPr>
          <w:ilvl w:val="0"/>
          <w:numId w:val="21"/>
        </w:numPr>
        <w:rPr>
          <w:rFonts w:asciiTheme="minorHAnsi" w:hAnsiTheme="minorHAnsi"/>
        </w:rPr>
      </w:pPr>
      <w:r w:rsidRPr="003B71CF">
        <w:rPr>
          <w:rFonts w:asciiTheme="minorHAnsi" w:hAnsiTheme="minorHAnsi"/>
          <w:b/>
        </w:rPr>
        <w:t>What are your responses to Gove’s points about how World War One is represented a</w:t>
      </w:r>
      <w:proofErr w:type="gramStart"/>
      <w:r w:rsidRPr="003B71CF">
        <w:rPr>
          <w:rFonts w:asciiTheme="minorHAnsi" w:hAnsiTheme="minorHAnsi"/>
          <w:b/>
        </w:rPr>
        <w:t>)in</w:t>
      </w:r>
      <w:proofErr w:type="gramEnd"/>
      <w:r w:rsidRPr="003B71CF">
        <w:rPr>
          <w:rFonts w:asciiTheme="minorHAnsi" w:hAnsiTheme="minorHAnsi"/>
          <w:b/>
        </w:rPr>
        <w:t xml:space="preserve"> popular culture, and b) the UK education system?</w:t>
      </w:r>
    </w:p>
    <w:p w:rsidR="000466E2" w:rsidRPr="003B71CF" w:rsidRDefault="000466E2" w:rsidP="003B71CF">
      <w:pPr>
        <w:pStyle w:val="ListParagraph"/>
        <w:spacing w:after="0" w:line="360" w:lineRule="auto"/>
        <w:jc w:val="both"/>
        <w:rPr>
          <w:b/>
        </w:rPr>
      </w:pPr>
    </w:p>
    <w:p w:rsidR="000466E2" w:rsidRPr="003B71CF" w:rsidRDefault="000466E2" w:rsidP="003B71CF">
      <w:pPr>
        <w:pStyle w:val="Alex"/>
        <w:rPr>
          <w:rFonts w:asciiTheme="minorHAnsi" w:hAnsiTheme="minorHAnsi"/>
          <w:b/>
          <w:u w:val="single"/>
        </w:rPr>
      </w:pPr>
      <w:r w:rsidRPr="003B71CF">
        <w:rPr>
          <w:rFonts w:asciiTheme="minorHAnsi" w:hAnsiTheme="minorHAnsi"/>
          <w:b/>
          <w:u w:val="single"/>
        </w:rPr>
        <w:t>Pennell, ‘Popular History and Myth-Making’</w:t>
      </w:r>
    </w:p>
    <w:p w:rsidR="000466E2" w:rsidRPr="003B71CF" w:rsidRDefault="000466E2" w:rsidP="003B71CF">
      <w:pPr>
        <w:pStyle w:val="Alex"/>
        <w:numPr>
          <w:ilvl w:val="0"/>
          <w:numId w:val="22"/>
        </w:numPr>
        <w:rPr>
          <w:rFonts w:asciiTheme="minorHAnsi" w:hAnsiTheme="minorHAnsi"/>
        </w:rPr>
      </w:pPr>
      <w:r w:rsidRPr="003B71CF">
        <w:rPr>
          <w:rFonts w:asciiTheme="minorHAnsi" w:hAnsiTheme="minorHAnsi"/>
          <w:b/>
        </w:rPr>
        <w:t>What points does Pennell make about different popular culture representations of World War One, and how do you react to them?</w:t>
      </w:r>
    </w:p>
    <w:p w:rsidR="000466E2" w:rsidRPr="003B71CF" w:rsidRDefault="000466E2" w:rsidP="003B71CF">
      <w:pPr>
        <w:pStyle w:val="Alex"/>
        <w:ind w:left="360"/>
        <w:rPr>
          <w:rFonts w:asciiTheme="minorHAnsi" w:hAnsiTheme="minorHAnsi"/>
        </w:rPr>
      </w:pPr>
    </w:p>
    <w:p w:rsidR="000466E2" w:rsidRPr="003B71CF" w:rsidRDefault="000466E2" w:rsidP="003B71CF">
      <w:pPr>
        <w:pStyle w:val="Alex"/>
        <w:numPr>
          <w:ilvl w:val="0"/>
          <w:numId w:val="22"/>
        </w:numPr>
        <w:rPr>
          <w:rFonts w:asciiTheme="minorHAnsi" w:hAnsiTheme="minorHAnsi"/>
        </w:rPr>
      </w:pPr>
      <w:r w:rsidRPr="003B71CF">
        <w:rPr>
          <w:rFonts w:asciiTheme="minorHAnsi" w:hAnsiTheme="minorHAnsi"/>
          <w:b/>
        </w:rPr>
        <w:t>What points Pennell make about the role historians should play in the World War One centenary, and how do you react to them?</w:t>
      </w:r>
    </w:p>
    <w:p w:rsidR="000466E2" w:rsidRPr="003B71CF" w:rsidRDefault="000466E2" w:rsidP="003B71CF">
      <w:pPr>
        <w:pStyle w:val="ListParagraph"/>
        <w:spacing w:after="0" w:line="360" w:lineRule="auto"/>
        <w:jc w:val="both"/>
      </w:pPr>
    </w:p>
    <w:p w:rsidR="000466E2" w:rsidRPr="003B71CF" w:rsidRDefault="000466E2" w:rsidP="003B71CF">
      <w:pPr>
        <w:pStyle w:val="Alex"/>
        <w:numPr>
          <w:ilvl w:val="0"/>
          <w:numId w:val="22"/>
        </w:numPr>
        <w:rPr>
          <w:rFonts w:asciiTheme="minorHAnsi" w:hAnsiTheme="minorHAnsi"/>
        </w:rPr>
      </w:pPr>
      <w:r w:rsidRPr="003B71CF">
        <w:rPr>
          <w:rFonts w:asciiTheme="minorHAnsi" w:hAnsiTheme="minorHAnsi"/>
          <w:b/>
        </w:rPr>
        <w:t>Is ‘popular history,’ as termed by Pennell, simply a vehicle for ‘myth-making’ about World War One?</w:t>
      </w:r>
    </w:p>
    <w:p w:rsidR="001F79DB" w:rsidRPr="003B71CF" w:rsidRDefault="001F79DB" w:rsidP="003B71CF">
      <w:pPr>
        <w:pStyle w:val="Alex"/>
        <w:ind w:left="720"/>
        <w:rPr>
          <w:rFonts w:asciiTheme="minorHAnsi" w:hAnsiTheme="minorHAnsi"/>
          <w:u w:val="single"/>
        </w:rPr>
      </w:pPr>
    </w:p>
    <w:p w:rsidR="001F79DB" w:rsidRPr="003B71CF" w:rsidRDefault="001F79DB" w:rsidP="003B71CF">
      <w:pPr>
        <w:pStyle w:val="Alex"/>
        <w:rPr>
          <w:rFonts w:asciiTheme="minorHAnsi" w:hAnsiTheme="minorHAnsi"/>
          <w:b/>
          <w:i/>
          <w:u w:val="single"/>
        </w:rPr>
      </w:pPr>
      <w:r w:rsidRPr="003B71CF">
        <w:rPr>
          <w:rFonts w:asciiTheme="minorHAnsi" w:hAnsiTheme="minorHAnsi"/>
          <w:b/>
          <w:u w:val="single"/>
        </w:rPr>
        <w:t xml:space="preserve">Winter, </w:t>
      </w:r>
      <w:r w:rsidRPr="003B71CF">
        <w:rPr>
          <w:rFonts w:asciiTheme="minorHAnsi" w:hAnsiTheme="minorHAnsi"/>
          <w:b/>
          <w:i/>
          <w:u w:val="single"/>
        </w:rPr>
        <w:t>Sites of Memory, Sites of Mourning</w:t>
      </w:r>
    </w:p>
    <w:p w:rsidR="001F79DB" w:rsidRPr="003B71CF" w:rsidRDefault="001F79DB" w:rsidP="003B71CF">
      <w:pPr>
        <w:pStyle w:val="Alex"/>
        <w:numPr>
          <w:ilvl w:val="0"/>
          <w:numId w:val="18"/>
        </w:numPr>
        <w:rPr>
          <w:rFonts w:asciiTheme="minorHAnsi" w:hAnsiTheme="minorHAnsi"/>
          <w:b/>
        </w:rPr>
      </w:pPr>
      <w:r w:rsidRPr="003B71CF">
        <w:rPr>
          <w:rFonts w:asciiTheme="minorHAnsi" w:hAnsiTheme="minorHAnsi"/>
          <w:b/>
        </w:rPr>
        <w:t>What practices arose for commemorating the Great War in Britain, France and Germany respectively?</w:t>
      </w:r>
    </w:p>
    <w:p w:rsidR="001F79DB" w:rsidRPr="003B71CF" w:rsidRDefault="001F79DB" w:rsidP="003B71CF">
      <w:pPr>
        <w:pStyle w:val="Alex"/>
        <w:numPr>
          <w:ilvl w:val="0"/>
          <w:numId w:val="20"/>
        </w:numPr>
        <w:rPr>
          <w:rFonts w:asciiTheme="minorHAnsi" w:hAnsiTheme="minorHAnsi"/>
        </w:rPr>
      </w:pPr>
      <w:r w:rsidRPr="003B71CF">
        <w:rPr>
          <w:rFonts w:asciiTheme="minorHAnsi" w:hAnsiTheme="minorHAnsi"/>
        </w:rPr>
        <w:t>Do these bear relation to various commemorative practices that were put in place after the American Civil War (Week 3)?</w:t>
      </w:r>
    </w:p>
    <w:p w:rsidR="001F79DB" w:rsidRPr="003B71CF" w:rsidRDefault="001F79DB" w:rsidP="003B71CF">
      <w:pPr>
        <w:pStyle w:val="Alex"/>
        <w:ind w:left="720"/>
        <w:rPr>
          <w:rFonts w:asciiTheme="minorHAnsi" w:hAnsiTheme="minorHAnsi"/>
        </w:rPr>
      </w:pPr>
    </w:p>
    <w:p w:rsidR="001F79DB" w:rsidRPr="003B71CF" w:rsidRDefault="001F79DB" w:rsidP="003B71CF">
      <w:pPr>
        <w:pStyle w:val="Alex"/>
        <w:numPr>
          <w:ilvl w:val="0"/>
          <w:numId w:val="18"/>
        </w:numPr>
        <w:rPr>
          <w:rFonts w:asciiTheme="minorHAnsi" w:hAnsiTheme="minorHAnsi"/>
          <w:b/>
        </w:rPr>
      </w:pPr>
      <w:r w:rsidRPr="003B71CF">
        <w:rPr>
          <w:rFonts w:asciiTheme="minorHAnsi" w:hAnsiTheme="minorHAnsi"/>
          <w:b/>
        </w:rPr>
        <w:t xml:space="preserve">What comparisons and contrasts can be drawn between the war memorials created by Edwin </w:t>
      </w:r>
      <w:proofErr w:type="spellStart"/>
      <w:r w:rsidRPr="003B71CF">
        <w:rPr>
          <w:rFonts w:asciiTheme="minorHAnsi" w:hAnsiTheme="minorHAnsi"/>
          <w:b/>
        </w:rPr>
        <w:t>Lutyens</w:t>
      </w:r>
      <w:proofErr w:type="spellEnd"/>
      <w:r w:rsidRPr="003B71CF">
        <w:rPr>
          <w:rFonts w:asciiTheme="minorHAnsi" w:hAnsiTheme="minorHAnsi"/>
          <w:b/>
        </w:rPr>
        <w:t xml:space="preserve"> and </w:t>
      </w:r>
      <w:proofErr w:type="spellStart"/>
      <w:r w:rsidRPr="003B71CF">
        <w:rPr>
          <w:rFonts w:asciiTheme="minorHAnsi" w:hAnsiTheme="minorHAnsi"/>
          <w:b/>
        </w:rPr>
        <w:t>Käthe</w:t>
      </w:r>
      <w:proofErr w:type="spellEnd"/>
      <w:r w:rsidRPr="003B71CF">
        <w:rPr>
          <w:rFonts w:asciiTheme="minorHAnsi" w:hAnsiTheme="minorHAnsi"/>
          <w:b/>
        </w:rPr>
        <w:t xml:space="preserve"> Kollwitz?</w:t>
      </w:r>
    </w:p>
    <w:p w:rsidR="001F79DB" w:rsidRPr="003B71CF" w:rsidRDefault="001F79DB" w:rsidP="003B71CF">
      <w:pPr>
        <w:pStyle w:val="Alex"/>
        <w:numPr>
          <w:ilvl w:val="0"/>
          <w:numId w:val="19"/>
        </w:numPr>
        <w:rPr>
          <w:rFonts w:asciiTheme="minorHAnsi" w:hAnsiTheme="minorHAnsi"/>
        </w:rPr>
      </w:pPr>
      <w:r w:rsidRPr="003B71CF">
        <w:rPr>
          <w:rFonts w:asciiTheme="minorHAnsi" w:hAnsiTheme="minorHAnsi"/>
        </w:rPr>
        <w:t>What are the main aesthetic features of their memorials and do they differ from one another?</w:t>
      </w:r>
    </w:p>
    <w:p w:rsidR="001F79DB" w:rsidRPr="003B71CF" w:rsidRDefault="001F79DB" w:rsidP="003B71CF">
      <w:pPr>
        <w:pStyle w:val="Alex"/>
        <w:numPr>
          <w:ilvl w:val="0"/>
          <w:numId w:val="19"/>
        </w:numPr>
        <w:rPr>
          <w:rFonts w:asciiTheme="minorHAnsi" w:hAnsiTheme="minorHAnsi"/>
        </w:rPr>
      </w:pPr>
      <w:r w:rsidRPr="003B71CF">
        <w:rPr>
          <w:rFonts w:asciiTheme="minorHAnsi" w:hAnsiTheme="minorHAnsi"/>
        </w:rPr>
        <w:t>Were their memorials intended to commemorate the same thing or something different?</w:t>
      </w:r>
    </w:p>
    <w:p w:rsidR="001F79DB" w:rsidRPr="003B71CF" w:rsidRDefault="001F79DB" w:rsidP="003B71CF">
      <w:pPr>
        <w:pStyle w:val="Alex"/>
        <w:numPr>
          <w:ilvl w:val="0"/>
          <w:numId w:val="19"/>
        </w:numPr>
        <w:rPr>
          <w:rFonts w:asciiTheme="minorHAnsi" w:hAnsiTheme="minorHAnsi"/>
        </w:rPr>
      </w:pPr>
      <w:r w:rsidRPr="003B71CF">
        <w:rPr>
          <w:rFonts w:asciiTheme="minorHAnsi" w:hAnsiTheme="minorHAnsi"/>
        </w:rPr>
        <w:t>Were their memorials directed at a similar or different audience?</w:t>
      </w:r>
    </w:p>
    <w:p w:rsidR="001F79DB" w:rsidRPr="003B71CF" w:rsidRDefault="001F79DB" w:rsidP="003B71CF">
      <w:pPr>
        <w:pStyle w:val="Alex"/>
        <w:numPr>
          <w:ilvl w:val="0"/>
          <w:numId w:val="19"/>
        </w:numPr>
        <w:rPr>
          <w:rFonts w:asciiTheme="minorHAnsi" w:hAnsiTheme="minorHAnsi"/>
        </w:rPr>
      </w:pPr>
      <w:r w:rsidRPr="003B71CF">
        <w:rPr>
          <w:rFonts w:asciiTheme="minorHAnsi" w:hAnsiTheme="minorHAnsi"/>
        </w:rPr>
        <w:t xml:space="preserve">Were their memorials intended to have a similar or different effect on their audience? How does </w:t>
      </w:r>
      <w:proofErr w:type="gramStart"/>
      <w:r w:rsidRPr="003B71CF">
        <w:rPr>
          <w:rFonts w:asciiTheme="minorHAnsi" w:hAnsiTheme="minorHAnsi"/>
        </w:rPr>
        <w:t>Winter</w:t>
      </w:r>
      <w:proofErr w:type="gramEnd"/>
      <w:r w:rsidRPr="003B71CF">
        <w:rPr>
          <w:rFonts w:asciiTheme="minorHAnsi" w:hAnsiTheme="minorHAnsi"/>
        </w:rPr>
        <w:t xml:space="preserve"> differentiate ‘traditional’ from modern memorials, and how sustainable do you believe this distinction to be?</w:t>
      </w:r>
    </w:p>
    <w:p w:rsidR="00F857F0" w:rsidRPr="003B71CF" w:rsidRDefault="00F857F0" w:rsidP="003B71CF">
      <w:pPr>
        <w:spacing w:after="0" w:line="360" w:lineRule="auto"/>
        <w:jc w:val="both"/>
        <w:rPr>
          <w:b/>
          <w:u w:val="single"/>
        </w:rPr>
      </w:pPr>
    </w:p>
    <w:p w:rsidR="00F857F0" w:rsidRPr="003B71CF" w:rsidRDefault="00112B15" w:rsidP="003B71CF">
      <w:pPr>
        <w:spacing w:after="0" w:line="360" w:lineRule="auto"/>
        <w:jc w:val="both"/>
        <w:rPr>
          <w:i/>
          <w:u w:val="single"/>
        </w:rPr>
      </w:pPr>
      <w:r w:rsidRPr="003B71CF">
        <w:rPr>
          <w:i/>
          <w:u w:val="single"/>
        </w:rPr>
        <w:t>Recommended further r</w:t>
      </w:r>
      <w:r w:rsidR="00F857F0" w:rsidRPr="003B71CF">
        <w:rPr>
          <w:i/>
          <w:u w:val="single"/>
        </w:rPr>
        <w:t>eading:</w:t>
      </w:r>
    </w:p>
    <w:p w:rsidR="00F857F0" w:rsidRPr="003B71CF" w:rsidRDefault="00F857F0" w:rsidP="003B71CF">
      <w:pPr>
        <w:pStyle w:val="ListParagraph"/>
        <w:numPr>
          <w:ilvl w:val="0"/>
          <w:numId w:val="24"/>
        </w:numPr>
        <w:spacing w:after="0" w:line="360" w:lineRule="auto"/>
        <w:jc w:val="both"/>
      </w:pPr>
      <w:r w:rsidRPr="003B71CF">
        <w:rPr>
          <w:i/>
        </w:rPr>
        <w:t xml:space="preserve">Teaching History </w:t>
      </w:r>
      <w:r w:rsidRPr="003B71CF">
        <w:t>(Issue 155, Jun2014); special edition on teaching World War One history – available through UWTSD online library</w:t>
      </w:r>
      <w:r w:rsidR="00492BD6" w:rsidRPr="003B71CF">
        <w:t>.</w:t>
      </w:r>
    </w:p>
    <w:p w:rsidR="00112B15" w:rsidRPr="003B71CF" w:rsidRDefault="00112B15" w:rsidP="003B71CF">
      <w:pPr>
        <w:pStyle w:val="Alex"/>
        <w:numPr>
          <w:ilvl w:val="0"/>
          <w:numId w:val="24"/>
        </w:numPr>
        <w:rPr>
          <w:rFonts w:asciiTheme="minorHAnsi" w:hAnsiTheme="minorHAnsi"/>
          <w:lang w:eastAsia="en-GB"/>
        </w:rPr>
      </w:pPr>
      <w:r w:rsidRPr="003B71CF">
        <w:rPr>
          <w:rFonts w:asciiTheme="minorHAnsi" w:hAnsiTheme="minorHAnsi"/>
          <w:lang w:eastAsia="en-GB"/>
        </w:rPr>
        <w:t xml:space="preserve">Gaynor Kavanagh, ‘Museum as Memorial: The Origins of the Imperial War Museum,’ </w:t>
      </w:r>
      <w:r w:rsidRPr="003B71CF">
        <w:rPr>
          <w:rFonts w:asciiTheme="minorHAnsi" w:hAnsiTheme="minorHAnsi"/>
          <w:i/>
          <w:lang w:eastAsia="en-GB"/>
        </w:rPr>
        <w:t>Journal of Contemporary History</w:t>
      </w:r>
      <w:r w:rsidRPr="003B71CF">
        <w:rPr>
          <w:rFonts w:asciiTheme="minorHAnsi" w:hAnsiTheme="minorHAnsi"/>
          <w:lang w:eastAsia="en-GB"/>
        </w:rPr>
        <w:t>, Vol. 23, No. 1, January 1988, pp. 77–97.</w:t>
      </w:r>
    </w:p>
    <w:p w:rsidR="00112B15" w:rsidRPr="003B71CF" w:rsidRDefault="00112B15" w:rsidP="003B71CF">
      <w:pPr>
        <w:pStyle w:val="Alex"/>
        <w:numPr>
          <w:ilvl w:val="0"/>
          <w:numId w:val="24"/>
        </w:numPr>
        <w:rPr>
          <w:rFonts w:asciiTheme="minorHAnsi" w:hAnsiTheme="minorHAnsi"/>
          <w:lang w:eastAsia="en-GB"/>
        </w:rPr>
      </w:pPr>
      <w:r w:rsidRPr="003B71CF">
        <w:rPr>
          <w:rFonts w:asciiTheme="minorHAnsi" w:hAnsiTheme="minorHAnsi"/>
          <w:lang w:eastAsia="en-GB"/>
        </w:rPr>
        <w:t xml:space="preserve">Gabriel </w:t>
      </w:r>
      <w:proofErr w:type="spellStart"/>
      <w:r w:rsidRPr="003B71CF">
        <w:rPr>
          <w:rFonts w:asciiTheme="minorHAnsi" w:hAnsiTheme="minorHAnsi"/>
          <w:lang w:eastAsia="en-GB"/>
        </w:rPr>
        <w:t>Koureas</w:t>
      </w:r>
      <w:proofErr w:type="spellEnd"/>
      <w:r w:rsidRPr="003B71CF">
        <w:rPr>
          <w:rFonts w:asciiTheme="minorHAnsi" w:hAnsiTheme="minorHAnsi"/>
          <w:lang w:eastAsia="en-GB"/>
        </w:rPr>
        <w:t xml:space="preserve">, ‘Unveiling Polished Guns/Veiling Fragile Masculinities,’ ‘Conclusion’ in </w:t>
      </w:r>
      <w:r w:rsidRPr="003B71CF">
        <w:rPr>
          <w:rFonts w:asciiTheme="minorHAnsi" w:hAnsiTheme="minorHAnsi"/>
          <w:i/>
          <w:lang w:eastAsia="en-GB"/>
        </w:rPr>
        <w:t>Memory, Masculinity and National Identity in British Visual Culture, 1914</w:t>
      </w:r>
      <w:r w:rsidRPr="003B71CF">
        <w:rPr>
          <w:rFonts w:asciiTheme="minorHAnsi" w:hAnsiTheme="minorHAnsi"/>
          <w:lang w:eastAsia="en-GB"/>
        </w:rPr>
        <w:t xml:space="preserve">–1930, pp. 143–186. </w:t>
      </w:r>
    </w:p>
    <w:p w:rsidR="00112B15" w:rsidRPr="003B71CF" w:rsidRDefault="00112B15" w:rsidP="003B71CF">
      <w:pPr>
        <w:pStyle w:val="ListParagraph"/>
        <w:numPr>
          <w:ilvl w:val="0"/>
          <w:numId w:val="24"/>
        </w:numPr>
        <w:spacing w:after="0" w:line="360" w:lineRule="auto"/>
        <w:jc w:val="both"/>
      </w:pPr>
      <w:r w:rsidRPr="003B71CF">
        <w:t>Gary Sheffield, ‘A Once in a Century Opportunity? Some Personal Reflections on the Centenary of the First World War,’</w:t>
      </w:r>
      <w:r w:rsidRPr="003B71CF">
        <w:rPr>
          <w:i/>
        </w:rPr>
        <w:t xml:space="preserve"> British Journal for Military History </w:t>
      </w:r>
      <w:r w:rsidRPr="003B71CF">
        <w:t>(Vol. 1, No. 1, 2014), pp. 1–11.</w:t>
      </w:r>
    </w:p>
    <w:p w:rsidR="00112B15" w:rsidRPr="003B71CF" w:rsidRDefault="00112B15" w:rsidP="003B71CF">
      <w:pPr>
        <w:pStyle w:val="ListParagraph"/>
        <w:numPr>
          <w:ilvl w:val="0"/>
          <w:numId w:val="24"/>
        </w:numPr>
        <w:spacing w:after="0" w:line="360" w:lineRule="auto"/>
        <w:jc w:val="both"/>
      </w:pPr>
      <w:r w:rsidRPr="003B71CF">
        <w:t xml:space="preserve">Pat Thane, ‘Revisiting the Great War: Historians and the Centenary Commemorations,’ </w:t>
      </w:r>
      <w:r w:rsidRPr="003B71CF">
        <w:rPr>
          <w:i/>
        </w:rPr>
        <w:t xml:space="preserve">Revue </w:t>
      </w:r>
      <w:proofErr w:type="spellStart"/>
      <w:r w:rsidRPr="003B71CF">
        <w:rPr>
          <w:i/>
        </w:rPr>
        <w:t>Française</w:t>
      </w:r>
      <w:proofErr w:type="spellEnd"/>
      <w:r w:rsidRPr="003B71CF">
        <w:rPr>
          <w:i/>
        </w:rPr>
        <w:t xml:space="preserve"> de Civilisation </w:t>
      </w:r>
      <w:proofErr w:type="spellStart"/>
      <w:r w:rsidRPr="003B71CF">
        <w:rPr>
          <w:i/>
        </w:rPr>
        <w:t>Britannique</w:t>
      </w:r>
      <w:proofErr w:type="spellEnd"/>
      <w:r w:rsidRPr="003B71CF">
        <w:rPr>
          <w:i/>
        </w:rPr>
        <w:t xml:space="preserve"> </w:t>
      </w:r>
      <w:r w:rsidRPr="003B71CF">
        <w:t>[</w:t>
      </w:r>
      <w:r w:rsidRPr="003B71CF">
        <w:rPr>
          <w:rStyle w:val="st"/>
          <w:i/>
        </w:rPr>
        <w:t>French Journal of British Studies</w:t>
      </w:r>
      <w:r w:rsidRPr="003B71CF">
        <w:rPr>
          <w:rStyle w:val="st"/>
        </w:rPr>
        <w:t xml:space="preserve">] </w:t>
      </w:r>
      <w:r w:rsidRPr="003B71CF">
        <w:rPr>
          <w:i/>
        </w:rPr>
        <w:t xml:space="preserve"> </w:t>
      </w:r>
      <w:r w:rsidRPr="003B71CF">
        <w:t>(Vol. 20, No. 1, May 2015)</w:t>
      </w:r>
    </w:p>
    <w:p w:rsidR="00112B15" w:rsidRPr="00492BD6" w:rsidRDefault="00112B15" w:rsidP="00112B15">
      <w:pPr>
        <w:pStyle w:val="ListParagraph"/>
        <w:spacing w:after="0" w:line="360" w:lineRule="auto"/>
        <w:ind w:left="360"/>
        <w:jc w:val="both"/>
      </w:pPr>
    </w:p>
    <w:sectPr w:rsidR="00112B15" w:rsidRPr="00492B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1A333D"/>
    <w:multiLevelType w:val="hybridMultilevel"/>
    <w:tmpl w:val="A28A2BEC"/>
    <w:lvl w:ilvl="0" w:tplc="08090001">
      <w:start w:val="1"/>
      <w:numFmt w:val="bullet"/>
      <w:lvlText w:val=""/>
      <w:lvlJc w:val="left"/>
      <w:pPr>
        <w:ind w:left="360" w:hanging="360"/>
      </w:pPr>
      <w:rPr>
        <w:rFonts w:ascii="Symbol" w:hAnsi="Symbol" w:hint="default"/>
        <w:u w:val="no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6D0977"/>
    <w:multiLevelType w:val="hybridMultilevel"/>
    <w:tmpl w:val="8F5A13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6520314"/>
    <w:multiLevelType w:val="hybridMultilevel"/>
    <w:tmpl w:val="B5DEA5C4"/>
    <w:lvl w:ilvl="0" w:tplc="4D96FDB6">
      <w:numFmt w:val="bullet"/>
      <w:lvlText w:val="-"/>
      <w:lvlJc w:val="left"/>
      <w:pPr>
        <w:ind w:left="720" w:hanging="360"/>
      </w:pPr>
      <w:rPr>
        <w:rFonts w:ascii="Calibri" w:eastAsiaTheme="minorHAnsi" w:hAnsi="Calibri" w:cstheme="minorBidi"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384379"/>
    <w:multiLevelType w:val="hybridMultilevel"/>
    <w:tmpl w:val="8F1CC7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4EA561B"/>
    <w:multiLevelType w:val="hybridMultilevel"/>
    <w:tmpl w:val="3BF0C4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79822CD"/>
    <w:multiLevelType w:val="hybridMultilevel"/>
    <w:tmpl w:val="B8A08A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03D4330"/>
    <w:multiLevelType w:val="hybridMultilevel"/>
    <w:tmpl w:val="9FAAAC9A"/>
    <w:lvl w:ilvl="0" w:tplc="50B0C422">
      <w:numFmt w:val="bullet"/>
      <w:lvlText w:val="-"/>
      <w:lvlJc w:val="left"/>
      <w:pPr>
        <w:ind w:left="720" w:hanging="360"/>
      </w:pPr>
      <w:rPr>
        <w:rFonts w:ascii="Calibri" w:eastAsiaTheme="minorHAnsi" w:hAnsi="Calibri" w:cstheme="minorBidi"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DC2E08"/>
    <w:multiLevelType w:val="hybridMultilevel"/>
    <w:tmpl w:val="11F674DE"/>
    <w:lvl w:ilvl="0" w:tplc="DFA66438">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1F2266C"/>
    <w:multiLevelType w:val="hybridMultilevel"/>
    <w:tmpl w:val="484AB70C"/>
    <w:lvl w:ilvl="0" w:tplc="DFA6643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CE7FD7"/>
    <w:multiLevelType w:val="hybridMultilevel"/>
    <w:tmpl w:val="65F83A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5BA2A90"/>
    <w:multiLevelType w:val="hybridMultilevel"/>
    <w:tmpl w:val="495817CE"/>
    <w:lvl w:ilvl="0" w:tplc="A21A645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9B2DA5"/>
    <w:multiLevelType w:val="hybridMultilevel"/>
    <w:tmpl w:val="894A6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E166E8"/>
    <w:multiLevelType w:val="hybridMultilevel"/>
    <w:tmpl w:val="375E6E2E"/>
    <w:lvl w:ilvl="0" w:tplc="DFA66438">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DE634DC"/>
    <w:multiLevelType w:val="hybridMultilevel"/>
    <w:tmpl w:val="B380D8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5957C7C"/>
    <w:multiLevelType w:val="hybridMultilevel"/>
    <w:tmpl w:val="95C42424"/>
    <w:lvl w:ilvl="0" w:tplc="891455D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AA30D5"/>
    <w:multiLevelType w:val="hybridMultilevel"/>
    <w:tmpl w:val="0E3C5B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D84494A"/>
    <w:multiLevelType w:val="hybridMultilevel"/>
    <w:tmpl w:val="EB0A5E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EEC3D6A"/>
    <w:multiLevelType w:val="hybridMultilevel"/>
    <w:tmpl w:val="A3B024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FF15E81"/>
    <w:multiLevelType w:val="hybridMultilevel"/>
    <w:tmpl w:val="A274BEAE"/>
    <w:lvl w:ilvl="0" w:tplc="45E4CCEA">
      <w:numFmt w:val="bullet"/>
      <w:lvlText w:val="-"/>
      <w:lvlJc w:val="left"/>
      <w:pPr>
        <w:ind w:left="720" w:hanging="360"/>
      </w:pPr>
      <w:rPr>
        <w:rFonts w:ascii="Calibri" w:eastAsiaTheme="minorHAnsi" w:hAnsi="Calibri"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BE2B69"/>
    <w:multiLevelType w:val="hybridMultilevel"/>
    <w:tmpl w:val="DE2277B8"/>
    <w:lvl w:ilvl="0" w:tplc="DA244E16">
      <w:numFmt w:val="bullet"/>
      <w:lvlText w:val="-"/>
      <w:lvlJc w:val="left"/>
      <w:pPr>
        <w:ind w:left="720" w:hanging="360"/>
      </w:pPr>
      <w:rPr>
        <w:rFonts w:ascii="Calibri" w:eastAsiaTheme="minorHAnsi" w:hAnsi="Calibri" w:cstheme="minorBidi"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9F6E01"/>
    <w:multiLevelType w:val="hybridMultilevel"/>
    <w:tmpl w:val="477253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2282E24"/>
    <w:multiLevelType w:val="hybridMultilevel"/>
    <w:tmpl w:val="AA5C3460"/>
    <w:lvl w:ilvl="0" w:tplc="DFA66438">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7579A6"/>
    <w:multiLevelType w:val="hybridMultilevel"/>
    <w:tmpl w:val="72C6B52E"/>
    <w:lvl w:ilvl="0" w:tplc="DFA66438">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BA00F27"/>
    <w:multiLevelType w:val="hybridMultilevel"/>
    <w:tmpl w:val="55842636"/>
    <w:lvl w:ilvl="0" w:tplc="DFA66438">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4F0B2C"/>
    <w:multiLevelType w:val="hybridMultilevel"/>
    <w:tmpl w:val="1632D020"/>
    <w:lvl w:ilvl="0" w:tplc="DFA66438">
      <w:numFmt w:val="bullet"/>
      <w:lvlText w:val="•"/>
      <w:lvlJc w:val="left"/>
      <w:pPr>
        <w:ind w:left="360" w:hanging="360"/>
      </w:pPr>
      <w:rPr>
        <w:rFonts w:ascii="Calibri" w:eastAsiaTheme="minorHAnsi" w:hAnsi="Calibri" w:cstheme="minorBidi"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7"/>
  </w:num>
  <w:num w:numId="2">
    <w:abstractNumId w:val="4"/>
  </w:num>
  <w:num w:numId="3">
    <w:abstractNumId w:val="15"/>
  </w:num>
  <w:num w:numId="4">
    <w:abstractNumId w:val="14"/>
  </w:num>
  <w:num w:numId="5">
    <w:abstractNumId w:val="20"/>
  </w:num>
  <w:num w:numId="6">
    <w:abstractNumId w:val="3"/>
  </w:num>
  <w:num w:numId="7">
    <w:abstractNumId w:val="11"/>
  </w:num>
  <w:num w:numId="8">
    <w:abstractNumId w:val="7"/>
  </w:num>
  <w:num w:numId="9">
    <w:abstractNumId w:val="21"/>
  </w:num>
  <w:num w:numId="10">
    <w:abstractNumId w:val="23"/>
  </w:num>
  <w:num w:numId="11">
    <w:abstractNumId w:val="2"/>
  </w:num>
  <w:num w:numId="12">
    <w:abstractNumId w:val="0"/>
  </w:num>
  <w:num w:numId="13">
    <w:abstractNumId w:val="18"/>
  </w:num>
  <w:num w:numId="14">
    <w:abstractNumId w:val="13"/>
  </w:num>
  <w:num w:numId="15">
    <w:abstractNumId w:val="19"/>
  </w:num>
  <w:num w:numId="16">
    <w:abstractNumId w:val="16"/>
  </w:num>
  <w:num w:numId="17">
    <w:abstractNumId w:val="1"/>
  </w:num>
  <w:num w:numId="18">
    <w:abstractNumId w:val="5"/>
  </w:num>
  <w:num w:numId="19">
    <w:abstractNumId w:val="6"/>
  </w:num>
  <w:num w:numId="20">
    <w:abstractNumId w:val="10"/>
  </w:num>
  <w:num w:numId="21">
    <w:abstractNumId w:val="24"/>
  </w:num>
  <w:num w:numId="22">
    <w:abstractNumId w:val="12"/>
  </w:num>
  <w:num w:numId="23">
    <w:abstractNumId w:val="8"/>
  </w:num>
  <w:num w:numId="24">
    <w:abstractNumId w:val="22"/>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BC9"/>
    <w:rsid w:val="00015896"/>
    <w:rsid w:val="00030711"/>
    <w:rsid w:val="000466E2"/>
    <w:rsid w:val="00112B15"/>
    <w:rsid w:val="001D0592"/>
    <w:rsid w:val="001F79DB"/>
    <w:rsid w:val="00200474"/>
    <w:rsid w:val="003A41E4"/>
    <w:rsid w:val="003B71CF"/>
    <w:rsid w:val="0040125C"/>
    <w:rsid w:val="00492BD6"/>
    <w:rsid w:val="005760F6"/>
    <w:rsid w:val="005B201D"/>
    <w:rsid w:val="007C5BDA"/>
    <w:rsid w:val="00891BC9"/>
    <w:rsid w:val="009F46D2"/>
    <w:rsid w:val="00C63253"/>
    <w:rsid w:val="00D04EF5"/>
    <w:rsid w:val="00E270E7"/>
    <w:rsid w:val="00E7344D"/>
    <w:rsid w:val="00F857F0"/>
    <w:rsid w:val="00FB5D3A"/>
    <w:rsid w:val="00FF1E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731741-D731-4CA7-B377-F87E74E48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BDA"/>
  </w:style>
  <w:style w:type="paragraph" w:styleId="Heading1">
    <w:name w:val="heading 1"/>
    <w:basedOn w:val="Normal"/>
    <w:link w:val="Heading1Char"/>
    <w:uiPriority w:val="9"/>
    <w:qFormat/>
    <w:rsid w:val="007C5BD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030711"/>
    <w:pPr>
      <w:spacing w:line="360" w:lineRule="auto"/>
      <w:jc w:val="both"/>
    </w:pPr>
    <w:rPr>
      <w:rFonts w:ascii="Times New Roman" w:hAnsi="Times New Roman"/>
    </w:rPr>
  </w:style>
  <w:style w:type="paragraph" w:styleId="NoSpacing">
    <w:name w:val="No Spacing"/>
    <w:uiPriority w:val="1"/>
    <w:qFormat/>
    <w:rsid w:val="007C5BDA"/>
    <w:pPr>
      <w:spacing w:after="0" w:line="240" w:lineRule="auto"/>
    </w:pPr>
  </w:style>
  <w:style w:type="character" w:customStyle="1" w:styleId="Heading1Char">
    <w:name w:val="Heading 1 Char"/>
    <w:basedOn w:val="DefaultParagraphFont"/>
    <w:link w:val="Heading1"/>
    <w:uiPriority w:val="9"/>
    <w:rsid w:val="007C5BDA"/>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891BC9"/>
    <w:rPr>
      <w:color w:val="0000FF" w:themeColor="hyperlink"/>
      <w:u w:val="single"/>
    </w:rPr>
  </w:style>
  <w:style w:type="paragraph" w:styleId="ListParagraph">
    <w:name w:val="List Paragraph"/>
    <w:basedOn w:val="Normal"/>
    <w:uiPriority w:val="34"/>
    <w:qFormat/>
    <w:rsid w:val="000466E2"/>
    <w:pPr>
      <w:ind w:left="720"/>
      <w:contextualSpacing/>
    </w:pPr>
  </w:style>
  <w:style w:type="character" w:customStyle="1" w:styleId="st">
    <w:name w:val="st"/>
    <w:basedOn w:val="DefaultParagraphFont"/>
    <w:rsid w:val="00F857F0"/>
  </w:style>
  <w:style w:type="character" w:styleId="Strong">
    <w:name w:val="Strong"/>
    <w:basedOn w:val="DefaultParagraphFont"/>
    <w:uiPriority w:val="22"/>
    <w:qFormat/>
    <w:rsid w:val="00492B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heguardian.com/commentisfree/2014/jan/04/first-world-war-michael-gove-left-bashing-histo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ailymail.co.uk/debate/article-2532930/MICHAEL-GOVE-Why-does-Left-insist-belittling-true-British-heroes.html"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4</Pages>
  <Words>1141</Words>
  <Characters>6507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Alexander Scott</cp:lastModifiedBy>
  <cp:revision>4</cp:revision>
  <dcterms:created xsi:type="dcterms:W3CDTF">2017-01-26T16:19:00Z</dcterms:created>
  <dcterms:modified xsi:type="dcterms:W3CDTF">2017-02-28T15:57:00Z</dcterms:modified>
</cp:coreProperties>
</file>