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F6901" w14:textId="5F202268" w:rsidR="006111AB" w:rsidRPr="003136D5" w:rsidRDefault="006111AB" w:rsidP="00A65AA5">
      <w:pPr>
        <w:spacing w:line="360" w:lineRule="auto"/>
        <w:jc w:val="center"/>
        <w:rPr>
          <w:rFonts w:ascii="Times New Roman" w:hAnsi="Times New Roman" w:cs="Times New Roman"/>
          <w:b/>
          <w:bCs/>
          <w:sz w:val="28"/>
          <w:szCs w:val="28"/>
        </w:rPr>
      </w:pPr>
      <w:r w:rsidRPr="003136D5">
        <w:rPr>
          <w:rFonts w:ascii="Times New Roman" w:hAnsi="Times New Roman" w:cs="Times New Roman"/>
          <w:b/>
          <w:bCs/>
          <w:sz w:val="28"/>
          <w:szCs w:val="28"/>
        </w:rPr>
        <w:t>The Benefits of Code Switching and Teachers</w:t>
      </w:r>
      <w:r w:rsidR="00F34122">
        <w:rPr>
          <w:rFonts w:ascii="Times New Roman" w:hAnsi="Times New Roman" w:cs="Times New Roman"/>
          <w:b/>
          <w:bCs/>
          <w:sz w:val="28"/>
          <w:szCs w:val="28"/>
        </w:rPr>
        <w:t>’</w:t>
      </w:r>
      <w:r w:rsidRPr="003136D5">
        <w:rPr>
          <w:rFonts w:ascii="Times New Roman" w:hAnsi="Times New Roman" w:cs="Times New Roman"/>
          <w:b/>
          <w:bCs/>
          <w:sz w:val="28"/>
          <w:szCs w:val="28"/>
        </w:rPr>
        <w:t xml:space="preserve"> Perceptions of Code</w:t>
      </w:r>
      <w:r w:rsidR="00C27D4E">
        <w:rPr>
          <w:rFonts w:ascii="Times New Roman" w:hAnsi="Times New Roman" w:cs="Times New Roman" w:hint="eastAsia"/>
          <w:b/>
          <w:bCs/>
          <w:sz w:val="28"/>
          <w:szCs w:val="28"/>
        </w:rPr>
        <w:t>-s</w:t>
      </w:r>
      <w:r w:rsidRPr="003136D5">
        <w:rPr>
          <w:rFonts w:ascii="Times New Roman" w:hAnsi="Times New Roman" w:cs="Times New Roman"/>
          <w:b/>
          <w:bCs/>
          <w:sz w:val="28"/>
          <w:szCs w:val="28"/>
        </w:rPr>
        <w:t>witching in Bilingual Classroom</w:t>
      </w:r>
    </w:p>
    <w:p w14:paraId="38EC0FD9" w14:textId="33EF54D3" w:rsidR="006111AB" w:rsidRPr="00F21366" w:rsidRDefault="003668DE" w:rsidP="00A65AA5">
      <w:pPr>
        <w:spacing w:line="360" w:lineRule="auto"/>
        <w:rPr>
          <w:rFonts w:ascii="Times New Roman" w:hAnsi="Times New Roman" w:cs="Times New Roman"/>
          <w:b/>
          <w:bCs/>
          <w:sz w:val="24"/>
          <w:szCs w:val="24"/>
        </w:rPr>
      </w:pPr>
      <w:r w:rsidRPr="00F21366">
        <w:rPr>
          <w:rFonts w:ascii="Times New Roman" w:hAnsi="Times New Roman" w:cs="Times New Roman" w:hint="eastAsia"/>
          <w:b/>
          <w:bCs/>
          <w:sz w:val="24"/>
          <w:szCs w:val="24"/>
        </w:rPr>
        <w:t>Name:</w:t>
      </w:r>
      <w:r w:rsidR="003136D5" w:rsidRPr="00F21366">
        <w:rPr>
          <w:rFonts w:ascii="Times New Roman" w:hAnsi="Times New Roman" w:cs="Times New Roman" w:hint="eastAsia"/>
          <w:b/>
          <w:bCs/>
          <w:sz w:val="24"/>
          <w:szCs w:val="24"/>
        </w:rPr>
        <w:t xml:space="preserve"> </w:t>
      </w:r>
      <w:r w:rsidRPr="00F21366">
        <w:rPr>
          <w:rFonts w:ascii="Times New Roman" w:hAnsi="Times New Roman" w:cs="Times New Roman" w:hint="eastAsia"/>
          <w:b/>
          <w:bCs/>
          <w:sz w:val="24"/>
          <w:szCs w:val="24"/>
        </w:rPr>
        <w:t xml:space="preserve">Li </w:t>
      </w:r>
      <w:proofErr w:type="spellStart"/>
      <w:r w:rsidRPr="00F21366">
        <w:rPr>
          <w:rFonts w:ascii="Times New Roman" w:hAnsi="Times New Roman" w:cs="Times New Roman" w:hint="eastAsia"/>
          <w:b/>
          <w:bCs/>
          <w:sz w:val="24"/>
          <w:szCs w:val="24"/>
        </w:rPr>
        <w:t>Li</w:t>
      </w:r>
      <w:proofErr w:type="spellEnd"/>
      <w:r w:rsidRPr="00F21366">
        <w:rPr>
          <w:rFonts w:ascii="Times New Roman" w:hAnsi="Times New Roman" w:cs="Times New Roman" w:hint="eastAsia"/>
          <w:b/>
          <w:bCs/>
          <w:sz w:val="24"/>
          <w:szCs w:val="24"/>
        </w:rPr>
        <w:t xml:space="preserve"> </w:t>
      </w:r>
      <w:r w:rsidR="004255FE" w:rsidRPr="00F21366">
        <w:rPr>
          <w:rFonts w:ascii="Times New Roman" w:hAnsi="Times New Roman" w:cs="Times New Roman" w:hint="eastAsia"/>
          <w:b/>
          <w:bCs/>
          <w:sz w:val="24"/>
          <w:szCs w:val="24"/>
        </w:rPr>
        <w:t xml:space="preserve">                   </w:t>
      </w:r>
      <w:r w:rsidR="003136D5" w:rsidRPr="00F21366">
        <w:rPr>
          <w:rFonts w:ascii="Times New Roman" w:hAnsi="Times New Roman" w:cs="Times New Roman" w:hint="eastAsia"/>
          <w:b/>
          <w:bCs/>
          <w:sz w:val="24"/>
          <w:szCs w:val="24"/>
        </w:rPr>
        <w:t xml:space="preserve"> </w:t>
      </w:r>
      <w:r w:rsidR="004255FE" w:rsidRPr="00F21366">
        <w:rPr>
          <w:rFonts w:ascii="Times New Roman" w:hAnsi="Times New Roman" w:cs="Times New Roman" w:hint="eastAsia"/>
          <w:b/>
          <w:bCs/>
          <w:sz w:val="24"/>
          <w:szCs w:val="24"/>
        </w:rPr>
        <w:t xml:space="preserve">           </w:t>
      </w:r>
      <w:r w:rsidR="00F21366">
        <w:rPr>
          <w:rFonts w:ascii="Times New Roman" w:hAnsi="Times New Roman" w:cs="Times New Roman" w:hint="eastAsia"/>
          <w:b/>
          <w:bCs/>
          <w:sz w:val="24"/>
          <w:szCs w:val="24"/>
        </w:rPr>
        <w:t xml:space="preserve">          </w:t>
      </w:r>
      <w:r w:rsidR="004255FE" w:rsidRPr="00F21366">
        <w:rPr>
          <w:rFonts w:ascii="Times New Roman" w:hAnsi="Times New Roman" w:cs="Times New Roman" w:hint="eastAsia"/>
          <w:b/>
          <w:bCs/>
          <w:sz w:val="24"/>
          <w:szCs w:val="24"/>
        </w:rPr>
        <w:t xml:space="preserve">     </w:t>
      </w:r>
      <w:r w:rsidRPr="00F21366">
        <w:rPr>
          <w:rFonts w:ascii="Times New Roman" w:hAnsi="Times New Roman" w:cs="Times New Roman" w:hint="eastAsia"/>
          <w:b/>
          <w:bCs/>
          <w:sz w:val="24"/>
          <w:szCs w:val="24"/>
        </w:rPr>
        <w:t>ID: 24707513</w:t>
      </w:r>
    </w:p>
    <w:p w14:paraId="20B0A016" w14:textId="77777777" w:rsidR="003136D5" w:rsidRPr="004255FE" w:rsidRDefault="003136D5" w:rsidP="00A65AA5">
      <w:pPr>
        <w:spacing w:line="360" w:lineRule="auto"/>
        <w:rPr>
          <w:rFonts w:ascii="Times New Roman" w:hAnsi="Times New Roman" w:cs="Times New Roman" w:hint="eastAsia"/>
          <w:b/>
          <w:bCs/>
          <w:sz w:val="24"/>
          <w:szCs w:val="24"/>
        </w:rPr>
      </w:pPr>
    </w:p>
    <w:p w14:paraId="5328D26B" w14:textId="6FC92AC9" w:rsidR="006111AB" w:rsidRDefault="006111AB" w:rsidP="00A65AA5">
      <w:pPr>
        <w:pStyle w:val="a9"/>
        <w:numPr>
          <w:ilvl w:val="0"/>
          <w:numId w:val="4"/>
        </w:numPr>
        <w:spacing w:line="360" w:lineRule="auto"/>
        <w:rPr>
          <w:rFonts w:ascii="Times New Roman" w:hAnsi="Times New Roman" w:cs="Times New Roman"/>
          <w:b/>
          <w:bCs/>
          <w:sz w:val="24"/>
          <w:szCs w:val="24"/>
        </w:rPr>
      </w:pPr>
      <w:r w:rsidRPr="003136D5">
        <w:rPr>
          <w:rFonts w:ascii="Times New Roman" w:hAnsi="Times New Roman" w:cs="Times New Roman"/>
          <w:b/>
          <w:bCs/>
          <w:sz w:val="24"/>
          <w:szCs w:val="24"/>
        </w:rPr>
        <w:t>Introduction</w:t>
      </w:r>
    </w:p>
    <w:p w14:paraId="1F0213A7" w14:textId="2EC15BB8" w:rsidR="00A22949" w:rsidRPr="00A22949" w:rsidRDefault="00A22949" w:rsidP="00A22949">
      <w:pPr>
        <w:spacing w:line="360" w:lineRule="auto"/>
        <w:rPr>
          <w:rFonts w:ascii="Times New Roman" w:hAnsi="Times New Roman" w:cs="Times New Roman"/>
          <w:sz w:val="24"/>
          <w:szCs w:val="24"/>
        </w:rPr>
      </w:pPr>
      <w:r w:rsidRPr="00A22949">
        <w:rPr>
          <w:rFonts w:ascii="Times New Roman" w:hAnsi="Times New Roman" w:cs="Times New Roman"/>
          <w:sz w:val="24"/>
          <w:szCs w:val="24"/>
        </w:rPr>
        <w:t>In today</w:t>
      </w:r>
      <w:r w:rsidR="00F34122">
        <w:rPr>
          <w:rFonts w:ascii="Times New Roman" w:hAnsi="Times New Roman" w:cs="Times New Roman"/>
          <w:sz w:val="24"/>
          <w:szCs w:val="24"/>
        </w:rPr>
        <w:t>’</w:t>
      </w:r>
      <w:r w:rsidRPr="00A22949">
        <w:rPr>
          <w:rFonts w:ascii="Times New Roman" w:hAnsi="Times New Roman" w:cs="Times New Roman"/>
          <w:sz w:val="24"/>
          <w:szCs w:val="24"/>
        </w:rPr>
        <w:t>s increasingly multilingual societies, bilingual education has emerged as a vital approach to ensuring inclusive, equitable, and effective learning experiences. Central to this pedagogical model is the practice of code-switching, alternating between two languages within a communicative context, widely observed in classrooms where learners are developing proficiency in a second language. While viewed as a marker of linguistic deficiency, code-switching is now recognized as a complex and resourceful strategy that reflects a high level of cognitive and linguistic competence.</w:t>
      </w:r>
    </w:p>
    <w:p w14:paraId="2DB8C32A" w14:textId="0355F8A1" w:rsidR="00A22949" w:rsidRPr="00A22949" w:rsidRDefault="00A22949" w:rsidP="00A22949">
      <w:pPr>
        <w:spacing w:line="360" w:lineRule="auto"/>
        <w:rPr>
          <w:rFonts w:ascii="Times New Roman" w:hAnsi="Times New Roman" w:cs="Times New Roman"/>
          <w:sz w:val="24"/>
          <w:szCs w:val="24"/>
        </w:rPr>
      </w:pPr>
      <w:r w:rsidRPr="00A22949">
        <w:rPr>
          <w:rFonts w:ascii="Times New Roman" w:hAnsi="Times New Roman" w:cs="Times New Roman"/>
          <w:sz w:val="24"/>
          <w:szCs w:val="24"/>
        </w:rPr>
        <w:t xml:space="preserve">Bilingual </w:t>
      </w:r>
      <w:r w:rsidRPr="00E87DE1">
        <w:rPr>
          <w:rFonts w:ascii="Times New Roman" w:hAnsi="Times New Roman" w:cs="Times New Roman"/>
          <w:sz w:val="24"/>
          <w:szCs w:val="24"/>
        </w:rPr>
        <w:t>education, as García (2009</w:t>
      </w:r>
      <w:r w:rsidR="00E87DE1" w:rsidRPr="00E87DE1">
        <w:rPr>
          <w:rFonts w:ascii="Times New Roman" w:hAnsi="Times New Roman" w:cs="Times New Roman" w:hint="eastAsia"/>
          <w:sz w:val="24"/>
          <w:szCs w:val="24"/>
        </w:rPr>
        <w:t>, p. 6</w:t>
      </w:r>
      <w:r w:rsidRPr="00E87DE1">
        <w:rPr>
          <w:rFonts w:ascii="Times New Roman" w:hAnsi="Times New Roman" w:cs="Times New Roman"/>
          <w:sz w:val="24"/>
          <w:szCs w:val="24"/>
        </w:rPr>
        <w:t>) argues</w:t>
      </w:r>
      <w:r w:rsidRPr="00A22949">
        <w:rPr>
          <w:rFonts w:ascii="Times New Roman" w:hAnsi="Times New Roman" w:cs="Times New Roman"/>
          <w:sz w:val="24"/>
          <w:szCs w:val="24"/>
        </w:rPr>
        <w:t>, is not merely the delivery of instruction in two languages, but rather a framework for fostering cultural awareness and academic success. Within this framework, classroom code-switching serves as both a pedagogical and socio-emotional tool. It helps teachers scaffold learning by bridging linguistic gaps and supports learners by lowering anxiety and building confidence. These benefits are especially significant in diverse classrooms where students come from various linguistic backgrounds and require differentiated support.</w:t>
      </w:r>
    </w:p>
    <w:p w14:paraId="439E6711" w14:textId="75CAA2FC" w:rsidR="00A22949" w:rsidRPr="00A22949" w:rsidRDefault="00A22949" w:rsidP="00A22949">
      <w:pPr>
        <w:spacing w:line="360" w:lineRule="auto"/>
        <w:rPr>
          <w:rFonts w:ascii="Times New Roman" w:hAnsi="Times New Roman" w:cs="Times New Roman" w:hint="eastAsia"/>
          <w:b/>
          <w:bCs/>
          <w:sz w:val="24"/>
          <w:szCs w:val="24"/>
        </w:rPr>
      </w:pPr>
      <w:r w:rsidRPr="00A22949">
        <w:rPr>
          <w:rFonts w:ascii="Times New Roman" w:hAnsi="Times New Roman" w:cs="Times New Roman"/>
          <w:sz w:val="24"/>
          <w:szCs w:val="24"/>
        </w:rPr>
        <w:t>This essay explores the benefits of code-switching in bilingual classrooms, focusing on three core areas</w:t>
      </w:r>
      <w:r w:rsidR="00B13C83">
        <w:rPr>
          <w:rFonts w:ascii="Times New Roman" w:hAnsi="Times New Roman" w:cs="Times New Roman" w:hint="eastAsia"/>
          <w:sz w:val="24"/>
          <w:szCs w:val="24"/>
        </w:rPr>
        <w:t xml:space="preserve">: </w:t>
      </w:r>
      <w:r w:rsidR="00F56F79">
        <w:rPr>
          <w:rFonts w:ascii="Times New Roman" w:hAnsi="Times New Roman" w:cs="Times New Roman" w:hint="eastAsia"/>
          <w:sz w:val="24"/>
          <w:szCs w:val="24"/>
        </w:rPr>
        <w:t>b</w:t>
      </w:r>
      <w:r w:rsidR="00F56F79" w:rsidRPr="00F56F79">
        <w:rPr>
          <w:rFonts w:ascii="Times New Roman" w:hAnsi="Times New Roman" w:cs="Times New Roman" w:hint="eastAsia"/>
          <w:sz w:val="24"/>
          <w:szCs w:val="24"/>
        </w:rPr>
        <w:t>oosting cognitive and linguistic competenc</w:t>
      </w:r>
      <w:r w:rsidR="00F56F79">
        <w:rPr>
          <w:rFonts w:ascii="Times New Roman" w:hAnsi="Times New Roman" w:cs="Times New Roman" w:hint="eastAsia"/>
          <w:sz w:val="24"/>
          <w:szCs w:val="24"/>
        </w:rPr>
        <w:t>e</w:t>
      </w:r>
      <w:r w:rsidR="00F56F79" w:rsidRPr="00F56F79">
        <w:rPr>
          <w:rFonts w:ascii="Times New Roman" w:hAnsi="Times New Roman" w:cs="Times New Roman" w:hint="eastAsia"/>
          <w:sz w:val="24"/>
          <w:szCs w:val="24"/>
        </w:rPr>
        <w:t>, improving student language performance, and increasing students</w:t>
      </w:r>
      <w:r w:rsidR="00F56F79">
        <w:rPr>
          <w:rFonts w:ascii="Times New Roman" w:hAnsi="Times New Roman" w:cs="Times New Roman"/>
          <w:sz w:val="24"/>
          <w:szCs w:val="24"/>
        </w:rPr>
        <w:t>’</w:t>
      </w:r>
      <w:r w:rsidR="00F56F79">
        <w:rPr>
          <w:rFonts w:ascii="Times New Roman" w:hAnsi="Times New Roman" w:cs="Times New Roman" w:hint="eastAsia"/>
          <w:sz w:val="24"/>
          <w:szCs w:val="24"/>
        </w:rPr>
        <w:t xml:space="preserve"> </w:t>
      </w:r>
      <w:r w:rsidR="00F56F79" w:rsidRPr="00F56F79">
        <w:rPr>
          <w:rFonts w:ascii="Times New Roman" w:hAnsi="Times New Roman" w:cs="Times New Roman" w:hint="eastAsia"/>
          <w:sz w:val="24"/>
          <w:szCs w:val="24"/>
        </w:rPr>
        <w:t>engagement.</w:t>
      </w:r>
      <w:r w:rsidRPr="00A22949">
        <w:rPr>
          <w:rFonts w:ascii="Times New Roman" w:hAnsi="Times New Roman" w:cs="Times New Roman"/>
          <w:sz w:val="24"/>
          <w:szCs w:val="24"/>
        </w:rPr>
        <w:t xml:space="preserve"> It also investigates teachers</w:t>
      </w:r>
      <w:r w:rsidR="00F34122">
        <w:rPr>
          <w:rFonts w:ascii="Times New Roman" w:hAnsi="Times New Roman" w:cs="Times New Roman"/>
          <w:sz w:val="24"/>
          <w:szCs w:val="24"/>
        </w:rPr>
        <w:t>’</w:t>
      </w:r>
      <w:r w:rsidRPr="00A22949">
        <w:rPr>
          <w:rFonts w:ascii="Times New Roman" w:hAnsi="Times New Roman" w:cs="Times New Roman"/>
          <w:sz w:val="24"/>
          <w:szCs w:val="24"/>
        </w:rPr>
        <w:t xml:space="preserve"> perceptions of classroom code-switching, highlighting both supportive and critical viewpoints. Understanding these perceptions is key to developing informed strategies for the use of code-switching in bilingual education. This study aims to contribute to a nuanced understanding of code-switching as a legitimate and strategic component of bilingual education.</w:t>
      </w:r>
    </w:p>
    <w:p w14:paraId="15A62B87" w14:textId="22FE26A8" w:rsidR="00A22949" w:rsidRDefault="00A22949" w:rsidP="00A65AA5">
      <w:pPr>
        <w:pStyle w:val="a9"/>
        <w:numPr>
          <w:ilvl w:val="0"/>
          <w:numId w:val="4"/>
        </w:numPr>
        <w:spacing w:line="360" w:lineRule="auto"/>
        <w:rPr>
          <w:rFonts w:ascii="Times New Roman" w:hAnsi="Times New Roman" w:cs="Times New Roman"/>
          <w:b/>
          <w:bCs/>
          <w:sz w:val="24"/>
          <w:szCs w:val="24"/>
        </w:rPr>
      </w:pPr>
      <w:r w:rsidRPr="00A22949">
        <w:rPr>
          <w:rFonts w:ascii="Times New Roman" w:hAnsi="Times New Roman" w:cs="Times New Roman" w:hint="eastAsia"/>
          <w:b/>
          <w:bCs/>
          <w:sz w:val="24"/>
          <w:szCs w:val="24"/>
        </w:rPr>
        <w:t>Understanding Code-Switching</w:t>
      </w:r>
      <w:r w:rsidR="004076D8" w:rsidRPr="004076D8">
        <w:rPr>
          <w:rFonts w:hint="eastAsia"/>
        </w:rPr>
        <w:t xml:space="preserve"> </w:t>
      </w:r>
      <w:r w:rsidR="004076D8" w:rsidRPr="004076D8">
        <w:rPr>
          <w:rFonts w:ascii="Times New Roman" w:hAnsi="Times New Roman" w:cs="Times New Roman" w:hint="eastAsia"/>
          <w:b/>
          <w:bCs/>
          <w:sz w:val="24"/>
          <w:szCs w:val="24"/>
        </w:rPr>
        <w:t>in Bilingual Classrooms</w:t>
      </w:r>
    </w:p>
    <w:p w14:paraId="66E69AB4" w14:textId="77777777" w:rsidR="004F7D94" w:rsidRPr="0066447D" w:rsidRDefault="004F7D94" w:rsidP="004F7D94">
      <w:pPr>
        <w:spacing w:line="360" w:lineRule="auto"/>
        <w:rPr>
          <w:rFonts w:ascii="Times New Roman" w:hAnsi="Times New Roman" w:cs="Times New Roman"/>
          <w:sz w:val="24"/>
          <w:szCs w:val="24"/>
        </w:rPr>
      </w:pPr>
      <w:r w:rsidRPr="0066447D">
        <w:rPr>
          <w:rFonts w:ascii="Times New Roman" w:hAnsi="Times New Roman" w:cs="Times New Roman"/>
          <w:sz w:val="24"/>
          <w:szCs w:val="24"/>
        </w:rPr>
        <w:t xml:space="preserve">In bilingual education, code-switching has become a vital strategy for negotiating </w:t>
      </w:r>
      <w:r w:rsidRPr="0066447D">
        <w:rPr>
          <w:rFonts w:ascii="Times New Roman" w:hAnsi="Times New Roman" w:cs="Times New Roman"/>
          <w:sz w:val="24"/>
          <w:szCs w:val="24"/>
        </w:rPr>
        <w:lastRenderedPageBreak/>
        <w:t>meaning, enhancing learning, and navigating linguistic and cultural diversity. The classroom serves as a dynamic space where multiple languages and identities intersect, making it an ideal setting for both students and teachers to engage in code-switching.</w:t>
      </w:r>
    </w:p>
    <w:p w14:paraId="7F3AE115" w14:textId="35B7A5DD" w:rsidR="003A24BA" w:rsidRPr="0066447D" w:rsidRDefault="001374FA" w:rsidP="004F7D94">
      <w:pPr>
        <w:spacing w:line="360" w:lineRule="auto"/>
        <w:rPr>
          <w:rFonts w:ascii="Times New Roman" w:hAnsi="Times New Roman" w:cs="Times New Roman"/>
          <w:sz w:val="24"/>
          <w:szCs w:val="24"/>
        </w:rPr>
      </w:pPr>
      <w:r w:rsidRPr="0066447D">
        <w:rPr>
          <w:rFonts w:ascii="Times New Roman" w:hAnsi="Times New Roman" w:cs="Times New Roman"/>
          <w:sz w:val="24"/>
          <w:szCs w:val="24"/>
        </w:rPr>
        <w:t>Classroom code-switching can be spontaneous or strategic, and may serve various purposes, including classroom management, explanation of complex concepts, translation, or maintaining student engagement.</w:t>
      </w:r>
      <w:r w:rsidR="0067242A" w:rsidRPr="0066447D">
        <w:rPr>
          <w:rFonts w:ascii="Times New Roman" w:hAnsi="Times New Roman" w:cs="Times New Roman"/>
          <w:sz w:val="24"/>
          <w:szCs w:val="24"/>
        </w:rPr>
        <w:t xml:space="preserve"> </w:t>
      </w:r>
      <w:r w:rsidR="00A555A2" w:rsidRPr="0066447D">
        <w:rPr>
          <w:rFonts w:ascii="Times New Roman" w:hAnsi="Times New Roman" w:cs="Times New Roman"/>
          <w:sz w:val="24"/>
          <w:szCs w:val="24"/>
        </w:rPr>
        <w:t>Teacher</w:t>
      </w:r>
      <w:r w:rsidR="004F7D94" w:rsidRPr="0066447D">
        <w:rPr>
          <w:rFonts w:ascii="Times New Roman" w:hAnsi="Times New Roman" w:cs="Times New Roman"/>
          <w:sz w:val="24"/>
          <w:szCs w:val="24"/>
        </w:rPr>
        <w:t xml:space="preserve">s who </w:t>
      </w:r>
      <w:r w:rsidR="00A555A2" w:rsidRPr="0066447D">
        <w:rPr>
          <w:rFonts w:ascii="Times New Roman" w:hAnsi="Times New Roman" w:cs="Times New Roman"/>
          <w:sz w:val="24"/>
          <w:szCs w:val="24"/>
        </w:rPr>
        <w:t>understand</w:t>
      </w:r>
      <w:r w:rsidR="004F7D94" w:rsidRPr="0066447D">
        <w:rPr>
          <w:rFonts w:ascii="Times New Roman" w:hAnsi="Times New Roman" w:cs="Times New Roman"/>
          <w:sz w:val="24"/>
          <w:szCs w:val="24"/>
        </w:rPr>
        <w:t xml:space="preserve"> the functions and benefits of code-switching can</w:t>
      </w:r>
      <w:r w:rsidR="00AF1892" w:rsidRPr="0066447D">
        <w:rPr>
          <w:rFonts w:ascii="Times New Roman" w:hAnsi="Times New Roman" w:cs="Times New Roman"/>
        </w:rPr>
        <w:t xml:space="preserve"> </w:t>
      </w:r>
      <w:r w:rsidR="0066447D" w:rsidRPr="0066447D">
        <w:rPr>
          <w:rFonts w:ascii="Times New Roman" w:hAnsi="Times New Roman" w:cs="Times New Roman"/>
          <w:sz w:val="24"/>
          <w:szCs w:val="24"/>
        </w:rPr>
        <w:t>be better</w:t>
      </w:r>
      <w:r w:rsidR="00AF1892" w:rsidRPr="0066447D">
        <w:rPr>
          <w:rFonts w:ascii="Times New Roman" w:hAnsi="Times New Roman" w:cs="Times New Roman"/>
          <w:sz w:val="24"/>
          <w:szCs w:val="24"/>
        </w:rPr>
        <w:t xml:space="preserve"> equipped</w:t>
      </w:r>
      <w:r w:rsidR="004F7D94" w:rsidRPr="0066447D">
        <w:rPr>
          <w:rFonts w:ascii="Times New Roman" w:hAnsi="Times New Roman" w:cs="Times New Roman"/>
          <w:sz w:val="24"/>
          <w:szCs w:val="24"/>
        </w:rPr>
        <w:t xml:space="preserve"> to enhance classroom interaction. </w:t>
      </w:r>
    </w:p>
    <w:p w14:paraId="159A35C0" w14:textId="62CFA4CC" w:rsidR="006111AB" w:rsidRPr="0066447D" w:rsidRDefault="006111AB" w:rsidP="00A22949">
      <w:pPr>
        <w:pStyle w:val="a9"/>
        <w:numPr>
          <w:ilvl w:val="1"/>
          <w:numId w:val="4"/>
        </w:numPr>
        <w:spacing w:line="360" w:lineRule="auto"/>
        <w:rPr>
          <w:rFonts w:ascii="Times New Roman" w:hAnsi="Times New Roman" w:cs="Times New Roman"/>
          <w:b/>
          <w:bCs/>
          <w:sz w:val="24"/>
          <w:szCs w:val="24"/>
        </w:rPr>
      </w:pPr>
      <w:r w:rsidRPr="0066447D">
        <w:rPr>
          <w:rFonts w:ascii="Times New Roman" w:hAnsi="Times New Roman" w:cs="Times New Roman"/>
          <w:b/>
          <w:bCs/>
          <w:sz w:val="24"/>
          <w:szCs w:val="24"/>
        </w:rPr>
        <w:t>Code-Switching</w:t>
      </w:r>
    </w:p>
    <w:p w14:paraId="580CBB93" w14:textId="21762EEA" w:rsidR="006111AB" w:rsidRPr="00B606A1" w:rsidRDefault="006111AB" w:rsidP="00A65AA5">
      <w:pPr>
        <w:spacing w:line="360" w:lineRule="auto"/>
        <w:rPr>
          <w:rFonts w:ascii="Times New Roman" w:hAnsi="Times New Roman" w:cs="Times New Roman"/>
          <w:sz w:val="24"/>
          <w:szCs w:val="24"/>
        </w:rPr>
      </w:pPr>
      <w:r w:rsidRPr="0066447D">
        <w:rPr>
          <w:rFonts w:ascii="Times New Roman" w:hAnsi="Times New Roman" w:cs="Times New Roman"/>
          <w:sz w:val="24"/>
          <w:szCs w:val="24"/>
        </w:rPr>
        <w:t xml:space="preserve">Code-switching is one of the most prominent and extensively examined phenomena in </w:t>
      </w:r>
      <w:r w:rsidRPr="00B606A1">
        <w:rPr>
          <w:rFonts w:ascii="Times New Roman" w:hAnsi="Times New Roman" w:cs="Times New Roman"/>
          <w:sz w:val="24"/>
          <w:szCs w:val="24"/>
        </w:rPr>
        <w:t xml:space="preserve">sociolinguistics and bilingual education. It refers to the </w:t>
      </w:r>
      <w:r w:rsidR="00E61B85">
        <w:rPr>
          <w:rFonts w:ascii="Times New Roman" w:hAnsi="Times New Roman" w:cs="Times New Roman"/>
          <w:sz w:val="24"/>
          <w:szCs w:val="24"/>
        </w:rPr>
        <w:t>alternation</w:t>
      </w:r>
      <w:r w:rsidRPr="00B606A1">
        <w:rPr>
          <w:rFonts w:ascii="Times New Roman" w:hAnsi="Times New Roman" w:cs="Times New Roman"/>
          <w:sz w:val="24"/>
          <w:szCs w:val="24"/>
        </w:rPr>
        <w:t xml:space="preserve"> between two languages or language varieties within a single discourse by bilingual or multilingual speak</w:t>
      </w:r>
      <w:r w:rsidRPr="00A615D5">
        <w:rPr>
          <w:rFonts w:ascii="Times New Roman" w:hAnsi="Times New Roman" w:cs="Times New Roman"/>
          <w:sz w:val="24"/>
          <w:szCs w:val="24"/>
        </w:rPr>
        <w:t>ers. Bullock and Toribio (2009: xii) defi</w:t>
      </w:r>
      <w:r w:rsidRPr="00B606A1">
        <w:rPr>
          <w:rFonts w:ascii="Times New Roman" w:hAnsi="Times New Roman" w:cs="Times New Roman"/>
          <w:sz w:val="24"/>
          <w:szCs w:val="24"/>
        </w:rPr>
        <w:t>ne it as “the alternating use of two languages in the same stretch of discourse by a bilingual speaker.” This linguistic practice occurs naturally in bilingual communities and serves various communicative, social, and cognitive functions.</w:t>
      </w:r>
    </w:p>
    <w:p w14:paraId="588C5338" w14:textId="6A4F75FB" w:rsidR="0010793F" w:rsidRDefault="006111AB" w:rsidP="00A65AA5">
      <w:pPr>
        <w:spacing w:line="360" w:lineRule="auto"/>
        <w:rPr>
          <w:rFonts w:ascii="Times New Roman" w:hAnsi="Times New Roman" w:cs="Times New Roman"/>
          <w:sz w:val="24"/>
          <w:szCs w:val="24"/>
        </w:rPr>
      </w:pPr>
      <w:r w:rsidRPr="00B278E7">
        <w:rPr>
          <w:rFonts w:ascii="Times New Roman" w:hAnsi="Times New Roman" w:cs="Times New Roman"/>
          <w:sz w:val="24"/>
          <w:szCs w:val="24"/>
        </w:rPr>
        <w:t xml:space="preserve">As </w:t>
      </w:r>
      <w:proofErr w:type="spellStart"/>
      <w:r w:rsidRPr="00B278E7">
        <w:rPr>
          <w:rFonts w:ascii="Times New Roman" w:hAnsi="Times New Roman" w:cs="Times New Roman"/>
          <w:sz w:val="24"/>
          <w:szCs w:val="24"/>
        </w:rPr>
        <w:t>Corcoll</w:t>
      </w:r>
      <w:proofErr w:type="spellEnd"/>
      <w:r w:rsidRPr="00B278E7">
        <w:rPr>
          <w:rFonts w:ascii="Times New Roman" w:hAnsi="Times New Roman" w:cs="Times New Roman"/>
          <w:sz w:val="24"/>
          <w:szCs w:val="24"/>
        </w:rPr>
        <w:t xml:space="preserve"> </w:t>
      </w:r>
      <w:proofErr w:type="spellStart"/>
      <w:r w:rsidRPr="00B278E7">
        <w:rPr>
          <w:rFonts w:ascii="Times New Roman" w:hAnsi="Times New Roman" w:cs="Times New Roman"/>
          <w:sz w:val="24"/>
          <w:szCs w:val="24"/>
        </w:rPr>
        <w:t>Lopéz</w:t>
      </w:r>
      <w:proofErr w:type="spellEnd"/>
      <w:r w:rsidRPr="00B278E7">
        <w:rPr>
          <w:rFonts w:ascii="Times New Roman" w:hAnsi="Times New Roman" w:cs="Times New Roman"/>
          <w:sz w:val="24"/>
          <w:szCs w:val="24"/>
        </w:rPr>
        <w:t xml:space="preserve"> and González-Davies (2015, p. 69) expla</w:t>
      </w:r>
      <w:r w:rsidRPr="00B606A1">
        <w:rPr>
          <w:rFonts w:ascii="Times New Roman" w:hAnsi="Times New Roman" w:cs="Times New Roman"/>
          <w:sz w:val="24"/>
          <w:szCs w:val="24"/>
        </w:rPr>
        <w:t>in, code-switching is the ability of plurilingual speakers to switch between sentences or within sentences using the different codes in their repertoire to meet communication needs dictated by the context in which they find themselves. Over the years, attitudes towards code-switching have evolved. For a long time, it was viewed as an undesirable by-product of bilingual speech and a sign of insufficient proficiency in one</w:t>
      </w:r>
      <w:r w:rsidR="00F34122">
        <w:rPr>
          <w:rFonts w:ascii="Times New Roman" w:hAnsi="Times New Roman" w:cs="Times New Roman"/>
          <w:sz w:val="24"/>
          <w:szCs w:val="24"/>
        </w:rPr>
        <w:t>’</w:t>
      </w:r>
      <w:r w:rsidRPr="00B606A1">
        <w:rPr>
          <w:rFonts w:ascii="Times New Roman" w:hAnsi="Times New Roman" w:cs="Times New Roman"/>
          <w:sz w:val="24"/>
          <w:szCs w:val="24"/>
        </w:rPr>
        <w:t>s language</w:t>
      </w:r>
      <w:r w:rsidRPr="00B278E7">
        <w:rPr>
          <w:rFonts w:ascii="Times New Roman" w:hAnsi="Times New Roman" w:cs="Times New Roman"/>
          <w:sz w:val="24"/>
          <w:szCs w:val="24"/>
        </w:rPr>
        <w:t>s (Lee, 2012, p. 147).</w:t>
      </w:r>
      <w:r w:rsidRPr="00B606A1">
        <w:rPr>
          <w:rFonts w:ascii="Times New Roman" w:hAnsi="Times New Roman" w:cs="Times New Roman"/>
          <w:sz w:val="24"/>
          <w:szCs w:val="24"/>
        </w:rPr>
        <w:t xml:space="preserve"> </w:t>
      </w:r>
      <w:r w:rsidR="00174F92">
        <w:rPr>
          <w:rFonts w:ascii="Times New Roman" w:hAnsi="Times New Roman" w:cs="Times New Roman" w:hint="eastAsia"/>
          <w:sz w:val="24"/>
          <w:szCs w:val="24"/>
        </w:rPr>
        <w:t>On the contrary</w:t>
      </w:r>
      <w:r w:rsidR="00174F92" w:rsidRPr="00174F92">
        <w:rPr>
          <w:rFonts w:ascii="Times New Roman" w:hAnsi="Times New Roman" w:cs="Times New Roman" w:hint="eastAsia"/>
          <w:sz w:val="24"/>
          <w:szCs w:val="24"/>
        </w:rPr>
        <w:t>, Ali</w:t>
      </w:r>
      <w:r w:rsidR="00174F92" w:rsidRPr="00174F92">
        <w:rPr>
          <w:rFonts w:ascii="Cambria" w:hAnsi="Cambria" w:cs="Cambria"/>
          <w:sz w:val="24"/>
          <w:szCs w:val="24"/>
        </w:rPr>
        <w:t>ć</w:t>
      </w:r>
      <w:r w:rsidR="00174F92" w:rsidRPr="00174F92">
        <w:rPr>
          <w:rFonts w:ascii="Times New Roman" w:hAnsi="Times New Roman" w:cs="Times New Roman" w:hint="eastAsia"/>
          <w:sz w:val="24"/>
          <w:szCs w:val="24"/>
        </w:rPr>
        <w:t xml:space="preserve"> Topi</w:t>
      </w:r>
      <w:r w:rsidR="00174F92" w:rsidRPr="00174F92">
        <w:rPr>
          <w:rFonts w:ascii="Cambria" w:hAnsi="Cambria" w:cs="Cambria"/>
          <w:sz w:val="24"/>
          <w:szCs w:val="24"/>
        </w:rPr>
        <w:t>ć</w:t>
      </w:r>
      <w:r w:rsidR="00174F92" w:rsidRPr="00B278E7">
        <w:rPr>
          <w:rFonts w:ascii="Times New Roman" w:hAnsi="Times New Roman" w:cs="Times New Roman"/>
          <w:sz w:val="24"/>
          <w:szCs w:val="24"/>
        </w:rPr>
        <w:t xml:space="preserve"> (20</w:t>
      </w:r>
      <w:r w:rsidR="009E186F">
        <w:rPr>
          <w:rFonts w:ascii="Times New Roman" w:hAnsi="Times New Roman" w:cs="Times New Roman" w:hint="eastAsia"/>
          <w:sz w:val="24"/>
          <w:szCs w:val="24"/>
        </w:rPr>
        <w:t>2</w:t>
      </w:r>
      <w:r w:rsidR="00174F92" w:rsidRPr="00B278E7">
        <w:rPr>
          <w:rFonts w:ascii="Times New Roman" w:hAnsi="Times New Roman" w:cs="Times New Roman"/>
          <w:sz w:val="24"/>
          <w:szCs w:val="24"/>
        </w:rPr>
        <w:t xml:space="preserve">2, p. </w:t>
      </w:r>
      <w:r w:rsidR="009E186F">
        <w:rPr>
          <w:rFonts w:ascii="Times New Roman" w:hAnsi="Times New Roman" w:cs="Times New Roman" w:hint="eastAsia"/>
          <w:sz w:val="24"/>
          <w:szCs w:val="24"/>
        </w:rPr>
        <w:t>9</w:t>
      </w:r>
      <w:r w:rsidR="00174F92" w:rsidRPr="00B278E7">
        <w:rPr>
          <w:rFonts w:ascii="Times New Roman" w:hAnsi="Times New Roman" w:cs="Times New Roman"/>
          <w:sz w:val="24"/>
          <w:szCs w:val="24"/>
        </w:rPr>
        <w:t>)</w:t>
      </w:r>
      <w:r w:rsidR="00174F92" w:rsidRPr="00174F92">
        <w:rPr>
          <w:rFonts w:ascii="Times New Roman" w:hAnsi="Times New Roman" w:cs="Times New Roman" w:hint="eastAsia"/>
          <w:sz w:val="24"/>
          <w:szCs w:val="24"/>
        </w:rPr>
        <w:t xml:space="preserve"> argues that code-switching reflects a natural and inevitable linguistic ability.</w:t>
      </w:r>
    </w:p>
    <w:p w14:paraId="31890872" w14:textId="5ABE7B48" w:rsidR="006111AB" w:rsidRPr="00B606A1" w:rsidRDefault="006111AB" w:rsidP="00A65AA5">
      <w:pPr>
        <w:spacing w:line="360" w:lineRule="auto"/>
        <w:rPr>
          <w:rFonts w:ascii="Times New Roman" w:hAnsi="Times New Roman" w:cs="Times New Roman"/>
          <w:sz w:val="24"/>
          <w:szCs w:val="24"/>
        </w:rPr>
      </w:pPr>
      <w:r w:rsidRPr="00B278E7">
        <w:rPr>
          <w:rFonts w:ascii="Times New Roman" w:hAnsi="Times New Roman" w:cs="Times New Roman"/>
          <w:sz w:val="24"/>
          <w:szCs w:val="24"/>
        </w:rPr>
        <w:t>Lin and Li (2012, p. 470) empha</w:t>
      </w:r>
      <w:r w:rsidRPr="00B606A1">
        <w:rPr>
          <w:rFonts w:ascii="Times New Roman" w:hAnsi="Times New Roman" w:cs="Times New Roman"/>
          <w:sz w:val="24"/>
          <w:szCs w:val="24"/>
        </w:rPr>
        <w:t>size that code-switching is one of language contact phenomena and that it reflects speakers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ability to shift across linguistic boundaries. Although code-switching can be observed in writing, </w:t>
      </w:r>
      <w:r w:rsidR="00FF4B3A" w:rsidRPr="00B606A1">
        <w:rPr>
          <w:rFonts w:ascii="Times New Roman" w:hAnsi="Times New Roman" w:cs="Times New Roman"/>
          <w:sz w:val="24"/>
          <w:szCs w:val="24"/>
        </w:rPr>
        <w:t>most of the</w:t>
      </w:r>
      <w:r w:rsidRPr="00B606A1">
        <w:rPr>
          <w:rFonts w:ascii="Times New Roman" w:hAnsi="Times New Roman" w:cs="Times New Roman"/>
          <w:sz w:val="24"/>
          <w:szCs w:val="24"/>
        </w:rPr>
        <w:t xml:space="preserve"> research has focused on speech, particularly spontaneous conversations among bilinguals. This phenomenon is not only common but also indicative of high-level cognitive and linguistic skills that allow speakers to navigate complex language systems simultaneously.</w:t>
      </w:r>
    </w:p>
    <w:p w14:paraId="7115D274" w14:textId="47974DF7" w:rsidR="006111AB"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Overall, code-switching is a multifaceted phenomenon that reflects speakers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linguistic </w:t>
      </w:r>
      <w:r w:rsidRPr="00B606A1">
        <w:rPr>
          <w:rFonts w:ascii="Times New Roman" w:hAnsi="Times New Roman" w:cs="Times New Roman"/>
          <w:sz w:val="24"/>
          <w:szCs w:val="24"/>
        </w:rPr>
        <w:lastRenderedPageBreak/>
        <w:t>competence and adaptability. Its study provides valuable insights into the cognitive, social, and educational aspects of bilingualism and multilingualism.</w:t>
      </w:r>
    </w:p>
    <w:p w14:paraId="6D37B28F" w14:textId="52F217A0" w:rsidR="006111AB" w:rsidRPr="00B606A1" w:rsidRDefault="00C01485" w:rsidP="00A65AA5">
      <w:pPr>
        <w:spacing w:line="360" w:lineRule="auto"/>
        <w:rPr>
          <w:rFonts w:ascii="Times New Roman" w:hAnsi="Times New Roman" w:cs="Times New Roman"/>
          <w:b/>
          <w:bCs/>
          <w:sz w:val="24"/>
          <w:szCs w:val="24"/>
        </w:rPr>
      </w:pPr>
      <w:r>
        <w:rPr>
          <w:rFonts w:ascii="Times New Roman" w:hAnsi="Times New Roman" w:cs="Times New Roman" w:hint="eastAsia"/>
          <w:b/>
          <w:bCs/>
          <w:sz w:val="24"/>
          <w:szCs w:val="24"/>
        </w:rPr>
        <w:t xml:space="preserve">2.2 </w:t>
      </w:r>
      <w:r w:rsidR="006111AB" w:rsidRPr="00B606A1">
        <w:rPr>
          <w:rFonts w:ascii="Times New Roman" w:hAnsi="Times New Roman" w:cs="Times New Roman"/>
          <w:b/>
          <w:bCs/>
          <w:sz w:val="24"/>
          <w:szCs w:val="24"/>
        </w:rPr>
        <w:t>Bilingual Education</w:t>
      </w:r>
    </w:p>
    <w:p w14:paraId="0CCA130F" w14:textId="3F3109AF" w:rsidR="006111AB" w:rsidRPr="005936BC"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Bilingual education, in its simplest form, refers to the use of two or more languages in in</w:t>
      </w:r>
      <w:r w:rsidRPr="005936BC">
        <w:rPr>
          <w:rFonts w:ascii="Times New Roman" w:hAnsi="Times New Roman" w:cs="Times New Roman"/>
          <w:sz w:val="24"/>
          <w:szCs w:val="24"/>
        </w:rPr>
        <w:t>structional contexts (</w:t>
      </w:r>
      <w:r w:rsidR="005936BC" w:rsidRPr="005936BC">
        <w:rPr>
          <w:rFonts w:ascii="Times New Roman" w:hAnsi="Times New Roman" w:cs="Times New Roman"/>
          <w:sz w:val="24"/>
          <w:szCs w:val="24"/>
        </w:rPr>
        <w:t>García</w:t>
      </w:r>
      <w:r w:rsidR="00B176CA" w:rsidRPr="005936BC">
        <w:rPr>
          <w:rFonts w:ascii="Times New Roman" w:hAnsi="Times New Roman" w:cs="Times New Roman" w:hint="eastAsia"/>
          <w:sz w:val="24"/>
          <w:szCs w:val="24"/>
        </w:rPr>
        <w:t>, 2009</w:t>
      </w:r>
      <w:r w:rsidR="00B176CA" w:rsidRPr="005936BC">
        <w:rPr>
          <w:rFonts w:ascii="Times New Roman" w:hAnsi="Times New Roman" w:cs="Times New Roman" w:hint="eastAsia"/>
          <w:sz w:val="24"/>
          <w:szCs w:val="24"/>
        </w:rPr>
        <w:t>, p. 5</w:t>
      </w:r>
      <w:r w:rsidRPr="005936BC">
        <w:rPr>
          <w:rFonts w:ascii="Times New Roman" w:hAnsi="Times New Roman" w:cs="Times New Roman"/>
          <w:sz w:val="24"/>
          <w:szCs w:val="24"/>
        </w:rPr>
        <w:t>). Typically, this involves the integration of students</w:t>
      </w:r>
      <w:r w:rsidR="00F34122" w:rsidRPr="005936BC">
        <w:rPr>
          <w:rFonts w:ascii="Times New Roman" w:hAnsi="Times New Roman" w:cs="Times New Roman"/>
          <w:sz w:val="24"/>
          <w:szCs w:val="24"/>
        </w:rPr>
        <w:t>’</w:t>
      </w:r>
      <w:r w:rsidRPr="005936BC">
        <w:rPr>
          <w:rFonts w:ascii="Times New Roman" w:hAnsi="Times New Roman" w:cs="Times New Roman"/>
          <w:sz w:val="24"/>
          <w:szCs w:val="24"/>
        </w:rPr>
        <w:t xml:space="preserve"> native language (L1) alongside the dominant societal or target language (L2). In such settings, content-area instruction is strategically divided, with some subjects taught in the students</w:t>
      </w:r>
      <w:r w:rsidR="00F34122" w:rsidRPr="005936BC">
        <w:rPr>
          <w:rFonts w:ascii="Times New Roman" w:hAnsi="Times New Roman" w:cs="Times New Roman"/>
          <w:sz w:val="24"/>
          <w:szCs w:val="24"/>
        </w:rPr>
        <w:t>’</w:t>
      </w:r>
      <w:r w:rsidRPr="005936BC">
        <w:rPr>
          <w:rFonts w:ascii="Times New Roman" w:hAnsi="Times New Roman" w:cs="Times New Roman"/>
          <w:sz w:val="24"/>
          <w:szCs w:val="24"/>
        </w:rPr>
        <w:t xml:space="preserve"> home language and others delivered in the second language (García, 2009</w:t>
      </w:r>
      <w:r w:rsidR="008812EA" w:rsidRPr="005936BC">
        <w:rPr>
          <w:rFonts w:ascii="Times New Roman" w:hAnsi="Times New Roman" w:cs="Times New Roman" w:hint="eastAsia"/>
          <w:sz w:val="24"/>
          <w:szCs w:val="24"/>
        </w:rPr>
        <w:t>, p. 6</w:t>
      </w:r>
      <w:r w:rsidRPr="005936BC">
        <w:rPr>
          <w:rFonts w:ascii="Times New Roman" w:hAnsi="Times New Roman" w:cs="Times New Roman"/>
          <w:sz w:val="24"/>
          <w:szCs w:val="24"/>
        </w:rPr>
        <w:t xml:space="preserve">). </w:t>
      </w:r>
    </w:p>
    <w:p w14:paraId="3F49EAB6" w14:textId="471530DD" w:rsidR="006111AB" w:rsidRPr="00B606A1" w:rsidRDefault="006111AB" w:rsidP="00A65AA5">
      <w:pPr>
        <w:spacing w:line="360" w:lineRule="auto"/>
        <w:rPr>
          <w:rFonts w:ascii="Times New Roman" w:hAnsi="Times New Roman" w:cs="Times New Roman"/>
          <w:sz w:val="24"/>
          <w:szCs w:val="24"/>
        </w:rPr>
      </w:pPr>
      <w:r w:rsidRPr="005936BC">
        <w:rPr>
          <w:rFonts w:ascii="Times New Roman" w:hAnsi="Times New Roman" w:cs="Times New Roman"/>
          <w:sz w:val="24"/>
          <w:szCs w:val="24"/>
        </w:rPr>
        <w:t>However, this definition only scratches the surface of what bilingual education truly encompasses. As García (2009</w:t>
      </w:r>
      <w:r w:rsidR="005936BC" w:rsidRPr="005936BC">
        <w:rPr>
          <w:rFonts w:ascii="Times New Roman" w:hAnsi="Times New Roman" w:cs="Times New Roman" w:hint="eastAsia"/>
          <w:sz w:val="24"/>
          <w:szCs w:val="24"/>
        </w:rPr>
        <w:t>, p. 6</w:t>
      </w:r>
      <w:r w:rsidRPr="005936BC">
        <w:rPr>
          <w:rFonts w:ascii="Times New Roman" w:hAnsi="Times New Roman" w:cs="Times New Roman"/>
          <w:sz w:val="24"/>
          <w:szCs w:val="24"/>
        </w:rPr>
        <w:t>) argues, bilingual education extends beyond mere linguistic duality; it is fundamentally a vehicle for promoting meaningful, equitable, and inclusive educational experiences. It aims to build linguistic tolerance and cultural appreciation by nurturing multilingual competence and fostering respect for human diversity. Through bilingual education, students gain access to a general curriculum while also developing critical understandings of language systems and cultural narratives (García, 2009, p. 6).</w:t>
      </w:r>
    </w:p>
    <w:p w14:paraId="11BE0DCE" w14:textId="304C1AFD"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An essential aspect of bilingual education involves the dynamic interplay between L1 and L2 in classroom instruction. A central pedagogical debate concerns how best to balance the use of these two languages. While some educational policies advocate for strict immersion in the target language, mounting research suggests that the strategic integration of both L1 and L2</w:t>
      </w:r>
      <w:r w:rsidR="00A37976">
        <w:rPr>
          <w:rFonts w:ascii="Times New Roman" w:hAnsi="Times New Roman" w:cs="Times New Roman" w:hint="eastAsia"/>
          <w:sz w:val="24"/>
          <w:szCs w:val="24"/>
        </w:rPr>
        <w:t xml:space="preserve">, </w:t>
      </w:r>
      <w:r w:rsidRPr="00B606A1">
        <w:rPr>
          <w:rFonts w:ascii="Times New Roman" w:hAnsi="Times New Roman" w:cs="Times New Roman"/>
          <w:sz w:val="24"/>
          <w:szCs w:val="24"/>
        </w:rPr>
        <w:t>often through code-switching</w:t>
      </w:r>
      <w:r w:rsidR="00A37976">
        <w:rPr>
          <w:rFonts w:ascii="Times New Roman" w:hAnsi="Times New Roman" w:cs="Times New Roman" w:hint="eastAsia"/>
          <w:sz w:val="24"/>
          <w:szCs w:val="24"/>
        </w:rPr>
        <w:t xml:space="preserve">, </w:t>
      </w:r>
      <w:r w:rsidRPr="00B606A1">
        <w:rPr>
          <w:rFonts w:ascii="Times New Roman" w:hAnsi="Times New Roman" w:cs="Times New Roman"/>
          <w:sz w:val="24"/>
          <w:szCs w:val="24"/>
        </w:rPr>
        <w:t>can significantly scaffold learning and comprehens</w:t>
      </w:r>
      <w:r w:rsidRPr="002F3DB2">
        <w:rPr>
          <w:rFonts w:ascii="Times New Roman" w:hAnsi="Times New Roman" w:cs="Times New Roman"/>
          <w:sz w:val="24"/>
          <w:szCs w:val="24"/>
        </w:rPr>
        <w:t>ion (Tavares, 2015</w:t>
      </w:r>
      <w:r w:rsidR="00537703" w:rsidRPr="002F3DB2">
        <w:rPr>
          <w:rFonts w:ascii="Times New Roman" w:hAnsi="Times New Roman" w:cs="Times New Roman" w:hint="eastAsia"/>
          <w:sz w:val="24"/>
          <w:szCs w:val="24"/>
        </w:rPr>
        <w:t xml:space="preserve">, p. </w:t>
      </w:r>
      <w:r w:rsidR="002F3DB2" w:rsidRPr="002F3DB2">
        <w:rPr>
          <w:rFonts w:ascii="Times New Roman" w:hAnsi="Times New Roman" w:cs="Times New Roman" w:hint="eastAsia"/>
          <w:sz w:val="24"/>
          <w:szCs w:val="24"/>
        </w:rPr>
        <w:t>327</w:t>
      </w:r>
      <w:r w:rsidRPr="002F3DB2">
        <w:rPr>
          <w:rFonts w:ascii="Times New Roman" w:hAnsi="Times New Roman" w:cs="Times New Roman"/>
          <w:sz w:val="24"/>
          <w:szCs w:val="24"/>
        </w:rPr>
        <w:t>).</w:t>
      </w:r>
    </w:p>
    <w:p w14:paraId="43244877" w14:textId="163660E7" w:rsidR="006111AB" w:rsidRPr="006B0C56"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One practical method through which L1 and L2 can be effectively balanced is code-switching. In the classroom context, incorporating code-switching within bilingual instruction has demonstrated strong pedagogical and emotional benefits. </w:t>
      </w:r>
      <w:r w:rsidRPr="009844CC">
        <w:rPr>
          <w:rFonts w:ascii="Times New Roman" w:hAnsi="Times New Roman" w:cs="Times New Roman"/>
          <w:sz w:val="24"/>
          <w:szCs w:val="24"/>
        </w:rPr>
        <w:t>Cahyani, de Courcy, and Barnett (2016</w:t>
      </w:r>
      <w:r w:rsidR="00F7654C" w:rsidRPr="009844CC">
        <w:rPr>
          <w:rFonts w:ascii="Times New Roman" w:hAnsi="Times New Roman" w:cs="Times New Roman" w:hint="eastAsia"/>
          <w:sz w:val="24"/>
          <w:szCs w:val="24"/>
        </w:rPr>
        <w:t xml:space="preserve">, </w:t>
      </w:r>
      <w:r w:rsidR="007A0278" w:rsidRPr="009844CC">
        <w:rPr>
          <w:rFonts w:ascii="Times New Roman" w:hAnsi="Times New Roman" w:cs="Times New Roman" w:hint="eastAsia"/>
          <w:sz w:val="24"/>
          <w:szCs w:val="24"/>
        </w:rPr>
        <w:t>p. 470</w:t>
      </w:r>
      <w:r w:rsidRPr="009844CC">
        <w:rPr>
          <w:rFonts w:ascii="Times New Roman" w:hAnsi="Times New Roman" w:cs="Times New Roman"/>
          <w:sz w:val="24"/>
          <w:szCs w:val="24"/>
        </w:rPr>
        <w:t>)</w:t>
      </w:r>
      <w:r w:rsidRPr="00B606A1">
        <w:rPr>
          <w:rFonts w:ascii="Times New Roman" w:hAnsi="Times New Roman" w:cs="Times New Roman"/>
          <w:sz w:val="24"/>
          <w:szCs w:val="24"/>
        </w:rPr>
        <w:t xml:space="preserve"> describe code-switching as a multifunctional tool that enhances classroom communication, provides cognitive scaffolding, and fosters stronger interpersonal relationships. Their research indicates that teachers often use students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home languages not just to clarify complex ideas but also to build rapport and </w:t>
      </w:r>
      <w:r w:rsidRPr="00B606A1">
        <w:rPr>
          <w:rFonts w:ascii="Times New Roman" w:hAnsi="Times New Roman" w:cs="Times New Roman"/>
          <w:sz w:val="24"/>
          <w:szCs w:val="24"/>
        </w:rPr>
        <w:lastRenderedPageBreak/>
        <w:t>create a more inclusive and emotionally supportive learning environm</w:t>
      </w:r>
      <w:r w:rsidRPr="006B0C56">
        <w:rPr>
          <w:rFonts w:ascii="Times New Roman" w:hAnsi="Times New Roman" w:cs="Times New Roman"/>
          <w:sz w:val="24"/>
          <w:szCs w:val="24"/>
        </w:rPr>
        <w:t>ent</w:t>
      </w:r>
      <w:r w:rsidR="00C27122" w:rsidRPr="006B0C56">
        <w:rPr>
          <w:rFonts w:ascii="Times New Roman" w:hAnsi="Times New Roman" w:cs="Times New Roman" w:hint="eastAsia"/>
          <w:sz w:val="24"/>
          <w:szCs w:val="24"/>
        </w:rPr>
        <w:t xml:space="preserve"> (</w:t>
      </w:r>
      <w:r w:rsidR="006B0C56" w:rsidRPr="006B0C56">
        <w:rPr>
          <w:rFonts w:ascii="Times New Roman" w:hAnsi="Times New Roman" w:cs="Times New Roman"/>
          <w:sz w:val="24"/>
          <w:szCs w:val="24"/>
        </w:rPr>
        <w:t>Cahyani, de Courcy, and Barnett</w:t>
      </w:r>
      <w:r w:rsidR="006B0C56" w:rsidRPr="006B0C56">
        <w:rPr>
          <w:rFonts w:ascii="Times New Roman" w:hAnsi="Times New Roman" w:cs="Times New Roman" w:hint="eastAsia"/>
          <w:sz w:val="24"/>
          <w:szCs w:val="24"/>
        </w:rPr>
        <w:t xml:space="preserve">, </w:t>
      </w:r>
      <w:r w:rsidR="006B0C56" w:rsidRPr="006B0C56">
        <w:rPr>
          <w:rFonts w:ascii="Times New Roman" w:hAnsi="Times New Roman" w:cs="Times New Roman"/>
          <w:sz w:val="24"/>
          <w:szCs w:val="24"/>
        </w:rPr>
        <w:t>2016</w:t>
      </w:r>
      <w:r w:rsidR="006B0C56" w:rsidRPr="006B0C56">
        <w:rPr>
          <w:rFonts w:ascii="Times New Roman" w:hAnsi="Times New Roman" w:cs="Times New Roman" w:hint="eastAsia"/>
          <w:sz w:val="24"/>
          <w:szCs w:val="24"/>
        </w:rPr>
        <w:t>, p. 47</w:t>
      </w:r>
      <w:r w:rsidR="006B0C56" w:rsidRPr="006B0C56">
        <w:rPr>
          <w:rFonts w:ascii="Times New Roman" w:hAnsi="Times New Roman" w:cs="Times New Roman" w:hint="eastAsia"/>
          <w:sz w:val="24"/>
          <w:szCs w:val="24"/>
        </w:rPr>
        <w:t>4</w:t>
      </w:r>
      <w:r w:rsidR="00C27122" w:rsidRPr="006B0C56">
        <w:rPr>
          <w:rFonts w:ascii="Times New Roman" w:hAnsi="Times New Roman" w:cs="Times New Roman" w:hint="eastAsia"/>
          <w:sz w:val="24"/>
          <w:szCs w:val="24"/>
        </w:rPr>
        <w:t>)</w:t>
      </w:r>
      <w:r w:rsidRPr="006B0C56">
        <w:rPr>
          <w:rFonts w:ascii="Times New Roman" w:hAnsi="Times New Roman" w:cs="Times New Roman"/>
          <w:sz w:val="24"/>
          <w:szCs w:val="24"/>
        </w:rPr>
        <w:t>.</w:t>
      </w:r>
    </w:p>
    <w:p w14:paraId="61FCD2A6" w14:textId="77777777" w:rsidR="006111AB" w:rsidRPr="00B606A1" w:rsidRDefault="006111AB" w:rsidP="00A65AA5">
      <w:pPr>
        <w:spacing w:line="360" w:lineRule="auto"/>
        <w:rPr>
          <w:rFonts w:ascii="Times New Roman" w:hAnsi="Times New Roman" w:cs="Times New Roman"/>
          <w:sz w:val="24"/>
          <w:szCs w:val="24"/>
        </w:rPr>
      </w:pPr>
      <w:r w:rsidRPr="006B0C56">
        <w:rPr>
          <w:rFonts w:ascii="Times New Roman" w:hAnsi="Times New Roman" w:cs="Times New Roman"/>
          <w:sz w:val="24"/>
          <w:szCs w:val="24"/>
        </w:rPr>
        <w:t>Strategically applied code-switching enables learners to draw on their f</w:t>
      </w:r>
      <w:r w:rsidRPr="00B606A1">
        <w:rPr>
          <w:rFonts w:ascii="Times New Roman" w:hAnsi="Times New Roman" w:cs="Times New Roman"/>
          <w:sz w:val="24"/>
          <w:szCs w:val="24"/>
        </w:rPr>
        <w:t>ull linguistic repertoires, thus facilitating access to prior knowledge and allowing them to participate more actively in academic discourse. This is particularly important for students who are still developing L2 proficiency. In such cases, the use of L1 in instruction serves as a bridge across linguistic and cognitive gaps, providing clarity and reducing learning anxiety.</w:t>
      </w:r>
    </w:p>
    <w:p w14:paraId="275860BB" w14:textId="0D1CE3E1" w:rsidR="00B943F7"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To summarize, bilingual education is not solely about teaching two languages; it is a comprehensive pedagogical approach aimed at developing academic skills, fostering intercultural understanding, and supporting the holistic development of learners. The strategic use of code-switching, embedded within a well-structured bilingual education framework, enhances not only language acquisition but also emotional well-being and cognitive growth. As educational institutions increasingly embrace multicultural and multilingual classrooms, the principles of bilingual education will continue to</w:t>
      </w:r>
      <w:r w:rsidR="00B943F7" w:rsidRPr="00B943F7">
        <w:rPr>
          <w:rFonts w:ascii="Times New Roman" w:hAnsi="Times New Roman" w:cs="Times New Roman" w:hint="eastAsia"/>
          <w:sz w:val="24"/>
          <w:szCs w:val="24"/>
        </w:rPr>
        <w:t xml:space="preserve"> evolve, promoting inclusive and effective teaching practices.</w:t>
      </w:r>
    </w:p>
    <w:p w14:paraId="56554C75" w14:textId="5DBAC4FF" w:rsidR="006111AB" w:rsidRPr="00B606A1" w:rsidRDefault="00E43D13" w:rsidP="00A65AA5">
      <w:pPr>
        <w:spacing w:line="360" w:lineRule="auto"/>
        <w:rPr>
          <w:rFonts w:ascii="Times New Roman" w:hAnsi="Times New Roman" w:cs="Times New Roman"/>
          <w:b/>
          <w:bCs/>
          <w:sz w:val="24"/>
          <w:szCs w:val="24"/>
        </w:rPr>
      </w:pPr>
      <w:r>
        <w:rPr>
          <w:rFonts w:ascii="Times New Roman" w:hAnsi="Times New Roman" w:cs="Times New Roman" w:hint="eastAsia"/>
          <w:b/>
          <w:bCs/>
          <w:sz w:val="24"/>
          <w:szCs w:val="24"/>
        </w:rPr>
        <w:t>2.3</w:t>
      </w:r>
      <w:r w:rsidR="006111AB" w:rsidRPr="00B606A1">
        <w:rPr>
          <w:rFonts w:ascii="Times New Roman" w:hAnsi="Times New Roman" w:cs="Times New Roman"/>
          <w:b/>
          <w:bCs/>
          <w:sz w:val="24"/>
          <w:szCs w:val="24"/>
        </w:rPr>
        <w:t xml:space="preserve"> Classroom Code-Switching</w:t>
      </w:r>
    </w:p>
    <w:p w14:paraId="216302FE" w14:textId="6BFA2600"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Classroom code-switching refers specifically to the use of two languages or varieties within instructional settings. It involves alternating between a target language (L2) and a students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first language (L1), or between standard and nonstandard varieties of the same language during classroom disc</w:t>
      </w:r>
      <w:r w:rsidRPr="00A615D5">
        <w:rPr>
          <w:rFonts w:ascii="Times New Roman" w:hAnsi="Times New Roman" w:cs="Times New Roman"/>
          <w:sz w:val="24"/>
          <w:szCs w:val="24"/>
        </w:rPr>
        <w:t xml:space="preserve">ourse. </w:t>
      </w:r>
      <w:proofErr w:type="spellStart"/>
      <w:r w:rsidRPr="00A615D5">
        <w:rPr>
          <w:rFonts w:ascii="Times New Roman" w:hAnsi="Times New Roman" w:cs="Times New Roman"/>
          <w:sz w:val="24"/>
          <w:szCs w:val="24"/>
        </w:rPr>
        <w:t>Kamwangamalu</w:t>
      </w:r>
      <w:proofErr w:type="spellEnd"/>
      <w:r w:rsidRPr="00A615D5">
        <w:rPr>
          <w:rFonts w:ascii="Times New Roman" w:hAnsi="Times New Roman" w:cs="Times New Roman"/>
          <w:sz w:val="24"/>
          <w:szCs w:val="24"/>
        </w:rPr>
        <w:t xml:space="preserve"> (2010, p. 127) defi</w:t>
      </w:r>
      <w:r w:rsidRPr="00B606A1">
        <w:rPr>
          <w:rFonts w:ascii="Times New Roman" w:hAnsi="Times New Roman" w:cs="Times New Roman"/>
          <w:sz w:val="24"/>
          <w:szCs w:val="24"/>
        </w:rPr>
        <w:t>nes classroom code-switching as the simultaneous use of two languages or language varieties for instructional exchanges and classroom interactions.</w:t>
      </w:r>
    </w:p>
    <w:p w14:paraId="6E767F9F" w14:textId="77777777" w:rsidR="006111AB" w:rsidRPr="00B606A1"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Lin and Li (2012, p. 472) observe tha</w:t>
      </w:r>
      <w:r w:rsidRPr="00B606A1">
        <w:rPr>
          <w:rFonts w:ascii="Times New Roman" w:hAnsi="Times New Roman" w:cs="Times New Roman"/>
          <w:sz w:val="24"/>
          <w:szCs w:val="24"/>
        </w:rPr>
        <w:t>t classroom CS is often seen as controversial, especially in educational systems that prioritize exclusive use of the target language. There is often tension between promoting exposure to the L2 for immersion and using the L1 to support comprehension and learning (Lin and Li, 2012, p. 472). Despite this tension, classroom code-switching has been shown to serve valuable instructional functions and to align with the realities of bilingual learners.</w:t>
      </w:r>
    </w:p>
    <w:p w14:paraId="530ADD30" w14:textId="77777777"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Lin and Li (2012, p. 472) classify the studies primarily into two aspects of bilingual </w:t>
      </w:r>
      <w:r w:rsidRPr="00B606A1">
        <w:rPr>
          <w:rFonts w:ascii="Times New Roman" w:hAnsi="Times New Roman" w:cs="Times New Roman"/>
          <w:sz w:val="24"/>
          <w:szCs w:val="24"/>
        </w:rPr>
        <w:lastRenderedPageBreak/>
        <w:t>education: the relative amounts of first language (L1) and second language (L2) use across various activity settings, and the functional distribution of L1 and L2.</w:t>
      </w:r>
    </w:p>
    <w:p w14:paraId="62D45FF7" w14:textId="0B6552DF" w:rsidR="006111AB" w:rsidRPr="00B606A1" w:rsidRDefault="00E43D13" w:rsidP="00A65AA5">
      <w:pPr>
        <w:spacing w:line="360" w:lineRule="auto"/>
        <w:rPr>
          <w:rFonts w:ascii="Times New Roman" w:hAnsi="Times New Roman" w:cs="Times New Roman"/>
          <w:b/>
          <w:bCs/>
          <w:sz w:val="24"/>
          <w:szCs w:val="24"/>
        </w:rPr>
      </w:pPr>
      <w:r>
        <w:rPr>
          <w:rFonts w:ascii="Times New Roman" w:hAnsi="Times New Roman" w:cs="Times New Roman" w:hint="eastAsia"/>
          <w:b/>
          <w:bCs/>
          <w:sz w:val="24"/>
          <w:szCs w:val="24"/>
        </w:rPr>
        <w:t>2.3.1</w:t>
      </w:r>
      <w:r w:rsidR="006111AB" w:rsidRPr="00B606A1">
        <w:rPr>
          <w:rFonts w:ascii="Times New Roman" w:hAnsi="Times New Roman" w:cs="Times New Roman"/>
          <w:b/>
          <w:bCs/>
          <w:sz w:val="24"/>
          <w:szCs w:val="24"/>
        </w:rPr>
        <w:t xml:space="preserve"> Relative Amounts of L1 and L2 Use</w:t>
      </w:r>
    </w:p>
    <w:p w14:paraId="0872654B" w14:textId="07EFA5D3"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One key area investigates how much time or how many utterances are devoted to L1 versus L2 in the classroom. Researchers seek to determine whether linguistic minority languages and the dominant societal language receive equitable emphasis (Lin </w:t>
      </w:r>
      <w:r w:rsidR="00A84338">
        <w:rPr>
          <w:rFonts w:ascii="Times New Roman" w:hAnsi="Times New Roman" w:cs="Times New Roman" w:hint="eastAsia"/>
          <w:sz w:val="24"/>
          <w:szCs w:val="24"/>
        </w:rPr>
        <w:t>and</w:t>
      </w:r>
      <w:r w:rsidRPr="00B606A1">
        <w:rPr>
          <w:rFonts w:ascii="Times New Roman" w:hAnsi="Times New Roman" w:cs="Times New Roman"/>
          <w:sz w:val="24"/>
          <w:szCs w:val="24"/>
        </w:rPr>
        <w:t xml:space="preserve"> Li, 2012, p. 472). Data collection typically involves classroom observations, audio and video recordings, and the systematic coding of teacher and student speech. Such studies help clarify how language resources are distributed in bilingual classrooms and how CS patterns align with learning goals.</w:t>
      </w:r>
    </w:p>
    <w:p w14:paraId="27A4AA91" w14:textId="2B8E8096" w:rsidR="006111AB" w:rsidRPr="00B606A1" w:rsidRDefault="006111AB" w:rsidP="00A65AA5">
      <w:pPr>
        <w:spacing w:line="360" w:lineRule="auto"/>
        <w:rPr>
          <w:rFonts w:ascii="Times New Roman" w:hAnsi="Times New Roman" w:cs="Times New Roman"/>
          <w:b/>
          <w:bCs/>
          <w:sz w:val="24"/>
          <w:szCs w:val="24"/>
        </w:rPr>
      </w:pPr>
      <w:r w:rsidRPr="00B606A1">
        <w:rPr>
          <w:rFonts w:ascii="Times New Roman" w:hAnsi="Times New Roman" w:cs="Times New Roman"/>
          <w:b/>
          <w:bCs/>
          <w:sz w:val="24"/>
          <w:szCs w:val="24"/>
        </w:rPr>
        <w:t>2.</w:t>
      </w:r>
      <w:r w:rsidR="00E43D13">
        <w:rPr>
          <w:rFonts w:ascii="Times New Roman" w:hAnsi="Times New Roman" w:cs="Times New Roman" w:hint="eastAsia"/>
          <w:b/>
          <w:bCs/>
          <w:sz w:val="24"/>
          <w:szCs w:val="24"/>
        </w:rPr>
        <w:t>3.2</w:t>
      </w:r>
      <w:r w:rsidRPr="00B606A1">
        <w:rPr>
          <w:rFonts w:ascii="Times New Roman" w:hAnsi="Times New Roman" w:cs="Times New Roman"/>
          <w:b/>
          <w:bCs/>
          <w:sz w:val="24"/>
          <w:szCs w:val="24"/>
        </w:rPr>
        <w:t xml:space="preserve"> Functional Distribution of L1 and L2 Use</w:t>
      </w:r>
    </w:p>
    <w:p w14:paraId="7330389E" w14:textId="417318A1"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Another key area focuses on the specific communicative or pragmatic functions served by code-switching in the classroom. Utterances are categorized by functional systems to determine how often L1 or L2 is used for functions like giving instructions, explaining concepts, checking understanding, or managing classroom behavior (Lin </w:t>
      </w:r>
      <w:r w:rsidR="0048341F">
        <w:rPr>
          <w:rFonts w:ascii="Times New Roman" w:hAnsi="Times New Roman" w:cs="Times New Roman" w:hint="eastAsia"/>
          <w:sz w:val="24"/>
          <w:szCs w:val="24"/>
        </w:rPr>
        <w:t>and</w:t>
      </w:r>
      <w:r w:rsidRPr="00B606A1">
        <w:rPr>
          <w:rFonts w:ascii="Times New Roman" w:hAnsi="Times New Roman" w:cs="Times New Roman"/>
          <w:sz w:val="24"/>
          <w:szCs w:val="24"/>
        </w:rPr>
        <w:t xml:space="preserve"> Li, 2012, p. 472). Findings generally indicate that L1 is frequently employed for clarification and scaffolding purposes, particularly in content-heavy subjects, whereas L2 is reserved for formal instruction and language practice.</w:t>
      </w:r>
    </w:p>
    <w:p w14:paraId="7E4705BD" w14:textId="265F19FB" w:rsidR="006111AB" w:rsidRPr="00CF6FF1" w:rsidRDefault="006111AB" w:rsidP="00A65AA5">
      <w:pPr>
        <w:spacing w:line="360" w:lineRule="auto"/>
        <w:rPr>
          <w:rFonts w:ascii="Times New Roman" w:hAnsi="Times New Roman" w:cs="Times New Roman" w:hint="eastAsia"/>
          <w:sz w:val="24"/>
          <w:szCs w:val="24"/>
        </w:rPr>
      </w:pPr>
      <w:r w:rsidRPr="00B606A1">
        <w:rPr>
          <w:rFonts w:ascii="Times New Roman" w:hAnsi="Times New Roman" w:cs="Times New Roman"/>
          <w:sz w:val="24"/>
          <w:szCs w:val="24"/>
        </w:rPr>
        <w:t xml:space="preserve">Code-switching in bilingual classrooms is a multifaceted and dynamic practice that extends beyond simple language </w:t>
      </w:r>
      <w:proofErr w:type="gramStart"/>
      <w:r w:rsidR="00E61B85">
        <w:rPr>
          <w:rFonts w:ascii="Times New Roman" w:hAnsi="Times New Roman" w:cs="Times New Roman"/>
          <w:sz w:val="24"/>
          <w:szCs w:val="24"/>
        </w:rPr>
        <w:t>alternation</w:t>
      </w:r>
      <w:proofErr w:type="gramEnd"/>
      <w:r w:rsidRPr="00B606A1">
        <w:rPr>
          <w:rFonts w:ascii="Times New Roman" w:hAnsi="Times New Roman" w:cs="Times New Roman"/>
          <w:sz w:val="24"/>
          <w:szCs w:val="24"/>
        </w:rPr>
        <w:t>. It serves cognitive, communicative, and pedagogical functions that support bilingual students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language development and achievement.</w:t>
      </w:r>
    </w:p>
    <w:p w14:paraId="05B414E1" w14:textId="242B56F5" w:rsidR="006111AB" w:rsidRPr="00E43D13" w:rsidRDefault="006111AB" w:rsidP="00E43D13">
      <w:pPr>
        <w:pStyle w:val="a9"/>
        <w:numPr>
          <w:ilvl w:val="0"/>
          <w:numId w:val="4"/>
        </w:numPr>
        <w:spacing w:line="360" w:lineRule="auto"/>
        <w:rPr>
          <w:rFonts w:ascii="Times New Roman" w:hAnsi="Times New Roman" w:cs="Times New Roman"/>
          <w:b/>
          <w:bCs/>
          <w:sz w:val="24"/>
          <w:szCs w:val="24"/>
        </w:rPr>
      </w:pPr>
      <w:r w:rsidRPr="00E43D13">
        <w:rPr>
          <w:rFonts w:ascii="Times New Roman" w:hAnsi="Times New Roman" w:cs="Times New Roman"/>
          <w:b/>
          <w:bCs/>
          <w:sz w:val="24"/>
          <w:szCs w:val="24"/>
        </w:rPr>
        <w:t>Benefits of Code Switching in Bilingual Classrooms</w:t>
      </w:r>
    </w:p>
    <w:p w14:paraId="6891C0E5" w14:textId="5FA97E7A"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Code-switching has been perceived as positive phenomena in the bilingual world to promote communication as well as to accomplish pedagogical </w:t>
      </w:r>
      <w:r w:rsidRPr="007D082D">
        <w:rPr>
          <w:rFonts w:ascii="Times New Roman" w:hAnsi="Times New Roman" w:cs="Times New Roman"/>
          <w:sz w:val="24"/>
          <w:szCs w:val="24"/>
        </w:rPr>
        <w:t xml:space="preserve">objectives in the classroom (Cahyani, de Courcy </w:t>
      </w:r>
      <w:r w:rsidR="00E317B7" w:rsidRPr="007D082D">
        <w:rPr>
          <w:rFonts w:ascii="Times New Roman" w:hAnsi="Times New Roman" w:cs="Times New Roman" w:hint="eastAsia"/>
          <w:sz w:val="24"/>
          <w:szCs w:val="24"/>
        </w:rPr>
        <w:t>and</w:t>
      </w:r>
      <w:r w:rsidRPr="007D082D">
        <w:rPr>
          <w:rFonts w:ascii="Times New Roman" w:hAnsi="Times New Roman" w:cs="Times New Roman"/>
          <w:sz w:val="24"/>
          <w:szCs w:val="24"/>
        </w:rPr>
        <w:t xml:space="preserve"> Barnett, 201</w:t>
      </w:r>
      <w:r w:rsidR="00E317B7" w:rsidRPr="007D082D">
        <w:rPr>
          <w:rFonts w:ascii="Times New Roman" w:hAnsi="Times New Roman" w:cs="Times New Roman" w:hint="eastAsia"/>
          <w:sz w:val="24"/>
          <w:szCs w:val="24"/>
        </w:rPr>
        <w:t>6</w:t>
      </w:r>
      <w:r w:rsidRPr="007D082D">
        <w:rPr>
          <w:rFonts w:ascii="Times New Roman" w:hAnsi="Times New Roman" w:cs="Times New Roman"/>
          <w:sz w:val="24"/>
          <w:szCs w:val="24"/>
        </w:rPr>
        <w:t>, p. 467). Its strategic use has</w:t>
      </w:r>
      <w:r w:rsidRPr="00B606A1">
        <w:rPr>
          <w:rFonts w:ascii="Times New Roman" w:hAnsi="Times New Roman" w:cs="Times New Roman"/>
          <w:sz w:val="24"/>
          <w:szCs w:val="24"/>
        </w:rPr>
        <w:t xml:space="preserve"> been associated with various benefits, including the reinforcement of cognitive and linguistic competence, enhancement of student achievement in language learning, and improvement of intellectual abilities and understanding.</w:t>
      </w:r>
    </w:p>
    <w:p w14:paraId="3AA20422" w14:textId="7EC2A72B" w:rsidR="006111AB" w:rsidRPr="00E43D13" w:rsidRDefault="006111AB" w:rsidP="00E43D13">
      <w:pPr>
        <w:pStyle w:val="a9"/>
        <w:numPr>
          <w:ilvl w:val="1"/>
          <w:numId w:val="4"/>
        </w:numPr>
        <w:spacing w:line="360" w:lineRule="auto"/>
        <w:rPr>
          <w:rFonts w:ascii="Times New Roman" w:hAnsi="Times New Roman" w:cs="Times New Roman"/>
          <w:b/>
          <w:bCs/>
          <w:sz w:val="24"/>
          <w:szCs w:val="24"/>
        </w:rPr>
      </w:pPr>
      <w:r w:rsidRPr="00E43D13">
        <w:rPr>
          <w:rFonts w:ascii="Times New Roman" w:hAnsi="Times New Roman" w:cs="Times New Roman"/>
          <w:b/>
          <w:bCs/>
          <w:sz w:val="24"/>
          <w:szCs w:val="24"/>
        </w:rPr>
        <w:t>Reinforcement of Cognitive and Linguistic Competence</w:t>
      </w:r>
    </w:p>
    <w:p w14:paraId="74855840" w14:textId="4F115BB3"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lastRenderedPageBreak/>
        <w:t>Code-switching has traditionally been viewed as a signal of linguistic incompetence, suggesting that switching between languages indicates a lack of proficiency. However, this perspective is challenged by</w:t>
      </w:r>
      <w:r w:rsidR="0042146E" w:rsidRPr="0042146E">
        <w:rPr>
          <w:rFonts w:hint="eastAsia"/>
        </w:rPr>
        <w:t xml:space="preserve"> </w:t>
      </w:r>
      <w:r w:rsidR="0042146E" w:rsidRPr="0042146E">
        <w:rPr>
          <w:rFonts w:ascii="Times New Roman" w:hAnsi="Times New Roman" w:cs="Times New Roman" w:hint="eastAsia"/>
          <w:sz w:val="24"/>
          <w:szCs w:val="24"/>
        </w:rPr>
        <w:t>Ali</w:t>
      </w:r>
      <w:r w:rsidR="0042146E" w:rsidRPr="0042146E">
        <w:rPr>
          <w:rFonts w:ascii="Cambria" w:hAnsi="Cambria" w:cs="Cambria"/>
          <w:sz w:val="24"/>
          <w:szCs w:val="24"/>
        </w:rPr>
        <w:t>ć</w:t>
      </w:r>
      <w:r w:rsidR="0042146E" w:rsidRPr="0042146E">
        <w:rPr>
          <w:rFonts w:ascii="Times New Roman" w:hAnsi="Times New Roman" w:cs="Times New Roman" w:hint="eastAsia"/>
          <w:sz w:val="24"/>
          <w:szCs w:val="24"/>
        </w:rPr>
        <w:t xml:space="preserve"> </w:t>
      </w:r>
      <w:r w:rsidR="0042146E" w:rsidRPr="00895BC0">
        <w:rPr>
          <w:rFonts w:ascii="Times New Roman" w:hAnsi="Times New Roman" w:cs="Times New Roman" w:hint="eastAsia"/>
          <w:sz w:val="24"/>
          <w:szCs w:val="24"/>
        </w:rPr>
        <w:t>Topi</w:t>
      </w:r>
      <w:r w:rsidR="0042146E" w:rsidRPr="00895BC0">
        <w:rPr>
          <w:rFonts w:ascii="Cambria" w:hAnsi="Cambria" w:cs="Cambria"/>
          <w:sz w:val="24"/>
          <w:szCs w:val="24"/>
        </w:rPr>
        <w:t>ć</w:t>
      </w:r>
      <w:r w:rsidRPr="00895BC0">
        <w:rPr>
          <w:rFonts w:ascii="Times New Roman" w:hAnsi="Times New Roman" w:cs="Times New Roman"/>
          <w:sz w:val="24"/>
          <w:szCs w:val="24"/>
        </w:rPr>
        <w:t xml:space="preserve"> (20</w:t>
      </w:r>
      <w:r w:rsidR="0042146E" w:rsidRPr="00895BC0">
        <w:rPr>
          <w:rFonts w:ascii="Times New Roman" w:hAnsi="Times New Roman" w:cs="Times New Roman" w:hint="eastAsia"/>
          <w:sz w:val="24"/>
          <w:szCs w:val="24"/>
        </w:rPr>
        <w:t>23</w:t>
      </w:r>
      <w:r w:rsidRPr="00895BC0">
        <w:rPr>
          <w:rFonts w:ascii="Times New Roman" w:hAnsi="Times New Roman" w:cs="Times New Roman"/>
          <w:sz w:val="24"/>
          <w:szCs w:val="24"/>
        </w:rPr>
        <w:t>, p</w:t>
      </w:r>
      <w:r w:rsidR="0042146E" w:rsidRPr="00895BC0">
        <w:rPr>
          <w:rFonts w:ascii="Times New Roman" w:hAnsi="Times New Roman" w:cs="Times New Roman" w:hint="eastAsia"/>
          <w:sz w:val="24"/>
          <w:szCs w:val="24"/>
        </w:rPr>
        <w:t xml:space="preserve">. </w:t>
      </w:r>
      <w:r w:rsidR="00895BC0" w:rsidRPr="00895BC0">
        <w:rPr>
          <w:rFonts w:ascii="Times New Roman" w:hAnsi="Times New Roman" w:cs="Times New Roman" w:hint="eastAsia"/>
          <w:sz w:val="24"/>
          <w:szCs w:val="24"/>
        </w:rPr>
        <w:t>9</w:t>
      </w:r>
      <w:r w:rsidRPr="00895BC0">
        <w:rPr>
          <w:rFonts w:ascii="Times New Roman" w:hAnsi="Times New Roman" w:cs="Times New Roman"/>
          <w:sz w:val="24"/>
          <w:szCs w:val="24"/>
        </w:rPr>
        <w:t>), w</w:t>
      </w:r>
      <w:r w:rsidRPr="00B606A1">
        <w:rPr>
          <w:rFonts w:ascii="Times New Roman" w:hAnsi="Times New Roman" w:cs="Times New Roman"/>
          <w:sz w:val="24"/>
          <w:szCs w:val="24"/>
        </w:rPr>
        <w:t>ho argues that code-switching is not a byproduct of language inadequacy. S</w:t>
      </w:r>
      <w:r w:rsidRPr="00D50B13">
        <w:rPr>
          <w:rFonts w:ascii="Times New Roman" w:hAnsi="Times New Roman" w:cs="Times New Roman"/>
          <w:sz w:val="24"/>
          <w:szCs w:val="24"/>
        </w:rPr>
        <w:t xml:space="preserve">imilarly, </w:t>
      </w:r>
      <w:r w:rsidR="005531E1" w:rsidRPr="00D50B13">
        <w:rPr>
          <w:rFonts w:ascii="Times New Roman" w:hAnsi="Times New Roman" w:cs="Times New Roman" w:hint="eastAsia"/>
          <w:sz w:val="24"/>
          <w:szCs w:val="24"/>
        </w:rPr>
        <w:t>Shafi, Kazmi</w:t>
      </w:r>
      <w:r w:rsidR="005531E1" w:rsidRPr="00D50B13">
        <w:rPr>
          <w:rFonts w:ascii="Times New Roman" w:hAnsi="Times New Roman" w:cs="Times New Roman" w:hint="eastAsia"/>
          <w:sz w:val="24"/>
          <w:szCs w:val="24"/>
        </w:rPr>
        <w:t xml:space="preserve"> and</w:t>
      </w:r>
      <w:r w:rsidR="005531E1" w:rsidRPr="00D50B13">
        <w:rPr>
          <w:rFonts w:ascii="Times New Roman" w:hAnsi="Times New Roman" w:cs="Times New Roman" w:hint="eastAsia"/>
          <w:sz w:val="24"/>
          <w:szCs w:val="24"/>
        </w:rPr>
        <w:t xml:space="preserve"> Asif</w:t>
      </w:r>
      <w:r w:rsidRPr="00D50B13">
        <w:rPr>
          <w:rFonts w:ascii="Times New Roman" w:hAnsi="Times New Roman" w:cs="Times New Roman"/>
          <w:sz w:val="24"/>
          <w:szCs w:val="24"/>
        </w:rPr>
        <w:t xml:space="preserve"> (2020, p. 23) cont</w:t>
      </w:r>
      <w:r w:rsidRPr="00B606A1">
        <w:rPr>
          <w:rFonts w:ascii="Times New Roman" w:hAnsi="Times New Roman" w:cs="Times New Roman"/>
          <w:sz w:val="24"/>
          <w:szCs w:val="24"/>
        </w:rPr>
        <w:t>ends that cognitive and linguistic competence can be effectively reinforced in language classrooms with the help of code-switching.</w:t>
      </w:r>
    </w:p>
    <w:p w14:paraId="3A978F87" w14:textId="4577601C" w:rsidR="006111AB" w:rsidRPr="00B606A1" w:rsidRDefault="00667BCF" w:rsidP="00A65AA5">
      <w:pPr>
        <w:spacing w:line="360" w:lineRule="auto"/>
        <w:rPr>
          <w:rFonts w:ascii="Times New Roman" w:hAnsi="Times New Roman" w:cs="Times New Roman"/>
          <w:sz w:val="24"/>
          <w:szCs w:val="24"/>
        </w:rPr>
      </w:pPr>
      <w:r w:rsidRPr="00667BCF">
        <w:rPr>
          <w:rFonts w:ascii="Times New Roman" w:hAnsi="Times New Roman" w:cs="Times New Roman" w:hint="eastAsia"/>
          <w:sz w:val="24"/>
          <w:szCs w:val="24"/>
        </w:rPr>
        <w:t>Yow, Tan</w:t>
      </w:r>
      <w:r w:rsidRPr="00667BCF">
        <w:rPr>
          <w:rFonts w:ascii="Times New Roman" w:hAnsi="Times New Roman" w:cs="Times New Roman" w:hint="eastAsia"/>
          <w:sz w:val="24"/>
          <w:szCs w:val="24"/>
        </w:rPr>
        <w:t xml:space="preserve"> </w:t>
      </w:r>
      <w:r w:rsidRPr="00667BCF">
        <w:rPr>
          <w:rFonts w:ascii="Times New Roman" w:hAnsi="Times New Roman" w:cs="Times New Roman" w:hint="eastAsia"/>
          <w:sz w:val="24"/>
          <w:szCs w:val="24"/>
        </w:rPr>
        <w:t>and Flynn</w:t>
      </w:r>
      <w:r w:rsidR="006111AB" w:rsidRPr="00667BCF">
        <w:rPr>
          <w:rFonts w:ascii="Times New Roman" w:hAnsi="Times New Roman" w:cs="Times New Roman"/>
          <w:sz w:val="24"/>
          <w:szCs w:val="24"/>
        </w:rPr>
        <w:t xml:space="preserve"> (201</w:t>
      </w:r>
      <w:r w:rsidRPr="00667BCF">
        <w:rPr>
          <w:rFonts w:ascii="Times New Roman" w:hAnsi="Times New Roman" w:cs="Times New Roman" w:hint="eastAsia"/>
          <w:sz w:val="24"/>
          <w:szCs w:val="24"/>
        </w:rPr>
        <w:t>8</w:t>
      </w:r>
      <w:r w:rsidR="006111AB" w:rsidRPr="00667BCF">
        <w:rPr>
          <w:rFonts w:ascii="Times New Roman" w:hAnsi="Times New Roman" w:cs="Times New Roman"/>
          <w:sz w:val="24"/>
          <w:szCs w:val="24"/>
        </w:rPr>
        <w:t>, p. 10) p</w:t>
      </w:r>
      <w:r w:rsidR="006111AB" w:rsidRPr="00B606A1">
        <w:rPr>
          <w:rFonts w:ascii="Times New Roman" w:hAnsi="Times New Roman" w:cs="Times New Roman"/>
          <w:sz w:val="24"/>
          <w:szCs w:val="24"/>
        </w:rPr>
        <w:t xml:space="preserve">rovides compelling evidence that frequent code-switching among bilinguals correlates with higher levels of second language (L2) proficiency. The research indicates that the more bilingual individual engages in code-switching, the greater their L2 proficiency tends to be. In this context, code-switching emerges not as an indicator of deficiency but as a positive marker of linguistic competence. It serves as a scaffold for language development, particularly benefiting those who may struggle with one of their languages. The ability to switch between languages reflects a deep understanding of both linguistic systems and the ability to navigate them effectively. </w:t>
      </w:r>
    </w:p>
    <w:p w14:paraId="636A06AE" w14:textId="7A66A3CB" w:rsidR="006111AB" w:rsidRPr="00F06ABB"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Research indicates that bilingual individuals who engage in code-switching demonstrate an understanding of grammatical structures and vocabulary in both langua</w:t>
      </w:r>
      <w:r w:rsidRPr="00F06ABB">
        <w:rPr>
          <w:rFonts w:ascii="Times New Roman" w:hAnsi="Times New Roman" w:cs="Times New Roman"/>
          <w:sz w:val="24"/>
          <w:szCs w:val="24"/>
        </w:rPr>
        <w:t>ges (</w:t>
      </w:r>
      <w:r w:rsidR="00F06ABB" w:rsidRPr="00F06ABB">
        <w:rPr>
          <w:rFonts w:ascii="Times New Roman" w:hAnsi="Times New Roman" w:cs="Times New Roman" w:hint="eastAsia"/>
          <w:sz w:val="24"/>
          <w:szCs w:val="24"/>
        </w:rPr>
        <w:t>Yow, Tan and Flynn</w:t>
      </w:r>
      <w:r w:rsidRPr="00F06ABB">
        <w:rPr>
          <w:rFonts w:ascii="Times New Roman" w:hAnsi="Times New Roman" w:cs="Times New Roman"/>
          <w:sz w:val="24"/>
          <w:szCs w:val="24"/>
        </w:rPr>
        <w:t>, 201</w:t>
      </w:r>
      <w:r w:rsidR="00667BCF" w:rsidRPr="00F06ABB">
        <w:rPr>
          <w:rFonts w:ascii="Times New Roman" w:hAnsi="Times New Roman" w:cs="Times New Roman" w:hint="eastAsia"/>
          <w:sz w:val="24"/>
          <w:szCs w:val="24"/>
        </w:rPr>
        <w:t>8</w:t>
      </w:r>
      <w:r w:rsidRPr="00F06ABB">
        <w:rPr>
          <w:rFonts w:ascii="Times New Roman" w:hAnsi="Times New Roman" w:cs="Times New Roman"/>
          <w:sz w:val="24"/>
          <w:szCs w:val="24"/>
        </w:rPr>
        <w:t>, p. 10).</w:t>
      </w:r>
      <w:r w:rsidRPr="00B606A1">
        <w:rPr>
          <w:rFonts w:ascii="Times New Roman" w:hAnsi="Times New Roman" w:cs="Times New Roman"/>
          <w:sz w:val="24"/>
          <w:szCs w:val="24"/>
        </w:rPr>
        <w:t xml:space="preserve"> This practice allows bilinguals to engage in both languages more frequently, leading to positive outcomes in language development and improved proficiency </w:t>
      </w:r>
      <w:r w:rsidRPr="00F06ABB">
        <w:rPr>
          <w:rFonts w:ascii="Times New Roman" w:hAnsi="Times New Roman" w:cs="Times New Roman"/>
          <w:sz w:val="24"/>
          <w:szCs w:val="24"/>
        </w:rPr>
        <w:t>(</w:t>
      </w:r>
      <w:r w:rsidR="00F06ABB" w:rsidRPr="00F06ABB">
        <w:rPr>
          <w:rFonts w:ascii="Times New Roman" w:hAnsi="Times New Roman" w:cs="Times New Roman" w:hint="eastAsia"/>
          <w:sz w:val="24"/>
          <w:szCs w:val="24"/>
        </w:rPr>
        <w:t>Yow, Tan and Flynn</w:t>
      </w:r>
      <w:r w:rsidRPr="00F06ABB">
        <w:rPr>
          <w:rFonts w:ascii="Times New Roman" w:hAnsi="Times New Roman" w:cs="Times New Roman"/>
          <w:sz w:val="24"/>
          <w:szCs w:val="24"/>
        </w:rPr>
        <w:t>, 201</w:t>
      </w:r>
      <w:r w:rsidR="00667BCF" w:rsidRPr="00F06ABB">
        <w:rPr>
          <w:rFonts w:ascii="Times New Roman" w:hAnsi="Times New Roman" w:cs="Times New Roman" w:hint="eastAsia"/>
          <w:sz w:val="24"/>
          <w:szCs w:val="24"/>
        </w:rPr>
        <w:t>8</w:t>
      </w:r>
      <w:r w:rsidRPr="00F06ABB">
        <w:rPr>
          <w:rFonts w:ascii="Times New Roman" w:hAnsi="Times New Roman" w:cs="Times New Roman"/>
          <w:sz w:val="24"/>
          <w:szCs w:val="24"/>
        </w:rPr>
        <w:t>, p. 10).</w:t>
      </w:r>
      <w:r w:rsidRPr="00B606A1">
        <w:rPr>
          <w:rFonts w:ascii="Times New Roman" w:hAnsi="Times New Roman" w:cs="Times New Roman"/>
          <w:sz w:val="24"/>
          <w:szCs w:val="24"/>
        </w:rPr>
        <w:t xml:space="preserve"> Ultimately, code-switching acts as a valuable communicative tool to expand the bilinguals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understanding and linguistic competen</w:t>
      </w:r>
      <w:r w:rsidRPr="00F06ABB">
        <w:rPr>
          <w:rFonts w:ascii="Times New Roman" w:hAnsi="Times New Roman" w:cs="Times New Roman"/>
          <w:sz w:val="24"/>
          <w:szCs w:val="24"/>
        </w:rPr>
        <w:t>ce (</w:t>
      </w:r>
      <w:r w:rsidR="00F06ABB" w:rsidRPr="00F06ABB">
        <w:rPr>
          <w:rFonts w:ascii="Times New Roman" w:hAnsi="Times New Roman" w:cs="Times New Roman" w:hint="eastAsia"/>
          <w:sz w:val="24"/>
          <w:szCs w:val="24"/>
        </w:rPr>
        <w:t>Yow, Tan and Flynn</w:t>
      </w:r>
      <w:r w:rsidRPr="00F06ABB">
        <w:rPr>
          <w:rFonts w:ascii="Times New Roman" w:hAnsi="Times New Roman" w:cs="Times New Roman"/>
          <w:sz w:val="24"/>
          <w:szCs w:val="24"/>
        </w:rPr>
        <w:t>, 201</w:t>
      </w:r>
      <w:r w:rsidR="00667BCF" w:rsidRPr="00F06ABB">
        <w:rPr>
          <w:rFonts w:ascii="Times New Roman" w:hAnsi="Times New Roman" w:cs="Times New Roman" w:hint="eastAsia"/>
          <w:sz w:val="24"/>
          <w:szCs w:val="24"/>
        </w:rPr>
        <w:t>8</w:t>
      </w:r>
      <w:r w:rsidRPr="00F06ABB">
        <w:rPr>
          <w:rFonts w:ascii="Times New Roman" w:hAnsi="Times New Roman" w:cs="Times New Roman"/>
          <w:sz w:val="24"/>
          <w:szCs w:val="24"/>
        </w:rPr>
        <w:t>, p. 10).</w:t>
      </w:r>
    </w:p>
    <w:p w14:paraId="758F3CD7" w14:textId="6B5933C9"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Code-switching necessitates the activation and management of multiple linguistic systems, which enhances cognitive control. Bilingual individuals often use both languages in their daily lives, switching between them with varying frequency. Those who frequently code-switch </w:t>
      </w:r>
      <w:r w:rsidR="00D54B86" w:rsidRPr="00B606A1">
        <w:rPr>
          <w:rFonts w:ascii="Times New Roman" w:hAnsi="Times New Roman" w:cs="Times New Roman"/>
          <w:sz w:val="24"/>
          <w:szCs w:val="24"/>
        </w:rPr>
        <w:t>can</w:t>
      </w:r>
      <w:r w:rsidRPr="00B606A1">
        <w:rPr>
          <w:rFonts w:ascii="Times New Roman" w:hAnsi="Times New Roman" w:cs="Times New Roman"/>
          <w:sz w:val="24"/>
          <w:szCs w:val="24"/>
        </w:rPr>
        <w:t xml:space="preserve"> keep their languages actively engaged for longer periods, thereby facilitating greater opportunities for code-switching </w:t>
      </w:r>
      <w:r w:rsidRPr="00FF7822">
        <w:rPr>
          <w:rFonts w:ascii="Times New Roman" w:hAnsi="Times New Roman" w:cs="Times New Roman"/>
          <w:sz w:val="24"/>
          <w:szCs w:val="24"/>
        </w:rPr>
        <w:t>(</w:t>
      </w:r>
      <w:proofErr w:type="spellStart"/>
      <w:r w:rsidR="00FF7822" w:rsidRPr="00FF7822">
        <w:rPr>
          <w:rFonts w:ascii="Times New Roman" w:hAnsi="Times New Roman" w:cs="Times New Roman" w:hint="eastAsia"/>
          <w:sz w:val="24"/>
          <w:szCs w:val="24"/>
        </w:rPr>
        <w:t>Kheder</w:t>
      </w:r>
      <w:proofErr w:type="spellEnd"/>
      <w:r w:rsidR="00FF7822" w:rsidRPr="00FF7822">
        <w:rPr>
          <w:rFonts w:ascii="Times New Roman" w:hAnsi="Times New Roman" w:cs="Times New Roman" w:hint="eastAsia"/>
          <w:sz w:val="24"/>
          <w:szCs w:val="24"/>
        </w:rPr>
        <w:t xml:space="preserve"> and Kaan</w:t>
      </w:r>
      <w:r w:rsidRPr="00FF7822">
        <w:rPr>
          <w:rFonts w:ascii="Times New Roman" w:hAnsi="Times New Roman" w:cs="Times New Roman"/>
          <w:sz w:val="24"/>
          <w:szCs w:val="24"/>
        </w:rPr>
        <w:t>, 2021, p. 11). This consistent practice provides additional opportunitie</w:t>
      </w:r>
      <w:r w:rsidRPr="00B606A1">
        <w:rPr>
          <w:rFonts w:ascii="Times New Roman" w:hAnsi="Times New Roman" w:cs="Times New Roman"/>
          <w:sz w:val="24"/>
          <w:szCs w:val="24"/>
        </w:rPr>
        <w:t xml:space="preserve">s for bilinguals to refine their skills in monitoring and conflict resolution, aligning with their L2 proficiency and code-switching habits, allowing them to adapt more easily to different </w:t>
      </w:r>
      <w:r w:rsidRPr="00B606A1">
        <w:rPr>
          <w:rFonts w:ascii="Times New Roman" w:hAnsi="Times New Roman" w:cs="Times New Roman"/>
          <w:sz w:val="24"/>
          <w:szCs w:val="24"/>
        </w:rPr>
        <w:lastRenderedPageBreak/>
        <w:t xml:space="preserve">contexts </w:t>
      </w:r>
      <w:r w:rsidRPr="00FF7822">
        <w:rPr>
          <w:rFonts w:ascii="Times New Roman" w:hAnsi="Times New Roman" w:cs="Times New Roman"/>
          <w:sz w:val="24"/>
          <w:szCs w:val="24"/>
        </w:rPr>
        <w:t>(</w:t>
      </w:r>
      <w:proofErr w:type="spellStart"/>
      <w:r w:rsidRPr="00FF7822">
        <w:rPr>
          <w:rFonts w:ascii="Times New Roman" w:hAnsi="Times New Roman" w:cs="Times New Roman"/>
          <w:sz w:val="24"/>
          <w:szCs w:val="24"/>
        </w:rPr>
        <w:t>Kheder</w:t>
      </w:r>
      <w:proofErr w:type="spellEnd"/>
      <w:r w:rsidRPr="00FF7822">
        <w:rPr>
          <w:rFonts w:ascii="Times New Roman" w:hAnsi="Times New Roman" w:cs="Times New Roman"/>
          <w:sz w:val="24"/>
          <w:szCs w:val="24"/>
        </w:rPr>
        <w:t xml:space="preserve"> </w:t>
      </w:r>
      <w:r w:rsidR="00FF7822" w:rsidRPr="00FF7822">
        <w:rPr>
          <w:rFonts w:ascii="Times New Roman" w:hAnsi="Times New Roman" w:cs="Times New Roman" w:hint="eastAsia"/>
          <w:sz w:val="24"/>
          <w:szCs w:val="24"/>
        </w:rPr>
        <w:t>and</w:t>
      </w:r>
      <w:r w:rsidRPr="00FF7822">
        <w:rPr>
          <w:rFonts w:ascii="Times New Roman" w:hAnsi="Times New Roman" w:cs="Times New Roman"/>
          <w:sz w:val="24"/>
          <w:szCs w:val="24"/>
        </w:rPr>
        <w:t xml:space="preserve"> Kaan, 2021, p. 10).</w:t>
      </w:r>
    </w:p>
    <w:p w14:paraId="131DF912" w14:textId="51B97716"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As a result, frequent code-switching enhances cognitive control by creating situations in which these control processes can be practiced and trai</w:t>
      </w:r>
      <w:r w:rsidRPr="00FF7822">
        <w:rPr>
          <w:rFonts w:ascii="Times New Roman" w:hAnsi="Times New Roman" w:cs="Times New Roman"/>
          <w:sz w:val="24"/>
          <w:szCs w:val="24"/>
        </w:rPr>
        <w:t>ned (</w:t>
      </w:r>
      <w:proofErr w:type="spellStart"/>
      <w:r w:rsidRPr="00FF7822">
        <w:rPr>
          <w:rFonts w:ascii="Times New Roman" w:hAnsi="Times New Roman" w:cs="Times New Roman"/>
          <w:sz w:val="24"/>
          <w:szCs w:val="24"/>
        </w:rPr>
        <w:t>Kheder</w:t>
      </w:r>
      <w:proofErr w:type="spellEnd"/>
      <w:r w:rsidRPr="00FF7822">
        <w:rPr>
          <w:rFonts w:ascii="Times New Roman" w:hAnsi="Times New Roman" w:cs="Times New Roman"/>
          <w:sz w:val="24"/>
          <w:szCs w:val="24"/>
        </w:rPr>
        <w:t xml:space="preserve"> </w:t>
      </w:r>
      <w:r w:rsidR="00FF7822" w:rsidRPr="00FF7822">
        <w:rPr>
          <w:rFonts w:ascii="Times New Roman" w:hAnsi="Times New Roman" w:cs="Times New Roman" w:hint="eastAsia"/>
          <w:sz w:val="24"/>
          <w:szCs w:val="24"/>
        </w:rPr>
        <w:t>and</w:t>
      </w:r>
      <w:r w:rsidRPr="00FF7822">
        <w:rPr>
          <w:rFonts w:ascii="Times New Roman" w:hAnsi="Times New Roman" w:cs="Times New Roman"/>
          <w:sz w:val="24"/>
          <w:szCs w:val="24"/>
        </w:rPr>
        <w:t xml:space="preserve"> Kaan, 2021,</w:t>
      </w:r>
      <w:r w:rsidRPr="00B606A1">
        <w:rPr>
          <w:rFonts w:ascii="Times New Roman" w:hAnsi="Times New Roman" w:cs="Times New Roman"/>
          <w:sz w:val="24"/>
          <w:szCs w:val="24"/>
        </w:rPr>
        <w:t xml:space="preserve"> p. 10). This indicates that rather than signaling a deficiency in linguistic ability, code-switching is a critical component in reinforcing cognitive and linguistic competencies in bilingual individuals.</w:t>
      </w:r>
    </w:p>
    <w:p w14:paraId="7FE8EFD7" w14:textId="7E0801C5" w:rsidR="006111AB" w:rsidRPr="00B606A1" w:rsidRDefault="006111AB" w:rsidP="00E43D13">
      <w:pPr>
        <w:pStyle w:val="a9"/>
        <w:numPr>
          <w:ilvl w:val="1"/>
          <w:numId w:val="4"/>
        </w:numPr>
        <w:spacing w:line="360" w:lineRule="auto"/>
        <w:rPr>
          <w:rFonts w:ascii="Times New Roman" w:hAnsi="Times New Roman" w:cs="Times New Roman"/>
          <w:b/>
          <w:bCs/>
          <w:sz w:val="24"/>
          <w:szCs w:val="24"/>
        </w:rPr>
      </w:pPr>
      <w:r w:rsidRPr="00B606A1">
        <w:rPr>
          <w:rFonts w:ascii="Times New Roman" w:hAnsi="Times New Roman" w:cs="Times New Roman"/>
          <w:b/>
          <w:bCs/>
          <w:sz w:val="24"/>
          <w:szCs w:val="24"/>
        </w:rPr>
        <w:t>Code-switching Improves Students</w:t>
      </w:r>
      <w:r w:rsidR="00F34122">
        <w:rPr>
          <w:rFonts w:ascii="Times New Roman" w:hAnsi="Times New Roman" w:cs="Times New Roman"/>
          <w:b/>
          <w:bCs/>
          <w:sz w:val="24"/>
          <w:szCs w:val="24"/>
        </w:rPr>
        <w:t>’</w:t>
      </w:r>
      <w:r w:rsidRPr="00B606A1">
        <w:rPr>
          <w:rFonts w:ascii="Times New Roman" w:hAnsi="Times New Roman" w:cs="Times New Roman"/>
          <w:b/>
          <w:bCs/>
          <w:sz w:val="24"/>
          <w:szCs w:val="24"/>
        </w:rPr>
        <w:t xml:space="preserve"> Language Achievement</w:t>
      </w:r>
    </w:p>
    <w:p w14:paraId="2646162D" w14:textId="5149167C" w:rsidR="006111AB" w:rsidRPr="00A615D5"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Code-switching, alternating between languages in conversation or instruction, has been shown to enhance students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achievements in language learning. </w:t>
      </w:r>
      <w:r w:rsidR="00D50B13" w:rsidRPr="00D50B13">
        <w:rPr>
          <w:rFonts w:ascii="Times New Roman" w:hAnsi="Times New Roman" w:cs="Times New Roman" w:hint="eastAsia"/>
          <w:sz w:val="24"/>
          <w:szCs w:val="24"/>
        </w:rPr>
        <w:t>Shafi, Kazmi and Asif</w:t>
      </w:r>
      <w:r w:rsidRPr="00E07826">
        <w:rPr>
          <w:rFonts w:ascii="Times New Roman" w:hAnsi="Times New Roman" w:cs="Times New Roman"/>
          <w:sz w:val="24"/>
          <w:szCs w:val="24"/>
          <w:highlight w:val="yellow"/>
        </w:rPr>
        <w:t xml:space="preserve"> </w:t>
      </w:r>
      <w:r w:rsidRPr="00D50B13">
        <w:rPr>
          <w:rFonts w:ascii="Times New Roman" w:hAnsi="Times New Roman" w:cs="Times New Roman"/>
          <w:sz w:val="24"/>
          <w:szCs w:val="24"/>
        </w:rPr>
        <w:t>(2020, p. 231) argues tha</w:t>
      </w:r>
      <w:r w:rsidRPr="00B606A1">
        <w:rPr>
          <w:rFonts w:ascii="Times New Roman" w:hAnsi="Times New Roman" w:cs="Times New Roman"/>
          <w:sz w:val="24"/>
          <w:szCs w:val="24"/>
        </w:rPr>
        <w:t>t integrating learners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mother tongue into the classroom promotes student-teacher code switching and improves their intellectual abilities and understanding. </w:t>
      </w:r>
      <w:r w:rsidRPr="00A615D5">
        <w:rPr>
          <w:rFonts w:ascii="Times New Roman" w:hAnsi="Times New Roman" w:cs="Times New Roman"/>
          <w:sz w:val="24"/>
          <w:szCs w:val="24"/>
        </w:rPr>
        <w:t xml:space="preserve">Macaro (2009, p. 38) also claims that the optimal use of code-switching in broadly communicative classroom settings can facilitate second language acquisition and improvement in proficiency. </w:t>
      </w:r>
    </w:p>
    <w:p w14:paraId="69CD749E" w14:textId="71FC73E9"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The use of a learner</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s first language proves beneficial for learning and recalling vocabulary in the second language and facilitates reading comprehension (Macaro, 2009, p. 41). In comprehension-based activities, teachers can strategically code-switch to provide first-language equivalents for specific lexical items. This practice indicates that there are no adverse effects on vocabulary acquisition and significantly aids comprehension of the text. In fact, offering first-language equivalents can reduce cognitive load, freeing up mental resources for focusing on the overall meaning of the text (Macaro, 2009, p. 43). </w:t>
      </w:r>
    </w:p>
    <w:p w14:paraId="09FFBB0D" w14:textId="5E260A56"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 xml:space="preserve">This method involves various cognitive processes through which learners engage as they seek to comprehend and internalize the highlighted lexical items (Macaro, 2009, p. 43). Code-switching should not be viewed merely as </w:t>
      </w:r>
      <w:r w:rsidR="008913F0" w:rsidRPr="00A615D5">
        <w:rPr>
          <w:rFonts w:ascii="Times New Roman" w:hAnsi="Times New Roman" w:cs="Times New Roman"/>
          <w:sz w:val="24"/>
          <w:szCs w:val="24"/>
        </w:rPr>
        <w:t>an</w:t>
      </w:r>
      <w:r w:rsidRPr="00A615D5">
        <w:rPr>
          <w:rFonts w:ascii="Times New Roman" w:hAnsi="Times New Roman" w:cs="Times New Roman"/>
          <w:sz w:val="24"/>
          <w:szCs w:val="24"/>
        </w:rPr>
        <w:t xml:space="preserve"> easy escape from semantic difficulties or as a lazy solution to lexical challenges. Instead, it triggers a sequence of strategic responses among students, promoting hypothesis generation, facilitating contextualization, and providing crucial information that aids further cognitive processing (Macaro, 2009, p. 47).</w:t>
      </w:r>
    </w:p>
    <w:p w14:paraId="32B7998C" w14:textId="77777777"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 xml:space="preserve">Moreover, when teachers provide first-language equivalents, this method can trigger </w:t>
      </w:r>
      <w:r w:rsidRPr="00A615D5">
        <w:rPr>
          <w:rFonts w:ascii="Times New Roman" w:hAnsi="Times New Roman" w:cs="Times New Roman"/>
          <w:sz w:val="24"/>
          <w:szCs w:val="24"/>
        </w:rPr>
        <w:lastRenderedPageBreak/>
        <w:t xml:space="preserve">deeper semantic processing compared to offering definitions or paraphrases in the target language alone. Such </w:t>
      </w:r>
      <w:proofErr w:type="gramStart"/>
      <w:r w:rsidRPr="00A615D5">
        <w:rPr>
          <w:rFonts w:ascii="Times New Roman" w:hAnsi="Times New Roman" w:cs="Times New Roman"/>
          <w:sz w:val="24"/>
          <w:szCs w:val="24"/>
        </w:rPr>
        <w:t>depth</w:t>
      </w:r>
      <w:proofErr w:type="gramEnd"/>
      <w:r w:rsidRPr="00A615D5">
        <w:rPr>
          <w:rFonts w:ascii="Times New Roman" w:hAnsi="Times New Roman" w:cs="Times New Roman"/>
          <w:sz w:val="24"/>
          <w:szCs w:val="24"/>
        </w:rPr>
        <w:t xml:space="preserve"> of processing is vital for effective language learning and retention. It reinforces the perspective that code-switching can serve as a potent educational tool that enriches learning experiences.</w:t>
      </w:r>
    </w:p>
    <w:p w14:paraId="488A4FB3" w14:textId="2F3965E4"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Code-switching is a valuable pedagogical strategy that enhances students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language learning experiences. By skillfully integrating learners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first languages into instruction, code-switching improves comprehension, facilitates vocabulary acquisition, and supports deeper cognitive processing, leading to greater proficiency in the second language.</w:t>
      </w:r>
    </w:p>
    <w:p w14:paraId="7D205692" w14:textId="77777777" w:rsidR="006111AB" w:rsidRPr="00A615D5" w:rsidRDefault="006111AB" w:rsidP="00E43D13">
      <w:pPr>
        <w:pStyle w:val="a9"/>
        <w:numPr>
          <w:ilvl w:val="1"/>
          <w:numId w:val="4"/>
        </w:numPr>
        <w:spacing w:line="360" w:lineRule="auto"/>
        <w:rPr>
          <w:rFonts w:ascii="Times New Roman" w:hAnsi="Times New Roman" w:cs="Times New Roman"/>
          <w:b/>
          <w:bCs/>
          <w:sz w:val="24"/>
          <w:szCs w:val="24"/>
        </w:rPr>
      </w:pPr>
      <w:r w:rsidRPr="00A615D5">
        <w:rPr>
          <w:rFonts w:ascii="Times New Roman" w:hAnsi="Times New Roman" w:cs="Times New Roman"/>
          <w:b/>
          <w:bCs/>
          <w:sz w:val="24"/>
          <w:szCs w:val="24"/>
        </w:rPr>
        <w:t>Improved Classroom Engagement and Emotional Support</w:t>
      </w:r>
    </w:p>
    <w:p w14:paraId="5CA6295B" w14:textId="77777777"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Code-switching plays a crucial role in enhancing classroom engagement and providing emotional support to students. This section explores how strategic code-switching fosters a more inclusive and emotionally supportive learning environment, promoting active participation and deeper learning.</w:t>
      </w:r>
    </w:p>
    <w:p w14:paraId="6D8D6DE2" w14:textId="398147A5"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Language learning is not only a cognitive endeavor; it is also a deeply affective experience. The affective factors involved significantly influence a learner</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s capacity to acquire a second language. According to Krashen (1982, p. 31), the lower the filter, the more it is possible for the learner to acquire the language and the higher the filter, the less it is possible for them to absorb comprehensible input effectively. Code-switching contributes to lowering this affective filter by reducing emotional barriers to learning. As Olivera (2021, p. 16) notes, the strategic use of students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first language through code-switching creates a low-anxiety atmosphere in the classroom.</w:t>
      </w:r>
    </w:p>
    <w:p w14:paraId="65BD7188" w14:textId="31608483"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In bilingual and multilingual classrooms, students may experience anxiety or alienation when instruction is delivered exclusively in a language they are still acquiring. Code-switching allows teachers to effectively bridge the gap between students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existing linguistic repertoire and the new language they are learning (Yuan et al., 2023, p. 9). It is essential for teachers to use code-switching flexibly and strategically, aligning it with students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linguistic backgrounds and the evolving dynamics of the classroom to enhance the overall language acquisition experience.</w:t>
      </w:r>
    </w:p>
    <w:p w14:paraId="2FB9671E" w14:textId="015DFB87" w:rsidR="006111AB" w:rsidRPr="00A615D5" w:rsidRDefault="006111AB" w:rsidP="00A65AA5">
      <w:pPr>
        <w:spacing w:line="360" w:lineRule="auto"/>
        <w:rPr>
          <w:rFonts w:ascii="Times New Roman" w:hAnsi="Times New Roman" w:cs="Times New Roman" w:hint="eastAsia"/>
          <w:sz w:val="24"/>
          <w:szCs w:val="24"/>
        </w:rPr>
      </w:pPr>
      <w:r w:rsidRPr="00A615D5">
        <w:rPr>
          <w:rFonts w:ascii="Times New Roman" w:hAnsi="Times New Roman" w:cs="Times New Roman"/>
          <w:sz w:val="24"/>
          <w:szCs w:val="24"/>
        </w:rPr>
        <w:t>Code-switching has a positive effect on increasing and boosting learner</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s confidence </w:t>
      </w:r>
      <w:r w:rsidRPr="00A615D5">
        <w:rPr>
          <w:rFonts w:ascii="Times New Roman" w:hAnsi="Times New Roman" w:cs="Times New Roman"/>
          <w:sz w:val="24"/>
          <w:szCs w:val="24"/>
        </w:rPr>
        <w:lastRenderedPageBreak/>
        <w:t>and engagement during classes and the teacher also plays a great part in boosting the learners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motivation to participate and engage themselves in discussions (Olivera, 2021, p. 24). Similarly, Cesaria, et al. (2024, p. 18) </w:t>
      </w:r>
      <w:proofErr w:type="gramStart"/>
      <w:r w:rsidRPr="00A615D5">
        <w:rPr>
          <w:rFonts w:ascii="Times New Roman" w:hAnsi="Times New Roman" w:cs="Times New Roman"/>
          <w:sz w:val="24"/>
          <w:szCs w:val="24"/>
        </w:rPr>
        <w:t>highlight</w:t>
      </w:r>
      <w:proofErr w:type="gramEnd"/>
      <w:r w:rsidRPr="00A615D5">
        <w:rPr>
          <w:rFonts w:ascii="Times New Roman" w:hAnsi="Times New Roman" w:cs="Times New Roman"/>
          <w:sz w:val="24"/>
          <w:szCs w:val="24"/>
        </w:rPr>
        <w:t xml:space="preserve"> that code-switching aids in understanding linguistic concepts and promotes active engagement in language learning</w:t>
      </w:r>
      <w:r w:rsidR="00103056" w:rsidRPr="00A615D5">
        <w:rPr>
          <w:rFonts w:ascii="Times New Roman" w:hAnsi="Times New Roman" w:cs="Times New Roman" w:hint="eastAsia"/>
          <w:sz w:val="24"/>
          <w:szCs w:val="24"/>
        </w:rPr>
        <w:t>.</w:t>
      </w:r>
    </w:p>
    <w:p w14:paraId="76B5B546" w14:textId="13564B10" w:rsidR="006111AB" w:rsidRPr="00B606A1"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Student engagement is a multifaceted construct encompassing behavioral, emotional, and cognitive dimensions. The use of code-switching by teachers can significantly</w:t>
      </w:r>
      <w:r w:rsidRPr="00B606A1">
        <w:rPr>
          <w:rFonts w:ascii="Times New Roman" w:hAnsi="Times New Roman" w:cs="Times New Roman"/>
          <w:sz w:val="24"/>
          <w:szCs w:val="24"/>
        </w:rPr>
        <w:t xml:space="preserve"> influence these aspects by making instructional content more accessible and relatable.</w:t>
      </w:r>
      <w:r w:rsidR="00103056">
        <w:rPr>
          <w:rFonts w:ascii="Times New Roman" w:hAnsi="Times New Roman" w:cs="Times New Roman" w:hint="eastAsia"/>
          <w:sz w:val="24"/>
          <w:szCs w:val="24"/>
        </w:rPr>
        <w:t xml:space="preserve"> </w:t>
      </w:r>
      <w:r w:rsidRPr="00B606A1">
        <w:rPr>
          <w:rFonts w:ascii="Times New Roman" w:hAnsi="Times New Roman" w:cs="Times New Roman"/>
          <w:sz w:val="24"/>
          <w:szCs w:val="24"/>
        </w:rPr>
        <w:t>When students can connect new information in the target language to familiar concepts in their first language (L1), they are more likely to remain attentive and invested in their learning. These findings indicate that teachers who strategically employ code-switching are more effective at maintaining students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attention and encouraging participation. This practice helps bridge linguistic gaps and clarify complex concepts, enhancing student engagement and enriching the overall language learning experience in the classroom. </w:t>
      </w:r>
    </w:p>
    <w:p w14:paraId="33F8344B" w14:textId="55F88E67"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In conclusion, code-switching proves to be a valuable teaching strategy in bilingual classrooms, offering many benefits that strengthen language skills, improve performance, and create a supportive emotional environment. By acknowledging and using students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first languages, teachers can foster an inclusive setting that lowers barriers to learning and promotes active participation. Research shows that the smart use of code-switching helps fill language gaps, aids understanding, and allows students to express themselves more confidently. When teachers incorporate code-switching into their lessons, they effectively support students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language growth and overall success, making the educational experience better for everyone.</w:t>
      </w:r>
    </w:p>
    <w:p w14:paraId="53FAF072" w14:textId="1B44AC3C" w:rsidR="006111AB" w:rsidRPr="00E43D13" w:rsidRDefault="006111AB" w:rsidP="00E43D13">
      <w:pPr>
        <w:pStyle w:val="a9"/>
        <w:numPr>
          <w:ilvl w:val="0"/>
          <w:numId w:val="4"/>
        </w:numPr>
        <w:spacing w:line="360" w:lineRule="auto"/>
        <w:rPr>
          <w:rFonts w:ascii="Times New Roman" w:hAnsi="Times New Roman" w:cs="Times New Roman"/>
          <w:b/>
          <w:bCs/>
          <w:sz w:val="24"/>
          <w:szCs w:val="24"/>
        </w:rPr>
      </w:pPr>
      <w:r w:rsidRPr="00E43D13">
        <w:rPr>
          <w:rFonts w:ascii="Times New Roman" w:hAnsi="Times New Roman" w:cs="Times New Roman"/>
          <w:b/>
          <w:bCs/>
          <w:sz w:val="24"/>
          <w:szCs w:val="24"/>
        </w:rPr>
        <w:t>Teachers</w:t>
      </w:r>
      <w:r w:rsidR="00F34122">
        <w:rPr>
          <w:rFonts w:ascii="Times New Roman" w:hAnsi="Times New Roman" w:cs="Times New Roman"/>
          <w:b/>
          <w:bCs/>
          <w:sz w:val="24"/>
          <w:szCs w:val="24"/>
        </w:rPr>
        <w:t>’</w:t>
      </w:r>
      <w:r w:rsidRPr="00E43D13">
        <w:rPr>
          <w:rFonts w:ascii="Times New Roman" w:hAnsi="Times New Roman" w:cs="Times New Roman"/>
          <w:b/>
          <w:bCs/>
          <w:sz w:val="24"/>
          <w:szCs w:val="24"/>
        </w:rPr>
        <w:t xml:space="preserve"> Perceptions of Code Switching in the Bilingual Classroom</w:t>
      </w:r>
    </w:p>
    <w:p w14:paraId="5CE71F07" w14:textId="0BBEC6DF"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Teachers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perceptions of code-switching play a vital role in bilingual classrooms. This section highlights research that explores teacher attitudes and rationales regarding their code-switching practices.</w:t>
      </w:r>
    </w:p>
    <w:p w14:paraId="299E32AD" w14:textId="780E497C" w:rsidR="006111AB" w:rsidRPr="00E43D13" w:rsidRDefault="006111AB" w:rsidP="00E43D13">
      <w:pPr>
        <w:pStyle w:val="a9"/>
        <w:numPr>
          <w:ilvl w:val="1"/>
          <w:numId w:val="4"/>
        </w:numPr>
        <w:spacing w:line="360" w:lineRule="auto"/>
        <w:rPr>
          <w:rFonts w:ascii="Times New Roman" w:hAnsi="Times New Roman" w:cs="Times New Roman"/>
          <w:b/>
          <w:bCs/>
          <w:sz w:val="24"/>
          <w:szCs w:val="24"/>
        </w:rPr>
      </w:pPr>
      <w:r w:rsidRPr="00E43D13">
        <w:rPr>
          <w:rFonts w:ascii="Times New Roman" w:hAnsi="Times New Roman" w:cs="Times New Roman"/>
          <w:b/>
          <w:bCs/>
          <w:sz w:val="24"/>
          <w:szCs w:val="24"/>
        </w:rPr>
        <w:t>Positive Perceptions of Code-Switching</w:t>
      </w:r>
    </w:p>
    <w:p w14:paraId="350AD63D" w14:textId="77777777" w:rsidR="006111AB" w:rsidRPr="00A615D5"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Many teachers perceive code-switching as a valuable instructional tool that facilitates </w:t>
      </w:r>
      <w:r w:rsidRPr="00B606A1">
        <w:rPr>
          <w:rFonts w:ascii="Times New Roman" w:hAnsi="Times New Roman" w:cs="Times New Roman"/>
          <w:sz w:val="24"/>
          <w:szCs w:val="24"/>
        </w:rPr>
        <w:lastRenderedPageBreak/>
        <w:t xml:space="preserve">comprehension, promotes classroom interaction, and supports affective engagement. One of the most frequently cited benefits is the enhancement of student understanding, particularly </w:t>
      </w:r>
      <w:r w:rsidRPr="00A615D5">
        <w:rPr>
          <w:rFonts w:ascii="Times New Roman" w:hAnsi="Times New Roman" w:cs="Times New Roman"/>
          <w:sz w:val="24"/>
          <w:szCs w:val="24"/>
        </w:rPr>
        <w:t xml:space="preserve">when dealing with complex or abstract content. </w:t>
      </w:r>
    </w:p>
    <w:p w14:paraId="7BC9AF42" w14:textId="5C20D328"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According to Chen (2019, p. 201), teachers found that CS helped overcome students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comprehension difficulties, resulting in more fluid and efficient classroom communication. This pedagogical strategy also increased the overall learning efficiency, making lessons more engaging and stimulating student enthusiasm. By strategically employing the students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first language (L1), teachers were able to better explain difficult vocabulary and abstract concepts, especially those tied to cultural references that might otherwise be misunderstood. As Chen (2019, p. 202) highlights, several teachers noted that providing culturally relevant information in </w:t>
      </w:r>
      <w:r w:rsidR="009A557B" w:rsidRPr="00A615D5">
        <w:rPr>
          <w:rFonts w:ascii="Times New Roman" w:hAnsi="Times New Roman" w:cs="Times New Roman"/>
          <w:sz w:val="24"/>
          <w:szCs w:val="24"/>
        </w:rPr>
        <w:t>L1</w:t>
      </w:r>
      <w:r w:rsidRPr="00A615D5">
        <w:rPr>
          <w:rFonts w:ascii="Times New Roman" w:hAnsi="Times New Roman" w:cs="Times New Roman"/>
          <w:sz w:val="24"/>
          <w:szCs w:val="24"/>
        </w:rPr>
        <w:t xml:space="preserve"> not only broadened students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perspectives but also served as a useful resource for stimulating discussion and enhancing intercultural communication abilities.</w:t>
      </w:r>
    </w:p>
    <w:p w14:paraId="035573A9" w14:textId="2062CEFD" w:rsidR="006111AB" w:rsidRPr="00A615D5"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Furthermore, code-switching was perceived to assist in building cognitive bridges between students</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 L1 and the target language (L2), thereby improving fluency. Helping learners establish meaningful connections between the two languages reduced the </w:t>
      </w:r>
      <w:r w:rsidR="00BE42BB" w:rsidRPr="00A615D5">
        <w:rPr>
          <w:rFonts w:ascii="Times New Roman" w:hAnsi="Times New Roman" w:cs="Times New Roman"/>
          <w:sz w:val="24"/>
          <w:szCs w:val="24"/>
        </w:rPr>
        <w:t>“</w:t>
      </w:r>
      <w:r w:rsidRPr="00A615D5">
        <w:rPr>
          <w:rFonts w:ascii="Times New Roman" w:hAnsi="Times New Roman" w:cs="Times New Roman"/>
          <w:sz w:val="24"/>
          <w:szCs w:val="24"/>
        </w:rPr>
        <w:t>search time</w:t>
      </w:r>
      <w:r w:rsidR="00BE42BB" w:rsidRPr="00A615D5">
        <w:rPr>
          <w:rFonts w:ascii="Times New Roman" w:hAnsi="Times New Roman" w:cs="Times New Roman"/>
          <w:sz w:val="24"/>
          <w:szCs w:val="24"/>
        </w:rPr>
        <w:t>”</w:t>
      </w:r>
      <w:r w:rsidRPr="00A615D5">
        <w:rPr>
          <w:rFonts w:ascii="Times New Roman" w:hAnsi="Times New Roman" w:cs="Times New Roman"/>
          <w:sz w:val="24"/>
          <w:szCs w:val="24"/>
        </w:rPr>
        <w:t xml:space="preserve"> in speech production, making their use of L2 more fluent and confident (Chen, 2019, p. 204). Without these conceptual connections, students might struggle to retrieve appropriate L2 expressions, thus hindering language output.</w:t>
      </w:r>
    </w:p>
    <w:p w14:paraId="0042D777" w14:textId="67C27A9C" w:rsidR="006111AB" w:rsidRPr="00B606A1" w:rsidRDefault="006111AB" w:rsidP="00A65AA5">
      <w:pPr>
        <w:spacing w:line="360" w:lineRule="auto"/>
        <w:rPr>
          <w:rFonts w:ascii="Times New Roman" w:hAnsi="Times New Roman" w:cs="Times New Roman"/>
          <w:sz w:val="24"/>
          <w:szCs w:val="24"/>
        </w:rPr>
      </w:pPr>
      <w:r w:rsidRPr="00A615D5">
        <w:rPr>
          <w:rFonts w:ascii="Times New Roman" w:hAnsi="Times New Roman" w:cs="Times New Roman"/>
          <w:sz w:val="24"/>
          <w:szCs w:val="24"/>
        </w:rPr>
        <w:t xml:space="preserve">Another significant benefit identified by </w:t>
      </w:r>
      <w:r w:rsidR="008A6C56" w:rsidRPr="00A615D5">
        <w:rPr>
          <w:rFonts w:ascii="Times New Roman" w:hAnsi="Times New Roman" w:cs="Times New Roman" w:hint="eastAsia"/>
          <w:sz w:val="24"/>
          <w:szCs w:val="24"/>
        </w:rPr>
        <w:t>teacher</w:t>
      </w:r>
      <w:r w:rsidRPr="00A615D5">
        <w:rPr>
          <w:rFonts w:ascii="Times New Roman" w:hAnsi="Times New Roman" w:cs="Times New Roman"/>
          <w:sz w:val="24"/>
          <w:szCs w:val="24"/>
        </w:rPr>
        <w:t xml:space="preserve">s is the affective support provided through </w:t>
      </w:r>
      <w:r w:rsidR="00BE42BB" w:rsidRPr="00A615D5">
        <w:rPr>
          <w:rFonts w:ascii="Times New Roman" w:hAnsi="Times New Roman" w:cs="Times New Roman"/>
          <w:sz w:val="24"/>
          <w:szCs w:val="24"/>
        </w:rPr>
        <w:t>code-switching</w:t>
      </w:r>
      <w:r w:rsidRPr="00A615D5">
        <w:rPr>
          <w:rFonts w:ascii="Times New Roman" w:hAnsi="Times New Roman" w:cs="Times New Roman"/>
          <w:sz w:val="24"/>
          <w:szCs w:val="24"/>
        </w:rPr>
        <w:t xml:space="preserve">. Teachers frequently cited the use of </w:t>
      </w:r>
      <w:r w:rsidR="00BE42BB" w:rsidRPr="00A615D5">
        <w:rPr>
          <w:rFonts w:ascii="Times New Roman" w:hAnsi="Times New Roman" w:cs="Times New Roman"/>
          <w:sz w:val="24"/>
          <w:szCs w:val="24"/>
        </w:rPr>
        <w:t>code-switching</w:t>
      </w:r>
      <w:r w:rsidRPr="00A615D5">
        <w:rPr>
          <w:rFonts w:ascii="Times New Roman" w:hAnsi="Times New Roman" w:cs="Times New Roman"/>
          <w:sz w:val="24"/>
          <w:szCs w:val="24"/>
        </w:rPr>
        <w:t xml:space="preserve"> as a me</w:t>
      </w:r>
      <w:r w:rsidRPr="00B606A1">
        <w:rPr>
          <w:rFonts w:ascii="Times New Roman" w:hAnsi="Times New Roman" w:cs="Times New Roman"/>
          <w:sz w:val="24"/>
          <w:szCs w:val="24"/>
        </w:rPr>
        <w:t xml:space="preserve">ans of reducing student anxiety and fostering a comfortable, low-pressure classroom environment. According to </w:t>
      </w:r>
      <w:proofErr w:type="spellStart"/>
      <w:r w:rsidR="00F10F65" w:rsidRPr="00F10F65">
        <w:rPr>
          <w:rFonts w:ascii="Times New Roman" w:hAnsi="Times New Roman" w:cs="Times New Roman" w:hint="eastAsia"/>
          <w:sz w:val="24"/>
          <w:szCs w:val="24"/>
        </w:rPr>
        <w:t>Napitupulu</w:t>
      </w:r>
      <w:proofErr w:type="spellEnd"/>
      <w:r w:rsidRPr="00F10F65">
        <w:rPr>
          <w:rFonts w:ascii="Times New Roman" w:hAnsi="Times New Roman" w:cs="Times New Roman"/>
          <w:sz w:val="24"/>
          <w:szCs w:val="24"/>
        </w:rPr>
        <w:t xml:space="preserve"> (2025, p. 140), </w:t>
      </w:r>
      <w:r w:rsidR="00BE42BB" w:rsidRPr="00F10F65">
        <w:rPr>
          <w:rFonts w:ascii="Times New Roman" w:hAnsi="Times New Roman" w:cs="Times New Roman"/>
          <w:sz w:val="24"/>
          <w:szCs w:val="24"/>
        </w:rPr>
        <w:t>cod</w:t>
      </w:r>
      <w:r w:rsidR="00BE42BB" w:rsidRPr="00B606A1">
        <w:rPr>
          <w:rFonts w:ascii="Times New Roman" w:hAnsi="Times New Roman" w:cs="Times New Roman"/>
          <w:sz w:val="24"/>
          <w:szCs w:val="24"/>
        </w:rPr>
        <w:t>e-switching</w:t>
      </w:r>
      <w:r w:rsidRPr="00B606A1">
        <w:rPr>
          <w:rFonts w:ascii="Times New Roman" w:hAnsi="Times New Roman" w:cs="Times New Roman"/>
          <w:sz w:val="24"/>
          <w:szCs w:val="24"/>
        </w:rPr>
        <w:t xml:space="preserve"> contributes to improved student engagement by streamlining instruction, reducing apprehension, and promoting learner participation. These affective dimensions are crucial, particularly in </w:t>
      </w:r>
      <w:r w:rsidR="00BE42BB" w:rsidRPr="00B606A1">
        <w:rPr>
          <w:rFonts w:ascii="Times New Roman" w:hAnsi="Times New Roman" w:cs="Times New Roman"/>
          <w:sz w:val="24"/>
          <w:szCs w:val="24"/>
        </w:rPr>
        <w:t>the early</w:t>
      </w:r>
      <w:r w:rsidRPr="00B606A1">
        <w:rPr>
          <w:rFonts w:ascii="Times New Roman" w:hAnsi="Times New Roman" w:cs="Times New Roman"/>
          <w:sz w:val="24"/>
          <w:szCs w:val="24"/>
        </w:rPr>
        <w:t xml:space="preserve"> or low-proficiency stages of L2 acquisition.</w:t>
      </w:r>
    </w:p>
    <w:p w14:paraId="1F50A522" w14:textId="21004E84"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In this context, </w:t>
      </w:r>
      <w:r w:rsidR="00BE42BB" w:rsidRPr="00B606A1">
        <w:rPr>
          <w:rFonts w:ascii="Times New Roman" w:hAnsi="Times New Roman" w:cs="Times New Roman"/>
          <w:sz w:val="24"/>
          <w:szCs w:val="24"/>
        </w:rPr>
        <w:t>code-switching</w:t>
      </w:r>
      <w:r w:rsidRPr="00B606A1">
        <w:rPr>
          <w:rFonts w:ascii="Times New Roman" w:hAnsi="Times New Roman" w:cs="Times New Roman"/>
          <w:sz w:val="24"/>
          <w:szCs w:val="24"/>
        </w:rPr>
        <w:t xml:space="preserve"> is not only about linguistic transition but also emotional reassurance. One teach</w:t>
      </w:r>
      <w:r w:rsidRPr="00A615D5">
        <w:rPr>
          <w:rFonts w:ascii="Times New Roman" w:hAnsi="Times New Roman" w:cs="Times New Roman"/>
          <w:sz w:val="24"/>
          <w:szCs w:val="24"/>
        </w:rPr>
        <w:t>er in Chen</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 xml:space="preserve">s (2019, p. 206) study reported using </w:t>
      </w:r>
      <w:r w:rsidR="00860F2D" w:rsidRPr="00A615D5">
        <w:rPr>
          <w:rFonts w:ascii="Times New Roman" w:hAnsi="Times New Roman" w:cs="Times New Roman"/>
          <w:sz w:val="24"/>
          <w:szCs w:val="24"/>
        </w:rPr>
        <w:t>cod</w:t>
      </w:r>
      <w:r w:rsidR="00860F2D" w:rsidRPr="00B606A1">
        <w:rPr>
          <w:rFonts w:ascii="Times New Roman" w:hAnsi="Times New Roman" w:cs="Times New Roman"/>
          <w:sz w:val="24"/>
          <w:szCs w:val="24"/>
        </w:rPr>
        <w:t>e-switching</w:t>
      </w:r>
      <w:r w:rsidRPr="00B606A1">
        <w:rPr>
          <w:rFonts w:ascii="Times New Roman" w:hAnsi="Times New Roman" w:cs="Times New Roman"/>
          <w:sz w:val="24"/>
          <w:szCs w:val="24"/>
        </w:rPr>
        <w:t xml:space="preserve"> to address students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emotional needs, emphasizing the importance of fostering an inclusive atmosphere that prioritizes student participation over strict language rules. </w:t>
      </w:r>
      <w:r w:rsidRPr="00B606A1">
        <w:rPr>
          <w:rFonts w:ascii="Times New Roman" w:hAnsi="Times New Roman" w:cs="Times New Roman"/>
          <w:sz w:val="24"/>
          <w:szCs w:val="24"/>
        </w:rPr>
        <w:lastRenderedPageBreak/>
        <w:t>Similar</w:t>
      </w:r>
      <w:r w:rsidRPr="00927258">
        <w:rPr>
          <w:rFonts w:ascii="Times New Roman" w:hAnsi="Times New Roman" w:cs="Times New Roman"/>
          <w:sz w:val="24"/>
          <w:szCs w:val="24"/>
        </w:rPr>
        <w:t xml:space="preserve">ly, Gustavsson and </w:t>
      </w:r>
      <w:proofErr w:type="spellStart"/>
      <w:r w:rsidRPr="00927258">
        <w:rPr>
          <w:rFonts w:ascii="Times New Roman" w:hAnsi="Times New Roman" w:cs="Times New Roman"/>
          <w:sz w:val="24"/>
          <w:szCs w:val="24"/>
        </w:rPr>
        <w:t>Karakitsos</w:t>
      </w:r>
      <w:proofErr w:type="spellEnd"/>
      <w:r w:rsidRPr="00927258">
        <w:rPr>
          <w:rFonts w:ascii="Times New Roman" w:hAnsi="Times New Roman" w:cs="Times New Roman"/>
          <w:sz w:val="24"/>
          <w:szCs w:val="24"/>
        </w:rPr>
        <w:t xml:space="preserve"> (20</w:t>
      </w:r>
      <w:r w:rsidR="00732089" w:rsidRPr="00927258">
        <w:rPr>
          <w:rFonts w:ascii="Times New Roman" w:hAnsi="Times New Roman" w:cs="Times New Roman" w:hint="eastAsia"/>
          <w:sz w:val="24"/>
          <w:szCs w:val="24"/>
        </w:rPr>
        <w:t>19</w:t>
      </w:r>
      <w:r w:rsidRPr="00927258">
        <w:rPr>
          <w:rFonts w:ascii="Times New Roman" w:hAnsi="Times New Roman" w:cs="Times New Roman"/>
          <w:sz w:val="24"/>
          <w:szCs w:val="24"/>
        </w:rPr>
        <w:t>, p. 24) fou</w:t>
      </w:r>
      <w:r w:rsidRPr="00B606A1">
        <w:rPr>
          <w:rFonts w:ascii="Times New Roman" w:hAnsi="Times New Roman" w:cs="Times New Roman"/>
          <w:sz w:val="24"/>
          <w:szCs w:val="24"/>
        </w:rPr>
        <w:t xml:space="preserve">nd that teachers often allow or initiate </w:t>
      </w:r>
      <w:r w:rsidR="005E5C55" w:rsidRPr="00B606A1">
        <w:rPr>
          <w:rFonts w:ascii="Times New Roman" w:hAnsi="Times New Roman" w:cs="Times New Roman"/>
          <w:sz w:val="24"/>
          <w:szCs w:val="24"/>
        </w:rPr>
        <w:t>code-switching</w:t>
      </w:r>
      <w:r w:rsidRPr="00B606A1">
        <w:rPr>
          <w:rFonts w:ascii="Times New Roman" w:hAnsi="Times New Roman" w:cs="Times New Roman"/>
          <w:sz w:val="24"/>
          <w:szCs w:val="24"/>
        </w:rPr>
        <w:t xml:space="preserve"> to create a safe learning space where students feel comfortable testing their language abilities. This perspective resonates with </w:t>
      </w:r>
      <w:proofErr w:type="spellStart"/>
      <w:r w:rsidRPr="00A615D5">
        <w:rPr>
          <w:rFonts w:ascii="Times New Roman" w:hAnsi="Times New Roman" w:cs="Times New Roman"/>
          <w:sz w:val="24"/>
          <w:szCs w:val="24"/>
        </w:rPr>
        <w:t>Kamwangamalu</w:t>
      </w:r>
      <w:r w:rsidR="00F34122" w:rsidRPr="00A615D5">
        <w:rPr>
          <w:rFonts w:ascii="Times New Roman" w:hAnsi="Times New Roman" w:cs="Times New Roman"/>
          <w:sz w:val="24"/>
          <w:szCs w:val="24"/>
        </w:rPr>
        <w:t>’</w:t>
      </w:r>
      <w:r w:rsidRPr="00A615D5">
        <w:rPr>
          <w:rFonts w:ascii="Times New Roman" w:hAnsi="Times New Roman" w:cs="Times New Roman"/>
          <w:sz w:val="24"/>
          <w:szCs w:val="24"/>
        </w:rPr>
        <w:t>s</w:t>
      </w:r>
      <w:proofErr w:type="spellEnd"/>
      <w:r w:rsidRPr="00A615D5">
        <w:rPr>
          <w:rFonts w:ascii="Times New Roman" w:hAnsi="Times New Roman" w:cs="Times New Roman"/>
          <w:sz w:val="24"/>
          <w:szCs w:val="24"/>
        </w:rPr>
        <w:t xml:space="preserve"> (2010, p. 124) argument that </w:t>
      </w:r>
      <w:r w:rsidR="005E5C55" w:rsidRPr="00A615D5">
        <w:rPr>
          <w:rFonts w:ascii="Times New Roman" w:hAnsi="Times New Roman" w:cs="Times New Roman"/>
          <w:sz w:val="24"/>
          <w:szCs w:val="24"/>
        </w:rPr>
        <w:t>code-switching</w:t>
      </w:r>
      <w:r w:rsidRPr="00A615D5">
        <w:rPr>
          <w:rFonts w:ascii="Times New Roman" w:hAnsi="Times New Roman" w:cs="Times New Roman"/>
          <w:sz w:val="24"/>
          <w:szCs w:val="24"/>
        </w:rPr>
        <w:t xml:space="preserve"> can play a significant role in identity formation</w:t>
      </w:r>
      <w:r w:rsidRPr="00B606A1">
        <w:rPr>
          <w:rFonts w:ascii="Times New Roman" w:hAnsi="Times New Roman" w:cs="Times New Roman"/>
          <w:sz w:val="24"/>
          <w:szCs w:val="24"/>
        </w:rPr>
        <w:t xml:space="preserve"> and the development of a sense of belonging among learners.</w:t>
      </w:r>
    </w:p>
    <w:p w14:paraId="73DBC5F8" w14:textId="34BE9CEC"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The strategic use of </w:t>
      </w:r>
      <w:r w:rsidR="005E5C55" w:rsidRPr="00B606A1">
        <w:rPr>
          <w:rFonts w:ascii="Times New Roman" w:hAnsi="Times New Roman" w:cs="Times New Roman"/>
          <w:sz w:val="24"/>
          <w:szCs w:val="24"/>
        </w:rPr>
        <w:t>code-switching</w:t>
      </w:r>
      <w:r w:rsidRPr="00B606A1">
        <w:rPr>
          <w:rFonts w:ascii="Times New Roman" w:hAnsi="Times New Roman" w:cs="Times New Roman"/>
          <w:sz w:val="24"/>
          <w:szCs w:val="24"/>
        </w:rPr>
        <w:t xml:space="preserve"> also reflects teachers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efforts to support intrapersonal communication. Teachers recognize that for many learners, especially those from marginalized or minority language backgrounds, </w:t>
      </w:r>
      <w:r w:rsidR="005E5C55" w:rsidRPr="00B606A1">
        <w:rPr>
          <w:rFonts w:ascii="Times New Roman" w:hAnsi="Times New Roman" w:cs="Times New Roman"/>
          <w:sz w:val="24"/>
          <w:szCs w:val="24"/>
        </w:rPr>
        <w:t>code-switching</w:t>
      </w:r>
      <w:r w:rsidRPr="00B606A1">
        <w:rPr>
          <w:rFonts w:ascii="Times New Roman" w:hAnsi="Times New Roman" w:cs="Times New Roman"/>
          <w:sz w:val="24"/>
          <w:szCs w:val="24"/>
        </w:rPr>
        <w:t xml:space="preserve"> affirms their linguistic identity and validates their lived experiences. This empathetic approach contributes to a more responsive and culturally sustaining pedagogy.</w:t>
      </w:r>
    </w:p>
    <w:p w14:paraId="5146A14C" w14:textId="2423EB46" w:rsidR="006111AB" w:rsidRPr="00B606A1" w:rsidRDefault="006A72DE" w:rsidP="00A65AA5">
      <w:pPr>
        <w:spacing w:line="360" w:lineRule="auto"/>
        <w:rPr>
          <w:rFonts w:ascii="Times New Roman" w:hAnsi="Times New Roman" w:cs="Times New Roman"/>
          <w:b/>
          <w:bCs/>
          <w:sz w:val="24"/>
          <w:szCs w:val="24"/>
        </w:rPr>
      </w:pPr>
      <w:r>
        <w:rPr>
          <w:rFonts w:ascii="Times New Roman" w:hAnsi="Times New Roman" w:cs="Times New Roman" w:hint="eastAsia"/>
          <w:b/>
          <w:bCs/>
          <w:sz w:val="24"/>
          <w:szCs w:val="24"/>
        </w:rPr>
        <w:t xml:space="preserve">4.2 </w:t>
      </w:r>
      <w:r w:rsidR="006111AB" w:rsidRPr="00B606A1">
        <w:rPr>
          <w:rFonts w:ascii="Times New Roman" w:hAnsi="Times New Roman" w:cs="Times New Roman"/>
          <w:b/>
          <w:bCs/>
          <w:sz w:val="24"/>
          <w:szCs w:val="24"/>
        </w:rPr>
        <w:t>Negative Perceptions of Code-Switching</w:t>
      </w:r>
    </w:p>
    <w:p w14:paraId="1DA6B129" w14:textId="5687EBDB"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Despite its perceived benefits, </w:t>
      </w:r>
      <w:r w:rsidR="005E5C55" w:rsidRPr="00B606A1">
        <w:rPr>
          <w:rFonts w:ascii="Times New Roman" w:hAnsi="Times New Roman" w:cs="Times New Roman"/>
          <w:sz w:val="24"/>
          <w:szCs w:val="24"/>
        </w:rPr>
        <w:t>code-switching</w:t>
      </w:r>
      <w:r w:rsidRPr="00B606A1">
        <w:rPr>
          <w:rFonts w:ascii="Times New Roman" w:hAnsi="Times New Roman" w:cs="Times New Roman"/>
          <w:sz w:val="24"/>
          <w:szCs w:val="24"/>
        </w:rPr>
        <w:t xml:space="preserve"> is also viewed critically by some </w:t>
      </w:r>
      <w:r w:rsidR="008A6C56">
        <w:rPr>
          <w:rFonts w:ascii="Times New Roman" w:hAnsi="Times New Roman" w:cs="Times New Roman" w:hint="eastAsia"/>
          <w:sz w:val="24"/>
          <w:szCs w:val="24"/>
        </w:rPr>
        <w:t>teacher</w:t>
      </w:r>
      <w:r w:rsidRPr="00B606A1">
        <w:rPr>
          <w:rFonts w:ascii="Times New Roman" w:hAnsi="Times New Roman" w:cs="Times New Roman"/>
          <w:sz w:val="24"/>
          <w:szCs w:val="24"/>
        </w:rPr>
        <w:t>s who believe that it may undermine the goals of language immersion and proficiency development. Concerns primarily revolve around the potential overreliance on the L1 and its long-term implications for both students and teachers.</w:t>
      </w:r>
    </w:p>
    <w:p w14:paraId="1EE72F7D" w14:textId="1B9A4E30" w:rsidR="006111AB" w:rsidRPr="0083115F" w:rsidRDefault="006111AB" w:rsidP="00A65AA5">
      <w:pPr>
        <w:spacing w:line="360" w:lineRule="auto"/>
        <w:rPr>
          <w:rFonts w:ascii="Times New Roman" w:hAnsi="Times New Roman" w:cs="Times New Roman"/>
          <w:sz w:val="24"/>
          <w:szCs w:val="24"/>
        </w:rPr>
      </w:pPr>
      <w:r w:rsidRPr="0083115F">
        <w:rPr>
          <w:rFonts w:ascii="Times New Roman" w:hAnsi="Times New Roman" w:cs="Times New Roman"/>
          <w:sz w:val="24"/>
          <w:szCs w:val="24"/>
        </w:rPr>
        <w:t xml:space="preserve">Chowdhury (2013, p. 53) expresses the concern that excessive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xml:space="preserve"> could hinder language acquisition, warning that habitual use of the L1 in classroom settings might prevent students from fully engaging with the L2. He notes that both students and teachers could develop dependency on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thereby limiting opportunities for immersive learning and reducing the motivation to use English consistently. Chowdhury</w:t>
      </w:r>
      <w:r w:rsidR="0083115F" w:rsidRPr="0083115F">
        <w:rPr>
          <w:rFonts w:ascii="Times New Roman" w:hAnsi="Times New Roman" w:cs="Times New Roman" w:hint="eastAsia"/>
          <w:sz w:val="24"/>
          <w:szCs w:val="24"/>
        </w:rPr>
        <w:t xml:space="preserve"> (2013, p. 57)</w:t>
      </w:r>
      <w:r w:rsidRPr="0083115F">
        <w:rPr>
          <w:rFonts w:ascii="Times New Roman" w:hAnsi="Times New Roman" w:cs="Times New Roman"/>
          <w:sz w:val="24"/>
          <w:szCs w:val="24"/>
        </w:rPr>
        <w:t xml:space="preserve"> argues that while occasional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xml:space="preserve"> might be acceptable, its application should be cautious, purposeful, and clearly tied to instructional goals.</w:t>
      </w:r>
    </w:p>
    <w:p w14:paraId="26158DBA" w14:textId="58333B4A" w:rsidR="006111AB" w:rsidRPr="0083115F" w:rsidRDefault="006111AB" w:rsidP="00A65AA5">
      <w:pPr>
        <w:spacing w:line="360" w:lineRule="auto"/>
        <w:rPr>
          <w:rFonts w:ascii="Times New Roman" w:hAnsi="Times New Roman" w:cs="Times New Roman"/>
          <w:sz w:val="24"/>
          <w:szCs w:val="24"/>
        </w:rPr>
      </w:pPr>
      <w:r w:rsidRPr="0083115F">
        <w:rPr>
          <w:rFonts w:ascii="Times New Roman" w:hAnsi="Times New Roman" w:cs="Times New Roman"/>
          <w:sz w:val="24"/>
          <w:szCs w:val="24"/>
        </w:rPr>
        <w:t xml:space="preserve">Furthermore, frequent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xml:space="preserve"> may interfere with students</w:t>
      </w:r>
      <w:r w:rsidR="00F34122" w:rsidRPr="0083115F">
        <w:rPr>
          <w:rFonts w:ascii="Times New Roman" w:hAnsi="Times New Roman" w:cs="Times New Roman"/>
          <w:sz w:val="24"/>
          <w:szCs w:val="24"/>
        </w:rPr>
        <w:t>’</w:t>
      </w:r>
      <w:r w:rsidRPr="0083115F">
        <w:rPr>
          <w:rFonts w:ascii="Times New Roman" w:hAnsi="Times New Roman" w:cs="Times New Roman"/>
          <w:sz w:val="24"/>
          <w:szCs w:val="24"/>
        </w:rPr>
        <w:t xml:space="preserve"> internalization of the language-subject relationship. That is, when students default to their L1 during English instruction, it can disrupt the association between the subject matter and the L2, which is necessary for long</w:t>
      </w:r>
      <w:r w:rsidR="000018F7" w:rsidRPr="0083115F">
        <w:rPr>
          <w:rFonts w:ascii="Times New Roman" w:hAnsi="Times New Roman" w:cs="Times New Roman" w:hint="eastAsia"/>
          <w:sz w:val="24"/>
          <w:szCs w:val="24"/>
        </w:rPr>
        <w:t>-</w:t>
      </w:r>
      <w:r w:rsidRPr="0083115F">
        <w:rPr>
          <w:rFonts w:ascii="Times New Roman" w:hAnsi="Times New Roman" w:cs="Times New Roman"/>
          <w:sz w:val="24"/>
          <w:szCs w:val="24"/>
        </w:rPr>
        <w:t xml:space="preserve">term academic and linguistic development. Overuse of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xml:space="preserve"> may also diminish the students</w:t>
      </w:r>
      <w:r w:rsidR="00F34122" w:rsidRPr="0083115F">
        <w:rPr>
          <w:rFonts w:ascii="Times New Roman" w:hAnsi="Times New Roman" w:cs="Times New Roman"/>
          <w:sz w:val="24"/>
          <w:szCs w:val="24"/>
        </w:rPr>
        <w:t>’</w:t>
      </w:r>
      <w:r w:rsidRPr="0083115F">
        <w:rPr>
          <w:rFonts w:ascii="Times New Roman" w:hAnsi="Times New Roman" w:cs="Times New Roman"/>
          <w:sz w:val="24"/>
          <w:szCs w:val="24"/>
        </w:rPr>
        <w:t xml:space="preserve"> incentive to strive for fluency, particularly in speaking and listening tasks where persistence and practice are critical.</w:t>
      </w:r>
    </w:p>
    <w:p w14:paraId="23EADEB5" w14:textId="06465FD2" w:rsidR="006111AB" w:rsidRPr="0083115F" w:rsidRDefault="006111AB" w:rsidP="00A65AA5">
      <w:pPr>
        <w:spacing w:line="360" w:lineRule="auto"/>
        <w:rPr>
          <w:rFonts w:ascii="Times New Roman" w:hAnsi="Times New Roman" w:cs="Times New Roman"/>
          <w:sz w:val="24"/>
          <w:szCs w:val="24"/>
        </w:rPr>
      </w:pPr>
      <w:r w:rsidRPr="0083115F">
        <w:rPr>
          <w:rFonts w:ascii="Times New Roman" w:hAnsi="Times New Roman" w:cs="Times New Roman"/>
          <w:sz w:val="24"/>
          <w:szCs w:val="24"/>
        </w:rPr>
        <w:t xml:space="preserve">Another concern is that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xml:space="preserve"> may compromise teacher modeling of L2 </w:t>
      </w:r>
      <w:r w:rsidRPr="0083115F">
        <w:rPr>
          <w:rFonts w:ascii="Times New Roman" w:hAnsi="Times New Roman" w:cs="Times New Roman"/>
          <w:sz w:val="24"/>
          <w:szCs w:val="24"/>
        </w:rPr>
        <w:lastRenderedPageBreak/>
        <w:t>proficiency. If teachers frequently switch to L1</w:t>
      </w:r>
      <w:r w:rsidR="000018F7" w:rsidRPr="0083115F">
        <w:rPr>
          <w:rFonts w:ascii="Times New Roman" w:hAnsi="Times New Roman" w:cs="Times New Roman" w:hint="eastAsia"/>
          <w:sz w:val="24"/>
          <w:szCs w:val="24"/>
        </w:rPr>
        <w:t xml:space="preserve">, </w:t>
      </w:r>
      <w:r w:rsidRPr="0083115F">
        <w:rPr>
          <w:rFonts w:ascii="Times New Roman" w:hAnsi="Times New Roman" w:cs="Times New Roman"/>
          <w:sz w:val="24"/>
          <w:szCs w:val="24"/>
        </w:rPr>
        <w:t>they may fail to provide sufficient language input for students to emulate. This potentially weakens the authenticity of language exposure and limits the development of advanced communicative skills.</w:t>
      </w:r>
    </w:p>
    <w:p w14:paraId="046E79D5" w14:textId="52AC24C3" w:rsidR="006111AB" w:rsidRPr="0083115F" w:rsidRDefault="006111AB" w:rsidP="00A65AA5">
      <w:pPr>
        <w:spacing w:line="360" w:lineRule="auto"/>
        <w:rPr>
          <w:rFonts w:ascii="Times New Roman" w:hAnsi="Times New Roman" w:cs="Times New Roman"/>
          <w:sz w:val="24"/>
          <w:szCs w:val="24"/>
        </w:rPr>
      </w:pPr>
      <w:r w:rsidRPr="0083115F">
        <w:rPr>
          <w:rFonts w:ascii="Times New Roman" w:hAnsi="Times New Roman" w:cs="Times New Roman"/>
          <w:sz w:val="24"/>
          <w:szCs w:val="24"/>
        </w:rPr>
        <w:t xml:space="preserve">Additionally, some </w:t>
      </w:r>
      <w:r w:rsidR="008A6C56" w:rsidRPr="0083115F">
        <w:rPr>
          <w:rFonts w:ascii="Times New Roman" w:hAnsi="Times New Roman" w:cs="Times New Roman" w:hint="eastAsia"/>
          <w:sz w:val="24"/>
          <w:szCs w:val="24"/>
        </w:rPr>
        <w:t>teacher</w:t>
      </w:r>
      <w:r w:rsidRPr="0083115F">
        <w:rPr>
          <w:rFonts w:ascii="Times New Roman" w:hAnsi="Times New Roman" w:cs="Times New Roman"/>
          <w:sz w:val="24"/>
          <w:szCs w:val="24"/>
        </w:rPr>
        <w:t xml:space="preserve">s argue that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xml:space="preserve"> may reduce students</w:t>
      </w:r>
      <w:r w:rsidR="00F34122" w:rsidRPr="0083115F">
        <w:rPr>
          <w:rFonts w:ascii="Times New Roman" w:hAnsi="Times New Roman" w:cs="Times New Roman"/>
          <w:sz w:val="24"/>
          <w:szCs w:val="24"/>
        </w:rPr>
        <w:t>’</w:t>
      </w:r>
      <w:r w:rsidRPr="0083115F">
        <w:rPr>
          <w:rFonts w:ascii="Times New Roman" w:hAnsi="Times New Roman" w:cs="Times New Roman"/>
          <w:sz w:val="24"/>
          <w:szCs w:val="24"/>
        </w:rPr>
        <w:t xml:space="preserve"> preparedness for assessments and real-life language use. Since exams and many formal evaluations are typically conducted in </w:t>
      </w:r>
      <w:r w:rsidR="002C54C6" w:rsidRPr="0083115F">
        <w:rPr>
          <w:rFonts w:ascii="Times New Roman" w:hAnsi="Times New Roman" w:cs="Times New Roman" w:hint="eastAsia"/>
          <w:sz w:val="24"/>
          <w:szCs w:val="24"/>
        </w:rPr>
        <w:t>L2</w:t>
      </w:r>
      <w:r w:rsidRPr="0083115F">
        <w:rPr>
          <w:rFonts w:ascii="Times New Roman" w:hAnsi="Times New Roman" w:cs="Times New Roman"/>
          <w:sz w:val="24"/>
          <w:szCs w:val="24"/>
        </w:rPr>
        <w:t xml:space="preserve">, students accustomed to </w:t>
      </w:r>
      <w:r w:rsidR="000018F7" w:rsidRPr="0083115F">
        <w:rPr>
          <w:rFonts w:ascii="Times New Roman" w:hAnsi="Times New Roman" w:cs="Times New Roman" w:hint="eastAsia"/>
          <w:sz w:val="24"/>
          <w:szCs w:val="24"/>
        </w:rPr>
        <w:t>code-switching</w:t>
      </w:r>
      <w:r w:rsidRPr="0083115F">
        <w:rPr>
          <w:rFonts w:ascii="Times New Roman" w:hAnsi="Times New Roman" w:cs="Times New Roman"/>
          <w:sz w:val="24"/>
          <w:szCs w:val="24"/>
        </w:rPr>
        <w:t xml:space="preserve"> may struggle to perform when L1 support is not available. As Chowdhury (2013, p. 54) points out, students must be encouraged to work through the challenges of expressing themselves in </w:t>
      </w:r>
      <w:r w:rsidR="002C54C6" w:rsidRPr="0083115F">
        <w:rPr>
          <w:rFonts w:ascii="Times New Roman" w:hAnsi="Times New Roman" w:cs="Times New Roman" w:hint="eastAsia"/>
          <w:sz w:val="24"/>
          <w:szCs w:val="24"/>
        </w:rPr>
        <w:t>L2</w:t>
      </w:r>
      <w:r w:rsidRPr="0083115F">
        <w:rPr>
          <w:rFonts w:ascii="Times New Roman" w:hAnsi="Times New Roman" w:cs="Times New Roman"/>
          <w:sz w:val="24"/>
          <w:szCs w:val="24"/>
        </w:rPr>
        <w:t xml:space="preserve"> to develop resilience and self-sufficiency in language use.</w:t>
      </w:r>
    </w:p>
    <w:p w14:paraId="1D449D13" w14:textId="0E4F1FA2" w:rsidR="006111AB" w:rsidRPr="00B606A1" w:rsidRDefault="006111AB" w:rsidP="00A65AA5">
      <w:pPr>
        <w:spacing w:line="360" w:lineRule="auto"/>
        <w:rPr>
          <w:rFonts w:ascii="Times New Roman" w:hAnsi="Times New Roman" w:cs="Times New Roman"/>
          <w:sz w:val="24"/>
          <w:szCs w:val="24"/>
        </w:rPr>
      </w:pPr>
      <w:r w:rsidRPr="0083115F">
        <w:rPr>
          <w:rFonts w:ascii="Times New Roman" w:hAnsi="Times New Roman" w:cs="Times New Roman"/>
          <w:sz w:val="24"/>
          <w:szCs w:val="24"/>
        </w:rPr>
        <w:t xml:space="preserve">Interestingly, while many teachers admit to using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xml:space="preserve"> in practice, their support for it is often ambivalent. Chowdhury</w:t>
      </w:r>
      <w:r w:rsidR="00F34122" w:rsidRPr="0083115F">
        <w:rPr>
          <w:rFonts w:ascii="Times New Roman" w:hAnsi="Times New Roman" w:cs="Times New Roman"/>
          <w:sz w:val="24"/>
          <w:szCs w:val="24"/>
        </w:rPr>
        <w:t>’</w:t>
      </w:r>
      <w:r w:rsidRPr="0083115F">
        <w:rPr>
          <w:rFonts w:ascii="Times New Roman" w:hAnsi="Times New Roman" w:cs="Times New Roman"/>
          <w:sz w:val="24"/>
          <w:szCs w:val="24"/>
        </w:rPr>
        <w:t xml:space="preserve">s (2013, p. 54) study found that most teachers neither fully endorsed nor completely rejected </w:t>
      </w:r>
      <w:r w:rsidR="005E5C55" w:rsidRPr="0083115F">
        <w:rPr>
          <w:rFonts w:ascii="Times New Roman" w:hAnsi="Times New Roman" w:cs="Times New Roman"/>
          <w:sz w:val="24"/>
          <w:szCs w:val="24"/>
        </w:rPr>
        <w:t>code-switching</w:t>
      </w:r>
      <w:r w:rsidRPr="0083115F">
        <w:rPr>
          <w:rFonts w:ascii="Times New Roman" w:hAnsi="Times New Roman" w:cs="Times New Roman"/>
          <w:sz w:val="24"/>
          <w:szCs w:val="24"/>
        </w:rPr>
        <w:t>. Inst</w:t>
      </w:r>
      <w:r w:rsidRPr="00B606A1">
        <w:rPr>
          <w:rFonts w:ascii="Times New Roman" w:hAnsi="Times New Roman" w:cs="Times New Roman"/>
          <w:sz w:val="24"/>
          <w:szCs w:val="24"/>
        </w:rPr>
        <w:t xml:space="preserve">ead, they acknowledged its inevitability while emphasizing the importance of controlled application. This perspective reflects a recognition of </w:t>
      </w:r>
      <w:r w:rsidR="005E5C55" w:rsidRPr="00B606A1">
        <w:rPr>
          <w:rFonts w:ascii="Times New Roman" w:hAnsi="Times New Roman" w:cs="Times New Roman"/>
          <w:sz w:val="24"/>
          <w:szCs w:val="24"/>
        </w:rPr>
        <w:t>code-switching</w:t>
      </w:r>
      <w:r w:rsidR="00F34122">
        <w:rPr>
          <w:rFonts w:ascii="Times New Roman" w:hAnsi="Times New Roman" w:cs="Times New Roman"/>
          <w:sz w:val="24"/>
          <w:szCs w:val="24"/>
        </w:rPr>
        <w:t>’</w:t>
      </w:r>
      <w:r w:rsidRPr="00B606A1">
        <w:rPr>
          <w:rFonts w:ascii="Times New Roman" w:hAnsi="Times New Roman" w:cs="Times New Roman"/>
          <w:sz w:val="24"/>
          <w:szCs w:val="24"/>
        </w:rPr>
        <w:t>s practical benefits tempered by an awareness of its potential risks.</w:t>
      </w:r>
    </w:p>
    <w:p w14:paraId="6C4A9A52" w14:textId="3CEB6293" w:rsidR="006111AB" w:rsidRPr="00B606A1" w:rsidRDefault="006111AB"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Teachers</w:t>
      </w:r>
      <w:r w:rsidR="00F34122">
        <w:rPr>
          <w:rFonts w:ascii="Times New Roman" w:hAnsi="Times New Roman" w:cs="Times New Roman"/>
          <w:sz w:val="24"/>
          <w:szCs w:val="24"/>
        </w:rPr>
        <w:t>’</w:t>
      </w:r>
      <w:r w:rsidRPr="00B606A1">
        <w:rPr>
          <w:rFonts w:ascii="Times New Roman" w:hAnsi="Times New Roman" w:cs="Times New Roman"/>
          <w:sz w:val="24"/>
          <w:szCs w:val="24"/>
        </w:rPr>
        <w:t xml:space="preserve"> perceptions of code-switching in bilingual classrooms are diverse and reflect a complex understanding of its pedagogical, linguistic, and affective dimensions. While many teachers recognize </w:t>
      </w:r>
      <w:r w:rsidR="005E5C55" w:rsidRPr="00B606A1">
        <w:rPr>
          <w:rFonts w:ascii="Times New Roman" w:hAnsi="Times New Roman" w:cs="Times New Roman"/>
          <w:sz w:val="24"/>
          <w:szCs w:val="24"/>
        </w:rPr>
        <w:t>code-switching</w:t>
      </w:r>
      <w:r w:rsidRPr="00B606A1">
        <w:rPr>
          <w:rFonts w:ascii="Times New Roman" w:hAnsi="Times New Roman" w:cs="Times New Roman"/>
          <w:sz w:val="24"/>
          <w:szCs w:val="24"/>
        </w:rPr>
        <w:t xml:space="preserve"> as an effective strategy for enhancing comprehension, supporting emotional well-being, and fostering classroom engagement, others caution against its overuse due to concerns about dependency, language immersion, and assessment readiness.</w:t>
      </w:r>
    </w:p>
    <w:p w14:paraId="2A88CAA3" w14:textId="3C891033" w:rsidR="007D13C9" w:rsidRPr="00F34122" w:rsidRDefault="007D13C9" w:rsidP="006A72DE">
      <w:pPr>
        <w:pStyle w:val="a9"/>
        <w:numPr>
          <w:ilvl w:val="1"/>
          <w:numId w:val="6"/>
        </w:numPr>
        <w:spacing w:line="360" w:lineRule="auto"/>
        <w:rPr>
          <w:rFonts w:ascii="Times New Roman" w:hAnsi="Times New Roman" w:cs="Times New Roman"/>
          <w:b/>
          <w:bCs/>
          <w:sz w:val="24"/>
          <w:szCs w:val="24"/>
        </w:rPr>
      </w:pPr>
      <w:r w:rsidRPr="00F34122">
        <w:rPr>
          <w:rFonts w:ascii="Times New Roman" w:hAnsi="Times New Roman" w:cs="Times New Roman"/>
          <w:b/>
          <w:bCs/>
          <w:sz w:val="24"/>
          <w:szCs w:val="24"/>
        </w:rPr>
        <w:t xml:space="preserve">The </w:t>
      </w:r>
      <w:r w:rsidR="00F34122" w:rsidRPr="00F34122">
        <w:rPr>
          <w:rFonts w:ascii="Times New Roman" w:hAnsi="Times New Roman" w:cs="Times New Roman" w:hint="eastAsia"/>
          <w:b/>
          <w:bCs/>
          <w:sz w:val="24"/>
          <w:szCs w:val="24"/>
        </w:rPr>
        <w:t>Impact of Other Factors on Teachers</w:t>
      </w:r>
      <w:r w:rsidR="00F34122">
        <w:rPr>
          <w:rFonts w:ascii="Times New Roman" w:hAnsi="Times New Roman" w:cs="Times New Roman"/>
          <w:b/>
          <w:bCs/>
          <w:sz w:val="24"/>
          <w:szCs w:val="24"/>
        </w:rPr>
        <w:t>’</w:t>
      </w:r>
      <w:r w:rsidR="00F34122" w:rsidRPr="00F34122">
        <w:rPr>
          <w:rFonts w:ascii="Times New Roman" w:hAnsi="Times New Roman" w:cs="Times New Roman" w:hint="eastAsia"/>
          <w:b/>
          <w:bCs/>
          <w:sz w:val="24"/>
          <w:szCs w:val="24"/>
        </w:rPr>
        <w:t xml:space="preserve"> Perceptions</w:t>
      </w:r>
    </w:p>
    <w:p w14:paraId="5CD29126" w14:textId="5D747527" w:rsidR="007D13C9" w:rsidRPr="00B96166" w:rsidRDefault="007D13C9" w:rsidP="00A65AA5">
      <w:pPr>
        <w:spacing w:line="360" w:lineRule="auto"/>
        <w:rPr>
          <w:rFonts w:ascii="Times New Roman" w:hAnsi="Times New Roman" w:cs="Times New Roman"/>
          <w:sz w:val="24"/>
          <w:szCs w:val="24"/>
        </w:rPr>
      </w:pPr>
      <w:r w:rsidRPr="00B96166">
        <w:rPr>
          <w:rFonts w:ascii="Times New Roman" w:hAnsi="Times New Roman" w:cs="Times New Roman"/>
          <w:sz w:val="24"/>
          <w:szCs w:val="24"/>
        </w:rPr>
        <w:t>Institutional policies and prevailing cultural attitudes significantly influence teachers</w:t>
      </w:r>
      <w:r w:rsidR="00F34122" w:rsidRPr="00B96166">
        <w:rPr>
          <w:rFonts w:ascii="Times New Roman" w:hAnsi="Times New Roman" w:cs="Times New Roman"/>
          <w:sz w:val="24"/>
          <w:szCs w:val="24"/>
        </w:rPr>
        <w:t>’</w:t>
      </w:r>
      <w:r w:rsidRPr="00B96166">
        <w:rPr>
          <w:rFonts w:ascii="Times New Roman" w:hAnsi="Times New Roman" w:cs="Times New Roman"/>
          <w:sz w:val="24"/>
          <w:szCs w:val="24"/>
        </w:rPr>
        <w:t xml:space="preserve"> code-switching practices in bilingual classrooms. In many educational systems, there exists an implicit or explicit preference for English-only instruction, often rooted in ideologies of linguistic purity or global competitiveness. This monolingual orientation can pressure teachers to minimize the use of students</w:t>
      </w:r>
      <w:r w:rsidR="00F34122" w:rsidRPr="00B96166">
        <w:rPr>
          <w:rFonts w:ascii="Times New Roman" w:hAnsi="Times New Roman" w:cs="Times New Roman"/>
          <w:sz w:val="24"/>
          <w:szCs w:val="24"/>
        </w:rPr>
        <w:t>’</w:t>
      </w:r>
      <w:r w:rsidRPr="00B96166">
        <w:rPr>
          <w:rFonts w:ascii="Times New Roman" w:hAnsi="Times New Roman" w:cs="Times New Roman"/>
          <w:sz w:val="24"/>
          <w:szCs w:val="24"/>
        </w:rPr>
        <w:t xml:space="preserve"> first language (L1).</w:t>
      </w:r>
    </w:p>
    <w:p w14:paraId="3BBEABBF" w14:textId="4C32677D" w:rsidR="007D13C9" w:rsidRPr="00B96166" w:rsidRDefault="00703BF6" w:rsidP="00A65AA5">
      <w:pPr>
        <w:spacing w:line="360" w:lineRule="auto"/>
        <w:rPr>
          <w:rFonts w:ascii="Times New Roman" w:hAnsi="Times New Roman" w:cs="Times New Roman"/>
          <w:sz w:val="24"/>
          <w:szCs w:val="24"/>
        </w:rPr>
      </w:pPr>
      <w:r w:rsidRPr="00AA2AC4">
        <w:rPr>
          <w:rFonts w:ascii="Times New Roman" w:hAnsi="Times New Roman" w:cs="Times New Roman"/>
          <w:sz w:val="24"/>
          <w:szCs w:val="24"/>
        </w:rPr>
        <w:t>As Chen (20</w:t>
      </w:r>
      <w:r w:rsidR="00BF4E1A">
        <w:rPr>
          <w:rFonts w:ascii="Times New Roman" w:hAnsi="Times New Roman" w:cs="Times New Roman" w:hint="eastAsia"/>
          <w:sz w:val="24"/>
          <w:szCs w:val="24"/>
        </w:rPr>
        <w:t>19</w:t>
      </w:r>
      <w:r w:rsidRPr="00AA2AC4">
        <w:rPr>
          <w:rFonts w:ascii="Times New Roman" w:hAnsi="Times New Roman" w:cs="Times New Roman"/>
          <w:sz w:val="24"/>
          <w:szCs w:val="24"/>
        </w:rPr>
        <w:t xml:space="preserve">, </w:t>
      </w:r>
      <w:r w:rsidR="007647B7" w:rsidRPr="00AA2AC4">
        <w:rPr>
          <w:rFonts w:ascii="Times New Roman" w:hAnsi="Times New Roman" w:cs="Times New Roman"/>
          <w:sz w:val="24"/>
          <w:szCs w:val="24"/>
        </w:rPr>
        <w:t>p</w:t>
      </w:r>
      <w:r w:rsidR="00AA2AC4" w:rsidRPr="00AA2AC4">
        <w:rPr>
          <w:rFonts w:ascii="Times New Roman" w:hAnsi="Times New Roman" w:cs="Times New Roman" w:hint="eastAsia"/>
          <w:sz w:val="24"/>
          <w:szCs w:val="24"/>
        </w:rPr>
        <w:t>. 210</w:t>
      </w:r>
      <w:r w:rsidRPr="00AA2AC4">
        <w:rPr>
          <w:rFonts w:ascii="Times New Roman" w:hAnsi="Times New Roman" w:cs="Times New Roman"/>
          <w:sz w:val="24"/>
          <w:szCs w:val="24"/>
        </w:rPr>
        <w:t>)</w:t>
      </w:r>
      <w:r w:rsidR="007647B7" w:rsidRPr="00AA2AC4">
        <w:rPr>
          <w:rFonts w:ascii="Times New Roman" w:hAnsi="Times New Roman" w:cs="Times New Roman"/>
          <w:sz w:val="24"/>
          <w:szCs w:val="24"/>
        </w:rPr>
        <w:t xml:space="preserve"> </w:t>
      </w:r>
      <w:r w:rsidR="00330BAF" w:rsidRPr="00AA2AC4">
        <w:rPr>
          <w:rFonts w:ascii="Times New Roman" w:hAnsi="Times New Roman" w:cs="Times New Roman"/>
          <w:sz w:val="24"/>
          <w:szCs w:val="24"/>
        </w:rPr>
        <w:t>indicate</w:t>
      </w:r>
      <w:r w:rsidR="00330BAF" w:rsidRPr="00B96166">
        <w:rPr>
          <w:rFonts w:ascii="Times New Roman" w:hAnsi="Times New Roman" w:cs="Times New Roman"/>
          <w:sz w:val="24"/>
          <w:szCs w:val="24"/>
        </w:rPr>
        <w:t>s</w:t>
      </w:r>
      <w:r w:rsidR="007647B7" w:rsidRPr="00B96166">
        <w:rPr>
          <w:rFonts w:ascii="Times New Roman" w:hAnsi="Times New Roman" w:cs="Times New Roman"/>
          <w:sz w:val="24"/>
          <w:szCs w:val="24"/>
        </w:rPr>
        <w:t xml:space="preserve"> </w:t>
      </w:r>
      <w:r w:rsidR="007D13C9" w:rsidRPr="00B96166">
        <w:rPr>
          <w:rFonts w:ascii="Times New Roman" w:hAnsi="Times New Roman" w:cs="Times New Roman"/>
          <w:sz w:val="24"/>
          <w:szCs w:val="24"/>
        </w:rPr>
        <w:t xml:space="preserve">that in contexts like China, while there may be no explicit policies mandating English-only instruction, institutional cultures often implicitly favor such approaches. Teachers perceive that using L1 in the classroom is </w:t>
      </w:r>
      <w:r w:rsidR="007D13C9" w:rsidRPr="00B96166">
        <w:rPr>
          <w:rFonts w:ascii="Times New Roman" w:hAnsi="Times New Roman" w:cs="Times New Roman"/>
          <w:sz w:val="24"/>
          <w:szCs w:val="24"/>
        </w:rPr>
        <w:lastRenderedPageBreak/>
        <w:t xml:space="preserve">discouraged, stemming from a belief that it hinders second language (L2) acquisition and reflects poorly on teaching competence. This perception can lead </w:t>
      </w:r>
      <w:r w:rsidR="00A7191B" w:rsidRPr="00B96166">
        <w:rPr>
          <w:rFonts w:ascii="Times New Roman" w:hAnsi="Times New Roman" w:cs="Times New Roman"/>
          <w:sz w:val="24"/>
          <w:szCs w:val="24"/>
        </w:rPr>
        <w:t>teacher</w:t>
      </w:r>
      <w:r w:rsidR="007D13C9" w:rsidRPr="00B96166">
        <w:rPr>
          <w:rFonts w:ascii="Times New Roman" w:hAnsi="Times New Roman" w:cs="Times New Roman"/>
          <w:sz w:val="24"/>
          <w:szCs w:val="24"/>
        </w:rPr>
        <w:t xml:space="preserve">s to avoid </w:t>
      </w:r>
      <w:r w:rsidR="005E5C55" w:rsidRPr="00B96166">
        <w:rPr>
          <w:rFonts w:ascii="Times New Roman" w:hAnsi="Times New Roman" w:cs="Times New Roman"/>
          <w:sz w:val="24"/>
          <w:szCs w:val="24"/>
        </w:rPr>
        <w:t>code-swi</w:t>
      </w:r>
      <w:r w:rsidR="005E5C55" w:rsidRPr="00BF4E1A">
        <w:rPr>
          <w:rFonts w:ascii="Times New Roman" w:hAnsi="Times New Roman" w:cs="Times New Roman"/>
          <w:sz w:val="24"/>
          <w:szCs w:val="24"/>
        </w:rPr>
        <w:t>tching</w:t>
      </w:r>
      <w:r w:rsidR="007D13C9" w:rsidRPr="00BF4E1A">
        <w:rPr>
          <w:rFonts w:ascii="Times New Roman" w:hAnsi="Times New Roman" w:cs="Times New Roman"/>
          <w:sz w:val="24"/>
          <w:szCs w:val="24"/>
        </w:rPr>
        <w:t>, despite recognizing its potential benefits for student comprehension and engagement (Chen, 20</w:t>
      </w:r>
      <w:r w:rsidR="00BF4E1A">
        <w:rPr>
          <w:rFonts w:ascii="Times New Roman" w:hAnsi="Times New Roman" w:cs="Times New Roman" w:hint="eastAsia"/>
          <w:sz w:val="24"/>
          <w:szCs w:val="24"/>
        </w:rPr>
        <w:t>19</w:t>
      </w:r>
      <w:r w:rsidR="007D13C9" w:rsidRPr="00BF4E1A">
        <w:rPr>
          <w:rFonts w:ascii="Times New Roman" w:hAnsi="Times New Roman" w:cs="Times New Roman"/>
          <w:sz w:val="24"/>
          <w:szCs w:val="24"/>
        </w:rPr>
        <w:t xml:space="preserve">, p. </w:t>
      </w:r>
      <w:r w:rsidR="00AA2AC4" w:rsidRPr="00BF4E1A">
        <w:rPr>
          <w:rFonts w:ascii="Times New Roman" w:hAnsi="Times New Roman" w:cs="Times New Roman" w:hint="eastAsia"/>
          <w:sz w:val="24"/>
          <w:szCs w:val="24"/>
        </w:rPr>
        <w:t>210</w:t>
      </w:r>
      <w:r w:rsidR="007D13C9" w:rsidRPr="00BF4E1A">
        <w:rPr>
          <w:rFonts w:ascii="Times New Roman" w:hAnsi="Times New Roman" w:cs="Times New Roman"/>
          <w:sz w:val="24"/>
          <w:szCs w:val="24"/>
        </w:rPr>
        <w:t>).</w:t>
      </w:r>
    </w:p>
    <w:p w14:paraId="60A8966B" w14:textId="6F6C9F8C" w:rsidR="007D13C9" w:rsidRPr="00264F51" w:rsidRDefault="007D13C9" w:rsidP="00A65AA5">
      <w:pPr>
        <w:spacing w:line="360" w:lineRule="auto"/>
        <w:rPr>
          <w:rFonts w:ascii="Times New Roman" w:hAnsi="Times New Roman" w:cs="Times New Roman"/>
          <w:sz w:val="24"/>
          <w:szCs w:val="24"/>
        </w:rPr>
      </w:pPr>
      <w:r w:rsidRPr="00264F51">
        <w:rPr>
          <w:rFonts w:ascii="Times New Roman" w:hAnsi="Times New Roman" w:cs="Times New Roman"/>
          <w:sz w:val="24"/>
          <w:szCs w:val="24"/>
        </w:rPr>
        <w:t xml:space="preserve">However, not all </w:t>
      </w:r>
      <w:r w:rsidR="00A7191B" w:rsidRPr="00264F51">
        <w:rPr>
          <w:rFonts w:ascii="Times New Roman" w:hAnsi="Times New Roman" w:cs="Times New Roman"/>
          <w:sz w:val="24"/>
          <w:szCs w:val="24"/>
        </w:rPr>
        <w:t>teacher</w:t>
      </w:r>
      <w:r w:rsidRPr="00264F51">
        <w:rPr>
          <w:rFonts w:ascii="Times New Roman" w:hAnsi="Times New Roman" w:cs="Times New Roman"/>
          <w:sz w:val="24"/>
          <w:szCs w:val="24"/>
        </w:rPr>
        <w:t xml:space="preserve">s align with this implicit expectation. Some argue that the decision to use L1 should be context-dependent, considering factors such as student proficiency levels, lesson objectives, and classroom dynamics. These teachers advocate for a more flexible approach, recognizing that strategic </w:t>
      </w:r>
      <w:r w:rsidR="005E5C55" w:rsidRPr="00264F51">
        <w:rPr>
          <w:rFonts w:ascii="Times New Roman" w:hAnsi="Times New Roman" w:cs="Times New Roman"/>
          <w:sz w:val="24"/>
          <w:szCs w:val="24"/>
        </w:rPr>
        <w:t>code-switching</w:t>
      </w:r>
      <w:r w:rsidRPr="00264F51">
        <w:rPr>
          <w:rFonts w:ascii="Times New Roman" w:hAnsi="Times New Roman" w:cs="Times New Roman"/>
          <w:sz w:val="24"/>
          <w:szCs w:val="24"/>
        </w:rPr>
        <w:t xml:space="preserve"> can facilitate </w:t>
      </w:r>
      <w:r w:rsidRPr="008C6039">
        <w:rPr>
          <w:rFonts w:ascii="Times New Roman" w:hAnsi="Times New Roman" w:cs="Times New Roman"/>
          <w:sz w:val="24"/>
          <w:szCs w:val="24"/>
        </w:rPr>
        <w:t>understanding, reduce anxiety, and support learning, especially for students at lower proficiency levels (</w:t>
      </w:r>
      <w:r w:rsidR="00DD175B" w:rsidRPr="008C6039">
        <w:rPr>
          <w:rFonts w:ascii="Times New Roman" w:hAnsi="Times New Roman" w:cs="Times New Roman" w:hint="eastAsia"/>
          <w:sz w:val="24"/>
          <w:szCs w:val="24"/>
        </w:rPr>
        <w:t>Cahyani, de Courcy and Barnett, 2016</w:t>
      </w:r>
      <w:r w:rsidRPr="008C6039">
        <w:rPr>
          <w:rFonts w:ascii="Times New Roman" w:hAnsi="Times New Roman" w:cs="Times New Roman"/>
          <w:sz w:val="24"/>
          <w:szCs w:val="24"/>
        </w:rPr>
        <w:t>, p. 4</w:t>
      </w:r>
      <w:r w:rsidR="008C6039" w:rsidRPr="008C6039">
        <w:rPr>
          <w:rFonts w:ascii="Times New Roman" w:hAnsi="Times New Roman" w:cs="Times New Roman" w:hint="eastAsia"/>
          <w:sz w:val="24"/>
          <w:szCs w:val="24"/>
        </w:rPr>
        <w:t>75</w:t>
      </w:r>
      <w:r w:rsidRPr="008C6039">
        <w:rPr>
          <w:rFonts w:ascii="Times New Roman" w:hAnsi="Times New Roman" w:cs="Times New Roman"/>
          <w:sz w:val="24"/>
          <w:szCs w:val="24"/>
        </w:rPr>
        <w:t>).</w:t>
      </w:r>
    </w:p>
    <w:p w14:paraId="050F3361" w14:textId="4D50686A" w:rsidR="006111AB" w:rsidRPr="00264F51" w:rsidRDefault="007D13C9" w:rsidP="00A65AA5">
      <w:pPr>
        <w:spacing w:line="360" w:lineRule="auto"/>
        <w:rPr>
          <w:rFonts w:ascii="Times New Roman" w:hAnsi="Times New Roman" w:cs="Times New Roman"/>
          <w:sz w:val="24"/>
          <w:szCs w:val="24"/>
        </w:rPr>
      </w:pPr>
      <w:r w:rsidRPr="00264F51">
        <w:rPr>
          <w:rFonts w:ascii="Times New Roman" w:hAnsi="Times New Roman" w:cs="Times New Roman"/>
          <w:sz w:val="24"/>
          <w:szCs w:val="24"/>
        </w:rPr>
        <w:t xml:space="preserve">The tension between institutional expectations and classroom realities underscores the need for a reevaluation of language policies in bilingual education. Emphasizing the pedagogical value of </w:t>
      </w:r>
      <w:r w:rsidR="005E5C55" w:rsidRPr="00264F51">
        <w:rPr>
          <w:rFonts w:ascii="Times New Roman" w:hAnsi="Times New Roman" w:cs="Times New Roman"/>
          <w:sz w:val="24"/>
          <w:szCs w:val="24"/>
        </w:rPr>
        <w:t>code-switching</w:t>
      </w:r>
      <w:r w:rsidRPr="00264F51">
        <w:rPr>
          <w:rFonts w:ascii="Times New Roman" w:hAnsi="Times New Roman" w:cs="Times New Roman"/>
          <w:sz w:val="24"/>
          <w:szCs w:val="24"/>
        </w:rPr>
        <w:t xml:space="preserve"> and acknowledging the diverse linguistic backgrounds of students can lead to more inclusive and effective teaching practices. By shifting from rigid </w:t>
      </w:r>
      <w:r w:rsidR="008B73B0" w:rsidRPr="00264F51">
        <w:rPr>
          <w:rFonts w:ascii="Times New Roman" w:hAnsi="Times New Roman" w:cs="Times New Roman"/>
          <w:sz w:val="24"/>
          <w:szCs w:val="24"/>
        </w:rPr>
        <w:t>L2</w:t>
      </w:r>
      <w:r w:rsidRPr="00264F51">
        <w:rPr>
          <w:rFonts w:ascii="Times New Roman" w:hAnsi="Times New Roman" w:cs="Times New Roman"/>
          <w:sz w:val="24"/>
          <w:szCs w:val="24"/>
        </w:rPr>
        <w:t>-only policies to more nuanced approaches that consider the benefits of bilingualism, educational institutions can better support both teachers and learners in multilingual settings.</w:t>
      </w:r>
    </w:p>
    <w:p w14:paraId="3332BFD2" w14:textId="627D6308" w:rsidR="006111AB" w:rsidRPr="006A72DE" w:rsidRDefault="006111AB" w:rsidP="006A72DE">
      <w:pPr>
        <w:pStyle w:val="a9"/>
        <w:numPr>
          <w:ilvl w:val="0"/>
          <w:numId w:val="4"/>
        </w:numPr>
        <w:spacing w:line="360" w:lineRule="auto"/>
        <w:rPr>
          <w:rFonts w:ascii="Times New Roman" w:hAnsi="Times New Roman" w:cs="Times New Roman"/>
          <w:b/>
          <w:bCs/>
          <w:sz w:val="24"/>
          <w:szCs w:val="24"/>
        </w:rPr>
      </w:pPr>
      <w:r w:rsidRPr="006A72DE">
        <w:rPr>
          <w:rFonts w:ascii="Times New Roman" w:hAnsi="Times New Roman" w:cs="Times New Roman"/>
          <w:b/>
          <w:bCs/>
          <w:sz w:val="24"/>
          <w:szCs w:val="24"/>
        </w:rPr>
        <w:t>Conclusion</w:t>
      </w:r>
    </w:p>
    <w:p w14:paraId="3B96316D" w14:textId="220E640C" w:rsidR="00030EB9" w:rsidRPr="00B606A1" w:rsidRDefault="00030EB9"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The role of code-switching in bilingual education has undergone significant reevaluation in recent decades. Once stigmatized as a marker of linguistic incompetence or a hindrance to second-language acquisition, code-switching is now recognized by many scholars and </w:t>
      </w:r>
      <w:r w:rsidR="00EA508B">
        <w:rPr>
          <w:rFonts w:ascii="Times New Roman" w:hAnsi="Times New Roman" w:cs="Times New Roman" w:hint="eastAsia"/>
          <w:sz w:val="24"/>
          <w:szCs w:val="24"/>
        </w:rPr>
        <w:t>teacher</w:t>
      </w:r>
      <w:r w:rsidRPr="00B606A1">
        <w:rPr>
          <w:rFonts w:ascii="Times New Roman" w:hAnsi="Times New Roman" w:cs="Times New Roman"/>
          <w:sz w:val="24"/>
          <w:szCs w:val="24"/>
        </w:rPr>
        <w:t>s as a valuable pedagogical strategy that supports both the academic and emotional needs of bilingual learners. As demonstrated in this study, classroom code-switching enhances linguistic competence</w:t>
      </w:r>
      <w:r w:rsidR="008C1F55">
        <w:rPr>
          <w:rFonts w:ascii="Times New Roman" w:hAnsi="Times New Roman" w:cs="Times New Roman" w:hint="eastAsia"/>
          <w:sz w:val="24"/>
          <w:szCs w:val="24"/>
        </w:rPr>
        <w:t xml:space="preserve">, </w:t>
      </w:r>
      <w:r w:rsidRPr="00B606A1">
        <w:rPr>
          <w:rFonts w:ascii="Times New Roman" w:hAnsi="Times New Roman" w:cs="Times New Roman"/>
          <w:sz w:val="24"/>
          <w:szCs w:val="24"/>
        </w:rPr>
        <w:t>promotes cognitive flexibility, and fosters an inclusive learning environment. Indeed, classroom code-switching can serve as an important and even necessary communicative resource for managing l</w:t>
      </w:r>
      <w:r w:rsidRPr="00A615D5">
        <w:rPr>
          <w:rFonts w:ascii="Times New Roman" w:hAnsi="Times New Roman" w:cs="Times New Roman"/>
          <w:sz w:val="24"/>
          <w:szCs w:val="24"/>
        </w:rPr>
        <w:t>earning (</w:t>
      </w:r>
      <w:proofErr w:type="spellStart"/>
      <w:r w:rsidRPr="00A615D5">
        <w:rPr>
          <w:rFonts w:ascii="Times New Roman" w:hAnsi="Times New Roman" w:cs="Times New Roman"/>
          <w:sz w:val="24"/>
          <w:szCs w:val="24"/>
        </w:rPr>
        <w:t>Kamwangamalu</w:t>
      </w:r>
      <w:proofErr w:type="spellEnd"/>
      <w:r w:rsidRPr="00A615D5">
        <w:rPr>
          <w:rFonts w:ascii="Times New Roman" w:hAnsi="Times New Roman" w:cs="Times New Roman"/>
          <w:sz w:val="24"/>
          <w:szCs w:val="24"/>
        </w:rPr>
        <w:t>, 2010, p. 128).</w:t>
      </w:r>
    </w:p>
    <w:p w14:paraId="0BF2E955" w14:textId="38B3A50B" w:rsidR="00030EB9" w:rsidRPr="00B606A1" w:rsidRDefault="00030EB9"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However, this practice is not without controversy. Perceptions of code-switching among teachers remain mixed. While many </w:t>
      </w:r>
      <w:r w:rsidR="003E7C1A" w:rsidRPr="00B606A1">
        <w:rPr>
          <w:rFonts w:ascii="Times New Roman" w:hAnsi="Times New Roman" w:cs="Times New Roman"/>
          <w:sz w:val="24"/>
          <w:szCs w:val="24"/>
        </w:rPr>
        <w:t>teacher</w:t>
      </w:r>
      <w:r w:rsidRPr="00B606A1">
        <w:rPr>
          <w:rFonts w:ascii="Times New Roman" w:hAnsi="Times New Roman" w:cs="Times New Roman"/>
          <w:sz w:val="24"/>
          <w:szCs w:val="24"/>
        </w:rPr>
        <w:t xml:space="preserve">s acknowledge its benefits, others express caution or skepticism, citing concerns about potential L1 dependency or reduced </w:t>
      </w:r>
      <w:r w:rsidRPr="00B606A1">
        <w:rPr>
          <w:rFonts w:ascii="Times New Roman" w:hAnsi="Times New Roman" w:cs="Times New Roman"/>
          <w:sz w:val="24"/>
          <w:szCs w:val="24"/>
        </w:rPr>
        <w:lastRenderedPageBreak/>
        <w:t>exposure to L2. Nevertheless, when used judiciously and purposefully, code-switching offers advantages that often outweigh its risks</w:t>
      </w:r>
      <w:r w:rsidR="00A37F3F" w:rsidRPr="00B606A1">
        <w:rPr>
          <w:rFonts w:ascii="Times New Roman" w:hAnsi="Times New Roman" w:cs="Times New Roman"/>
          <w:sz w:val="24"/>
          <w:szCs w:val="24"/>
        </w:rPr>
        <w:t xml:space="preserve">, </w:t>
      </w:r>
      <w:r w:rsidRPr="00B606A1">
        <w:rPr>
          <w:rFonts w:ascii="Times New Roman" w:hAnsi="Times New Roman" w:cs="Times New Roman"/>
          <w:sz w:val="24"/>
          <w:szCs w:val="24"/>
        </w:rPr>
        <w:t>especially in classrooms where learners are at varying stages of second language acquisition. As this essay has argued, it is crucial to move beyond binary thinking that pits L1 against L2 and to adopt a flexible, context-sensitive approach to language use in the classroom.</w:t>
      </w:r>
    </w:p>
    <w:p w14:paraId="4055FD23" w14:textId="0C71C831" w:rsidR="0061700B" w:rsidRDefault="00030EB9" w:rsidP="00A65AA5">
      <w:pPr>
        <w:spacing w:line="360" w:lineRule="auto"/>
        <w:rPr>
          <w:rFonts w:ascii="Times New Roman" w:hAnsi="Times New Roman" w:cs="Times New Roman"/>
          <w:sz w:val="24"/>
          <w:szCs w:val="24"/>
        </w:rPr>
      </w:pPr>
      <w:r w:rsidRPr="00B606A1">
        <w:rPr>
          <w:rFonts w:ascii="Times New Roman" w:hAnsi="Times New Roman" w:cs="Times New Roman"/>
          <w:sz w:val="24"/>
          <w:szCs w:val="24"/>
        </w:rPr>
        <w:t xml:space="preserve">As bilingual education continues to gain prominence, it is essential for </w:t>
      </w:r>
      <w:r w:rsidR="00EA508B">
        <w:rPr>
          <w:rFonts w:ascii="Times New Roman" w:hAnsi="Times New Roman" w:cs="Times New Roman" w:hint="eastAsia"/>
          <w:sz w:val="24"/>
          <w:szCs w:val="24"/>
        </w:rPr>
        <w:t>teacher</w:t>
      </w:r>
      <w:r w:rsidRPr="00B606A1">
        <w:rPr>
          <w:rFonts w:ascii="Times New Roman" w:hAnsi="Times New Roman" w:cs="Times New Roman"/>
          <w:sz w:val="24"/>
          <w:szCs w:val="24"/>
        </w:rPr>
        <w:t>s and policymakers to challenge outdated views that stigmatize code-switching. Instead, they should embrace it as a resource that aligns with inclusive teaching principles and reflects the real-world linguistic practices of bilingual speakers. Supporting teacher training and policy development that recognizes the value of code-switching will be critical in ensuring that bilingual classrooms remain spaces of equity, engagement, and academic excellence.</w:t>
      </w:r>
    </w:p>
    <w:p w14:paraId="0419A771" w14:textId="77777777" w:rsidR="0061700B" w:rsidRDefault="0061700B">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673950E5" w14:textId="77777777" w:rsidR="0061700B" w:rsidRDefault="0061700B" w:rsidP="0061700B">
      <w:pPr>
        <w:spacing w:line="360" w:lineRule="auto"/>
        <w:rPr>
          <w:rFonts w:ascii="Times New Roman" w:hAnsi="Times New Roman" w:cs="Times New Roman"/>
          <w:b/>
          <w:bCs/>
          <w:sz w:val="24"/>
          <w:szCs w:val="24"/>
        </w:rPr>
      </w:pPr>
      <w:r w:rsidRPr="00574020">
        <w:rPr>
          <w:rFonts w:ascii="Times New Roman" w:hAnsi="Times New Roman" w:cs="Times New Roman"/>
          <w:b/>
          <w:bCs/>
          <w:sz w:val="24"/>
          <w:szCs w:val="24"/>
        </w:rPr>
        <w:lastRenderedPageBreak/>
        <w:t>References</w:t>
      </w:r>
    </w:p>
    <w:p w14:paraId="1CE15FE6" w14:textId="77777777" w:rsidR="0061700B" w:rsidRDefault="0061700B" w:rsidP="0061700B">
      <w:pPr>
        <w:spacing w:line="360" w:lineRule="auto"/>
        <w:ind w:left="240" w:hangingChars="100" w:hanging="240"/>
        <w:rPr>
          <w:rFonts w:ascii="Times New Roman" w:hAnsi="Times New Roman" w:cs="Times New Roman"/>
          <w:sz w:val="24"/>
          <w:szCs w:val="24"/>
        </w:rPr>
      </w:pPr>
      <w:r w:rsidRPr="00A15E19">
        <w:rPr>
          <w:rFonts w:ascii="Times New Roman" w:hAnsi="Times New Roman" w:cs="Times New Roman"/>
          <w:sz w:val="24"/>
          <w:szCs w:val="24"/>
        </w:rPr>
        <w:t xml:space="preserve">Alić Topić, A. (2022) </w:t>
      </w:r>
      <w:r>
        <w:rPr>
          <w:rFonts w:ascii="Times New Roman" w:hAnsi="Times New Roman" w:cs="Times New Roman"/>
          <w:sz w:val="24"/>
          <w:szCs w:val="24"/>
        </w:rPr>
        <w:t>‘</w:t>
      </w:r>
      <w:r w:rsidRPr="00A15E19">
        <w:rPr>
          <w:rFonts w:ascii="Times New Roman" w:hAnsi="Times New Roman" w:cs="Times New Roman"/>
          <w:sz w:val="24"/>
          <w:szCs w:val="24"/>
        </w:rPr>
        <w:t>Code-Switching in Second Language Teaching of English: Does it Matter?</w:t>
      </w:r>
      <w:r>
        <w:rPr>
          <w:rFonts w:ascii="Times New Roman" w:hAnsi="Times New Roman" w:cs="Times New Roman"/>
          <w:sz w:val="24"/>
          <w:szCs w:val="24"/>
        </w:rPr>
        <w:t>’</w:t>
      </w:r>
      <w:r w:rsidRPr="00A15E19">
        <w:rPr>
          <w:rFonts w:ascii="Times New Roman" w:hAnsi="Times New Roman" w:cs="Times New Roman"/>
          <w:sz w:val="24"/>
          <w:szCs w:val="24"/>
        </w:rPr>
        <w:t>, </w:t>
      </w:r>
      <w:r w:rsidRPr="00A15E19">
        <w:rPr>
          <w:rFonts w:ascii="Times New Roman" w:hAnsi="Times New Roman" w:cs="Times New Roman"/>
          <w:i/>
          <w:iCs/>
          <w:sz w:val="24"/>
          <w:szCs w:val="24"/>
        </w:rPr>
        <w:t>MAP Education and Humanities</w:t>
      </w:r>
      <w:r w:rsidRPr="00A15E19">
        <w:rPr>
          <w:rFonts w:ascii="Times New Roman" w:hAnsi="Times New Roman" w:cs="Times New Roman"/>
          <w:sz w:val="24"/>
          <w:szCs w:val="24"/>
        </w:rPr>
        <w:t>, 2(1), pp. 8</w:t>
      </w:r>
      <w:r>
        <w:rPr>
          <w:rFonts w:ascii="Times New Roman" w:hAnsi="Times New Roman" w:cs="Times New Roman" w:hint="eastAsia"/>
          <w:sz w:val="24"/>
          <w:szCs w:val="24"/>
        </w:rPr>
        <w:t>-</w:t>
      </w:r>
      <w:r w:rsidRPr="00A15E19">
        <w:rPr>
          <w:rFonts w:ascii="Times New Roman" w:hAnsi="Times New Roman" w:cs="Times New Roman"/>
          <w:sz w:val="24"/>
          <w:szCs w:val="24"/>
        </w:rPr>
        <w:t xml:space="preserve">17. </w:t>
      </w:r>
      <w:r>
        <w:rPr>
          <w:rFonts w:ascii="Times New Roman" w:hAnsi="Times New Roman" w:cs="Times New Roman" w:hint="eastAsia"/>
          <w:sz w:val="24"/>
          <w:szCs w:val="24"/>
        </w:rPr>
        <w:t>DOI</w:t>
      </w:r>
      <w:r w:rsidRPr="00A15E19">
        <w:rPr>
          <w:rFonts w:ascii="Times New Roman" w:hAnsi="Times New Roman" w:cs="Times New Roman"/>
          <w:sz w:val="24"/>
          <w:szCs w:val="24"/>
        </w:rPr>
        <w:t>: 10.53880/2744-2373.2022.2.1.8.</w:t>
      </w:r>
    </w:p>
    <w:p w14:paraId="0D28B3F4" w14:textId="77777777" w:rsidR="0061700B" w:rsidRDefault="0061700B" w:rsidP="0061700B">
      <w:pPr>
        <w:spacing w:line="360" w:lineRule="auto"/>
        <w:ind w:left="240" w:hangingChars="100" w:hanging="240"/>
        <w:rPr>
          <w:rFonts w:ascii="Times New Roman" w:hAnsi="Times New Roman" w:cs="Times New Roman"/>
          <w:sz w:val="24"/>
          <w:szCs w:val="24"/>
        </w:rPr>
      </w:pPr>
      <w:r w:rsidRPr="004506B9">
        <w:rPr>
          <w:rFonts w:ascii="Times New Roman" w:hAnsi="Times New Roman" w:cs="Times New Roman"/>
          <w:sz w:val="24"/>
          <w:szCs w:val="24"/>
        </w:rPr>
        <w:t xml:space="preserve">Bullock, B.E. </w:t>
      </w:r>
      <w:r>
        <w:rPr>
          <w:rFonts w:ascii="Times New Roman" w:hAnsi="Times New Roman" w:cs="Times New Roman" w:hint="eastAsia"/>
          <w:sz w:val="24"/>
          <w:szCs w:val="24"/>
        </w:rPr>
        <w:t>and</w:t>
      </w:r>
      <w:r w:rsidRPr="004506B9">
        <w:rPr>
          <w:rFonts w:ascii="Times New Roman" w:hAnsi="Times New Roman" w:cs="Times New Roman"/>
          <w:sz w:val="24"/>
          <w:szCs w:val="24"/>
        </w:rPr>
        <w:t xml:space="preserve"> Toribio, A.J. </w:t>
      </w:r>
      <w:r>
        <w:rPr>
          <w:rFonts w:ascii="Times New Roman" w:hAnsi="Times New Roman" w:cs="Times New Roman" w:hint="eastAsia"/>
          <w:sz w:val="24"/>
          <w:szCs w:val="24"/>
        </w:rPr>
        <w:t>(</w:t>
      </w:r>
      <w:proofErr w:type="gramStart"/>
      <w:r w:rsidRPr="004506B9">
        <w:rPr>
          <w:rFonts w:ascii="Times New Roman" w:hAnsi="Times New Roman" w:cs="Times New Roman"/>
          <w:sz w:val="24"/>
          <w:szCs w:val="24"/>
        </w:rPr>
        <w:t>2009</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Pr>
          <w:rFonts w:ascii="Times New Roman" w:hAnsi="Times New Roman" w:cs="Times New Roman"/>
          <w:sz w:val="24"/>
          <w:szCs w:val="24"/>
        </w:rPr>
        <w:t>‘</w:t>
      </w:r>
      <w:proofErr w:type="gramEnd"/>
      <w:r w:rsidRPr="004506B9">
        <w:rPr>
          <w:rFonts w:ascii="Times New Roman" w:hAnsi="Times New Roman" w:cs="Times New Roman"/>
          <w:sz w:val="24"/>
          <w:szCs w:val="24"/>
        </w:rPr>
        <w:t>Aims and content</w:t>
      </w:r>
      <w:r>
        <w:rPr>
          <w:rFonts w:ascii="Times New Roman" w:hAnsi="Times New Roman" w:cs="Times New Roman"/>
          <w:sz w:val="24"/>
          <w:szCs w:val="24"/>
        </w:rPr>
        <w:t>’</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Pr>
          <w:rFonts w:ascii="Times New Roman" w:hAnsi="Times New Roman" w:cs="Times New Roman" w:hint="eastAsia"/>
          <w:sz w:val="24"/>
          <w:szCs w:val="24"/>
        </w:rPr>
        <w:t>i</w:t>
      </w:r>
      <w:r w:rsidRPr="004506B9">
        <w:rPr>
          <w:rFonts w:ascii="Times New Roman" w:hAnsi="Times New Roman" w:cs="Times New Roman"/>
          <w:sz w:val="24"/>
          <w:szCs w:val="24"/>
        </w:rPr>
        <w:t>n Bullock</w:t>
      </w:r>
      <w:r>
        <w:rPr>
          <w:rFonts w:ascii="Times New Roman" w:hAnsi="Times New Roman" w:cs="Times New Roman" w:hint="eastAsia"/>
          <w:sz w:val="24"/>
          <w:szCs w:val="24"/>
        </w:rPr>
        <w:t xml:space="preserve">, </w:t>
      </w:r>
      <w:r w:rsidRPr="004506B9">
        <w:rPr>
          <w:rFonts w:ascii="Times New Roman" w:hAnsi="Times New Roman" w:cs="Times New Roman"/>
          <w:sz w:val="24"/>
          <w:szCs w:val="24"/>
        </w:rPr>
        <w:t xml:space="preserve">B.E. </w:t>
      </w:r>
      <w:r>
        <w:rPr>
          <w:rFonts w:ascii="Times New Roman" w:hAnsi="Times New Roman" w:cs="Times New Roman" w:hint="eastAsia"/>
          <w:sz w:val="24"/>
          <w:szCs w:val="24"/>
        </w:rPr>
        <w:t>and</w:t>
      </w:r>
      <w:r w:rsidRPr="004506B9">
        <w:rPr>
          <w:rFonts w:ascii="Times New Roman" w:hAnsi="Times New Roman" w:cs="Times New Roman"/>
          <w:sz w:val="24"/>
          <w:szCs w:val="24"/>
        </w:rPr>
        <w:t xml:space="preserve"> Toribio,</w:t>
      </w:r>
      <w:r w:rsidRPr="00E4299A">
        <w:rPr>
          <w:rFonts w:ascii="Times New Roman" w:hAnsi="Times New Roman" w:cs="Times New Roman"/>
          <w:sz w:val="24"/>
          <w:szCs w:val="24"/>
        </w:rPr>
        <w:t xml:space="preserve"> </w:t>
      </w:r>
      <w:r w:rsidRPr="004506B9">
        <w:rPr>
          <w:rFonts w:ascii="Times New Roman" w:hAnsi="Times New Roman" w:cs="Times New Roman"/>
          <w:sz w:val="24"/>
          <w:szCs w:val="24"/>
        </w:rPr>
        <w:t>A.J.</w:t>
      </w:r>
      <w:r>
        <w:rPr>
          <w:rFonts w:ascii="Times New Roman" w:hAnsi="Times New Roman" w:cs="Times New Roman" w:hint="eastAsia"/>
          <w:sz w:val="24"/>
          <w:szCs w:val="24"/>
        </w:rPr>
        <w:t xml:space="preserve"> (</w:t>
      </w:r>
      <w:r w:rsidRPr="004506B9">
        <w:rPr>
          <w:rFonts w:ascii="Times New Roman" w:hAnsi="Times New Roman" w:cs="Times New Roman"/>
          <w:sz w:val="24"/>
          <w:szCs w:val="24"/>
        </w:rPr>
        <w:t>eds</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sidRPr="004506B9">
        <w:rPr>
          <w:rFonts w:ascii="Times New Roman" w:hAnsi="Times New Roman" w:cs="Times New Roman"/>
          <w:i/>
          <w:iCs/>
          <w:sz w:val="24"/>
          <w:szCs w:val="24"/>
        </w:rPr>
        <w:t>The Cambridge Handbook of Linguistic Code-switching</w:t>
      </w:r>
      <w:r w:rsidRPr="004506B9">
        <w:rPr>
          <w:rFonts w:ascii="Times New Roman" w:hAnsi="Times New Roman" w:cs="Times New Roman"/>
          <w:sz w:val="24"/>
          <w:szCs w:val="24"/>
        </w:rPr>
        <w:t>. Cambridge: Cambridge University Press, pp. xii–xiii.</w:t>
      </w:r>
    </w:p>
    <w:p w14:paraId="6D8C505C" w14:textId="77777777" w:rsidR="0061700B" w:rsidRDefault="0061700B" w:rsidP="0061700B">
      <w:pPr>
        <w:spacing w:line="360" w:lineRule="auto"/>
        <w:ind w:left="240" w:hangingChars="100" w:hanging="240"/>
        <w:rPr>
          <w:rFonts w:ascii="Times New Roman" w:hAnsi="Times New Roman" w:cs="Times New Roman"/>
          <w:sz w:val="24"/>
          <w:szCs w:val="24"/>
        </w:rPr>
      </w:pPr>
      <w:r w:rsidRPr="00422C6B">
        <w:rPr>
          <w:rFonts w:ascii="Times New Roman" w:hAnsi="Times New Roman" w:cs="Times New Roman" w:hint="eastAsia"/>
          <w:sz w:val="24"/>
          <w:szCs w:val="24"/>
        </w:rPr>
        <w:t>Cahyani, H., de Courcy, M. and Barnett, J. (</w:t>
      </w:r>
      <w:proofErr w:type="gramStart"/>
      <w:r w:rsidRPr="00422C6B">
        <w:rPr>
          <w:rFonts w:ascii="Times New Roman" w:hAnsi="Times New Roman" w:cs="Times New Roman" w:hint="eastAsia"/>
          <w:sz w:val="24"/>
          <w:szCs w:val="24"/>
        </w:rPr>
        <w:t xml:space="preserve">2016) </w:t>
      </w:r>
      <w:r>
        <w:rPr>
          <w:rFonts w:ascii="Times New Roman" w:hAnsi="Times New Roman" w:cs="Times New Roman"/>
          <w:sz w:val="24"/>
          <w:szCs w:val="24"/>
        </w:rPr>
        <w:t>‘</w:t>
      </w:r>
      <w:proofErr w:type="gramEnd"/>
      <w:r w:rsidRPr="00422C6B">
        <w:rPr>
          <w:rFonts w:ascii="Times New Roman" w:hAnsi="Times New Roman" w:cs="Times New Roman" w:hint="eastAsia"/>
          <w:sz w:val="24"/>
          <w:szCs w:val="24"/>
        </w:rPr>
        <w:t>Teachers</w:t>
      </w:r>
      <w:r>
        <w:rPr>
          <w:rFonts w:ascii="Times New Roman" w:hAnsi="Times New Roman" w:cs="Times New Roman"/>
          <w:sz w:val="24"/>
          <w:szCs w:val="24"/>
        </w:rPr>
        <w:t>’</w:t>
      </w:r>
      <w:r w:rsidRPr="00422C6B">
        <w:rPr>
          <w:rFonts w:ascii="Times New Roman" w:hAnsi="Times New Roman" w:cs="Times New Roman" w:hint="eastAsia"/>
          <w:sz w:val="24"/>
          <w:szCs w:val="24"/>
        </w:rPr>
        <w:t xml:space="preserve"> </w:t>
      </w:r>
      <w:r>
        <w:rPr>
          <w:rFonts w:ascii="Times New Roman" w:hAnsi="Times New Roman" w:cs="Times New Roman" w:hint="eastAsia"/>
          <w:sz w:val="24"/>
          <w:szCs w:val="24"/>
        </w:rPr>
        <w:t>C</w:t>
      </w:r>
      <w:r w:rsidRPr="00422C6B">
        <w:rPr>
          <w:rFonts w:ascii="Times New Roman" w:hAnsi="Times New Roman" w:cs="Times New Roman" w:hint="eastAsia"/>
          <w:sz w:val="24"/>
          <w:szCs w:val="24"/>
        </w:rPr>
        <w:t xml:space="preserve">ode-switching in </w:t>
      </w:r>
      <w:r>
        <w:rPr>
          <w:rFonts w:ascii="Times New Roman" w:hAnsi="Times New Roman" w:cs="Times New Roman" w:hint="eastAsia"/>
          <w:sz w:val="24"/>
          <w:szCs w:val="24"/>
        </w:rPr>
        <w:t>B</w:t>
      </w:r>
      <w:r w:rsidRPr="00422C6B">
        <w:rPr>
          <w:rFonts w:ascii="Times New Roman" w:hAnsi="Times New Roman" w:cs="Times New Roman" w:hint="eastAsia"/>
          <w:sz w:val="24"/>
          <w:szCs w:val="24"/>
        </w:rPr>
        <w:t xml:space="preserve">ilingual </w:t>
      </w:r>
      <w:r>
        <w:rPr>
          <w:rFonts w:ascii="Times New Roman" w:hAnsi="Times New Roman" w:cs="Times New Roman" w:hint="eastAsia"/>
          <w:sz w:val="24"/>
          <w:szCs w:val="24"/>
        </w:rPr>
        <w:t>C</w:t>
      </w:r>
      <w:r w:rsidRPr="00422C6B">
        <w:rPr>
          <w:rFonts w:ascii="Times New Roman" w:hAnsi="Times New Roman" w:cs="Times New Roman" w:hint="eastAsia"/>
          <w:sz w:val="24"/>
          <w:szCs w:val="24"/>
        </w:rPr>
        <w:t xml:space="preserve">lassrooms: </w:t>
      </w:r>
      <w:r>
        <w:rPr>
          <w:rFonts w:ascii="Times New Roman" w:hAnsi="Times New Roman" w:cs="Times New Roman" w:hint="eastAsia"/>
          <w:sz w:val="24"/>
          <w:szCs w:val="24"/>
        </w:rPr>
        <w:t>E</w:t>
      </w:r>
      <w:r w:rsidRPr="00422C6B">
        <w:rPr>
          <w:rFonts w:ascii="Times New Roman" w:hAnsi="Times New Roman" w:cs="Times New Roman" w:hint="eastAsia"/>
          <w:sz w:val="24"/>
          <w:szCs w:val="24"/>
        </w:rPr>
        <w:t xml:space="preserve">xploring </w:t>
      </w:r>
      <w:r>
        <w:rPr>
          <w:rFonts w:ascii="Times New Roman" w:hAnsi="Times New Roman" w:cs="Times New Roman" w:hint="eastAsia"/>
          <w:sz w:val="24"/>
          <w:szCs w:val="24"/>
        </w:rPr>
        <w:t>P</w:t>
      </w:r>
      <w:r w:rsidRPr="00422C6B">
        <w:rPr>
          <w:rFonts w:ascii="Times New Roman" w:hAnsi="Times New Roman" w:cs="Times New Roman" w:hint="eastAsia"/>
          <w:sz w:val="24"/>
          <w:szCs w:val="24"/>
        </w:rPr>
        <w:t xml:space="preserve">edagogical and </w:t>
      </w:r>
      <w:r>
        <w:rPr>
          <w:rFonts w:ascii="Times New Roman" w:hAnsi="Times New Roman" w:cs="Times New Roman" w:hint="eastAsia"/>
          <w:sz w:val="24"/>
          <w:szCs w:val="24"/>
        </w:rPr>
        <w:t>S</w:t>
      </w:r>
      <w:r w:rsidRPr="00422C6B">
        <w:rPr>
          <w:rFonts w:ascii="Times New Roman" w:hAnsi="Times New Roman" w:cs="Times New Roman" w:hint="eastAsia"/>
          <w:sz w:val="24"/>
          <w:szCs w:val="24"/>
        </w:rPr>
        <w:t xml:space="preserve">ociocultural </w:t>
      </w:r>
      <w:r>
        <w:rPr>
          <w:rFonts w:ascii="Times New Roman" w:hAnsi="Times New Roman" w:cs="Times New Roman" w:hint="eastAsia"/>
          <w:sz w:val="24"/>
          <w:szCs w:val="24"/>
        </w:rPr>
        <w:t>F</w:t>
      </w:r>
      <w:r w:rsidRPr="00422C6B">
        <w:rPr>
          <w:rFonts w:ascii="Times New Roman" w:hAnsi="Times New Roman" w:cs="Times New Roman" w:hint="eastAsia"/>
          <w:sz w:val="24"/>
          <w:szCs w:val="24"/>
        </w:rPr>
        <w:t>unctions</w:t>
      </w:r>
      <w:r>
        <w:rPr>
          <w:rFonts w:ascii="Times New Roman" w:hAnsi="Times New Roman" w:cs="Times New Roman"/>
          <w:sz w:val="24"/>
          <w:szCs w:val="24"/>
        </w:rPr>
        <w:t>’</w:t>
      </w:r>
      <w:r w:rsidRPr="00422C6B">
        <w:rPr>
          <w:rFonts w:ascii="Times New Roman" w:hAnsi="Times New Roman" w:cs="Times New Roman" w:hint="eastAsia"/>
          <w:sz w:val="24"/>
          <w:szCs w:val="24"/>
        </w:rPr>
        <w:t xml:space="preserve">, </w:t>
      </w:r>
      <w:r w:rsidRPr="003A2E71">
        <w:rPr>
          <w:rFonts w:ascii="Times New Roman" w:hAnsi="Times New Roman" w:cs="Times New Roman" w:hint="eastAsia"/>
          <w:i/>
          <w:iCs/>
          <w:sz w:val="24"/>
          <w:szCs w:val="24"/>
        </w:rPr>
        <w:t>International Journal of Bilingual Education and Bilingualism</w:t>
      </w:r>
      <w:r w:rsidRPr="00422C6B">
        <w:rPr>
          <w:rFonts w:ascii="Times New Roman" w:hAnsi="Times New Roman" w:cs="Times New Roman" w:hint="eastAsia"/>
          <w:sz w:val="24"/>
          <w:szCs w:val="24"/>
        </w:rPr>
        <w:t>, 21(4), pp. 465</w:t>
      </w:r>
      <w:r>
        <w:rPr>
          <w:rFonts w:ascii="Times New Roman" w:hAnsi="Times New Roman" w:cs="Times New Roman" w:hint="eastAsia"/>
          <w:sz w:val="24"/>
          <w:szCs w:val="24"/>
        </w:rPr>
        <w:t>-</w:t>
      </w:r>
      <w:r w:rsidRPr="00422C6B">
        <w:rPr>
          <w:rFonts w:ascii="Times New Roman" w:hAnsi="Times New Roman" w:cs="Times New Roman" w:hint="eastAsia"/>
          <w:sz w:val="24"/>
          <w:szCs w:val="24"/>
        </w:rPr>
        <w:t xml:space="preserve">479. </w:t>
      </w:r>
      <w:r>
        <w:rPr>
          <w:rFonts w:ascii="Times New Roman" w:hAnsi="Times New Roman" w:cs="Times New Roman" w:hint="eastAsia"/>
          <w:sz w:val="24"/>
          <w:szCs w:val="24"/>
        </w:rPr>
        <w:t>DOI</w:t>
      </w:r>
      <w:r w:rsidRPr="00422C6B">
        <w:rPr>
          <w:rFonts w:ascii="Times New Roman" w:hAnsi="Times New Roman" w:cs="Times New Roman" w:hint="eastAsia"/>
          <w:sz w:val="24"/>
          <w:szCs w:val="24"/>
        </w:rPr>
        <w:t>: 10.1080/13670050.2016.1189509.</w:t>
      </w:r>
    </w:p>
    <w:p w14:paraId="3AF3C685" w14:textId="77777777" w:rsidR="0061700B" w:rsidRPr="001E3E63" w:rsidRDefault="0061700B" w:rsidP="0061700B">
      <w:pPr>
        <w:spacing w:line="360" w:lineRule="auto"/>
        <w:ind w:left="240" w:hangingChars="100" w:hanging="240"/>
        <w:rPr>
          <w:rFonts w:ascii="Times New Roman" w:hAnsi="Times New Roman" w:cs="Times New Roman"/>
          <w:sz w:val="24"/>
          <w:szCs w:val="24"/>
        </w:rPr>
      </w:pPr>
      <w:r w:rsidRPr="001E3E63">
        <w:rPr>
          <w:rFonts w:ascii="Times New Roman" w:hAnsi="Times New Roman" w:cs="Times New Roman"/>
          <w:sz w:val="24"/>
          <w:szCs w:val="24"/>
        </w:rPr>
        <w:t xml:space="preserve">Cesaria, A., Adnan, M., Kemal, E., Asty, H., </w:t>
      </w:r>
      <w:proofErr w:type="spellStart"/>
      <w:r w:rsidRPr="001E3E63">
        <w:rPr>
          <w:rFonts w:ascii="Times New Roman" w:hAnsi="Times New Roman" w:cs="Times New Roman"/>
          <w:sz w:val="24"/>
          <w:szCs w:val="24"/>
        </w:rPr>
        <w:t>Septia</w:t>
      </w:r>
      <w:proofErr w:type="spellEnd"/>
      <w:r w:rsidRPr="001E3E63">
        <w:rPr>
          <w:rFonts w:ascii="Times New Roman" w:hAnsi="Times New Roman" w:cs="Times New Roman"/>
          <w:sz w:val="24"/>
          <w:szCs w:val="24"/>
        </w:rPr>
        <w:t xml:space="preserve">, E., </w:t>
      </w:r>
      <w:proofErr w:type="spellStart"/>
      <w:r w:rsidRPr="001E3E63">
        <w:rPr>
          <w:rFonts w:ascii="Times New Roman" w:hAnsi="Times New Roman" w:cs="Times New Roman"/>
          <w:sz w:val="24"/>
          <w:szCs w:val="24"/>
        </w:rPr>
        <w:t>Perpisa</w:t>
      </w:r>
      <w:proofErr w:type="spellEnd"/>
      <w:r w:rsidRPr="001E3E63">
        <w:rPr>
          <w:rFonts w:ascii="Times New Roman" w:hAnsi="Times New Roman" w:cs="Times New Roman"/>
          <w:sz w:val="24"/>
          <w:szCs w:val="24"/>
        </w:rPr>
        <w:t xml:space="preserve">, L. and Putra, E. (2024) </w:t>
      </w:r>
      <w:r>
        <w:rPr>
          <w:rFonts w:ascii="Times New Roman" w:hAnsi="Times New Roman" w:cs="Times New Roman"/>
          <w:sz w:val="24"/>
          <w:szCs w:val="24"/>
        </w:rPr>
        <w:t>‘</w:t>
      </w:r>
      <w:r w:rsidRPr="001E3E63">
        <w:rPr>
          <w:rFonts w:ascii="Times New Roman" w:hAnsi="Times New Roman" w:cs="Times New Roman"/>
          <w:sz w:val="24"/>
          <w:szCs w:val="24"/>
        </w:rPr>
        <w:t xml:space="preserve">Investigating </w:t>
      </w:r>
      <w:proofErr w:type="spellStart"/>
      <w:r w:rsidRPr="001E3E63">
        <w:rPr>
          <w:rFonts w:ascii="Times New Roman" w:hAnsi="Times New Roman" w:cs="Times New Roman"/>
          <w:sz w:val="24"/>
          <w:szCs w:val="24"/>
        </w:rPr>
        <w:t>Billingual</w:t>
      </w:r>
      <w:proofErr w:type="spellEnd"/>
      <w:r w:rsidRPr="001E3E63">
        <w:rPr>
          <w:rFonts w:ascii="Times New Roman" w:hAnsi="Times New Roman" w:cs="Times New Roman"/>
          <w:sz w:val="24"/>
          <w:szCs w:val="24"/>
        </w:rPr>
        <w:t xml:space="preserve"> Education as A Language Framework and Its Application for Successful Social Engagement</w:t>
      </w:r>
      <w:r>
        <w:rPr>
          <w:rFonts w:ascii="Times New Roman" w:hAnsi="Times New Roman" w:cs="Times New Roman"/>
          <w:sz w:val="24"/>
          <w:szCs w:val="24"/>
        </w:rPr>
        <w:t>’</w:t>
      </w:r>
      <w:r>
        <w:rPr>
          <w:rFonts w:ascii="Times New Roman" w:hAnsi="Times New Roman" w:cs="Times New Roman" w:hint="eastAsia"/>
          <w:sz w:val="24"/>
          <w:szCs w:val="24"/>
        </w:rPr>
        <w:t>,</w:t>
      </w:r>
      <w:r w:rsidRPr="001E3E63">
        <w:rPr>
          <w:rFonts w:ascii="Times New Roman" w:hAnsi="Times New Roman" w:cs="Times New Roman"/>
          <w:sz w:val="24"/>
          <w:szCs w:val="24"/>
        </w:rPr>
        <w:t xml:space="preserve"> </w:t>
      </w:r>
      <w:proofErr w:type="spellStart"/>
      <w:r w:rsidRPr="001E3E63">
        <w:rPr>
          <w:rFonts w:ascii="Times New Roman" w:hAnsi="Times New Roman" w:cs="Times New Roman"/>
          <w:i/>
          <w:iCs/>
          <w:sz w:val="24"/>
          <w:szCs w:val="24"/>
        </w:rPr>
        <w:t>Revista</w:t>
      </w:r>
      <w:proofErr w:type="spellEnd"/>
      <w:r w:rsidRPr="001E3E63">
        <w:rPr>
          <w:rFonts w:ascii="Times New Roman" w:hAnsi="Times New Roman" w:cs="Times New Roman"/>
          <w:i/>
          <w:iCs/>
          <w:sz w:val="24"/>
          <w:szCs w:val="24"/>
        </w:rPr>
        <w:t xml:space="preserve"> de </w:t>
      </w:r>
      <w:proofErr w:type="spellStart"/>
      <w:r w:rsidRPr="001E3E63">
        <w:rPr>
          <w:rFonts w:ascii="Times New Roman" w:hAnsi="Times New Roman" w:cs="Times New Roman"/>
          <w:i/>
          <w:iCs/>
          <w:sz w:val="24"/>
          <w:szCs w:val="24"/>
        </w:rPr>
        <w:t>Gestão</w:t>
      </w:r>
      <w:proofErr w:type="spellEnd"/>
      <w:r w:rsidRPr="001E3E63">
        <w:rPr>
          <w:rFonts w:ascii="Times New Roman" w:hAnsi="Times New Roman" w:cs="Times New Roman"/>
          <w:i/>
          <w:iCs/>
          <w:sz w:val="24"/>
          <w:szCs w:val="24"/>
        </w:rPr>
        <w:t xml:space="preserve"> Social e Ambiental</w:t>
      </w:r>
      <w:r w:rsidRPr="001E3E63">
        <w:rPr>
          <w:rFonts w:ascii="Times New Roman" w:hAnsi="Times New Roman" w:cs="Times New Roman"/>
          <w:sz w:val="24"/>
          <w:szCs w:val="24"/>
        </w:rPr>
        <w:t>, 18(8), p</w:t>
      </w:r>
      <w:r>
        <w:rPr>
          <w:rFonts w:ascii="Times New Roman" w:hAnsi="Times New Roman" w:cs="Times New Roman" w:hint="eastAsia"/>
          <w:sz w:val="24"/>
          <w:szCs w:val="24"/>
        </w:rPr>
        <w:t>p</w:t>
      </w:r>
      <w:r w:rsidRPr="001E3E63">
        <w:rPr>
          <w:rFonts w:ascii="Times New Roman" w:hAnsi="Times New Roman" w:cs="Times New Roman"/>
          <w:sz w:val="24"/>
          <w:szCs w:val="24"/>
        </w:rPr>
        <w:t>.</w:t>
      </w:r>
      <w:r>
        <w:rPr>
          <w:rFonts w:ascii="Times New Roman" w:hAnsi="Times New Roman" w:cs="Times New Roman" w:hint="eastAsia"/>
          <w:sz w:val="24"/>
          <w:szCs w:val="24"/>
        </w:rPr>
        <w:t xml:space="preserve"> 1-23</w:t>
      </w:r>
      <w:r w:rsidRPr="001E3E63">
        <w:rPr>
          <w:rFonts w:ascii="Times New Roman" w:hAnsi="Times New Roman" w:cs="Times New Roman"/>
          <w:sz w:val="24"/>
          <w:szCs w:val="24"/>
        </w:rPr>
        <w:t xml:space="preserve">. </w:t>
      </w:r>
      <w:r>
        <w:rPr>
          <w:rFonts w:ascii="Times New Roman" w:hAnsi="Times New Roman" w:cs="Times New Roman" w:hint="eastAsia"/>
          <w:sz w:val="24"/>
          <w:szCs w:val="24"/>
        </w:rPr>
        <w:t>DOI</w:t>
      </w:r>
      <w:r w:rsidRPr="001E3E63">
        <w:rPr>
          <w:rFonts w:ascii="Times New Roman" w:hAnsi="Times New Roman" w:cs="Times New Roman"/>
          <w:sz w:val="24"/>
          <w:szCs w:val="24"/>
        </w:rPr>
        <w:t>:</w:t>
      </w:r>
      <w:r>
        <w:rPr>
          <w:rFonts w:ascii="Times New Roman" w:hAnsi="Times New Roman" w:cs="Times New Roman" w:hint="eastAsia"/>
          <w:sz w:val="24"/>
          <w:szCs w:val="24"/>
        </w:rPr>
        <w:t xml:space="preserve"> </w:t>
      </w:r>
      <w:r w:rsidRPr="001E3E63">
        <w:rPr>
          <w:rFonts w:ascii="Times New Roman" w:hAnsi="Times New Roman" w:cs="Times New Roman"/>
          <w:sz w:val="24"/>
          <w:szCs w:val="24"/>
        </w:rPr>
        <w:t>https://doi.org/10.24857/rgsa.v18n8-001.</w:t>
      </w:r>
    </w:p>
    <w:p w14:paraId="3513A1C7" w14:textId="77777777" w:rsidR="0061700B" w:rsidRDefault="0061700B" w:rsidP="0061700B">
      <w:pPr>
        <w:spacing w:line="360" w:lineRule="auto"/>
        <w:ind w:left="240" w:hangingChars="100" w:hanging="240"/>
        <w:rPr>
          <w:rFonts w:ascii="Times New Roman" w:hAnsi="Times New Roman" w:cs="Times New Roman"/>
          <w:sz w:val="24"/>
          <w:szCs w:val="24"/>
        </w:rPr>
      </w:pPr>
      <w:r>
        <w:rPr>
          <w:rFonts w:ascii="Times New Roman" w:hAnsi="Times New Roman" w:cs="Times New Roman" w:hint="eastAsia"/>
          <w:sz w:val="24"/>
          <w:szCs w:val="24"/>
        </w:rPr>
        <w:t xml:space="preserve">Chen, J. (2019) </w:t>
      </w:r>
      <w:r w:rsidRPr="009538E4">
        <w:rPr>
          <w:rFonts w:ascii="Times New Roman" w:hAnsi="Times New Roman" w:cs="Times New Roman"/>
          <w:i/>
          <w:iCs/>
          <w:sz w:val="24"/>
          <w:szCs w:val="24"/>
        </w:rPr>
        <w:t xml:space="preserve">Teacher Use of Codeswitching in </w:t>
      </w:r>
      <w:r>
        <w:rPr>
          <w:rFonts w:ascii="Times New Roman" w:hAnsi="Times New Roman" w:cs="Times New Roman" w:hint="eastAsia"/>
          <w:i/>
          <w:iCs/>
          <w:sz w:val="24"/>
          <w:szCs w:val="24"/>
        </w:rPr>
        <w:t>t</w:t>
      </w:r>
      <w:r w:rsidRPr="009538E4">
        <w:rPr>
          <w:rFonts w:ascii="Times New Roman" w:hAnsi="Times New Roman" w:cs="Times New Roman"/>
          <w:i/>
          <w:iCs/>
          <w:sz w:val="24"/>
          <w:szCs w:val="24"/>
        </w:rPr>
        <w:t xml:space="preserve">he Second Language Classroom: Exploring Teacher Practices </w:t>
      </w:r>
      <w:r>
        <w:rPr>
          <w:rFonts w:ascii="Times New Roman" w:hAnsi="Times New Roman" w:cs="Times New Roman" w:hint="eastAsia"/>
          <w:i/>
          <w:iCs/>
          <w:sz w:val="24"/>
          <w:szCs w:val="24"/>
        </w:rPr>
        <w:t>a</w:t>
      </w:r>
      <w:r w:rsidRPr="009538E4">
        <w:rPr>
          <w:rFonts w:ascii="Times New Roman" w:hAnsi="Times New Roman" w:cs="Times New Roman"/>
          <w:i/>
          <w:iCs/>
          <w:sz w:val="24"/>
          <w:szCs w:val="24"/>
        </w:rPr>
        <w:t xml:space="preserve">nd Perceptions </w:t>
      </w:r>
      <w:r>
        <w:rPr>
          <w:rFonts w:ascii="Times New Roman" w:hAnsi="Times New Roman" w:cs="Times New Roman" w:hint="eastAsia"/>
          <w:i/>
          <w:iCs/>
          <w:sz w:val="24"/>
          <w:szCs w:val="24"/>
        </w:rPr>
        <w:t>i</w:t>
      </w:r>
      <w:r w:rsidRPr="009538E4">
        <w:rPr>
          <w:rFonts w:ascii="Times New Roman" w:hAnsi="Times New Roman" w:cs="Times New Roman"/>
          <w:i/>
          <w:iCs/>
          <w:sz w:val="24"/>
          <w:szCs w:val="24"/>
        </w:rPr>
        <w:t xml:space="preserve">n </w:t>
      </w:r>
      <w:r>
        <w:rPr>
          <w:rFonts w:ascii="Times New Roman" w:hAnsi="Times New Roman" w:cs="Times New Roman" w:hint="eastAsia"/>
          <w:i/>
          <w:iCs/>
          <w:sz w:val="24"/>
          <w:szCs w:val="24"/>
        </w:rPr>
        <w:t>t</w:t>
      </w:r>
      <w:r w:rsidRPr="009538E4">
        <w:rPr>
          <w:rFonts w:ascii="Times New Roman" w:hAnsi="Times New Roman" w:cs="Times New Roman"/>
          <w:i/>
          <w:iCs/>
          <w:sz w:val="24"/>
          <w:szCs w:val="24"/>
        </w:rPr>
        <w:t xml:space="preserve">he Context </w:t>
      </w:r>
      <w:r>
        <w:rPr>
          <w:rFonts w:ascii="Times New Roman" w:hAnsi="Times New Roman" w:cs="Times New Roman" w:hint="eastAsia"/>
          <w:i/>
          <w:iCs/>
          <w:sz w:val="24"/>
          <w:szCs w:val="24"/>
        </w:rPr>
        <w:t>o</w:t>
      </w:r>
      <w:r w:rsidRPr="009538E4">
        <w:rPr>
          <w:rFonts w:ascii="Times New Roman" w:hAnsi="Times New Roman" w:cs="Times New Roman"/>
          <w:i/>
          <w:iCs/>
          <w:sz w:val="24"/>
          <w:szCs w:val="24"/>
        </w:rPr>
        <w:t xml:space="preserve">f University English </w:t>
      </w:r>
      <w:r>
        <w:rPr>
          <w:rFonts w:ascii="Times New Roman" w:hAnsi="Times New Roman" w:cs="Times New Roman" w:hint="eastAsia"/>
          <w:i/>
          <w:iCs/>
          <w:sz w:val="24"/>
          <w:szCs w:val="24"/>
        </w:rPr>
        <w:t>a</w:t>
      </w:r>
      <w:r w:rsidRPr="009538E4">
        <w:rPr>
          <w:rFonts w:ascii="Times New Roman" w:hAnsi="Times New Roman" w:cs="Times New Roman"/>
          <w:i/>
          <w:iCs/>
          <w:sz w:val="24"/>
          <w:szCs w:val="24"/>
        </w:rPr>
        <w:t>s A Foreign Language Classrooms in China</w:t>
      </w:r>
      <w:r>
        <w:rPr>
          <w:rFonts w:ascii="Times New Roman" w:hAnsi="Times New Roman" w:cs="Times New Roman" w:hint="eastAsia"/>
          <w:sz w:val="24"/>
          <w:szCs w:val="24"/>
        </w:rPr>
        <w:t xml:space="preserve">. </w:t>
      </w:r>
      <w:r w:rsidRPr="00D10A4C">
        <w:rPr>
          <w:rFonts w:ascii="Times New Roman" w:hAnsi="Times New Roman" w:cs="Times New Roman" w:hint="eastAsia"/>
          <w:sz w:val="24"/>
          <w:szCs w:val="24"/>
        </w:rPr>
        <w:t xml:space="preserve">PhD thesis. </w:t>
      </w:r>
      <w:r w:rsidRPr="006C5191">
        <w:rPr>
          <w:rFonts w:ascii="Times New Roman" w:hAnsi="Times New Roman" w:cs="Times New Roman" w:hint="eastAsia"/>
          <w:sz w:val="24"/>
          <w:szCs w:val="24"/>
        </w:rPr>
        <w:t>University of Bath</w:t>
      </w:r>
      <w:r w:rsidRPr="00D10A4C">
        <w:rPr>
          <w:rFonts w:ascii="Times New Roman" w:hAnsi="Times New Roman" w:cs="Times New Roman" w:hint="eastAsia"/>
          <w:sz w:val="24"/>
          <w:szCs w:val="24"/>
        </w:rPr>
        <w:t xml:space="preserve">. Available at: </w:t>
      </w:r>
      <w:r w:rsidRPr="00080386">
        <w:rPr>
          <w:rFonts w:ascii="Times New Roman" w:hAnsi="Times New Roman" w:cs="Times New Roman" w:hint="eastAsia"/>
          <w:sz w:val="24"/>
          <w:szCs w:val="24"/>
        </w:rPr>
        <w:t xml:space="preserve">https://purehost.bath.ac.uk/ws/portalfiles/portal/192893006/CHEN_Jie_THESIS_FINAL_8_5_19.pdf </w:t>
      </w:r>
      <w:r w:rsidRPr="00D10A4C">
        <w:rPr>
          <w:rFonts w:ascii="Times New Roman" w:hAnsi="Times New Roman" w:cs="Times New Roman" w:hint="eastAsia"/>
          <w:sz w:val="24"/>
          <w:szCs w:val="24"/>
        </w:rPr>
        <w:t>(Accessed: 11 A</w:t>
      </w:r>
      <w:r>
        <w:rPr>
          <w:rFonts w:ascii="Times New Roman" w:hAnsi="Times New Roman" w:cs="Times New Roman" w:hint="eastAsia"/>
          <w:sz w:val="24"/>
          <w:szCs w:val="24"/>
        </w:rPr>
        <w:t xml:space="preserve">pril </w:t>
      </w:r>
      <w:r w:rsidRPr="00D10A4C">
        <w:rPr>
          <w:rFonts w:ascii="Times New Roman" w:hAnsi="Times New Roman" w:cs="Times New Roman" w:hint="eastAsia"/>
          <w:sz w:val="24"/>
          <w:szCs w:val="24"/>
        </w:rPr>
        <w:t>202</w:t>
      </w:r>
      <w:r>
        <w:rPr>
          <w:rFonts w:ascii="Times New Roman" w:hAnsi="Times New Roman" w:cs="Times New Roman" w:hint="eastAsia"/>
          <w:sz w:val="24"/>
          <w:szCs w:val="24"/>
        </w:rPr>
        <w:t>5</w:t>
      </w:r>
      <w:r w:rsidRPr="00D10A4C">
        <w:rPr>
          <w:rFonts w:ascii="Times New Roman" w:hAnsi="Times New Roman" w:cs="Times New Roman" w:hint="eastAsia"/>
          <w:sz w:val="24"/>
          <w:szCs w:val="24"/>
        </w:rPr>
        <w:t>)</w:t>
      </w:r>
      <w:r>
        <w:rPr>
          <w:rFonts w:ascii="Times New Roman" w:hAnsi="Times New Roman" w:cs="Times New Roman" w:hint="eastAsia"/>
          <w:sz w:val="24"/>
          <w:szCs w:val="24"/>
        </w:rPr>
        <w:t xml:space="preserve">. </w:t>
      </w:r>
    </w:p>
    <w:p w14:paraId="4D321161" w14:textId="77777777" w:rsidR="0061700B" w:rsidRDefault="0061700B" w:rsidP="0061700B">
      <w:pPr>
        <w:spacing w:line="360" w:lineRule="auto"/>
        <w:ind w:left="240" w:hangingChars="100" w:hanging="240"/>
        <w:rPr>
          <w:rFonts w:ascii="Times New Roman" w:hAnsi="Times New Roman" w:cs="Times New Roman"/>
          <w:sz w:val="24"/>
          <w:szCs w:val="24"/>
        </w:rPr>
      </w:pPr>
      <w:r w:rsidRPr="00030316">
        <w:rPr>
          <w:rFonts w:ascii="Times New Roman" w:hAnsi="Times New Roman" w:cs="Times New Roman"/>
          <w:sz w:val="24"/>
          <w:szCs w:val="24"/>
        </w:rPr>
        <w:t xml:space="preserve">Chowdhury, N. (2013) </w:t>
      </w:r>
      <w:r>
        <w:rPr>
          <w:rFonts w:ascii="Times New Roman" w:hAnsi="Times New Roman" w:cs="Times New Roman"/>
          <w:sz w:val="24"/>
          <w:szCs w:val="24"/>
        </w:rPr>
        <w:t>‘</w:t>
      </w:r>
      <w:r w:rsidRPr="00030316">
        <w:rPr>
          <w:rFonts w:ascii="Times New Roman" w:hAnsi="Times New Roman" w:cs="Times New Roman"/>
          <w:sz w:val="24"/>
          <w:szCs w:val="24"/>
        </w:rPr>
        <w:t>Classroom Code Switching of English Language Teachers at Tertiary Level: A Bangladeshi Perspective</w:t>
      </w:r>
      <w:r>
        <w:rPr>
          <w:rFonts w:ascii="Times New Roman" w:hAnsi="Times New Roman" w:cs="Times New Roman"/>
          <w:sz w:val="24"/>
          <w:szCs w:val="24"/>
        </w:rPr>
        <w:t>’</w:t>
      </w:r>
      <w:r>
        <w:rPr>
          <w:rFonts w:ascii="Times New Roman" w:hAnsi="Times New Roman" w:cs="Times New Roman" w:hint="eastAsia"/>
          <w:sz w:val="24"/>
          <w:szCs w:val="24"/>
        </w:rPr>
        <w:t>,</w:t>
      </w:r>
      <w:r w:rsidRPr="00030316">
        <w:rPr>
          <w:rFonts w:ascii="Times New Roman" w:hAnsi="Times New Roman" w:cs="Times New Roman"/>
          <w:sz w:val="24"/>
          <w:szCs w:val="24"/>
        </w:rPr>
        <w:t xml:space="preserve"> </w:t>
      </w:r>
      <w:r w:rsidRPr="00030316">
        <w:rPr>
          <w:rFonts w:ascii="Times New Roman" w:hAnsi="Times New Roman" w:cs="Times New Roman"/>
          <w:i/>
          <w:iCs/>
          <w:sz w:val="24"/>
          <w:szCs w:val="24"/>
        </w:rPr>
        <w:t>Stamford Journal of English</w:t>
      </w:r>
      <w:r w:rsidRPr="00030316">
        <w:rPr>
          <w:rFonts w:ascii="Times New Roman" w:hAnsi="Times New Roman" w:cs="Times New Roman"/>
          <w:sz w:val="24"/>
          <w:szCs w:val="24"/>
        </w:rPr>
        <w:t>, 7, pp.40</w:t>
      </w:r>
      <w:r>
        <w:rPr>
          <w:rFonts w:ascii="Times New Roman" w:hAnsi="Times New Roman" w:cs="Times New Roman" w:hint="eastAsia"/>
          <w:sz w:val="24"/>
          <w:szCs w:val="24"/>
        </w:rPr>
        <w:t>-</w:t>
      </w:r>
      <w:r w:rsidRPr="00030316">
        <w:rPr>
          <w:rFonts w:ascii="Times New Roman" w:hAnsi="Times New Roman" w:cs="Times New Roman"/>
          <w:sz w:val="24"/>
          <w:szCs w:val="24"/>
        </w:rPr>
        <w:t xml:space="preserve">61. </w:t>
      </w:r>
      <w:r>
        <w:rPr>
          <w:rFonts w:ascii="Times New Roman" w:hAnsi="Times New Roman" w:cs="Times New Roman" w:hint="eastAsia"/>
          <w:sz w:val="24"/>
          <w:szCs w:val="24"/>
        </w:rPr>
        <w:t>DOI</w:t>
      </w:r>
      <w:r w:rsidRPr="00030316">
        <w:rPr>
          <w:rFonts w:ascii="Times New Roman" w:hAnsi="Times New Roman" w:cs="Times New Roman"/>
          <w:sz w:val="24"/>
          <w:szCs w:val="24"/>
        </w:rPr>
        <w:t>:</w:t>
      </w:r>
      <w:r>
        <w:rPr>
          <w:rFonts w:ascii="Times New Roman" w:hAnsi="Times New Roman" w:cs="Times New Roman" w:hint="eastAsia"/>
          <w:sz w:val="24"/>
          <w:szCs w:val="24"/>
        </w:rPr>
        <w:t xml:space="preserve"> </w:t>
      </w:r>
      <w:hyperlink r:id="rId7" w:history="1">
        <w:r w:rsidRPr="00030316">
          <w:rPr>
            <w:rStyle w:val="af2"/>
            <w:rFonts w:ascii="Times New Roman" w:hAnsi="Times New Roman" w:cs="Times New Roman"/>
            <w:sz w:val="24"/>
            <w:szCs w:val="24"/>
          </w:rPr>
          <w:t>https://doi.org/10.3329/sje.v7i0.14462</w:t>
        </w:r>
      </w:hyperlink>
      <w:r w:rsidRPr="00030316">
        <w:rPr>
          <w:rFonts w:ascii="Times New Roman" w:hAnsi="Times New Roman" w:cs="Times New Roman"/>
          <w:sz w:val="24"/>
          <w:szCs w:val="24"/>
        </w:rPr>
        <w:t>.</w:t>
      </w:r>
    </w:p>
    <w:p w14:paraId="14D19806" w14:textId="77777777" w:rsidR="0061700B" w:rsidRPr="00285960" w:rsidRDefault="0061700B" w:rsidP="0061700B">
      <w:pPr>
        <w:spacing w:line="360" w:lineRule="auto"/>
        <w:ind w:left="240" w:hangingChars="100" w:hanging="240"/>
        <w:rPr>
          <w:rFonts w:ascii="Times New Roman" w:hAnsi="Times New Roman" w:cs="Times New Roman"/>
          <w:sz w:val="24"/>
          <w:szCs w:val="24"/>
        </w:rPr>
      </w:pPr>
      <w:proofErr w:type="spellStart"/>
      <w:r w:rsidRPr="00285960">
        <w:rPr>
          <w:rFonts w:ascii="Times New Roman" w:hAnsi="Times New Roman" w:cs="Times New Roman"/>
          <w:sz w:val="24"/>
          <w:szCs w:val="24"/>
        </w:rPr>
        <w:t>Corcoll</w:t>
      </w:r>
      <w:proofErr w:type="spellEnd"/>
      <w:r w:rsidRPr="00285960">
        <w:rPr>
          <w:rFonts w:ascii="Times New Roman" w:hAnsi="Times New Roman" w:cs="Times New Roman"/>
          <w:sz w:val="24"/>
          <w:szCs w:val="24"/>
        </w:rPr>
        <w:t xml:space="preserve"> López, C. and González-Davies, M. (2015) ‘Switching Codes in the Plurilingual Classroom’, </w:t>
      </w:r>
      <w:r w:rsidRPr="00285960">
        <w:rPr>
          <w:rFonts w:ascii="Times New Roman" w:hAnsi="Times New Roman" w:cs="Times New Roman"/>
          <w:i/>
          <w:iCs/>
          <w:sz w:val="24"/>
          <w:szCs w:val="24"/>
        </w:rPr>
        <w:t>ELT Journal</w:t>
      </w:r>
      <w:r w:rsidRPr="00285960">
        <w:rPr>
          <w:rFonts w:ascii="Times New Roman" w:hAnsi="Times New Roman" w:cs="Times New Roman"/>
          <w:sz w:val="24"/>
          <w:szCs w:val="24"/>
        </w:rPr>
        <w:t xml:space="preserve">, 70(1), pp. 67-77. DOI: </w:t>
      </w:r>
      <w:hyperlink r:id="rId8" w:history="1">
        <w:r w:rsidRPr="00285960">
          <w:rPr>
            <w:rStyle w:val="af2"/>
            <w:rFonts w:ascii="Times New Roman" w:hAnsi="Times New Roman" w:cs="Times New Roman"/>
            <w:sz w:val="24"/>
            <w:szCs w:val="24"/>
          </w:rPr>
          <w:t>https://doi.org/10.1093/elt/ccv056</w:t>
        </w:r>
      </w:hyperlink>
      <w:r w:rsidRPr="00285960">
        <w:rPr>
          <w:rFonts w:ascii="Times New Roman" w:hAnsi="Times New Roman" w:cs="Times New Roman"/>
          <w:sz w:val="24"/>
          <w:szCs w:val="24"/>
        </w:rPr>
        <w:t>.</w:t>
      </w:r>
    </w:p>
    <w:p w14:paraId="47C1D33B" w14:textId="77777777" w:rsidR="0061700B" w:rsidRDefault="0061700B" w:rsidP="0061700B">
      <w:pPr>
        <w:spacing w:line="360" w:lineRule="auto"/>
        <w:ind w:left="240" w:hangingChars="100" w:hanging="240"/>
        <w:rPr>
          <w:rFonts w:ascii="Times New Roman" w:hAnsi="Times New Roman" w:cs="Times New Roman" w:hint="eastAsia"/>
          <w:sz w:val="24"/>
          <w:szCs w:val="24"/>
        </w:rPr>
      </w:pPr>
      <w:r w:rsidRPr="00803DF3">
        <w:rPr>
          <w:rFonts w:ascii="Times New Roman" w:hAnsi="Times New Roman" w:cs="Times New Roman"/>
          <w:sz w:val="24"/>
          <w:szCs w:val="24"/>
        </w:rPr>
        <w:t>García, O</w:t>
      </w:r>
      <w:r>
        <w:rPr>
          <w:rFonts w:ascii="Times New Roman" w:hAnsi="Times New Roman" w:cs="Times New Roman" w:hint="eastAsia"/>
          <w:sz w:val="24"/>
          <w:szCs w:val="24"/>
        </w:rPr>
        <w:t>.</w:t>
      </w:r>
      <w:r w:rsidRPr="00803DF3">
        <w:rPr>
          <w:rFonts w:ascii="Times New Roman" w:hAnsi="Times New Roman" w:cs="Times New Roman"/>
          <w:sz w:val="24"/>
          <w:szCs w:val="24"/>
        </w:rPr>
        <w:t xml:space="preserve"> (2009) </w:t>
      </w:r>
      <w:r w:rsidRPr="0040743C">
        <w:rPr>
          <w:rFonts w:ascii="Times New Roman" w:hAnsi="Times New Roman" w:cs="Times New Roman"/>
          <w:i/>
          <w:iCs/>
          <w:sz w:val="24"/>
          <w:szCs w:val="24"/>
        </w:rPr>
        <w:t>Bilingual Education in the 21st Century: A Global Perspective</w:t>
      </w:r>
      <w:r w:rsidRPr="00803DF3">
        <w:rPr>
          <w:rFonts w:ascii="Times New Roman" w:hAnsi="Times New Roman" w:cs="Times New Roman"/>
          <w:sz w:val="24"/>
          <w:szCs w:val="24"/>
        </w:rPr>
        <w:t>. Malden, MA: Wiley</w:t>
      </w:r>
      <w:r>
        <w:rPr>
          <w:rFonts w:ascii="Times New Roman" w:hAnsi="Times New Roman" w:cs="Times New Roman" w:hint="eastAsia"/>
          <w:sz w:val="24"/>
          <w:szCs w:val="24"/>
        </w:rPr>
        <w:t xml:space="preserve"> </w:t>
      </w:r>
      <w:r w:rsidRPr="00803DF3">
        <w:rPr>
          <w:rFonts w:ascii="Times New Roman" w:hAnsi="Times New Roman" w:cs="Times New Roman"/>
          <w:sz w:val="24"/>
          <w:szCs w:val="24"/>
        </w:rPr>
        <w:t>Blackwell.</w:t>
      </w:r>
    </w:p>
    <w:p w14:paraId="71D148FC" w14:textId="77777777" w:rsidR="0061700B" w:rsidRDefault="0061700B" w:rsidP="0061700B">
      <w:pPr>
        <w:spacing w:line="360" w:lineRule="auto"/>
        <w:ind w:left="240" w:hangingChars="100" w:hanging="240"/>
        <w:rPr>
          <w:rFonts w:ascii="Times New Roman" w:hAnsi="Times New Roman" w:cs="Times New Roman"/>
          <w:sz w:val="24"/>
          <w:szCs w:val="24"/>
        </w:rPr>
      </w:pPr>
      <w:r w:rsidRPr="00BF4B86">
        <w:rPr>
          <w:rFonts w:ascii="Times New Roman" w:hAnsi="Times New Roman" w:cs="Times New Roman"/>
          <w:sz w:val="24"/>
          <w:szCs w:val="24"/>
        </w:rPr>
        <w:t xml:space="preserve">Gustavsson, B. and </w:t>
      </w:r>
      <w:proofErr w:type="spellStart"/>
      <w:r w:rsidRPr="00BF4B86">
        <w:rPr>
          <w:rFonts w:ascii="Times New Roman" w:hAnsi="Times New Roman" w:cs="Times New Roman"/>
          <w:sz w:val="24"/>
          <w:szCs w:val="24"/>
        </w:rPr>
        <w:t>Karakitsos</w:t>
      </w:r>
      <w:proofErr w:type="spellEnd"/>
      <w:r w:rsidRPr="00BF4B86">
        <w:rPr>
          <w:rFonts w:ascii="Times New Roman" w:hAnsi="Times New Roman" w:cs="Times New Roman"/>
          <w:sz w:val="24"/>
          <w:szCs w:val="24"/>
        </w:rPr>
        <w:t xml:space="preserve">, A. (2019) </w:t>
      </w:r>
      <w:r w:rsidRPr="00BF4B86">
        <w:rPr>
          <w:rFonts w:ascii="Times New Roman" w:hAnsi="Times New Roman" w:cs="Times New Roman"/>
          <w:i/>
          <w:iCs/>
          <w:sz w:val="24"/>
          <w:szCs w:val="24"/>
        </w:rPr>
        <w:t xml:space="preserve">Teacher and Teacher Student Beliefs on Using </w:t>
      </w:r>
      <w:r w:rsidRPr="00BF4B86">
        <w:rPr>
          <w:rFonts w:ascii="Times New Roman" w:hAnsi="Times New Roman" w:cs="Times New Roman"/>
          <w:i/>
          <w:iCs/>
          <w:sz w:val="24"/>
          <w:szCs w:val="24"/>
        </w:rPr>
        <w:lastRenderedPageBreak/>
        <w:t>Code-Switching in EFL Classrooms</w:t>
      </w:r>
      <w:r w:rsidRPr="004F4425">
        <w:rPr>
          <w:rFonts w:ascii="Times New Roman" w:hAnsi="Times New Roman" w:cs="Times New Roman" w:hint="eastAsia"/>
          <w:i/>
          <w:iCs/>
          <w:sz w:val="24"/>
          <w:szCs w:val="24"/>
        </w:rPr>
        <w:t xml:space="preserve">. MA </w:t>
      </w:r>
      <w:r w:rsidRPr="004F4425">
        <w:rPr>
          <w:rFonts w:ascii="Times New Roman" w:hAnsi="Times New Roman" w:cs="Times New Roman" w:hint="eastAsia"/>
          <w:sz w:val="24"/>
          <w:szCs w:val="24"/>
        </w:rPr>
        <w:t>thesis. Malmö University</w:t>
      </w:r>
      <w:r w:rsidRPr="00BF4B86">
        <w:rPr>
          <w:rFonts w:ascii="Times New Roman" w:hAnsi="Times New Roman" w:cs="Times New Roman"/>
          <w:sz w:val="24"/>
          <w:szCs w:val="24"/>
        </w:rPr>
        <w:t>.</w:t>
      </w:r>
      <w:r w:rsidRPr="004F4425">
        <w:rPr>
          <w:rFonts w:ascii="Times New Roman" w:hAnsi="Times New Roman" w:cs="Times New Roman" w:hint="eastAsia"/>
          <w:sz w:val="24"/>
          <w:szCs w:val="24"/>
        </w:rPr>
        <w:t xml:space="preserve"> </w:t>
      </w:r>
      <w:r w:rsidRPr="00D42F10">
        <w:rPr>
          <w:rFonts w:ascii="Times New Roman" w:hAnsi="Times New Roman" w:cs="Times New Roman" w:hint="eastAsia"/>
          <w:sz w:val="24"/>
          <w:szCs w:val="24"/>
        </w:rPr>
        <w:t xml:space="preserve">Available at: </w:t>
      </w:r>
      <w:hyperlink r:id="rId9" w:history="1">
        <w:r w:rsidRPr="00B15CC9">
          <w:rPr>
            <w:rStyle w:val="af2"/>
            <w:rFonts w:ascii="Times New Roman" w:hAnsi="Times New Roman" w:cs="Times New Roman" w:hint="eastAsia"/>
            <w:sz w:val="24"/>
            <w:szCs w:val="24"/>
          </w:rPr>
          <w:t>https://www.diva-portal.org/smash/get/diva2:1495411/fulltext01.pdf</w:t>
        </w:r>
      </w:hyperlink>
      <w:r>
        <w:rPr>
          <w:rFonts w:ascii="Times New Roman" w:hAnsi="Times New Roman" w:cs="Times New Roman" w:hint="eastAsia"/>
          <w:sz w:val="24"/>
          <w:szCs w:val="24"/>
        </w:rPr>
        <w:t xml:space="preserve"> </w:t>
      </w:r>
      <w:r w:rsidRPr="00D42F10">
        <w:rPr>
          <w:rFonts w:ascii="Times New Roman" w:hAnsi="Times New Roman" w:cs="Times New Roman" w:hint="eastAsia"/>
          <w:sz w:val="24"/>
          <w:szCs w:val="24"/>
        </w:rPr>
        <w:t xml:space="preserve"> (Accessed: 9 April 2025).</w:t>
      </w:r>
    </w:p>
    <w:p w14:paraId="04E9E17D" w14:textId="77777777" w:rsidR="0061700B" w:rsidRPr="004506B9" w:rsidRDefault="0061700B" w:rsidP="0061700B">
      <w:pPr>
        <w:spacing w:line="360" w:lineRule="auto"/>
        <w:ind w:left="240" w:hangingChars="100" w:hanging="240"/>
        <w:rPr>
          <w:rFonts w:ascii="Times New Roman" w:hAnsi="Times New Roman" w:cs="Times New Roman"/>
          <w:sz w:val="24"/>
          <w:szCs w:val="24"/>
        </w:rPr>
      </w:pPr>
      <w:proofErr w:type="spellStart"/>
      <w:r w:rsidRPr="00370DDE">
        <w:rPr>
          <w:rFonts w:ascii="Times New Roman" w:hAnsi="Times New Roman" w:cs="Times New Roman" w:hint="eastAsia"/>
          <w:sz w:val="24"/>
          <w:szCs w:val="24"/>
        </w:rPr>
        <w:t>Kamwangamalu</w:t>
      </w:r>
      <w:proofErr w:type="spellEnd"/>
      <w:r w:rsidRPr="00370DDE">
        <w:rPr>
          <w:rFonts w:ascii="Times New Roman" w:hAnsi="Times New Roman" w:cs="Times New Roman" w:hint="eastAsia"/>
          <w:sz w:val="24"/>
          <w:szCs w:val="24"/>
        </w:rPr>
        <w:t>, N.M. (</w:t>
      </w:r>
      <w:proofErr w:type="gramStart"/>
      <w:r w:rsidRPr="00370DDE">
        <w:rPr>
          <w:rFonts w:ascii="Times New Roman" w:hAnsi="Times New Roman" w:cs="Times New Roman"/>
          <w:sz w:val="24"/>
          <w:szCs w:val="24"/>
        </w:rPr>
        <w:t>2010) ‘</w:t>
      </w:r>
      <w:proofErr w:type="gramEnd"/>
      <w:r w:rsidRPr="00370DDE">
        <w:rPr>
          <w:rFonts w:ascii="Times New Roman" w:hAnsi="Times New Roman" w:cs="Times New Roman" w:hint="eastAsia"/>
          <w:sz w:val="24"/>
          <w:szCs w:val="24"/>
        </w:rPr>
        <w:t>Multilingualism and Codeswitching in Education</w:t>
      </w:r>
      <w:r w:rsidRPr="00370DDE">
        <w:rPr>
          <w:rFonts w:ascii="Times New Roman" w:hAnsi="Times New Roman" w:cs="Times New Roman"/>
          <w:sz w:val="24"/>
          <w:szCs w:val="24"/>
        </w:rPr>
        <w:t>’</w:t>
      </w:r>
      <w:r w:rsidRPr="00370DDE">
        <w:rPr>
          <w:rFonts w:ascii="Times New Roman" w:hAnsi="Times New Roman" w:cs="Times New Roman" w:hint="eastAsia"/>
          <w:sz w:val="24"/>
          <w:szCs w:val="24"/>
        </w:rPr>
        <w:t>, i</w:t>
      </w:r>
      <w:r w:rsidRPr="004506B9">
        <w:rPr>
          <w:rFonts w:ascii="Times New Roman" w:hAnsi="Times New Roman" w:cs="Times New Roman"/>
          <w:sz w:val="24"/>
          <w:szCs w:val="24"/>
        </w:rPr>
        <w:t>n Hornberger</w:t>
      </w:r>
      <w:r w:rsidRPr="00370DDE">
        <w:rPr>
          <w:rFonts w:ascii="Times New Roman" w:hAnsi="Times New Roman" w:cs="Times New Roman" w:hint="eastAsia"/>
          <w:sz w:val="24"/>
          <w:szCs w:val="24"/>
        </w:rPr>
        <w:t>,</w:t>
      </w:r>
      <w:r w:rsidRPr="004506B9">
        <w:rPr>
          <w:rFonts w:ascii="Times New Roman" w:hAnsi="Times New Roman" w:cs="Times New Roman"/>
          <w:sz w:val="24"/>
          <w:szCs w:val="24"/>
        </w:rPr>
        <w:t xml:space="preserve"> N.H. </w:t>
      </w:r>
      <w:r w:rsidRPr="00370DDE">
        <w:rPr>
          <w:rFonts w:ascii="Times New Roman" w:hAnsi="Times New Roman" w:cs="Times New Roman" w:hint="eastAsia"/>
          <w:sz w:val="24"/>
          <w:szCs w:val="24"/>
        </w:rPr>
        <w:t>and</w:t>
      </w:r>
      <w:r w:rsidRPr="004506B9">
        <w:rPr>
          <w:rFonts w:ascii="Times New Roman" w:hAnsi="Times New Roman" w:cs="Times New Roman"/>
          <w:sz w:val="24"/>
          <w:szCs w:val="24"/>
        </w:rPr>
        <w:t xml:space="preserve"> McKay, S.L. </w:t>
      </w:r>
      <w:r w:rsidRPr="00370DDE">
        <w:rPr>
          <w:rFonts w:ascii="Times New Roman" w:hAnsi="Times New Roman" w:cs="Times New Roman" w:hint="eastAsia"/>
          <w:sz w:val="24"/>
          <w:szCs w:val="24"/>
        </w:rPr>
        <w:t>(</w:t>
      </w:r>
      <w:r w:rsidRPr="004506B9">
        <w:rPr>
          <w:rFonts w:ascii="Times New Roman" w:hAnsi="Times New Roman" w:cs="Times New Roman"/>
          <w:sz w:val="24"/>
          <w:szCs w:val="24"/>
        </w:rPr>
        <w:t>eds</w:t>
      </w:r>
      <w:r w:rsidRPr="00370DDE">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sidRPr="004506B9">
        <w:rPr>
          <w:rFonts w:ascii="Times New Roman" w:hAnsi="Times New Roman" w:cs="Times New Roman"/>
          <w:i/>
          <w:iCs/>
          <w:sz w:val="24"/>
          <w:szCs w:val="24"/>
        </w:rPr>
        <w:t>Sociolinguistics and Language Education</w:t>
      </w:r>
      <w:r w:rsidRPr="004506B9">
        <w:rPr>
          <w:rFonts w:ascii="Times New Roman" w:hAnsi="Times New Roman" w:cs="Times New Roman"/>
          <w:sz w:val="24"/>
          <w:szCs w:val="24"/>
        </w:rPr>
        <w:t>. Bristol: Multilingual Matters, pp. 116</w:t>
      </w:r>
      <w:r w:rsidRPr="00370DDE">
        <w:rPr>
          <w:rFonts w:ascii="Times New Roman" w:hAnsi="Times New Roman" w:cs="Times New Roman" w:hint="eastAsia"/>
          <w:sz w:val="24"/>
          <w:szCs w:val="24"/>
        </w:rPr>
        <w:t>-</w:t>
      </w:r>
      <w:r w:rsidRPr="004506B9">
        <w:rPr>
          <w:rFonts w:ascii="Times New Roman" w:hAnsi="Times New Roman" w:cs="Times New Roman"/>
          <w:sz w:val="24"/>
          <w:szCs w:val="24"/>
        </w:rPr>
        <w:t>142.</w:t>
      </w:r>
    </w:p>
    <w:p w14:paraId="1B7C284B" w14:textId="77777777" w:rsidR="0061700B" w:rsidRDefault="0061700B" w:rsidP="0061700B">
      <w:pPr>
        <w:spacing w:line="360" w:lineRule="auto"/>
        <w:ind w:left="240" w:hangingChars="100" w:hanging="240"/>
        <w:rPr>
          <w:rFonts w:ascii="Times New Roman" w:hAnsi="Times New Roman" w:cs="Times New Roman"/>
          <w:sz w:val="24"/>
          <w:szCs w:val="24"/>
        </w:rPr>
      </w:pPr>
      <w:proofErr w:type="spellStart"/>
      <w:r w:rsidRPr="00291D84">
        <w:rPr>
          <w:rFonts w:ascii="Times New Roman" w:hAnsi="Times New Roman" w:cs="Times New Roman" w:hint="eastAsia"/>
          <w:sz w:val="24"/>
          <w:szCs w:val="24"/>
        </w:rPr>
        <w:t>Kheder</w:t>
      </w:r>
      <w:proofErr w:type="spellEnd"/>
      <w:r w:rsidRPr="00291D84">
        <w:rPr>
          <w:rFonts w:ascii="Times New Roman" w:hAnsi="Times New Roman" w:cs="Times New Roman" w:hint="eastAsia"/>
          <w:sz w:val="24"/>
          <w:szCs w:val="24"/>
        </w:rPr>
        <w:t>, S. and Kaan, E. (</w:t>
      </w:r>
      <w:proofErr w:type="gramStart"/>
      <w:r w:rsidRPr="00291D84">
        <w:rPr>
          <w:rFonts w:ascii="Times New Roman" w:hAnsi="Times New Roman" w:cs="Times New Roman" w:hint="eastAsia"/>
          <w:sz w:val="24"/>
          <w:szCs w:val="24"/>
        </w:rPr>
        <w:t xml:space="preserve">2021) </w:t>
      </w:r>
      <w:r>
        <w:rPr>
          <w:rFonts w:ascii="Times New Roman" w:hAnsi="Times New Roman" w:cs="Times New Roman"/>
          <w:sz w:val="24"/>
          <w:szCs w:val="24"/>
        </w:rPr>
        <w:t>‘</w:t>
      </w:r>
      <w:proofErr w:type="gramEnd"/>
      <w:r w:rsidRPr="00291D84">
        <w:rPr>
          <w:rFonts w:ascii="Times New Roman" w:hAnsi="Times New Roman" w:cs="Times New Roman" w:hint="eastAsia"/>
          <w:sz w:val="24"/>
          <w:szCs w:val="24"/>
        </w:rPr>
        <w:t xml:space="preserve">Cognitive </w:t>
      </w:r>
      <w:r>
        <w:rPr>
          <w:rFonts w:ascii="Times New Roman" w:hAnsi="Times New Roman" w:cs="Times New Roman" w:hint="eastAsia"/>
          <w:sz w:val="24"/>
          <w:szCs w:val="24"/>
        </w:rPr>
        <w:t>C</w:t>
      </w:r>
      <w:r w:rsidRPr="00291D84">
        <w:rPr>
          <w:rFonts w:ascii="Times New Roman" w:hAnsi="Times New Roman" w:cs="Times New Roman" w:hint="eastAsia"/>
          <w:sz w:val="24"/>
          <w:szCs w:val="24"/>
        </w:rPr>
        <w:t xml:space="preserve">ontrol in bilinguals: Proficiency and </w:t>
      </w:r>
      <w:r>
        <w:rPr>
          <w:rFonts w:ascii="Times New Roman" w:hAnsi="Times New Roman" w:cs="Times New Roman" w:hint="eastAsia"/>
          <w:sz w:val="24"/>
          <w:szCs w:val="24"/>
        </w:rPr>
        <w:t>C</w:t>
      </w:r>
      <w:r w:rsidRPr="00291D84">
        <w:rPr>
          <w:rFonts w:ascii="Times New Roman" w:hAnsi="Times New Roman" w:cs="Times New Roman" w:hint="eastAsia"/>
          <w:sz w:val="24"/>
          <w:szCs w:val="24"/>
        </w:rPr>
        <w:t xml:space="preserve">ode-switching </w:t>
      </w:r>
      <w:r>
        <w:rPr>
          <w:rFonts w:ascii="Times New Roman" w:hAnsi="Times New Roman" w:cs="Times New Roman" w:hint="eastAsia"/>
          <w:sz w:val="24"/>
          <w:szCs w:val="24"/>
        </w:rPr>
        <w:t>B</w:t>
      </w:r>
      <w:r w:rsidRPr="00291D84">
        <w:rPr>
          <w:rFonts w:ascii="Times New Roman" w:hAnsi="Times New Roman" w:cs="Times New Roman" w:hint="eastAsia"/>
          <w:sz w:val="24"/>
          <w:szCs w:val="24"/>
        </w:rPr>
        <w:t xml:space="preserve">oth </w:t>
      </w:r>
      <w:r>
        <w:rPr>
          <w:rFonts w:ascii="Times New Roman" w:hAnsi="Times New Roman" w:cs="Times New Roman" w:hint="eastAsia"/>
          <w:sz w:val="24"/>
          <w:szCs w:val="24"/>
        </w:rPr>
        <w:t>M</w:t>
      </w:r>
      <w:r w:rsidRPr="00291D84">
        <w:rPr>
          <w:rFonts w:ascii="Times New Roman" w:hAnsi="Times New Roman" w:cs="Times New Roman" w:hint="eastAsia"/>
          <w:sz w:val="24"/>
          <w:szCs w:val="24"/>
        </w:rPr>
        <w:t>atter</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DA2590">
        <w:rPr>
          <w:rFonts w:ascii="Times New Roman" w:hAnsi="Times New Roman" w:cs="Times New Roman" w:hint="eastAsia"/>
          <w:i/>
          <w:iCs/>
          <w:sz w:val="24"/>
          <w:szCs w:val="24"/>
        </w:rPr>
        <w:t>Cognition</w:t>
      </w:r>
      <w:r w:rsidRPr="00291D84">
        <w:rPr>
          <w:rFonts w:ascii="Times New Roman" w:hAnsi="Times New Roman" w:cs="Times New Roman" w:hint="eastAsia"/>
          <w:sz w:val="24"/>
          <w:szCs w:val="24"/>
        </w:rPr>
        <w:t xml:space="preserve">, 209, </w:t>
      </w:r>
      <w:r>
        <w:rPr>
          <w:rFonts w:ascii="Times New Roman" w:hAnsi="Times New Roman" w:cs="Times New Roman" w:hint="eastAsia"/>
          <w:sz w:val="24"/>
          <w:szCs w:val="24"/>
        </w:rPr>
        <w:t>pp. 1-13</w:t>
      </w:r>
      <w:r w:rsidRPr="00291D84">
        <w:rPr>
          <w:rFonts w:ascii="Times New Roman" w:hAnsi="Times New Roman" w:cs="Times New Roman" w:hint="eastAsia"/>
          <w:sz w:val="24"/>
          <w:szCs w:val="24"/>
        </w:rPr>
        <w:t xml:space="preserve">. </w:t>
      </w:r>
      <w:r>
        <w:rPr>
          <w:rFonts w:ascii="Times New Roman" w:hAnsi="Times New Roman" w:cs="Times New Roman" w:hint="eastAsia"/>
          <w:sz w:val="24"/>
          <w:szCs w:val="24"/>
        </w:rPr>
        <w:t>DOI</w:t>
      </w:r>
      <w:r w:rsidRPr="00291D84">
        <w:rPr>
          <w:rFonts w:ascii="Times New Roman" w:hAnsi="Times New Roman" w:cs="Times New Roman" w:hint="eastAsia"/>
          <w:sz w:val="24"/>
          <w:szCs w:val="24"/>
        </w:rPr>
        <w:t>:</w:t>
      </w:r>
      <w:r>
        <w:rPr>
          <w:rFonts w:ascii="Times New Roman" w:hAnsi="Times New Roman" w:cs="Times New Roman" w:hint="eastAsia"/>
          <w:sz w:val="24"/>
          <w:szCs w:val="24"/>
        </w:rPr>
        <w:t xml:space="preserve"> </w:t>
      </w:r>
      <w:r w:rsidRPr="00291D84">
        <w:rPr>
          <w:rFonts w:ascii="Times New Roman" w:hAnsi="Times New Roman" w:cs="Times New Roman" w:hint="eastAsia"/>
          <w:sz w:val="24"/>
          <w:szCs w:val="24"/>
        </w:rPr>
        <w:t>https://doi.org/10.1016/j.cognition.2020.104575.</w:t>
      </w:r>
    </w:p>
    <w:p w14:paraId="05227B59" w14:textId="77777777" w:rsidR="0061700B" w:rsidRDefault="0061700B" w:rsidP="0061700B">
      <w:pPr>
        <w:spacing w:line="360" w:lineRule="auto"/>
        <w:ind w:left="240" w:hangingChars="100" w:hanging="240"/>
        <w:rPr>
          <w:rFonts w:ascii="Times New Roman" w:hAnsi="Times New Roman" w:cs="Times New Roman"/>
          <w:sz w:val="24"/>
          <w:szCs w:val="24"/>
        </w:rPr>
      </w:pPr>
      <w:r w:rsidRPr="00C7206C">
        <w:rPr>
          <w:rFonts w:ascii="Times New Roman" w:hAnsi="Times New Roman" w:cs="Times New Roman"/>
          <w:sz w:val="24"/>
          <w:szCs w:val="24"/>
        </w:rPr>
        <w:t xml:space="preserve">Krashen, S. (1982) </w:t>
      </w:r>
      <w:r w:rsidRPr="00C7206C">
        <w:rPr>
          <w:rFonts w:ascii="Times New Roman" w:hAnsi="Times New Roman" w:cs="Times New Roman"/>
          <w:i/>
          <w:iCs/>
          <w:sz w:val="24"/>
          <w:szCs w:val="24"/>
        </w:rPr>
        <w:t>Principles and Practice in Second Language Acquisition</w:t>
      </w:r>
      <w:r w:rsidRPr="00C7206C">
        <w:rPr>
          <w:rFonts w:ascii="Times New Roman" w:hAnsi="Times New Roman" w:cs="Times New Roman"/>
          <w:sz w:val="24"/>
          <w:szCs w:val="24"/>
        </w:rPr>
        <w:t>. New York: Prentice Hall.</w:t>
      </w:r>
    </w:p>
    <w:p w14:paraId="16E2BE5B" w14:textId="77777777" w:rsidR="0061700B" w:rsidRDefault="0061700B" w:rsidP="0061700B">
      <w:pPr>
        <w:spacing w:line="360" w:lineRule="auto"/>
        <w:ind w:left="240" w:hangingChars="100" w:hanging="240"/>
        <w:rPr>
          <w:rFonts w:ascii="Times New Roman" w:hAnsi="Times New Roman" w:cs="Times New Roman" w:hint="eastAsia"/>
          <w:sz w:val="24"/>
          <w:szCs w:val="24"/>
        </w:rPr>
      </w:pPr>
      <w:r w:rsidRPr="007B4FE8">
        <w:rPr>
          <w:rFonts w:ascii="Times New Roman" w:hAnsi="Times New Roman" w:cs="Times New Roman"/>
          <w:sz w:val="24"/>
          <w:szCs w:val="24"/>
        </w:rPr>
        <w:t>Lee, J.H. (2012)</w:t>
      </w:r>
      <w:r w:rsidRPr="00AD2706">
        <w:rPr>
          <w:rFonts w:ascii="Times New Roman" w:hAnsi="Times New Roman" w:cs="Times New Roman"/>
          <w:sz w:val="24"/>
          <w:szCs w:val="24"/>
        </w:rPr>
        <w:t> </w:t>
      </w:r>
      <w:r w:rsidRPr="000F71AB">
        <w:rPr>
          <w:rFonts w:ascii="Times New Roman" w:hAnsi="Times New Roman" w:cs="Times New Roman"/>
          <w:sz w:val="24"/>
          <w:szCs w:val="24"/>
        </w:rPr>
        <w:t>‘Implications for language diversity in instruction in the context of target language classrooms: Development of a preliminary model of the effectiveness of teacher code-switching’</w:t>
      </w:r>
      <w:r w:rsidRPr="000F71AB">
        <w:rPr>
          <w:rFonts w:ascii="Times New Roman" w:hAnsi="Times New Roman" w:cs="Times New Roman" w:hint="eastAsia"/>
          <w:sz w:val="24"/>
          <w:szCs w:val="24"/>
        </w:rPr>
        <w:t>,</w:t>
      </w:r>
      <w:r w:rsidRPr="000F71AB">
        <w:rPr>
          <w:rFonts w:ascii="Times New Roman" w:hAnsi="Times New Roman" w:cs="Times New Roman"/>
          <w:sz w:val="24"/>
          <w:szCs w:val="24"/>
        </w:rPr>
        <w:t xml:space="preserve"> </w:t>
      </w:r>
      <w:r w:rsidRPr="000F71AB">
        <w:rPr>
          <w:rFonts w:ascii="Times New Roman" w:hAnsi="Times New Roman" w:cs="Times New Roman"/>
          <w:i/>
          <w:iCs/>
          <w:sz w:val="24"/>
          <w:szCs w:val="24"/>
        </w:rPr>
        <w:t>English Teaching: Practice and Critique</w:t>
      </w:r>
      <w:r w:rsidRPr="007B4FE8">
        <w:rPr>
          <w:rFonts w:ascii="Times New Roman" w:hAnsi="Times New Roman" w:cs="Times New Roman"/>
          <w:sz w:val="24"/>
          <w:szCs w:val="24"/>
        </w:rPr>
        <w:t xml:space="preserve">, 11(4), </w:t>
      </w:r>
      <w:r>
        <w:rPr>
          <w:rFonts w:ascii="Times New Roman" w:hAnsi="Times New Roman" w:cs="Times New Roman" w:hint="eastAsia"/>
          <w:sz w:val="24"/>
          <w:szCs w:val="24"/>
        </w:rPr>
        <w:t xml:space="preserve">PP. </w:t>
      </w:r>
      <w:r w:rsidRPr="007B4FE8">
        <w:rPr>
          <w:rFonts w:ascii="Times New Roman" w:hAnsi="Times New Roman" w:cs="Times New Roman"/>
          <w:sz w:val="24"/>
          <w:szCs w:val="24"/>
        </w:rPr>
        <w:t>137</w:t>
      </w:r>
      <w:r>
        <w:rPr>
          <w:rFonts w:ascii="Times New Roman" w:hAnsi="Times New Roman" w:cs="Times New Roman" w:hint="eastAsia"/>
          <w:sz w:val="24"/>
          <w:szCs w:val="24"/>
        </w:rPr>
        <w:t>-</w:t>
      </w:r>
      <w:r w:rsidRPr="007B4FE8">
        <w:rPr>
          <w:rFonts w:ascii="Times New Roman" w:hAnsi="Times New Roman" w:cs="Times New Roman"/>
          <w:sz w:val="24"/>
          <w:szCs w:val="24"/>
        </w:rPr>
        <w:t>160.</w:t>
      </w:r>
      <w:r>
        <w:rPr>
          <w:rFonts w:ascii="Times New Roman" w:hAnsi="Times New Roman" w:cs="Times New Roman" w:hint="eastAsia"/>
          <w:sz w:val="24"/>
          <w:szCs w:val="24"/>
        </w:rPr>
        <w:t xml:space="preserve"> DOI: </w:t>
      </w:r>
      <w:r w:rsidRPr="00CC70AF">
        <w:rPr>
          <w:rFonts w:ascii="Times New Roman" w:hAnsi="Times New Roman" w:cs="Times New Roman"/>
          <w:sz w:val="24"/>
          <w:szCs w:val="24"/>
        </w:rPr>
        <w:t>http://education.waikato.ac.nz/research/files/etpc/files/2012v11n4art9.pdf</w:t>
      </w:r>
      <w:r>
        <w:rPr>
          <w:rFonts w:ascii="Times New Roman" w:hAnsi="Times New Roman" w:cs="Times New Roman" w:hint="eastAsia"/>
          <w:sz w:val="24"/>
          <w:szCs w:val="24"/>
        </w:rPr>
        <w:t>.</w:t>
      </w:r>
    </w:p>
    <w:p w14:paraId="13AD654E" w14:textId="77777777" w:rsidR="0061700B" w:rsidRDefault="0061700B" w:rsidP="0061700B">
      <w:pPr>
        <w:spacing w:line="360" w:lineRule="auto"/>
        <w:ind w:left="240" w:hangingChars="100" w:hanging="240"/>
        <w:rPr>
          <w:rFonts w:ascii="Times New Roman" w:hAnsi="Times New Roman" w:cs="Times New Roman"/>
          <w:sz w:val="24"/>
          <w:szCs w:val="24"/>
        </w:rPr>
      </w:pPr>
      <w:r w:rsidRPr="00FD1495">
        <w:rPr>
          <w:rFonts w:ascii="Times New Roman" w:hAnsi="Times New Roman" w:cs="Times New Roman" w:hint="eastAsia"/>
          <w:sz w:val="24"/>
          <w:szCs w:val="24"/>
        </w:rPr>
        <w:t>Lin, Angel M.Y. and Li, David C.S. (</w:t>
      </w:r>
      <w:proofErr w:type="gramStart"/>
      <w:r w:rsidRPr="00FD1495">
        <w:rPr>
          <w:rFonts w:ascii="Times New Roman" w:hAnsi="Times New Roman" w:cs="Times New Roman" w:hint="eastAsia"/>
          <w:sz w:val="24"/>
          <w:szCs w:val="24"/>
        </w:rPr>
        <w:t xml:space="preserve">2012) </w:t>
      </w:r>
      <w:r>
        <w:rPr>
          <w:rFonts w:ascii="Times New Roman" w:hAnsi="Times New Roman" w:cs="Times New Roman"/>
          <w:sz w:val="24"/>
          <w:szCs w:val="24"/>
        </w:rPr>
        <w:t>‘</w:t>
      </w:r>
      <w:proofErr w:type="gramEnd"/>
      <w:r w:rsidRPr="004506B9">
        <w:rPr>
          <w:rFonts w:ascii="Times New Roman" w:hAnsi="Times New Roman" w:cs="Times New Roman"/>
          <w:sz w:val="24"/>
          <w:szCs w:val="24"/>
        </w:rPr>
        <w:t>Codeswitching</w:t>
      </w:r>
      <w:r>
        <w:rPr>
          <w:rFonts w:ascii="Times New Roman" w:hAnsi="Times New Roman" w:cs="Times New Roman"/>
          <w:sz w:val="24"/>
          <w:szCs w:val="24"/>
        </w:rPr>
        <w:t>’</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Pr>
          <w:rFonts w:ascii="Times New Roman" w:hAnsi="Times New Roman" w:cs="Times New Roman" w:hint="eastAsia"/>
          <w:sz w:val="24"/>
          <w:szCs w:val="24"/>
        </w:rPr>
        <w:t>i</w:t>
      </w:r>
      <w:r w:rsidRPr="004506B9">
        <w:rPr>
          <w:rFonts w:ascii="Times New Roman" w:hAnsi="Times New Roman" w:cs="Times New Roman"/>
          <w:sz w:val="24"/>
          <w:szCs w:val="24"/>
        </w:rPr>
        <w:t>n Martin-Jones,</w:t>
      </w:r>
      <w:r w:rsidRPr="00D77606">
        <w:rPr>
          <w:rFonts w:ascii="Times New Roman" w:hAnsi="Times New Roman" w:cs="Times New Roman"/>
          <w:sz w:val="24"/>
          <w:szCs w:val="24"/>
        </w:rPr>
        <w:t xml:space="preserve"> </w:t>
      </w:r>
      <w:r w:rsidRPr="004506B9">
        <w:rPr>
          <w:rFonts w:ascii="Times New Roman" w:hAnsi="Times New Roman" w:cs="Times New Roman"/>
          <w:sz w:val="24"/>
          <w:szCs w:val="24"/>
        </w:rPr>
        <w:t>M.</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sidRPr="00D77606">
        <w:rPr>
          <w:rFonts w:ascii="Times New Roman" w:hAnsi="Times New Roman" w:cs="Times New Roman" w:hint="eastAsia"/>
          <w:sz w:val="24"/>
          <w:szCs w:val="24"/>
        </w:rPr>
        <w:t xml:space="preserve">Blackledge, A. </w:t>
      </w:r>
      <w:r>
        <w:rPr>
          <w:rFonts w:ascii="Times New Roman" w:hAnsi="Times New Roman" w:cs="Times New Roman" w:hint="eastAsia"/>
          <w:sz w:val="24"/>
          <w:szCs w:val="24"/>
        </w:rPr>
        <w:t>and</w:t>
      </w:r>
      <w:r w:rsidRPr="00D77606">
        <w:rPr>
          <w:rFonts w:ascii="Times New Roman" w:hAnsi="Times New Roman" w:cs="Times New Roman" w:hint="eastAsia"/>
          <w:sz w:val="24"/>
          <w:szCs w:val="24"/>
        </w:rPr>
        <w:t xml:space="preserve"> Creese, A. (Eds.)</w:t>
      </w:r>
      <w:r w:rsidRPr="00FD1495">
        <w:rPr>
          <w:rFonts w:ascii="Times New Roman" w:hAnsi="Times New Roman" w:cs="Times New Roman" w:hint="eastAsia"/>
          <w:sz w:val="24"/>
          <w:szCs w:val="24"/>
        </w:rPr>
        <w:t xml:space="preserve">, </w:t>
      </w:r>
      <w:r w:rsidRPr="004506B9">
        <w:rPr>
          <w:rFonts w:ascii="Times New Roman" w:hAnsi="Times New Roman" w:cs="Times New Roman"/>
          <w:i/>
          <w:iCs/>
          <w:sz w:val="24"/>
          <w:szCs w:val="24"/>
        </w:rPr>
        <w:t>The Routledge Handbook of Multilingualism</w:t>
      </w:r>
      <w:r w:rsidRPr="007D49A4">
        <w:rPr>
          <w:rFonts w:ascii="Times New Roman" w:hAnsi="Times New Roman" w:cs="Times New Roman" w:hint="eastAsia"/>
          <w:sz w:val="24"/>
          <w:szCs w:val="24"/>
        </w:rPr>
        <w:t>.</w:t>
      </w:r>
      <w:r w:rsidRPr="007D49A4">
        <w:rPr>
          <w:rFonts w:ascii="Times New Roman" w:hAnsi="Times New Roman" w:cs="Times New Roman"/>
          <w:sz w:val="24"/>
          <w:szCs w:val="24"/>
        </w:rPr>
        <w:t xml:space="preserve"> </w:t>
      </w:r>
      <w:r w:rsidRPr="004506B9">
        <w:rPr>
          <w:rFonts w:ascii="Times New Roman" w:hAnsi="Times New Roman" w:cs="Times New Roman"/>
          <w:sz w:val="24"/>
          <w:szCs w:val="24"/>
        </w:rPr>
        <w:t>London: Routledge, pp. 470–481.</w:t>
      </w:r>
    </w:p>
    <w:p w14:paraId="7E14164F" w14:textId="77777777" w:rsidR="0061700B" w:rsidRDefault="0061700B" w:rsidP="0061700B">
      <w:pPr>
        <w:spacing w:line="360" w:lineRule="auto"/>
        <w:ind w:left="240" w:hangingChars="100" w:hanging="240"/>
        <w:rPr>
          <w:rFonts w:ascii="Times New Roman" w:hAnsi="Times New Roman" w:cs="Times New Roman"/>
          <w:sz w:val="24"/>
          <w:szCs w:val="24"/>
        </w:rPr>
      </w:pPr>
      <w:r w:rsidRPr="00B75CB4">
        <w:rPr>
          <w:rFonts w:ascii="Times New Roman" w:hAnsi="Times New Roman" w:cs="Times New Roman"/>
          <w:sz w:val="24"/>
          <w:szCs w:val="24"/>
        </w:rPr>
        <w:t>Macaro, E. (2009) ‘Teacher Use of Code-Switching in the Second Language Classroom: Exploring “Optimal” Use’</w:t>
      </w:r>
      <w:r w:rsidRPr="00B75CB4">
        <w:rPr>
          <w:rFonts w:ascii="Times New Roman" w:hAnsi="Times New Roman" w:cs="Times New Roman" w:hint="eastAsia"/>
          <w:sz w:val="24"/>
          <w:szCs w:val="24"/>
        </w:rPr>
        <w:t>,</w:t>
      </w:r>
      <w:r w:rsidRPr="00B75CB4">
        <w:rPr>
          <w:rFonts w:ascii="Times New Roman" w:hAnsi="Times New Roman" w:cs="Times New Roman"/>
          <w:sz w:val="24"/>
          <w:szCs w:val="24"/>
        </w:rPr>
        <w:t xml:space="preserve"> </w:t>
      </w:r>
      <w:r w:rsidRPr="00B75CB4">
        <w:rPr>
          <w:rFonts w:ascii="Times New Roman" w:hAnsi="Times New Roman" w:cs="Times New Roman" w:hint="eastAsia"/>
          <w:sz w:val="24"/>
          <w:szCs w:val="24"/>
        </w:rPr>
        <w:t>i</w:t>
      </w:r>
      <w:r w:rsidRPr="00B75CB4">
        <w:rPr>
          <w:rFonts w:ascii="Times New Roman" w:hAnsi="Times New Roman" w:cs="Times New Roman"/>
          <w:sz w:val="24"/>
          <w:szCs w:val="24"/>
        </w:rPr>
        <w:t xml:space="preserve">n </w:t>
      </w:r>
      <w:r w:rsidRPr="006076D2">
        <w:rPr>
          <w:rFonts w:ascii="Times New Roman" w:hAnsi="Times New Roman" w:cs="Times New Roman" w:hint="eastAsia"/>
          <w:sz w:val="24"/>
          <w:szCs w:val="24"/>
        </w:rPr>
        <w:t>Turnbull, M. and Dailey-O</w:t>
      </w:r>
      <w:r>
        <w:rPr>
          <w:rFonts w:ascii="Times New Roman" w:hAnsi="Times New Roman" w:cs="Times New Roman"/>
          <w:sz w:val="24"/>
          <w:szCs w:val="24"/>
        </w:rPr>
        <w:t>’</w:t>
      </w:r>
      <w:r w:rsidRPr="006076D2">
        <w:rPr>
          <w:rFonts w:ascii="Times New Roman" w:hAnsi="Times New Roman" w:cs="Times New Roman" w:hint="eastAsia"/>
          <w:sz w:val="24"/>
          <w:szCs w:val="24"/>
        </w:rPr>
        <w:t>Cain, J.</w:t>
      </w:r>
      <w:r>
        <w:rPr>
          <w:rFonts w:ascii="Times New Roman" w:hAnsi="Times New Roman" w:cs="Times New Roman" w:hint="eastAsia"/>
          <w:sz w:val="24"/>
          <w:szCs w:val="24"/>
        </w:rPr>
        <w:t xml:space="preserve"> </w:t>
      </w:r>
      <w:r w:rsidRPr="00B75CB4">
        <w:rPr>
          <w:rFonts w:ascii="Times New Roman" w:hAnsi="Times New Roman" w:cs="Times New Roman" w:hint="eastAsia"/>
          <w:sz w:val="24"/>
          <w:szCs w:val="24"/>
        </w:rPr>
        <w:t>(</w:t>
      </w:r>
      <w:r w:rsidRPr="004506B9">
        <w:rPr>
          <w:rFonts w:ascii="Times New Roman" w:hAnsi="Times New Roman" w:cs="Times New Roman"/>
          <w:sz w:val="24"/>
          <w:szCs w:val="24"/>
        </w:rPr>
        <w:t>eds.</w:t>
      </w:r>
      <w:r w:rsidRPr="00B75CB4">
        <w:rPr>
          <w:rFonts w:ascii="Times New Roman" w:hAnsi="Times New Roman" w:cs="Times New Roman" w:hint="eastAsia"/>
          <w:sz w:val="24"/>
          <w:szCs w:val="24"/>
        </w:rPr>
        <w:t xml:space="preserve">), </w:t>
      </w:r>
      <w:r w:rsidRPr="004506B9">
        <w:rPr>
          <w:rFonts w:ascii="Times New Roman" w:hAnsi="Times New Roman" w:cs="Times New Roman"/>
          <w:i/>
          <w:iCs/>
          <w:sz w:val="24"/>
          <w:szCs w:val="24"/>
        </w:rPr>
        <w:t>First Language Use in Second and Foreign Language Learning</w:t>
      </w:r>
      <w:r w:rsidRPr="004506B9">
        <w:rPr>
          <w:rFonts w:ascii="Times New Roman" w:hAnsi="Times New Roman" w:cs="Times New Roman"/>
          <w:sz w:val="24"/>
          <w:szCs w:val="24"/>
        </w:rPr>
        <w:t>. Bristol: Multilingual Matters, pp. 35</w:t>
      </w:r>
      <w:r w:rsidRPr="00B75CB4">
        <w:rPr>
          <w:rFonts w:ascii="Times New Roman" w:hAnsi="Times New Roman" w:cs="Times New Roman" w:hint="eastAsia"/>
          <w:sz w:val="24"/>
          <w:szCs w:val="24"/>
        </w:rPr>
        <w:t>-</w:t>
      </w:r>
      <w:r w:rsidRPr="004506B9">
        <w:rPr>
          <w:rFonts w:ascii="Times New Roman" w:hAnsi="Times New Roman" w:cs="Times New Roman"/>
          <w:sz w:val="24"/>
          <w:szCs w:val="24"/>
        </w:rPr>
        <w:t>49.</w:t>
      </w:r>
    </w:p>
    <w:p w14:paraId="63A8BEA5" w14:textId="77777777" w:rsidR="0061700B" w:rsidRPr="004506B9" w:rsidRDefault="0061700B" w:rsidP="0061700B">
      <w:pPr>
        <w:spacing w:line="360" w:lineRule="auto"/>
        <w:ind w:left="240" w:hangingChars="100" w:hanging="240"/>
        <w:rPr>
          <w:rFonts w:ascii="Times New Roman" w:hAnsi="Times New Roman" w:cs="Times New Roman"/>
          <w:sz w:val="24"/>
          <w:szCs w:val="24"/>
        </w:rPr>
      </w:pPr>
      <w:proofErr w:type="spellStart"/>
      <w:r w:rsidRPr="004506B9">
        <w:rPr>
          <w:rFonts w:ascii="Times New Roman" w:hAnsi="Times New Roman" w:cs="Times New Roman"/>
          <w:sz w:val="24"/>
          <w:szCs w:val="24"/>
        </w:rPr>
        <w:t>Napitupulu</w:t>
      </w:r>
      <w:proofErr w:type="spellEnd"/>
      <w:r w:rsidRPr="004506B9">
        <w:rPr>
          <w:rFonts w:ascii="Times New Roman" w:hAnsi="Times New Roman" w:cs="Times New Roman"/>
          <w:sz w:val="24"/>
          <w:szCs w:val="24"/>
        </w:rPr>
        <w:t xml:space="preserve">, S. </w:t>
      </w:r>
      <w:r>
        <w:rPr>
          <w:rFonts w:ascii="Times New Roman" w:hAnsi="Times New Roman" w:cs="Times New Roman" w:hint="eastAsia"/>
          <w:sz w:val="24"/>
          <w:szCs w:val="24"/>
        </w:rPr>
        <w:t>(</w:t>
      </w:r>
      <w:r w:rsidRPr="004506B9">
        <w:rPr>
          <w:rFonts w:ascii="Times New Roman" w:hAnsi="Times New Roman" w:cs="Times New Roman"/>
          <w:sz w:val="24"/>
          <w:szCs w:val="24"/>
        </w:rPr>
        <w:t>2025</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Pr>
          <w:rFonts w:ascii="Times New Roman" w:hAnsi="Times New Roman" w:cs="Times New Roman"/>
          <w:sz w:val="24"/>
          <w:szCs w:val="24"/>
        </w:rPr>
        <w:t>‘</w:t>
      </w:r>
      <w:r w:rsidRPr="004506B9">
        <w:rPr>
          <w:rFonts w:ascii="Times New Roman" w:hAnsi="Times New Roman" w:cs="Times New Roman"/>
          <w:sz w:val="24"/>
          <w:szCs w:val="24"/>
        </w:rPr>
        <w:t xml:space="preserve">Exploring </w:t>
      </w:r>
      <w:r>
        <w:rPr>
          <w:rFonts w:ascii="Times New Roman" w:hAnsi="Times New Roman" w:cs="Times New Roman" w:hint="eastAsia"/>
          <w:sz w:val="24"/>
          <w:szCs w:val="24"/>
        </w:rPr>
        <w:t>t</w:t>
      </w:r>
      <w:r w:rsidRPr="004506B9">
        <w:rPr>
          <w:rFonts w:ascii="Times New Roman" w:hAnsi="Times New Roman" w:cs="Times New Roman"/>
          <w:sz w:val="24"/>
          <w:szCs w:val="24"/>
        </w:rPr>
        <w:t xml:space="preserve">he Role </w:t>
      </w:r>
      <w:r>
        <w:rPr>
          <w:rFonts w:ascii="Times New Roman" w:hAnsi="Times New Roman" w:cs="Times New Roman" w:hint="eastAsia"/>
          <w:sz w:val="24"/>
          <w:szCs w:val="24"/>
        </w:rPr>
        <w:t>o</w:t>
      </w:r>
      <w:r w:rsidRPr="004506B9">
        <w:rPr>
          <w:rFonts w:ascii="Times New Roman" w:hAnsi="Times New Roman" w:cs="Times New Roman"/>
          <w:sz w:val="24"/>
          <w:szCs w:val="24"/>
        </w:rPr>
        <w:t xml:space="preserve">f Teacher Perceptions on Code-Switching </w:t>
      </w:r>
      <w:r>
        <w:rPr>
          <w:rFonts w:ascii="Times New Roman" w:hAnsi="Times New Roman" w:cs="Times New Roman" w:hint="eastAsia"/>
          <w:sz w:val="24"/>
          <w:szCs w:val="24"/>
        </w:rPr>
        <w:t>a</w:t>
      </w:r>
      <w:r w:rsidRPr="004506B9">
        <w:rPr>
          <w:rFonts w:ascii="Times New Roman" w:hAnsi="Times New Roman" w:cs="Times New Roman"/>
          <w:sz w:val="24"/>
          <w:szCs w:val="24"/>
        </w:rPr>
        <w:t xml:space="preserve">nd Student Engagement </w:t>
      </w:r>
      <w:r>
        <w:rPr>
          <w:rFonts w:ascii="Times New Roman" w:hAnsi="Times New Roman" w:cs="Times New Roman" w:hint="eastAsia"/>
          <w:sz w:val="24"/>
          <w:szCs w:val="24"/>
        </w:rPr>
        <w:t>i</w:t>
      </w:r>
      <w:r w:rsidRPr="004506B9">
        <w:rPr>
          <w:rFonts w:ascii="Times New Roman" w:hAnsi="Times New Roman" w:cs="Times New Roman"/>
          <w:sz w:val="24"/>
          <w:szCs w:val="24"/>
        </w:rPr>
        <w:t xml:space="preserve">n Bilingual English Classrooms: A Case Study </w:t>
      </w:r>
      <w:r>
        <w:rPr>
          <w:rFonts w:ascii="Times New Roman" w:hAnsi="Times New Roman" w:cs="Times New Roman" w:hint="eastAsia"/>
          <w:sz w:val="24"/>
          <w:szCs w:val="24"/>
        </w:rPr>
        <w:t>o</w:t>
      </w:r>
      <w:r w:rsidRPr="004506B9">
        <w:rPr>
          <w:rFonts w:ascii="Times New Roman" w:hAnsi="Times New Roman" w:cs="Times New Roman"/>
          <w:sz w:val="24"/>
          <w:szCs w:val="24"/>
        </w:rPr>
        <w:t>f Elementary School</w:t>
      </w:r>
      <w:r>
        <w:rPr>
          <w:rFonts w:ascii="Times New Roman" w:hAnsi="Times New Roman" w:cs="Times New Roman"/>
          <w:sz w:val="24"/>
          <w:szCs w:val="24"/>
        </w:rPr>
        <w:t>’</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sidRPr="00B10DB3">
        <w:rPr>
          <w:rFonts w:ascii="Times New Roman" w:hAnsi="Times New Roman" w:cs="Times New Roman" w:hint="eastAsia"/>
          <w:i/>
          <w:iCs/>
          <w:sz w:val="24"/>
          <w:szCs w:val="24"/>
        </w:rPr>
        <w:t>Taiwan Educational Review Monthly</w:t>
      </w:r>
      <w:r w:rsidRPr="004506B9">
        <w:rPr>
          <w:rFonts w:ascii="Times New Roman" w:hAnsi="Times New Roman" w:cs="Times New Roman"/>
          <w:sz w:val="24"/>
          <w:szCs w:val="24"/>
        </w:rPr>
        <w:t>, 14(2), pp.140</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147. Available at: </w:t>
      </w:r>
      <w:hyperlink r:id="rId10" w:tgtFrame="_new" w:history="1">
        <w:r w:rsidRPr="004506B9">
          <w:rPr>
            <w:rStyle w:val="af2"/>
            <w:rFonts w:ascii="Times New Roman" w:hAnsi="Times New Roman" w:cs="Times New Roman"/>
            <w:sz w:val="24"/>
            <w:szCs w:val="24"/>
          </w:rPr>
          <w:t>http://www.ater.org.tw/journal/article/14-2/free/16.pdf</w:t>
        </w:r>
      </w:hyperlink>
      <w:r w:rsidRPr="004506B9">
        <w:rPr>
          <w:rFonts w:ascii="Times New Roman" w:hAnsi="Times New Roman" w:cs="Times New Roman"/>
          <w:sz w:val="24"/>
          <w:szCs w:val="24"/>
        </w:rPr>
        <w:t xml:space="preserve"> [Accessed</w:t>
      </w:r>
      <w:r>
        <w:rPr>
          <w:rFonts w:ascii="Times New Roman" w:hAnsi="Times New Roman" w:cs="Times New Roman" w:hint="eastAsia"/>
          <w:sz w:val="24"/>
          <w:szCs w:val="24"/>
        </w:rPr>
        <w:t>:</w:t>
      </w:r>
      <w:r w:rsidRPr="004506B9">
        <w:rPr>
          <w:rFonts w:ascii="Times New Roman" w:hAnsi="Times New Roman" w:cs="Times New Roman"/>
          <w:sz w:val="24"/>
          <w:szCs w:val="24"/>
        </w:rPr>
        <w:t xml:space="preserve"> </w:t>
      </w:r>
      <w:r>
        <w:rPr>
          <w:rFonts w:ascii="Times New Roman" w:hAnsi="Times New Roman" w:cs="Times New Roman" w:hint="eastAsia"/>
          <w:sz w:val="24"/>
          <w:szCs w:val="24"/>
        </w:rPr>
        <w:t>8</w:t>
      </w:r>
      <w:r w:rsidRPr="004506B9">
        <w:rPr>
          <w:rFonts w:ascii="Times New Roman" w:hAnsi="Times New Roman" w:cs="Times New Roman"/>
          <w:sz w:val="24"/>
          <w:szCs w:val="24"/>
        </w:rPr>
        <w:t xml:space="preserve"> Apr</w:t>
      </w:r>
      <w:r>
        <w:rPr>
          <w:rFonts w:ascii="Times New Roman" w:hAnsi="Times New Roman" w:cs="Times New Roman" w:hint="eastAsia"/>
          <w:sz w:val="24"/>
          <w:szCs w:val="24"/>
        </w:rPr>
        <w:t>il</w:t>
      </w:r>
      <w:r w:rsidRPr="004506B9">
        <w:rPr>
          <w:rFonts w:ascii="Times New Roman" w:hAnsi="Times New Roman" w:cs="Times New Roman"/>
          <w:sz w:val="24"/>
          <w:szCs w:val="24"/>
        </w:rPr>
        <w:t xml:space="preserve"> 2025].</w:t>
      </w:r>
    </w:p>
    <w:p w14:paraId="5BA6BA26" w14:textId="77777777" w:rsidR="0061700B" w:rsidRDefault="0061700B" w:rsidP="0061700B">
      <w:pPr>
        <w:spacing w:line="360" w:lineRule="auto"/>
        <w:ind w:left="240" w:hangingChars="100" w:hanging="240"/>
        <w:rPr>
          <w:rFonts w:ascii="Times New Roman" w:hAnsi="Times New Roman" w:cs="Times New Roman"/>
          <w:sz w:val="24"/>
          <w:szCs w:val="24"/>
        </w:rPr>
      </w:pPr>
      <w:bookmarkStart w:id="0" w:name="_Hlk195461697"/>
      <w:r w:rsidRPr="003E76CB">
        <w:rPr>
          <w:rFonts w:ascii="Times New Roman" w:hAnsi="Times New Roman" w:cs="Times New Roman"/>
          <w:sz w:val="24"/>
          <w:szCs w:val="24"/>
        </w:rPr>
        <w:t>Olivera</w:t>
      </w:r>
      <w:bookmarkEnd w:id="0"/>
      <w:r w:rsidRPr="003E76CB">
        <w:rPr>
          <w:rFonts w:ascii="Times New Roman" w:hAnsi="Times New Roman" w:cs="Times New Roman"/>
          <w:sz w:val="24"/>
          <w:szCs w:val="24"/>
        </w:rPr>
        <w:t xml:space="preserve">, L. C. (2021) </w:t>
      </w:r>
      <w:r>
        <w:rPr>
          <w:rFonts w:ascii="Times New Roman" w:hAnsi="Times New Roman" w:cs="Times New Roman"/>
          <w:sz w:val="24"/>
          <w:szCs w:val="24"/>
        </w:rPr>
        <w:t>‘</w:t>
      </w:r>
      <w:r w:rsidRPr="003E76CB">
        <w:rPr>
          <w:rFonts w:ascii="Times New Roman" w:hAnsi="Times New Roman" w:cs="Times New Roman"/>
          <w:sz w:val="24"/>
          <w:szCs w:val="24"/>
        </w:rPr>
        <w:t>Code-Switching in English Class: A Strategy in Boosting Learners</w:t>
      </w:r>
      <w:r>
        <w:rPr>
          <w:rFonts w:ascii="Times New Roman" w:hAnsi="Times New Roman" w:cs="Times New Roman"/>
          <w:sz w:val="24"/>
          <w:szCs w:val="24"/>
        </w:rPr>
        <w:t>’</w:t>
      </w:r>
      <w:r w:rsidRPr="003E76CB">
        <w:rPr>
          <w:rFonts w:ascii="Times New Roman" w:hAnsi="Times New Roman" w:cs="Times New Roman"/>
          <w:sz w:val="24"/>
          <w:szCs w:val="24"/>
        </w:rPr>
        <w:t xml:space="preserve"> Confidence and Engagement</w:t>
      </w:r>
      <w:r>
        <w:rPr>
          <w:rFonts w:ascii="Times New Roman" w:hAnsi="Times New Roman" w:cs="Times New Roman"/>
          <w:sz w:val="24"/>
          <w:szCs w:val="24"/>
        </w:rPr>
        <w:t>’</w:t>
      </w:r>
      <w:r w:rsidRPr="003E76CB">
        <w:rPr>
          <w:rFonts w:ascii="Times New Roman" w:hAnsi="Times New Roman" w:cs="Times New Roman"/>
          <w:sz w:val="24"/>
          <w:szCs w:val="24"/>
        </w:rPr>
        <w:t>, </w:t>
      </w:r>
      <w:r w:rsidRPr="003E76CB">
        <w:rPr>
          <w:rFonts w:ascii="Times New Roman" w:hAnsi="Times New Roman" w:cs="Times New Roman"/>
          <w:i/>
          <w:iCs/>
          <w:sz w:val="24"/>
          <w:szCs w:val="24"/>
        </w:rPr>
        <w:t xml:space="preserve">International Journal of Arts, Sciences and </w:t>
      </w:r>
      <w:r w:rsidRPr="003E76CB">
        <w:rPr>
          <w:rFonts w:ascii="Times New Roman" w:hAnsi="Times New Roman" w:cs="Times New Roman"/>
          <w:i/>
          <w:iCs/>
          <w:sz w:val="24"/>
          <w:szCs w:val="24"/>
        </w:rPr>
        <w:lastRenderedPageBreak/>
        <w:t>Education</w:t>
      </w:r>
      <w:r w:rsidRPr="003E76CB">
        <w:rPr>
          <w:rFonts w:ascii="Times New Roman" w:hAnsi="Times New Roman" w:cs="Times New Roman"/>
          <w:sz w:val="24"/>
          <w:szCs w:val="24"/>
        </w:rPr>
        <w:t>, 1(1), pp. 15</w:t>
      </w:r>
      <w:r>
        <w:rPr>
          <w:rFonts w:ascii="Times New Roman" w:hAnsi="Times New Roman" w:cs="Times New Roman" w:hint="eastAsia"/>
          <w:sz w:val="24"/>
          <w:szCs w:val="24"/>
        </w:rPr>
        <w:t>-</w:t>
      </w:r>
      <w:r w:rsidRPr="003E76CB">
        <w:rPr>
          <w:rFonts w:ascii="Times New Roman" w:hAnsi="Times New Roman" w:cs="Times New Roman"/>
          <w:sz w:val="24"/>
          <w:szCs w:val="24"/>
        </w:rPr>
        <w:t xml:space="preserve">28. </w:t>
      </w:r>
      <w:r>
        <w:rPr>
          <w:rFonts w:ascii="Times New Roman" w:hAnsi="Times New Roman" w:cs="Times New Roman" w:hint="eastAsia"/>
          <w:sz w:val="24"/>
          <w:szCs w:val="24"/>
        </w:rPr>
        <w:t>DOI</w:t>
      </w:r>
      <w:r w:rsidRPr="003E76CB">
        <w:rPr>
          <w:rFonts w:ascii="Times New Roman" w:hAnsi="Times New Roman" w:cs="Times New Roman"/>
          <w:sz w:val="24"/>
          <w:szCs w:val="24"/>
        </w:rPr>
        <w:t xml:space="preserve">: </w:t>
      </w:r>
      <w:hyperlink r:id="rId11" w:history="1">
        <w:r w:rsidRPr="00B15CC9">
          <w:rPr>
            <w:rStyle w:val="af2"/>
            <w:rFonts w:ascii="Times New Roman" w:hAnsi="Times New Roman" w:cs="Times New Roman"/>
            <w:sz w:val="24"/>
            <w:szCs w:val="24"/>
          </w:rPr>
          <w:t>https://www.ijase.org/index.php/ijase/article/view/10</w:t>
        </w:r>
      </w:hyperlink>
      <w:r>
        <w:rPr>
          <w:rFonts w:ascii="Times New Roman" w:hAnsi="Times New Roman" w:cs="Times New Roman" w:hint="eastAsia"/>
          <w:sz w:val="24"/>
          <w:szCs w:val="24"/>
        </w:rPr>
        <w:t>.</w:t>
      </w:r>
    </w:p>
    <w:p w14:paraId="26402776" w14:textId="77777777" w:rsidR="0061700B" w:rsidRPr="007E2C4F" w:rsidRDefault="0061700B" w:rsidP="0061700B">
      <w:pPr>
        <w:spacing w:line="360" w:lineRule="auto"/>
        <w:ind w:left="240" w:hangingChars="100" w:hanging="240"/>
        <w:rPr>
          <w:rFonts w:ascii="Times New Roman" w:hAnsi="Times New Roman" w:cs="Times New Roman" w:hint="eastAsia"/>
          <w:sz w:val="24"/>
          <w:szCs w:val="24"/>
        </w:rPr>
      </w:pPr>
      <w:r w:rsidRPr="008D0846">
        <w:rPr>
          <w:rFonts w:ascii="Times New Roman" w:hAnsi="Times New Roman" w:cs="Times New Roman"/>
          <w:sz w:val="24"/>
          <w:szCs w:val="24"/>
        </w:rPr>
        <w:t xml:space="preserve">Shafi, S., Kazmi, S.H. </w:t>
      </w:r>
      <w:r>
        <w:rPr>
          <w:rFonts w:ascii="Times New Roman" w:hAnsi="Times New Roman" w:cs="Times New Roman" w:hint="eastAsia"/>
          <w:sz w:val="24"/>
          <w:szCs w:val="24"/>
        </w:rPr>
        <w:t>and</w:t>
      </w:r>
      <w:r w:rsidRPr="008D0846">
        <w:rPr>
          <w:rFonts w:ascii="Times New Roman" w:hAnsi="Times New Roman" w:cs="Times New Roman"/>
          <w:sz w:val="24"/>
          <w:szCs w:val="24"/>
        </w:rPr>
        <w:t xml:space="preserve"> Asif, R. (</w:t>
      </w:r>
      <w:proofErr w:type="gramStart"/>
      <w:r w:rsidRPr="008D0846">
        <w:rPr>
          <w:rFonts w:ascii="Times New Roman" w:hAnsi="Times New Roman" w:cs="Times New Roman"/>
          <w:sz w:val="24"/>
          <w:szCs w:val="24"/>
        </w:rPr>
        <w:t xml:space="preserve">2020) </w:t>
      </w:r>
      <w:r>
        <w:rPr>
          <w:rFonts w:ascii="Times New Roman" w:hAnsi="Times New Roman" w:cs="Times New Roman"/>
          <w:sz w:val="24"/>
          <w:szCs w:val="24"/>
        </w:rPr>
        <w:t>‘</w:t>
      </w:r>
      <w:proofErr w:type="gramEnd"/>
      <w:r w:rsidRPr="008D0846">
        <w:rPr>
          <w:rFonts w:ascii="Times New Roman" w:hAnsi="Times New Roman" w:cs="Times New Roman"/>
          <w:sz w:val="24"/>
          <w:szCs w:val="24"/>
        </w:rPr>
        <w:t xml:space="preserve">Benefits of </w:t>
      </w:r>
      <w:r>
        <w:rPr>
          <w:rFonts w:ascii="Times New Roman" w:hAnsi="Times New Roman" w:cs="Times New Roman" w:hint="eastAsia"/>
          <w:sz w:val="24"/>
          <w:szCs w:val="24"/>
        </w:rPr>
        <w:t>C</w:t>
      </w:r>
      <w:r w:rsidRPr="008D0846">
        <w:rPr>
          <w:rFonts w:ascii="Times New Roman" w:hAnsi="Times New Roman" w:cs="Times New Roman"/>
          <w:sz w:val="24"/>
          <w:szCs w:val="24"/>
        </w:rPr>
        <w:t xml:space="preserve">ode-switching in </w:t>
      </w:r>
      <w:r>
        <w:rPr>
          <w:rFonts w:ascii="Times New Roman" w:hAnsi="Times New Roman" w:cs="Times New Roman" w:hint="eastAsia"/>
          <w:sz w:val="24"/>
          <w:szCs w:val="24"/>
        </w:rPr>
        <w:t>L</w:t>
      </w:r>
      <w:r w:rsidRPr="008D0846">
        <w:rPr>
          <w:rFonts w:ascii="Times New Roman" w:hAnsi="Times New Roman" w:cs="Times New Roman"/>
          <w:sz w:val="24"/>
          <w:szCs w:val="24"/>
        </w:rPr>
        <w:t xml:space="preserve">anguage </w:t>
      </w:r>
      <w:r>
        <w:rPr>
          <w:rFonts w:ascii="Times New Roman" w:hAnsi="Times New Roman" w:cs="Times New Roman" w:hint="eastAsia"/>
          <w:sz w:val="24"/>
          <w:szCs w:val="24"/>
        </w:rPr>
        <w:t>L</w:t>
      </w:r>
      <w:r w:rsidRPr="008D0846">
        <w:rPr>
          <w:rFonts w:ascii="Times New Roman" w:hAnsi="Times New Roman" w:cs="Times New Roman"/>
          <w:sz w:val="24"/>
          <w:szCs w:val="24"/>
        </w:rPr>
        <w:t xml:space="preserve">earning </w:t>
      </w:r>
      <w:r>
        <w:rPr>
          <w:rFonts w:ascii="Times New Roman" w:hAnsi="Times New Roman" w:cs="Times New Roman" w:hint="eastAsia"/>
          <w:sz w:val="24"/>
          <w:szCs w:val="24"/>
        </w:rPr>
        <w:t>C</w:t>
      </w:r>
      <w:r w:rsidRPr="008D0846">
        <w:rPr>
          <w:rFonts w:ascii="Times New Roman" w:hAnsi="Times New Roman" w:cs="Times New Roman"/>
          <w:sz w:val="24"/>
          <w:szCs w:val="24"/>
        </w:rPr>
        <w:t>lassroom at University of Education Lahore</w:t>
      </w:r>
      <w:r>
        <w:rPr>
          <w:rFonts w:ascii="Times New Roman" w:hAnsi="Times New Roman" w:cs="Times New Roman"/>
          <w:sz w:val="24"/>
          <w:szCs w:val="24"/>
        </w:rPr>
        <w:t>’</w:t>
      </w:r>
      <w:r>
        <w:rPr>
          <w:rFonts w:ascii="Times New Roman" w:hAnsi="Times New Roman" w:cs="Times New Roman" w:hint="eastAsia"/>
          <w:sz w:val="24"/>
          <w:szCs w:val="24"/>
        </w:rPr>
        <w:t>,</w:t>
      </w:r>
      <w:r w:rsidRPr="008D0846">
        <w:rPr>
          <w:rFonts w:ascii="Times New Roman" w:hAnsi="Times New Roman" w:cs="Times New Roman"/>
          <w:sz w:val="24"/>
          <w:szCs w:val="24"/>
        </w:rPr>
        <w:t> </w:t>
      </w:r>
      <w:r w:rsidRPr="008D0846">
        <w:rPr>
          <w:rFonts w:ascii="Times New Roman" w:hAnsi="Times New Roman" w:cs="Times New Roman"/>
          <w:i/>
          <w:iCs/>
          <w:sz w:val="24"/>
          <w:szCs w:val="24"/>
        </w:rPr>
        <w:t>International Research Journal of Management, IT and Social Sciences</w:t>
      </w:r>
      <w:r w:rsidRPr="00160D86">
        <w:rPr>
          <w:rFonts w:ascii="Times New Roman" w:hAnsi="Times New Roman" w:cs="Times New Roman"/>
          <w:sz w:val="24"/>
          <w:szCs w:val="24"/>
        </w:rPr>
        <w:t>,</w:t>
      </w:r>
      <w:r>
        <w:rPr>
          <w:rFonts w:ascii="Times New Roman" w:hAnsi="Times New Roman" w:cs="Times New Roman" w:hint="eastAsia"/>
          <w:sz w:val="24"/>
          <w:szCs w:val="24"/>
        </w:rPr>
        <w:t xml:space="preserve"> </w:t>
      </w:r>
      <w:r w:rsidRPr="00160D86">
        <w:rPr>
          <w:rFonts w:ascii="Times New Roman" w:hAnsi="Times New Roman" w:cs="Times New Roman"/>
          <w:sz w:val="24"/>
          <w:szCs w:val="24"/>
        </w:rPr>
        <w:t xml:space="preserve">7, </w:t>
      </w:r>
      <w:r>
        <w:rPr>
          <w:rFonts w:ascii="Times New Roman" w:hAnsi="Times New Roman" w:cs="Times New Roman" w:hint="eastAsia"/>
          <w:sz w:val="24"/>
          <w:szCs w:val="24"/>
        </w:rPr>
        <w:t xml:space="preserve">pp. </w:t>
      </w:r>
      <w:r w:rsidRPr="008D0846">
        <w:rPr>
          <w:rFonts w:ascii="Times New Roman" w:hAnsi="Times New Roman" w:cs="Times New Roman"/>
          <w:sz w:val="24"/>
          <w:szCs w:val="24"/>
        </w:rPr>
        <w:t>227-234.</w:t>
      </w:r>
      <w:r w:rsidRPr="007E2C4F">
        <w:rPr>
          <w:rFonts w:hint="eastAsia"/>
        </w:rPr>
        <w:t xml:space="preserve"> </w:t>
      </w:r>
      <w:r w:rsidRPr="007E2C4F">
        <w:rPr>
          <w:rFonts w:ascii="Times New Roman" w:hAnsi="Times New Roman" w:cs="Times New Roman" w:hint="eastAsia"/>
          <w:sz w:val="24"/>
          <w:szCs w:val="24"/>
        </w:rPr>
        <w:t xml:space="preserve">DOI: </w:t>
      </w:r>
      <w:hyperlink r:id="rId12" w:history="1">
        <w:r w:rsidRPr="00B15CC9">
          <w:rPr>
            <w:rStyle w:val="af2"/>
            <w:rFonts w:ascii="Times New Roman" w:hAnsi="Times New Roman" w:cs="Times New Roman" w:hint="eastAsia"/>
            <w:sz w:val="24"/>
            <w:szCs w:val="24"/>
          </w:rPr>
          <w:t>https://sloap.org/journals/index.php/irjmis/</w:t>
        </w:r>
      </w:hyperlink>
      <w:r>
        <w:rPr>
          <w:rFonts w:ascii="Times New Roman" w:hAnsi="Times New Roman" w:cs="Times New Roman" w:hint="eastAsia"/>
          <w:sz w:val="24"/>
          <w:szCs w:val="24"/>
        </w:rPr>
        <w:t xml:space="preserve">. </w:t>
      </w:r>
    </w:p>
    <w:p w14:paraId="0636A3AD" w14:textId="77777777" w:rsidR="0061700B" w:rsidRDefault="0061700B" w:rsidP="0061700B">
      <w:pPr>
        <w:spacing w:line="360" w:lineRule="auto"/>
        <w:ind w:left="240" w:hangingChars="100" w:hanging="240"/>
        <w:rPr>
          <w:rFonts w:ascii="Times New Roman" w:hAnsi="Times New Roman" w:cs="Times New Roman"/>
          <w:sz w:val="24"/>
          <w:szCs w:val="24"/>
        </w:rPr>
      </w:pPr>
      <w:r w:rsidRPr="00DA484C">
        <w:rPr>
          <w:rFonts w:ascii="Times New Roman" w:hAnsi="Times New Roman" w:cs="Times New Roman"/>
          <w:sz w:val="24"/>
          <w:szCs w:val="24"/>
        </w:rPr>
        <w:t>Tavares, N. J. (</w:t>
      </w:r>
      <w:proofErr w:type="gramStart"/>
      <w:r w:rsidRPr="00DA484C">
        <w:rPr>
          <w:rFonts w:ascii="Times New Roman" w:hAnsi="Times New Roman" w:cs="Times New Roman"/>
          <w:sz w:val="24"/>
          <w:szCs w:val="24"/>
        </w:rPr>
        <w:t>2015) ‘</w:t>
      </w:r>
      <w:proofErr w:type="gramEnd"/>
      <w:r w:rsidRPr="00DA484C">
        <w:rPr>
          <w:rFonts w:ascii="Times New Roman" w:hAnsi="Times New Roman" w:cs="Times New Roman"/>
          <w:sz w:val="24"/>
          <w:szCs w:val="24"/>
        </w:rPr>
        <w:t xml:space="preserve">How Strategic Use of L1 </w:t>
      </w:r>
      <w:r>
        <w:rPr>
          <w:rFonts w:ascii="Times New Roman" w:hAnsi="Times New Roman" w:cs="Times New Roman" w:hint="eastAsia"/>
          <w:sz w:val="24"/>
          <w:szCs w:val="24"/>
        </w:rPr>
        <w:t>i</w:t>
      </w:r>
      <w:r w:rsidRPr="00DA484C">
        <w:rPr>
          <w:rFonts w:ascii="Times New Roman" w:hAnsi="Times New Roman" w:cs="Times New Roman"/>
          <w:sz w:val="24"/>
          <w:szCs w:val="24"/>
        </w:rPr>
        <w:t>n an L2-Medium Mathematics Classroom Facilitates L2 Interaction and Comprehension’, </w:t>
      </w:r>
      <w:r w:rsidRPr="00DA484C">
        <w:rPr>
          <w:rFonts w:ascii="Times New Roman" w:hAnsi="Times New Roman" w:cs="Times New Roman"/>
          <w:i/>
          <w:iCs/>
          <w:sz w:val="24"/>
          <w:szCs w:val="24"/>
        </w:rPr>
        <w:t>International Journal of Bilingual Education and Bilingualism</w:t>
      </w:r>
      <w:r w:rsidRPr="00DA484C">
        <w:rPr>
          <w:rFonts w:ascii="Times New Roman" w:hAnsi="Times New Roman" w:cs="Times New Roman"/>
          <w:sz w:val="24"/>
          <w:szCs w:val="24"/>
        </w:rPr>
        <w:t>, 18(3), pp. 319</w:t>
      </w:r>
      <w:r>
        <w:rPr>
          <w:rFonts w:ascii="Times New Roman" w:hAnsi="Times New Roman" w:cs="Times New Roman" w:hint="eastAsia"/>
          <w:sz w:val="24"/>
          <w:szCs w:val="24"/>
        </w:rPr>
        <w:t>-</w:t>
      </w:r>
      <w:r w:rsidRPr="00DA484C">
        <w:rPr>
          <w:rFonts w:ascii="Times New Roman" w:hAnsi="Times New Roman" w:cs="Times New Roman"/>
          <w:sz w:val="24"/>
          <w:szCs w:val="24"/>
        </w:rPr>
        <w:t>335.</w:t>
      </w:r>
      <w:r>
        <w:rPr>
          <w:rFonts w:ascii="Times New Roman" w:hAnsi="Times New Roman" w:cs="Times New Roman" w:hint="eastAsia"/>
          <w:sz w:val="24"/>
          <w:szCs w:val="24"/>
        </w:rPr>
        <w:t xml:space="preserve"> DOI</w:t>
      </w:r>
      <w:r w:rsidRPr="00DA484C">
        <w:rPr>
          <w:rFonts w:ascii="Times New Roman" w:hAnsi="Times New Roman" w:cs="Times New Roman"/>
          <w:sz w:val="24"/>
          <w:szCs w:val="24"/>
        </w:rPr>
        <w:t>: 10.1080/13670050.2014.988115.</w:t>
      </w:r>
    </w:p>
    <w:p w14:paraId="7931D419" w14:textId="77777777" w:rsidR="0061700B" w:rsidRDefault="0061700B" w:rsidP="0061700B">
      <w:pPr>
        <w:spacing w:line="360" w:lineRule="auto"/>
        <w:ind w:left="240" w:hangingChars="100" w:hanging="240"/>
        <w:rPr>
          <w:rFonts w:ascii="Times New Roman" w:hAnsi="Times New Roman" w:cs="Times New Roman"/>
          <w:sz w:val="24"/>
          <w:szCs w:val="24"/>
        </w:rPr>
      </w:pPr>
      <w:r w:rsidRPr="00D06AAE">
        <w:rPr>
          <w:rFonts w:ascii="Times New Roman" w:hAnsi="Times New Roman" w:cs="Times New Roman"/>
          <w:sz w:val="24"/>
          <w:szCs w:val="24"/>
        </w:rPr>
        <w:t>Yow, W.Q., Tan, J.S.H. and Flynn, S. (</w:t>
      </w:r>
      <w:proofErr w:type="gramStart"/>
      <w:r w:rsidRPr="00D06AAE">
        <w:rPr>
          <w:rFonts w:ascii="Times New Roman" w:hAnsi="Times New Roman" w:cs="Times New Roman"/>
          <w:sz w:val="24"/>
          <w:szCs w:val="24"/>
        </w:rPr>
        <w:t>201</w:t>
      </w:r>
      <w:r>
        <w:rPr>
          <w:rFonts w:ascii="Times New Roman" w:hAnsi="Times New Roman" w:cs="Times New Roman" w:hint="eastAsia"/>
          <w:sz w:val="24"/>
          <w:szCs w:val="24"/>
        </w:rPr>
        <w:t>8</w:t>
      </w:r>
      <w:r w:rsidRPr="00D06AAE">
        <w:rPr>
          <w:rFonts w:ascii="Times New Roman" w:hAnsi="Times New Roman" w:cs="Times New Roman"/>
          <w:sz w:val="24"/>
          <w:szCs w:val="24"/>
        </w:rPr>
        <w:t>) ‘</w:t>
      </w:r>
      <w:proofErr w:type="gramEnd"/>
      <w:r w:rsidRPr="00D06AAE">
        <w:rPr>
          <w:rFonts w:ascii="Times New Roman" w:hAnsi="Times New Roman" w:cs="Times New Roman"/>
          <w:sz w:val="24"/>
          <w:szCs w:val="24"/>
        </w:rPr>
        <w:t xml:space="preserve">Code-switching as a </w:t>
      </w:r>
      <w:r>
        <w:rPr>
          <w:rFonts w:ascii="Times New Roman" w:hAnsi="Times New Roman" w:cs="Times New Roman" w:hint="eastAsia"/>
          <w:sz w:val="24"/>
          <w:szCs w:val="24"/>
        </w:rPr>
        <w:t>M</w:t>
      </w:r>
      <w:r w:rsidRPr="00D06AAE">
        <w:rPr>
          <w:rFonts w:ascii="Times New Roman" w:hAnsi="Times New Roman" w:cs="Times New Roman"/>
          <w:sz w:val="24"/>
          <w:szCs w:val="24"/>
        </w:rPr>
        <w:t xml:space="preserve">arker of </w:t>
      </w:r>
      <w:r>
        <w:rPr>
          <w:rFonts w:ascii="Times New Roman" w:hAnsi="Times New Roman" w:cs="Times New Roman" w:hint="eastAsia"/>
          <w:sz w:val="24"/>
          <w:szCs w:val="24"/>
        </w:rPr>
        <w:t>L</w:t>
      </w:r>
      <w:r w:rsidRPr="00D06AAE">
        <w:rPr>
          <w:rFonts w:ascii="Times New Roman" w:hAnsi="Times New Roman" w:cs="Times New Roman"/>
          <w:sz w:val="24"/>
          <w:szCs w:val="24"/>
        </w:rPr>
        <w:t xml:space="preserve">inguistic </w:t>
      </w:r>
      <w:r>
        <w:rPr>
          <w:rFonts w:ascii="Times New Roman" w:hAnsi="Times New Roman" w:cs="Times New Roman" w:hint="eastAsia"/>
          <w:sz w:val="24"/>
          <w:szCs w:val="24"/>
        </w:rPr>
        <w:t>C</w:t>
      </w:r>
      <w:r w:rsidRPr="00D06AAE">
        <w:rPr>
          <w:rFonts w:ascii="Times New Roman" w:hAnsi="Times New Roman" w:cs="Times New Roman"/>
          <w:sz w:val="24"/>
          <w:szCs w:val="24"/>
        </w:rPr>
        <w:t xml:space="preserve">ompetence in </w:t>
      </w:r>
      <w:r>
        <w:rPr>
          <w:rFonts w:ascii="Times New Roman" w:hAnsi="Times New Roman" w:cs="Times New Roman" w:hint="eastAsia"/>
          <w:sz w:val="24"/>
          <w:szCs w:val="24"/>
        </w:rPr>
        <w:t>B</w:t>
      </w:r>
      <w:r w:rsidRPr="00D06AAE">
        <w:rPr>
          <w:rFonts w:ascii="Times New Roman" w:hAnsi="Times New Roman" w:cs="Times New Roman"/>
          <w:sz w:val="24"/>
          <w:szCs w:val="24"/>
        </w:rPr>
        <w:t xml:space="preserve">ilingual </w:t>
      </w:r>
      <w:r>
        <w:rPr>
          <w:rFonts w:ascii="Times New Roman" w:hAnsi="Times New Roman" w:cs="Times New Roman" w:hint="eastAsia"/>
          <w:sz w:val="24"/>
          <w:szCs w:val="24"/>
        </w:rPr>
        <w:t>C</w:t>
      </w:r>
      <w:r w:rsidRPr="00D06AAE">
        <w:rPr>
          <w:rFonts w:ascii="Times New Roman" w:hAnsi="Times New Roman" w:cs="Times New Roman"/>
          <w:sz w:val="24"/>
          <w:szCs w:val="24"/>
        </w:rPr>
        <w:t>hildren’, </w:t>
      </w:r>
      <w:r w:rsidRPr="00D06AAE">
        <w:rPr>
          <w:rFonts w:ascii="Times New Roman" w:hAnsi="Times New Roman" w:cs="Times New Roman"/>
          <w:i/>
          <w:iCs/>
          <w:sz w:val="24"/>
          <w:szCs w:val="24"/>
        </w:rPr>
        <w:t>Bilingualism: Language and Cognition</w:t>
      </w:r>
      <w:r w:rsidRPr="00D06AAE">
        <w:rPr>
          <w:rFonts w:ascii="Times New Roman" w:hAnsi="Times New Roman" w:cs="Times New Roman"/>
          <w:sz w:val="24"/>
          <w:szCs w:val="24"/>
        </w:rPr>
        <w:t>, 21(5), pp. 1075</w:t>
      </w:r>
      <w:r>
        <w:rPr>
          <w:rFonts w:ascii="Times New Roman" w:hAnsi="Times New Roman" w:cs="Times New Roman" w:hint="eastAsia"/>
          <w:sz w:val="24"/>
          <w:szCs w:val="24"/>
        </w:rPr>
        <w:t>-</w:t>
      </w:r>
      <w:r w:rsidRPr="00D06AAE">
        <w:rPr>
          <w:rFonts w:ascii="Times New Roman" w:hAnsi="Times New Roman" w:cs="Times New Roman"/>
          <w:sz w:val="24"/>
          <w:szCs w:val="24"/>
        </w:rPr>
        <w:t xml:space="preserve">1090. </w:t>
      </w:r>
      <w:r>
        <w:rPr>
          <w:rFonts w:ascii="Times New Roman" w:hAnsi="Times New Roman" w:cs="Times New Roman" w:hint="eastAsia"/>
          <w:sz w:val="24"/>
          <w:szCs w:val="24"/>
        </w:rPr>
        <w:t>DOI</w:t>
      </w:r>
      <w:r w:rsidRPr="00D06AAE">
        <w:rPr>
          <w:rFonts w:ascii="Times New Roman" w:hAnsi="Times New Roman" w:cs="Times New Roman"/>
          <w:sz w:val="24"/>
          <w:szCs w:val="24"/>
        </w:rPr>
        <w:t>:10.1017/S1366728917000335.</w:t>
      </w:r>
    </w:p>
    <w:p w14:paraId="438CD26F" w14:textId="4D14DB7E" w:rsidR="00AE21EA" w:rsidRDefault="0061700B" w:rsidP="0061700B">
      <w:pPr>
        <w:spacing w:line="360" w:lineRule="auto"/>
        <w:ind w:left="240" w:hangingChars="100" w:hanging="240"/>
        <w:rPr>
          <w:rFonts w:ascii="Times New Roman" w:hAnsi="Times New Roman" w:cs="Times New Roman" w:hint="eastAsia"/>
          <w:sz w:val="24"/>
          <w:szCs w:val="24"/>
        </w:rPr>
      </w:pPr>
      <w:r w:rsidRPr="00AB1975">
        <w:rPr>
          <w:rFonts w:ascii="Times New Roman" w:hAnsi="Times New Roman" w:cs="Times New Roman" w:hint="eastAsia"/>
          <w:sz w:val="24"/>
          <w:szCs w:val="24"/>
        </w:rPr>
        <w:t xml:space="preserve">Yuan, R., Li, M. and Zhang, T. (2023) </w:t>
      </w:r>
      <w:r>
        <w:rPr>
          <w:rFonts w:ascii="Times New Roman" w:hAnsi="Times New Roman" w:cs="Times New Roman"/>
          <w:sz w:val="24"/>
          <w:szCs w:val="24"/>
        </w:rPr>
        <w:t>‘“</w:t>
      </w:r>
      <w:r w:rsidRPr="00AB1975">
        <w:rPr>
          <w:rFonts w:ascii="Times New Roman" w:hAnsi="Times New Roman" w:cs="Times New Roman" w:hint="eastAsia"/>
          <w:sz w:val="24"/>
          <w:szCs w:val="24"/>
        </w:rPr>
        <w:t xml:space="preserve">Physically I </w:t>
      </w:r>
      <w:r w:rsidRPr="00AB1975">
        <w:rPr>
          <w:rFonts w:ascii="Times New Roman" w:hAnsi="Times New Roman" w:cs="Times New Roman"/>
          <w:sz w:val="24"/>
          <w:szCs w:val="24"/>
        </w:rPr>
        <w:t>Was There, But My Mind Had Gone Somewhere Else</w:t>
      </w:r>
      <w:r>
        <w:rPr>
          <w:rFonts w:ascii="Times New Roman" w:hAnsi="Times New Roman" w:cs="Times New Roman"/>
          <w:sz w:val="24"/>
          <w:szCs w:val="24"/>
        </w:rPr>
        <w:t>”</w:t>
      </w:r>
      <w:r w:rsidRPr="00AB1975">
        <w:rPr>
          <w:rFonts w:ascii="Times New Roman" w:hAnsi="Times New Roman" w:cs="Times New Roman" w:hint="eastAsia"/>
          <w:sz w:val="24"/>
          <w:szCs w:val="24"/>
        </w:rPr>
        <w:t xml:space="preserve">: Probing </w:t>
      </w:r>
      <w:r w:rsidRPr="00AB1975">
        <w:rPr>
          <w:rFonts w:ascii="Times New Roman" w:hAnsi="Times New Roman" w:cs="Times New Roman"/>
          <w:sz w:val="24"/>
          <w:szCs w:val="24"/>
        </w:rPr>
        <w:t xml:space="preserve">the Emotional Side of </w:t>
      </w:r>
      <w:r w:rsidRPr="00AB1975">
        <w:rPr>
          <w:rFonts w:ascii="Times New Roman" w:hAnsi="Times New Roman" w:cs="Times New Roman" w:hint="eastAsia"/>
          <w:sz w:val="24"/>
          <w:szCs w:val="24"/>
        </w:rPr>
        <w:t>English</w:t>
      </w:r>
      <w:r w:rsidRPr="00AB1975">
        <w:rPr>
          <w:rFonts w:ascii="Times New Roman" w:hAnsi="Times New Roman" w:cs="Times New Roman"/>
          <w:sz w:val="24"/>
          <w:szCs w:val="24"/>
        </w:rPr>
        <w:t>-Medium Instruction</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56408D">
        <w:rPr>
          <w:rFonts w:ascii="Times New Roman" w:hAnsi="Times New Roman" w:cs="Times New Roman" w:hint="eastAsia"/>
          <w:i/>
          <w:iCs/>
          <w:sz w:val="24"/>
          <w:szCs w:val="24"/>
        </w:rPr>
        <w:t>Linguistics and Education</w:t>
      </w:r>
      <w:r w:rsidRPr="00AB1975">
        <w:rPr>
          <w:rFonts w:ascii="Times New Roman" w:hAnsi="Times New Roman" w:cs="Times New Roman" w:hint="eastAsia"/>
          <w:sz w:val="24"/>
          <w:szCs w:val="24"/>
        </w:rPr>
        <w:t>, 75, p</w:t>
      </w:r>
      <w:r>
        <w:rPr>
          <w:rFonts w:ascii="Times New Roman" w:hAnsi="Times New Roman" w:cs="Times New Roman" w:hint="eastAsia"/>
          <w:sz w:val="24"/>
          <w:szCs w:val="24"/>
        </w:rPr>
        <w:t>p</w:t>
      </w:r>
      <w:r w:rsidRPr="00AB1975">
        <w:rPr>
          <w:rFonts w:ascii="Times New Roman" w:hAnsi="Times New Roman" w:cs="Times New Roman" w:hint="eastAsia"/>
          <w:sz w:val="24"/>
          <w:szCs w:val="24"/>
        </w:rPr>
        <w:t>.</w:t>
      </w:r>
      <w:r>
        <w:rPr>
          <w:rFonts w:ascii="Times New Roman" w:hAnsi="Times New Roman" w:cs="Times New Roman" w:hint="eastAsia"/>
          <w:sz w:val="24"/>
          <w:szCs w:val="24"/>
        </w:rPr>
        <w:t xml:space="preserve"> </w:t>
      </w:r>
      <w:r w:rsidRPr="00AB1975">
        <w:rPr>
          <w:rFonts w:ascii="Times New Roman" w:hAnsi="Times New Roman" w:cs="Times New Roman" w:hint="eastAsia"/>
          <w:sz w:val="24"/>
          <w:szCs w:val="24"/>
        </w:rPr>
        <w:t>1</w:t>
      </w:r>
      <w:r>
        <w:rPr>
          <w:rFonts w:ascii="Times New Roman" w:hAnsi="Times New Roman" w:cs="Times New Roman" w:hint="eastAsia"/>
          <w:sz w:val="24"/>
          <w:szCs w:val="24"/>
        </w:rPr>
        <w:t>-11</w:t>
      </w:r>
      <w:r w:rsidRPr="00AB1975">
        <w:rPr>
          <w:rFonts w:ascii="Times New Roman" w:hAnsi="Times New Roman" w:cs="Times New Roman" w:hint="eastAsia"/>
          <w:sz w:val="24"/>
          <w:szCs w:val="24"/>
        </w:rPr>
        <w:t xml:space="preserve">. </w:t>
      </w:r>
      <w:r>
        <w:rPr>
          <w:rFonts w:ascii="Times New Roman" w:hAnsi="Times New Roman" w:cs="Times New Roman" w:hint="eastAsia"/>
          <w:sz w:val="24"/>
          <w:szCs w:val="24"/>
        </w:rPr>
        <w:t>DOI</w:t>
      </w:r>
      <w:r w:rsidRPr="00AB1975">
        <w:rPr>
          <w:rFonts w:ascii="Times New Roman" w:hAnsi="Times New Roman" w:cs="Times New Roman" w:hint="eastAsia"/>
          <w:sz w:val="24"/>
          <w:szCs w:val="24"/>
        </w:rPr>
        <w:t>:</w:t>
      </w:r>
      <w:r>
        <w:rPr>
          <w:rFonts w:ascii="Times New Roman" w:hAnsi="Times New Roman" w:cs="Times New Roman" w:hint="eastAsia"/>
          <w:sz w:val="24"/>
          <w:szCs w:val="24"/>
        </w:rPr>
        <w:t xml:space="preserve"> </w:t>
      </w:r>
      <w:r w:rsidRPr="00AB1975">
        <w:rPr>
          <w:rFonts w:ascii="Times New Roman" w:hAnsi="Times New Roman" w:cs="Times New Roman" w:hint="eastAsia"/>
          <w:sz w:val="24"/>
          <w:szCs w:val="24"/>
        </w:rPr>
        <w:t>https://doi.org/10.1016/j.linged.2023.101163.</w:t>
      </w:r>
    </w:p>
    <w:sectPr w:rsidR="00AE21E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785F1" w14:textId="77777777" w:rsidR="00C6099D" w:rsidRDefault="00C6099D" w:rsidP="006111AB">
      <w:pPr>
        <w:rPr>
          <w:rFonts w:hint="eastAsia"/>
        </w:rPr>
      </w:pPr>
      <w:r>
        <w:separator/>
      </w:r>
    </w:p>
  </w:endnote>
  <w:endnote w:type="continuationSeparator" w:id="0">
    <w:p w14:paraId="79210BD6" w14:textId="77777777" w:rsidR="00C6099D" w:rsidRDefault="00C6099D" w:rsidP="006111AB">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78200" w14:textId="77777777" w:rsidR="00C6099D" w:rsidRDefault="00C6099D" w:rsidP="006111AB">
      <w:pPr>
        <w:rPr>
          <w:rFonts w:hint="eastAsia"/>
        </w:rPr>
      </w:pPr>
      <w:r>
        <w:separator/>
      </w:r>
    </w:p>
  </w:footnote>
  <w:footnote w:type="continuationSeparator" w:id="0">
    <w:p w14:paraId="434A3030" w14:textId="77777777" w:rsidR="00C6099D" w:rsidRDefault="00C6099D" w:rsidP="006111AB">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D616A"/>
    <w:multiLevelType w:val="multilevel"/>
    <w:tmpl w:val="E25EEE28"/>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F320190"/>
    <w:multiLevelType w:val="multilevel"/>
    <w:tmpl w:val="26643EE4"/>
    <w:lvl w:ilvl="0">
      <w:start w:val="1"/>
      <w:numFmt w:val="decimal"/>
      <w:lvlText w:val="%1"/>
      <w:lvlJc w:val="left"/>
      <w:pPr>
        <w:ind w:left="368" w:hanging="368"/>
      </w:pPr>
      <w:rPr>
        <w:rFonts w:hint="default"/>
      </w:rPr>
    </w:lvl>
    <w:lvl w:ilvl="1">
      <w:start w:val="1"/>
      <w:numFmt w:val="decimal"/>
      <w:lvlText w:val="%1.%2"/>
      <w:lvlJc w:val="left"/>
      <w:pPr>
        <w:ind w:left="368" w:hanging="3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1A17F27"/>
    <w:multiLevelType w:val="hybridMultilevel"/>
    <w:tmpl w:val="A27CE99E"/>
    <w:lvl w:ilvl="0" w:tplc="40847972">
      <w:start w:val="1"/>
      <w:numFmt w:val="upp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4A6B3F13"/>
    <w:multiLevelType w:val="hybridMultilevel"/>
    <w:tmpl w:val="DA2423EA"/>
    <w:lvl w:ilvl="0" w:tplc="1F929FBE">
      <w:start w:val="3"/>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0FD71EF"/>
    <w:multiLevelType w:val="multilevel"/>
    <w:tmpl w:val="0B32FD8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74B76697"/>
    <w:multiLevelType w:val="hybridMultilevel"/>
    <w:tmpl w:val="E1BC688C"/>
    <w:lvl w:ilvl="0" w:tplc="A6D6E08C">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15452788">
    <w:abstractNumId w:val="1"/>
  </w:num>
  <w:num w:numId="2" w16cid:durableId="1144350066">
    <w:abstractNumId w:val="2"/>
  </w:num>
  <w:num w:numId="3" w16cid:durableId="563638669">
    <w:abstractNumId w:val="3"/>
  </w:num>
  <w:num w:numId="4" w16cid:durableId="786966079">
    <w:abstractNumId w:val="4"/>
  </w:num>
  <w:num w:numId="5" w16cid:durableId="2144881480">
    <w:abstractNumId w:val="5"/>
  </w:num>
  <w:num w:numId="6" w16cid:durableId="3212797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95E"/>
    <w:rsid w:val="000018F7"/>
    <w:rsid w:val="00030EB9"/>
    <w:rsid w:val="000439C4"/>
    <w:rsid w:val="00055545"/>
    <w:rsid w:val="00070A8C"/>
    <w:rsid w:val="000B66C2"/>
    <w:rsid w:val="000C095E"/>
    <w:rsid w:val="000E752A"/>
    <w:rsid w:val="00103056"/>
    <w:rsid w:val="0010793F"/>
    <w:rsid w:val="001374FA"/>
    <w:rsid w:val="00174F92"/>
    <w:rsid w:val="001E7C1D"/>
    <w:rsid w:val="00224785"/>
    <w:rsid w:val="0022575A"/>
    <w:rsid w:val="00264F51"/>
    <w:rsid w:val="00290266"/>
    <w:rsid w:val="00297B4C"/>
    <w:rsid w:val="002A2CC0"/>
    <w:rsid w:val="002A56B7"/>
    <w:rsid w:val="002B4A40"/>
    <w:rsid w:val="002C54C6"/>
    <w:rsid w:val="002D0AA1"/>
    <w:rsid w:val="002D144E"/>
    <w:rsid w:val="002F3DB2"/>
    <w:rsid w:val="003136D5"/>
    <w:rsid w:val="00317BF1"/>
    <w:rsid w:val="00320681"/>
    <w:rsid w:val="0032211C"/>
    <w:rsid w:val="00330BAF"/>
    <w:rsid w:val="00342F11"/>
    <w:rsid w:val="00363C9E"/>
    <w:rsid w:val="003668DE"/>
    <w:rsid w:val="00373CFB"/>
    <w:rsid w:val="00381D5B"/>
    <w:rsid w:val="003A24BA"/>
    <w:rsid w:val="003B0747"/>
    <w:rsid w:val="003B1B93"/>
    <w:rsid w:val="003D30DC"/>
    <w:rsid w:val="003E36F1"/>
    <w:rsid w:val="003E7C1A"/>
    <w:rsid w:val="004076D8"/>
    <w:rsid w:val="0042146E"/>
    <w:rsid w:val="00422528"/>
    <w:rsid w:val="004255FE"/>
    <w:rsid w:val="00456246"/>
    <w:rsid w:val="00480AB1"/>
    <w:rsid w:val="0048341F"/>
    <w:rsid w:val="00495D73"/>
    <w:rsid w:val="00496291"/>
    <w:rsid w:val="004E6092"/>
    <w:rsid w:val="004F6069"/>
    <w:rsid w:val="004F7D94"/>
    <w:rsid w:val="00504914"/>
    <w:rsid w:val="00537703"/>
    <w:rsid w:val="005416AA"/>
    <w:rsid w:val="005531E1"/>
    <w:rsid w:val="00565AF8"/>
    <w:rsid w:val="005917BE"/>
    <w:rsid w:val="005936BC"/>
    <w:rsid w:val="005E5C55"/>
    <w:rsid w:val="005F2AED"/>
    <w:rsid w:val="006111AB"/>
    <w:rsid w:val="00613793"/>
    <w:rsid w:val="0061700B"/>
    <w:rsid w:val="00634086"/>
    <w:rsid w:val="0066447D"/>
    <w:rsid w:val="00667BCF"/>
    <w:rsid w:val="0067242A"/>
    <w:rsid w:val="006A4EAB"/>
    <w:rsid w:val="006A72DE"/>
    <w:rsid w:val="006B0C56"/>
    <w:rsid w:val="00701A51"/>
    <w:rsid w:val="00703BF6"/>
    <w:rsid w:val="007043B3"/>
    <w:rsid w:val="00732089"/>
    <w:rsid w:val="007647B7"/>
    <w:rsid w:val="007A0278"/>
    <w:rsid w:val="007B2FF4"/>
    <w:rsid w:val="007C3DCA"/>
    <w:rsid w:val="007C58DD"/>
    <w:rsid w:val="007D082D"/>
    <w:rsid w:val="007D13C9"/>
    <w:rsid w:val="00807D4D"/>
    <w:rsid w:val="0083115F"/>
    <w:rsid w:val="00860F2D"/>
    <w:rsid w:val="008812EA"/>
    <w:rsid w:val="008913F0"/>
    <w:rsid w:val="008949FC"/>
    <w:rsid w:val="00895BC0"/>
    <w:rsid w:val="008A6C56"/>
    <w:rsid w:val="008B6E31"/>
    <w:rsid w:val="008B73B0"/>
    <w:rsid w:val="008C1F55"/>
    <w:rsid w:val="008C6039"/>
    <w:rsid w:val="008D5E3A"/>
    <w:rsid w:val="008D7DB6"/>
    <w:rsid w:val="00916A12"/>
    <w:rsid w:val="00927258"/>
    <w:rsid w:val="009844CC"/>
    <w:rsid w:val="00984E90"/>
    <w:rsid w:val="009A557B"/>
    <w:rsid w:val="009E186F"/>
    <w:rsid w:val="00A1301D"/>
    <w:rsid w:val="00A14AC9"/>
    <w:rsid w:val="00A22949"/>
    <w:rsid w:val="00A31710"/>
    <w:rsid w:val="00A319D6"/>
    <w:rsid w:val="00A37976"/>
    <w:rsid w:val="00A37F3F"/>
    <w:rsid w:val="00A555A2"/>
    <w:rsid w:val="00A615D5"/>
    <w:rsid w:val="00A65AA5"/>
    <w:rsid w:val="00A7191B"/>
    <w:rsid w:val="00A84338"/>
    <w:rsid w:val="00A903C5"/>
    <w:rsid w:val="00A94485"/>
    <w:rsid w:val="00AA2AC4"/>
    <w:rsid w:val="00AB61CF"/>
    <w:rsid w:val="00AE21EA"/>
    <w:rsid w:val="00AE4169"/>
    <w:rsid w:val="00AF1892"/>
    <w:rsid w:val="00B134CE"/>
    <w:rsid w:val="00B13C83"/>
    <w:rsid w:val="00B176CA"/>
    <w:rsid w:val="00B2629E"/>
    <w:rsid w:val="00B278E7"/>
    <w:rsid w:val="00B512F8"/>
    <w:rsid w:val="00B606A1"/>
    <w:rsid w:val="00B8045D"/>
    <w:rsid w:val="00B943F7"/>
    <w:rsid w:val="00B96166"/>
    <w:rsid w:val="00BC33DB"/>
    <w:rsid w:val="00BD4D6D"/>
    <w:rsid w:val="00BE42BB"/>
    <w:rsid w:val="00BE715C"/>
    <w:rsid w:val="00BF4E1A"/>
    <w:rsid w:val="00C01485"/>
    <w:rsid w:val="00C1250A"/>
    <w:rsid w:val="00C27122"/>
    <w:rsid w:val="00C27D4E"/>
    <w:rsid w:val="00C6099D"/>
    <w:rsid w:val="00CC1288"/>
    <w:rsid w:val="00CD54D4"/>
    <w:rsid w:val="00CF3481"/>
    <w:rsid w:val="00CF6FF1"/>
    <w:rsid w:val="00D16E34"/>
    <w:rsid w:val="00D50B13"/>
    <w:rsid w:val="00D54B86"/>
    <w:rsid w:val="00D80B98"/>
    <w:rsid w:val="00DC0797"/>
    <w:rsid w:val="00DC25C8"/>
    <w:rsid w:val="00DD175B"/>
    <w:rsid w:val="00DD77C2"/>
    <w:rsid w:val="00DE3B65"/>
    <w:rsid w:val="00DF10E8"/>
    <w:rsid w:val="00DF652A"/>
    <w:rsid w:val="00E07826"/>
    <w:rsid w:val="00E1491B"/>
    <w:rsid w:val="00E317B7"/>
    <w:rsid w:val="00E43D13"/>
    <w:rsid w:val="00E61B85"/>
    <w:rsid w:val="00E6656C"/>
    <w:rsid w:val="00E702F0"/>
    <w:rsid w:val="00E82E98"/>
    <w:rsid w:val="00E87DE1"/>
    <w:rsid w:val="00EA292A"/>
    <w:rsid w:val="00EA508B"/>
    <w:rsid w:val="00EA712B"/>
    <w:rsid w:val="00ED689B"/>
    <w:rsid w:val="00ED7C99"/>
    <w:rsid w:val="00EF3384"/>
    <w:rsid w:val="00F06ABB"/>
    <w:rsid w:val="00F10F65"/>
    <w:rsid w:val="00F21366"/>
    <w:rsid w:val="00F34122"/>
    <w:rsid w:val="00F34486"/>
    <w:rsid w:val="00F56F79"/>
    <w:rsid w:val="00F644C9"/>
    <w:rsid w:val="00F7654C"/>
    <w:rsid w:val="00F95348"/>
    <w:rsid w:val="00FA2C15"/>
    <w:rsid w:val="00FD60A0"/>
    <w:rsid w:val="00FF4B3A"/>
    <w:rsid w:val="00FF78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BB6132"/>
  <w15:chartTrackingRefBased/>
  <w15:docId w15:val="{C06E411A-10A9-4FC4-8694-411EA2DF9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111AB"/>
    <w:pPr>
      <w:widowControl w:val="0"/>
      <w:jc w:val="both"/>
    </w:pPr>
  </w:style>
  <w:style w:type="paragraph" w:styleId="1">
    <w:name w:val="heading 1"/>
    <w:basedOn w:val="a"/>
    <w:next w:val="a"/>
    <w:link w:val="10"/>
    <w:uiPriority w:val="9"/>
    <w:qFormat/>
    <w:rsid w:val="000C095E"/>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0C095E"/>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0C095E"/>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0C095E"/>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0C095E"/>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0C095E"/>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0C095E"/>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C095E"/>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C095E"/>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C095E"/>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0C095E"/>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0C095E"/>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0C095E"/>
    <w:rPr>
      <w:rFonts w:cstheme="majorBidi"/>
      <w:color w:val="2F5496" w:themeColor="accent1" w:themeShade="BF"/>
      <w:sz w:val="28"/>
      <w:szCs w:val="28"/>
    </w:rPr>
  </w:style>
  <w:style w:type="character" w:customStyle="1" w:styleId="50">
    <w:name w:val="标题 5 字符"/>
    <w:basedOn w:val="a0"/>
    <w:link w:val="5"/>
    <w:uiPriority w:val="9"/>
    <w:semiHidden/>
    <w:rsid w:val="000C095E"/>
    <w:rPr>
      <w:rFonts w:cstheme="majorBidi"/>
      <w:color w:val="2F5496" w:themeColor="accent1" w:themeShade="BF"/>
      <w:sz w:val="24"/>
      <w:szCs w:val="24"/>
    </w:rPr>
  </w:style>
  <w:style w:type="character" w:customStyle="1" w:styleId="60">
    <w:name w:val="标题 6 字符"/>
    <w:basedOn w:val="a0"/>
    <w:link w:val="6"/>
    <w:uiPriority w:val="9"/>
    <w:semiHidden/>
    <w:rsid w:val="000C095E"/>
    <w:rPr>
      <w:rFonts w:cstheme="majorBidi"/>
      <w:b/>
      <w:bCs/>
      <w:color w:val="2F5496" w:themeColor="accent1" w:themeShade="BF"/>
    </w:rPr>
  </w:style>
  <w:style w:type="character" w:customStyle="1" w:styleId="70">
    <w:name w:val="标题 7 字符"/>
    <w:basedOn w:val="a0"/>
    <w:link w:val="7"/>
    <w:uiPriority w:val="9"/>
    <w:semiHidden/>
    <w:rsid w:val="000C095E"/>
    <w:rPr>
      <w:rFonts w:cstheme="majorBidi"/>
      <w:b/>
      <w:bCs/>
      <w:color w:val="595959" w:themeColor="text1" w:themeTint="A6"/>
    </w:rPr>
  </w:style>
  <w:style w:type="character" w:customStyle="1" w:styleId="80">
    <w:name w:val="标题 8 字符"/>
    <w:basedOn w:val="a0"/>
    <w:link w:val="8"/>
    <w:uiPriority w:val="9"/>
    <w:semiHidden/>
    <w:rsid w:val="000C095E"/>
    <w:rPr>
      <w:rFonts w:cstheme="majorBidi"/>
      <w:color w:val="595959" w:themeColor="text1" w:themeTint="A6"/>
    </w:rPr>
  </w:style>
  <w:style w:type="character" w:customStyle="1" w:styleId="90">
    <w:name w:val="标题 9 字符"/>
    <w:basedOn w:val="a0"/>
    <w:link w:val="9"/>
    <w:uiPriority w:val="9"/>
    <w:semiHidden/>
    <w:rsid w:val="000C095E"/>
    <w:rPr>
      <w:rFonts w:eastAsiaTheme="majorEastAsia" w:cstheme="majorBidi"/>
      <w:color w:val="595959" w:themeColor="text1" w:themeTint="A6"/>
    </w:rPr>
  </w:style>
  <w:style w:type="paragraph" w:styleId="a3">
    <w:name w:val="Title"/>
    <w:basedOn w:val="a"/>
    <w:next w:val="a"/>
    <w:link w:val="a4"/>
    <w:uiPriority w:val="10"/>
    <w:qFormat/>
    <w:rsid w:val="000C095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C095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C095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C095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C095E"/>
    <w:pPr>
      <w:spacing w:before="160" w:after="160"/>
      <w:jc w:val="center"/>
    </w:pPr>
    <w:rPr>
      <w:i/>
      <w:iCs/>
      <w:color w:val="404040" w:themeColor="text1" w:themeTint="BF"/>
    </w:rPr>
  </w:style>
  <w:style w:type="character" w:customStyle="1" w:styleId="a8">
    <w:name w:val="引用 字符"/>
    <w:basedOn w:val="a0"/>
    <w:link w:val="a7"/>
    <w:uiPriority w:val="29"/>
    <w:rsid w:val="000C095E"/>
    <w:rPr>
      <w:i/>
      <w:iCs/>
      <w:color w:val="404040" w:themeColor="text1" w:themeTint="BF"/>
    </w:rPr>
  </w:style>
  <w:style w:type="paragraph" w:styleId="a9">
    <w:name w:val="List Paragraph"/>
    <w:basedOn w:val="a"/>
    <w:uiPriority w:val="34"/>
    <w:qFormat/>
    <w:rsid w:val="000C095E"/>
    <w:pPr>
      <w:ind w:left="720"/>
      <w:contextualSpacing/>
    </w:pPr>
  </w:style>
  <w:style w:type="character" w:styleId="aa">
    <w:name w:val="Intense Emphasis"/>
    <w:basedOn w:val="a0"/>
    <w:uiPriority w:val="21"/>
    <w:qFormat/>
    <w:rsid w:val="000C095E"/>
    <w:rPr>
      <w:i/>
      <w:iCs/>
      <w:color w:val="2F5496" w:themeColor="accent1" w:themeShade="BF"/>
    </w:rPr>
  </w:style>
  <w:style w:type="paragraph" w:styleId="ab">
    <w:name w:val="Intense Quote"/>
    <w:basedOn w:val="a"/>
    <w:next w:val="a"/>
    <w:link w:val="ac"/>
    <w:uiPriority w:val="30"/>
    <w:qFormat/>
    <w:rsid w:val="000C09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0C095E"/>
    <w:rPr>
      <w:i/>
      <w:iCs/>
      <w:color w:val="2F5496" w:themeColor="accent1" w:themeShade="BF"/>
    </w:rPr>
  </w:style>
  <w:style w:type="character" w:styleId="ad">
    <w:name w:val="Intense Reference"/>
    <w:basedOn w:val="a0"/>
    <w:uiPriority w:val="32"/>
    <w:qFormat/>
    <w:rsid w:val="000C095E"/>
    <w:rPr>
      <w:b/>
      <w:bCs/>
      <w:smallCaps/>
      <w:color w:val="2F5496" w:themeColor="accent1" w:themeShade="BF"/>
      <w:spacing w:val="5"/>
    </w:rPr>
  </w:style>
  <w:style w:type="paragraph" w:styleId="ae">
    <w:name w:val="header"/>
    <w:basedOn w:val="a"/>
    <w:link w:val="af"/>
    <w:uiPriority w:val="99"/>
    <w:unhideWhenUsed/>
    <w:rsid w:val="006111AB"/>
    <w:pPr>
      <w:tabs>
        <w:tab w:val="center" w:pos="4153"/>
        <w:tab w:val="right" w:pos="8306"/>
      </w:tabs>
      <w:snapToGrid w:val="0"/>
      <w:jc w:val="center"/>
    </w:pPr>
    <w:rPr>
      <w:sz w:val="18"/>
      <w:szCs w:val="18"/>
    </w:rPr>
  </w:style>
  <w:style w:type="character" w:customStyle="1" w:styleId="af">
    <w:name w:val="页眉 字符"/>
    <w:basedOn w:val="a0"/>
    <w:link w:val="ae"/>
    <w:uiPriority w:val="99"/>
    <w:rsid w:val="006111AB"/>
    <w:rPr>
      <w:sz w:val="18"/>
      <w:szCs w:val="18"/>
    </w:rPr>
  </w:style>
  <w:style w:type="paragraph" w:styleId="af0">
    <w:name w:val="footer"/>
    <w:basedOn w:val="a"/>
    <w:link w:val="af1"/>
    <w:uiPriority w:val="99"/>
    <w:unhideWhenUsed/>
    <w:rsid w:val="006111AB"/>
    <w:pPr>
      <w:tabs>
        <w:tab w:val="center" w:pos="4153"/>
        <w:tab w:val="right" w:pos="8306"/>
      </w:tabs>
      <w:snapToGrid w:val="0"/>
      <w:jc w:val="left"/>
    </w:pPr>
    <w:rPr>
      <w:sz w:val="18"/>
      <w:szCs w:val="18"/>
    </w:rPr>
  </w:style>
  <w:style w:type="character" w:customStyle="1" w:styleId="af1">
    <w:name w:val="页脚 字符"/>
    <w:basedOn w:val="a0"/>
    <w:link w:val="af0"/>
    <w:uiPriority w:val="99"/>
    <w:rsid w:val="006111AB"/>
    <w:rPr>
      <w:sz w:val="18"/>
      <w:szCs w:val="18"/>
    </w:rPr>
  </w:style>
  <w:style w:type="character" w:styleId="af2">
    <w:name w:val="Hyperlink"/>
    <w:basedOn w:val="a0"/>
    <w:uiPriority w:val="99"/>
    <w:unhideWhenUsed/>
    <w:rsid w:val="006170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341303">
      <w:bodyDiv w:val="1"/>
      <w:marLeft w:val="0"/>
      <w:marRight w:val="0"/>
      <w:marTop w:val="0"/>
      <w:marBottom w:val="0"/>
      <w:divBdr>
        <w:top w:val="none" w:sz="0" w:space="0" w:color="auto"/>
        <w:left w:val="none" w:sz="0" w:space="0" w:color="auto"/>
        <w:bottom w:val="none" w:sz="0" w:space="0" w:color="auto"/>
        <w:right w:val="none" w:sz="0" w:space="0" w:color="auto"/>
      </w:divBdr>
    </w:div>
    <w:div w:id="219750518">
      <w:bodyDiv w:val="1"/>
      <w:marLeft w:val="0"/>
      <w:marRight w:val="0"/>
      <w:marTop w:val="0"/>
      <w:marBottom w:val="0"/>
      <w:divBdr>
        <w:top w:val="none" w:sz="0" w:space="0" w:color="auto"/>
        <w:left w:val="none" w:sz="0" w:space="0" w:color="auto"/>
        <w:bottom w:val="none" w:sz="0" w:space="0" w:color="auto"/>
        <w:right w:val="none" w:sz="0" w:space="0" w:color="auto"/>
      </w:divBdr>
    </w:div>
    <w:div w:id="740560791">
      <w:bodyDiv w:val="1"/>
      <w:marLeft w:val="0"/>
      <w:marRight w:val="0"/>
      <w:marTop w:val="0"/>
      <w:marBottom w:val="0"/>
      <w:divBdr>
        <w:top w:val="none" w:sz="0" w:space="0" w:color="auto"/>
        <w:left w:val="none" w:sz="0" w:space="0" w:color="auto"/>
        <w:bottom w:val="none" w:sz="0" w:space="0" w:color="auto"/>
        <w:right w:val="none" w:sz="0" w:space="0" w:color="auto"/>
      </w:divBdr>
    </w:div>
    <w:div w:id="792481541">
      <w:bodyDiv w:val="1"/>
      <w:marLeft w:val="0"/>
      <w:marRight w:val="0"/>
      <w:marTop w:val="0"/>
      <w:marBottom w:val="0"/>
      <w:divBdr>
        <w:top w:val="none" w:sz="0" w:space="0" w:color="auto"/>
        <w:left w:val="none" w:sz="0" w:space="0" w:color="auto"/>
        <w:bottom w:val="none" w:sz="0" w:space="0" w:color="auto"/>
        <w:right w:val="none" w:sz="0" w:space="0" w:color="auto"/>
      </w:divBdr>
    </w:div>
    <w:div w:id="891110922">
      <w:bodyDiv w:val="1"/>
      <w:marLeft w:val="0"/>
      <w:marRight w:val="0"/>
      <w:marTop w:val="0"/>
      <w:marBottom w:val="0"/>
      <w:divBdr>
        <w:top w:val="none" w:sz="0" w:space="0" w:color="auto"/>
        <w:left w:val="none" w:sz="0" w:space="0" w:color="auto"/>
        <w:bottom w:val="none" w:sz="0" w:space="0" w:color="auto"/>
        <w:right w:val="none" w:sz="0" w:space="0" w:color="auto"/>
      </w:divBdr>
    </w:div>
    <w:div w:id="1167014588">
      <w:bodyDiv w:val="1"/>
      <w:marLeft w:val="0"/>
      <w:marRight w:val="0"/>
      <w:marTop w:val="0"/>
      <w:marBottom w:val="0"/>
      <w:divBdr>
        <w:top w:val="none" w:sz="0" w:space="0" w:color="auto"/>
        <w:left w:val="none" w:sz="0" w:space="0" w:color="auto"/>
        <w:bottom w:val="none" w:sz="0" w:space="0" w:color="auto"/>
        <w:right w:val="none" w:sz="0" w:space="0" w:color="auto"/>
      </w:divBdr>
    </w:div>
    <w:div w:id="1327169897">
      <w:bodyDiv w:val="1"/>
      <w:marLeft w:val="0"/>
      <w:marRight w:val="0"/>
      <w:marTop w:val="0"/>
      <w:marBottom w:val="0"/>
      <w:divBdr>
        <w:top w:val="none" w:sz="0" w:space="0" w:color="auto"/>
        <w:left w:val="none" w:sz="0" w:space="0" w:color="auto"/>
        <w:bottom w:val="none" w:sz="0" w:space="0" w:color="auto"/>
        <w:right w:val="none" w:sz="0" w:space="0" w:color="auto"/>
      </w:divBdr>
    </w:div>
    <w:div w:id="1365860855">
      <w:bodyDiv w:val="1"/>
      <w:marLeft w:val="0"/>
      <w:marRight w:val="0"/>
      <w:marTop w:val="0"/>
      <w:marBottom w:val="0"/>
      <w:divBdr>
        <w:top w:val="none" w:sz="0" w:space="0" w:color="auto"/>
        <w:left w:val="none" w:sz="0" w:space="0" w:color="auto"/>
        <w:bottom w:val="none" w:sz="0" w:space="0" w:color="auto"/>
        <w:right w:val="none" w:sz="0" w:space="0" w:color="auto"/>
      </w:divBdr>
    </w:div>
    <w:div w:id="1414157236">
      <w:bodyDiv w:val="1"/>
      <w:marLeft w:val="0"/>
      <w:marRight w:val="0"/>
      <w:marTop w:val="0"/>
      <w:marBottom w:val="0"/>
      <w:divBdr>
        <w:top w:val="none" w:sz="0" w:space="0" w:color="auto"/>
        <w:left w:val="none" w:sz="0" w:space="0" w:color="auto"/>
        <w:bottom w:val="none" w:sz="0" w:space="0" w:color="auto"/>
        <w:right w:val="none" w:sz="0" w:space="0" w:color="auto"/>
      </w:divBdr>
    </w:div>
    <w:div w:id="1435977572">
      <w:bodyDiv w:val="1"/>
      <w:marLeft w:val="0"/>
      <w:marRight w:val="0"/>
      <w:marTop w:val="0"/>
      <w:marBottom w:val="0"/>
      <w:divBdr>
        <w:top w:val="none" w:sz="0" w:space="0" w:color="auto"/>
        <w:left w:val="none" w:sz="0" w:space="0" w:color="auto"/>
        <w:bottom w:val="none" w:sz="0" w:space="0" w:color="auto"/>
        <w:right w:val="none" w:sz="0" w:space="0" w:color="auto"/>
      </w:divBdr>
    </w:div>
    <w:div w:id="1487017011">
      <w:bodyDiv w:val="1"/>
      <w:marLeft w:val="0"/>
      <w:marRight w:val="0"/>
      <w:marTop w:val="0"/>
      <w:marBottom w:val="0"/>
      <w:divBdr>
        <w:top w:val="none" w:sz="0" w:space="0" w:color="auto"/>
        <w:left w:val="none" w:sz="0" w:space="0" w:color="auto"/>
        <w:bottom w:val="none" w:sz="0" w:space="0" w:color="auto"/>
        <w:right w:val="none" w:sz="0" w:space="0" w:color="auto"/>
      </w:divBdr>
    </w:div>
    <w:div w:id="1515651831">
      <w:bodyDiv w:val="1"/>
      <w:marLeft w:val="0"/>
      <w:marRight w:val="0"/>
      <w:marTop w:val="0"/>
      <w:marBottom w:val="0"/>
      <w:divBdr>
        <w:top w:val="none" w:sz="0" w:space="0" w:color="auto"/>
        <w:left w:val="none" w:sz="0" w:space="0" w:color="auto"/>
        <w:bottom w:val="none" w:sz="0" w:space="0" w:color="auto"/>
        <w:right w:val="none" w:sz="0" w:space="0" w:color="auto"/>
      </w:divBdr>
    </w:div>
    <w:div w:id="1564019801">
      <w:bodyDiv w:val="1"/>
      <w:marLeft w:val="0"/>
      <w:marRight w:val="0"/>
      <w:marTop w:val="0"/>
      <w:marBottom w:val="0"/>
      <w:divBdr>
        <w:top w:val="none" w:sz="0" w:space="0" w:color="auto"/>
        <w:left w:val="none" w:sz="0" w:space="0" w:color="auto"/>
        <w:bottom w:val="none" w:sz="0" w:space="0" w:color="auto"/>
        <w:right w:val="none" w:sz="0" w:space="0" w:color="auto"/>
      </w:divBdr>
    </w:div>
    <w:div w:id="1785463638">
      <w:bodyDiv w:val="1"/>
      <w:marLeft w:val="0"/>
      <w:marRight w:val="0"/>
      <w:marTop w:val="0"/>
      <w:marBottom w:val="0"/>
      <w:divBdr>
        <w:top w:val="none" w:sz="0" w:space="0" w:color="auto"/>
        <w:left w:val="none" w:sz="0" w:space="0" w:color="auto"/>
        <w:bottom w:val="none" w:sz="0" w:space="0" w:color="auto"/>
        <w:right w:val="none" w:sz="0" w:space="0" w:color="auto"/>
      </w:divBdr>
    </w:div>
    <w:div w:id="1803229587">
      <w:bodyDiv w:val="1"/>
      <w:marLeft w:val="0"/>
      <w:marRight w:val="0"/>
      <w:marTop w:val="0"/>
      <w:marBottom w:val="0"/>
      <w:divBdr>
        <w:top w:val="none" w:sz="0" w:space="0" w:color="auto"/>
        <w:left w:val="none" w:sz="0" w:space="0" w:color="auto"/>
        <w:bottom w:val="none" w:sz="0" w:space="0" w:color="auto"/>
        <w:right w:val="none" w:sz="0" w:space="0" w:color="auto"/>
      </w:divBdr>
    </w:div>
    <w:div w:id="1901794078">
      <w:bodyDiv w:val="1"/>
      <w:marLeft w:val="0"/>
      <w:marRight w:val="0"/>
      <w:marTop w:val="0"/>
      <w:marBottom w:val="0"/>
      <w:divBdr>
        <w:top w:val="none" w:sz="0" w:space="0" w:color="auto"/>
        <w:left w:val="none" w:sz="0" w:space="0" w:color="auto"/>
        <w:bottom w:val="none" w:sz="0" w:space="0" w:color="auto"/>
        <w:right w:val="none" w:sz="0" w:space="0" w:color="auto"/>
      </w:divBdr>
    </w:div>
    <w:div w:id="194395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elt/ccv05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29/sje.v7i0.14462" TargetMode="External"/><Relationship Id="rId12" Type="http://schemas.openxmlformats.org/officeDocument/2006/relationships/hyperlink" Target="https://sloap.org/journals/index.php/irjm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jase.org/index.php/ijase/article/view/10" TargetMode="External"/><Relationship Id="rId5" Type="http://schemas.openxmlformats.org/officeDocument/2006/relationships/footnotes" Target="footnotes.xml"/><Relationship Id="rId10" Type="http://schemas.openxmlformats.org/officeDocument/2006/relationships/hyperlink" Target="http://www.ater.org.tw/journal/article/14-2/free/16.pdf" TargetMode="External"/><Relationship Id="rId4" Type="http://schemas.openxmlformats.org/officeDocument/2006/relationships/webSettings" Target="webSettings.xml"/><Relationship Id="rId9" Type="http://schemas.openxmlformats.org/officeDocument/2006/relationships/hyperlink" Target="https://www.diva-portal.org/smash/get/diva2:1495411/fulltext01.pdf"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17</Pages>
  <Words>5036</Words>
  <Characters>31330</Characters>
  <Application>Microsoft Office Word</Application>
  <DocSecurity>0</DocSecurity>
  <Lines>549</Lines>
  <Paragraphs>134</Paragraphs>
  <ScaleCrop>false</ScaleCrop>
  <Company/>
  <LinksUpToDate>false</LinksUpToDate>
  <CharactersWithSpaces>36232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Li (2407513)</dc:creator>
  <cp:keywords/>
  <dc:description/>
  <cp:lastModifiedBy>Li Li (2407513)</cp:lastModifiedBy>
  <cp:revision>177</cp:revision>
  <dcterms:created xsi:type="dcterms:W3CDTF">2025-04-14T11:29:00Z</dcterms:created>
  <dcterms:modified xsi:type="dcterms:W3CDTF">2025-04-14T22:34:00Z</dcterms:modified>
</cp:coreProperties>
</file>