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1B9DD" w14:textId="77777777" w:rsidR="00B67ABA" w:rsidRDefault="00226ED6">
      <w:pPr>
        <w:spacing w:before="0" w:after="160" w:line="259" w:lineRule="auto"/>
        <w:jc w:val="left"/>
      </w:pPr>
      <w:r w:rsidRPr="00226ED6">
        <w:rPr>
          <w:noProof/>
        </w:rPr>
        <w:drawing>
          <wp:inline distT="0" distB="0" distL="0" distR="0" wp14:anchorId="49D7D863" wp14:editId="789530DE">
            <wp:extent cx="2149026" cy="76206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9026" cy="762066"/>
                    </a:xfrm>
                    <a:prstGeom prst="rect">
                      <a:avLst/>
                    </a:prstGeom>
                  </pic:spPr>
                </pic:pic>
              </a:graphicData>
            </a:graphic>
          </wp:inline>
        </w:drawing>
      </w:r>
      <w:r w:rsidRPr="00226ED6">
        <w:t xml:space="preserve"> </w:t>
      </w:r>
    </w:p>
    <w:p w14:paraId="0FC7B839" w14:textId="77777777" w:rsidR="00B67ABA" w:rsidRDefault="00B67ABA">
      <w:pPr>
        <w:spacing w:before="0" w:after="160" w:line="259" w:lineRule="auto"/>
        <w:jc w:val="left"/>
      </w:pPr>
    </w:p>
    <w:p w14:paraId="3A197E8E" w14:textId="77777777" w:rsidR="00B67ABA" w:rsidRDefault="00B67ABA" w:rsidP="00B67ABA">
      <w:pPr>
        <w:spacing w:before="0" w:after="160" w:line="259" w:lineRule="auto"/>
        <w:jc w:val="center"/>
      </w:pPr>
    </w:p>
    <w:p w14:paraId="44DDF98F" w14:textId="77777777" w:rsidR="00B67ABA" w:rsidRPr="00B67ABA" w:rsidRDefault="00B67ABA" w:rsidP="00B67ABA">
      <w:pPr>
        <w:spacing w:before="0" w:after="160" w:line="259" w:lineRule="auto"/>
        <w:jc w:val="center"/>
        <w:rPr>
          <w:b/>
          <w:bCs/>
          <w:sz w:val="48"/>
          <w:szCs w:val="44"/>
        </w:rPr>
      </w:pPr>
      <w:r w:rsidRPr="00B67ABA">
        <w:rPr>
          <w:b/>
          <w:bCs/>
          <w:sz w:val="48"/>
          <w:szCs w:val="44"/>
        </w:rPr>
        <w:t>Module: Community Engagement</w:t>
      </w:r>
    </w:p>
    <w:p w14:paraId="3DAEF036" w14:textId="03B04BA1" w:rsidR="00B67ABA" w:rsidRDefault="00B67ABA" w:rsidP="00B67ABA">
      <w:pPr>
        <w:spacing w:before="0" w:after="160" w:line="259" w:lineRule="auto"/>
        <w:jc w:val="center"/>
        <w:rPr>
          <w:sz w:val="48"/>
          <w:szCs w:val="44"/>
        </w:rPr>
      </w:pPr>
      <w:r w:rsidRPr="00B67ABA">
        <w:rPr>
          <w:b/>
          <w:bCs/>
          <w:sz w:val="48"/>
          <w:szCs w:val="44"/>
        </w:rPr>
        <w:t>Module code: LCBB4011</w:t>
      </w:r>
    </w:p>
    <w:p w14:paraId="304A16DD" w14:textId="77777777" w:rsidR="00B67ABA" w:rsidRDefault="00B67ABA" w:rsidP="00B67ABA">
      <w:pPr>
        <w:spacing w:before="0" w:after="160" w:line="259" w:lineRule="auto"/>
        <w:jc w:val="left"/>
        <w:rPr>
          <w:sz w:val="48"/>
          <w:szCs w:val="44"/>
        </w:rPr>
      </w:pPr>
    </w:p>
    <w:p w14:paraId="50046914" w14:textId="1D52143E" w:rsidR="00B67ABA" w:rsidRDefault="00B67ABA" w:rsidP="00B67ABA">
      <w:pPr>
        <w:spacing w:before="0" w:after="160" w:line="259" w:lineRule="auto"/>
        <w:jc w:val="left"/>
        <w:rPr>
          <w:sz w:val="48"/>
          <w:szCs w:val="44"/>
        </w:rPr>
      </w:pPr>
    </w:p>
    <w:p w14:paraId="70DF3D33" w14:textId="3F3BD3F3" w:rsidR="00B67ABA" w:rsidRDefault="00B67ABA" w:rsidP="00B67ABA">
      <w:pPr>
        <w:spacing w:before="0" w:after="160" w:line="259" w:lineRule="auto"/>
        <w:jc w:val="left"/>
        <w:rPr>
          <w:sz w:val="48"/>
          <w:szCs w:val="44"/>
        </w:rPr>
      </w:pPr>
    </w:p>
    <w:p w14:paraId="753EE605" w14:textId="090B385E" w:rsidR="00B67ABA" w:rsidRDefault="00B67ABA" w:rsidP="00B67ABA">
      <w:pPr>
        <w:spacing w:before="0" w:after="160" w:line="259" w:lineRule="auto"/>
        <w:jc w:val="left"/>
        <w:rPr>
          <w:sz w:val="48"/>
          <w:szCs w:val="44"/>
        </w:rPr>
      </w:pPr>
    </w:p>
    <w:p w14:paraId="0E7E2D04" w14:textId="77777777" w:rsidR="00B67ABA" w:rsidRDefault="00B67ABA" w:rsidP="00B67ABA">
      <w:pPr>
        <w:spacing w:before="0" w:after="160" w:line="259" w:lineRule="auto"/>
        <w:jc w:val="left"/>
        <w:rPr>
          <w:sz w:val="48"/>
          <w:szCs w:val="44"/>
        </w:rPr>
      </w:pPr>
    </w:p>
    <w:p w14:paraId="6BF905AA" w14:textId="4F95071C" w:rsidR="00B67ABA" w:rsidRPr="00B67ABA" w:rsidRDefault="00B67ABA" w:rsidP="00B67ABA">
      <w:pPr>
        <w:spacing w:before="0" w:after="160" w:line="259" w:lineRule="auto"/>
        <w:jc w:val="left"/>
        <w:rPr>
          <w:b/>
          <w:bCs/>
          <w:sz w:val="28"/>
          <w:szCs w:val="24"/>
        </w:rPr>
      </w:pPr>
      <w:r w:rsidRPr="00B67ABA">
        <w:rPr>
          <w:b/>
          <w:bCs/>
          <w:sz w:val="28"/>
          <w:szCs w:val="24"/>
        </w:rPr>
        <w:t>Student Name:</w:t>
      </w:r>
      <w:r w:rsidR="00E763E6">
        <w:rPr>
          <w:b/>
          <w:bCs/>
          <w:sz w:val="28"/>
          <w:szCs w:val="24"/>
        </w:rPr>
        <w:t xml:space="preserve"> Iuliana Gorgan</w:t>
      </w:r>
    </w:p>
    <w:p w14:paraId="19A13B1B" w14:textId="5A31AEE2" w:rsidR="005426DA" w:rsidRDefault="00B67ABA" w:rsidP="00B67ABA">
      <w:pPr>
        <w:spacing w:before="0" w:after="160" w:line="259" w:lineRule="auto"/>
        <w:jc w:val="left"/>
        <w:rPr>
          <w:rFonts w:eastAsiaTheme="majorEastAsia" w:cstheme="majorBidi"/>
          <w:b/>
          <w:sz w:val="32"/>
          <w:szCs w:val="32"/>
        </w:rPr>
      </w:pPr>
      <w:r w:rsidRPr="00B67ABA">
        <w:rPr>
          <w:b/>
          <w:bCs/>
          <w:sz w:val="28"/>
          <w:szCs w:val="24"/>
        </w:rPr>
        <w:t>Student Id:</w:t>
      </w:r>
      <w:r w:rsidR="00E763E6">
        <w:rPr>
          <w:b/>
          <w:bCs/>
          <w:sz w:val="28"/>
          <w:szCs w:val="24"/>
        </w:rPr>
        <w:t xml:space="preserve"> 2210792</w:t>
      </w:r>
      <w:r w:rsidR="005426DA">
        <w:br w:type="page"/>
      </w:r>
    </w:p>
    <w:sdt>
      <w:sdtPr>
        <w:rPr>
          <w:rFonts w:ascii="Times New Roman" w:eastAsiaTheme="minorHAnsi" w:hAnsi="Times New Roman" w:cstheme="minorBidi"/>
          <w:color w:val="auto"/>
          <w:kern w:val="2"/>
          <w:sz w:val="24"/>
          <w:szCs w:val="22"/>
          <w:lang w:val="en-GB"/>
          <w14:ligatures w14:val="standardContextual"/>
        </w:rPr>
        <w:id w:val="-1897579764"/>
        <w:docPartObj>
          <w:docPartGallery w:val="Table of Contents"/>
          <w:docPartUnique/>
        </w:docPartObj>
      </w:sdtPr>
      <w:sdtEndPr>
        <w:rPr>
          <w:b/>
          <w:bCs/>
          <w:noProof/>
        </w:rPr>
      </w:sdtEndPr>
      <w:sdtContent>
        <w:p w14:paraId="3F84E632" w14:textId="76D2DC94" w:rsidR="00B67ABA" w:rsidRDefault="00B67ABA">
          <w:pPr>
            <w:pStyle w:val="TOCHeading"/>
          </w:pPr>
          <w:r>
            <w:t>Table of Contents</w:t>
          </w:r>
        </w:p>
        <w:p w14:paraId="747254E0" w14:textId="6FB277C0" w:rsidR="00B67ABA" w:rsidRDefault="00B67ABA">
          <w:pPr>
            <w:pStyle w:val="TOC1"/>
            <w:tabs>
              <w:tab w:val="right" w:leader="dot" w:pos="9016"/>
            </w:tabs>
            <w:rPr>
              <w:noProof/>
            </w:rPr>
          </w:pPr>
          <w:r>
            <w:fldChar w:fldCharType="begin"/>
          </w:r>
          <w:r>
            <w:instrText xml:space="preserve"> TOC \o "1-3" \h \z \u </w:instrText>
          </w:r>
          <w:r>
            <w:fldChar w:fldCharType="separate"/>
          </w:r>
          <w:hyperlink w:anchor="_Toc167549174" w:history="1">
            <w:r w:rsidRPr="00802092">
              <w:rPr>
                <w:rStyle w:val="Hyperlink"/>
                <w:noProof/>
              </w:rPr>
              <w:t>Introduction</w:t>
            </w:r>
            <w:r>
              <w:rPr>
                <w:noProof/>
                <w:webHidden/>
              </w:rPr>
              <w:tab/>
            </w:r>
            <w:r>
              <w:rPr>
                <w:noProof/>
                <w:webHidden/>
              </w:rPr>
              <w:fldChar w:fldCharType="begin"/>
            </w:r>
            <w:r>
              <w:rPr>
                <w:noProof/>
                <w:webHidden/>
              </w:rPr>
              <w:instrText xml:space="preserve"> PAGEREF _Toc167549174 \h </w:instrText>
            </w:r>
            <w:r>
              <w:rPr>
                <w:noProof/>
                <w:webHidden/>
              </w:rPr>
            </w:r>
            <w:r>
              <w:rPr>
                <w:noProof/>
                <w:webHidden/>
              </w:rPr>
              <w:fldChar w:fldCharType="separate"/>
            </w:r>
            <w:r>
              <w:rPr>
                <w:noProof/>
                <w:webHidden/>
              </w:rPr>
              <w:t>3</w:t>
            </w:r>
            <w:r>
              <w:rPr>
                <w:noProof/>
                <w:webHidden/>
              </w:rPr>
              <w:fldChar w:fldCharType="end"/>
            </w:r>
          </w:hyperlink>
        </w:p>
        <w:p w14:paraId="612EFCD9" w14:textId="4C1E98AD" w:rsidR="00B67ABA" w:rsidRDefault="004B6CE2">
          <w:pPr>
            <w:pStyle w:val="TOC1"/>
            <w:tabs>
              <w:tab w:val="right" w:leader="dot" w:pos="9016"/>
            </w:tabs>
            <w:rPr>
              <w:noProof/>
            </w:rPr>
          </w:pPr>
          <w:hyperlink w:anchor="_Toc167549175" w:history="1">
            <w:r w:rsidR="00B67ABA" w:rsidRPr="00802092">
              <w:rPr>
                <w:rStyle w:val="Hyperlink"/>
                <w:noProof/>
              </w:rPr>
              <w:t>Community Engagement Principles</w:t>
            </w:r>
            <w:r w:rsidR="00B67ABA">
              <w:rPr>
                <w:noProof/>
                <w:webHidden/>
              </w:rPr>
              <w:tab/>
            </w:r>
            <w:r w:rsidR="00B67ABA">
              <w:rPr>
                <w:noProof/>
                <w:webHidden/>
              </w:rPr>
              <w:fldChar w:fldCharType="begin"/>
            </w:r>
            <w:r w:rsidR="00B67ABA">
              <w:rPr>
                <w:noProof/>
                <w:webHidden/>
              </w:rPr>
              <w:instrText xml:space="preserve"> PAGEREF _Toc167549175 \h </w:instrText>
            </w:r>
            <w:r w:rsidR="00B67ABA">
              <w:rPr>
                <w:noProof/>
                <w:webHidden/>
              </w:rPr>
            </w:r>
            <w:r w:rsidR="00B67ABA">
              <w:rPr>
                <w:noProof/>
                <w:webHidden/>
              </w:rPr>
              <w:fldChar w:fldCharType="separate"/>
            </w:r>
            <w:r w:rsidR="00B67ABA">
              <w:rPr>
                <w:noProof/>
                <w:webHidden/>
              </w:rPr>
              <w:t>4</w:t>
            </w:r>
            <w:r w:rsidR="00B67ABA">
              <w:rPr>
                <w:noProof/>
                <w:webHidden/>
              </w:rPr>
              <w:fldChar w:fldCharType="end"/>
            </w:r>
          </w:hyperlink>
        </w:p>
        <w:p w14:paraId="62A70B30" w14:textId="064D4E7F" w:rsidR="00B67ABA" w:rsidRDefault="004B6CE2">
          <w:pPr>
            <w:pStyle w:val="TOC1"/>
            <w:tabs>
              <w:tab w:val="right" w:leader="dot" w:pos="9016"/>
            </w:tabs>
            <w:rPr>
              <w:noProof/>
            </w:rPr>
          </w:pPr>
          <w:hyperlink w:anchor="_Toc167549176" w:history="1">
            <w:r w:rsidR="00B67ABA" w:rsidRPr="00802092">
              <w:rPr>
                <w:rStyle w:val="Hyperlink"/>
                <w:noProof/>
              </w:rPr>
              <w:t>Planning and Design</w:t>
            </w:r>
            <w:r w:rsidR="00B67ABA">
              <w:rPr>
                <w:noProof/>
                <w:webHidden/>
              </w:rPr>
              <w:tab/>
            </w:r>
            <w:r w:rsidR="00B67ABA">
              <w:rPr>
                <w:noProof/>
                <w:webHidden/>
              </w:rPr>
              <w:fldChar w:fldCharType="begin"/>
            </w:r>
            <w:r w:rsidR="00B67ABA">
              <w:rPr>
                <w:noProof/>
                <w:webHidden/>
              </w:rPr>
              <w:instrText xml:space="preserve"> PAGEREF _Toc167549176 \h </w:instrText>
            </w:r>
            <w:r w:rsidR="00B67ABA">
              <w:rPr>
                <w:noProof/>
                <w:webHidden/>
              </w:rPr>
            </w:r>
            <w:r w:rsidR="00B67ABA">
              <w:rPr>
                <w:noProof/>
                <w:webHidden/>
              </w:rPr>
              <w:fldChar w:fldCharType="separate"/>
            </w:r>
            <w:r w:rsidR="00B67ABA">
              <w:rPr>
                <w:noProof/>
                <w:webHidden/>
              </w:rPr>
              <w:t>5</w:t>
            </w:r>
            <w:r w:rsidR="00B67ABA">
              <w:rPr>
                <w:noProof/>
                <w:webHidden/>
              </w:rPr>
              <w:fldChar w:fldCharType="end"/>
            </w:r>
          </w:hyperlink>
        </w:p>
        <w:p w14:paraId="3D652207" w14:textId="148E9556" w:rsidR="00B67ABA" w:rsidRDefault="004B6CE2">
          <w:pPr>
            <w:pStyle w:val="TOC1"/>
            <w:tabs>
              <w:tab w:val="right" w:leader="dot" w:pos="9016"/>
            </w:tabs>
            <w:rPr>
              <w:noProof/>
            </w:rPr>
          </w:pPr>
          <w:hyperlink w:anchor="_Toc167549177" w:history="1">
            <w:r w:rsidR="00B67ABA" w:rsidRPr="00802092">
              <w:rPr>
                <w:rStyle w:val="Hyperlink"/>
                <w:noProof/>
              </w:rPr>
              <w:t>Standards</w:t>
            </w:r>
            <w:r w:rsidR="00B67ABA">
              <w:rPr>
                <w:noProof/>
                <w:webHidden/>
              </w:rPr>
              <w:tab/>
            </w:r>
            <w:r w:rsidR="00B67ABA">
              <w:rPr>
                <w:noProof/>
                <w:webHidden/>
              </w:rPr>
              <w:fldChar w:fldCharType="begin"/>
            </w:r>
            <w:r w:rsidR="00B67ABA">
              <w:rPr>
                <w:noProof/>
                <w:webHidden/>
              </w:rPr>
              <w:instrText xml:space="preserve"> PAGEREF _Toc167549177 \h </w:instrText>
            </w:r>
            <w:r w:rsidR="00B67ABA">
              <w:rPr>
                <w:noProof/>
                <w:webHidden/>
              </w:rPr>
            </w:r>
            <w:r w:rsidR="00B67ABA">
              <w:rPr>
                <w:noProof/>
                <w:webHidden/>
              </w:rPr>
              <w:fldChar w:fldCharType="separate"/>
            </w:r>
            <w:r w:rsidR="00B67ABA">
              <w:rPr>
                <w:noProof/>
                <w:webHidden/>
              </w:rPr>
              <w:t>7</w:t>
            </w:r>
            <w:r w:rsidR="00B67ABA">
              <w:rPr>
                <w:noProof/>
                <w:webHidden/>
              </w:rPr>
              <w:fldChar w:fldCharType="end"/>
            </w:r>
          </w:hyperlink>
        </w:p>
        <w:p w14:paraId="6BD74E77" w14:textId="3DEFE63D" w:rsidR="00B67ABA" w:rsidRDefault="004B6CE2">
          <w:pPr>
            <w:pStyle w:val="TOC1"/>
            <w:tabs>
              <w:tab w:val="right" w:leader="dot" w:pos="9016"/>
            </w:tabs>
            <w:rPr>
              <w:noProof/>
            </w:rPr>
          </w:pPr>
          <w:hyperlink w:anchor="_Toc167549178" w:history="1">
            <w:r w:rsidR="00B67ABA" w:rsidRPr="00802092">
              <w:rPr>
                <w:rStyle w:val="Hyperlink"/>
                <w:noProof/>
              </w:rPr>
              <w:t>Evaluation and Impact</w:t>
            </w:r>
            <w:r w:rsidR="00B67ABA">
              <w:rPr>
                <w:noProof/>
                <w:webHidden/>
              </w:rPr>
              <w:tab/>
            </w:r>
            <w:r w:rsidR="00B67ABA">
              <w:rPr>
                <w:noProof/>
                <w:webHidden/>
              </w:rPr>
              <w:fldChar w:fldCharType="begin"/>
            </w:r>
            <w:r w:rsidR="00B67ABA">
              <w:rPr>
                <w:noProof/>
                <w:webHidden/>
              </w:rPr>
              <w:instrText xml:space="preserve"> PAGEREF _Toc167549178 \h </w:instrText>
            </w:r>
            <w:r w:rsidR="00B67ABA">
              <w:rPr>
                <w:noProof/>
                <w:webHidden/>
              </w:rPr>
            </w:r>
            <w:r w:rsidR="00B67ABA">
              <w:rPr>
                <w:noProof/>
                <w:webHidden/>
              </w:rPr>
              <w:fldChar w:fldCharType="separate"/>
            </w:r>
            <w:r w:rsidR="00B67ABA">
              <w:rPr>
                <w:noProof/>
                <w:webHidden/>
              </w:rPr>
              <w:t>8</w:t>
            </w:r>
            <w:r w:rsidR="00B67ABA">
              <w:rPr>
                <w:noProof/>
                <w:webHidden/>
              </w:rPr>
              <w:fldChar w:fldCharType="end"/>
            </w:r>
          </w:hyperlink>
        </w:p>
        <w:p w14:paraId="3DEA28F6" w14:textId="17A679CD" w:rsidR="00B67ABA" w:rsidRDefault="004B6CE2">
          <w:pPr>
            <w:pStyle w:val="TOC1"/>
            <w:tabs>
              <w:tab w:val="right" w:leader="dot" w:pos="9016"/>
            </w:tabs>
            <w:rPr>
              <w:noProof/>
            </w:rPr>
          </w:pPr>
          <w:hyperlink w:anchor="_Toc167549179" w:history="1">
            <w:r w:rsidR="00B67ABA" w:rsidRPr="00802092">
              <w:rPr>
                <w:rStyle w:val="Hyperlink"/>
                <w:noProof/>
              </w:rPr>
              <w:t>Links to Personal Skills</w:t>
            </w:r>
            <w:r w:rsidR="00B67ABA">
              <w:rPr>
                <w:noProof/>
                <w:webHidden/>
              </w:rPr>
              <w:tab/>
            </w:r>
            <w:r w:rsidR="00B67ABA">
              <w:rPr>
                <w:noProof/>
                <w:webHidden/>
              </w:rPr>
              <w:fldChar w:fldCharType="begin"/>
            </w:r>
            <w:r w:rsidR="00B67ABA">
              <w:rPr>
                <w:noProof/>
                <w:webHidden/>
              </w:rPr>
              <w:instrText xml:space="preserve"> PAGEREF _Toc167549179 \h </w:instrText>
            </w:r>
            <w:r w:rsidR="00B67ABA">
              <w:rPr>
                <w:noProof/>
                <w:webHidden/>
              </w:rPr>
            </w:r>
            <w:r w:rsidR="00B67ABA">
              <w:rPr>
                <w:noProof/>
                <w:webHidden/>
              </w:rPr>
              <w:fldChar w:fldCharType="separate"/>
            </w:r>
            <w:r w:rsidR="00B67ABA">
              <w:rPr>
                <w:noProof/>
                <w:webHidden/>
              </w:rPr>
              <w:t>9</w:t>
            </w:r>
            <w:r w:rsidR="00B67ABA">
              <w:rPr>
                <w:noProof/>
                <w:webHidden/>
              </w:rPr>
              <w:fldChar w:fldCharType="end"/>
            </w:r>
          </w:hyperlink>
        </w:p>
        <w:p w14:paraId="5B32376A" w14:textId="1427A882" w:rsidR="00B67ABA" w:rsidRDefault="004B6CE2">
          <w:pPr>
            <w:pStyle w:val="TOC1"/>
            <w:tabs>
              <w:tab w:val="right" w:leader="dot" w:pos="9016"/>
            </w:tabs>
            <w:rPr>
              <w:noProof/>
            </w:rPr>
          </w:pPr>
          <w:hyperlink w:anchor="_Toc167549180" w:history="1">
            <w:r w:rsidR="00B67ABA" w:rsidRPr="00802092">
              <w:rPr>
                <w:rStyle w:val="Hyperlink"/>
                <w:noProof/>
              </w:rPr>
              <w:t>Conclusion</w:t>
            </w:r>
            <w:r w:rsidR="00B67ABA">
              <w:rPr>
                <w:noProof/>
                <w:webHidden/>
              </w:rPr>
              <w:tab/>
            </w:r>
            <w:r w:rsidR="00B67ABA">
              <w:rPr>
                <w:noProof/>
                <w:webHidden/>
              </w:rPr>
              <w:fldChar w:fldCharType="begin"/>
            </w:r>
            <w:r w:rsidR="00B67ABA">
              <w:rPr>
                <w:noProof/>
                <w:webHidden/>
              </w:rPr>
              <w:instrText xml:space="preserve"> PAGEREF _Toc167549180 \h </w:instrText>
            </w:r>
            <w:r w:rsidR="00B67ABA">
              <w:rPr>
                <w:noProof/>
                <w:webHidden/>
              </w:rPr>
            </w:r>
            <w:r w:rsidR="00B67ABA">
              <w:rPr>
                <w:noProof/>
                <w:webHidden/>
              </w:rPr>
              <w:fldChar w:fldCharType="separate"/>
            </w:r>
            <w:r w:rsidR="00B67ABA">
              <w:rPr>
                <w:noProof/>
                <w:webHidden/>
              </w:rPr>
              <w:t>11</w:t>
            </w:r>
            <w:r w:rsidR="00B67ABA">
              <w:rPr>
                <w:noProof/>
                <w:webHidden/>
              </w:rPr>
              <w:fldChar w:fldCharType="end"/>
            </w:r>
          </w:hyperlink>
        </w:p>
        <w:p w14:paraId="3084B360" w14:textId="35C9B8E7" w:rsidR="00B67ABA" w:rsidRDefault="004B6CE2">
          <w:pPr>
            <w:pStyle w:val="TOC1"/>
            <w:tabs>
              <w:tab w:val="right" w:leader="dot" w:pos="9016"/>
            </w:tabs>
            <w:rPr>
              <w:noProof/>
            </w:rPr>
          </w:pPr>
          <w:hyperlink w:anchor="_Toc167549181" w:history="1">
            <w:r w:rsidR="00B67ABA" w:rsidRPr="00802092">
              <w:rPr>
                <w:rStyle w:val="Hyperlink"/>
                <w:noProof/>
              </w:rPr>
              <w:t>References</w:t>
            </w:r>
            <w:r w:rsidR="00B67ABA">
              <w:rPr>
                <w:noProof/>
                <w:webHidden/>
              </w:rPr>
              <w:tab/>
            </w:r>
            <w:r w:rsidR="00B67ABA">
              <w:rPr>
                <w:noProof/>
                <w:webHidden/>
              </w:rPr>
              <w:fldChar w:fldCharType="begin"/>
            </w:r>
            <w:r w:rsidR="00B67ABA">
              <w:rPr>
                <w:noProof/>
                <w:webHidden/>
              </w:rPr>
              <w:instrText xml:space="preserve"> PAGEREF _Toc167549181 \h </w:instrText>
            </w:r>
            <w:r w:rsidR="00B67ABA">
              <w:rPr>
                <w:noProof/>
                <w:webHidden/>
              </w:rPr>
            </w:r>
            <w:r w:rsidR="00B67ABA">
              <w:rPr>
                <w:noProof/>
                <w:webHidden/>
              </w:rPr>
              <w:fldChar w:fldCharType="separate"/>
            </w:r>
            <w:r w:rsidR="00B67ABA">
              <w:rPr>
                <w:noProof/>
                <w:webHidden/>
              </w:rPr>
              <w:t>12</w:t>
            </w:r>
            <w:r w:rsidR="00B67ABA">
              <w:rPr>
                <w:noProof/>
                <w:webHidden/>
              </w:rPr>
              <w:fldChar w:fldCharType="end"/>
            </w:r>
          </w:hyperlink>
        </w:p>
        <w:p w14:paraId="687FD5BE" w14:textId="16C74C9D" w:rsidR="00B67ABA" w:rsidRDefault="00B67ABA">
          <w:r>
            <w:rPr>
              <w:b/>
              <w:bCs/>
              <w:noProof/>
            </w:rPr>
            <w:fldChar w:fldCharType="end"/>
          </w:r>
        </w:p>
      </w:sdtContent>
    </w:sdt>
    <w:p w14:paraId="1DC988DC" w14:textId="77777777" w:rsidR="005426DA" w:rsidRDefault="005426DA">
      <w:pPr>
        <w:spacing w:before="0" w:after="160" w:line="259" w:lineRule="auto"/>
        <w:jc w:val="left"/>
        <w:rPr>
          <w:rFonts w:eastAsiaTheme="majorEastAsia" w:cstheme="majorBidi"/>
          <w:b/>
          <w:sz w:val="32"/>
          <w:szCs w:val="32"/>
        </w:rPr>
      </w:pPr>
      <w:r>
        <w:br w:type="page"/>
      </w:r>
    </w:p>
    <w:p w14:paraId="5BD4B5A2" w14:textId="596549B5" w:rsidR="00B71774" w:rsidRPr="00CD2C41" w:rsidRDefault="001A01FA" w:rsidP="001A01FA">
      <w:pPr>
        <w:pStyle w:val="Heading1"/>
      </w:pPr>
      <w:bookmarkStart w:id="0" w:name="_Toc167549174"/>
      <w:r w:rsidRPr="00CD2C41">
        <w:lastRenderedPageBreak/>
        <w:t>Introduction</w:t>
      </w:r>
      <w:bookmarkEnd w:id="0"/>
    </w:p>
    <w:p w14:paraId="4846E8FA" w14:textId="3C26DFBA" w:rsidR="00C14226" w:rsidRPr="00CD2C41" w:rsidRDefault="00C14226" w:rsidP="001A01FA">
      <w:r w:rsidRPr="00CD2C41">
        <w:t>‘The Community Food Hub Initiative’ is a new and innovative project to be implemented in Hackney, London, UK whose main task will be to address food insecurity in the community. As the global problem of food poverty deepens, known not only in developing countries but also in developed ones, and with difficulty in groups of people accessing healthy and affordable foods, the mortality rate experienced by vulnerable communities like low-income families and the elderly population, it has become utterly critical to address such issues through sustainable models</w:t>
      </w:r>
      <w:r w:rsidR="00B3090E" w:rsidRPr="00CD2C41">
        <w:t xml:space="preserve"> (Attree et al., 2011)</w:t>
      </w:r>
      <w:r w:rsidRPr="00CD2C41">
        <w:t>. Thus, the main goal of the undertaking is to adopt a stable source of funds through an easily accessible healthy food store that will further support and help uplift the community. Thus, samples of fresh produce and pantry staples, as well as knowledge materials acquired from the vendor, aim to meet the current food demands of the target audience while fostering a healthy eating environment in the long run. This project bears great potential in resolving several factors contributing to FH such as low food cart access to healthy meals, poverty, and volatile living standards</w:t>
      </w:r>
      <w:r w:rsidR="00B3090E" w:rsidRPr="00CD2C41">
        <w:t xml:space="preserve"> (Biruk &amp; Trapence, 2020)</w:t>
      </w:r>
      <w:r w:rsidRPr="00CD2C41">
        <w:t>. Working proactively with the community, its stakeholders and partners together with businesses and organi</w:t>
      </w:r>
      <w:r w:rsidR="00CD2C41">
        <w:t>s</w:t>
      </w:r>
      <w:r w:rsidRPr="00CD2C41">
        <w:t xml:space="preserve">ations, the initiative seeks to establish </w:t>
      </w:r>
      <w:r w:rsidR="00506DB3" w:rsidRPr="00CD2C41">
        <w:t xml:space="preserve">a </w:t>
      </w:r>
      <w:r w:rsidRPr="00CD2C41">
        <w:t xml:space="preserve">supportive environment that assists people and enhances community capacity. In the subsequent sections of this report, we’ll examine the programming elements and key principles regarding the Community Food Hub Initiative, the planning and design process, standards, methodologies involved in the assessment, and the importance of professional skills </w:t>
      </w:r>
      <w:r w:rsidR="00506DB3" w:rsidRPr="00CD2C41">
        <w:t>in</w:t>
      </w:r>
      <w:r w:rsidRPr="00CD2C41">
        <w:t xml:space="preserve"> this social change project.</w:t>
      </w:r>
    </w:p>
    <w:p w14:paraId="312D39E4" w14:textId="77777777" w:rsidR="001A01FA" w:rsidRPr="00CD2C41" w:rsidRDefault="001A01FA">
      <w:pPr>
        <w:spacing w:before="0" w:after="160" w:line="259" w:lineRule="auto"/>
        <w:jc w:val="left"/>
      </w:pPr>
      <w:r w:rsidRPr="00CD2C41">
        <w:br w:type="page"/>
      </w:r>
    </w:p>
    <w:p w14:paraId="146E04CE" w14:textId="1E123619" w:rsidR="001A01FA" w:rsidRPr="00CD2C41" w:rsidRDefault="001A01FA" w:rsidP="001A01FA">
      <w:pPr>
        <w:pStyle w:val="Heading1"/>
      </w:pPr>
      <w:bookmarkStart w:id="1" w:name="_Toc167549175"/>
      <w:r w:rsidRPr="00CD2C41">
        <w:lastRenderedPageBreak/>
        <w:t>Community Engagement Principles</w:t>
      </w:r>
      <w:bookmarkEnd w:id="1"/>
    </w:p>
    <w:p w14:paraId="29799B57" w14:textId="15A5019F" w:rsidR="0000258F" w:rsidRPr="00CD2C41" w:rsidRDefault="0000258F" w:rsidP="0000258F">
      <w:r w:rsidRPr="00CD2C41">
        <w:t>The principles and framework for the “Community Food Hub Initiative,” are fundamentally defined by the tenets of community engagement, especially as the concept applies to combating food insecurity in Hackney</w:t>
      </w:r>
      <w:r w:rsidR="00B3090E" w:rsidRPr="00CD2C41">
        <w:t xml:space="preserve"> (Burgess et al., 2021)</w:t>
      </w:r>
      <w:r w:rsidRPr="00CD2C41">
        <w:t>. In this part of the work, we will outline the best practices of community engagement that form the basis of the project, assess how they relate to the goals and values ​​of the project, and investigate how these principles can be promoted among the community.</w:t>
      </w:r>
    </w:p>
    <w:p w14:paraId="3D7CA7FC" w14:textId="52327D91" w:rsidR="00037B9F" w:rsidRPr="00CD2C41" w:rsidRDefault="00037B9F" w:rsidP="00037B9F">
      <w:r w:rsidRPr="00CD2C41">
        <w:t>The first of the strategic creation ideas of the Food Hub Initiative is the concept of inclusiveness. The first principle that democracy postulates is that the view of all the members of the community should be respected and taken no matter the economic status of the members. Moreover, since the project is expected to be a public food hub, it will involve the members of the community, the local businesses, the organi</w:t>
      </w:r>
      <w:r w:rsidR="00CD2C41">
        <w:t>s</w:t>
      </w:r>
      <w:r w:rsidRPr="00CD2C41">
        <w:t>ations, and the policymakers hence ensuring that the food hub delivers what the people require thus creating awareness.</w:t>
      </w:r>
    </w:p>
    <w:p w14:paraId="6669F5F9" w14:textId="2660EBB5" w:rsidR="00037B9F" w:rsidRPr="00CD2C41" w:rsidRDefault="00037B9F" w:rsidP="00037B9F">
      <w:r w:rsidRPr="00CD2C41">
        <w:t>The other principle is that of transparency whereby its systems will be easily understandable and easy to use by users. It is our policy to willfully and openly inform members of the community and to ensure complete transparency of operations at all levels of a project. This involves providing frequent operational reports, soliciting views on activity plans, and disseminating information on activities carried out and decisions made (Coy et al., 2021). Therefore, by concentrating on complete clarity, the initiative ensures that the threshold of trust within the community remains elevated; at the same time, with a foundation of trust in place, economic incentives for collaboration are provided.</w:t>
      </w:r>
    </w:p>
    <w:p w14:paraId="5D4073F0" w14:textId="40ED1C01" w:rsidR="00037B9F" w:rsidRPr="00CD2C41" w:rsidRDefault="00037B9F" w:rsidP="00037B9F">
      <w:r w:rsidRPr="00CD2C41">
        <w:t>Moreover, one of the essential components of the project, namely, the concept of employee empowerment. This vision of the Community Food Hub Initiative is, therefore, all about activeness in terms of employment, training, and development among the community members. This means simple ideas such as volunteer positions, presentations on food literacy and health, and supporting community projects. In this context, instead of focusing on victims, trying the promote an active subjectivity of individuals the concept of the initiative is to bring about change and build a stronger society against food insecurity.</w:t>
      </w:r>
    </w:p>
    <w:p w14:paraId="3720458E" w14:textId="2C2DDBC6" w:rsidR="00037B9F" w:rsidRPr="00CD2C41" w:rsidRDefault="00037B9F" w:rsidP="00037B9F">
      <w:r w:rsidRPr="00CD2C41">
        <w:t xml:space="preserve">The concept of collaboration and partnership is also one of the elements of the work being achieved on the project. Not surprisingly, the threat of food insecurity can only be </w:t>
      </w:r>
      <w:proofErr w:type="gramStart"/>
      <w:r w:rsidRPr="00CD2C41">
        <w:t xml:space="preserve">addressed </w:t>
      </w:r>
      <w:r w:rsidRPr="00CD2C41">
        <w:lastRenderedPageBreak/>
        <w:t>by all means, a</w:t>
      </w:r>
      <w:proofErr w:type="gramEnd"/>
      <w:r w:rsidRPr="00CD2C41">
        <w:t xml:space="preserve"> company, a government, a nonprofit, and hence the initiative is consciously set to involve all stakeholders, including the local and regional government, other nonprofits and for-profit organi</w:t>
      </w:r>
      <w:r w:rsidR="00CD2C41">
        <w:t>s</w:t>
      </w:r>
      <w:r w:rsidRPr="00CD2C41">
        <w:t>ations (Dessart et al., 2020). Namely, the project will seek to make various aspects of this partnership beneficial for each partner and to enhance the likelihood of success for the delivery of improved solutions to food insecurity in Hackney.</w:t>
      </w:r>
    </w:p>
    <w:p w14:paraId="1E76A859" w14:textId="34FFC9CC" w:rsidR="00037B9F" w:rsidRPr="00CD2C41" w:rsidRDefault="00037B9F" w:rsidP="00037B9F">
      <w:r w:rsidRPr="00CD2C41">
        <w:t>Evaluating their applicability to the overall strategic plan and organi</w:t>
      </w:r>
      <w:r w:rsidR="00CD2C41">
        <w:t>s</w:t>
      </w:r>
      <w:r w:rsidRPr="00CD2C41">
        <w:t xml:space="preserve">ational mission and vision </w:t>
      </w:r>
      <w:proofErr w:type="gramStart"/>
      <w:r w:rsidRPr="00CD2C41">
        <w:t>the majority of</w:t>
      </w:r>
      <w:proofErr w:type="gramEnd"/>
      <w:r w:rsidRPr="00CD2C41">
        <w:t xml:space="preserve"> the above-stated principles fit into the community food hub initiative goals. In this sense, there is a plan to connect </w:t>
      </w:r>
      <w:r w:rsidR="00D722BB" w:rsidRPr="00CD2C41">
        <w:t xml:space="preserve">the </w:t>
      </w:r>
      <w:r w:rsidRPr="00CD2C41">
        <w:t>purpose of the project with such values as inclusion, openness, capacity building, cooperation, and partnership to create a food hub that would not only help solve a food insecurity problem but also contribute to the vision of a community where people work together concerning common concerns.</w:t>
      </w:r>
    </w:p>
    <w:p w14:paraId="03049F0E" w14:textId="55248231" w:rsidR="00037B9F" w:rsidRPr="00CD2C41" w:rsidRDefault="00037B9F" w:rsidP="00037B9F">
      <w:r w:rsidRPr="00CD2C41">
        <w:t xml:space="preserve">To relay these principles to the community, the following strategies shall be used by the initiative: It involves the use of word of mouth through </w:t>
      </w:r>
      <w:proofErr w:type="gramStart"/>
      <w:r w:rsidRPr="00CD2C41">
        <w:t>word of mouth</w:t>
      </w:r>
      <w:proofErr w:type="gramEnd"/>
      <w:r w:rsidRPr="00CD2C41">
        <w:t xml:space="preserve"> forums like community meetings and newspapers, published material, flyers and newsletters, while in the online platforms the use of social media pages, project websites and so on as postulated by Fit</w:t>
      </w:r>
      <w:r w:rsidR="00CD2C41">
        <w:t>s</w:t>
      </w:r>
      <w:r w:rsidRPr="00CD2C41">
        <w:t>gerald et al. (2020). Also, in managing the initiative, effort will be made to engage with leaders of society and other influential individuals with whom the communication and advocacy for the project will be done.</w:t>
      </w:r>
    </w:p>
    <w:p w14:paraId="3F0EE57F" w14:textId="77AEFBEF" w:rsidR="0000258F" w:rsidRPr="00CD2C41" w:rsidRDefault="0000258F" w:rsidP="0000258F">
      <w:r w:rsidRPr="00CD2C41">
        <w:t>Therefore, the Community Food Hub Initiative is based on a set of core values that are embraced through participation, communication, decision-making, organisation collaboration and partnership. These principles are not only relevant to the project’s goals and ideals but also crucial for developing a reliable and integrated society. The aspirational communication approach involves sharing ideas and encouraging the Hackney inhabitants to contribute to the food hub in the way that would best suit their needs.</w:t>
      </w:r>
    </w:p>
    <w:p w14:paraId="2469E251" w14:textId="5A1A1C47" w:rsidR="001A01FA" w:rsidRPr="00CD2C41" w:rsidRDefault="001A01FA" w:rsidP="001A01FA">
      <w:pPr>
        <w:pStyle w:val="Heading1"/>
      </w:pPr>
      <w:bookmarkStart w:id="2" w:name="_Toc167549176"/>
      <w:r w:rsidRPr="00CD2C41">
        <w:t>Planning and Design</w:t>
      </w:r>
      <w:bookmarkEnd w:id="2"/>
    </w:p>
    <w:p w14:paraId="5CE17953" w14:textId="09A8FF19" w:rsidR="0000258F" w:rsidRPr="00CD2C41" w:rsidRDefault="00506DB3" w:rsidP="0000258F">
      <w:r w:rsidRPr="00CD2C41">
        <w:t>To</w:t>
      </w:r>
      <w:r w:rsidR="0000258F" w:rsidRPr="00CD2C41">
        <w:t xml:space="preserve"> effectively implement the “Community Food Hub Initiative” in Hackney, much planning and design must go into the actual program to maximi</w:t>
      </w:r>
      <w:r w:rsidR="00CD2C41">
        <w:t>s</w:t>
      </w:r>
      <w:r w:rsidR="0000258F" w:rsidRPr="00CD2C41">
        <w:t>e its potential as an asset to the community</w:t>
      </w:r>
      <w:r w:rsidR="00B3090E" w:rsidRPr="00CD2C41">
        <w:t xml:space="preserve"> (Gough et al., 2021)</w:t>
      </w:r>
      <w:r w:rsidR="0000258F" w:rsidRPr="00CD2C41">
        <w:t>. In this section we propose to describe the planning process, detail how assessment of community needs will be done and incorporated into the planning</w:t>
      </w:r>
      <w:r w:rsidR="00B67ABA">
        <w:t xml:space="preserve"> </w:t>
      </w:r>
      <w:r w:rsidR="0000258F" w:rsidRPr="00CD2C41">
        <w:lastRenderedPageBreak/>
        <w:t xml:space="preserve">and design </w:t>
      </w:r>
      <w:proofErr w:type="gramStart"/>
      <w:r w:rsidR="0000258F" w:rsidRPr="00CD2C41">
        <w:t>process, and</w:t>
      </w:r>
      <w:proofErr w:type="gramEnd"/>
      <w:r w:rsidR="0000258F" w:rsidRPr="00CD2C41">
        <w:t xml:space="preserve"> show how the stakeholders and other members of the community will be encouraged to participate in the planning and </w:t>
      </w:r>
      <w:r w:rsidRPr="00CD2C41">
        <w:t>design</w:t>
      </w:r>
      <w:r w:rsidR="0000258F" w:rsidRPr="00CD2C41">
        <w:t xml:space="preserve"> phases.</w:t>
      </w:r>
    </w:p>
    <w:p w14:paraId="7587AC61" w14:textId="0CD93A30" w:rsidR="0000258F" w:rsidRPr="00CD2C41" w:rsidRDefault="0000258F" w:rsidP="0000258F">
      <w:r w:rsidRPr="00CD2C41">
        <w:t xml:space="preserve">Several planning steps will be discussed in preparing the food hub, all of which will focus on stopping the food hub from being irrelevant in the community. The first step will be data collection on food insecurity prevalence, population distribution, and established food desert policies in Hackney. This information will then feed into the formulation of a more detailed and specific needs analysis, which will determine the exact nature of </w:t>
      </w:r>
      <w:r w:rsidR="00506DB3" w:rsidRPr="00CD2C41">
        <w:t xml:space="preserve">the </w:t>
      </w:r>
      <w:r w:rsidRPr="00CD2C41">
        <w:t>need and possible points of intervention.</w:t>
      </w:r>
    </w:p>
    <w:p w14:paraId="4D27F221" w14:textId="0499FE2F" w:rsidR="0000258F" w:rsidRPr="00CD2C41" w:rsidRDefault="0000258F" w:rsidP="0000258F">
      <w:r w:rsidRPr="00CD2C41">
        <w:t>From the results of the needs assessment, the project team will formulate a future course of action for the food hub, including its mission, missions and objectives, target beneficiaries and expected impacts</w:t>
      </w:r>
      <w:r w:rsidR="00B3090E" w:rsidRPr="00CD2C41">
        <w:t xml:space="preserve"> (Head, 2007)</w:t>
      </w:r>
      <w:r w:rsidRPr="00CD2C41">
        <w:t xml:space="preserve">. It provides a framework for the execution of the project </w:t>
      </w:r>
      <w:proofErr w:type="gramStart"/>
      <w:r w:rsidRPr="00CD2C41">
        <w:t>and also</w:t>
      </w:r>
      <w:proofErr w:type="gramEnd"/>
      <w:r w:rsidRPr="00CD2C41">
        <w:t xml:space="preserve"> helps to refer to for </w:t>
      </w:r>
      <w:r w:rsidR="00506DB3" w:rsidRPr="00CD2C41">
        <w:t>decision-making</w:t>
      </w:r>
      <w:r w:rsidRPr="00CD2C41">
        <w:t xml:space="preserve"> when designing it.</w:t>
      </w:r>
    </w:p>
    <w:p w14:paraId="3EA6DFAE" w14:textId="1080B6E1" w:rsidR="0000258F" w:rsidRPr="00CD2C41" w:rsidRDefault="0000258F" w:rsidP="0000258F">
      <w:r w:rsidRPr="00CD2C41">
        <w:t>Another important factor that should be taken into consideration when designing the food hub is its size and location to accommodate people with disabilities and the elderly. This will mean choosing a site that is easily accessible by public transportation and easy to navigate by persons with physical limitations or other disabilities and arranging the interior of the facility so that it is warm and inviting to such people.</w:t>
      </w:r>
    </w:p>
    <w:p w14:paraId="7C00F6FC" w14:textId="22B91423" w:rsidR="0000258F" w:rsidRPr="00CD2C41" w:rsidRDefault="0000258F" w:rsidP="0000258F">
      <w:r w:rsidRPr="00CD2C41">
        <w:t>Further, it will be equipped to feed the culturally and dietarily diverse group of Kenosha by providing fresh foods, other basic commodities, and culturally acceptable foods</w:t>
      </w:r>
      <w:r w:rsidR="00B3090E" w:rsidRPr="00CD2C41">
        <w:t xml:space="preserve"> (Henigson, 2022)</w:t>
      </w:r>
      <w:r w:rsidRPr="00CD2C41">
        <w:t>. This will be done in conjunction with the farmers and producers of foods, nutrition and health workers and other members of the community.</w:t>
      </w:r>
    </w:p>
    <w:p w14:paraId="1BE97312" w14:textId="58DE48D1" w:rsidR="00D722BB" w:rsidRPr="00CD2C41" w:rsidRDefault="00D722BB" w:rsidP="0000258F">
      <w:r w:rsidRPr="00CD2C41">
        <w:t>To ensure that the needs of the communities are properly considered to do with the food hub, the stakeholders will be involved in planning the food hub. This will involve inviting the public to attend forums and Group discussions or conduct a set of meetings to receive the public’s perception and opinion concerning new programs (Hügel &amp; Davies, 2020). Additionally, there will be this ongoing advisory council that will have members of different stakeholders to oversee the program.</w:t>
      </w:r>
    </w:p>
    <w:p w14:paraId="5149F861" w14:textId="334F1B54" w:rsidR="0000258F" w:rsidRPr="00CD2C41" w:rsidRDefault="0000258F" w:rsidP="0000258F">
      <w:r w:rsidRPr="00CD2C41">
        <w:t xml:space="preserve">In addition, active community engagement will be encouraged in the planning and design stages of the project </w:t>
      </w:r>
      <w:proofErr w:type="gramStart"/>
      <w:r w:rsidRPr="00CD2C41">
        <w:t>through the use of</w:t>
      </w:r>
      <w:proofErr w:type="gramEnd"/>
      <w:r w:rsidRPr="00CD2C41">
        <w:t xml:space="preserve"> different engagement approaches by the project team. This may require hiring and training staff to help with recruitment for the public engagement </w:t>
      </w:r>
      <w:r w:rsidRPr="00CD2C41">
        <w:lastRenderedPageBreak/>
        <w:t>process, designing and organi</w:t>
      </w:r>
      <w:r w:rsidR="00CD2C41">
        <w:t>s</w:t>
      </w:r>
      <w:r w:rsidRPr="00CD2C41">
        <w:t>ing focus group discussions and design charettes, and creating ways for the residents to design input through social media or group meetings.</w:t>
      </w:r>
    </w:p>
    <w:p w14:paraId="7C30FC50" w14:textId="70DE41D6" w:rsidR="0000258F" w:rsidRPr="00CD2C41" w:rsidRDefault="0000258F" w:rsidP="0000258F">
      <w:r w:rsidRPr="00CD2C41">
        <w:t xml:space="preserve">In its approach to planning and designing the food hub, the initiative is to include the Hackney inhabitants </w:t>
      </w:r>
      <w:r w:rsidR="00506DB3" w:rsidRPr="00CD2C41">
        <w:t>so that</w:t>
      </w:r>
      <w:r w:rsidRPr="00CD2C41">
        <w:t xml:space="preserve"> what is produced captures their </w:t>
      </w:r>
      <w:r w:rsidR="00506DB3" w:rsidRPr="00CD2C41">
        <w:t>dreams</w:t>
      </w:r>
      <w:r w:rsidRPr="00CD2C41">
        <w:t xml:space="preserve"> and standards</w:t>
      </w:r>
      <w:r w:rsidR="00B3090E" w:rsidRPr="00CD2C41">
        <w:t xml:space="preserve"> (Jewett et al., 2021)</w:t>
      </w:r>
      <w:r w:rsidRPr="00CD2C41">
        <w:t>. Thus, the approach is helpful not only in contributing to effective cooperation between the community and project leaders but also in ensuring the project’s success in the long term.</w:t>
      </w:r>
    </w:p>
    <w:p w14:paraId="26269ECC" w14:textId="1DB42A25" w:rsidR="0000258F" w:rsidRPr="00CD2C41" w:rsidRDefault="0000258F" w:rsidP="0000258F">
      <w:r w:rsidRPr="00CD2C41">
        <w:t>However, it should be noted that planning and design of the Community Food Hub Initiative</w:t>
      </w:r>
      <w:r w:rsidR="00D47483" w:rsidRPr="00CD2C41">
        <w:t xml:space="preserve"> </w:t>
      </w:r>
      <w:r w:rsidRPr="00CD2C41">
        <w:t>in Hackney will involve principles such as diversities, inclusiveness and community engagement. To achieve this goal, I will critically evaluate the socio-economic needs of the target community, involve stakeholders, and develop a collaborative approach to design and implement a food hub that meets the needs of the target community.</w:t>
      </w:r>
    </w:p>
    <w:p w14:paraId="20BEF5DA" w14:textId="59E0829D" w:rsidR="001A01FA" w:rsidRPr="00CD2C41" w:rsidRDefault="001A01FA" w:rsidP="001A01FA">
      <w:pPr>
        <w:pStyle w:val="Heading1"/>
      </w:pPr>
      <w:bookmarkStart w:id="3" w:name="_Toc167549177"/>
      <w:r w:rsidRPr="00CD2C41">
        <w:t>Standards</w:t>
      </w:r>
      <w:bookmarkEnd w:id="3"/>
    </w:p>
    <w:p w14:paraId="61E73BB6" w14:textId="0FD300C9" w:rsidR="00CD2C41" w:rsidRPr="00CD2C41" w:rsidRDefault="0000258F" w:rsidP="00CD2C41">
      <w:r w:rsidRPr="00CD2C41">
        <w:t xml:space="preserve">Hackney’s “Community Food Hub Initiative” works under objectives and principles meant to </w:t>
      </w:r>
      <w:r w:rsidR="00506DB3" w:rsidRPr="00CD2C41">
        <w:t>assess</w:t>
      </w:r>
      <w:r w:rsidRPr="00CD2C41">
        <w:t xml:space="preserve"> effectiveness and impact on the community. Relevant ones are legal requirements concerning food safety and hygiene rules stipulated by the Food Standards Agency FSA in England</w:t>
      </w:r>
      <w:r w:rsidR="00B3090E" w:rsidRPr="00CD2C41">
        <w:t xml:space="preserve"> (Levin et al., 2021)</w:t>
      </w:r>
      <w:r w:rsidRPr="00CD2C41">
        <w:t xml:space="preserve">. </w:t>
      </w:r>
      <w:r w:rsidR="00CD2C41" w:rsidRPr="00CD2C41">
        <w:t>This is because it will reduce all possible health issues that may be invoked by the diseases associated with the consumption of foods that pose a danger to the community members.</w:t>
      </w:r>
    </w:p>
    <w:p w14:paraId="471F61D7" w14:textId="7F43D04C" w:rsidR="007C5389" w:rsidRPr="00CD2C41" w:rsidRDefault="00CD2C41" w:rsidP="00CD2C41">
      <w:r w:rsidRPr="00CD2C41">
        <w:t>This also relates to ethical sourcing as the food served at the hub is sourced, ANS, sustainably. This entails sourcing products from suppliers with a good record of human rights particularly concerning labour relations and those who observe environmental conservation. By going for the food hub which comprises ethical sourcing, there is a combination of social and environmental goals with the improvement of access to healthy food by people.</w:t>
      </w:r>
    </w:p>
    <w:p w14:paraId="42618D42" w14:textId="208E6869" w:rsidR="0000258F" w:rsidRPr="00CD2C41" w:rsidRDefault="0000258F" w:rsidP="0000258F">
      <w:r w:rsidRPr="00CD2C41">
        <w:t>Another crucial component is accessibility standards, which would also address how the food hub will be inclusive of the disabled</w:t>
      </w:r>
      <w:r w:rsidR="00B3090E" w:rsidRPr="00CD2C41">
        <w:t xml:space="preserve"> (Marston et al., 2020)</w:t>
      </w:r>
      <w:r w:rsidRPr="00CD2C41">
        <w:t xml:space="preserve">. Factors like a ramp for wheelchairs, spaces for parking vehicles for the disabled and signs in braille or </w:t>
      </w:r>
      <w:r w:rsidR="00506DB3" w:rsidRPr="00CD2C41">
        <w:t>extra-large</w:t>
      </w:r>
      <w:r w:rsidRPr="00CD2C41">
        <w:t xml:space="preserve"> fonts are incorporated to ensure every tenant feels welcome.</w:t>
      </w:r>
    </w:p>
    <w:p w14:paraId="3725EB4A" w14:textId="3374F5EB" w:rsidR="0000258F" w:rsidRPr="00CD2C41" w:rsidRDefault="0000258F" w:rsidP="0000258F">
      <w:r w:rsidRPr="00CD2C41">
        <w:t xml:space="preserve">The project also puts in place adequate monitoring and evaluating mechanisms to ensure that these standards are met. Facility checks are performed routinely, employees and management </w:t>
      </w:r>
      <w:r w:rsidRPr="00CD2C41">
        <w:lastRenderedPageBreak/>
        <w:t>are trained continuously in food safety procedures, and ethical sourcing checks and balances are in place. It is possible to maintain open lines of communication with regulators and other stakeholders and resolve any compliance concerns as soon as possible.</w:t>
      </w:r>
    </w:p>
    <w:p w14:paraId="00FD00BF" w14:textId="129D36B9" w:rsidR="0000258F" w:rsidRPr="00CD2C41" w:rsidRDefault="0000258F" w:rsidP="0000258F">
      <w:r w:rsidRPr="00CD2C41">
        <w:t>Overall, it is suggested to explain that the implementation of quality in projects is possible through both further improvement of the approaches and the active involvement of the stakeholders</w:t>
      </w:r>
      <w:r w:rsidR="00B3090E" w:rsidRPr="00CD2C41">
        <w:t xml:space="preserve"> (Milton et al., 2012)</w:t>
      </w:r>
      <w:r w:rsidRPr="00CD2C41">
        <w:t>. The insights concerning the condition of the community, constant evaluation of business activities, and adoption of practices examined within the framework of the study are valued. This creates awareness and drives Quality and accountability to make sure that the food hub delivers its objectives and impact to the society.</w:t>
      </w:r>
    </w:p>
    <w:p w14:paraId="2684AD49" w14:textId="7FDD358B" w:rsidR="0000258F" w:rsidRPr="00CD2C41" w:rsidRDefault="0000258F" w:rsidP="0000258F">
      <w:r w:rsidRPr="00CD2C41">
        <w:t xml:space="preserve">Therefore, </w:t>
      </w:r>
      <w:proofErr w:type="gramStart"/>
      <w:r w:rsidRPr="00CD2C41">
        <w:t xml:space="preserve">the </w:t>
      </w:r>
      <w:r w:rsidR="00506DB3" w:rsidRPr="00CD2C41">
        <w:t>a</w:t>
      </w:r>
      <w:proofErr w:type="gramEnd"/>
      <w:r w:rsidR="00506DB3" w:rsidRPr="00CD2C41">
        <w:t xml:space="preserve"> </w:t>
      </w:r>
      <w:r w:rsidRPr="00CD2C41">
        <w:t>need to ensure compliance with the set standards and guidelines for the accuracy and success of the “Community Food Hub Initiative” Plan in Hackney. From the concepts of food safety, ethical sourcing, and accessibility that were adopted in the project, the following values represent their achievement: The quality and safety of clients’ products and services, promoting the ethic of safe and healthy food, responsiveness to the needs and demands of the target group, and promoting the ethic of the inclusion of people with disabilities</w:t>
      </w:r>
      <w:r w:rsidR="00B3090E" w:rsidRPr="00CD2C41">
        <w:t xml:space="preserve"> (Park &amp; Ha, 2021)</w:t>
      </w:r>
      <w:r w:rsidRPr="00CD2C41">
        <w:t xml:space="preserve">. The food hub achieves the following goals: Food security for the targeted population is assured through </w:t>
      </w:r>
      <w:r w:rsidR="00234650" w:rsidRPr="00CD2C41">
        <w:t>hemocyte</w:t>
      </w:r>
      <w:r w:rsidRPr="00CD2C41">
        <w:t xml:space="preserve"> compliance mechanisms and constant improvement measures.</w:t>
      </w:r>
    </w:p>
    <w:p w14:paraId="1BBC3E8D" w14:textId="36295199" w:rsidR="001A01FA" w:rsidRPr="00CD2C41" w:rsidRDefault="0022601E" w:rsidP="0022601E">
      <w:pPr>
        <w:pStyle w:val="Heading1"/>
      </w:pPr>
      <w:bookmarkStart w:id="4" w:name="_Toc167549178"/>
      <w:r w:rsidRPr="00CD2C41">
        <w:t>Evaluation and Impact</w:t>
      </w:r>
      <w:bookmarkEnd w:id="4"/>
    </w:p>
    <w:p w14:paraId="08F59456" w14:textId="124850F3" w:rsidR="00234650" w:rsidRPr="00CD2C41" w:rsidRDefault="00234650" w:rsidP="00234650">
      <w:r w:rsidRPr="00CD2C41">
        <w:t xml:space="preserve">To measure the impact of the “Community Food Hub Initiative” on food insecurity among residents of Hackney, it is necessary to consider the following methods for assessing its results. One approach is to set up surveys and focus group discussions with the community </w:t>
      </w:r>
      <w:r w:rsidR="00506DB3" w:rsidRPr="00CD2C41">
        <w:t>to</w:t>
      </w:r>
      <w:r w:rsidRPr="00CD2C41">
        <w:t xml:space="preserve"> get feedback on their experiences connected with the food hub</w:t>
      </w:r>
      <w:r w:rsidR="00B3090E" w:rsidRPr="00CD2C41">
        <w:t xml:space="preserve"> (Pinto et al., 2021)</w:t>
      </w:r>
      <w:r w:rsidRPr="00CD2C41">
        <w:t xml:space="preserve">. They can also be useful in comparing </w:t>
      </w:r>
      <w:r w:rsidR="00506DB3" w:rsidRPr="00CD2C41">
        <w:t xml:space="preserve">the </w:t>
      </w:r>
      <w:r w:rsidRPr="00CD2C41">
        <w:t>relative performances of the project and identifying the opportunities for change.</w:t>
      </w:r>
    </w:p>
    <w:p w14:paraId="50485C5E" w14:textId="783D3F90" w:rsidR="00234650" w:rsidRPr="00CD2C41" w:rsidRDefault="00234650" w:rsidP="00234650">
      <w:r w:rsidRPr="00CD2C41">
        <w:t xml:space="preserve">However, quantitative data like amounts of food distributed, participants’ description, shift in food insecurity rates, etc. may also be gathered to show how the project is faring after </w:t>
      </w:r>
      <w:r w:rsidR="00506DB3" w:rsidRPr="00CD2C41">
        <w:t>some time</w:t>
      </w:r>
      <w:r w:rsidR="00B3090E" w:rsidRPr="00CD2C41">
        <w:t xml:space="preserve"> (Putra et al., 2022)</w:t>
      </w:r>
      <w:r w:rsidRPr="00CD2C41">
        <w:t>. For example, the overall number of people that the project has reached, the types and quantities of food prepared and distributed, and the frequency of utili</w:t>
      </w:r>
      <w:r w:rsidR="00CD2C41">
        <w:t>s</w:t>
      </w:r>
      <w:r w:rsidRPr="00CD2C41">
        <w:t xml:space="preserve">ation are </w:t>
      </w:r>
      <w:r w:rsidRPr="00CD2C41">
        <w:lastRenderedPageBreak/>
        <w:t>useful parameters in evaluating the impact of the project towards addressing the issue of food insecurity in the targeted communities.</w:t>
      </w:r>
    </w:p>
    <w:p w14:paraId="3A872851" w14:textId="382261A2" w:rsidR="00234650" w:rsidRPr="00CD2C41" w:rsidRDefault="00234650" w:rsidP="00234650">
      <w:r w:rsidRPr="00CD2C41">
        <w:t>The social, economic and health benefits of the project in the community include not only improved access to food basics but also a whole range of positive changes. The key benefits of the food hub in the short term include enhanced access to fresh and healthier foods, food waste minimi</w:t>
      </w:r>
      <w:r w:rsidR="00CD2C41">
        <w:t>s</w:t>
      </w:r>
      <w:r w:rsidRPr="00CD2C41">
        <w:t xml:space="preserve">ation, </w:t>
      </w:r>
      <w:r w:rsidR="00506DB3" w:rsidRPr="00CD2C41">
        <w:t xml:space="preserve">and </w:t>
      </w:r>
      <w:r w:rsidRPr="00CD2C41">
        <w:t>social inclusion among citizens of the community</w:t>
      </w:r>
      <w:r w:rsidR="00A40625" w:rsidRPr="00CD2C41">
        <w:t xml:space="preserve"> (Robler et al., 2020)</w:t>
      </w:r>
      <w:r w:rsidRPr="00CD2C41">
        <w:t xml:space="preserve">. It should in the long run be useful in enhancing food security, encouraging the consumption of healthy foods and acting as a catalyst for economic growth especially for growers and sellers of </w:t>
      </w:r>
      <w:r w:rsidR="00506DB3" w:rsidRPr="00CD2C41">
        <w:t>healthy</w:t>
      </w:r>
      <w:r w:rsidRPr="00CD2C41">
        <w:t xml:space="preserve"> foods.</w:t>
      </w:r>
    </w:p>
    <w:p w14:paraId="1EEE8462" w14:textId="07C638BD" w:rsidR="00234650" w:rsidRPr="00CD2C41" w:rsidRDefault="00234650" w:rsidP="00234650">
      <w:r w:rsidRPr="00CD2C41">
        <w:t>Recommendations for communicating evaluation findings and using them to enhance project success include reporting results frequently to the stakeholders, conducting open forums to present the data and seek input, and conveying the findings through a variety of means, including social media, radio, television, and newspapers, newsletters, etc</w:t>
      </w:r>
      <w:r w:rsidR="00A40625" w:rsidRPr="00CD2C41">
        <w:t xml:space="preserve"> (Shalowitz et al., 2009)</w:t>
      </w:r>
      <w:r w:rsidRPr="00CD2C41">
        <w:t xml:space="preserve">. If the </w:t>
      </w:r>
      <w:r w:rsidR="00506DB3" w:rsidRPr="00CD2C41">
        <w:t>stakeholders</w:t>
      </w:r>
      <w:r w:rsidRPr="00CD2C41">
        <w:t xml:space="preserve"> are involved in the evaluation process and if the results derived are systematically disseminated, then the project can earn credibility besides ensuring the stakeholders </w:t>
      </w:r>
      <w:r w:rsidR="00506DB3" w:rsidRPr="00CD2C41">
        <w:t>are</w:t>
      </w:r>
      <w:r w:rsidRPr="00CD2C41">
        <w:t xml:space="preserve"> responsible for the designated goals and returns the project has made on society.</w:t>
      </w:r>
    </w:p>
    <w:p w14:paraId="4CB90007" w14:textId="4D7DC6CB" w:rsidR="00234650" w:rsidRPr="00CD2C41" w:rsidRDefault="00234650" w:rsidP="00234650">
      <w:r w:rsidRPr="00CD2C41">
        <w:t xml:space="preserve">In addition, the results of </w:t>
      </w:r>
      <w:r w:rsidR="00506DB3" w:rsidRPr="00CD2C41">
        <w:t xml:space="preserve">the </w:t>
      </w:r>
      <w:r w:rsidRPr="00CD2C41">
        <w:t xml:space="preserve">evaluation </w:t>
      </w:r>
      <w:r w:rsidR="00506DB3" w:rsidRPr="00CD2C41">
        <w:t xml:space="preserve">were </w:t>
      </w:r>
      <w:r w:rsidRPr="00CD2C41">
        <w:t>utili</w:t>
      </w:r>
      <w:r w:rsidR="00CD2C41">
        <w:t>s</w:t>
      </w:r>
      <w:r w:rsidRPr="00CD2C41">
        <w:t xml:space="preserve">ed to direct </w:t>
      </w:r>
      <w:r w:rsidR="00506DB3" w:rsidRPr="00CD2C41">
        <w:t>problem-solving</w:t>
      </w:r>
      <w:r w:rsidRPr="00CD2C41">
        <w:t xml:space="preserve"> and program improvements in facilitating </w:t>
      </w:r>
      <w:r w:rsidR="00506DB3" w:rsidRPr="00CD2C41">
        <w:t xml:space="preserve">a </w:t>
      </w:r>
      <w:r w:rsidRPr="00CD2C41">
        <w:t xml:space="preserve">strategic plan for </w:t>
      </w:r>
      <w:r w:rsidR="00506DB3" w:rsidRPr="00CD2C41">
        <w:t xml:space="preserve">the </w:t>
      </w:r>
      <w:r w:rsidRPr="00CD2C41">
        <w:t xml:space="preserve">effectiveness and sustenance of the project. For example, if the assessment includes an indication that there is a need </w:t>
      </w:r>
      <w:r w:rsidR="00506DB3" w:rsidRPr="00CD2C41">
        <w:t xml:space="preserve">for </w:t>
      </w:r>
      <w:r w:rsidRPr="00CD2C41">
        <w:t>more days during which food is to be distributed or more extensive efforts to target certain attractive populations, the project can make the necessary changes</w:t>
      </w:r>
      <w:r w:rsidR="00A40625" w:rsidRPr="00CD2C41">
        <w:t xml:space="preserve"> (Shaturaev, 2021)</w:t>
      </w:r>
      <w:r w:rsidRPr="00CD2C41">
        <w:t>. It</w:t>
      </w:r>
      <w:r w:rsidR="00506DB3" w:rsidRPr="00CD2C41">
        <w:t>, therefore,</w:t>
      </w:r>
      <w:r w:rsidRPr="00CD2C41">
        <w:t xml:space="preserve"> follows that through constant assessment of the effect of the food hub, it would be possible to guarantee that the project satisfied the needs of the people while helping Hackney address food security concerns.</w:t>
      </w:r>
    </w:p>
    <w:p w14:paraId="43A34C9B" w14:textId="75E42839" w:rsidR="0022601E" w:rsidRPr="00CD2C41" w:rsidRDefault="0022601E" w:rsidP="0022601E">
      <w:pPr>
        <w:pStyle w:val="Heading1"/>
      </w:pPr>
      <w:bookmarkStart w:id="5" w:name="_Toc167549179"/>
      <w:r w:rsidRPr="00CD2C41">
        <w:t>Links to Personal Skills</w:t>
      </w:r>
      <w:bookmarkEnd w:id="5"/>
    </w:p>
    <w:p w14:paraId="4AFBCCCD" w14:textId="52023EEF" w:rsidR="00234650" w:rsidRPr="00CD2C41" w:rsidRDefault="00234650" w:rsidP="00234650">
      <w:r w:rsidRPr="00CD2C41">
        <w:t xml:space="preserve">My skills and experiences are relevant </w:t>
      </w:r>
      <w:r w:rsidR="00506DB3" w:rsidRPr="00CD2C41">
        <w:t>to</w:t>
      </w:r>
      <w:r w:rsidRPr="00CD2C41">
        <w:t xml:space="preserve"> ensuring the success of the “Community Food Hub Initiative” project in Hackney</w:t>
      </w:r>
      <w:r w:rsidR="00A40625" w:rsidRPr="00CD2C41">
        <w:t xml:space="preserve"> (Welch &amp; Saltmarsh, 2013)</w:t>
      </w:r>
      <w:r w:rsidRPr="00CD2C41">
        <w:t>. By reviewing the entries of my Continuous Professional Development (CPD) log, I have been able to recogni</w:t>
      </w:r>
      <w:r w:rsidR="00CD2C41">
        <w:t>s</w:t>
      </w:r>
      <w:r w:rsidRPr="00CD2C41">
        <w:t xml:space="preserve">e </w:t>
      </w:r>
      <w:proofErr w:type="gramStart"/>
      <w:r w:rsidRPr="00CD2C41">
        <w:t xml:space="preserve">particular </w:t>
      </w:r>
      <w:r w:rsidRPr="00CD2C41">
        <w:lastRenderedPageBreak/>
        <w:t>skills</w:t>
      </w:r>
      <w:proofErr w:type="gramEnd"/>
      <w:r w:rsidRPr="00CD2C41">
        <w:t xml:space="preserve"> that are relevant in managing projects, engaging with communities, and solving problems that are as important when coordinating a food hub.</w:t>
      </w:r>
    </w:p>
    <w:p w14:paraId="6CFBCCCE" w14:textId="013FCAF4" w:rsidR="00234650" w:rsidRPr="00CD2C41" w:rsidRDefault="00234650" w:rsidP="00234650">
      <w:r w:rsidRPr="00CD2C41">
        <w:t xml:space="preserve">Firstly, </w:t>
      </w:r>
      <w:r w:rsidR="00506DB3" w:rsidRPr="00CD2C41">
        <w:t>by</w:t>
      </w:r>
      <w:r w:rsidRPr="00CD2C41">
        <w:t xml:space="preserve"> striking coordination ability will effectively coordinate the different activities involved in the conduct of the project including planning, design and implementation among others</w:t>
      </w:r>
      <w:r w:rsidR="00A40625" w:rsidRPr="00CD2C41">
        <w:t xml:space="preserve"> (Attree et al., 2011)</w:t>
      </w:r>
      <w:r w:rsidRPr="00CD2C41">
        <w:t>. In this way</w:t>
      </w:r>
      <w:r w:rsidR="00506DB3" w:rsidRPr="00CD2C41">
        <w:t>,</w:t>
      </w:r>
      <w:r w:rsidRPr="00CD2C41">
        <w:t xml:space="preserve"> I can organi</w:t>
      </w:r>
      <w:r w:rsidR="00CD2C41">
        <w:t>s</w:t>
      </w:r>
      <w:r w:rsidRPr="00CD2C41">
        <w:t xml:space="preserve">e the resources, time, and tasks to make sure that the food hub runs as a </w:t>
      </w:r>
      <w:r w:rsidR="00506DB3" w:rsidRPr="00CD2C41">
        <w:t>well-oiled</w:t>
      </w:r>
      <w:r w:rsidRPr="00CD2C41">
        <w:t xml:space="preserve"> machine that can respond to the needs of the community.</w:t>
      </w:r>
    </w:p>
    <w:p w14:paraId="291118D3" w14:textId="14946698" w:rsidR="00234650" w:rsidRPr="00CD2C41" w:rsidRDefault="00234650" w:rsidP="00234650">
      <w:r w:rsidRPr="00CD2C41">
        <w:t>Secondly, my communication skills will enable me to engage the right stakeholders such as people in the local community, other organi</w:t>
      </w:r>
      <w:r w:rsidR="00CD2C41">
        <w:t>s</w:t>
      </w:r>
      <w:r w:rsidRPr="00CD2C41">
        <w:t xml:space="preserve">ations and government departments. I will maintain timely and efficient communication </w:t>
      </w:r>
      <w:r w:rsidR="00506DB3" w:rsidRPr="00CD2C41">
        <w:t>to</w:t>
      </w:r>
      <w:r w:rsidRPr="00CD2C41">
        <w:t xml:space="preserve"> foster partnerships, seek feedback, and garner support for the project, which will ultimately improve its impact and longevity.</w:t>
      </w:r>
    </w:p>
    <w:p w14:paraId="594F428A" w14:textId="51C59E28" w:rsidR="00234650" w:rsidRPr="00CD2C41" w:rsidRDefault="00234650" w:rsidP="00234650">
      <w:r w:rsidRPr="00CD2C41">
        <w:t xml:space="preserve">Moreover, problem-solving skills will be crucial to </w:t>
      </w:r>
      <w:r w:rsidR="00506DB3" w:rsidRPr="00CD2C41">
        <w:t>solving</w:t>
      </w:r>
      <w:r w:rsidRPr="00CD2C41">
        <w:t xml:space="preserve"> the challenges/ obstacles that may occur when implementing a food hub</w:t>
      </w:r>
      <w:r w:rsidR="00A40625" w:rsidRPr="00CD2C41">
        <w:t xml:space="preserve"> (Biruk &amp; Trapence, 2020)</w:t>
      </w:r>
      <w:r w:rsidRPr="00CD2C41">
        <w:t xml:space="preserve">. Using </w:t>
      </w:r>
      <w:r w:rsidR="00506DB3" w:rsidRPr="00CD2C41">
        <w:t>problem-solving</w:t>
      </w:r>
      <w:r w:rsidRPr="00CD2C41">
        <w:t xml:space="preserve"> </w:t>
      </w:r>
      <w:r w:rsidR="00506DB3" w:rsidRPr="00CD2C41">
        <w:t>skills</w:t>
      </w:r>
      <w:r w:rsidRPr="00CD2C41">
        <w:t>, creativity, and flexibility, I can manage these challenges and be able to devise ways of coming up with solutions that can effectively address them without derailing the project from responding to the needs of the public.</w:t>
      </w:r>
    </w:p>
    <w:p w14:paraId="320E3449" w14:textId="19BC0061" w:rsidR="00234650" w:rsidRPr="00CD2C41" w:rsidRDefault="00234650" w:rsidP="00234650">
      <w:r w:rsidRPr="00CD2C41">
        <w:t>Moreover, through my prior experience in community development and outreach activities</w:t>
      </w:r>
      <w:r w:rsidR="00506DB3" w:rsidRPr="00CD2C41">
        <w:t>,</w:t>
      </w:r>
      <w:r w:rsidRPr="00CD2C41">
        <w:t xml:space="preserve"> I shall be able to engage and access existing social channels and contacts </w:t>
      </w:r>
      <w:r w:rsidR="00506DB3" w:rsidRPr="00CD2C41">
        <w:t>to</w:t>
      </w:r>
      <w:r w:rsidRPr="00CD2C41">
        <w:t xml:space="preserve"> enhance the efficiency and outcomes of the food hub</w:t>
      </w:r>
      <w:r w:rsidR="00A40625" w:rsidRPr="00CD2C41">
        <w:t xml:space="preserve"> (Burgess et al., 2021)</w:t>
      </w:r>
      <w:r w:rsidRPr="00CD2C41">
        <w:t>. Being able to involve the members of the community as active participants of the project and not just the target audience, I believe I can create more empowered and involved subjects, and therefore, create a more feasible and effective solution.</w:t>
      </w:r>
    </w:p>
    <w:p w14:paraId="78E765A1" w14:textId="526029EC" w:rsidR="00234650" w:rsidRPr="00CD2C41" w:rsidRDefault="00234650" w:rsidP="0022601E">
      <w:r w:rsidRPr="00CD2C41">
        <w:t>In conclusion, the course skills and experiences would be useful for the improvement of the “Community Food Hub Initiative” in Hackney and help me to effectively coordinate the project while approaching its optimal impact.</w:t>
      </w:r>
    </w:p>
    <w:p w14:paraId="195A5054" w14:textId="77777777" w:rsidR="0022601E" w:rsidRPr="00CD2C41" w:rsidRDefault="0022601E">
      <w:pPr>
        <w:spacing w:before="0" w:after="160" w:line="259" w:lineRule="auto"/>
        <w:jc w:val="left"/>
      </w:pPr>
      <w:r w:rsidRPr="00CD2C41">
        <w:br w:type="page"/>
      </w:r>
    </w:p>
    <w:p w14:paraId="17A98C72" w14:textId="10308156" w:rsidR="0022601E" w:rsidRPr="00CD2C41" w:rsidRDefault="0022601E" w:rsidP="0022601E">
      <w:pPr>
        <w:pStyle w:val="Heading1"/>
      </w:pPr>
      <w:bookmarkStart w:id="6" w:name="_Toc167549180"/>
      <w:r w:rsidRPr="00CD2C41">
        <w:lastRenderedPageBreak/>
        <w:t>Conclusion</w:t>
      </w:r>
      <w:bookmarkEnd w:id="6"/>
    </w:p>
    <w:p w14:paraId="6D21141E" w14:textId="5034E39B" w:rsidR="003F4F65" w:rsidRPr="00CD2C41" w:rsidRDefault="00234650" w:rsidP="00234650">
      <w:r w:rsidRPr="00CD2C41">
        <w:t>In conclusion, the “Community Food Hub Initiative” is a significant effort that is headed in the right direction in tackling food insecurity in Hackney, UK</w:t>
      </w:r>
      <w:r w:rsidR="00A40625" w:rsidRPr="00CD2C41">
        <w:t xml:space="preserve"> (Coy et al., 2021)</w:t>
      </w:r>
      <w:r w:rsidRPr="00CD2C41">
        <w:t>. Based on the assessment of the community engagement principles, planning and design considerations, the use of relevant standards, and the evaluation of this activity’s outcomes, it has been illustrated that the project is vital for improving people’s health by offering opportunities to get healthy food products for sale. In the future, it is possible to expand the relevant research and make additions to the development of community engagement and cooperation with local stakeholders, as well as identify the possibilities of inclusive practices to address the problems related to food security</w:t>
      </w:r>
      <w:r w:rsidR="00A40625" w:rsidRPr="00CD2C41">
        <w:t xml:space="preserve"> (Dessart et al., 2020)</w:t>
      </w:r>
      <w:r w:rsidRPr="00CD2C41">
        <w:t xml:space="preserve">. Therefore, for the next level </w:t>
      </w:r>
      <w:r w:rsidR="00506DB3" w:rsidRPr="00CD2C41">
        <w:t xml:space="preserve">of </w:t>
      </w:r>
      <w:r w:rsidRPr="00CD2C41">
        <w:t>change, we recommend diversifying and enhancing collaborations, narrowing the gaps of exclusiveness, and promoting sustainability to keep expanding the positive impacts of the Food Hub initiative in our community.</w:t>
      </w:r>
      <w:r w:rsidR="003F4F65" w:rsidRPr="00CD2C41">
        <w:br w:type="page"/>
      </w:r>
    </w:p>
    <w:p w14:paraId="26F8D153" w14:textId="6CB2982D" w:rsidR="0022601E" w:rsidRPr="00CD2C41" w:rsidRDefault="003F4F65" w:rsidP="003F4F65">
      <w:pPr>
        <w:pStyle w:val="Heading1"/>
      </w:pPr>
      <w:bookmarkStart w:id="7" w:name="_Toc167549181"/>
      <w:r w:rsidRPr="00CD2C41">
        <w:lastRenderedPageBreak/>
        <w:t>References</w:t>
      </w:r>
      <w:bookmarkEnd w:id="7"/>
    </w:p>
    <w:p w14:paraId="1A32BDBA" w14:textId="77777777" w:rsidR="00E624E7" w:rsidRPr="00CD2C41" w:rsidRDefault="00E624E7" w:rsidP="00E624E7">
      <w:r w:rsidRPr="00CD2C41">
        <w:t>Attree, P., French, B., Milton, B., Povall, S., Whitehead, M., &amp; Popay, J. (2011). The experience of community engagement for individuals: a rapid review of evidence. </w:t>
      </w:r>
      <w:r w:rsidRPr="00CD2C41">
        <w:rPr>
          <w:i/>
          <w:iCs/>
        </w:rPr>
        <w:t>Health &amp; social care in the community</w:t>
      </w:r>
      <w:r w:rsidRPr="00CD2C41">
        <w:t>, </w:t>
      </w:r>
      <w:r w:rsidRPr="00CD2C41">
        <w:rPr>
          <w:i/>
          <w:iCs/>
        </w:rPr>
        <w:t>19</w:t>
      </w:r>
      <w:r w:rsidRPr="00CD2C41">
        <w:t>(3), 250-260.</w:t>
      </w:r>
    </w:p>
    <w:p w14:paraId="27A55560" w14:textId="77777777" w:rsidR="00E624E7" w:rsidRPr="00CD2C41" w:rsidRDefault="00E624E7" w:rsidP="00E624E7">
      <w:r w:rsidRPr="00CD2C41">
        <w:t>Biruk, C., &amp; Trapence, G. (2020). Community Engagement in an Economy of Harms: Reflections from an LGBTI-rights NGO in Malawi. In </w:t>
      </w:r>
      <w:r w:rsidRPr="00CD2C41">
        <w:rPr>
          <w:i/>
          <w:iCs/>
        </w:rPr>
        <w:t>The Ethics and Politics of Community Engagement in Global Health Research</w:t>
      </w:r>
      <w:r w:rsidRPr="00CD2C41">
        <w:t> (pp. 87-98). Routledge.</w:t>
      </w:r>
    </w:p>
    <w:p w14:paraId="0CC8FE53" w14:textId="77777777" w:rsidR="00E624E7" w:rsidRPr="00CD2C41" w:rsidRDefault="00E624E7" w:rsidP="00E624E7">
      <w:r w:rsidRPr="00CD2C41">
        <w:t>Burgess, R. A., Osborne, R. H., Yongabi, K. A., Greenhalgh, T., Gurdasani, D., Kang, G., ... &amp; McKee, M. (2021). The COVID-19 vaccines rush: participatory community engagement matters more than ever. </w:t>
      </w:r>
      <w:r w:rsidRPr="00CD2C41">
        <w:rPr>
          <w:i/>
          <w:iCs/>
        </w:rPr>
        <w:t>The Lancet</w:t>
      </w:r>
      <w:r w:rsidRPr="00CD2C41">
        <w:t>, </w:t>
      </w:r>
      <w:r w:rsidRPr="00CD2C41">
        <w:rPr>
          <w:i/>
          <w:iCs/>
        </w:rPr>
        <w:t>397</w:t>
      </w:r>
      <w:r w:rsidRPr="00CD2C41">
        <w:t>(10268), 8-10.</w:t>
      </w:r>
    </w:p>
    <w:p w14:paraId="15D15D58" w14:textId="77777777" w:rsidR="00E624E7" w:rsidRPr="00CD2C41" w:rsidRDefault="00E624E7" w:rsidP="00E624E7">
      <w:r w:rsidRPr="00CD2C41">
        <w:t>Coy, D., Malekpour, S., Saeri, A. K., &amp; Dargaville, R. (2021). Rethinking community empowerment in the energy transformation: A critical review of the definitions, drivers and outcomes. </w:t>
      </w:r>
      <w:r w:rsidRPr="00CD2C41">
        <w:rPr>
          <w:i/>
          <w:iCs/>
        </w:rPr>
        <w:t>Energy Research &amp; Social Science</w:t>
      </w:r>
      <w:r w:rsidRPr="00CD2C41">
        <w:t>, </w:t>
      </w:r>
      <w:r w:rsidRPr="00CD2C41">
        <w:rPr>
          <w:i/>
          <w:iCs/>
        </w:rPr>
        <w:t>72</w:t>
      </w:r>
      <w:r w:rsidRPr="00CD2C41">
        <w:t>, 101871.</w:t>
      </w:r>
    </w:p>
    <w:p w14:paraId="1BF6AC5F" w14:textId="77777777" w:rsidR="00E624E7" w:rsidRPr="00CD2C41" w:rsidRDefault="00E624E7" w:rsidP="00E624E7">
      <w:r w:rsidRPr="00CD2C41">
        <w:t>Dessart, L., Veloutsou, C., &amp; Morgan-Thomas, A. (2020). Brand negativity: a relational perspective on anti-brand community participation. </w:t>
      </w:r>
      <w:r w:rsidRPr="00CD2C41">
        <w:rPr>
          <w:i/>
          <w:iCs/>
        </w:rPr>
        <w:t>European Journal of Marketing</w:t>
      </w:r>
      <w:r w:rsidRPr="00CD2C41">
        <w:t>, </w:t>
      </w:r>
      <w:r w:rsidRPr="00CD2C41">
        <w:rPr>
          <w:i/>
          <w:iCs/>
        </w:rPr>
        <w:t>54</w:t>
      </w:r>
      <w:r w:rsidRPr="00CD2C41">
        <w:t>(7), 1761-1785.</w:t>
      </w:r>
    </w:p>
    <w:p w14:paraId="613F8337" w14:textId="77777777" w:rsidR="00E624E7" w:rsidRPr="00CD2C41" w:rsidRDefault="00E624E7" w:rsidP="00E624E7">
      <w:r w:rsidRPr="00CD2C41">
        <w:t>Fitzgerald, H. E., Karen, B., Sonka, S. T., Furco, A., &amp; Swanson, L. (2020). The centrality of engagement in higher education. In </w:t>
      </w:r>
      <w:r w:rsidRPr="00CD2C41">
        <w:rPr>
          <w:i/>
          <w:iCs/>
        </w:rPr>
        <w:t>Building the field of higher education engagement</w:t>
      </w:r>
      <w:r w:rsidRPr="00CD2C41">
        <w:t> (pp. 201-219). Routledge.</w:t>
      </w:r>
    </w:p>
    <w:p w14:paraId="5C99B27D" w14:textId="77777777" w:rsidR="00E624E7" w:rsidRPr="00CD2C41" w:rsidRDefault="00E624E7" w:rsidP="00E624E7">
      <w:r w:rsidRPr="00CD2C41">
        <w:t>Gough, C., Weber, H., George, S., Maeder, A., &amp; Lewis, L. (2021). Location monitoring of physical activity and participation in community-dwelling older people: a scoping review. </w:t>
      </w:r>
      <w:r w:rsidRPr="00CD2C41">
        <w:rPr>
          <w:i/>
          <w:iCs/>
        </w:rPr>
        <w:t>Disability and Rehabilitation</w:t>
      </w:r>
      <w:r w:rsidRPr="00CD2C41">
        <w:t>, </w:t>
      </w:r>
      <w:r w:rsidRPr="00CD2C41">
        <w:rPr>
          <w:i/>
          <w:iCs/>
        </w:rPr>
        <w:t>43</w:t>
      </w:r>
      <w:r w:rsidRPr="00CD2C41">
        <w:t>(2), 270-283.</w:t>
      </w:r>
    </w:p>
    <w:p w14:paraId="0F6159A1" w14:textId="140C00AC" w:rsidR="00E624E7" w:rsidRPr="00CD2C41" w:rsidRDefault="00E624E7" w:rsidP="00E624E7">
      <w:r w:rsidRPr="00CD2C41">
        <w:t>Head, B. W. (2007). Community engagement: participation on whose terms</w:t>
      </w:r>
      <w:r w:rsidR="00506DB3" w:rsidRPr="00CD2C41">
        <w:t>?</w:t>
      </w:r>
      <w:r w:rsidRPr="00CD2C41">
        <w:t> </w:t>
      </w:r>
      <w:r w:rsidRPr="00CD2C41">
        <w:rPr>
          <w:i/>
          <w:iCs/>
        </w:rPr>
        <w:t>Australian journal of political science</w:t>
      </w:r>
      <w:r w:rsidRPr="00CD2C41">
        <w:t>, </w:t>
      </w:r>
      <w:r w:rsidRPr="00CD2C41">
        <w:rPr>
          <w:i/>
          <w:iCs/>
        </w:rPr>
        <w:t>42</w:t>
      </w:r>
      <w:r w:rsidRPr="00CD2C41">
        <w:t>(3), 441-454.</w:t>
      </w:r>
    </w:p>
    <w:p w14:paraId="24B81E67" w14:textId="77777777" w:rsidR="00E624E7" w:rsidRPr="00CD2C41" w:rsidRDefault="00E624E7" w:rsidP="00E624E7">
      <w:r w:rsidRPr="00CD2C41">
        <w:t>Henigson, H. (2022). </w:t>
      </w:r>
      <w:r w:rsidRPr="00CD2C41">
        <w:rPr>
          <w:i/>
          <w:iCs/>
        </w:rPr>
        <w:t>Community engagement in UN peacekeeping operations: a people-centred approach to protecting civilians</w:t>
      </w:r>
      <w:r w:rsidRPr="00CD2C41">
        <w:t>. International Peace Institute.</w:t>
      </w:r>
    </w:p>
    <w:p w14:paraId="46730FA3" w14:textId="77777777" w:rsidR="00E624E7" w:rsidRPr="00CD2C41" w:rsidRDefault="00E624E7" w:rsidP="00E624E7">
      <w:r w:rsidRPr="00CD2C41">
        <w:lastRenderedPageBreak/>
        <w:t>Hügel, S., &amp; Davies, A. R. (2020). Public participation, engagement, and climate change adaptation: A review of the research literature. </w:t>
      </w:r>
      <w:r w:rsidRPr="00CD2C41">
        <w:rPr>
          <w:i/>
          <w:iCs/>
        </w:rPr>
        <w:t>Wiley Interdisciplinary Reviews: Climate Change</w:t>
      </w:r>
      <w:r w:rsidRPr="00CD2C41">
        <w:t>, </w:t>
      </w:r>
      <w:r w:rsidRPr="00CD2C41">
        <w:rPr>
          <w:i/>
          <w:iCs/>
        </w:rPr>
        <w:t>11</w:t>
      </w:r>
      <w:r w:rsidRPr="00CD2C41">
        <w:t>(4), e645.</w:t>
      </w:r>
    </w:p>
    <w:p w14:paraId="472BBF39" w14:textId="77777777" w:rsidR="00E624E7" w:rsidRPr="00CD2C41" w:rsidRDefault="00E624E7" w:rsidP="00E624E7">
      <w:r w:rsidRPr="00CD2C41">
        <w:t>Jewett, R. L., Mah, S. M., Howell, N., &amp; Larsen, M. M. (2021). Social cohesion and community resilience during COVID-19 and pandemics: A rapid scoping review to inform the United Nations research roadmap for COVID-19 recovery. </w:t>
      </w:r>
      <w:r w:rsidRPr="00CD2C41">
        <w:rPr>
          <w:i/>
          <w:iCs/>
        </w:rPr>
        <w:t>International Journal of Health Services</w:t>
      </w:r>
      <w:r w:rsidRPr="00CD2C41">
        <w:t>, </w:t>
      </w:r>
      <w:r w:rsidRPr="00CD2C41">
        <w:rPr>
          <w:i/>
          <w:iCs/>
        </w:rPr>
        <w:t>51</w:t>
      </w:r>
      <w:r w:rsidRPr="00CD2C41">
        <w:t>(3), 325-336.</w:t>
      </w:r>
    </w:p>
    <w:p w14:paraId="7453D3D5" w14:textId="77777777" w:rsidR="00E624E7" w:rsidRPr="00CD2C41" w:rsidRDefault="00E624E7" w:rsidP="00E624E7">
      <w:r w:rsidRPr="00CD2C41">
        <w:t>Levin, M. B., Bowie, J. V., Ragsdale, S. K., Gawad, A. L., Cooper, L. A., &amp; Sharfstein, J. M. (2021). Enhancing community engagement by schools and programs of public health in the United States. </w:t>
      </w:r>
      <w:r w:rsidRPr="00CD2C41">
        <w:rPr>
          <w:i/>
          <w:iCs/>
        </w:rPr>
        <w:t>Annual Review of Public Health</w:t>
      </w:r>
      <w:r w:rsidRPr="00CD2C41">
        <w:t>, </w:t>
      </w:r>
      <w:r w:rsidRPr="00CD2C41">
        <w:rPr>
          <w:i/>
          <w:iCs/>
        </w:rPr>
        <w:t>42</w:t>
      </w:r>
      <w:r w:rsidRPr="00CD2C41">
        <w:t>, 405-421.</w:t>
      </w:r>
    </w:p>
    <w:p w14:paraId="4EF28252" w14:textId="77777777" w:rsidR="00E624E7" w:rsidRPr="00CD2C41" w:rsidRDefault="00E624E7" w:rsidP="00E624E7">
      <w:r w:rsidRPr="00CD2C41">
        <w:t>Marston, C., Renedo, A., &amp; Miles, S. (2020). Community participation is crucial in a pandemic. </w:t>
      </w:r>
      <w:r w:rsidRPr="00CD2C41">
        <w:rPr>
          <w:i/>
          <w:iCs/>
        </w:rPr>
        <w:t>The Lancet</w:t>
      </w:r>
      <w:r w:rsidRPr="00CD2C41">
        <w:t>, </w:t>
      </w:r>
      <w:r w:rsidRPr="00CD2C41">
        <w:rPr>
          <w:i/>
          <w:iCs/>
        </w:rPr>
        <w:t>395</w:t>
      </w:r>
      <w:r w:rsidRPr="00CD2C41">
        <w:t>(10238), 1676-1678.</w:t>
      </w:r>
    </w:p>
    <w:p w14:paraId="487E6C04" w14:textId="77777777" w:rsidR="00E624E7" w:rsidRPr="00CD2C41" w:rsidRDefault="00E624E7" w:rsidP="00E624E7">
      <w:r w:rsidRPr="00CD2C41">
        <w:t>Milton, B., Attree, P., French, B., Povall, S., Whitehead, M., &amp; Popay, J. (2012). The impact of community engagement on health and social outcomes: a systematic review. </w:t>
      </w:r>
      <w:r w:rsidRPr="00CD2C41">
        <w:rPr>
          <w:i/>
          <w:iCs/>
        </w:rPr>
        <w:t>Community Development Journal</w:t>
      </w:r>
      <w:r w:rsidRPr="00CD2C41">
        <w:t>, </w:t>
      </w:r>
      <w:r w:rsidRPr="00CD2C41">
        <w:rPr>
          <w:i/>
          <w:iCs/>
        </w:rPr>
        <w:t>47</w:t>
      </w:r>
      <w:r w:rsidRPr="00CD2C41">
        <w:t>(3), 316-334.</w:t>
      </w:r>
    </w:p>
    <w:p w14:paraId="3502A255" w14:textId="77777777" w:rsidR="00E624E7" w:rsidRPr="00CD2C41" w:rsidRDefault="00E624E7" w:rsidP="00E624E7">
      <w:r w:rsidRPr="00CD2C41">
        <w:t>Park, J. S., &amp; Ha, S. (2021). Developing brand loyalty through consumer engagement with brand communities in social media. </w:t>
      </w:r>
      <w:r w:rsidRPr="00CD2C41">
        <w:rPr>
          <w:i/>
          <w:iCs/>
        </w:rPr>
        <w:t>Asian Journal of Business Research</w:t>
      </w:r>
      <w:r w:rsidRPr="00CD2C41">
        <w:t>, </w:t>
      </w:r>
      <w:r w:rsidRPr="00CD2C41">
        <w:rPr>
          <w:i/>
          <w:iCs/>
        </w:rPr>
        <w:t>11</w:t>
      </w:r>
      <w:r w:rsidRPr="00CD2C41">
        <w:t>(1), 83-102.</w:t>
      </w:r>
    </w:p>
    <w:p w14:paraId="411A584B" w14:textId="77777777" w:rsidR="00E624E7" w:rsidRPr="00CD2C41" w:rsidRDefault="00E624E7" w:rsidP="00E624E7">
      <w:r w:rsidRPr="00CD2C41">
        <w:t>Pinto, R. M., Park, S., Miles, R., &amp; Ong, P. N. (2021). Community engagement in dissemination and implementation models: a narrative review. </w:t>
      </w:r>
      <w:r w:rsidRPr="00CD2C41">
        <w:rPr>
          <w:i/>
          <w:iCs/>
        </w:rPr>
        <w:t>Implementation Research and Practice</w:t>
      </w:r>
      <w:r w:rsidRPr="00CD2C41">
        <w:t>, </w:t>
      </w:r>
      <w:r w:rsidRPr="00CD2C41">
        <w:rPr>
          <w:i/>
          <w:iCs/>
        </w:rPr>
        <w:t>2</w:t>
      </w:r>
      <w:r w:rsidRPr="00CD2C41">
        <w:t>, 2633489520985305.</w:t>
      </w:r>
    </w:p>
    <w:p w14:paraId="2AB9FEAD" w14:textId="0CACB9C4" w:rsidR="00E624E7" w:rsidRPr="00CD2C41" w:rsidRDefault="00E624E7" w:rsidP="00E624E7">
      <w:r w:rsidRPr="00CD2C41">
        <w:t>Putra, I. M. Y. D., Rasmini, N. K., Gayatri, G., &amp; Ratnadi, N. M. D. (2022). Organi</w:t>
      </w:r>
      <w:r w:rsidR="00CD2C41">
        <w:t>s</w:t>
      </w:r>
      <w:r w:rsidRPr="00CD2C41">
        <w:t>ational culture as moderating the influence of internal control and community participation on fraud prevention in village fund management during the COVID-19 pandemic. </w:t>
      </w:r>
      <w:r w:rsidRPr="00CD2C41">
        <w:rPr>
          <w:i/>
          <w:iCs/>
        </w:rPr>
        <w:t>Linguistics and Culture Review</w:t>
      </w:r>
      <w:r w:rsidRPr="00CD2C41">
        <w:t>, </w:t>
      </w:r>
      <w:r w:rsidRPr="00CD2C41">
        <w:rPr>
          <w:i/>
          <w:iCs/>
        </w:rPr>
        <w:t>6</w:t>
      </w:r>
      <w:r w:rsidRPr="00CD2C41">
        <w:t>(S1), 351-362.</w:t>
      </w:r>
    </w:p>
    <w:p w14:paraId="3C6C0CFD" w14:textId="393AA9B4" w:rsidR="00E624E7" w:rsidRPr="00CD2C41" w:rsidRDefault="00E624E7" w:rsidP="00E624E7">
      <w:r w:rsidRPr="00CD2C41">
        <w:t>Robler, S. K., Inglis, S. M., Gallo, J. J., Parnell, H. E., Ivanoff, P., Ryan, S., ... &amp; Emmett, S. D. (2020). Hearing Norton Sound: community involvement in the design of a mixed methods community randomi</w:t>
      </w:r>
      <w:r w:rsidR="00CD2C41">
        <w:t>s</w:t>
      </w:r>
      <w:r w:rsidRPr="00CD2C41">
        <w:t>ed trial in 15 Alaska Native communities. </w:t>
      </w:r>
      <w:r w:rsidRPr="00CD2C41">
        <w:rPr>
          <w:i/>
          <w:iCs/>
        </w:rPr>
        <w:t>Research Involvement and Engagement</w:t>
      </w:r>
      <w:r w:rsidRPr="00CD2C41">
        <w:t>, </w:t>
      </w:r>
      <w:r w:rsidRPr="00CD2C41">
        <w:rPr>
          <w:i/>
          <w:iCs/>
        </w:rPr>
        <w:t>6</w:t>
      </w:r>
      <w:r w:rsidRPr="00CD2C41">
        <w:t>, 1-11.</w:t>
      </w:r>
    </w:p>
    <w:p w14:paraId="183B0D18" w14:textId="77777777" w:rsidR="00E624E7" w:rsidRPr="00CD2C41" w:rsidRDefault="00E624E7" w:rsidP="00E624E7">
      <w:r w:rsidRPr="00CD2C41">
        <w:lastRenderedPageBreak/>
        <w:t>Shalowitz, M. U., Isacco, A., Barquin, N., Clark-Kauffman, E., Delger, P., Nelson, D., ... &amp; Wagenaar, K. A. (2009). Community-based participatory research: a review of the literature with strategies for community engagement. </w:t>
      </w:r>
      <w:r w:rsidRPr="00CD2C41">
        <w:rPr>
          <w:i/>
          <w:iCs/>
        </w:rPr>
        <w:t>Journal of Developmental &amp; Behavioral Pediatrics</w:t>
      </w:r>
      <w:r w:rsidRPr="00CD2C41">
        <w:t>, </w:t>
      </w:r>
      <w:r w:rsidRPr="00CD2C41">
        <w:rPr>
          <w:i/>
          <w:iCs/>
        </w:rPr>
        <w:t>30</w:t>
      </w:r>
      <w:r w:rsidRPr="00CD2C41">
        <w:t>(4), 350-361.</w:t>
      </w:r>
    </w:p>
    <w:p w14:paraId="2C721AA0" w14:textId="77777777" w:rsidR="00E624E7" w:rsidRPr="00CD2C41" w:rsidRDefault="00E624E7" w:rsidP="00E624E7">
      <w:r w:rsidRPr="00CD2C41">
        <w:t>Shaturaev, J. (2021). Indonesia: superior policies and management for better education (Community development through Education). </w:t>
      </w:r>
      <w:r w:rsidRPr="00CD2C41">
        <w:rPr>
          <w:i/>
          <w:iCs/>
        </w:rPr>
        <w:t>Архив научных исследований</w:t>
      </w:r>
      <w:r w:rsidRPr="00CD2C41">
        <w:t>, </w:t>
      </w:r>
      <w:r w:rsidRPr="00CD2C41">
        <w:rPr>
          <w:i/>
          <w:iCs/>
        </w:rPr>
        <w:t>1</w:t>
      </w:r>
      <w:r w:rsidRPr="00CD2C41">
        <w:t>(1).</w:t>
      </w:r>
    </w:p>
    <w:p w14:paraId="30743BDA" w14:textId="12D64B08" w:rsidR="00E624E7" w:rsidRPr="00CD2C41" w:rsidRDefault="00E624E7" w:rsidP="00E624E7">
      <w:r w:rsidRPr="00CD2C41">
        <w:t xml:space="preserve">Welch, M., &amp; Saltmarsh, J. (2013). Best practices and infrastructures for campus </w:t>
      </w:r>
      <w:r w:rsidR="00506DB3" w:rsidRPr="00CD2C41">
        <w:t>centres</w:t>
      </w:r>
      <w:r w:rsidRPr="00CD2C41">
        <w:t xml:space="preserve"> of community engagement. In </w:t>
      </w:r>
      <w:r w:rsidRPr="00CD2C41">
        <w:rPr>
          <w:i/>
          <w:iCs/>
        </w:rPr>
        <w:t>Deepening community engagement in higher education: Forging new pathways</w:t>
      </w:r>
      <w:r w:rsidRPr="00CD2C41">
        <w:t> (pp. 183-198). New York: Palgrave Macmillan US.</w:t>
      </w:r>
    </w:p>
    <w:p w14:paraId="5387C1EC" w14:textId="77777777" w:rsidR="0022601E" w:rsidRPr="00CD2C41" w:rsidRDefault="0022601E" w:rsidP="0022601E"/>
    <w:p w14:paraId="1A276C5E" w14:textId="77777777" w:rsidR="0022601E" w:rsidRPr="00CD2C41" w:rsidRDefault="0022601E" w:rsidP="0022601E"/>
    <w:p w14:paraId="7575040C" w14:textId="77777777" w:rsidR="0022601E" w:rsidRPr="00CD2C41" w:rsidRDefault="0022601E" w:rsidP="0022601E"/>
    <w:p w14:paraId="25293F84" w14:textId="77777777" w:rsidR="0022601E" w:rsidRPr="00CD2C41" w:rsidRDefault="0022601E" w:rsidP="0022601E"/>
    <w:p w14:paraId="4CE81768" w14:textId="77777777" w:rsidR="0022601E" w:rsidRPr="00CD2C41" w:rsidRDefault="0022601E" w:rsidP="0022601E"/>
    <w:sectPr w:rsidR="0022601E" w:rsidRPr="00CD2C4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61F0B" w14:textId="77777777" w:rsidR="00E82331" w:rsidRDefault="00E82331" w:rsidP="00B67ABA">
      <w:pPr>
        <w:spacing w:before="0" w:after="0" w:line="240" w:lineRule="auto"/>
      </w:pPr>
      <w:r>
        <w:separator/>
      </w:r>
    </w:p>
  </w:endnote>
  <w:endnote w:type="continuationSeparator" w:id="0">
    <w:p w14:paraId="43E4EC9F" w14:textId="77777777" w:rsidR="00E82331" w:rsidRDefault="00E82331" w:rsidP="00B67A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5527131"/>
      <w:docPartObj>
        <w:docPartGallery w:val="Page Numbers (Bottom of Page)"/>
        <w:docPartUnique/>
      </w:docPartObj>
    </w:sdtPr>
    <w:sdtEndPr>
      <w:rPr>
        <w:noProof/>
      </w:rPr>
    </w:sdtEndPr>
    <w:sdtContent>
      <w:p w14:paraId="65B94ECD" w14:textId="55759FA4" w:rsidR="00B67ABA" w:rsidRDefault="00B67A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6C7211" w14:textId="77777777" w:rsidR="00B67ABA" w:rsidRDefault="00B67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CC4F4" w14:textId="77777777" w:rsidR="00E82331" w:rsidRDefault="00E82331" w:rsidP="00B67ABA">
      <w:pPr>
        <w:spacing w:before="0" w:after="0" w:line="240" w:lineRule="auto"/>
      </w:pPr>
      <w:r>
        <w:separator/>
      </w:r>
    </w:p>
  </w:footnote>
  <w:footnote w:type="continuationSeparator" w:id="0">
    <w:p w14:paraId="5F33C46A" w14:textId="77777777" w:rsidR="00E82331" w:rsidRDefault="00E82331" w:rsidP="00B67AB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552D8A"/>
    <w:multiLevelType w:val="hybridMultilevel"/>
    <w:tmpl w:val="69EE606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762717ED"/>
    <w:multiLevelType w:val="hybridMultilevel"/>
    <w:tmpl w:val="40E4B5F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988286430">
    <w:abstractNumId w:val="0"/>
  </w:num>
  <w:num w:numId="2" w16cid:durableId="1939754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FA"/>
    <w:rsid w:val="0000258F"/>
    <w:rsid w:val="00037B9F"/>
    <w:rsid w:val="001A01FA"/>
    <w:rsid w:val="0022601E"/>
    <w:rsid w:val="00226ED6"/>
    <w:rsid w:val="00234650"/>
    <w:rsid w:val="003F4F65"/>
    <w:rsid w:val="00506DB3"/>
    <w:rsid w:val="005426DA"/>
    <w:rsid w:val="007C5389"/>
    <w:rsid w:val="0083767E"/>
    <w:rsid w:val="00886851"/>
    <w:rsid w:val="00957798"/>
    <w:rsid w:val="00A40625"/>
    <w:rsid w:val="00B3090E"/>
    <w:rsid w:val="00B67ABA"/>
    <w:rsid w:val="00B71774"/>
    <w:rsid w:val="00C14226"/>
    <w:rsid w:val="00C649D0"/>
    <w:rsid w:val="00C70FB0"/>
    <w:rsid w:val="00CD2C41"/>
    <w:rsid w:val="00D47483"/>
    <w:rsid w:val="00D722BB"/>
    <w:rsid w:val="00E624E7"/>
    <w:rsid w:val="00E763E6"/>
    <w:rsid w:val="00E82331"/>
    <w:rsid w:val="00EC379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A3529"/>
  <w15:chartTrackingRefBased/>
  <w15:docId w15:val="{B30BC252-7F7F-4E80-8AED-AEB808AB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792"/>
    <w:pPr>
      <w:spacing w:before="120" w:after="240"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83767E"/>
    <w:pPr>
      <w:keepNext/>
      <w:keepLines/>
      <w:pBdr>
        <w:bottom w:val="single" w:sz="8" w:space="1" w:color="000000" w:themeColor="text1"/>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70FB0"/>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67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70FB0"/>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3F4F65"/>
    <w:pPr>
      <w:ind w:left="720"/>
      <w:contextualSpacing/>
    </w:pPr>
  </w:style>
  <w:style w:type="paragraph" w:styleId="TOCHeading">
    <w:name w:val="TOC Heading"/>
    <w:basedOn w:val="Heading1"/>
    <w:next w:val="Normal"/>
    <w:uiPriority w:val="39"/>
    <w:unhideWhenUsed/>
    <w:qFormat/>
    <w:rsid w:val="00B67ABA"/>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B67ABA"/>
    <w:pPr>
      <w:spacing w:after="100"/>
    </w:pPr>
  </w:style>
  <w:style w:type="character" w:styleId="Hyperlink">
    <w:name w:val="Hyperlink"/>
    <w:basedOn w:val="DefaultParagraphFont"/>
    <w:uiPriority w:val="99"/>
    <w:unhideWhenUsed/>
    <w:rsid w:val="00B67ABA"/>
    <w:rPr>
      <w:color w:val="0563C1" w:themeColor="hyperlink"/>
      <w:u w:val="single"/>
    </w:rPr>
  </w:style>
  <w:style w:type="paragraph" w:styleId="Header">
    <w:name w:val="header"/>
    <w:basedOn w:val="Normal"/>
    <w:link w:val="HeaderChar"/>
    <w:uiPriority w:val="99"/>
    <w:unhideWhenUsed/>
    <w:rsid w:val="00B67AB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67ABA"/>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B67AB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67ABA"/>
    <w:rPr>
      <w:rFonts w:ascii="Times New Roman" w:hAnsi="Times New Roman"/>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697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71EEE-E1BF-4A01-9211-2E294FF1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3716</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Iulia Gorgan</cp:lastModifiedBy>
  <cp:revision>5</cp:revision>
  <dcterms:created xsi:type="dcterms:W3CDTF">2024-05-25T11:03:00Z</dcterms:created>
  <dcterms:modified xsi:type="dcterms:W3CDTF">2024-07-06T14:06:00Z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81e26f91-7d30-477c-9c62-f98daffb83a3</vt:lpwstr>
  </property>
</Properties>
</file>