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30"/>
        </w:rPr>
        <w:t>UNIVERSITY OF WALES TRINITY SAINT DAVID</w:t>
      </w:r>
    </w:p>
    <w:p/>
    <w:p>
      <w:pPr>
        <w:jc w:val="center"/>
      </w:pPr>
      <w:r>
        <w:rPr>
          <w:rFonts w:ascii="Arial" w:hAnsi="Arial"/>
          <w:b/>
          <w:sz w:val="36"/>
        </w:rPr>
        <w:t>PORTFOLIO OF WRITTEN TASKS</w:t>
      </w:r>
    </w:p>
    <w:p>
      <w:pPr>
        <w:jc w:val="center"/>
      </w:pPr>
      <w:r>
        <w:rPr>
          <w:rFonts w:ascii="Arial" w:hAnsi="Arial"/>
          <w:b/>
          <w:sz w:val="28"/>
        </w:rPr>
        <w:t>Employability and Career Development</w:t>
      </w:r>
    </w:p>
    <w:p/>
    <w:tbl>
      <w:tblPr>
        <w:tblStyle w:val="TableGrid"/>
        <w:tblW w:type="auto" w:w="0"/>
        <w:jc w:val="center"/>
        <w:tblLook w:firstColumn="1" w:firstRow="1" w:lastColumn="0" w:lastRow="0" w:noHBand="0" w:noVBand="1" w:val="04A0"/>
      </w:tblPr>
      <w:tblGrid>
        <w:gridCol w:w="4824"/>
        <w:gridCol w:w="4824"/>
      </w:tblGrid>
      <w:tr>
        <w:tc>
          <w:tcPr>
            <w:tcW w:type="dxa" w:w="4824"/>
            <w:vAlign w:val="center"/>
            <w:shd w:fill="E7E6E6"/>
          </w:tcPr>
          <w:p>
            <w:pPr>
              <w:spacing w:line="276" w:lineRule="auto"/>
            </w:pPr>
            <w:r>
              <w:rPr>
                <w:rFonts w:ascii="Arial" w:hAnsi="Arial"/>
                <w:b/>
                <w:sz w:val="22"/>
              </w:rPr>
              <w:t>Student name</w:t>
            </w:r>
          </w:p>
        </w:tc>
        <w:tc>
          <w:tcPr>
            <w:tcW w:type="dxa" w:w="4824"/>
            <w:vAlign w:val="center"/>
          </w:tcPr>
          <w:p>
            <w:pPr>
              <w:spacing w:line="276" w:lineRule="auto"/>
            </w:pPr>
            <w:r>
              <w:rPr>
                <w:rFonts w:ascii="Arial" w:hAnsi="Arial"/>
                <w:sz w:val="22"/>
              </w:rPr>
              <w:t>Tetiana Ivakh</w:t>
            </w:r>
          </w:p>
        </w:tc>
      </w:tr>
      <w:tr>
        <w:tc>
          <w:tcPr>
            <w:tcW w:type="dxa" w:w="4824"/>
            <w:vAlign w:val="center"/>
            <w:shd w:fill="E7E6E6"/>
          </w:tcPr>
          <w:p>
            <w:pPr>
              <w:spacing w:line="276" w:lineRule="auto"/>
            </w:pPr>
            <w:r>
              <w:rPr>
                <w:rFonts w:ascii="Arial" w:hAnsi="Arial"/>
                <w:b/>
                <w:sz w:val="22"/>
              </w:rPr>
              <w:t>Student ID number</w:t>
            </w:r>
          </w:p>
        </w:tc>
        <w:tc>
          <w:tcPr>
            <w:tcW w:type="dxa" w:w="4824"/>
            <w:vAlign w:val="center"/>
          </w:tcPr>
          <w:p>
            <w:r>
              <w:rPr>
                <w:rFonts w:ascii="Arial" w:hAnsi="Arial"/>
                <w:sz w:val="22"/>
              </w:rPr>
              <w:t>24260911</w:t>
            </w:r>
          </w:p>
        </w:tc>
      </w:tr>
      <w:tr>
        <w:tc>
          <w:tcPr>
            <w:tcW w:type="dxa" w:w="4824"/>
            <w:vAlign w:val="center"/>
            <w:shd w:fill="E7E6E6"/>
          </w:tcPr>
          <w:p>
            <w:pPr>
              <w:spacing w:line="276" w:lineRule="auto"/>
            </w:pPr>
            <w:r>
              <w:rPr>
                <w:rFonts w:ascii="Arial" w:hAnsi="Arial"/>
                <w:b/>
                <w:sz w:val="22"/>
              </w:rPr>
              <w:t>Programme</w:t>
            </w:r>
          </w:p>
        </w:tc>
        <w:tc>
          <w:tcPr>
            <w:tcW w:type="dxa" w:w="4824"/>
            <w:vAlign w:val="center"/>
          </w:tcPr>
          <w:p>
            <w:pPr>
              <w:spacing w:line="276" w:lineRule="auto"/>
            </w:pPr>
            <w:r>
              <w:rPr>
                <w:rFonts w:ascii="Arial" w:hAnsi="Arial"/>
                <w:sz w:val="22"/>
              </w:rPr>
              <w:t>Cert HE Business Skills for the Workplace</w:t>
            </w:r>
          </w:p>
        </w:tc>
      </w:tr>
      <w:tr>
        <w:tc>
          <w:tcPr>
            <w:tcW w:type="dxa" w:w="4824"/>
            <w:vAlign w:val="center"/>
            <w:shd w:fill="E7E6E6"/>
          </w:tcPr>
          <w:p>
            <w:pPr>
              <w:spacing w:line="276" w:lineRule="auto"/>
            </w:pPr>
            <w:r>
              <w:rPr>
                <w:rFonts w:ascii="Arial" w:hAnsi="Arial"/>
                <w:b/>
                <w:sz w:val="22"/>
              </w:rPr>
              <w:t>Module</w:t>
            </w:r>
          </w:p>
        </w:tc>
        <w:tc>
          <w:tcPr>
            <w:tcW w:type="dxa" w:w="4824"/>
            <w:vAlign w:val="center"/>
          </w:tcPr>
          <w:p>
            <w:pPr>
              <w:spacing w:line="276" w:lineRule="auto"/>
            </w:pPr>
            <w:r>
              <w:rPr>
                <w:rFonts w:ascii="Arial" w:hAnsi="Arial"/>
                <w:sz w:val="22"/>
              </w:rPr>
              <w:t>Employability and Career Development</w:t>
            </w:r>
          </w:p>
        </w:tc>
      </w:tr>
      <w:tr>
        <w:tc>
          <w:tcPr>
            <w:tcW w:type="dxa" w:w="4824"/>
            <w:vAlign w:val="center"/>
            <w:shd w:fill="E7E6E6"/>
          </w:tcPr>
          <w:p>
            <w:pPr>
              <w:spacing w:line="276" w:lineRule="auto"/>
            </w:pPr>
            <w:r>
              <w:rPr>
                <w:rFonts w:ascii="Arial" w:hAnsi="Arial"/>
                <w:b/>
                <w:sz w:val="22"/>
              </w:rPr>
              <w:t>Module code</w:t>
            </w:r>
          </w:p>
        </w:tc>
        <w:tc>
          <w:tcPr>
            <w:tcW w:type="dxa" w:w="4824"/>
            <w:vAlign w:val="center"/>
          </w:tcPr>
          <w:p>
            <w:pPr>
              <w:spacing w:line="276" w:lineRule="auto"/>
            </w:pPr>
            <w:r>
              <w:rPr>
                <w:rFonts w:ascii="Arial" w:hAnsi="Arial"/>
                <w:sz w:val="22"/>
              </w:rPr>
              <w:t>LCLM4005</w:t>
            </w:r>
          </w:p>
        </w:tc>
      </w:tr>
      <w:tr>
        <w:tc>
          <w:tcPr>
            <w:tcW w:type="dxa" w:w="4824"/>
            <w:vAlign w:val="center"/>
            <w:shd w:fill="E7E6E6"/>
          </w:tcPr>
          <w:p>
            <w:pPr>
              <w:spacing w:line="276" w:lineRule="auto"/>
            </w:pPr>
            <w:r>
              <w:rPr>
                <w:rFonts w:ascii="Arial" w:hAnsi="Arial"/>
                <w:b/>
                <w:sz w:val="22"/>
              </w:rPr>
              <w:t>Lecturer / Module Lead</w:t>
            </w:r>
          </w:p>
        </w:tc>
        <w:tc>
          <w:tcPr>
            <w:tcW w:type="dxa" w:w="4824"/>
            <w:vAlign w:val="center"/>
          </w:tcPr>
          <w:p>
            <w:pPr>
              <w:spacing w:line="276" w:lineRule="auto"/>
            </w:pPr>
            <w:r>
              <w:rPr>
                <w:rFonts w:ascii="Arial" w:hAnsi="Arial"/>
                <w:sz w:val="22"/>
              </w:rPr>
              <w:t>Dr. Inderjit Grewal – London</w:t>
            </w:r>
          </w:p>
        </w:tc>
      </w:tr>
      <w:tr>
        <w:tc>
          <w:tcPr>
            <w:tcW w:type="dxa" w:w="4824"/>
            <w:vAlign w:val="center"/>
            <w:shd w:fill="E7E6E6"/>
          </w:tcPr>
          <w:p>
            <w:pPr>
              <w:spacing w:line="276" w:lineRule="auto"/>
            </w:pPr>
            <w:r>
              <w:rPr>
                <w:rFonts w:ascii="Arial" w:hAnsi="Arial"/>
                <w:b/>
                <w:sz w:val="22"/>
              </w:rPr>
              <w:t>Submission date</w:t>
            </w:r>
          </w:p>
        </w:tc>
        <w:tc>
          <w:tcPr>
            <w:tcW w:type="dxa" w:w="4824"/>
            <w:vAlign w:val="center"/>
          </w:tcPr>
          <w:p>
            <w:pPr>
              <w:spacing w:line="276" w:lineRule="auto"/>
            </w:pPr>
            <w:r>
              <w:rPr>
                <w:rFonts w:ascii="Arial" w:hAnsi="Arial"/>
                <w:sz w:val="22"/>
              </w:rPr>
              <w:t>18 August 2026</w:t>
            </w:r>
          </w:p>
        </w:tc>
      </w:tr>
    </w:tbl>
    <w:p>
      <w:r>
        <w:br w:type="page"/>
      </w:r>
    </w:p>
    <w:p>
      <w:pPr>
        <w:pStyle w:val="Heading1"/>
      </w:pPr>
      <w:r>
        <w:t>TASK 1 – SELECT JOB ADVERTS AND IDENTIFY KEY SKILLS</w:t>
      </w:r>
    </w:p>
    <w:p>
      <w:r>
        <w:t>For my future career, I have selected the profession of Restaurant Manager. I chose this career because I already have practical experience in restaurant management and want to continue developing towards senior hospitality leadership. To understand current employer expectations, I compared two London vacancies: Restaurant Manager at Big Easy and Restaurant Manager at Old Queen Street Café, operated by Lantana.</w:t>
      </w:r>
    </w:p>
    <w:p>
      <w:r>
        <w:t>The Big Easy vacancy focuses on managing a high-volume restaurant. Responsibilities include full restaurant operations, leading front-of-house staff while working with back-of-house teams, managing rotas and labour control, stock and cost management, supporting profit and loss performance, training employees, and maintaining health and safety standards. The employer specifically asks for strong leadership, team development, communication and organisational ability, together with knowledge of labour budgets, stock control and cost management (Big Easy Restaurants, 2026).</w:t>
      </w:r>
    </w:p>
    <w:p>
      <w:r>
        <w:t>The Old Queen Street Café vacancy has similar requirements but places additional emphasis on commercial awareness, events and private dining. The manager is expected to develop staff through coaching and feedback, maintain operational standards, support recruitment and training, manage stock and costs, monitor labour, drive sales and solve problems proactively. The advert also highlights attention to detail, ownership and the ability to motivate a team (Lantana, 2026).</w:t>
      </w:r>
    </w:p>
    <w:p>
      <w:r>
        <w:t>The comparison shows several common employability skills: leadership, team management, communication, organisation, customer service, commercial awareness, problem-solving and the ability to perform under pressure. Both employers also expect managers to control stock and labour costs and maintain high operational standards. These requirements are consistent with the National Careers Service (2026), which identifies leadership, customer service, staff motivation, business management and the ability to remain calm under pressure as important restaurant management skills.</w:t>
      </w:r>
    </w:p>
    <w:p>
      <w:r>
        <w:t>The key skill I consider most important for my future role is leadership. A restaurant manager must coordinate people rather than simply complete individual tasks. In my current work, I use leadership when organising shifts, changing staffing levels according to demand, coordinating chefs and delivery drivers, and ensuring that orders are completed on time. I also need to communicate expectations and support employees when the restaurant becomes busy. Effective leadership can therefore influence productivity, service quality and team motivation. Developing this skill further will help me move from day-to-day operational management towards a senior role where I can coach staff, manage performance and take greater responsibility for business results.</w:t>
      </w:r>
    </w:p>
    <w:p>
      <w:r>
        <w:br w:type="page"/>
      </w:r>
    </w:p>
    <w:p>
      <w:pPr>
        <w:pStyle w:val="Heading1"/>
      </w:pPr>
      <w:r>
        <w:t>TASK 2 – SELF-ASSESSMENT AND EVIDENCE OF READINESS</w:t>
      </w:r>
    </w:p>
    <w:p>
      <w:pPr>
        <w:pStyle w:val="Heading2"/>
      </w:pPr>
      <w:r>
        <w:t>Self-Assessment: SWOT Analysis</w:t>
      </w:r>
    </w:p>
    <w:p>
      <w:r>
        <w:t>Self-assessment helps an individual identify existing capabilities and areas that require development. I used a SWOT analysis to evaluate my readiness for a future management career. CIPD (2026) explains that SWOT considers internal strengths and weaknesses together with external opportunities and threats and can support planning and decision-making. Applying the framework to my own employability allows me to connect reflection with specific career actions.</w:t>
      </w:r>
    </w:p>
    <w:p>
      <w:pPr>
        <w:pStyle w:val="Heading3"/>
      </w:pPr>
      <w:r>
        <w:t>Strengths</w:t>
      </w:r>
    </w:p>
    <w:p>
      <w:r>
        <w:t>One of my main strengths is leadership and team coordination. Through restaurant management, I have learned to organise staff, manage rotas, allocate responsibilities and respond quickly to changes during a shift. For example, I regularly assess the level of orders and adjust drivers' working hours when demand becomes lower. During busy periods, I coordinate chefs and drivers and help the team prioritise orders. This demonstrates responsibility, decision-making and the ability to remain focused under pressure.</w:t>
      </w:r>
    </w:p>
    <w:p>
      <w:r>
        <w:t>Communication is another strength. My previous journalism experience required me to speak with different people, ask clear questions, listen carefully and present information accurately. These skills transfer well to hospitality management because I need to give instructions to employees, communicate with suppliers and respond professionally to customers.</w:t>
      </w:r>
    </w:p>
    <w:p>
      <w:r>
        <w:t>I also consider organisation and problem-solving to be strengths. My responsibilities include stock checks, supplier orders, delivery coordination and monitoring restaurant standards. When unexpected problems occur, I need to make decisions without allowing service to stop. This reflects the National Careers Service (2026) description of restaurant managers as professionals who organise rotas, manage stock and budgets, work with suppliers and deal with customer issues.</w:t>
      </w:r>
    </w:p>
    <w:p>
      <w:pPr>
        <w:pStyle w:val="Heading3"/>
      </w:pPr>
      <w:r>
        <w:t>Weaknesses</w:t>
      </w:r>
    </w:p>
    <w:p>
      <w:r>
        <w:t>My first development area is professional English. I can communicate in everyday workplace situations, but I want to become more confident with formal business vocabulary, meetings and communication with senior managers. Stronger professional English would improve my confidence and make me more competitive for senior management roles.</w:t>
      </w:r>
    </w:p>
    <w:p>
      <w:r>
        <w:t>My second weakness is financial management. I already work with stock and ordering, but I need deeper knowledge of budgeting, profit and loss statements, labour costs and forecasting. This is important because both selected vacancies expect commercial awareness and cost control (Big Easy Restaurants, 2026; Lantana, 2026). Without stronger financial knowledge, progression to operations or area management could be limited.</w:t>
      </w:r>
    </w:p>
    <w:p>
      <w:r>
        <w:t>I also need to improve delegation. In a busy shift, I sometimes find it quicker to complete a task myself. However, this can reduce the time available for management responsibilities and does not always help employees develop. I therefore need to delegate more consistently, explain expectations clearly and review results rather than automatically taking over tasks.</w:t>
      </w:r>
    </w:p>
    <w:p>
      <w:pPr>
        <w:pStyle w:val="Heading3"/>
      </w:pPr>
      <w:r>
        <w:t>Opportunities</w:t>
      </w:r>
    </w:p>
    <w:p>
      <w:r>
        <w:t>My current Business Skills for the Workplace studies provide an important opportunity to combine academic knowledge with practical experience. Module activities and assignments develop research, decision-making, business planning and reflective skills. I can apply these ideas directly at work and use workplace examples to understand theory more effectively.</w:t>
      </w:r>
    </w:p>
    <w:p>
      <w:r>
        <w:t>There are also clear progression opportunities in hospitality. The National Careers Service (2026) states that restaurant managers can gain further management responsibility as they develop experience and qualifications. Current job adverts also show that employers value structured leadership development and commercial capability. Additional courses in Business English, Excel, finance and leadership could therefore strengthen my CV and address the weaknesses identified above.</w:t>
      </w:r>
    </w:p>
    <w:p>
      <w:pPr>
        <w:pStyle w:val="Heading3"/>
      </w:pPr>
      <w:r>
        <w:t>Threats</w:t>
      </w:r>
    </w:p>
    <w:p>
      <w:r>
        <w:t>A significant threat is competition for management positions in London. Other applicants may have longer UK hospitality experience, advanced financial knowledge or specialist hospitality qualifications. I therefore need to demonstrate measurable development rather than relying only on experience.</w:t>
      </w:r>
    </w:p>
    <w:p>
      <w:r>
        <w:t>Hospitality is also a demanding sector. Managers may face staff shortages, customer complaints, fluctuating demand and pressure to control costs while maintaining service. The National Careers Service (2026) identifies working under pressure and remaining calm as important requirements. If I do not continue improving delegation and prioritisation, operational pressure could make progression more difficult.</w:t>
      </w:r>
    </w:p>
    <w:p>
      <w:pPr>
        <w:pStyle w:val="Heading2"/>
      </w:pPr>
      <w:r>
        <w:t>Evidence of Readiness</w:t>
      </w:r>
    </w:p>
    <w:p>
      <w:r>
        <w:t>My education and practical experience provide evidence that I am ready for employment and further professional development. My current university studies require research, analysis and structured written work. For example, completing business-related assignments has required me to consider customers, competitors, operations, decision-making and financial information rather than viewing management only as daily restaurant tasks.</w:t>
      </w:r>
    </w:p>
    <w:p>
      <w:r>
        <w:t>My work experience gives stronger practical evidence. As a restaurant manager, I manage rotas, stock, supplier orders and delivery operations. I monitor standards and support the team during busy periods. I have also adapted staffing levels to the number of orders, which demonstrates an understanding that labour decisions affect both service and costs. These activities show reliability, organisation, leadership and problem-solving.</w:t>
      </w:r>
    </w:p>
    <w:p>
      <w:r>
        <w:t>Reflection is also part of my readiness. When a shift does not go as planned, I consider the cause and what should change next time. For example, I can review whether staffing started too early or too late, whether preparation was sufficient and whether responsibilities were communicated clearly. This approach supports continuous improvement.</w:t>
      </w:r>
    </w:p>
    <w:p>
      <w:r>
        <w:t>Overall, my self-assessment shows that I already possess several skills requested by employers, particularly leadership, communication, organisation and practical problem-solving. However, employability is not a finished achievement. Improving professional English, financial knowledge and delegation will help me become better prepared for senior responsibilities and will provide clearer evidence of career development.</w:t>
      </w:r>
    </w:p>
    <w:p>
      <w:r>
        <w:br w:type="page"/>
      </w:r>
    </w:p>
    <w:p>
      <w:pPr>
        <w:pStyle w:val="Heading1"/>
      </w:pPr>
      <w:r>
        <w:t>TASK 3 – EMPLOYMENT GOALS AND PERSONAL DEVELOPMENT PLAN</w:t>
      </w:r>
    </w:p>
    <w:p>
      <w:r>
        <w:t>Based on my SWOT analysis, my short-term goal is to strengthen the skills that could currently limit my progression. By February 2027, I will complete a Business English course and spend at least two hours each week practising management vocabulary, professional writing and spoken workplace communication. Progress will be measured through course completion and my ability to communicate more confidently in meetings and formal workplace situations.</w:t>
      </w:r>
    </w:p>
    <w:p>
      <w:r>
        <w:t>My second short-term goal is to improve financial management. By March 2027, I will complete an introductory budgeting or finance-for-managers course. I will also practise Excel for at least two hours per week and create three sample spreadsheets covering stock costs, labour costs and a basic monthly forecast. Success will be measured through course completion and my ability to explain the figures and use them to support a management decision.</w:t>
      </w:r>
    </w:p>
    <w:p>
      <w:r>
        <w:t>Delegation will be developed directly at work. Each week, I will deliberately delegate at least two appropriate operational tasks, give clear instructions and review the outcome. I will keep a short monthly reflection on what worked and what needs improvement.</w:t>
      </w:r>
    </w:p>
    <w:p>
      <w:r>
        <w:t>My long-term goal, within three to five years, is to progress into a senior hospitality position such as Operations Manager or Area Manager. To achieve this, I need broader experience in financial performance, staff development and multi-site operations. I will review my progress every three months and update my development priorities.</w:t>
      </w:r>
    </w:p>
    <w:p>
      <w:r>
        <w:t>These goals are important because they respond directly to weaknesses identified in my SWOT analysis while supporting my career aspirations. A structured plan makes development measurable rather than general. By combining university learning, targeted courses and repeated workplace practice, I can build evidence of continuous improvement and prepare for greater management responsibility.</w:t>
      </w:r>
    </w:p>
    <w:p>
      <w:pPr>
        <w:pStyle w:val="Heading2"/>
      </w:pPr>
      <w:r>
        <w:t>Personal Development Plan</w:t>
      </w:r>
    </w:p>
    <w:tbl>
      <w:tblPr>
        <w:tblStyle w:val="TableGrid"/>
        <w:tblW w:type="auto" w:w="0"/>
        <w:jc w:val="center"/>
        <w:tblLook w:firstColumn="1" w:firstRow="1" w:lastColumn="0" w:lastRow="0" w:noHBand="0" w:noVBand="1" w:val="04A0"/>
      </w:tblPr>
      <w:tblGrid>
        <w:gridCol w:w="1608"/>
        <w:gridCol w:w="1608"/>
        <w:gridCol w:w="1608"/>
        <w:gridCol w:w="1608"/>
        <w:gridCol w:w="1608"/>
        <w:gridCol w:w="1608"/>
      </w:tblGrid>
      <w:tr>
        <w:tc>
          <w:tcPr>
            <w:tcW w:type="dxa" w:w="1608"/>
            <w:shd w:fill="D9EAF7"/>
          </w:tcPr>
          <w:p>
            <w:pPr>
              <w:spacing w:line="276" w:lineRule="auto"/>
            </w:pPr>
            <w:r>
              <w:rPr>
                <w:rFonts w:ascii="Arial" w:hAnsi="Arial"/>
                <w:b/>
              </w:rPr>
              <w:t>Development area</w:t>
            </w:r>
          </w:p>
        </w:tc>
        <w:tc>
          <w:tcPr>
            <w:tcW w:type="dxa" w:w="1608"/>
            <w:shd w:fill="D9EAF7"/>
          </w:tcPr>
          <w:p>
            <w:pPr>
              <w:spacing w:line="276" w:lineRule="auto"/>
            </w:pPr>
            <w:r>
              <w:rPr>
                <w:rFonts w:ascii="Arial" w:hAnsi="Arial"/>
                <w:b/>
              </w:rPr>
              <w:t>Action</w:t>
            </w:r>
          </w:p>
        </w:tc>
        <w:tc>
          <w:tcPr>
            <w:tcW w:type="dxa" w:w="1608"/>
            <w:shd w:fill="D9EAF7"/>
          </w:tcPr>
          <w:p>
            <w:pPr>
              <w:spacing w:line="276" w:lineRule="auto"/>
            </w:pPr>
            <w:r>
              <w:rPr>
                <w:rFonts w:ascii="Arial" w:hAnsi="Arial"/>
                <w:b/>
              </w:rPr>
              <w:t>Deadline</w:t>
            </w:r>
          </w:p>
        </w:tc>
        <w:tc>
          <w:tcPr>
            <w:tcW w:type="dxa" w:w="1608"/>
            <w:shd w:fill="D9EAF7"/>
          </w:tcPr>
          <w:p>
            <w:pPr>
              <w:spacing w:line="276" w:lineRule="auto"/>
            </w:pPr>
            <w:r>
              <w:rPr>
                <w:rFonts w:ascii="Arial" w:hAnsi="Arial"/>
                <w:b/>
              </w:rPr>
              <w:t>Resources / frequency</w:t>
            </w:r>
          </w:p>
        </w:tc>
        <w:tc>
          <w:tcPr>
            <w:tcW w:type="dxa" w:w="1608"/>
            <w:shd w:fill="D9EAF7"/>
          </w:tcPr>
          <w:p>
            <w:pPr>
              <w:spacing w:line="276" w:lineRule="auto"/>
            </w:pPr>
            <w:r>
              <w:rPr>
                <w:rFonts w:ascii="Arial" w:hAnsi="Arial"/>
                <w:b/>
              </w:rPr>
              <w:t>Measurement</w:t>
            </w:r>
          </w:p>
        </w:tc>
        <w:tc>
          <w:tcPr>
            <w:tcW w:type="dxa" w:w="1608"/>
            <w:shd w:fill="D9EAF7"/>
          </w:tcPr>
          <w:p>
            <w:pPr>
              <w:spacing w:line="276" w:lineRule="auto"/>
            </w:pPr>
            <w:r>
              <w:rPr>
                <w:rFonts w:ascii="Arial" w:hAnsi="Arial"/>
                <w:b/>
              </w:rPr>
              <w:t>Career link</w:t>
            </w:r>
          </w:p>
        </w:tc>
      </w:tr>
      <w:tr>
        <w:tc>
          <w:tcPr>
            <w:tcW w:type="dxa" w:w="1608"/>
          </w:tcPr>
          <w:p>
            <w:pPr>
              <w:spacing w:line="276" w:lineRule="auto"/>
            </w:pPr>
            <w:r>
              <w:rPr>
                <w:rFonts w:ascii="Arial" w:hAnsi="Arial"/>
                <w:sz w:val="18"/>
              </w:rPr>
              <w:t>Professional English</w:t>
            </w:r>
          </w:p>
        </w:tc>
        <w:tc>
          <w:tcPr>
            <w:tcW w:type="dxa" w:w="1608"/>
          </w:tcPr>
          <w:p>
            <w:pPr>
              <w:spacing w:line="276" w:lineRule="auto"/>
            </w:pPr>
            <w:r>
              <w:rPr>
                <w:rFonts w:ascii="Arial" w:hAnsi="Arial"/>
                <w:sz w:val="18"/>
              </w:rPr>
              <w:t>Complete a Business English course and practise workplace communication.</w:t>
            </w:r>
          </w:p>
        </w:tc>
        <w:tc>
          <w:tcPr>
            <w:tcW w:type="dxa" w:w="1608"/>
          </w:tcPr>
          <w:p>
            <w:pPr>
              <w:spacing w:line="276" w:lineRule="auto"/>
            </w:pPr>
            <w:r>
              <w:rPr>
                <w:rFonts w:ascii="Arial" w:hAnsi="Arial"/>
                <w:sz w:val="18"/>
              </w:rPr>
              <w:t>Feb 2027</w:t>
            </w:r>
          </w:p>
        </w:tc>
        <w:tc>
          <w:tcPr>
            <w:tcW w:type="dxa" w:w="1608"/>
          </w:tcPr>
          <w:p>
            <w:pPr>
              <w:spacing w:line="276" w:lineRule="auto"/>
            </w:pPr>
            <w:r>
              <w:rPr>
                <w:rFonts w:ascii="Arial" w:hAnsi="Arial"/>
                <w:sz w:val="18"/>
              </w:rPr>
              <w:t>Online course; 2 hours weekly</w:t>
            </w:r>
          </w:p>
        </w:tc>
        <w:tc>
          <w:tcPr>
            <w:tcW w:type="dxa" w:w="1608"/>
          </w:tcPr>
          <w:p>
            <w:pPr>
              <w:spacing w:line="276" w:lineRule="auto"/>
            </w:pPr>
            <w:r>
              <w:rPr>
                <w:rFonts w:ascii="Arial" w:hAnsi="Arial"/>
                <w:sz w:val="18"/>
              </w:rPr>
              <w:t>Course completed; improved confidence in formal communication</w:t>
            </w:r>
          </w:p>
        </w:tc>
        <w:tc>
          <w:tcPr>
            <w:tcW w:type="dxa" w:w="1608"/>
          </w:tcPr>
          <w:p>
            <w:pPr>
              <w:spacing w:line="276" w:lineRule="auto"/>
            </w:pPr>
            <w:r>
              <w:rPr>
                <w:rFonts w:ascii="Arial" w:hAnsi="Arial"/>
                <w:sz w:val="18"/>
              </w:rPr>
              <w:t>Supports senior management communication</w:t>
            </w:r>
          </w:p>
        </w:tc>
      </w:tr>
      <w:tr>
        <w:tc>
          <w:tcPr>
            <w:tcW w:type="dxa" w:w="1608"/>
          </w:tcPr>
          <w:p>
            <w:pPr>
              <w:spacing w:line="276" w:lineRule="auto"/>
            </w:pPr>
            <w:r>
              <w:rPr>
                <w:rFonts w:ascii="Arial" w:hAnsi="Arial"/>
                <w:sz w:val="18"/>
              </w:rPr>
              <w:t>Financial management</w:t>
            </w:r>
          </w:p>
        </w:tc>
        <w:tc>
          <w:tcPr>
            <w:tcW w:type="dxa" w:w="1608"/>
          </w:tcPr>
          <w:p>
            <w:pPr>
              <w:spacing w:line="276" w:lineRule="auto"/>
            </w:pPr>
            <w:r>
              <w:rPr>
                <w:rFonts w:ascii="Arial" w:hAnsi="Arial"/>
                <w:sz w:val="18"/>
              </w:rPr>
              <w:t>Complete introductory finance/budgeting training and create three Excel practice sheets.</w:t>
            </w:r>
          </w:p>
        </w:tc>
        <w:tc>
          <w:tcPr>
            <w:tcW w:type="dxa" w:w="1608"/>
          </w:tcPr>
          <w:p>
            <w:pPr>
              <w:spacing w:line="276" w:lineRule="auto"/>
            </w:pPr>
            <w:r>
              <w:rPr>
                <w:rFonts w:ascii="Arial" w:hAnsi="Arial"/>
                <w:sz w:val="18"/>
              </w:rPr>
              <w:t>Mar 2027</w:t>
            </w:r>
          </w:p>
        </w:tc>
        <w:tc>
          <w:tcPr>
            <w:tcW w:type="dxa" w:w="1608"/>
          </w:tcPr>
          <w:p>
            <w:pPr>
              <w:spacing w:line="276" w:lineRule="auto"/>
            </w:pPr>
            <w:r>
              <w:rPr>
                <w:rFonts w:ascii="Arial" w:hAnsi="Arial"/>
                <w:sz w:val="18"/>
              </w:rPr>
              <w:t>Online course + Excel; 2 hours weekly</w:t>
            </w:r>
          </w:p>
        </w:tc>
        <w:tc>
          <w:tcPr>
            <w:tcW w:type="dxa" w:w="1608"/>
          </w:tcPr>
          <w:p>
            <w:pPr>
              <w:spacing w:line="276" w:lineRule="auto"/>
            </w:pPr>
            <w:r>
              <w:rPr>
                <w:rFonts w:ascii="Arial" w:hAnsi="Arial"/>
                <w:sz w:val="18"/>
              </w:rPr>
              <w:t>3 spreadsheets completed and figures explained accurately</w:t>
            </w:r>
          </w:p>
        </w:tc>
        <w:tc>
          <w:tcPr>
            <w:tcW w:type="dxa" w:w="1608"/>
          </w:tcPr>
          <w:p>
            <w:pPr>
              <w:spacing w:line="276" w:lineRule="auto"/>
            </w:pPr>
            <w:r>
              <w:rPr>
                <w:rFonts w:ascii="Arial" w:hAnsi="Arial"/>
                <w:sz w:val="18"/>
              </w:rPr>
              <w:t>Builds commercial awareness</w:t>
            </w:r>
          </w:p>
        </w:tc>
      </w:tr>
      <w:tr>
        <w:tc>
          <w:tcPr>
            <w:tcW w:type="dxa" w:w="1608"/>
          </w:tcPr>
          <w:p>
            <w:pPr>
              <w:spacing w:line="276" w:lineRule="auto"/>
            </w:pPr>
            <w:r>
              <w:rPr>
                <w:rFonts w:ascii="Arial" w:hAnsi="Arial"/>
                <w:sz w:val="18"/>
              </w:rPr>
              <w:t>Delegation</w:t>
            </w:r>
          </w:p>
        </w:tc>
        <w:tc>
          <w:tcPr>
            <w:tcW w:type="dxa" w:w="1608"/>
          </w:tcPr>
          <w:p>
            <w:pPr>
              <w:spacing w:line="276" w:lineRule="auto"/>
            </w:pPr>
            <w:r>
              <w:rPr>
                <w:rFonts w:ascii="Arial" w:hAnsi="Arial"/>
                <w:sz w:val="18"/>
              </w:rPr>
              <w:t>Delegate at least two suitable tasks each week and review outcomes.</w:t>
            </w:r>
          </w:p>
        </w:tc>
        <w:tc>
          <w:tcPr>
            <w:tcW w:type="dxa" w:w="1608"/>
          </w:tcPr>
          <w:p>
            <w:pPr>
              <w:spacing w:line="276" w:lineRule="auto"/>
            </w:pPr>
            <w:r>
              <w:rPr>
                <w:rFonts w:ascii="Arial" w:hAnsi="Arial"/>
                <w:sz w:val="18"/>
              </w:rPr>
              <w:t>Ongoing; review monthly</w:t>
            </w:r>
          </w:p>
        </w:tc>
        <w:tc>
          <w:tcPr>
            <w:tcW w:type="dxa" w:w="1608"/>
          </w:tcPr>
          <w:p>
            <w:pPr>
              <w:spacing w:line="276" w:lineRule="auto"/>
            </w:pPr>
            <w:r>
              <w:rPr>
                <w:rFonts w:ascii="Arial" w:hAnsi="Arial"/>
                <w:sz w:val="18"/>
              </w:rPr>
              <w:t>Workplace practice; weekly</w:t>
            </w:r>
          </w:p>
        </w:tc>
        <w:tc>
          <w:tcPr>
            <w:tcW w:type="dxa" w:w="1608"/>
          </w:tcPr>
          <w:p>
            <w:pPr>
              <w:spacing w:line="276" w:lineRule="auto"/>
            </w:pPr>
            <w:r>
              <w:rPr>
                <w:rFonts w:ascii="Arial" w:hAnsi="Arial"/>
                <w:sz w:val="18"/>
              </w:rPr>
              <w:t>Monthly reflection and improved task completion through team</w:t>
            </w:r>
          </w:p>
        </w:tc>
        <w:tc>
          <w:tcPr>
            <w:tcW w:type="dxa" w:w="1608"/>
          </w:tcPr>
          <w:p>
            <w:pPr>
              <w:spacing w:line="276" w:lineRule="auto"/>
            </w:pPr>
            <w:r>
              <w:rPr>
                <w:rFonts w:ascii="Arial" w:hAnsi="Arial"/>
                <w:sz w:val="18"/>
              </w:rPr>
              <w:t>Develops leadership and team capability</w:t>
            </w:r>
          </w:p>
        </w:tc>
      </w:tr>
      <w:tr>
        <w:tc>
          <w:tcPr>
            <w:tcW w:type="dxa" w:w="1608"/>
          </w:tcPr>
          <w:p>
            <w:pPr>
              <w:spacing w:line="276" w:lineRule="auto"/>
            </w:pPr>
            <w:r>
              <w:rPr>
                <w:rFonts w:ascii="Arial" w:hAnsi="Arial"/>
                <w:sz w:val="18"/>
              </w:rPr>
              <w:t>Senior progression</w:t>
            </w:r>
          </w:p>
        </w:tc>
        <w:tc>
          <w:tcPr>
            <w:tcW w:type="dxa" w:w="1608"/>
          </w:tcPr>
          <w:p>
            <w:pPr>
              <w:spacing w:line="276" w:lineRule="auto"/>
            </w:pPr>
            <w:r>
              <w:rPr>
                <w:rFonts w:ascii="Arial" w:hAnsi="Arial"/>
                <w:sz w:val="18"/>
              </w:rPr>
              <w:t>Build evidence for Operations/Area Manager responsibilities.</w:t>
            </w:r>
          </w:p>
        </w:tc>
        <w:tc>
          <w:tcPr>
            <w:tcW w:type="dxa" w:w="1608"/>
          </w:tcPr>
          <w:p>
            <w:pPr>
              <w:spacing w:line="276" w:lineRule="auto"/>
            </w:pPr>
            <w:r>
              <w:rPr>
                <w:rFonts w:ascii="Arial" w:hAnsi="Arial"/>
                <w:sz w:val="18"/>
              </w:rPr>
              <w:t>3–5 years</w:t>
            </w:r>
          </w:p>
        </w:tc>
        <w:tc>
          <w:tcPr>
            <w:tcW w:type="dxa" w:w="1608"/>
          </w:tcPr>
          <w:p>
            <w:pPr>
              <w:spacing w:line="276" w:lineRule="auto"/>
            </w:pPr>
            <w:r>
              <w:rPr>
                <w:rFonts w:ascii="Arial" w:hAnsi="Arial"/>
                <w:sz w:val="18"/>
              </w:rPr>
              <w:t>Quarterly career review; mentoring/training</w:t>
            </w:r>
          </w:p>
        </w:tc>
        <w:tc>
          <w:tcPr>
            <w:tcW w:type="dxa" w:w="1608"/>
          </w:tcPr>
          <w:p>
            <w:pPr>
              <w:spacing w:line="276" w:lineRule="auto"/>
            </w:pPr>
            <w:r>
              <w:rPr>
                <w:rFonts w:ascii="Arial" w:hAnsi="Arial"/>
                <w:sz w:val="18"/>
              </w:rPr>
              <w:t>Progression in responsibility, interviews or promotion</w:t>
            </w:r>
          </w:p>
        </w:tc>
        <w:tc>
          <w:tcPr>
            <w:tcW w:type="dxa" w:w="1608"/>
          </w:tcPr>
          <w:p>
            <w:pPr>
              <w:spacing w:line="276" w:lineRule="auto"/>
            </w:pPr>
            <w:r>
              <w:rPr>
                <w:rFonts w:ascii="Arial" w:hAnsi="Arial"/>
                <w:sz w:val="18"/>
              </w:rPr>
              <w:t>Long-term career goal</w:t>
            </w:r>
          </w:p>
        </w:tc>
      </w:tr>
    </w:tbl>
    <w:p>
      <w:r>
        <w:br w:type="page"/>
      </w:r>
    </w:p>
    <w:p>
      <w:pPr>
        <w:pStyle w:val="Heading1"/>
      </w:pPr>
      <w:r>
        <w:t>REFERENCES</w:t>
      </w:r>
    </w:p>
    <w:p>
      <w:pPr>
        <w:ind w:hanging="360" w:left="360"/>
      </w:pPr>
      <w:r>
        <w:t>Big Easy Restaurants (2026) ‘Restaurant Manager’, Big Easy Careers. Available at: https://bigeasyrestaurants.talosats-careers.com/job/880708 (Accessed: 17 August 2026).</w:t>
      </w:r>
    </w:p>
    <w:p>
      <w:pPr>
        <w:ind w:hanging="360" w:left="360"/>
      </w:pPr>
      <w:r>
        <w:t>CIPD (2026) ‘SWOT analysis’, Chartered Institute of Personnel and Development, 20 May. Available at: https://www.cipd.org/uk/knowledge/factsheets/swot-analysis-factsheet/ (Accessed: 17 August 2026).</w:t>
      </w:r>
    </w:p>
    <w:p>
      <w:pPr>
        <w:ind w:hanging="360" w:left="360"/>
      </w:pPr>
      <w:r>
        <w:t>Lantana (2026) ‘Old Queen Street – Restaurant Manager’, Indeed UK. Available at: https://uk.indeed.com/viewjob?jk=34baf6d287c07b2d (Accessed: 17 August 2026).</w:t>
      </w:r>
    </w:p>
    <w:p>
      <w:pPr>
        <w:ind w:hanging="360" w:left="360"/>
      </w:pPr>
      <w:r>
        <w:t>National Careers Service (2026) ‘Restaurant manager’. Available at: https://nationalcareers.service.gov.uk/job-profiles/restaurant-manager (Accessed: 17 August 2026).</w:t>
      </w:r>
    </w:p>
    <w:p>
      <w:r>
        <w:br w:type="page"/>
      </w:r>
    </w:p>
    <w:p>
      <w:pPr>
        <w:pStyle w:val="Heading1"/>
      </w:pPr>
      <w:r>
        <w:t>APPENDICES</w:t>
      </w:r>
    </w:p>
    <w:p>
      <w:pPr>
        <w:pStyle w:val="Heading2"/>
      </w:pPr>
      <w:r>
        <w:t>Appendix 1 – Big Easy Restaurant Manager vacancy</w:t>
      </w:r>
    </w:p>
    <w:p>
      <w:r>
        <w:rPr>
          <w:b/>
        </w:rPr>
        <w:t>INSERT SCREENSHOT OF THE BIG EASY VACANCY HERE</w:t>
      </w:r>
    </w:p>
    <w:p>
      <w:r>
        <w:t>Use the vacancy at: https://bigeasyrestaurants.talosats-careers.com/job/880708</w:t>
      </w:r>
    </w:p>
    <w:p>
      <w:r>
        <w:t>The screenshot should show the job title, employer and the key responsibilities/requirements used in Task 1.</w:t>
      </w:r>
    </w:p>
    <w:p>
      <w:r>
        <w:br w:type="page"/>
      </w:r>
    </w:p>
    <w:p>
      <w:pPr>
        <w:pStyle w:val="Heading2"/>
      </w:pPr>
      <w:r>
        <w:t>Appendix 2 – Old Queen Street Restaurant Manager vacancy</w:t>
      </w:r>
    </w:p>
    <w:p>
      <w:r>
        <w:rPr>
          <w:b/>
        </w:rPr>
        <w:t>INSERT SCREENSHOT OF THE OLD QUEEN STREET / LANTANA VACANCY HERE</w:t>
      </w:r>
    </w:p>
    <w:p>
      <w:r>
        <w:t>Use the vacancy at: https://uk.indeed.com/viewjob?jk=34baf6d287c07b2d</w:t>
      </w:r>
    </w:p>
    <w:p>
      <w:r>
        <w:t>The screenshot should show the job title, employer and the key responsibilities/requirements used in Task 1.</w:t>
      </w:r>
    </w:p>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8"/>
      </w:rPr>
      <w:t xml:space="preserve">Page </w:t>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after="120"/>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