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07438680"/>
        <w:docPartObj>
          <w:docPartGallery w:val="Cover Pages"/>
          <w:docPartUnique/>
        </w:docPartObj>
      </w:sdtPr>
      <w:sdtEndPr>
        <w:rPr>
          <w:rFonts w:ascii="Arial Black" w:hAnsi="Arial Black" w:cs="Arial"/>
          <w:color w:val="F1A983" w:themeColor="accent2" w:themeTint="99"/>
        </w:rPr>
      </w:sdtEndPr>
      <w:sdtContent>
        <w:p w14:paraId="604E8A1B" w14:textId="37EE7BE2" w:rsidR="00663ECE" w:rsidRDefault="00663ECE">
          <w:r>
            <w:rPr>
              <w:noProof/>
            </w:rPr>
            <mc:AlternateContent>
              <mc:Choice Requires="wpg">
                <w:drawing>
                  <wp:anchor distT="0" distB="0" distL="114300" distR="114300" simplePos="0" relativeHeight="251659264" behindDoc="1" locked="0" layoutInCell="1" allowOverlap="1" wp14:anchorId="401521A6" wp14:editId="05B8B01B">
                    <wp:simplePos x="0" y="0"/>
                    <wp:positionH relativeFrom="page">
                      <wp:align>center</wp:align>
                    </wp:positionH>
                    <wp:positionV relativeFrom="page">
                      <wp:align>center</wp:align>
                    </wp:positionV>
                    <wp:extent cx="6852920" cy="9142730"/>
                    <wp:effectExtent l="0" t="0" r="2540" b="133985"/>
                    <wp:wrapNone/>
                    <wp:docPr id="119" name="Group 121"/>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Black" w:hAnsi="Arial Black"/>
                                      <w:color w:val="FFFFFF" w:themeColor="background1"/>
                                      <w:sz w:val="44"/>
                                      <w:szCs w:val="4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7263E6E" w14:textId="099F5D4B" w:rsidR="00663ECE" w:rsidRPr="00663ECE" w:rsidRDefault="00663ECE">
                                      <w:pPr>
                                        <w:pStyle w:val="NoSpacing"/>
                                        <w:rPr>
                                          <w:rFonts w:ascii="Arial Black" w:hAnsi="Arial Black"/>
                                          <w:color w:val="FFFFFF" w:themeColor="background1"/>
                                          <w:sz w:val="44"/>
                                          <w:szCs w:val="44"/>
                                        </w:rPr>
                                      </w:pPr>
                                      <w:r w:rsidRPr="00663ECE">
                                        <w:rPr>
                                          <w:rFonts w:ascii="Arial Black" w:hAnsi="Arial Black"/>
                                          <w:color w:val="FFFFFF" w:themeColor="background1"/>
                                          <w:sz w:val="44"/>
                                          <w:szCs w:val="44"/>
                                        </w:rPr>
                                        <w:t xml:space="preserve">Ana Petronela </w:t>
                                      </w:r>
                                      <w:proofErr w:type="spellStart"/>
                                      <w:r w:rsidRPr="00663ECE">
                                        <w:rPr>
                                          <w:rFonts w:ascii="Arial Black" w:hAnsi="Arial Black"/>
                                          <w:color w:val="FFFFFF" w:themeColor="background1"/>
                                          <w:sz w:val="44"/>
                                          <w:szCs w:val="44"/>
                                        </w:rPr>
                                        <w:t>Radulea</w:t>
                                      </w:r>
                                      <w:proofErr w:type="spellEnd"/>
                                      <w:r w:rsidRPr="00663ECE">
                                        <w:rPr>
                                          <w:rFonts w:ascii="Arial Black" w:hAnsi="Arial Black"/>
                                          <w:color w:val="FFFFFF" w:themeColor="background1"/>
                                          <w:sz w:val="44"/>
                                          <w:szCs w:val="44"/>
                                        </w:rPr>
                                        <w:t xml:space="preserve"> </w:t>
                                      </w:r>
                                    </w:p>
                                  </w:sdtContent>
                                </w:sdt>
                                <w:p w14:paraId="7135F280" w14:textId="48D40A7F" w:rsidR="00663ECE" w:rsidRPr="00663ECE" w:rsidRDefault="00663ECE">
                                  <w:pPr>
                                    <w:pStyle w:val="NoSpacing"/>
                                    <w:rPr>
                                      <w:rFonts w:ascii="Arial Black" w:hAnsi="Arial Black"/>
                                      <w:caps/>
                                      <w:color w:val="FFFFFF" w:themeColor="background1"/>
                                      <w:sz w:val="44"/>
                                      <w:szCs w:val="44"/>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olor w:val="F1A983" w:themeColor="accent2" w:themeTint="99"/>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0AECEC8" w14:textId="15BFA613" w:rsidR="00663ECE" w:rsidRPr="00663ECE" w:rsidRDefault="00663ECE">
                                      <w:pPr>
                                        <w:pStyle w:val="NoSpacing"/>
                                        <w:pBdr>
                                          <w:bottom w:val="single" w:sz="6" w:space="4" w:color="7F7F7F" w:themeColor="text1" w:themeTint="80"/>
                                        </w:pBdr>
                                        <w:rPr>
                                          <w:rFonts w:ascii="Arial Black" w:eastAsiaTheme="majorEastAsia" w:hAnsi="Arial Black" w:cstheme="majorBidi"/>
                                          <w:color w:val="F1A983" w:themeColor="accent2" w:themeTint="99"/>
                                          <w:sz w:val="108"/>
                                          <w:szCs w:val="108"/>
                                        </w:rPr>
                                      </w:pPr>
                                      <w:r w:rsidRPr="00663ECE">
                                        <w:rPr>
                                          <w:rFonts w:ascii="Arial Black" w:eastAsiaTheme="majorEastAsia" w:hAnsi="Arial Black" w:cstheme="majorBidi"/>
                                          <w:color w:val="F1A983" w:themeColor="accent2" w:themeTint="99"/>
                                          <w:sz w:val="108"/>
                                          <w:szCs w:val="108"/>
                                        </w:rPr>
                                        <w:t xml:space="preserve">Personal Learning Environment </w:t>
                                      </w:r>
                                    </w:p>
                                  </w:sdtContent>
                                </w:sdt>
                                <w:sdt>
                                  <w:sdtPr>
                                    <w:rPr>
                                      <w:rFonts w:ascii="Arial Black" w:hAnsi="Arial Black"/>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D3F7BEA" w14:textId="28EECD89" w:rsidR="00663ECE" w:rsidRPr="00663ECE" w:rsidRDefault="00663ECE">
                                      <w:pPr>
                                        <w:pStyle w:val="NoSpacing"/>
                                        <w:spacing w:before="240"/>
                                        <w:rPr>
                                          <w:rFonts w:ascii="Arial Black" w:hAnsi="Arial Black"/>
                                          <w:caps/>
                                          <w:color w:val="0E2841" w:themeColor="text2"/>
                                          <w:sz w:val="36"/>
                                          <w:szCs w:val="36"/>
                                        </w:rPr>
                                      </w:pPr>
                                      <w:r w:rsidRPr="00663ECE">
                                        <w:rPr>
                                          <w:rFonts w:ascii="Arial Black" w:hAnsi="Arial Black"/>
                                          <w:caps/>
                                          <w:color w:val="0E2841" w:themeColor="text2"/>
                                          <w:sz w:val="36"/>
                                          <w:szCs w:val="36"/>
                                        </w:rPr>
                                        <w:t xml:space="preserve">Portfolio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01521A6" id="Group 121"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156082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97132 [3205]" stroked="f" strokeweight="1pt">
                      <v:textbox inset="36pt,14.4pt,36pt,36pt">
                        <w:txbxContent>
                          <w:sdt>
                            <w:sdtPr>
                              <w:rPr>
                                <w:rFonts w:ascii="Arial Black" w:hAnsi="Arial Black"/>
                                <w:color w:val="FFFFFF" w:themeColor="background1"/>
                                <w:sz w:val="44"/>
                                <w:szCs w:val="44"/>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57263E6E" w14:textId="099F5D4B" w:rsidR="00663ECE" w:rsidRPr="00663ECE" w:rsidRDefault="00663ECE">
                                <w:pPr>
                                  <w:pStyle w:val="NoSpacing"/>
                                  <w:rPr>
                                    <w:rFonts w:ascii="Arial Black" w:hAnsi="Arial Black"/>
                                    <w:color w:val="FFFFFF" w:themeColor="background1"/>
                                    <w:sz w:val="44"/>
                                    <w:szCs w:val="44"/>
                                  </w:rPr>
                                </w:pPr>
                                <w:r w:rsidRPr="00663ECE">
                                  <w:rPr>
                                    <w:rFonts w:ascii="Arial Black" w:hAnsi="Arial Black"/>
                                    <w:color w:val="FFFFFF" w:themeColor="background1"/>
                                    <w:sz w:val="44"/>
                                    <w:szCs w:val="44"/>
                                  </w:rPr>
                                  <w:t xml:space="preserve">Ana Petronela </w:t>
                                </w:r>
                                <w:proofErr w:type="spellStart"/>
                                <w:r w:rsidRPr="00663ECE">
                                  <w:rPr>
                                    <w:rFonts w:ascii="Arial Black" w:hAnsi="Arial Black"/>
                                    <w:color w:val="FFFFFF" w:themeColor="background1"/>
                                    <w:sz w:val="44"/>
                                    <w:szCs w:val="44"/>
                                  </w:rPr>
                                  <w:t>Radulea</w:t>
                                </w:r>
                                <w:proofErr w:type="spellEnd"/>
                                <w:r w:rsidRPr="00663ECE">
                                  <w:rPr>
                                    <w:rFonts w:ascii="Arial Black" w:hAnsi="Arial Black"/>
                                    <w:color w:val="FFFFFF" w:themeColor="background1"/>
                                    <w:sz w:val="44"/>
                                    <w:szCs w:val="44"/>
                                  </w:rPr>
                                  <w:t xml:space="preserve"> </w:t>
                                </w:r>
                              </w:p>
                            </w:sdtContent>
                          </w:sdt>
                          <w:p w14:paraId="7135F280" w14:textId="48D40A7F" w:rsidR="00663ECE" w:rsidRPr="00663ECE" w:rsidRDefault="00663ECE">
                            <w:pPr>
                              <w:pStyle w:val="NoSpacing"/>
                              <w:rPr>
                                <w:rFonts w:ascii="Arial Black" w:hAnsi="Arial Black"/>
                                <w:caps/>
                                <w:color w:val="FFFFFF" w:themeColor="background1"/>
                                <w:sz w:val="44"/>
                                <w:szCs w:val="44"/>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Black" w:eastAsiaTheme="majorEastAsia" w:hAnsi="Arial Black" w:cstheme="majorBidi"/>
                                <w:color w:val="F1A983" w:themeColor="accent2" w:themeTint="99"/>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0AECEC8" w14:textId="15BFA613" w:rsidR="00663ECE" w:rsidRPr="00663ECE" w:rsidRDefault="00663ECE">
                                <w:pPr>
                                  <w:pStyle w:val="NoSpacing"/>
                                  <w:pBdr>
                                    <w:bottom w:val="single" w:sz="6" w:space="4" w:color="7F7F7F" w:themeColor="text1" w:themeTint="80"/>
                                  </w:pBdr>
                                  <w:rPr>
                                    <w:rFonts w:ascii="Arial Black" w:eastAsiaTheme="majorEastAsia" w:hAnsi="Arial Black" w:cstheme="majorBidi"/>
                                    <w:color w:val="F1A983" w:themeColor="accent2" w:themeTint="99"/>
                                    <w:sz w:val="108"/>
                                    <w:szCs w:val="108"/>
                                  </w:rPr>
                                </w:pPr>
                                <w:r w:rsidRPr="00663ECE">
                                  <w:rPr>
                                    <w:rFonts w:ascii="Arial Black" w:eastAsiaTheme="majorEastAsia" w:hAnsi="Arial Black" w:cstheme="majorBidi"/>
                                    <w:color w:val="F1A983" w:themeColor="accent2" w:themeTint="99"/>
                                    <w:sz w:val="108"/>
                                    <w:szCs w:val="108"/>
                                  </w:rPr>
                                  <w:t xml:space="preserve">Personal Learning Environment </w:t>
                                </w:r>
                              </w:p>
                            </w:sdtContent>
                          </w:sdt>
                          <w:sdt>
                            <w:sdtPr>
                              <w:rPr>
                                <w:rFonts w:ascii="Arial Black" w:hAnsi="Arial Black"/>
                                <w:caps/>
                                <w:color w:val="0E2841"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4D3F7BEA" w14:textId="28EECD89" w:rsidR="00663ECE" w:rsidRPr="00663ECE" w:rsidRDefault="00663ECE">
                                <w:pPr>
                                  <w:pStyle w:val="NoSpacing"/>
                                  <w:spacing w:before="240"/>
                                  <w:rPr>
                                    <w:rFonts w:ascii="Arial Black" w:hAnsi="Arial Black"/>
                                    <w:caps/>
                                    <w:color w:val="0E2841" w:themeColor="text2"/>
                                    <w:sz w:val="36"/>
                                    <w:szCs w:val="36"/>
                                  </w:rPr>
                                </w:pPr>
                                <w:r w:rsidRPr="00663ECE">
                                  <w:rPr>
                                    <w:rFonts w:ascii="Arial Black" w:hAnsi="Arial Black"/>
                                    <w:caps/>
                                    <w:color w:val="0E2841" w:themeColor="text2"/>
                                    <w:sz w:val="36"/>
                                    <w:szCs w:val="36"/>
                                  </w:rPr>
                                  <w:t xml:space="preserve">Portfolio </w:t>
                                </w:r>
                              </w:p>
                            </w:sdtContent>
                          </w:sdt>
                        </w:txbxContent>
                      </v:textbox>
                    </v:shape>
                    <w10:wrap anchorx="page" anchory="page"/>
                  </v:group>
                </w:pict>
              </mc:Fallback>
            </mc:AlternateContent>
          </w:r>
        </w:p>
        <w:p w14:paraId="7BD2E9A5" w14:textId="12D2C835" w:rsidR="00663ECE" w:rsidRDefault="00663ECE">
          <w:pPr>
            <w:rPr>
              <w:rFonts w:ascii="Arial Black" w:hAnsi="Arial Black" w:cs="Arial"/>
              <w:color w:val="F1A983" w:themeColor="accent2" w:themeTint="99"/>
            </w:rPr>
          </w:pPr>
          <w:r>
            <w:rPr>
              <w:rFonts w:ascii="Arial Black" w:hAnsi="Arial Black" w:cs="Arial"/>
              <w:color w:val="F1A983" w:themeColor="accent2" w:themeTint="99"/>
            </w:rPr>
            <w:br w:type="page"/>
          </w:r>
        </w:p>
      </w:sdtContent>
    </w:sdt>
    <w:p w14:paraId="480E59FE" w14:textId="5D1EA5FE" w:rsidR="007B2027" w:rsidRDefault="00DC4697" w:rsidP="007B2027">
      <w:pPr>
        <w:spacing w:line="480" w:lineRule="auto"/>
        <w:rPr>
          <w:rFonts w:ascii="Arial" w:hAnsi="Arial" w:cs="Arial"/>
        </w:rPr>
      </w:pPr>
      <w:r>
        <w:rPr>
          <w:rFonts w:ascii="Arial Black" w:hAnsi="Arial Black" w:cs="Arial"/>
          <w:color w:val="F1A983" w:themeColor="accent2" w:themeTint="99"/>
        </w:rPr>
        <w:lastRenderedPageBreak/>
        <w:t xml:space="preserve">Section 1: </w:t>
      </w:r>
      <w:r w:rsidR="007B2027" w:rsidRPr="007B2027">
        <w:rPr>
          <w:rFonts w:ascii="Arial Black" w:hAnsi="Arial Black" w:cs="Arial"/>
          <w:color w:val="F1A983" w:themeColor="accent2" w:themeTint="99"/>
        </w:rPr>
        <w:t xml:space="preserve">Objectives for My Educational Pursuits </w:t>
      </w:r>
      <w:r w:rsidR="007B2027" w:rsidRPr="007B2027">
        <w:rPr>
          <w:rFonts w:ascii="Arial Black" w:hAnsi="Arial Black" w:cs="Arial"/>
          <w:color w:val="F1A983" w:themeColor="accent2" w:themeTint="99"/>
        </w:rPr>
        <w:br/>
      </w:r>
      <w:r w:rsidR="007B2027" w:rsidRPr="007B2027">
        <w:rPr>
          <w:rFonts w:ascii="Arial" w:hAnsi="Arial" w:cs="Arial"/>
        </w:rPr>
        <w:t>In pursuing my Social Enterprise Management courses, I have established three fundamental objectives that will facilitate my academic advancement and augment the practical skills necessary for tangible effect in the real world. These aims are guided by contemporary educational research and aim to enhance my critical analysis, leadership, and entrepreneurial skills.</w:t>
      </w:r>
      <w:r w:rsidR="007B2027" w:rsidRPr="007B2027">
        <w:rPr>
          <w:rFonts w:ascii="Arial" w:hAnsi="Arial" w:cs="Arial"/>
        </w:rPr>
        <w:br/>
      </w:r>
      <w:r w:rsidR="007B2027" w:rsidRPr="007B2027">
        <w:rPr>
          <w:rFonts w:ascii="Arial Black" w:hAnsi="Arial Black" w:cs="Arial"/>
          <w:color w:val="F1A983" w:themeColor="accent2" w:themeTint="99"/>
        </w:rPr>
        <w:t>Objective 1: Increase Critical Thinking and Analytical Skills</w:t>
      </w:r>
      <w:r w:rsidR="007B2027" w:rsidRPr="007B2027">
        <w:rPr>
          <w:rFonts w:ascii="Arial Black" w:hAnsi="Arial Black" w:cs="Arial"/>
          <w:color w:val="F1A983" w:themeColor="accent2" w:themeTint="99"/>
        </w:rPr>
        <w:br/>
      </w:r>
      <w:r w:rsidR="007B2027" w:rsidRPr="007B2027">
        <w:rPr>
          <w:rFonts w:ascii="Arial" w:hAnsi="Arial" w:cs="Arial"/>
        </w:rPr>
        <w:t>My primary purpose is to establish a comprehensive framework for critical thinking and analysis within the realm of social enterprise. In the contemporary, rapidly shifting business landscape, the capacity to assess intricate social issues and commercial challenges is crucial. Studies in higher education indicate that critical thinking enhances decision-making and promotes innovation (Brookfield, 2012). Through participation in case studies, discussions, and reflection exercises, I will acquire the ability to evaluate issues from diverse viewpoints, a methodology essential for enduring social transformation.</w:t>
      </w:r>
      <w:r w:rsidR="007B2027" w:rsidRPr="007B2027">
        <w:rPr>
          <w:rFonts w:ascii="Arial" w:hAnsi="Arial" w:cs="Arial"/>
        </w:rPr>
        <w:br/>
      </w:r>
      <w:r w:rsidR="007B2027" w:rsidRPr="007B2027">
        <w:rPr>
          <w:rFonts w:ascii="Arial Black" w:hAnsi="Arial Black" w:cs="Arial"/>
          <w:color w:val="F1A983" w:themeColor="accent2" w:themeTint="99"/>
        </w:rPr>
        <w:t>Objective 2: Develop Sustainable Leadership Competencies</w:t>
      </w:r>
      <w:r w:rsidR="007B2027" w:rsidRPr="007B2027">
        <w:rPr>
          <w:rFonts w:ascii="Arial Black" w:hAnsi="Arial Black" w:cs="Arial"/>
          <w:color w:val="F1A983" w:themeColor="accent2" w:themeTint="99"/>
        </w:rPr>
        <w:br/>
      </w:r>
      <w:r w:rsidR="007B2027" w:rsidRPr="007B2027">
        <w:rPr>
          <w:rFonts w:ascii="Arial" w:hAnsi="Arial" w:cs="Arial"/>
        </w:rPr>
        <w:t>The second purpose focusses on developing sustainable and ethically-based leadership competencies. As an aspiring leader in social enterprise, it is essential to reconcile profitability with social impact. Research on sustainable leadership (Maak &amp; Pless, 2006) underscores the necessity for leaders to combine ethical decision-making with imaginative strategy. I intend to engage in classes and extracurricular activities centred on ethical leadership, dispute resolution, and collaborative working. This will equip me to address the complexities of managing organisations with a dual emphasis on social and economic objectives.</w:t>
      </w:r>
      <w:r w:rsidR="007B2027" w:rsidRPr="007B2027">
        <w:rPr>
          <w:rFonts w:ascii="Arial" w:hAnsi="Arial" w:cs="Arial"/>
        </w:rPr>
        <w:br/>
      </w:r>
      <w:r w:rsidR="007B2027" w:rsidRPr="007B2027">
        <w:rPr>
          <w:rFonts w:ascii="Arial" w:hAnsi="Arial" w:cs="Arial"/>
        </w:rPr>
        <w:br/>
      </w:r>
      <w:r w:rsidR="007B2027" w:rsidRPr="007B2027">
        <w:rPr>
          <w:rFonts w:ascii="Arial Black" w:hAnsi="Arial Black" w:cs="Arial"/>
          <w:color w:val="F1A983" w:themeColor="accent2" w:themeTint="99"/>
        </w:rPr>
        <w:lastRenderedPageBreak/>
        <w:t>Objective 3: Develop an Entrepreneurial and Networked Perspective</w:t>
      </w:r>
      <w:r w:rsidR="007B2027" w:rsidRPr="007B2027">
        <w:rPr>
          <w:rFonts w:ascii="Arial Black" w:hAnsi="Arial Black" w:cs="Arial"/>
          <w:color w:val="F1A983" w:themeColor="accent2" w:themeTint="99"/>
        </w:rPr>
        <w:br/>
      </w:r>
      <w:r w:rsidR="007B2027" w:rsidRPr="007B2027">
        <w:rPr>
          <w:rFonts w:ascii="Arial" w:hAnsi="Arial" w:cs="Arial"/>
        </w:rPr>
        <w:t>My third purpose is to cultivate an entrepreneurial attitude that utilises networking and community involvement. Entrepreneurial talents encompass not just the initiation of projects but also proactivity, innovation, and resilience. Kolb’s (1984) experiential learning theory posits that practical engagement with real-life challenges improves information retention and fosters personal development. I will engage in workshops, networking events, and simulation exercises to cultivate professional contacts and acquire best practices in social enterprise. This proactive strategy will enable me to cultivate a portfolio of skills essential for initiating or overseeing social initiatives.</w:t>
      </w:r>
      <w:r w:rsidR="007B2027" w:rsidRPr="007B2027">
        <w:rPr>
          <w:rFonts w:ascii="Arial" w:hAnsi="Arial" w:cs="Arial"/>
        </w:rPr>
        <w:br/>
        <w:t>Collectively, these goals will direct my academic pursuits. I will consistently evaluate my development using reflective journals, feedback sessions, and by juxtaposing my results with established standards in Social Enterprise Management. This iterative process is based on reflective models like Gibbs’ (1988) cycle, which facilitates ongoing improvement through the assessment of experiences, emotions, results, and subsequent actions. By synchronising my objectives with empirical research and personal aspirations, I intend to convert theoretical knowledge into practical application, so assuring my preparedness for academic difficulties and professional prospects.</w:t>
      </w:r>
    </w:p>
    <w:p w14:paraId="62C3E302" w14:textId="1E040463" w:rsidR="007B2027" w:rsidRPr="00DC4697" w:rsidRDefault="00DC4697" w:rsidP="007B2027">
      <w:pPr>
        <w:spacing w:line="480" w:lineRule="auto"/>
        <w:rPr>
          <w:rFonts w:ascii="Arial Black" w:hAnsi="Arial Black" w:cs="Arial"/>
          <w:color w:val="F1A983" w:themeColor="accent2" w:themeTint="99"/>
        </w:rPr>
      </w:pPr>
      <w:r>
        <w:rPr>
          <w:rFonts w:ascii="Arial Black" w:hAnsi="Arial Black" w:cs="Arial"/>
          <w:color w:val="F1A983" w:themeColor="accent2" w:themeTint="99"/>
        </w:rPr>
        <w:t xml:space="preserve">Section 2: </w:t>
      </w:r>
      <w:r w:rsidR="007B2027" w:rsidRPr="00DC4697">
        <w:rPr>
          <w:rFonts w:ascii="Arial Black" w:hAnsi="Arial Black" w:cs="Arial"/>
          <w:color w:val="F1A983" w:themeColor="accent2" w:themeTint="99"/>
        </w:rPr>
        <w:t>Reflective Blog Posts</w:t>
      </w:r>
    </w:p>
    <w:p w14:paraId="4B650342" w14:textId="30BF022D" w:rsidR="00DC4697" w:rsidRDefault="00DC4697" w:rsidP="00DC4697">
      <w:pPr>
        <w:spacing w:line="480" w:lineRule="auto"/>
        <w:rPr>
          <w:rFonts w:ascii="Arial" w:hAnsi="Arial" w:cs="Arial"/>
        </w:rPr>
      </w:pPr>
      <w:r w:rsidRPr="00DC4697">
        <w:rPr>
          <w:rFonts w:ascii="Arial Black" w:hAnsi="Arial Black" w:cs="Arial"/>
          <w:color w:val="F1A983" w:themeColor="accent2" w:themeTint="99"/>
        </w:rPr>
        <w:t xml:space="preserve">Blog Post 1: Considering My Learning Style </w:t>
      </w:r>
      <w:r w:rsidRPr="00DC4697">
        <w:rPr>
          <w:rFonts w:ascii="Arial Black" w:hAnsi="Arial Black" w:cs="Arial"/>
          <w:color w:val="F1A983" w:themeColor="accent2" w:themeTint="99"/>
        </w:rPr>
        <w:br/>
      </w:r>
      <w:r w:rsidRPr="00DC4697">
        <w:rPr>
          <w:rFonts w:ascii="Arial" w:hAnsi="Arial" w:cs="Arial"/>
        </w:rPr>
        <w:t xml:space="preserve">Recently, I conducted a self-assessment utilising the VARK learning style questionnaire and found that I primarily favour visual and kinaesthetic learning modalities. This revelation both surprised and confirmed elements of my previous academic experiences. Fleming (2001) asserts that visual learners gain from </w:t>
      </w:r>
      <w:r w:rsidRPr="00DC4697">
        <w:rPr>
          <w:rFonts w:ascii="Arial" w:hAnsi="Arial" w:cs="Arial"/>
        </w:rPr>
        <w:lastRenderedPageBreak/>
        <w:t>diagrams, flow charts, and other graphical representations, whereas kinaesthetic learners excel through active engagement and practical assignments.</w:t>
      </w:r>
      <w:r>
        <w:rPr>
          <w:rFonts w:ascii="Arial" w:hAnsi="Arial" w:cs="Arial"/>
        </w:rPr>
        <w:t xml:space="preserve"> </w:t>
      </w:r>
      <w:r w:rsidRPr="00DC4697">
        <w:rPr>
          <w:rFonts w:ascii="Arial" w:hAnsi="Arial" w:cs="Arial"/>
        </w:rPr>
        <w:t>Employing Gibbs’ (1988) reflective cycle, I began by defining the experience: I had always assumed that I was primarily an auditory learner due to my enthusiastic engagement in seminars. However, the self-assessment indicated that I acquire knowledge most effectively through visual and practical engagement. I experienced a blend of surprise and intrigue. During the evaluation process, I observed that my previous achievements in project-based modules were associated with practical participation rather than conventional lectures. After analysing these statistics, I determined that to optimise my potential, I must integrate additional visual aids, such as mind maps and infographics, into my study sessions.</w:t>
      </w:r>
      <w:r>
        <w:rPr>
          <w:rFonts w:ascii="Arial" w:hAnsi="Arial" w:cs="Arial"/>
        </w:rPr>
        <w:t xml:space="preserve"> </w:t>
      </w:r>
      <w:r w:rsidRPr="00DC4697">
        <w:rPr>
          <w:rFonts w:ascii="Arial" w:hAnsi="Arial" w:cs="Arial"/>
        </w:rPr>
        <w:t>This reflective process has prompted me to modify my study methods. I intend to augment lectures with online video lessons and participate in simulations that reinforce the content. The experience has demonstrated that understanding one's learning style can markedly improve independent study and academic achievement. I now feel empowered to pursue learning opportunities that correspond with my tastes, so creating a more productive and pleasurable educational environment.</w:t>
      </w:r>
      <w:r w:rsidRPr="00DC4697">
        <w:rPr>
          <w:rFonts w:ascii="Arial" w:hAnsi="Arial" w:cs="Arial"/>
        </w:rPr>
        <w:br/>
      </w:r>
      <w:r w:rsidRPr="00DC4697">
        <w:rPr>
          <w:rFonts w:ascii="Arial Black" w:hAnsi="Arial Black" w:cs="Arial"/>
          <w:color w:val="F1A983" w:themeColor="accent2" w:themeTint="99"/>
        </w:rPr>
        <w:t xml:space="preserve">Blog Post 2: Improving My Independent Learning </w:t>
      </w:r>
      <w:r w:rsidRPr="00DC4697">
        <w:rPr>
          <w:rFonts w:ascii="Arial Black" w:hAnsi="Arial Black" w:cs="Arial"/>
          <w:color w:val="F1A983" w:themeColor="accent2" w:themeTint="99"/>
        </w:rPr>
        <w:br/>
      </w:r>
      <w:r w:rsidRPr="00DC4697">
        <w:rPr>
          <w:rFonts w:ascii="Arial" w:hAnsi="Arial" w:cs="Arial"/>
        </w:rPr>
        <w:t>Based on the findings from my study on learning styles, I have developed a strategy to modify my autonomous learning habits. Recognising my preference for visual and kinaesthetic learning, I will reorganise my study sessions to incorporate a combination of digital visual resources and practical exercises. I intend to utilise digital whiteboards and interactive software to delineate intricate issues pertaining to social enterprise management.</w:t>
      </w:r>
      <w:r w:rsidRPr="00DC4697">
        <w:rPr>
          <w:rFonts w:ascii="Arial" w:hAnsi="Arial" w:cs="Arial"/>
        </w:rPr>
        <w:br/>
      </w:r>
      <w:r w:rsidRPr="00DC4697">
        <w:rPr>
          <w:rFonts w:ascii="Arial" w:hAnsi="Arial" w:cs="Arial"/>
        </w:rPr>
        <w:br/>
      </w:r>
      <w:r w:rsidRPr="00DC4697">
        <w:rPr>
          <w:rFonts w:ascii="Arial" w:hAnsi="Arial" w:cs="Arial"/>
        </w:rPr>
        <w:lastRenderedPageBreak/>
        <w:t>In accordance with Gibbs' reflective cycle, I will now begin the planning phase. I have established explicit steps: first, to implement regular evaluations utilising visual summaries; second, to engage in group discussions and workshops that replicate real-world situations; and finally, to develop a repository of multimedia materials for reference throughout the revision of essential themes. This novel methodology is supported by research indicating that multimodal learning tactics significantly enhance retention as well as comprehension (Mayer, 2009).</w:t>
      </w:r>
      <w:r>
        <w:rPr>
          <w:rFonts w:ascii="Arial" w:hAnsi="Arial" w:cs="Arial"/>
        </w:rPr>
        <w:t xml:space="preserve"> </w:t>
      </w:r>
      <w:r w:rsidRPr="00DC4697">
        <w:rPr>
          <w:rFonts w:ascii="Arial" w:hAnsi="Arial" w:cs="Arial"/>
        </w:rPr>
        <w:t>I am convinced that these changes will strengthen my understanding of course materials and develop my practical abilities, which are crucial for a career in social enterprise. This strategy is a direct response to the insights I acquired, signifying the commencement of a more intentional, self-directed learning process. By matching my study methods with my preferred learning styles, I am establishing a path for enhanced academic achievement and career development.</w:t>
      </w:r>
    </w:p>
    <w:p w14:paraId="20FE5B14" w14:textId="5B45F85D" w:rsidR="00DC4697" w:rsidRPr="00FF79A9" w:rsidRDefault="00DC4697" w:rsidP="00DC4697">
      <w:pPr>
        <w:spacing w:line="480" w:lineRule="auto"/>
        <w:rPr>
          <w:rFonts w:ascii="Arial Black" w:hAnsi="Arial Black" w:cs="Arial"/>
          <w:color w:val="F1A983" w:themeColor="accent2" w:themeTint="99"/>
        </w:rPr>
      </w:pPr>
      <w:r w:rsidRPr="00FF79A9">
        <w:rPr>
          <w:rFonts w:ascii="Arial Black" w:hAnsi="Arial Black" w:cs="Arial"/>
          <w:color w:val="F1A983" w:themeColor="accent2" w:themeTint="99"/>
        </w:rPr>
        <w:t xml:space="preserve">Section 3: </w:t>
      </w:r>
      <w:r w:rsidRPr="00FF79A9">
        <w:rPr>
          <w:rFonts w:ascii="Arial Black" w:hAnsi="Arial Black" w:cs="Arial"/>
          <w:color w:val="F1A983" w:themeColor="accent2" w:themeTint="99"/>
        </w:rPr>
        <w:t>Creating My Professional Identity and Community Engagement Plan</w:t>
      </w:r>
    </w:p>
    <w:p w14:paraId="78506A60" w14:textId="77777777" w:rsidR="00FF79A9" w:rsidRPr="00FF79A9" w:rsidRDefault="00FF79A9" w:rsidP="00FF79A9">
      <w:pPr>
        <w:spacing w:line="480" w:lineRule="auto"/>
        <w:rPr>
          <w:rFonts w:ascii="Arial" w:hAnsi="Arial" w:cs="Arial"/>
        </w:rPr>
      </w:pPr>
      <w:r w:rsidRPr="00FF79A9">
        <w:rPr>
          <w:rFonts w:ascii="Arial" w:hAnsi="Arial" w:cs="Arial"/>
        </w:rPr>
        <w:t>In addition to my academic and reflective efforts, I created a complete strategy for developing a strong professional identity and actively participating in organisational and corporate communities. This approach is based on the premise that developing a network is critical for professional development in Social Enterprise Management.</w:t>
      </w:r>
    </w:p>
    <w:p w14:paraId="6EC6D145" w14:textId="77777777" w:rsidR="00FF79A9" w:rsidRPr="00FF79A9" w:rsidRDefault="00FF79A9" w:rsidP="00FF79A9">
      <w:pPr>
        <w:spacing w:line="480" w:lineRule="auto"/>
        <w:rPr>
          <w:rFonts w:ascii="Arial Black" w:hAnsi="Arial Black" w:cs="Arial"/>
          <w:color w:val="F1A983" w:themeColor="accent2" w:themeTint="99"/>
        </w:rPr>
      </w:pPr>
      <w:r w:rsidRPr="00FF79A9">
        <w:rPr>
          <w:rFonts w:ascii="Arial Black" w:hAnsi="Arial Black" w:cs="Arial"/>
          <w:color w:val="F1A983" w:themeColor="accent2" w:themeTint="99"/>
        </w:rPr>
        <w:t>Online Presence and Professional Branding</w:t>
      </w:r>
    </w:p>
    <w:p w14:paraId="5C573E59" w14:textId="77777777" w:rsidR="00FF79A9" w:rsidRPr="00FF79A9" w:rsidRDefault="00FF79A9" w:rsidP="00FF79A9">
      <w:pPr>
        <w:spacing w:line="480" w:lineRule="auto"/>
        <w:rPr>
          <w:rFonts w:ascii="Arial" w:hAnsi="Arial" w:cs="Arial"/>
        </w:rPr>
      </w:pPr>
      <w:r w:rsidRPr="00FF79A9">
        <w:rPr>
          <w:rFonts w:ascii="Arial" w:hAnsi="Arial" w:cs="Arial"/>
        </w:rPr>
        <w:t xml:space="preserve">I'll start by creating a thorough professional profile on LinkedIn. My profile will showcase my academic achievements, project experience, and essential skills in sustainable leadership and social innovation. By frequently upgrading my portfolio </w:t>
      </w:r>
      <w:r w:rsidRPr="00FF79A9">
        <w:rPr>
          <w:rFonts w:ascii="Arial" w:hAnsi="Arial" w:cs="Arial"/>
        </w:rPr>
        <w:lastRenderedPageBreak/>
        <w:t>with reflective blog posts, coursework highlights, and insights from industry events, I hope to establish myself as an emerging leader in the social enterprise field. Based to research, maintaining an active LinkedIn profile can greatly boost professional visibility and networking prospects (Van Dijck, 2013).</w:t>
      </w:r>
    </w:p>
    <w:p w14:paraId="04806AB1" w14:textId="77777777" w:rsidR="00FF79A9" w:rsidRPr="00FF79A9" w:rsidRDefault="00FF79A9" w:rsidP="00FF79A9">
      <w:pPr>
        <w:spacing w:line="480" w:lineRule="auto"/>
        <w:rPr>
          <w:rFonts w:ascii="Arial" w:hAnsi="Arial" w:cs="Arial"/>
          <w:b/>
          <w:bCs/>
          <w:color w:val="F1A983" w:themeColor="accent2" w:themeTint="99"/>
        </w:rPr>
      </w:pPr>
      <w:r w:rsidRPr="00FF79A9">
        <w:rPr>
          <w:rFonts w:ascii="Arial" w:hAnsi="Arial" w:cs="Arial"/>
          <w:b/>
          <w:bCs/>
          <w:color w:val="F1A983" w:themeColor="accent2" w:themeTint="99"/>
        </w:rPr>
        <w:t>Sustainable Leadership Journey and Networking</w:t>
      </w:r>
    </w:p>
    <w:p w14:paraId="4D89B8EE" w14:textId="77777777" w:rsidR="00FF79A9" w:rsidRPr="00FF79A9" w:rsidRDefault="00FF79A9" w:rsidP="00FF79A9">
      <w:pPr>
        <w:spacing w:line="480" w:lineRule="auto"/>
        <w:rPr>
          <w:rFonts w:ascii="Arial" w:hAnsi="Arial" w:cs="Arial"/>
        </w:rPr>
      </w:pPr>
      <w:r w:rsidRPr="00FF79A9">
        <w:rPr>
          <w:rFonts w:ascii="Arial" w:hAnsi="Arial" w:cs="Arial"/>
        </w:rPr>
        <w:t>I intend to track my journey to sustainable leadership by participating in activities such as webinars, industry conferences, and panel discussions on social innovation. Attending networking events and joining relevant professional associations will enable me to connect with industry experts, possible mentors, and like-minded colleagues. I also intend to engage in student-led events and competitions centred on sustainable business models, as these experiences will broaden my understanding and provide practical experience with real-world difficulties.</w:t>
      </w:r>
    </w:p>
    <w:p w14:paraId="04A02F47" w14:textId="77777777" w:rsidR="00FF79A9" w:rsidRPr="00FF79A9" w:rsidRDefault="00FF79A9" w:rsidP="00FF79A9">
      <w:pPr>
        <w:spacing w:line="480" w:lineRule="auto"/>
        <w:rPr>
          <w:rFonts w:ascii="Arial Black" w:hAnsi="Arial Black" w:cs="Arial"/>
          <w:color w:val="F1A983" w:themeColor="accent2" w:themeTint="99"/>
        </w:rPr>
      </w:pPr>
      <w:r w:rsidRPr="00FF79A9">
        <w:rPr>
          <w:rFonts w:ascii="Arial Black" w:hAnsi="Arial Black" w:cs="Arial"/>
          <w:color w:val="F1A983" w:themeColor="accent2" w:themeTint="99"/>
        </w:rPr>
        <w:t>Volunteering and Community Engagement</w:t>
      </w:r>
    </w:p>
    <w:p w14:paraId="104276C9" w14:textId="77777777" w:rsidR="00FF79A9" w:rsidRPr="00FF79A9" w:rsidRDefault="00FF79A9" w:rsidP="00FF79A9">
      <w:pPr>
        <w:spacing w:line="480" w:lineRule="auto"/>
        <w:rPr>
          <w:rFonts w:ascii="Arial" w:hAnsi="Arial" w:cs="Arial"/>
        </w:rPr>
      </w:pPr>
      <w:r w:rsidRPr="00FF79A9">
        <w:rPr>
          <w:rFonts w:ascii="Arial" w:hAnsi="Arial" w:cs="Arial"/>
        </w:rPr>
        <w:t>Given the concept of social enterprise, volunteer work is an obvious extension of my academic interests. I aim to volunteer with local non-profit organisations and social initiatives so that I may put what I've learnt into practice. This involvement not only expands my practical experience, but also reflects my dedication to social impact—a quality significantly valued in the field of social enterprise management. Volunteering will also provide an opportunity to further develop soft skills such as empathy, teamwork, and strategic thinking.</w:t>
      </w:r>
    </w:p>
    <w:p w14:paraId="34D901CB" w14:textId="77777777" w:rsidR="00FF79A9" w:rsidRPr="00FF79A9" w:rsidRDefault="00FF79A9" w:rsidP="00FF79A9">
      <w:pPr>
        <w:spacing w:line="480" w:lineRule="auto"/>
        <w:rPr>
          <w:rFonts w:ascii="Arial Black" w:hAnsi="Arial Black" w:cs="Arial"/>
          <w:color w:val="F1A983" w:themeColor="accent2" w:themeTint="99"/>
        </w:rPr>
      </w:pPr>
      <w:r w:rsidRPr="00FF79A9">
        <w:rPr>
          <w:rFonts w:ascii="Arial Black" w:hAnsi="Arial Black" w:cs="Arial"/>
          <w:color w:val="F1A983" w:themeColor="accent2" w:themeTint="99"/>
        </w:rPr>
        <w:t>Continuous Reflective Practice and Professional Development.</w:t>
      </w:r>
    </w:p>
    <w:p w14:paraId="042688D0" w14:textId="72971799" w:rsidR="00FF79A9" w:rsidRPr="00FF79A9" w:rsidRDefault="00FF79A9" w:rsidP="00FF79A9">
      <w:pPr>
        <w:spacing w:line="480" w:lineRule="auto"/>
        <w:rPr>
          <w:rFonts w:ascii="Arial" w:hAnsi="Arial" w:cs="Arial"/>
        </w:rPr>
      </w:pPr>
      <w:r w:rsidRPr="00FF79A9">
        <w:rPr>
          <w:rFonts w:ascii="Arial" w:hAnsi="Arial" w:cs="Arial"/>
        </w:rPr>
        <w:t>Throughout this journey, I will continue to use reflective practices</w:t>
      </w:r>
      <w:r>
        <w:rPr>
          <w:rFonts w:ascii="Arial" w:hAnsi="Arial" w:cs="Arial"/>
        </w:rPr>
        <w:t xml:space="preserve"> </w:t>
      </w:r>
      <w:r w:rsidRPr="00FF79A9">
        <w:rPr>
          <w:rFonts w:ascii="Arial" w:hAnsi="Arial" w:cs="Arial"/>
        </w:rPr>
        <w:t>such as Gibbs' (1988) cycle</w:t>
      </w:r>
      <w:r>
        <w:rPr>
          <w:rFonts w:ascii="Arial" w:hAnsi="Arial" w:cs="Arial"/>
        </w:rPr>
        <w:t xml:space="preserve"> </w:t>
      </w:r>
      <w:r w:rsidRPr="00FF79A9">
        <w:rPr>
          <w:rFonts w:ascii="Arial" w:hAnsi="Arial" w:cs="Arial"/>
        </w:rPr>
        <w:t xml:space="preserve">to analyse my experiences and adjust my approach. Regular reflection </w:t>
      </w:r>
      <w:r w:rsidRPr="00FF79A9">
        <w:rPr>
          <w:rFonts w:ascii="Arial" w:hAnsi="Arial" w:cs="Arial"/>
        </w:rPr>
        <w:lastRenderedPageBreak/>
        <w:t>sessions will assist me in identifying strengths, addressing weaknesses and planning specific steps for progress. This continual learning strategy is critical for personal progress and is consistent with current perspectives on lifelong learning and professional development (Watkins, 1990).</w:t>
      </w:r>
    </w:p>
    <w:p w14:paraId="60EBFB66" w14:textId="2B7EA843" w:rsidR="00DC4697" w:rsidRDefault="00FF79A9" w:rsidP="00FF79A9">
      <w:pPr>
        <w:spacing w:line="480" w:lineRule="auto"/>
        <w:rPr>
          <w:rFonts w:ascii="Arial" w:hAnsi="Arial" w:cs="Arial"/>
        </w:rPr>
      </w:pPr>
      <w:r w:rsidRPr="00FF79A9">
        <w:rPr>
          <w:rFonts w:ascii="Arial" w:hAnsi="Arial" w:cs="Arial"/>
        </w:rPr>
        <w:t>By bringing these aspects together into a single plan, I am building the foundation for a dynamic and growing professional brand. This technique will not only improve my learning but will also help me create a network of contacts that will be extremely useful when I transition into the professional world of Social Enterprise Management. In a world where collaboration and adaptation are essential, my commitment to proactive networking and community participation will lay the foundation for a successful career in social innovation.</w:t>
      </w:r>
    </w:p>
    <w:p w14:paraId="1D646DB0" w14:textId="77777777" w:rsidR="00663ECE" w:rsidRDefault="00663ECE" w:rsidP="00FF79A9">
      <w:pPr>
        <w:spacing w:line="480" w:lineRule="auto"/>
        <w:rPr>
          <w:rFonts w:ascii="Arial" w:hAnsi="Arial" w:cs="Arial"/>
        </w:rPr>
      </w:pPr>
    </w:p>
    <w:p w14:paraId="55023BAC" w14:textId="77777777" w:rsidR="00663ECE" w:rsidRDefault="00663ECE" w:rsidP="00FF79A9">
      <w:pPr>
        <w:spacing w:line="480" w:lineRule="auto"/>
        <w:rPr>
          <w:rFonts w:ascii="Arial" w:hAnsi="Arial" w:cs="Arial"/>
        </w:rPr>
      </w:pPr>
    </w:p>
    <w:p w14:paraId="1F589BFF" w14:textId="77777777" w:rsidR="00663ECE" w:rsidRDefault="00663ECE" w:rsidP="00FF79A9">
      <w:pPr>
        <w:spacing w:line="480" w:lineRule="auto"/>
        <w:rPr>
          <w:rFonts w:ascii="Arial" w:hAnsi="Arial" w:cs="Arial"/>
        </w:rPr>
      </w:pPr>
    </w:p>
    <w:p w14:paraId="39638727" w14:textId="77777777" w:rsidR="00663ECE" w:rsidRDefault="00663ECE" w:rsidP="00FF79A9">
      <w:pPr>
        <w:spacing w:line="480" w:lineRule="auto"/>
        <w:rPr>
          <w:rFonts w:ascii="Arial" w:hAnsi="Arial" w:cs="Arial"/>
        </w:rPr>
      </w:pPr>
    </w:p>
    <w:p w14:paraId="7A1F46E1" w14:textId="77777777" w:rsidR="00663ECE" w:rsidRDefault="00663ECE" w:rsidP="00FF79A9">
      <w:pPr>
        <w:spacing w:line="480" w:lineRule="auto"/>
        <w:rPr>
          <w:rFonts w:ascii="Arial" w:hAnsi="Arial" w:cs="Arial"/>
        </w:rPr>
      </w:pPr>
    </w:p>
    <w:p w14:paraId="1B05BD87" w14:textId="77777777" w:rsidR="00663ECE" w:rsidRDefault="00663ECE" w:rsidP="00FF79A9">
      <w:pPr>
        <w:spacing w:line="480" w:lineRule="auto"/>
        <w:rPr>
          <w:rFonts w:ascii="Arial" w:hAnsi="Arial" w:cs="Arial"/>
        </w:rPr>
      </w:pPr>
    </w:p>
    <w:p w14:paraId="5307DD5F" w14:textId="77777777" w:rsidR="00663ECE" w:rsidRDefault="00663ECE" w:rsidP="00FF79A9">
      <w:pPr>
        <w:spacing w:line="480" w:lineRule="auto"/>
        <w:rPr>
          <w:rFonts w:ascii="Arial" w:hAnsi="Arial" w:cs="Arial"/>
        </w:rPr>
      </w:pPr>
    </w:p>
    <w:p w14:paraId="5DC6D7A1" w14:textId="77777777" w:rsidR="00663ECE" w:rsidRDefault="00663ECE" w:rsidP="00FF79A9">
      <w:pPr>
        <w:spacing w:line="480" w:lineRule="auto"/>
        <w:rPr>
          <w:rFonts w:ascii="Arial" w:hAnsi="Arial" w:cs="Arial"/>
        </w:rPr>
      </w:pPr>
    </w:p>
    <w:p w14:paraId="4F04A094" w14:textId="77777777" w:rsidR="00663ECE" w:rsidRDefault="00663ECE" w:rsidP="00FF79A9">
      <w:pPr>
        <w:spacing w:line="480" w:lineRule="auto"/>
        <w:rPr>
          <w:rFonts w:ascii="Arial" w:hAnsi="Arial" w:cs="Arial"/>
        </w:rPr>
      </w:pPr>
    </w:p>
    <w:p w14:paraId="0024A5EA" w14:textId="77777777" w:rsidR="00663ECE" w:rsidRDefault="00663ECE" w:rsidP="00FF79A9">
      <w:pPr>
        <w:spacing w:line="480" w:lineRule="auto"/>
        <w:rPr>
          <w:rFonts w:ascii="Arial" w:hAnsi="Arial" w:cs="Arial"/>
        </w:rPr>
      </w:pPr>
    </w:p>
    <w:p w14:paraId="57143422" w14:textId="77777777" w:rsidR="00663ECE" w:rsidRDefault="00663ECE" w:rsidP="00FF79A9">
      <w:pPr>
        <w:spacing w:line="480" w:lineRule="auto"/>
        <w:rPr>
          <w:rFonts w:ascii="Arial" w:hAnsi="Arial" w:cs="Arial"/>
        </w:rPr>
      </w:pPr>
    </w:p>
    <w:p w14:paraId="33A7C2C7" w14:textId="01546F5F" w:rsidR="00663ECE" w:rsidRPr="00A772DB" w:rsidRDefault="00663ECE" w:rsidP="00FF79A9">
      <w:pPr>
        <w:spacing w:line="480" w:lineRule="auto"/>
        <w:rPr>
          <w:rFonts w:ascii="Arial Black" w:hAnsi="Arial Black" w:cs="Arial"/>
          <w:color w:val="F1A983" w:themeColor="accent2" w:themeTint="99"/>
        </w:rPr>
      </w:pPr>
      <w:r w:rsidRPr="00A772DB">
        <w:rPr>
          <w:rFonts w:ascii="Arial Black" w:hAnsi="Arial Black" w:cs="Arial"/>
          <w:color w:val="F1A983" w:themeColor="accent2" w:themeTint="99"/>
        </w:rPr>
        <w:lastRenderedPageBreak/>
        <w:t xml:space="preserve">References </w:t>
      </w:r>
    </w:p>
    <w:p w14:paraId="19A4AF00" w14:textId="77777777" w:rsidR="00A772DB" w:rsidRDefault="00A772DB" w:rsidP="00A772DB">
      <w:pPr>
        <w:spacing w:line="480" w:lineRule="auto"/>
        <w:rPr>
          <w:rFonts w:ascii="Arial" w:hAnsi="Arial" w:cs="Arial"/>
        </w:rPr>
      </w:pPr>
      <w:r w:rsidRPr="00A772DB">
        <w:rPr>
          <w:rFonts w:ascii="Arial" w:hAnsi="Arial" w:cs="Arial"/>
        </w:rPr>
        <w:t xml:space="preserve">Brookfield, S. D. (2012). </w:t>
      </w:r>
      <w:r w:rsidRPr="00A772DB">
        <w:rPr>
          <w:rFonts w:ascii="Arial" w:hAnsi="Arial" w:cs="Arial"/>
          <w:i/>
          <w:iCs/>
        </w:rPr>
        <w:t>Teaching for critical thinking: Tools and techniques to help students question their assumptions.</w:t>
      </w:r>
      <w:r w:rsidRPr="00A772DB">
        <w:rPr>
          <w:rFonts w:ascii="Arial" w:hAnsi="Arial" w:cs="Arial"/>
        </w:rPr>
        <w:t xml:space="preserve"> Jossey-Bass.</w:t>
      </w:r>
    </w:p>
    <w:p w14:paraId="31F56596" w14:textId="0B60BFA4" w:rsidR="00A772DB" w:rsidRPr="00A772DB" w:rsidRDefault="00A772DB" w:rsidP="00A772DB">
      <w:pPr>
        <w:spacing w:line="480" w:lineRule="auto"/>
        <w:rPr>
          <w:rFonts w:ascii="Arial" w:hAnsi="Arial" w:cs="Arial"/>
        </w:rPr>
      </w:pPr>
      <w:r w:rsidRPr="00A772DB">
        <w:rPr>
          <w:rFonts w:ascii="Arial" w:hAnsi="Arial" w:cs="Arial"/>
        </w:rPr>
        <w:t xml:space="preserve">Fleming, N. D. (2001). </w:t>
      </w:r>
      <w:r w:rsidRPr="00A772DB">
        <w:rPr>
          <w:rFonts w:ascii="Arial" w:hAnsi="Arial" w:cs="Arial"/>
          <w:i/>
          <w:iCs/>
        </w:rPr>
        <w:t>Teaching and learning styles: VARK strategies</w:t>
      </w:r>
      <w:r w:rsidRPr="00A772DB">
        <w:rPr>
          <w:rFonts w:ascii="Arial" w:hAnsi="Arial" w:cs="Arial"/>
        </w:rPr>
        <w:t>. N. D. Fleming.</w:t>
      </w:r>
    </w:p>
    <w:p w14:paraId="74C429A3" w14:textId="77777777" w:rsidR="00A772DB" w:rsidRPr="00A772DB" w:rsidRDefault="00A772DB" w:rsidP="00A772DB">
      <w:pPr>
        <w:spacing w:line="480" w:lineRule="auto"/>
        <w:rPr>
          <w:rFonts w:ascii="Arial" w:hAnsi="Arial" w:cs="Arial"/>
        </w:rPr>
      </w:pPr>
      <w:r w:rsidRPr="00A772DB">
        <w:rPr>
          <w:rFonts w:ascii="Arial" w:hAnsi="Arial" w:cs="Arial"/>
        </w:rPr>
        <w:t xml:space="preserve">Gibbs, G. (1988). </w:t>
      </w:r>
      <w:r w:rsidRPr="00A772DB">
        <w:rPr>
          <w:rFonts w:ascii="Arial" w:hAnsi="Arial" w:cs="Arial"/>
          <w:i/>
          <w:iCs/>
        </w:rPr>
        <w:t>Learning by doing: A guide to teaching and learning methods</w:t>
      </w:r>
      <w:r w:rsidRPr="00A772DB">
        <w:rPr>
          <w:rFonts w:ascii="Arial" w:hAnsi="Arial" w:cs="Arial"/>
        </w:rPr>
        <w:t>. Oxford Polytechnic.</w:t>
      </w:r>
    </w:p>
    <w:p w14:paraId="19894E86" w14:textId="77777777" w:rsidR="00A772DB" w:rsidRPr="00A772DB" w:rsidRDefault="00A772DB" w:rsidP="00A772DB">
      <w:pPr>
        <w:spacing w:line="480" w:lineRule="auto"/>
        <w:rPr>
          <w:rFonts w:ascii="Arial" w:hAnsi="Arial" w:cs="Arial"/>
        </w:rPr>
      </w:pPr>
      <w:r w:rsidRPr="00A772DB">
        <w:rPr>
          <w:rFonts w:ascii="Arial" w:hAnsi="Arial" w:cs="Arial"/>
        </w:rPr>
        <w:t xml:space="preserve">Kolb, D. A. (1984). </w:t>
      </w:r>
      <w:r w:rsidRPr="00A772DB">
        <w:rPr>
          <w:rFonts w:ascii="Arial" w:hAnsi="Arial" w:cs="Arial"/>
          <w:i/>
          <w:iCs/>
        </w:rPr>
        <w:t>Experiential learning: Experience as the source of learning and development.</w:t>
      </w:r>
      <w:r w:rsidRPr="00A772DB">
        <w:rPr>
          <w:rFonts w:ascii="Arial" w:hAnsi="Arial" w:cs="Arial"/>
        </w:rPr>
        <w:t xml:space="preserve"> Prentice-Hall.</w:t>
      </w:r>
    </w:p>
    <w:p w14:paraId="5590EBCA" w14:textId="5200F164" w:rsidR="00A772DB" w:rsidRDefault="00A772DB" w:rsidP="00A772DB">
      <w:pPr>
        <w:spacing w:line="480" w:lineRule="auto"/>
        <w:rPr>
          <w:rFonts w:ascii="Arial" w:hAnsi="Arial" w:cs="Arial"/>
        </w:rPr>
      </w:pPr>
      <w:r w:rsidRPr="00A772DB">
        <w:rPr>
          <w:rFonts w:ascii="Arial" w:hAnsi="Arial" w:cs="Arial"/>
        </w:rPr>
        <w:t xml:space="preserve">Kuhn, C. (2014). </w:t>
      </w:r>
      <w:r w:rsidRPr="00A772DB">
        <w:rPr>
          <w:rFonts w:ascii="Arial" w:hAnsi="Arial" w:cs="Arial"/>
          <w:i/>
          <w:iCs/>
        </w:rPr>
        <w:t xml:space="preserve">Personal learning environments and the learning of mathematics: Possibility or reality? In Proceedings of the </w:t>
      </w:r>
      <w:proofErr w:type="spellStart"/>
      <w:r w:rsidRPr="00A772DB">
        <w:rPr>
          <w:rFonts w:ascii="Arial" w:hAnsi="Arial" w:cs="Arial"/>
          <w:i/>
          <w:iCs/>
        </w:rPr>
        <w:t>Sinte</w:t>
      </w:r>
      <w:r w:rsidRPr="00A772DB">
        <w:rPr>
          <w:rFonts w:ascii="Arial" w:hAnsi="Arial" w:cs="Arial"/>
          <w:i/>
          <w:iCs/>
        </w:rPr>
        <w:t>s</w:t>
      </w:r>
      <w:r w:rsidRPr="00A772DB">
        <w:rPr>
          <w:rFonts w:ascii="Arial" w:hAnsi="Arial" w:cs="Arial"/>
          <w:i/>
          <w:iCs/>
        </w:rPr>
        <w:t>a</w:t>
      </w:r>
      <w:proofErr w:type="spellEnd"/>
      <w:r w:rsidRPr="00A772DB">
        <w:rPr>
          <w:rFonts w:ascii="Arial" w:hAnsi="Arial" w:cs="Arial"/>
          <w:i/>
          <w:iCs/>
        </w:rPr>
        <w:t xml:space="preserve"> International Scientific Conference</w:t>
      </w:r>
      <w:r w:rsidRPr="00A772DB">
        <w:rPr>
          <w:rFonts w:ascii="Arial" w:hAnsi="Arial" w:cs="Arial"/>
        </w:rPr>
        <w:t xml:space="preserve"> (pp. 54–61). </w:t>
      </w:r>
      <w:proofErr w:type="spellStart"/>
      <w:r w:rsidRPr="00A772DB">
        <w:rPr>
          <w:rFonts w:ascii="Arial" w:hAnsi="Arial" w:cs="Arial"/>
        </w:rPr>
        <w:t>Singidunum</w:t>
      </w:r>
      <w:proofErr w:type="spellEnd"/>
      <w:r w:rsidRPr="00A772DB">
        <w:rPr>
          <w:rFonts w:ascii="Arial" w:hAnsi="Arial" w:cs="Arial"/>
        </w:rPr>
        <w:t xml:space="preserve"> University. Retrieved from </w:t>
      </w:r>
      <w:hyperlink r:id="rId6" w:history="1">
        <w:r w:rsidRPr="001174B8">
          <w:rPr>
            <w:rStyle w:val="Hyperlink"/>
            <w:rFonts w:ascii="Arial" w:hAnsi="Arial" w:cs="Arial"/>
          </w:rPr>
          <w:t>http://portal.sinteza.singidunum.ac.rs/Media/files/2014/Sinteza-2014.pdf</w:t>
        </w:r>
      </w:hyperlink>
    </w:p>
    <w:p w14:paraId="5F26F7AE" w14:textId="319981A4" w:rsidR="00A772DB" w:rsidRDefault="00A772DB" w:rsidP="00A772DB">
      <w:pPr>
        <w:spacing w:line="480" w:lineRule="auto"/>
        <w:rPr>
          <w:rFonts w:ascii="Arial" w:hAnsi="Arial" w:cs="Arial"/>
        </w:rPr>
      </w:pPr>
      <w:r w:rsidRPr="00A772DB">
        <w:rPr>
          <w:rFonts w:ascii="Arial" w:hAnsi="Arial" w:cs="Arial"/>
        </w:rPr>
        <w:t xml:space="preserve">Lanclos, D. (2016). </w:t>
      </w:r>
      <w:r w:rsidRPr="00A772DB">
        <w:rPr>
          <w:rFonts w:ascii="Arial" w:hAnsi="Arial" w:cs="Arial"/>
          <w:i/>
          <w:iCs/>
        </w:rPr>
        <w:t xml:space="preserve">The death of the digital native: Four provocations from </w:t>
      </w:r>
      <w:proofErr w:type="spellStart"/>
      <w:r w:rsidRPr="00A772DB">
        <w:rPr>
          <w:rFonts w:ascii="Arial" w:hAnsi="Arial" w:cs="Arial"/>
          <w:i/>
          <w:iCs/>
        </w:rPr>
        <w:t>Digifest</w:t>
      </w:r>
      <w:proofErr w:type="spellEnd"/>
      <w:r w:rsidRPr="00A772DB">
        <w:rPr>
          <w:rFonts w:ascii="Arial" w:hAnsi="Arial" w:cs="Arial"/>
          <w:i/>
          <w:iCs/>
        </w:rPr>
        <w:t xml:space="preserve"> speaker</w:t>
      </w:r>
      <w:r w:rsidRPr="00A772DB">
        <w:rPr>
          <w:rFonts w:ascii="Arial" w:hAnsi="Arial" w:cs="Arial"/>
        </w:rPr>
        <w:t xml:space="preserve">. Retrieved from </w:t>
      </w:r>
      <w:hyperlink r:id="rId7" w:history="1">
        <w:r w:rsidRPr="001174B8">
          <w:rPr>
            <w:rStyle w:val="Hyperlink"/>
            <w:rFonts w:ascii="Arial" w:hAnsi="Arial" w:cs="Arial"/>
          </w:rPr>
          <w:t>https://www.jisc.ac.uk/inform-feature/the-death-of-the-digital-native-23-feb-2016</w:t>
        </w:r>
      </w:hyperlink>
    </w:p>
    <w:p w14:paraId="2779DA67" w14:textId="7D69CE94" w:rsidR="00A772DB" w:rsidRPr="00A772DB" w:rsidRDefault="00A772DB" w:rsidP="00A772DB">
      <w:pPr>
        <w:spacing w:line="480" w:lineRule="auto"/>
        <w:rPr>
          <w:rFonts w:ascii="Arial" w:hAnsi="Arial" w:cs="Arial"/>
        </w:rPr>
      </w:pPr>
      <w:proofErr w:type="spellStart"/>
      <w:r w:rsidRPr="00A772DB">
        <w:rPr>
          <w:rFonts w:ascii="Arial" w:hAnsi="Arial" w:cs="Arial"/>
        </w:rPr>
        <w:t>Leontiev</w:t>
      </w:r>
      <w:proofErr w:type="spellEnd"/>
      <w:r w:rsidRPr="00A772DB">
        <w:rPr>
          <w:rFonts w:ascii="Arial" w:hAnsi="Arial" w:cs="Arial"/>
        </w:rPr>
        <w:t xml:space="preserve">, A. N. (1978). </w:t>
      </w:r>
      <w:r w:rsidRPr="00A772DB">
        <w:rPr>
          <w:rFonts w:ascii="Arial" w:hAnsi="Arial" w:cs="Arial"/>
          <w:i/>
          <w:iCs/>
        </w:rPr>
        <w:t>Activity, consciousness, and personality</w:t>
      </w:r>
      <w:r w:rsidRPr="00A772DB">
        <w:rPr>
          <w:rFonts w:ascii="Arial" w:hAnsi="Arial" w:cs="Arial"/>
        </w:rPr>
        <w:t>. Prentice Hall.</w:t>
      </w:r>
    </w:p>
    <w:p w14:paraId="02E5AAD2" w14:textId="20763684" w:rsidR="00A772DB" w:rsidRDefault="00A772DB" w:rsidP="00A772DB">
      <w:pPr>
        <w:spacing w:line="480" w:lineRule="auto"/>
        <w:rPr>
          <w:rFonts w:ascii="Arial" w:hAnsi="Arial" w:cs="Arial"/>
        </w:rPr>
      </w:pPr>
      <w:r w:rsidRPr="00A772DB">
        <w:rPr>
          <w:rFonts w:ascii="Arial" w:hAnsi="Arial" w:cs="Arial"/>
        </w:rPr>
        <w:t xml:space="preserve">Maak, T., &amp; Pless, N. M. (2006). Responsible leadership in a stakeholder society: A relational perspective. </w:t>
      </w:r>
      <w:r w:rsidRPr="00A772DB">
        <w:rPr>
          <w:rFonts w:ascii="Arial" w:hAnsi="Arial" w:cs="Arial"/>
          <w:i/>
          <w:iCs/>
        </w:rPr>
        <w:t>Journal of Business Ethics, 66(</w:t>
      </w:r>
      <w:r w:rsidRPr="00A772DB">
        <w:rPr>
          <w:rFonts w:ascii="Arial" w:hAnsi="Arial" w:cs="Arial"/>
        </w:rPr>
        <w:t xml:space="preserve">1), 99–115. </w:t>
      </w:r>
      <w:hyperlink r:id="rId8" w:history="1">
        <w:r w:rsidRPr="001174B8">
          <w:rPr>
            <w:rStyle w:val="Hyperlink"/>
            <w:rFonts w:ascii="Arial" w:hAnsi="Arial" w:cs="Arial"/>
          </w:rPr>
          <w:t>https://doi.org/10.1007/s10551-006-9047-z</w:t>
        </w:r>
      </w:hyperlink>
    </w:p>
    <w:p w14:paraId="606F6AF7" w14:textId="08175A08" w:rsidR="00A772DB" w:rsidRPr="00A772DB" w:rsidRDefault="00A772DB" w:rsidP="00A772DB">
      <w:pPr>
        <w:spacing w:line="480" w:lineRule="auto"/>
        <w:rPr>
          <w:rFonts w:ascii="Arial" w:hAnsi="Arial" w:cs="Arial"/>
        </w:rPr>
      </w:pPr>
      <w:proofErr w:type="spellStart"/>
      <w:r w:rsidRPr="00A772DB">
        <w:rPr>
          <w:rFonts w:ascii="Arial" w:hAnsi="Arial" w:cs="Arial"/>
        </w:rPr>
        <w:t>Marsick</w:t>
      </w:r>
      <w:proofErr w:type="spellEnd"/>
      <w:r w:rsidRPr="00A772DB">
        <w:rPr>
          <w:rFonts w:ascii="Arial" w:hAnsi="Arial" w:cs="Arial"/>
        </w:rPr>
        <w:t>, V. J., &amp; Watkins, K. E. (1990</w:t>
      </w:r>
      <w:r w:rsidRPr="00A772DB">
        <w:rPr>
          <w:rFonts w:ascii="Arial" w:hAnsi="Arial" w:cs="Arial"/>
          <w:i/>
          <w:iCs/>
        </w:rPr>
        <w:t>). Informal and incidental learning in the workplace</w:t>
      </w:r>
      <w:r w:rsidRPr="00A772DB">
        <w:rPr>
          <w:rFonts w:ascii="Arial" w:hAnsi="Arial" w:cs="Arial"/>
        </w:rPr>
        <w:t>. Routledge.</w:t>
      </w:r>
    </w:p>
    <w:p w14:paraId="2D677959" w14:textId="77777777" w:rsidR="00A772DB" w:rsidRPr="00A772DB" w:rsidRDefault="00A772DB" w:rsidP="00A772DB">
      <w:pPr>
        <w:spacing w:line="480" w:lineRule="auto"/>
        <w:rPr>
          <w:rFonts w:ascii="Arial" w:hAnsi="Arial" w:cs="Arial"/>
        </w:rPr>
      </w:pPr>
    </w:p>
    <w:p w14:paraId="75A70938" w14:textId="77777777" w:rsidR="00A772DB" w:rsidRPr="00A772DB" w:rsidRDefault="00A772DB" w:rsidP="00A772DB">
      <w:pPr>
        <w:spacing w:line="480" w:lineRule="auto"/>
        <w:rPr>
          <w:rFonts w:ascii="Arial" w:hAnsi="Arial" w:cs="Arial"/>
        </w:rPr>
      </w:pPr>
      <w:r w:rsidRPr="00A772DB">
        <w:rPr>
          <w:rFonts w:ascii="Arial" w:hAnsi="Arial" w:cs="Arial"/>
        </w:rPr>
        <w:lastRenderedPageBreak/>
        <w:t xml:space="preserve">Mayer, R. E. (2009). </w:t>
      </w:r>
      <w:r w:rsidRPr="00A772DB">
        <w:rPr>
          <w:rFonts w:ascii="Arial" w:hAnsi="Arial" w:cs="Arial"/>
          <w:i/>
          <w:iCs/>
        </w:rPr>
        <w:t>Multimedia learning</w:t>
      </w:r>
      <w:r w:rsidRPr="00A772DB">
        <w:rPr>
          <w:rFonts w:ascii="Arial" w:hAnsi="Arial" w:cs="Arial"/>
        </w:rPr>
        <w:t xml:space="preserve"> (2nd ed.). Cambridge University Press.</w:t>
      </w:r>
    </w:p>
    <w:p w14:paraId="2BB3C275" w14:textId="75913212" w:rsidR="00A772DB" w:rsidRDefault="00A772DB" w:rsidP="00A772DB">
      <w:pPr>
        <w:spacing w:line="480" w:lineRule="auto"/>
        <w:rPr>
          <w:rFonts w:ascii="Arial" w:hAnsi="Arial" w:cs="Arial"/>
        </w:rPr>
      </w:pPr>
      <w:r w:rsidRPr="00A772DB">
        <w:rPr>
          <w:rFonts w:ascii="Arial" w:hAnsi="Arial" w:cs="Arial"/>
        </w:rPr>
        <w:t xml:space="preserve">Oliver, M. (2011). Technological determinism in educational technology research: Some alternative ways of thinking about the relationship between learning and technology. </w:t>
      </w:r>
      <w:r w:rsidRPr="00A772DB">
        <w:rPr>
          <w:rFonts w:ascii="Arial" w:hAnsi="Arial" w:cs="Arial"/>
          <w:i/>
          <w:iCs/>
        </w:rPr>
        <w:t>Journal of Computer Assisted Learning, 27</w:t>
      </w:r>
      <w:r w:rsidRPr="00A772DB">
        <w:rPr>
          <w:rFonts w:ascii="Arial" w:hAnsi="Arial" w:cs="Arial"/>
        </w:rPr>
        <w:t xml:space="preserve">(5), 373–384. </w:t>
      </w:r>
      <w:hyperlink r:id="rId9" w:history="1">
        <w:r w:rsidRPr="001174B8">
          <w:rPr>
            <w:rStyle w:val="Hyperlink"/>
            <w:rFonts w:ascii="Arial" w:hAnsi="Arial" w:cs="Arial"/>
          </w:rPr>
          <w:t>https://doi.org/10.1111/j.1365-2729.2011.00406.x</w:t>
        </w:r>
      </w:hyperlink>
    </w:p>
    <w:p w14:paraId="0FB2167F" w14:textId="2988ED26" w:rsidR="00A772DB" w:rsidRDefault="00A772DB" w:rsidP="00A772DB">
      <w:pPr>
        <w:spacing w:line="480" w:lineRule="auto"/>
        <w:rPr>
          <w:rFonts w:ascii="Arial" w:hAnsi="Arial" w:cs="Arial"/>
        </w:rPr>
      </w:pPr>
      <w:r w:rsidRPr="00A772DB">
        <w:rPr>
          <w:rFonts w:ascii="Arial" w:hAnsi="Arial" w:cs="Arial"/>
        </w:rPr>
        <w:t>Prendes, M. P., &amp; Castañeda, L. (2013). PLE-</w:t>
      </w:r>
      <w:r w:rsidRPr="00A772DB">
        <w:rPr>
          <w:rFonts w:ascii="Arial" w:hAnsi="Arial" w:cs="Arial"/>
        </w:rPr>
        <w:t>centred</w:t>
      </w:r>
      <w:r w:rsidRPr="00A772DB">
        <w:rPr>
          <w:rFonts w:ascii="Arial" w:hAnsi="Arial" w:cs="Arial"/>
        </w:rPr>
        <w:t xml:space="preserve"> education: The next boundary: Perceptions and realities behind students personal learning environments. </w:t>
      </w:r>
      <w:r w:rsidRPr="00A772DB">
        <w:rPr>
          <w:rFonts w:ascii="Arial" w:hAnsi="Arial" w:cs="Arial"/>
          <w:i/>
          <w:iCs/>
        </w:rPr>
        <w:t>Journal of Educational Leadership in Action, 2(</w:t>
      </w:r>
      <w:r w:rsidRPr="00A772DB">
        <w:rPr>
          <w:rFonts w:ascii="Arial" w:hAnsi="Arial" w:cs="Arial"/>
        </w:rPr>
        <w:t xml:space="preserve">1). Retrieved from </w:t>
      </w:r>
      <w:hyperlink r:id="rId10" w:history="1">
        <w:r w:rsidRPr="001174B8">
          <w:rPr>
            <w:rStyle w:val="Hyperlink"/>
            <w:rFonts w:ascii="Arial" w:hAnsi="Arial" w:cs="Arial"/>
          </w:rPr>
          <w:t>http://www.lindenwood.edu/ela/issue03/castaneda.html</w:t>
        </w:r>
      </w:hyperlink>
    </w:p>
    <w:p w14:paraId="22BFB799" w14:textId="0F3F6FD6" w:rsidR="00663ECE" w:rsidRPr="00DC4697" w:rsidRDefault="00A772DB" w:rsidP="00A772DB">
      <w:pPr>
        <w:spacing w:line="480" w:lineRule="auto"/>
        <w:rPr>
          <w:rFonts w:ascii="Arial" w:hAnsi="Arial" w:cs="Arial"/>
        </w:rPr>
      </w:pPr>
      <w:r w:rsidRPr="00A772DB">
        <w:rPr>
          <w:rFonts w:ascii="Arial" w:hAnsi="Arial" w:cs="Arial"/>
        </w:rPr>
        <w:t xml:space="preserve">Van Dijck, J. (2013). </w:t>
      </w:r>
      <w:r w:rsidRPr="00A772DB">
        <w:rPr>
          <w:rFonts w:ascii="Arial" w:hAnsi="Arial" w:cs="Arial"/>
          <w:i/>
          <w:iCs/>
        </w:rPr>
        <w:t>The culture of connectivity: A critical history of social media</w:t>
      </w:r>
      <w:r w:rsidRPr="00A772DB">
        <w:rPr>
          <w:rFonts w:ascii="Arial" w:hAnsi="Arial" w:cs="Arial"/>
        </w:rPr>
        <w:t>. Oxford University Press.</w:t>
      </w:r>
    </w:p>
    <w:p w14:paraId="16D9F28A" w14:textId="77777777" w:rsidR="00DC4697" w:rsidRPr="007B2027" w:rsidRDefault="00DC4697" w:rsidP="007B2027">
      <w:pPr>
        <w:spacing w:line="480" w:lineRule="auto"/>
        <w:rPr>
          <w:rFonts w:ascii="Arial" w:hAnsi="Arial" w:cs="Arial"/>
        </w:rPr>
      </w:pPr>
    </w:p>
    <w:p w14:paraId="206CB9F0" w14:textId="77777777" w:rsidR="007B2027" w:rsidRPr="007B2027" w:rsidRDefault="007B2027" w:rsidP="007B2027">
      <w:pPr>
        <w:spacing w:line="480" w:lineRule="auto"/>
        <w:rPr>
          <w:rFonts w:ascii="Arial" w:hAnsi="Arial" w:cs="Arial"/>
        </w:rPr>
      </w:pPr>
    </w:p>
    <w:sectPr w:rsidR="007B2027" w:rsidRPr="007B2027" w:rsidSect="00663ECE">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3DDCE" w14:textId="77777777" w:rsidR="00D97436" w:rsidRDefault="00D97436" w:rsidP="00DC4697">
      <w:pPr>
        <w:spacing w:after="0" w:line="240" w:lineRule="auto"/>
      </w:pPr>
      <w:r>
        <w:separator/>
      </w:r>
    </w:p>
  </w:endnote>
  <w:endnote w:type="continuationSeparator" w:id="0">
    <w:p w14:paraId="249C0D09" w14:textId="77777777" w:rsidR="00D97436" w:rsidRDefault="00D97436" w:rsidP="00DC4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95BC5" w14:textId="77777777" w:rsidR="00D97436" w:rsidRDefault="00D97436" w:rsidP="00DC4697">
      <w:pPr>
        <w:spacing w:after="0" w:line="240" w:lineRule="auto"/>
      </w:pPr>
      <w:r>
        <w:separator/>
      </w:r>
    </w:p>
  </w:footnote>
  <w:footnote w:type="continuationSeparator" w:id="0">
    <w:p w14:paraId="2BC932CF" w14:textId="77777777" w:rsidR="00D97436" w:rsidRDefault="00D97436" w:rsidP="00DC4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636483"/>
      <w:docPartObj>
        <w:docPartGallery w:val="Page Numbers (Top of Page)"/>
        <w:docPartUnique/>
      </w:docPartObj>
    </w:sdtPr>
    <w:sdtEndPr>
      <w:rPr>
        <w:noProof/>
      </w:rPr>
    </w:sdtEndPr>
    <w:sdtContent>
      <w:p w14:paraId="7B99BCCD" w14:textId="463B30B6" w:rsidR="00DC4697" w:rsidRDefault="00DC4697">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1E3C43" w14:textId="77777777" w:rsidR="00DC4697" w:rsidRDefault="00DC469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27"/>
    <w:rsid w:val="00663ECE"/>
    <w:rsid w:val="007B2027"/>
    <w:rsid w:val="00A772DB"/>
    <w:rsid w:val="00C9621B"/>
    <w:rsid w:val="00D97436"/>
    <w:rsid w:val="00DC4697"/>
    <w:rsid w:val="00FF7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D53FA"/>
  <w15:chartTrackingRefBased/>
  <w15:docId w15:val="{91A204BF-C9C2-4662-855C-809CCF4BC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2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2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2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2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2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027"/>
    <w:rPr>
      <w:rFonts w:eastAsiaTheme="majorEastAsia" w:cstheme="majorBidi"/>
      <w:color w:val="272727" w:themeColor="text1" w:themeTint="D8"/>
    </w:rPr>
  </w:style>
  <w:style w:type="paragraph" w:styleId="Title">
    <w:name w:val="Title"/>
    <w:basedOn w:val="Normal"/>
    <w:next w:val="Normal"/>
    <w:link w:val="TitleChar"/>
    <w:uiPriority w:val="10"/>
    <w:qFormat/>
    <w:rsid w:val="007B2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027"/>
    <w:pPr>
      <w:spacing w:before="160"/>
      <w:jc w:val="center"/>
    </w:pPr>
    <w:rPr>
      <w:i/>
      <w:iCs/>
      <w:color w:val="404040" w:themeColor="text1" w:themeTint="BF"/>
    </w:rPr>
  </w:style>
  <w:style w:type="character" w:customStyle="1" w:styleId="QuoteChar">
    <w:name w:val="Quote Char"/>
    <w:basedOn w:val="DefaultParagraphFont"/>
    <w:link w:val="Quote"/>
    <w:uiPriority w:val="29"/>
    <w:rsid w:val="007B2027"/>
    <w:rPr>
      <w:i/>
      <w:iCs/>
      <w:color w:val="404040" w:themeColor="text1" w:themeTint="BF"/>
    </w:rPr>
  </w:style>
  <w:style w:type="paragraph" w:styleId="ListParagraph">
    <w:name w:val="List Paragraph"/>
    <w:basedOn w:val="Normal"/>
    <w:uiPriority w:val="34"/>
    <w:qFormat/>
    <w:rsid w:val="007B2027"/>
    <w:pPr>
      <w:ind w:left="720"/>
      <w:contextualSpacing/>
    </w:pPr>
  </w:style>
  <w:style w:type="character" w:styleId="IntenseEmphasis">
    <w:name w:val="Intense Emphasis"/>
    <w:basedOn w:val="DefaultParagraphFont"/>
    <w:uiPriority w:val="21"/>
    <w:qFormat/>
    <w:rsid w:val="007B2027"/>
    <w:rPr>
      <w:i/>
      <w:iCs/>
      <w:color w:val="0F4761" w:themeColor="accent1" w:themeShade="BF"/>
    </w:rPr>
  </w:style>
  <w:style w:type="paragraph" w:styleId="IntenseQuote">
    <w:name w:val="Intense Quote"/>
    <w:basedOn w:val="Normal"/>
    <w:next w:val="Normal"/>
    <w:link w:val="IntenseQuoteChar"/>
    <w:uiPriority w:val="30"/>
    <w:qFormat/>
    <w:rsid w:val="007B2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027"/>
    <w:rPr>
      <w:i/>
      <w:iCs/>
      <w:color w:val="0F4761" w:themeColor="accent1" w:themeShade="BF"/>
    </w:rPr>
  </w:style>
  <w:style w:type="character" w:styleId="IntenseReference">
    <w:name w:val="Intense Reference"/>
    <w:basedOn w:val="DefaultParagraphFont"/>
    <w:uiPriority w:val="32"/>
    <w:qFormat/>
    <w:rsid w:val="007B2027"/>
    <w:rPr>
      <w:b/>
      <w:bCs/>
      <w:smallCaps/>
      <w:color w:val="0F4761" w:themeColor="accent1" w:themeShade="BF"/>
      <w:spacing w:val="5"/>
    </w:rPr>
  </w:style>
  <w:style w:type="paragraph" w:styleId="Header">
    <w:name w:val="header"/>
    <w:basedOn w:val="Normal"/>
    <w:link w:val="HeaderChar"/>
    <w:uiPriority w:val="99"/>
    <w:unhideWhenUsed/>
    <w:rsid w:val="00DC46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4697"/>
  </w:style>
  <w:style w:type="paragraph" w:styleId="Footer">
    <w:name w:val="footer"/>
    <w:basedOn w:val="Normal"/>
    <w:link w:val="FooterChar"/>
    <w:uiPriority w:val="99"/>
    <w:unhideWhenUsed/>
    <w:rsid w:val="00DC46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4697"/>
  </w:style>
  <w:style w:type="paragraph" w:styleId="NoSpacing">
    <w:name w:val="No Spacing"/>
    <w:link w:val="NoSpacingChar"/>
    <w:uiPriority w:val="1"/>
    <w:qFormat/>
    <w:rsid w:val="00663EC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63ECE"/>
    <w:rPr>
      <w:rFonts w:eastAsiaTheme="minorEastAsia"/>
      <w:kern w:val="0"/>
      <w:sz w:val="22"/>
      <w:szCs w:val="22"/>
      <w:lang w:val="en-US"/>
      <w14:ligatures w14:val="none"/>
    </w:rPr>
  </w:style>
  <w:style w:type="character" w:styleId="Hyperlink">
    <w:name w:val="Hyperlink"/>
    <w:basedOn w:val="DefaultParagraphFont"/>
    <w:uiPriority w:val="99"/>
    <w:unhideWhenUsed/>
    <w:rsid w:val="00A772DB"/>
    <w:rPr>
      <w:color w:val="467886" w:themeColor="hyperlink"/>
      <w:u w:val="single"/>
    </w:rPr>
  </w:style>
  <w:style w:type="character" w:styleId="UnresolvedMention">
    <w:name w:val="Unresolved Mention"/>
    <w:basedOn w:val="DefaultParagraphFont"/>
    <w:uiPriority w:val="99"/>
    <w:semiHidden/>
    <w:unhideWhenUsed/>
    <w:rsid w:val="00A772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469954">
      <w:bodyDiv w:val="1"/>
      <w:marLeft w:val="0"/>
      <w:marRight w:val="0"/>
      <w:marTop w:val="0"/>
      <w:marBottom w:val="0"/>
      <w:divBdr>
        <w:top w:val="none" w:sz="0" w:space="0" w:color="auto"/>
        <w:left w:val="none" w:sz="0" w:space="0" w:color="auto"/>
        <w:bottom w:val="none" w:sz="0" w:space="0" w:color="auto"/>
        <w:right w:val="none" w:sz="0" w:space="0" w:color="auto"/>
      </w:divBdr>
    </w:div>
    <w:div w:id="182222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0551-006-9047-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jisc.ac.uk/inform-feature/the-death-of-the-digital-native-23-feb-2016"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ortal.sinteza.singidunum.ac.rs/Media/files/2014/Sinteza-2014.pdf"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lindenwood.edu/ela/issue03/castaneda.html" TargetMode="External"/><Relationship Id="rId4" Type="http://schemas.openxmlformats.org/officeDocument/2006/relationships/footnotes" Target="footnotes.xml"/><Relationship Id="rId9" Type="http://schemas.openxmlformats.org/officeDocument/2006/relationships/hyperlink" Target="https://doi.org/10.1111/j.1365-2729.2011.00406.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Learning Environment</dc:title>
  <dc:subject>Portfolio</dc:subject>
  <dc:creator>Ana Petronela Radulea</dc:creator>
  <cp:keywords/>
  <dc:description/>
  <cp:lastModifiedBy>Mirabela Voican (1907947)</cp:lastModifiedBy>
  <cp:revision>1</cp:revision>
  <dcterms:created xsi:type="dcterms:W3CDTF">2025-02-22T11:37:00Z</dcterms:created>
  <dcterms:modified xsi:type="dcterms:W3CDTF">2025-02-22T12:29:00Z</dcterms:modified>
</cp:coreProperties>
</file>