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E6DDA6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F28CB">
              <w:rPr>
                <w:rFonts w:ascii="Times New Roman" w:hAnsi="Times New Roman" w:cs="Times New Roman"/>
                <w:b/>
                <w:color w:val="auto"/>
                <w:sz w:val="48"/>
              </w:rPr>
              <w:t>Lauren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72EA0D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F28CB">
              <w:rPr>
                <w:rFonts w:ascii="Times New Roman" w:hAnsi="Times New Roman" w:cs="Times New Roman"/>
                <w:b/>
                <w:color w:val="auto"/>
                <w:sz w:val="48"/>
              </w:rPr>
              <w:t xml:space="preserve"> </w:t>
            </w:r>
            <w:hyperlink r:id="rId11" w:history="1">
              <w:r w:rsidR="004F28CB" w:rsidRPr="009A6AF8">
                <w:rPr>
                  <w:rStyle w:val="Hyperlink"/>
                  <w:rFonts w:ascii="Times New Roman" w:hAnsi="Times New Roman" w:cs="Times New Roman"/>
                  <w:b/>
                  <w:sz w:val="48"/>
                </w:rPr>
                <w:t>2328348@student.uwtsd.ac.uk</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A1ACB17" w14:textId="7A60B9BD" w:rsidR="004F28CB" w:rsidRPr="005D3F07" w:rsidRDefault="004F28C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2328348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291F0EC8" w:rsidR="00FC0334" w:rsidRDefault="00FC0334" w:rsidP="00FF7EBB">
            <w:pPr>
              <w:jc w:val="both"/>
              <w:rPr>
                <w:sz w:val="24"/>
                <w:szCs w:val="24"/>
              </w:rPr>
            </w:pPr>
          </w:p>
          <w:p w14:paraId="5CBAA1E4" w14:textId="7D16877E" w:rsidR="003F2927" w:rsidRPr="003F2927" w:rsidRDefault="00373F5A" w:rsidP="003F2927">
            <w:pPr>
              <w:spacing w:line="360" w:lineRule="auto"/>
              <w:jc w:val="both"/>
              <w:rPr>
                <w:rFonts w:asciiTheme="minorHAnsi" w:hAnsiTheme="minorHAnsi" w:cstheme="minorHAnsi"/>
                <w:sz w:val="24"/>
                <w:szCs w:val="24"/>
              </w:rPr>
            </w:pPr>
            <w:r w:rsidRPr="003F2927">
              <w:rPr>
                <w:rFonts w:asciiTheme="minorHAnsi" w:hAnsiTheme="minorHAnsi" w:cstheme="minorHAnsi"/>
                <w:sz w:val="24"/>
                <w:szCs w:val="24"/>
              </w:rPr>
              <w:t xml:space="preserve">Under Part 7 of the Social Services and Wellbeing (Wales) Act (2014) (SSWBA, 2014), there is a duty on local authorities to report an adult at risk of, or experiencing, abuse or neglect, or cannot protect themselves due to care and support needs. The ‘Working Together to Safeguard People’ guidance (2022) goes hand in hand with the SSWBA (2014) as </w:t>
            </w:r>
            <w:r w:rsidR="003F2927" w:rsidRPr="003F2927">
              <w:rPr>
                <w:rFonts w:asciiTheme="minorHAnsi" w:hAnsiTheme="minorHAnsi" w:cstheme="minorHAnsi"/>
                <w:sz w:val="24"/>
                <w:szCs w:val="24"/>
              </w:rPr>
              <w:t xml:space="preserve">this sets out expectations in relation to safeguarding arrangements for individuals. </w:t>
            </w:r>
            <w:r w:rsidR="003F2927">
              <w:rPr>
                <w:rFonts w:asciiTheme="minorHAnsi" w:hAnsiTheme="minorHAnsi" w:cstheme="minorHAnsi"/>
                <w:sz w:val="24"/>
                <w:szCs w:val="24"/>
              </w:rPr>
              <w:t xml:space="preserve">Under Part 7 of the SSWBA (2014), adult protection and support orders can be put in place if there is reasonable cause to suspect an adult is a risk. </w:t>
            </w:r>
          </w:p>
          <w:p w14:paraId="6D8CB8AF" w14:textId="77777777" w:rsidR="00FC0334" w:rsidRDefault="00FC0334" w:rsidP="00FF7EBB">
            <w:pPr>
              <w:jc w:val="both"/>
              <w:rPr>
                <w:sz w:val="24"/>
                <w:szCs w:val="24"/>
              </w:rPr>
            </w:pPr>
          </w:p>
          <w:p w14:paraId="4A95F4DB" w14:textId="498E63D0" w:rsidR="00FC0334" w:rsidRDefault="003F2927" w:rsidP="003F2927">
            <w:pPr>
              <w:spacing w:line="360" w:lineRule="auto"/>
              <w:jc w:val="both"/>
              <w:rPr>
                <w:rFonts w:asciiTheme="minorHAnsi" w:hAnsiTheme="minorHAnsi" w:cstheme="minorHAnsi"/>
                <w:sz w:val="24"/>
                <w:szCs w:val="24"/>
              </w:rPr>
            </w:pPr>
            <w:r w:rsidRPr="003F2927">
              <w:rPr>
                <w:rFonts w:asciiTheme="minorHAnsi" w:hAnsiTheme="minorHAnsi" w:cstheme="minorHAnsi"/>
                <w:sz w:val="24"/>
                <w:szCs w:val="24"/>
              </w:rPr>
              <w:t>Safeguarding</w:t>
            </w:r>
            <w:r>
              <w:rPr>
                <w:rFonts w:asciiTheme="minorHAnsi" w:hAnsiTheme="minorHAnsi" w:cstheme="minorHAnsi"/>
                <w:sz w:val="24"/>
                <w:szCs w:val="24"/>
              </w:rPr>
              <w:t xml:space="preserve"> Vulnerable Groups Act 2006 (SVGA, 2006) governs the protection of vulnerable adults by regulating the vetting and barring of individuals who work with vulnerable groups. It established the Disclosure and Barring Service (DBS) which checks the backgrounds of those applying for roles involving vulnerable adults. </w:t>
            </w:r>
          </w:p>
          <w:p w14:paraId="420252D6" w14:textId="77777777" w:rsidR="003F2927" w:rsidRDefault="003F2927" w:rsidP="003F2927">
            <w:pPr>
              <w:spacing w:line="360" w:lineRule="auto"/>
              <w:jc w:val="both"/>
              <w:rPr>
                <w:rFonts w:asciiTheme="minorHAnsi" w:hAnsiTheme="minorHAnsi" w:cstheme="minorHAnsi"/>
                <w:sz w:val="24"/>
                <w:szCs w:val="24"/>
              </w:rPr>
            </w:pPr>
          </w:p>
          <w:p w14:paraId="5EC11AA4" w14:textId="0FE99F34" w:rsidR="003F2927" w:rsidRDefault="003F2927" w:rsidP="003F2927">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The Human Rights Act (1998) ensures that adult’s rights are upheld, including the right to life, privacy and freedom from inhuman or degrading treatment. This piece of legislation is essential in the safeguarding of adults as it reinforces the right of adults to live free from abuse. This is particularly important for social workers working within adults safeguarding. </w:t>
            </w:r>
          </w:p>
          <w:p w14:paraId="1736B7A2" w14:textId="77777777" w:rsidR="003F2927" w:rsidRDefault="003F2927" w:rsidP="003F2927">
            <w:pPr>
              <w:spacing w:line="360" w:lineRule="auto"/>
              <w:jc w:val="both"/>
              <w:rPr>
                <w:rFonts w:asciiTheme="minorHAnsi" w:hAnsiTheme="minorHAnsi" w:cstheme="minorHAnsi"/>
                <w:sz w:val="24"/>
                <w:szCs w:val="24"/>
              </w:rPr>
            </w:pPr>
          </w:p>
          <w:p w14:paraId="1CE2E71F" w14:textId="578A6E32" w:rsidR="003F2927" w:rsidRDefault="003F2927" w:rsidP="003F2927">
            <w:pPr>
              <w:spacing w:line="360" w:lineRule="auto"/>
              <w:jc w:val="both"/>
              <w:rPr>
                <w:rFonts w:asciiTheme="minorHAnsi" w:hAnsiTheme="minorHAnsi" w:cstheme="minorHAnsi"/>
                <w:sz w:val="24"/>
                <w:szCs w:val="24"/>
              </w:rPr>
            </w:pPr>
            <w:r>
              <w:rPr>
                <w:rFonts w:asciiTheme="minorHAnsi" w:hAnsiTheme="minorHAnsi" w:cstheme="minorHAnsi"/>
                <w:sz w:val="24"/>
                <w:szCs w:val="24"/>
              </w:rPr>
              <w:lastRenderedPageBreak/>
              <w:t xml:space="preserve">A significant piece of legislation in the safeguarding of adults is the Mental Capacity Act </w:t>
            </w:r>
            <w:r w:rsidR="002C4C80">
              <w:rPr>
                <w:rFonts w:asciiTheme="minorHAnsi" w:hAnsiTheme="minorHAnsi" w:cstheme="minorHAnsi"/>
                <w:sz w:val="24"/>
                <w:szCs w:val="24"/>
              </w:rPr>
              <w:t>2005 (MCA 2005). This is central to safeguarding adults who may lack the mental capacity to make decisions for themselves. It provides a framework for making decisions in the best interests of those who cannot make decisions due to incapacity, ensuring that their rights are respected and that they are not abused or exploited. Every adult is presumed to have capacity to make decisions unless it is established that they lack capacity.</w:t>
            </w:r>
          </w:p>
          <w:p w14:paraId="5BE585D2" w14:textId="77777777" w:rsidR="002C4C80" w:rsidRDefault="002C4C80" w:rsidP="003F2927">
            <w:pPr>
              <w:spacing w:line="360" w:lineRule="auto"/>
              <w:jc w:val="both"/>
              <w:rPr>
                <w:rFonts w:asciiTheme="minorHAnsi" w:hAnsiTheme="minorHAnsi" w:cstheme="minorHAnsi"/>
                <w:sz w:val="24"/>
                <w:szCs w:val="24"/>
              </w:rPr>
            </w:pPr>
          </w:p>
          <w:p w14:paraId="67EB4A8C" w14:textId="457DCCA9" w:rsidR="002C4C80" w:rsidRDefault="002C4C80" w:rsidP="003F2927">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In Adult’s safeguarding, the Mental Capacity Act 2005 (MCA, 2005) allows social workers to undertake capacity assessments when there are concerns about whether an individual can make decisions for themselves. </w:t>
            </w:r>
            <w:r w:rsidR="00A32711">
              <w:rPr>
                <w:rFonts w:asciiTheme="minorHAnsi" w:hAnsiTheme="minorHAnsi" w:cstheme="minorHAnsi"/>
                <w:sz w:val="24"/>
                <w:szCs w:val="24"/>
              </w:rPr>
              <w:t xml:space="preserve">The test for capacity is decision specific, meaning an individual may be able to make some decisions but not others. </w:t>
            </w:r>
          </w:p>
          <w:p w14:paraId="4365929A" w14:textId="77777777" w:rsidR="00A32711" w:rsidRDefault="00A32711" w:rsidP="003F2927">
            <w:pPr>
              <w:spacing w:line="360" w:lineRule="auto"/>
              <w:jc w:val="both"/>
              <w:rPr>
                <w:rFonts w:asciiTheme="minorHAnsi" w:hAnsiTheme="minorHAnsi" w:cstheme="minorHAnsi"/>
                <w:sz w:val="24"/>
                <w:szCs w:val="24"/>
              </w:rPr>
            </w:pPr>
          </w:p>
          <w:p w14:paraId="22098A88" w14:textId="2217B352" w:rsidR="00A32711" w:rsidRDefault="00A32711" w:rsidP="003F2927">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If an individual is deemed to lack capacity, the MCA (2005) requires that decisions be made in their best interests. This is especially crucial in safeguarding situations where a vulnerable adult may be at risk of abuse or neglect. In safeguarding situations, this principle is important when making decisions about medical treatment, whether a person should be moved out of an abusive situation or where there are any restrictions on a person’s freedom, for example an elderly person being placed in a care home. </w:t>
            </w:r>
          </w:p>
          <w:p w14:paraId="7D750897" w14:textId="77777777" w:rsidR="00A32711" w:rsidRDefault="00A32711" w:rsidP="003F2927">
            <w:pPr>
              <w:spacing w:line="360" w:lineRule="auto"/>
              <w:jc w:val="both"/>
              <w:rPr>
                <w:rFonts w:asciiTheme="minorHAnsi" w:hAnsiTheme="minorHAnsi" w:cstheme="minorHAnsi"/>
                <w:sz w:val="24"/>
                <w:szCs w:val="24"/>
              </w:rPr>
            </w:pPr>
          </w:p>
          <w:p w14:paraId="20786FB6" w14:textId="6FFE29DC" w:rsidR="00A32711" w:rsidRDefault="00A32711" w:rsidP="003F2927">
            <w:pPr>
              <w:spacing w:line="360" w:lineRule="auto"/>
              <w:jc w:val="both"/>
              <w:rPr>
                <w:rFonts w:asciiTheme="minorHAnsi" w:hAnsiTheme="minorHAnsi" w:cstheme="minorHAnsi"/>
                <w:sz w:val="24"/>
                <w:szCs w:val="24"/>
              </w:rPr>
            </w:pPr>
            <w:r>
              <w:rPr>
                <w:rFonts w:asciiTheme="minorHAnsi" w:hAnsiTheme="minorHAnsi" w:cstheme="minorHAnsi"/>
                <w:sz w:val="24"/>
                <w:szCs w:val="24"/>
              </w:rPr>
              <w:t>The Deprivation of Liberty Safeguards (</w:t>
            </w:r>
            <w:proofErr w:type="spellStart"/>
            <w:r>
              <w:rPr>
                <w:rFonts w:asciiTheme="minorHAnsi" w:hAnsiTheme="minorHAnsi" w:cstheme="minorHAnsi"/>
                <w:sz w:val="24"/>
                <w:szCs w:val="24"/>
              </w:rPr>
              <w:t>DoLS</w:t>
            </w:r>
            <w:proofErr w:type="spellEnd"/>
            <w:r>
              <w:rPr>
                <w:rFonts w:asciiTheme="minorHAnsi" w:hAnsiTheme="minorHAnsi" w:cstheme="minorHAnsi"/>
                <w:sz w:val="24"/>
                <w:szCs w:val="24"/>
              </w:rPr>
              <w:t>, 2024), which are part of the MCA (2005), provide a framework for ensuring that people who lack capacity are not deprived of their liberty in care homes or hospitals unless it is in their best interests and done in a lawful way.</w:t>
            </w:r>
          </w:p>
          <w:p w14:paraId="75683D64" w14:textId="77777777" w:rsidR="00A32711" w:rsidRDefault="00A32711" w:rsidP="003F2927">
            <w:pPr>
              <w:spacing w:line="360" w:lineRule="auto"/>
              <w:jc w:val="both"/>
              <w:rPr>
                <w:rFonts w:asciiTheme="minorHAnsi" w:hAnsiTheme="minorHAnsi" w:cstheme="minorHAnsi"/>
                <w:sz w:val="24"/>
                <w:szCs w:val="24"/>
              </w:rPr>
            </w:pPr>
          </w:p>
          <w:p w14:paraId="3E813306" w14:textId="0E389D32" w:rsidR="00A32711" w:rsidRDefault="00A32711" w:rsidP="003F2927">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In safeguarding, </w:t>
            </w:r>
            <w:proofErr w:type="spellStart"/>
            <w:r>
              <w:rPr>
                <w:rFonts w:asciiTheme="minorHAnsi" w:hAnsiTheme="minorHAnsi" w:cstheme="minorHAnsi"/>
                <w:sz w:val="24"/>
                <w:szCs w:val="24"/>
              </w:rPr>
              <w:t>DoLS</w:t>
            </w:r>
            <w:proofErr w:type="spellEnd"/>
            <w:r>
              <w:rPr>
                <w:rFonts w:asciiTheme="minorHAnsi" w:hAnsiTheme="minorHAnsi" w:cstheme="minorHAnsi"/>
                <w:sz w:val="24"/>
                <w:szCs w:val="24"/>
              </w:rPr>
              <w:t xml:space="preserve"> are used when someone who lacks capacity is at risk of being unlawfully detained or restricted in a care setting. This includes situations where someone might be at risk of physical or emotional abuse and needs to be safeguarded from harm, but their freedom is being restricted. </w:t>
            </w:r>
          </w:p>
          <w:p w14:paraId="53369A6C" w14:textId="77777777" w:rsidR="00C31D1A" w:rsidRDefault="00C31D1A" w:rsidP="003F2927">
            <w:pPr>
              <w:spacing w:line="360" w:lineRule="auto"/>
              <w:jc w:val="both"/>
              <w:rPr>
                <w:rFonts w:asciiTheme="minorHAnsi" w:hAnsiTheme="minorHAnsi" w:cstheme="minorHAnsi"/>
                <w:sz w:val="24"/>
                <w:szCs w:val="24"/>
              </w:rPr>
            </w:pPr>
          </w:p>
          <w:p w14:paraId="206514B9" w14:textId="42ACF983" w:rsidR="00FC0334" w:rsidRPr="003F2927" w:rsidRDefault="00C31D1A" w:rsidP="003F2927">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Word </w:t>
            </w:r>
            <w:proofErr w:type="gramStart"/>
            <w:r>
              <w:rPr>
                <w:rFonts w:asciiTheme="minorHAnsi" w:hAnsiTheme="minorHAnsi" w:cstheme="minorHAnsi"/>
                <w:sz w:val="24"/>
                <w:szCs w:val="24"/>
              </w:rPr>
              <w:t>Count :</w:t>
            </w:r>
            <w:proofErr w:type="gramEnd"/>
            <w:r>
              <w:rPr>
                <w:rFonts w:asciiTheme="minorHAnsi" w:hAnsiTheme="minorHAnsi" w:cstheme="minorHAnsi"/>
                <w:sz w:val="24"/>
                <w:szCs w:val="24"/>
              </w:rPr>
              <w:t xml:space="preserve"> 5</w:t>
            </w:r>
            <w:r w:rsidR="003406D5">
              <w:rPr>
                <w:rFonts w:asciiTheme="minorHAnsi" w:hAnsiTheme="minorHAnsi" w:cstheme="minorHAnsi"/>
                <w:sz w:val="24"/>
                <w:szCs w:val="24"/>
              </w:rPr>
              <w:t>23</w:t>
            </w: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58939EDA" w:rsidR="00FC0334" w:rsidRDefault="003406D5" w:rsidP="003406D5">
            <w:pPr>
              <w:spacing w:line="360" w:lineRule="auto"/>
              <w:jc w:val="both"/>
              <w:rPr>
                <w:rFonts w:asciiTheme="minorHAnsi" w:hAnsiTheme="minorHAnsi" w:cstheme="minorHAnsi"/>
                <w:sz w:val="24"/>
                <w:szCs w:val="24"/>
              </w:rPr>
            </w:pPr>
            <w:r w:rsidRPr="003406D5">
              <w:rPr>
                <w:rFonts w:asciiTheme="minorHAnsi" w:hAnsiTheme="minorHAnsi" w:cstheme="minorHAnsi"/>
                <w:sz w:val="24"/>
                <w:szCs w:val="24"/>
              </w:rPr>
              <w:t>Safeguarding</w:t>
            </w:r>
            <w:r>
              <w:rPr>
                <w:rFonts w:asciiTheme="minorHAnsi" w:hAnsiTheme="minorHAnsi" w:cstheme="minorHAnsi"/>
                <w:sz w:val="24"/>
                <w:szCs w:val="24"/>
              </w:rPr>
              <w:t xml:space="preserve"> in Adults’ Services and Children’s Services shares the same core goal, to protect individuals from abuse, neglect and exploitation. However, there are key differences in how safeguarding is approached, due to the distinct needs, rights and legal frameworks for adults and children.</w:t>
            </w:r>
          </w:p>
          <w:p w14:paraId="274CB9A6" w14:textId="77777777" w:rsidR="003406D5" w:rsidRDefault="003406D5" w:rsidP="003406D5">
            <w:pPr>
              <w:spacing w:line="360" w:lineRule="auto"/>
              <w:jc w:val="both"/>
              <w:rPr>
                <w:rFonts w:asciiTheme="minorHAnsi" w:hAnsiTheme="minorHAnsi" w:cstheme="minorHAnsi"/>
                <w:sz w:val="24"/>
                <w:szCs w:val="24"/>
              </w:rPr>
            </w:pPr>
          </w:p>
          <w:p w14:paraId="15105454" w14:textId="6916F495" w:rsidR="003406D5" w:rsidRDefault="003406D5" w:rsidP="003406D5">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Age and legal status </w:t>
            </w:r>
            <w:proofErr w:type="gramStart"/>
            <w:r>
              <w:rPr>
                <w:rFonts w:asciiTheme="minorHAnsi" w:hAnsiTheme="minorHAnsi" w:cstheme="minorHAnsi"/>
                <w:sz w:val="24"/>
                <w:szCs w:val="24"/>
              </w:rPr>
              <w:t>is</w:t>
            </w:r>
            <w:proofErr w:type="gramEnd"/>
            <w:r>
              <w:rPr>
                <w:rFonts w:asciiTheme="minorHAnsi" w:hAnsiTheme="minorHAnsi" w:cstheme="minorHAnsi"/>
                <w:sz w:val="24"/>
                <w:szCs w:val="24"/>
              </w:rPr>
              <w:t xml:space="preserve"> a key difference in adults and children’s safeguarding. Children are individuals under the age of 18, and the law recognises them as vulnerable due to their dependency and developmental needs. In safeguarding children, professionals are guided by children’s rights legislation such as the Children Act 1989 (CA, 1989) and in Wales specifically the Social Services and Wellbeing (Wales) Act 2014 (SSWBA, 2014) which provide a clear framework for intervention.</w:t>
            </w:r>
          </w:p>
          <w:p w14:paraId="33324D5A" w14:textId="77777777" w:rsidR="003406D5" w:rsidRDefault="003406D5" w:rsidP="003406D5">
            <w:pPr>
              <w:spacing w:line="360" w:lineRule="auto"/>
              <w:jc w:val="both"/>
              <w:rPr>
                <w:rFonts w:asciiTheme="minorHAnsi" w:hAnsiTheme="minorHAnsi" w:cstheme="minorHAnsi"/>
                <w:sz w:val="24"/>
                <w:szCs w:val="24"/>
              </w:rPr>
            </w:pPr>
          </w:p>
          <w:p w14:paraId="204A806F" w14:textId="56D1E0BD" w:rsidR="003406D5" w:rsidRDefault="003406D5" w:rsidP="003406D5">
            <w:pPr>
              <w:spacing w:line="360" w:lineRule="auto"/>
              <w:jc w:val="both"/>
              <w:rPr>
                <w:rFonts w:asciiTheme="minorHAnsi" w:hAnsiTheme="minorHAnsi" w:cstheme="minorHAnsi"/>
                <w:sz w:val="24"/>
                <w:szCs w:val="24"/>
              </w:rPr>
            </w:pPr>
            <w:proofErr w:type="gramStart"/>
            <w:r>
              <w:rPr>
                <w:rFonts w:asciiTheme="minorHAnsi" w:hAnsiTheme="minorHAnsi" w:cstheme="minorHAnsi"/>
                <w:sz w:val="24"/>
                <w:szCs w:val="24"/>
              </w:rPr>
              <w:t>Adult’s</w:t>
            </w:r>
            <w:proofErr w:type="gramEnd"/>
            <w:r>
              <w:rPr>
                <w:rFonts w:asciiTheme="minorHAnsi" w:hAnsiTheme="minorHAnsi" w:cstheme="minorHAnsi"/>
                <w:sz w:val="24"/>
                <w:szCs w:val="24"/>
              </w:rPr>
              <w:t xml:space="preserve"> in safeguarding typically refers to individuals aged 18 and above. While, under the Mental Capacity Act 2005 (MCA, 2005), they are assumed to have the legal capacity to make decisions, safeguarding in adult services particularly focuses on individuals who may be vulnerable due to factors such as mental illness, physical disability, age or incapacity. The Mental Capacity Act 2005 (MCA, 2005) is key in adult safeguarding, determining if an individual has the capacity to make their own decisions.</w:t>
            </w:r>
          </w:p>
          <w:p w14:paraId="56A2AFAF" w14:textId="77777777" w:rsidR="003406D5" w:rsidRDefault="003406D5" w:rsidP="003406D5">
            <w:pPr>
              <w:spacing w:line="360" w:lineRule="auto"/>
              <w:jc w:val="both"/>
              <w:rPr>
                <w:rFonts w:asciiTheme="minorHAnsi" w:hAnsiTheme="minorHAnsi" w:cstheme="minorHAnsi"/>
                <w:sz w:val="24"/>
                <w:szCs w:val="24"/>
              </w:rPr>
            </w:pPr>
          </w:p>
          <w:p w14:paraId="7742BFD9" w14:textId="0A277C37" w:rsidR="003406D5" w:rsidRDefault="003406D5" w:rsidP="003406D5">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Children are presumed to lack full </w:t>
            </w:r>
            <w:proofErr w:type="gramStart"/>
            <w:r>
              <w:rPr>
                <w:rFonts w:asciiTheme="minorHAnsi" w:hAnsiTheme="minorHAnsi" w:cstheme="minorHAnsi"/>
                <w:sz w:val="24"/>
                <w:szCs w:val="24"/>
              </w:rPr>
              <w:t>decision making</w:t>
            </w:r>
            <w:proofErr w:type="gramEnd"/>
            <w:r>
              <w:rPr>
                <w:rFonts w:asciiTheme="minorHAnsi" w:hAnsiTheme="minorHAnsi" w:cstheme="minorHAnsi"/>
                <w:sz w:val="24"/>
                <w:szCs w:val="24"/>
              </w:rPr>
              <w:t xml:space="preserve"> capacity due to being under the age of 18 and their maturity. In safeguarding, this means decisions are typically made on behalf of children, with their best interests at the centre, as outlined in the Children Act 1989 (CA, 1989). </w:t>
            </w:r>
            <w:r w:rsidR="00E05F42">
              <w:rPr>
                <w:rFonts w:asciiTheme="minorHAnsi" w:hAnsiTheme="minorHAnsi" w:cstheme="minorHAnsi"/>
                <w:sz w:val="24"/>
                <w:szCs w:val="24"/>
              </w:rPr>
              <w:t xml:space="preserve">Adults, on the other hand, are presumed to have the capacity to make decisions unless it is proven they lack it, for example due to a disability or mental illness. Capacity assessments are essential in adult safeguarding to determine whether an individual can make informed decisions about their care, safety and wellbeing. </w:t>
            </w:r>
          </w:p>
          <w:p w14:paraId="3184FDBF" w14:textId="77777777" w:rsidR="00E05F42" w:rsidRDefault="00E05F42" w:rsidP="003406D5">
            <w:pPr>
              <w:spacing w:line="360" w:lineRule="auto"/>
              <w:jc w:val="both"/>
              <w:rPr>
                <w:rFonts w:asciiTheme="minorHAnsi" w:hAnsiTheme="minorHAnsi" w:cstheme="minorHAnsi"/>
                <w:sz w:val="24"/>
                <w:szCs w:val="24"/>
              </w:rPr>
            </w:pPr>
          </w:p>
          <w:p w14:paraId="714DBF66" w14:textId="2FEF45CE" w:rsidR="00E05F42" w:rsidRDefault="00E05F42" w:rsidP="003406D5">
            <w:pPr>
              <w:spacing w:line="360" w:lineRule="auto"/>
              <w:jc w:val="both"/>
              <w:rPr>
                <w:rFonts w:asciiTheme="minorHAnsi" w:hAnsiTheme="minorHAnsi" w:cstheme="minorHAnsi"/>
                <w:sz w:val="24"/>
                <w:szCs w:val="24"/>
              </w:rPr>
            </w:pPr>
            <w:r>
              <w:rPr>
                <w:rFonts w:asciiTheme="minorHAnsi" w:hAnsiTheme="minorHAnsi" w:cstheme="minorHAnsi"/>
                <w:sz w:val="24"/>
                <w:szCs w:val="24"/>
              </w:rPr>
              <w:t>Children’s Services focuses heavily on the prevention of harm and the early intervention to ensure that children grow up in safe, stable environments. A core part of child safeguarding is to support families and strengthen protective factors. Adults Services primarily aim to protect vulnerable adults from abuse, neglect or exploitation, often in settings such as care homes or in their own homes. As discussed previously, safeguarding of adults may also involve decisions around deprivation of liberty and capacity to make decisions.</w:t>
            </w:r>
          </w:p>
          <w:p w14:paraId="3777EDF0" w14:textId="77777777" w:rsidR="00E05F42" w:rsidRDefault="00E05F42" w:rsidP="003406D5">
            <w:pPr>
              <w:spacing w:line="360" w:lineRule="auto"/>
              <w:jc w:val="both"/>
              <w:rPr>
                <w:rFonts w:asciiTheme="minorHAnsi" w:hAnsiTheme="minorHAnsi" w:cstheme="minorHAnsi"/>
                <w:sz w:val="24"/>
                <w:szCs w:val="24"/>
              </w:rPr>
            </w:pPr>
          </w:p>
          <w:p w14:paraId="26399179" w14:textId="1936971D" w:rsidR="00E05F42" w:rsidRDefault="00E05F42" w:rsidP="003406D5">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Both children and </w:t>
            </w:r>
            <w:proofErr w:type="gramStart"/>
            <w:r>
              <w:rPr>
                <w:rFonts w:asciiTheme="minorHAnsi" w:hAnsiTheme="minorHAnsi" w:cstheme="minorHAnsi"/>
                <w:sz w:val="24"/>
                <w:szCs w:val="24"/>
              </w:rPr>
              <w:t>adults</w:t>
            </w:r>
            <w:proofErr w:type="gramEnd"/>
            <w:r>
              <w:rPr>
                <w:rFonts w:asciiTheme="minorHAnsi" w:hAnsiTheme="minorHAnsi" w:cstheme="minorHAnsi"/>
                <w:sz w:val="24"/>
                <w:szCs w:val="24"/>
              </w:rPr>
              <w:t xml:space="preserve"> services emphasise multi-agency working which is embedded into social work law, values and theories. In conclusion, whilst both fields aim to protect vulnerable individuals, the focus, legal frameworks, and </w:t>
            </w:r>
            <w:proofErr w:type="gramStart"/>
            <w:r>
              <w:rPr>
                <w:rFonts w:asciiTheme="minorHAnsi" w:hAnsiTheme="minorHAnsi" w:cstheme="minorHAnsi"/>
                <w:sz w:val="24"/>
                <w:szCs w:val="24"/>
              </w:rPr>
              <w:t>decision making</w:t>
            </w:r>
            <w:proofErr w:type="gramEnd"/>
            <w:r>
              <w:rPr>
                <w:rFonts w:asciiTheme="minorHAnsi" w:hAnsiTheme="minorHAnsi" w:cstheme="minorHAnsi"/>
                <w:sz w:val="24"/>
                <w:szCs w:val="24"/>
              </w:rPr>
              <w:t xml:space="preserve"> processes differ due to age, capacity and the nature of the different risks faced by children and adults in society. </w:t>
            </w:r>
          </w:p>
          <w:p w14:paraId="39449370" w14:textId="77777777" w:rsidR="00E05F42" w:rsidRDefault="00E05F42" w:rsidP="003406D5">
            <w:pPr>
              <w:spacing w:line="360" w:lineRule="auto"/>
              <w:jc w:val="both"/>
              <w:rPr>
                <w:rFonts w:asciiTheme="minorHAnsi" w:hAnsiTheme="minorHAnsi" w:cstheme="minorHAnsi"/>
                <w:sz w:val="24"/>
                <w:szCs w:val="24"/>
              </w:rPr>
            </w:pPr>
          </w:p>
          <w:p w14:paraId="04285720" w14:textId="2D646653" w:rsidR="00FC0334" w:rsidRPr="003406D5" w:rsidRDefault="00E05F42" w:rsidP="003406D5">
            <w:pPr>
              <w:spacing w:line="360" w:lineRule="auto"/>
              <w:jc w:val="both"/>
              <w:rPr>
                <w:rFonts w:asciiTheme="minorHAnsi" w:hAnsiTheme="minorHAnsi" w:cstheme="minorHAnsi"/>
                <w:sz w:val="24"/>
                <w:szCs w:val="24"/>
              </w:rPr>
            </w:pPr>
            <w:r>
              <w:rPr>
                <w:rFonts w:asciiTheme="minorHAnsi" w:hAnsiTheme="minorHAnsi" w:cstheme="minorHAnsi"/>
                <w:sz w:val="24"/>
                <w:szCs w:val="24"/>
              </w:rPr>
              <w:t xml:space="preserve">Word </w:t>
            </w:r>
            <w:proofErr w:type="gramStart"/>
            <w:r>
              <w:rPr>
                <w:rFonts w:asciiTheme="minorHAnsi" w:hAnsiTheme="minorHAnsi" w:cstheme="minorHAnsi"/>
                <w:sz w:val="24"/>
                <w:szCs w:val="24"/>
              </w:rPr>
              <w:t>Count :</w:t>
            </w:r>
            <w:proofErr w:type="gramEnd"/>
            <w:r>
              <w:rPr>
                <w:rFonts w:asciiTheme="minorHAnsi" w:hAnsiTheme="minorHAnsi" w:cstheme="minorHAnsi"/>
                <w:sz w:val="24"/>
                <w:szCs w:val="24"/>
              </w:rPr>
              <w:t xml:space="preserve"> 432</w:t>
            </w:r>
          </w:p>
          <w:p w14:paraId="1AA3081F" w14:textId="77777777" w:rsidR="00FC0334" w:rsidRPr="003406D5" w:rsidRDefault="00FC0334" w:rsidP="003406D5">
            <w:pPr>
              <w:spacing w:line="360" w:lineRule="auto"/>
              <w:jc w:val="both"/>
              <w:rPr>
                <w:rFonts w:asciiTheme="minorHAnsi" w:hAnsiTheme="minorHAnsi" w:cstheme="minorHAnsi"/>
                <w:sz w:val="24"/>
                <w:szCs w:val="24"/>
              </w:rPr>
            </w:pPr>
          </w:p>
          <w:p w14:paraId="7B7B4827" w14:textId="77777777" w:rsidR="00FC0334" w:rsidRPr="003406D5" w:rsidRDefault="00FC0334" w:rsidP="003406D5">
            <w:pPr>
              <w:spacing w:line="360" w:lineRule="auto"/>
              <w:jc w:val="both"/>
              <w:rPr>
                <w:rFonts w:asciiTheme="minorHAnsi" w:hAnsiTheme="minorHAnsi" w:cstheme="minorHAnsi"/>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7614BD62" w:rsidR="00A5656A" w:rsidRDefault="00A5656A">
    <w:pPr>
      <w:pStyle w:val="Header"/>
    </w:pPr>
    <w:r>
      <w:t xml:space="preserve">Version </w:t>
    </w:r>
    <w:r w:rsidR="00DC2924">
      <w:t xml:space="preserve">1_Cohort </w:t>
    </w:r>
    <w:r w:rsidR="004F28CB">
      <w:t>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2A36"/>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4C80"/>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06D5"/>
    <w:rsid w:val="00354B6D"/>
    <w:rsid w:val="00355210"/>
    <w:rsid w:val="00355CFD"/>
    <w:rsid w:val="00365DF9"/>
    <w:rsid w:val="0037066E"/>
    <w:rsid w:val="00372DB4"/>
    <w:rsid w:val="00373A36"/>
    <w:rsid w:val="00373F5A"/>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2927"/>
    <w:rsid w:val="003F67A4"/>
    <w:rsid w:val="00400786"/>
    <w:rsid w:val="00401FDA"/>
    <w:rsid w:val="004046F0"/>
    <w:rsid w:val="0040668F"/>
    <w:rsid w:val="00411EF7"/>
    <w:rsid w:val="00412677"/>
    <w:rsid w:val="00425160"/>
    <w:rsid w:val="0042591A"/>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28CB"/>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0F4D"/>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2711"/>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30B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1D1A"/>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1843"/>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05F42"/>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328348@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5</Pages>
  <Words>1163</Words>
  <Characters>6286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Lauren Jones</cp:lastModifiedBy>
  <cp:revision>8</cp:revision>
  <cp:lastPrinted>2020-02-11T19:20:00Z</cp:lastPrinted>
  <dcterms:created xsi:type="dcterms:W3CDTF">2025-02-18T21:27:00Z</dcterms:created>
  <dcterms:modified xsi:type="dcterms:W3CDTF">2025-02-19T09:53:00Z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