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678C8D" w14:textId="7926342F" w:rsidR="00601D6C" w:rsidRDefault="00601D6C" w:rsidP="00601D6C">
      <w:pPr>
        <w:ind w:firstLine="720"/>
        <w:rPr>
          <w:rFonts w:ascii="Calibri" w:hAnsi="Calibri"/>
        </w:rPr>
      </w:pPr>
      <w:r w:rsidRPr="00601D6C">
        <w:rPr>
          <w:rFonts w:ascii="Calibri" w:hAnsi="Calibri"/>
        </w:rPr>
        <w:t>Whilst the Conservative party have been commended for introducing a Modern Slavery Act in 2015, there have been many issues raised concerning the extent to which it will effectively tackle the both the systemic issue of Modern Slavery in the UK and globally, as well as meeting the health and well-being needs of those who are victims of Modern Slavery. Conflicting ideologies and the political positioning of the Conservative party will be critically analysed, by looking at the core values underpinning their ideologies.</w:t>
      </w:r>
      <w:r>
        <w:rPr>
          <w:rFonts w:ascii="Calibri" w:hAnsi="Calibri"/>
        </w:rPr>
        <w:t xml:space="preserve"> The main areas of concern regarding victims of modern slavery are those who </w:t>
      </w:r>
      <w:proofErr w:type="gramStart"/>
      <w:r>
        <w:rPr>
          <w:rFonts w:ascii="Calibri" w:hAnsi="Calibri"/>
        </w:rPr>
        <w:t>have to</w:t>
      </w:r>
      <w:proofErr w:type="gramEnd"/>
      <w:r>
        <w:rPr>
          <w:rFonts w:ascii="Calibri" w:hAnsi="Calibri"/>
        </w:rPr>
        <w:t xml:space="preserve"> face immigration issues afterwards and who do not have the support need. Therefore, the issues addressed will be; lack of </w:t>
      </w:r>
      <w:proofErr w:type="gramStart"/>
      <w:r>
        <w:rPr>
          <w:rFonts w:ascii="Calibri" w:hAnsi="Calibri"/>
        </w:rPr>
        <w:t>support,  immigration</w:t>
      </w:r>
      <w:proofErr w:type="gramEnd"/>
      <w:r>
        <w:rPr>
          <w:rFonts w:ascii="Calibri" w:hAnsi="Calibri"/>
        </w:rPr>
        <w:t xml:space="preserve"> issues and lack of legal support.</w:t>
      </w:r>
      <w:r w:rsidRPr="00601D6C">
        <w:rPr>
          <w:rFonts w:ascii="Calibri" w:hAnsi="Calibri"/>
        </w:rPr>
        <w:t xml:space="preserve"> A brief analysis of the debate surrounding the need for a Human Rights Act in the UK, aims to demonstrate the Conservative party’s attitude towards a piece of legislation which upholds a common, international consensus on the rights and freedoms of individuals and the type of support that can be accessed. Findings identified in this analysis can be applied to the three main ways in which the Modern Slavery Act does not protect the health and well-being of victims of modern slavery who are non-EEA nationals.</w:t>
      </w:r>
    </w:p>
    <w:p w14:paraId="17889903" w14:textId="77777777" w:rsidR="00601D6C" w:rsidRDefault="00601D6C" w:rsidP="00601D6C">
      <w:pPr>
        <w:ind w:firstLine="720"/>
        <w:rPr>
          <w:rFonts w:ascii="Calibri" w:hAnsi="Calibri"/>
        </w:rPr>
      </w:pPr>
    </w:p>
    <w:p w14:paraId="38633C75" w14:textId="2B87E5D3" w:rsidR="00601D6C" w:rsidRPr="002A6F72" w:rsidRDefault="00601D6C" w:rsidP="00601D6C">
      <w:pPr>
        <w:ind w:firstLine="720"/>
        <w:rPr>
          <w:rFonts w:ascii="Calibri" w:hAnsi="Calibri"/>
        </w:rPr>
      </w:pPr>
      <w:r w:rsidRPr="002A6F72">
        <w:rPr>
          <w:rFonts w:ascii="Calibri" w:hAnsi="Calibri"/>
        </w:rPr>
        <w:t xml:space="preserve">The approach taken when dealing with societal issues differs depending on party political ideologies and their respective underlying values </w:t>
      </w:r>
      <w:proofErr w:type="spellStart"/>
      <w:r w:rsidRPr="002A6F72">
        <w:rPr>
          <w:rFonts w:ascii="Calibri" w:hAnsi="Calibri"/>
        </w:rPr>
        <w:t>Eccleshall</w:t>
      </w:r>
      <w:proofErr w:type="spellEnd"/>
      <w:r w:rsidRPr="002A6F72">
        <w:rPr>
          <w:rFonts w:ascii="Calibri" w:hAnsi="Calibri"/>
        </w:rPr>
        <w:t xml:space="preserve">, </w:t>
      </w:r>
      <w:r w:rsidRPr="002A6F72">
        <w:rPr>
          <w:rFonts w:ascii="Calibri" w:hAnsi="Calibri"/>
          <w:i/>
        </w:rPr>
        <w:t xml:space="preserve">et al </w:t>
      </w:r>
      <w:r w:rsidRPr="002A6F72">
        <w:rPr>
          <w:rFonts w:ascii="Calibri" w:hAnsi="Calibri"/>
        </w:rPr>
        <w:t>(1984). Where the Conservatives value the importance of such concepts as; the market (</w:t>
      </w:r>
      <w:proofErr w:type="spellStart"/>
      <w:r w:rsidRPr="002A6F72">
        <w:rPr>
          <w:rFonts w:ascii="Calibri" w:hAnsi="Calibri"/>
        </w:rPr>
        <w:t>Issuu</w:t>
      </w:r>
      <w:proofErr w:type="spellEnd"/>
      <w:r w:rsidRPr="002A6F72">
        <w:rPr>
          <w:rFonts w:ascii="Calibri" w:hAnsi="Calibri"/>
        </w:rPr>
        <w:t xml:space="preserve">, 2017, p.30), national security (ibid. p.16) and ‘meritocracy’ (ibid. p.4); these aspects will therefore be the focus of many policies and legislation brought in under a Conservative government. This can be seen by looking at the Conservative party’s approach to the concept of equality and consequently, the changes made to the </w:t>
      </w:r>
      <w:r w:rsidRPr="002A6F72">
        <w:rPr>
          <w:rFonts w:ascii="Calibri" w:hAnsi="Calibri"/>
          <w:i/>
        </w:rPr>
        <w:t>Equality Act 2010 (section 1)</w:t>
      </w:r>
      <w:r w:rsidRPr="002A6F72">
        <w:rPr>
          <w:rFonts w:ascii="Calibri" w:hAnsi="Calibri"/>
        </w:rPr>
        <w:t xml:space="preserve"> after the Conservative party came into power. One of these changes made a major statement about the Conservative party’s approach to the concept of equality, which was the removal of ‘socio-economic duty’ from the list of protected characteristics (Home Office, 2010, para.5), as it represented a focus on ‘equality of opportunity’ (Equal Rights Trust, 2007, p.3) and the rejection of ‘equality of outcomes’ (ibid. p.4) as being a valid approach to the concept of equality. Furthermore, the motive behind this change in legislation promoted the concept of meritocracy- a fundamental value underpinning Conservative </w:t>
      </w:r>
      <w:proofErr w:type="gramStart"/>
      <w:r w:rsidRPr="002A6F72">
        <w:rPr>
          <w:rFonts w:ascii="Calibri" w:hAnsi="Calibri"/>
        </w:rPr>
        <w:t>party political</w:t>
      </w:r>
      <w:proofErr w:type="gramEnd"/>
      <w:r w:rsidRPr="002A6F72">
        <w:rPr>
          <w:rFonts w:ascii="Calibri" w:hAnsi="Calibri"/>
        </w:rPr>
        <w:t xml:space="preserve"> ideology (Department for Digital, Culture, Media and Sport (DDCMS), 2010, para.10; </w:t>
      </w:r>
      <w:proofErr w:type="spellStart"/>
      <w:r w:rsidRPr="002A6F72">
        <w:rPr>
          <w:rFonts w:ascii="Calibri" w:hAnsi="Calibri"/>
        </w:rPr>
        <w:t>Issuu</w:t>
      </w:r>
      <w:proofErr w:type="spellEnd"/>
      <w:r w:rsidRPr="002A6F72">
        <w:rPr>
          <w:rFonts w:ascii="Calibri" w:hAnsi="Calibri"/>
        </w:rPr>
        <w:t xml:space="preserve">, 2017). The Conservative party supported their actions by explaining their viewpoint that society had become too focussed on ‘political correctness’ (Home Office, 2010, para.4) and that the needs of certain groups had been promoted above the needs of everybody else (DDCMS, 2010, para.8). Observing how Conservative values have motivated the changes made to the </w:t>
      </w:r>
      <w:r w:rsidRPr="002A6F72">
        <w:rPr>
          <w:rFonts w:ascii="Calibri" w:hAnsi="Calibri"/>
          <w:i/>
        </w:rPr>
        <w:t>Equality Act (2010)</w:t>
      </w:r>
      <w:r w:rsidRPr="002A6F72">
        <w:rPr>
          <w:rFonts w:ascii="Calibri" w:hAnsi="Calibri"/>
        </w:rPr>
        <w:t xml:space="preserve"> shows how legislation is the product of these values.</w:t>
      </w:r>
    </w:p>
    <w:p w14:paraId="5213188A" w14:textId="77777777" w:rsidR="00601D6C" w:rsidRPr="002A6F72" w:rsidRDefault="00601D6C" w:rsidP="00601D6C">
      <w:pPr>
        <w:rPr>
          <w:rFonts w:ascii="Calibri" w:hAnsi="Calibri"/>
        </w:rPr>
      </w:pPr>
      <w:commentRangeStart w:id="0"/>
      <w:commentRangeEnd w:id="0"/>
    </w:p>
    <w:p w14:paraId="41A13D46" w14:textId="77777777" w:rsidR="00601D6C" w:rsidRPr="002A6F72" w:rsidRDefault="00601D6C" w:rsidP="00601D6C">
      <w:pPr>
        <w:ind w:firstLine="720"/>
        <w:rPr>
          <w:rFonts w:ascii="Calibri" w:hAnsi="Calibri"/>
        </w:rPr>
      </w:pPr>
      <w:r w:rsidRPr="002A6F72">
        <w:rPr>
          <w:rFonts w:ascii="Calibri" w:hAnsi="Calibri"/>
        </w:rPr>
        <w:t>A focus on the market economy is clearly represented within the Conservative party’s manifesto, as is the lack of focus on the health and well-being of marginalised groups in society, it is stated that: ‘A strong economy is the basis for everything we want to achieve as a nation’</w:t>
      </w:r>
      <w:r w:rsidRPr="002A6F72">
        <w:rPr>
          <w:rFonts w:ascii="Calibri" w:hAnsi="Calibri"/>
          <w:i/>
        </w:rPr>
        <w:t xml:space="preserve"> </w:t>
      </w:r>
      <w:r w:rsidRPr="002A6F72">
        <w:rPr>
          <w:rFonts w:ascii="Calibri" w:hAnsi="Calibri"/>
        </w:rPr>
        <w:t>(</w:t>
      </w:r>
      <w:proofErr w:type="spellStart"/>
      <w:r w:rsidRPr="002A6F72">
        <w:rPr>
          <w:rFonts w:ascii="Calibri" w:hAnsi="Calibri"/>
        </w:rPr>
        <w:t>Issuu</w:t>
      </w:r>
      <w:proofErr w:type="spellEnd"/>
      <w:r w:rsidRPr="002A6F72">
        <w:rPr>
          <w:rFonts w:ascii="Calibri" w:hAnsi="Calibri"/>
        </w:rPr>
        <w:t>, 2017, p.13). Whilst the 2017 Conservative manifesto outlines a commitment to providing for the future, it is evident that this is in the context of ensuring that Britain increases its security and success as a nation: ‘</w:t>
      </w:r>
      <w:r w:rsidRPr="002A6F72">
        <w:rPr>
          <w:rFonts w:ascii="Calibri" w:hAnsi="Calibri"/>
          <w:i/>
        </w:rPr>
        <w:t xml:space="preserve">We know that we need to take the right long-term decisions for our future security and prosperity’ </w:t>
      </w:r>
      <w:r w:rsidRPr="002A6F72">
        <w:rPr>
          <w:rFonts w:ascii="Calibri" w:hAnsi="Calibri"/>
        </w:rPr>
        <w:t>(</w:t>
      </w:r>
      <w:proofErr w:type="spellStart"/>
      <w:r w:rsidRPr="002A6F72">
        <w:rPr>
          <w:rFonts w:ascii="Calibri" w:hAnsi="Calibri"/>
        </w:rPr>
        <w:t>Issuu</w:t>
      </w:r>
      <w:proofErr w:type="spellEnd"/>
      <w:r w:rsidRPr="002A6F72">
        <w:rPr>
          <w:rFonts w:ascii="Calibri" w:hAnsi="Calibri"/>
        </w:rPr>
        <w:t>, 2017, p.6) but it seems as though the Conservatives equate prosperity to a successful market economy rather than the health and well-being of individuals and society- this is a running theme throughout the focus of the party’s manifesto (</w:t>
      </w:r>
      <w:proofErr w:type="spellStart"/>
      <w:r w:rsidRPr="002A6F72">
        <w:rPr>
          <w:rFonts w:ascii="Calibri" w:hAnsi="Calibri"/>
        </w:rPr>
        <w:t>Issuu</w:t>
      </w:r>
      <w:proofErr w:type="spellEnd"/>
      <w:r w:rsidRPr="002A6F72">
        <w:rPr>
          <w:rFonts w:ascii="Calibri" w:hAnsi="Calibri"/>
        </w:rPr>
        <w:t xml:space="preserve">, 2017). </w:t>
      </w:r>
    </w:p>
    <w:p w14:paraId="61B889C8" w14:textId="77777777" w:rsidR="00601D6C" w:rsidRPr="002A6F72" w:rsidRDefault="00601D6C" w:rsidP="00601D6C">
      <w:pPr>
        <w:rPr>
          <w:rFonts w:ascii="Calibri" w:hAnsi="Calibri"/>
        </w:rPr>
      </w:pPr>
    </w:p>
    <w:p w14:paraId="7F8AB84F" w14:textId="77777777" w:rsidR="00601D6C" w:rsidRPr="002A6F72" w:rsidRDefault="00601D6C" w:rsidP="00601D6C">
      <w:pPr>
        <w:ind w:firstLine="720"/>
        <w:rPr>
          <w:rFonts w:ascii="Calibri" w:hAnsi="Calibri"/>
        </w:rPr>
      </w:pPr>
      <w:proofErr w:type="gramStart"/>
      <w:r w:rsidRPr="002A6F72">
        <w:rPr>
          <w:rFonts w:ascii="Calibri" w:hAnsi="Calibri"/>
        </w:rPr>
        <w:t>In reality, the</w:t>
      </w:r>
      <w:proofErr w:type="gramEnd"/>
      <w:r w:rsidRPr="002A6F72">
        <w:rPr>
          <w:rFonts w:ascii="Calibri" w:hAnsi="Calibri"/>
        </w:rPr>
        <w:t xml:space="preserve"> way that success is measured in society cannot be measured in terms of a country’s economy and this was highlighted by Brynjolfsson (2016 </w:t>
      </w:r>
      <w:r w:rsidRPr="002A6F72">
        <w:rPr>
          <w:rFonts w:ascii="Calibri" w:hAnsi="Calibri"/>
          <w:i/>
        </w:rPr>
        <w:t xml:space="preserve">cited in </w:t>
      </w:r>
      <w:r w:rsidRPr="002A6F72">
        <w:rPr>
          <w:rFonts w:ascii="Calibri" w:hAnsi="Calibri"/>
        </w:rPr>
        <w:t xml:space="preserve">Thomson, 2016) in a speech undertaken at the 2016 annual World Economic Forum, concerning the measurement of progress within nations. Drawing upon the viewpoint of Simon </w:t>
      </w:r>
      <w:proofErr w:type="spellStart"/>
      <w:r w:rsidRPr="002A6F72">
        <w:rPr>
          <w:rFonts w:ascii="Calibri" w:hAnsi="Calibri"/>
        </w:rPr>
        <w:t>Kuznet</w:t>
      </w:r>
      <w:proofErr w:type="spellEnd"/>
      <w:r w:rsidRPr="002A6F72">
        <w:rPr>
          <w:rFonts w:ascii="Calibri" w:hAnsi="Calibri"/>
        </w:rPr>
        <w:t xml:space="preserve">, the creator of Gross Domestic Product (GDP) (Dickinson, 2011, para.2), the following was stated by Brynjolfsson (2016 </w:t>
      </w:r>
      <w:r w:rsidRPr="002A6F72">
        <w:rPr>
          <w:rFonts w:ascii="Calibri" w:hAnsi="Calibri"/>
          <w:i/>
        </w:rPr>
        <w:t xml:space="preserve">cited in </w:t>
      </w:r>
      <w:r w:rsidRPr="002A6F72">
        <w:rPr>
          <w:rFonts w:ascii="Calibri" w:hAnsi="Calibri"/>
        </w:rPr>
        <w:t>Thomson, 2016, para.3):</w:t>
      </w:r>
    </w:p>
    <w:p w14:paraId="07CDBC2B" w14:textId="77777777" w:rsidR="00601D6C" w:rsidRPr="002A6F72" w:rsidRDefault="00601D6C" w:rsidP="00601D6C">
      <w:pPr>
        <w:rPr>
          <w:rFonts w:ascii="Calibri" w:hAnsi="Calibri"/>
        </w:rPr>
      </w:pPr>
    </w:p>
    <w:p w14:paraId="7AB86EB2" w14:textId="77777777" w:rsidR="00601D6C" w:rsidRPr="002A6F72" w:rsidRDefault="00601D6C" w:rsidP="00601D6C">
      <w:pPr>
        <w:ind w:left="720"/>
        <w:rPr>
          <w:rFonts w:ascii="Calibri" w:hAnsi="Calibri"/>
          <w:i/>
        </w:rPr>
      </w:pPr>
      <w:r w:rsidRPr="002A6F72">
        <w:rPr>
          <w:rFonts w:ascii="Calibri" w:hAnsi="Calibri"/>
          <w:i/>
        </w:rPr>
        <w:t>“He understood that GDP is not a welfare measure, it is not a measure of how well we are all doing. It counts the things that we’re buying and selling, but it’s quite possible for GDP to go in the opposite direction of welfare”</w:t>
      </w:r>
    </w:p>
    <w:p w14:paraId="107BA1E5" w14:textId="77777777" w:rsidR="00601D6C" w:rsidRPr="002A6F72" w:rsidRDefault="00601D6C" w:rsidP="00601D6C">
      <w:pPr>
        <w:rPr>
          <w:rFonts w:ascii="Calibri" w:hAnsi="Calibri"/>
          <w:highlight w:val="yellow"/>
        </w:rPr>
      </w:pPr>
    </w:p>
    <w:p w14:paraId="71FE9226" w14:textId="77777777" w:rsidR="00601D6C" w:rsidRPr="002A6F72" w:rsidRDefault="00601D6C" w:rsidP="00601D6C">
      <w:pPr>
        <w:ind w:firstLine="720"/>
        <w:rPr>
          <w:rFonts w:ascii="Calibri" w:hAnsi="Calibri"/>
          <w:highlight w:val="yellow"/>
        </w:rPr>
      </w:pPr>
      <w:r w:rsidRPr="002A6F72">
        <w:rPr>
          <w:rFonts w:ascii="Calibri" w:hAnsi="Calibri"/>
        </w:rPr>
        <w:t>When prime minister, David Cameron did recognise well-being as an important measure of success in 2010, stating the following “</w:t>
      </w:r>
      <w:r w:rsidRPr="002A6F72">
        <w:rPr>
          <w:rFonts w:ascii="Calibri" w:hAnsi="Calibri"/>
          <w:i/>
        </w:rPr>
        <w:t xml:space="preserve">It's time we admitted that there's more to life than money, and it's time we focused not just on GDP, but on GWB - general well-being," </w:t>
      </w:r>
      <w:r w:rsidRPr="002A6F72">
        <w:rPr>
          <w:rFonts w:ascii="Calibri" w:hAnsi="Calibri"/>
        </w:rPr>
        <w:t>(BBC, 2006. para.6). Whilst on the surface, this seems to be positive,</w:t>
      </w:r>
      <w:r w:rsidRPr="002A6F72">
        <w:rPr>
          <w:rFonts w:ascii="Calibri" w:hAnsi="Calibri"/>
          <w:i/>
        </w:rPr>
        <w:t xml:space="preserve"> </w:t>
      </w:r>
      <w:r w:rsidRPr="002A6F72">
        <w:rPr>
          <w:rFonts w:ascii="Calibri" w:hAnsi="Calibri"/>
        </w:rPr>
        <w:t>it is also true</w:t>
      </w:r>
      <w:r w:rsidRPr="002A6F72">
        <w:rPr>
          <w:rFonts w:ascii="Calibri" w:hAnsi="Calibri"/>
          <w:i/>
        </w:rPr>
        <w:t xml:space="preserve"> </w:t>
      </w:r>
      <w:r w:rsidRPr="002A6F72">
        <w:rPr>
          <w:rFonts w:ascii="Calibri" w:hAnsi="Calibri"/>
        </w:rPr>
        <w:t xml:space="preserve">according to some centre right Conservative party supporters, that this statement did not become a reality during the following years, throughout which the Conservative and Liberal </w:t>
      </w:r>
      <w:r w:rsidRPr="002A6F72">
        <w:rPr>
          <w:rFonts w:ascii="Calibri" w:hAnsi="Calibri"/>
        </w:rPr>
        <w:lastRenderedPageBreak/>
        <w:t xml:space="preserve">Democrat coalition governed (Hoskin, 2016). This can be seen by looking at the effects of austerity measures introduced by the coalition government (Meteor, 2018). </w:t>
      </w:r>
    </w:p>
    <w:p w14:paraId="4E39B257" w14:textId="77777777" w:rsidR="00601D6C" w:rsidRPr="002A6F72" w:rsidRDefault="00601D6C" w:rsidP="00601D6C">
      <w:pPr>
        <w:rPr>
          <w:rFonts w:ascii="Calibri" w:hAnsi="Calibri"/>
        </w:rPr>
      </w:pPr>
    </w:p>
    <w:p w14:paraId="167B9B3C" w14:textId="77777777" w:rsidR="00601D6C" w:rsidRPr="002A6F72" w:rsidRDefault="00601D6C" w:rsidP="00601D6C">
      <w:pPr>
        <w:ind w:firstLine="720"/>
        <w:rPr>
          <w:rFonts w:ascii="Calibri" w:hAnsi="Calibri"/>
        </w:rPr>
      </w:pPr>
    </w:p>
    <w:p w14:paraId="1EFF084B" w14:textId="129B4DED" w:rsidR="00601D6C" w:rsidRDefault="00601D6C" w:rsidP="00601D6C">
      <w:pPr>
        <w:ind w:firstLine="720"/>
        <w:rPr>
          <w:rFonts w:ascii="Calibri" w:hAnsi="Calibri"/>
        </w:rPr>
      </w:pPr>
      <w:r w:rsidRPr="002A6F72">
        <w:rPr>
          <w:rFonts w:ascii="Calibri" w:hAnsi="Calibri"/>
        </w:rPr>
        <w:t xml:space="preserve">It is currently the situation, that if any ‘rights and freedoms’ as outlined in Chapter 7 of the </w:t>
      </w:r>
      <w:bookmarkStart w:id="1" w:name="_Hlk531688166"/>
      <w:r w:rsidRPr="002A6F72">
        <w:rPr>
          <w:rFonts w:ascii="Calibri" w:hAnsi="Calibri"/>
          <w:i/>
        </w:rPr>
        <w:t>Human Rights Act 1998</w:t>
      </w:r>
      <w:bookmarkEnd w:id="1"/>
      <w:r w:rsidRPr="002A6F72">
        <w:rPr>
          <w:rFonts w:ascii="Calibri" w:hAnsi="Calibri"/>
        </w:rPr>
        <w:t xml:space="preserve"> of an individual are breached, then the aggrieved party is entitled to take their case to the British courts, as opposed to having to travel to Strasbourg in order to do so at the European Court of Human Rights (Equality and Human Rights Commission, (EHRC) (2018).  It has been suggested by different political parties that the </w:t>
      </w:r>
      <w:r w:rsidRPr="002A6F72">
        <w:rPr>
          <w:rFonts w:ascii="Calibri" w:hAnsi="Calibri"/>
          <w:i/>
        </w:rPr>
        <w:t>Human Rights Act 1998</w:t>
      </w:r>
      <w:r w:rsidRPr="002A6F72">
        <w:rPr>
          <w:rFonts w:ascii="Calibri" w:hAnsi="Calibri"/>
        </w:rPr>
        <w:t xml:space="preserve"> should be replaced with a ‘British Bill of Rights’ (Horne and </w:t>
      </w:r>
      <w:proofErr w:type="spellStart"/>
      <w:r w:rsidRPr="002A6F72">
        <w:rPr>
          <w:rFonts w:ascii="Calibri" w:hAnsi="Calibri"/>
        </w:rPr>
        <w:t>Maer</w:t>
      </w:r>
      <w:proofErr w:type="spellEnd"/>
      <w:r w:rsidRPr="002A6F72">
        <w:rPr>
          <w:rFonts w:ascii="Calibri" w:hAnsi="Calibri"/>
        </w:rPr>
        <w:t xml:space="preserve">, 2010, p.84), meaning that in such cases, the aggrieved party would no longer be able to take Human Rights cases to British courts but instead, would need to travel to the European Court of Human Rights (Horne and </w:t>
      </w:r>
      <w:proofErr w:type="spellStart"/>
      <w:r w:rsidRPr="002A6F72">
        <w:rPr>
          <w:rFonts w:ascii="Calibri" w:hAnsi="Calibri"/>
        </w:rPr>
        <w:t>Maer</w:t>
      </w:r>
      <w:proofErr w:type="spellEnd"/>
      <w:r w:rsidRPr="002A6F72">
        <w:rPr>
          <w:rFonts w:ascii="Calibri" w:hAnsi="Calibri"/>
        </w:rPr>
        <w:t>, 2010, para.7).</w:t>
      </w:r>
    </w:p>
    <w:p w14:paraId="6B093C09" w14:textId="77777777" w:rsidR="00601D6C" w:rsidRPr="002A6F72" w:rsidRDefault="00601D6C" w:rsidP="00601D6C">
      <w:pPr>
        <w:ind w:firstLine="720"/>
        <w:rPr>
          <w:rFonts w:ascii="Calibri" w:hAnsi="Calibri"/>
        </w:rPr>
      </w:pPr>
    </w:p>
    <w:p w14:paraId="38EDE144" w14:textId="2B8955D2" w:rsidR="00601D6C" w:rsidRDefault="00601D6C" w:rsidP="00601D6C">
      <w:pPr>
        <w:ind w:firstLine="720"/>
        <w:rPr>
          <w:rFonts w:ascii="Calibri" w:hAnsi="Calibri"/>
        </w:rPr>
      </w:pPr>
      <w:r w:rsidRPr="002A6F72">
        <w:rPr>
          <w:rFonts w:ascii="Calibri" w:hAnsi="Calibri"/>
        </w:rPr>
        <w:t xml:space="preserve">The benefit of being able to take cases to the British courts (Courts and Tribunal </w:t>
      </w:r>
      <w:proofErr w:type="spellStart"/>
      <w:r w:rsidRPr="002A6F72">
        <w:rPr>
          <w:rFonts w:ascii="Calibri" w:hAnsi="Calibri"/>
        </w:rPr>
        <w:t>Judicary</w:t>
      </w:r>
      <w:proofErr w:type="spellEnd"/>
      <w:r w:rsidRPr="002A6F72">
        <w:rPr>
          <w:rFonts w:ascii="Calibri" w:hAnsi="Calibri"/>
        </w:rPr>
        <w:t>, 2018) has been demonstrated by one case concerning an individual who had become a victim of modern slavery. The situation, reported in a Guardian newspaper article was that the individual (person a.) concerned was facing being deported from the UK, the country that person a. considered home as they had lived there for most of their life (</w:t>
      </w:r>
      <w:bookmarkStart w:id="2" w:name="_Hlk531803840"/>
      <w:r w:rsidRPr="002A6F72">
        <w:rPr>
          <w:rFonts w:ascii="Calibri" w:hAnsi="Calibri"/>
        </w:rPr>
        <w:t>Taylor, 2018</w:t>
      </w:r>
      <w:bookmarkEnd w:id="2"/>
      <w:r w:rsidRPr="002A6F72">
        <w:rPr>
          <w:rFonts w:ascii="Calibri" w:hAnsi="Calibri"/>
        </w:rPr>
        <w:t xml:space="preserve">). </w:t>
      </w:r>
      <w:proofErr w:type="spellStart"/>
      <w:r w:rsidRPr="002A6F72">
        <w:rPr>
          <w:rFonts w:ascii="Calibri" w:hAnsi="Calibri"/>
        </w:rPr>
        <w:t>Person a</w:t>
      </w:r>
      <w:proofErr w:type="spellEnd"/>
      <w:r w:rsidRPr="002A6F72">
        <w:rPr>
          <w:rFonts w:ascii="Calibri" w:hAnsi="Calibri"/>
        </w:rPr>
        <w:t xml:space="preserve">. was refused leave to remain by the Home Office who it was argued, had misinterpreted Chapter 2, Part 1a of Article 14 of the </w:t>
      </w:r>
      <w:r w:rsidRPr="002A6F72">
        <w:rPr>
          <w:rFonts w:ascii="Calibri" w:hAnsi="Calibri"/>
          <w:i/>
        </w:rPr>
        <w:t>Council of Europe Convention on Action against Trafficking in Human Beings</w:t>
      </w:r>
      <w:r w:rsidRPr="002A6F72">
        <w:rPr>
          <w:rFonts w:ascii="Calibri" w:hAnsi="Calibri"/>
        </w:rPr>
        <w:t xml:space="preserve"> (Council of Europe, 2005, p.12) which states the following:</w:t>
      </w:r>
    </w:p>
    <w:p w14:paraId="4EAE1382" w14:textId="77777777" w:rsidR="00601D6C" w:rsidRPr="002A6F72" w:rsidRDefault="00601D6C" w:rsidP="00601D6C">
      <w:pPr>
        <w:ind w:firstLine="720"/>
        <w:rPr>
          <w:rFonts w:ascii="Calibri" w:hAnsi="Calibri"/>
        </w:rPr>
      </w:pPr>
    </w:p>
    <w:p w14:paraId="18E7B423" w14:textId="2A0DFA9B" w:rsidR="00601D6C" w:rsidRDefault="00601D6C" w:rsidP="00601D6C">
      <w:pPr>
        <w:ind w:left="720"/>
        <w:rPr>
          <w:rFonts w:ascii="Calibri" w:hAnsi="Calibri"/>
          <w:i/>
        </w:rPr>
      </w:pPr>
      <w:r w:rsidRPr="00601D6C">
        <w:rPr>
          <w:rFonts w:ascii="Calibri" w:hAnsi="Calibri"/>
          <w:i/>
        </w:rPr>
        <w:t xml:space="preserve">Each Party shall issue a renewable residence permit to victims, in one or other of the two following situations or in both: </w:t>
      </w:r>
      <w:proofErr w:type="gramStart"/>
      <w:r w:rsidRPr="00601D6C">
        <w:rPr>
          <w:rFonts w:ascii="Calibri" w:hAnsi="Calibri"/>
          <w:i/>
        </w:rPr>
        <w:t>a the</w:t>
      </w:r>
      <w:proofErr w:type="gramEnd"/>
      <w:r w:rsidRPr="00601D6C">
        <w:rPr>
          <w:rFonts w:ascii="Calibri" w:hAnsi="Calibri"/>
          <w:i/>
        </w:rPr>
        <w:t xml:space="preserve"> competent authority considers that their stay is necessary owing to their personal situation;</w:t>
      </w:r>
      <w:r w:rsidRPr="002A6F72">
        <w:rPr>
          <w:rFonts w:ascii="Calibri" w:hAnsi="Calibri"/>
          <w:i/>
        </w:rPr>
        <w:t xml:space="preserve"> </w:t>
      </w:r>
    </w:p>
    <w:p w14:paraId="7553D117" w14:textId="77777777" w:rsidR="00601D6C" w:rsidRPr="002A6F72" w:rsidRDefault="00601D6C" w:rsidP="00601D6C">
      <w:pPr>
        <w:ind w:left="720"/>
        <w:rPr>
          <w:rFonts w:ascii="Calibri" w:hAnsi="Calibri"/>
          <w:i/>
        </w:rPr>
      </w:pPr>
    </w:p>
    <w:p w14:paraId="0BF672AB" w14:textId="77777777" w:rsidR="00601D6C" w:rsidRPr="002A6F72" w:rsidRDefault="00601D6C" w:rsidP="00601D6C">
      <w:pPr>
        <w:ind w:firstLine="720"/>
        <w:rPr>
          <w:rFonts w:ascii="Calibri" w:hAnsi="Calibri" w:cs="Arial"/>
          <w:lang w:val="en-US"/>
        </w:rPr>
      </w:pPr>
      <w:r w:rsidRPr="002A6F72">
        <w:rPr>
          <w:rFonts w:ascii="Calibri" w:hAnsi="Calibri"/>
        </w:rPr>
        <w:t>The article goes on to describe the fact that during the decision process, the Home Office’s(4) (2018, p.1) guidance on when to grant ‘Leave Outside the Immigration Rules (LOTR)’ states it should only be ‘on the basis of compelling compassionate grounds’ (ibid. p.3), yet this wording is more ambiguous and can seemingly be interpreted in a number of ways (Taylor, 2018).   Individuals who have escaped slavery are extremely vulnerable and it seems unlikely that they will be able to afford the costs involved in pursuing immigration cases. This is deemed to be an important factor to consider and a main concern for many victims of modern slavery in the UK today (</w:t>
      </w:r>
      <w:r w:rsidRPr="002A6F72">
        <w:rPr>
          <w:rFonts w:ascii="Calibri" w:hAnsi="Calibri" w:cs="Arial"/>
          <w:lang w:val="en-US"/>
        </w:rPr>
        <w:t>Freedom United, 2018).</w:t>
      </w:r>
    </w:p>
    <w:p w14:paraId="0899B655" w14:textId="494C4048" w:rsidR="00601D6C" w:rsidRDefault="00601D6C" w:rsidP="00601D6C">
      <w:pPr>
        <w:ind w:firstLine="720"/>
        <w:rPr>
          <w:rFonts w:ascii="Calibri" w:hAnsi="Calibri"/>
        </w:rPr>
      </w:pPr>
      <w:r w:rsidRPr="002A6F72">
        <w:rPr>
          <w:rFonts w:ascii="Calibri" w:hAnsi="Calibri"/>
        </w:rPr>
        <w:t xml:space="preserve">It seems that it is dependent on which party is in power at the time, as to </w:t>
      </w:r>
      <w:proofErr w:type="gramStart"/>
      <w:r w:rsidRPr="002A6F72">
        <w:rPr>
          <w:rFonts w:ascii="Calibri" w:hAnsi="Calibri"/>
        </w:rPr>
        <w:t>whether or not</w:t>
      </w:r>
      <w:proofErr w:type="gramEnd"/>
      <w:r w:rsidRPr="002A6F72">
        <w:rPr>
          <w:rFonts w:ascii="Calibri" w:hAnsi="Calibri"/>
        </w:rPr>
        <w:t xml:space="preserve"> the introduction of a Bill of Rights will adequately support those groups and individuals that need protecting the most (Horne and </w:t>
      </w:r>
      <w:proofErr w:type="spellStart"/>
      <w:r w:rsidRPr="002A6F72">
        <w:rPr>
          <w:rFonts w:ascii="Calibri" w:hAnsi="Calibri"/>
        </w:rPr>
        <w:t>Maer</w:t>
      </w:r>
      <w:proofErr w:type="spellEnd"/>
      <w:r w:rsidRPr="002A6F72">
        <w:rPr>
          <w:rFonts w:ascii="Calibri" w:hAnsi="Calibri"/>
        </w:rPr>
        <w:t xml:space="preserve">, 2010). One reason offered by the Conservative party for why a Bill of Rights is necessary, is that public-bodies have become wary of facing legal repercussions for any potential failings under the </w:t>
      </w:r>
      <w:r w:rsidRPr="002A6F72">
        <w:rPr>
          <w:rFonts w:ascii="Calibri" w:hAnsi="Calibri"/>
          <w:i/>
        </w:rPr>
        <w:t>Human Rights Act 1998</w:t>
      </w:r>
      <w:r w:rsidRPr="002A6F72">
        <w:rPr>
          <w:rFonts w:ascii="Calibri" w:hAnsi="Calibri"/>
        </w:rPr>
        <w:t>, leading to what Dyson, (2011, p.9) described as a ‘’risk-averse’’ culture at an annual lecture at Hertfordshire University. This standpoint has been taken by Cameron (2006, para.6) in part of a speech made to the Centre for Policy Studies:</w:t>
      </w:r>
    </w:p>
    <w:p w14:paraId="0D4AE340" w14:textId="77777777" w:rsidR="00601D6C" w:rsidRPr="002A6F72" w:rsidRDefault="00601D6C" w:rsidP="00601D6C">
      <w:pPr>
        <w:ind w:firstLine="720"/>
        <w:rPr>
          <w:rFonts w:ascii="Calibri" w:hAnsi="Calibri"/>
        </w:rPr>
      </w:pPr>
    </w:p>
    <w:p w14:paraId="0BF494CD" w14:textId="414BA131" w:rsidR="00601D6C" w:rsidRPr="00601D6C" w:rsidRDefault="00601D6C" w:rsidP="00601D6C">
      <w:pPr>
        <w:ind w:left="720"/>
        <w:rPr>
          <w:rFonts w:ascii="Calibri" w:hAnsi="Calibri"/>
          <w:i/>
        </w:rPr>
      </w:pPr>
      <w:r w:rsidRPr="00601D6C">
        <w:rPr>
          <w:rFonts w:ascii="Calibri" w:hAnsi="Calibri"/>
          <w:i/>
        </w:rPr>
        <w:t xml:space="preserve">Even without actual litigation, some public bodies are now so frightened of being sued under the Human Rights Act that they try to protect themselves by making decisions that are often absurd and occasionally dangerous. </w:t>
      </w:r>
    </w:p>
    <w:p w14:paraId="0D73AF05" w14:textId="77777777" w:rsidR="00601D6C" w:rsidRPr="002A6F72" w:rsidRDefault="00601D6C" w:rsidP="00601D6C">
      <w:pPr>
        <w:ind w:left="720"/>
        <w:rPr>
          <w:rFonts w:ascii="Calibri" w:hAnsi="Calibri"/>
          <w:i/>
        </w:rPr>
      </w:pPr>
    </w:p>
    <w:p w14:paraId="40FD3F9C" w14:textId="4DEACC20" w:rsidR="00601D6C" w:rsidRDefault="00601D6C" w:rsidP="00601D6C">
      <w:pPr>
        <w:rPr>
          <w:rFonts w:ascii="Calibri" w:hAnsi="Calibri"/>
        </w:rPr>
      </w:pPr>
      <w:r w:rsidRPr="002A6F72">
        <w:rPr>
          <w:rFonts w:ascii="Calibri" w:hAnsi="Calibri"/>
        </w:rPr>
        <w:t>The fact that the Conservative party favour a regulated state, seems apparent through this comment highlighting that the party prioritise the values which underpin their ideology, above the rights and needs of individuals (Smits, 2016, p.18)</w:t>
      </w:r>
    </w:p>
    <w:p w14:paraId="43A5C390" w14:textId="77777777" w:rsidR="00601D6C" w:rsidRPr="002A6F72" w:rsidRDefault="00601D6C" w:rsidP="00601D6C">
      <w:pPr>
        <w:rPr>
          <w:rFonts w:ascii="Calibri" w:hAnsi="Calibri"/>
        </w:rPr>
      </w:pPr>
    </w:p>
    <w:p w14:paraId="4E7E13EB" w14:textId="607D04C5" w:rsidR="00601D6C" w:rsidRDefault="00601D6C" w:rsidP="00601D6C">
      <w:pPr>
        <w:ind w:firstLine="720"/>
        <w:rPr>
          <w:rFonts w:ascii="Calibri" w:hAnsi="Calibri"/>
        </w:rPr>
      </w:pPr>
      <w:r w:rsidRPr="002A6F72">
        <w:rPr>
          <w:rFonts w:ascii="Calibri" w:hAnsi="Calibri"/>
        </w:rPr>
        <w:t>So legal aid is an area of concern for victims of modern slavery, not just access to it, but also in cases where it is denied when it should be provided for them (</w:t>
      </w:r>
      <w:r w:rsidRPr="002A6F72">
        <w:rPr>
          <w:rFonts w:ascii="Calibri" w:hAnsi="Calibri" w:cs="Arial"/>
          <w:lang w:val="en-US"/>
        </w:rPr>
        <w:t>Freedom United, 2018)</w:t>
      </w:r>
      <w:r w:rsidRPr="002A6F72">
        <w:rPr>
          <w:rFonts w:ascii="Calibri" w:hAnsi="Calibri"/>
        </w:rPr>
        <w:t>. According to Freedom United (2018),</w:t>
      </w:r>
      <w:r w:rsidRPr="002A6F72">
        <w:rPr>
          <w:rFonts w:ascii="Calibri" w:hAnsi="Calibri"/>
          <w:color w:val="FF0000"/>
        </w:rPr>
        <w:t xml:space="preserve"> </w:t>
      </w:r>
      <w:r w:rsidRPr="006103CD">
        <w:rPr>
          <w:rFonts w:ascii="Calibri" w:hAnsi="Calibri"/>
        </w:rPr>
        <w:t xml:space="preserve">victims of modern slavery are entitled to free legal advice, </w:t>
      </w:r>
      <w:r w:rsidRPr="002A6F72">
        <w:rPr>
          <w:rFonts w:ascii="Calibri" w:hAnsi="Calibri"/>
        </w:rPr>
        <w:t>as a response to government cuts to legal aid (</w:t>
      </w:r>
      <w:r w:rsidRPr="002A6F72">
        <w:rPr>
          <w:rFonts w:ascii="Calibri" w:hAnsi="Calibri"/>
          <w:i/>
        </w:rPr>
        <w:t>Legal Aid, Sentencing and Punishment of Offenders Act 2012</w:t>
      </w:r>
      <w:r w:rsidRPr="002A6F72">
        <w:rPr>
          <w:rFonts w:ascii="Calibri" w:hAnsi="Calibri"/>
        </w:rPr>
        <w:t xml:space="preserve">). This has become common in many cases where the aggrieved party has been trafficked from to the UK and is need of legal aid to support the case for ‘discretionary leave to remain’ (Thomas, 2018, para.2). Whilst this injustice has now been acknowledged by the ‘Legal Aid Agency’ (Thomas, 2018, para.1), the individuals who are forced to deal with a stressful immigration system, whilst not having a place to call home are left negatively impacted in terms of health and </w:t>
      </w:r>
      <w:r w:rsidRPr="002A6F72">
        <w:rPr>
          <w:rFonts w:ascii="Calibri" w:hAnsi="Calibri"/>
        </w:rPr>
        <w:lastRenderedPageBreak/>
        <w:t>well-being and must deal with these issues after experiencing the ordeal of being forced into slavery (Freedom United, 2018).</w:t>
      </w:r>
    </w:p>
    <w:p w14:paraId="372CD4C1" w14:textId="77777777" w:rsidR="00601D6C" w:rsidRPr="002A6F72" w:rsidRDefault="00601D6C" w:rsidP="00601D6C">
      <w:pPr>
        <w:ind w:firstLine="720"/>
        <w:rPr>
          <w:rFonts w:ascii="Calibri" w:hAnsi="Calibri"/>
        </w:rPr>
      </w:pPr>
    </w:p>
    <w:p w14:paraId="55CF0CD0" w14:textId="77777777" w:rsidR="00601D6C" w:rsidRDefault="00601D6C" w:rsidP="00601D6C">
      <w:pPr>
        <w:ind w:firstLine="720"/>
        <w:rPr>
          <w:rFonts w:ascii="Calibri" w:hAnsi="Calibri"/>
        </w:rPr>
      </w:pPr>
      <w:r w:rsidRPr="002A6F72">
        <w:rPr>
          <w:rFonts w:ascii="Calibri" w:hAnsi="Calibri"/>
        </w:rPr>
        <w:t xml:space="preserve"> </w:t>
      </w:r>
      <w:r w:rsidRPr="002A6F72">
        <w:rPr>
          <w:rFonts w:ascii="Calibri" w:hAnsi="Calibri" w:cs="Arial"/>
          <w:lang w:val="en-US"/>
        </w:rPr>
        <w:t>Whilst in Northern Ireland, support is available at the point of being referred to the ‘National Referral Mechanism (NRM)’ (</w:t>
      </w:r>
      <w:r w:rsidRPr="002A6F72">
        <w:rPr>
          <w:rFonts w:ascii="Calibri" w:hAnsi="Calibri"/>
        </w:rPr>
        <w:t xml:space="preserve">National Crime Agency (NCA), 2018, pp.1-3), this is not the case for individuals in the UK, where support is received, only when a ‘positive reasonable grounds decision’ (ibid.) has been reached, whereby those individuals are officially recognised as victims of modern slavery (Home Office(3), 2018, see table). Furthermore, the Home </w:t>
      </w:r>
      <w:proofErr w:type="gramStart"/>
      <w:r w:rsidRPr="002A6F72">
        <w:rPr>
          <w:rFonts w:ascii="Calibri" w:hAnsi="Calibri"/>
        </w:rPr>
        <w:t>Office(</w:t>
      </w:r>
      <w:proofErr w:type="gramEnd"/>
      <w:r w:rsidRPr="002A6F72">
        <w:rPr>
          <w:rFonts w:ascii="Calibri" w:hAnsi="Calibri"/>
        </w:rPr>
        <w:t>2) (2018. para.8) states the following:</w:t>
      </w:r>
    </w:p>
    <w:p w14:paraId="032B7DBA" w14:textId="77777777" w:rsidR="00601D6C" w:rsidRPr="002A6F72" w:rsidRDefault="00601D6C" w:rsidP="00601D6C">
      <w:pPr>
        <w:ind w:firstLine="720"/>
        <w:rPr>
          <w:rFonts w:ascii="Calibri" w:hAnsi="Calibri"/>
          <w:color w:val="FF0000"/>
        </w:rPr>
      </w:pPr>
    </w:p>
    <w:p w14:paraId="36830D35" w14:textId="77777777" w:rsidR="00601D6C" w:rsidRDefault="00601D6C" w:rsidP="00601D6C">
      <w:pPr>
        <w:ind w:left="720"/>
        <w:rPr>
          <w:rFonts w:ascii="Calibri" w:hAnsi="Calibri"/>
          <w:i/>
        </w:rPr>
      </w:pPr>
      <w:r w:rsidRPr="00601D6C">
        <w:rPr>
          <w:rFonts w:ascii="Calibri" w:hAnsi="Calibri"/>
          <w:i/>
        </w:rPr>
        <w:t>Individuals who are recognised as a potential victim of modern slavery through the NRM have access to specialist tailored support for a period of at least 45 days while their case is considered, which may include: access to relevant legal advice; accommodation; protection; independent emotional and practical help</w:t>
      </w:r>
      <w:r w:rsidRPr="002A6F72">
        <w:rPr>
          <w:rFonts w:ascii="Calibri" w:hAnsi="Calibri"/>
          <w:i/>
        </w:rPr>
        <w:t xml:space="preserve"> </w:t>
      </w:r>
    </w:p>
    <w:p w14:paraId="5C9E6C6B" w14:textId="77777777" w:rsidR="00601D6C" w:rsidRPr="002A6F72" w:rsidRDefault="00601D6C" w:rsidP="00601D6C">
      <w:pPr>
        <w:ind w:left="720"/>
        <w:rPr>
          <w:rFonts w:ascii="Calibri" w:hAnsi="Calibri"/>
          <w:i/>
        </w:rPr>
      </w:pPr>
    </w:p>
    <w:p w14:paraId="44B21E43" w14:textId="03B06025" w:rsidR="00601D6C" w:rsidRDefault="00601D6C" w:rsidP="00601D6C">
      <w:pPr>
        <w:rPr>
          <w:rFonts w:ascii="Calibri" w:hAnsi="Calibri"/>
        </w:rPr>
      </w:pPr>
      <w:r w:rsidRPr="002A6F72">
        <w:rPr>
          <w:rFonts w:ascii="Calibri" w:hAnsi="Calibri"/>
        </w:rPr>
        <w:t>It is clear to see that the current government is not doing enough to mitigate the effects of cuts to legal aid, which are a direct result of austerity (Meteor, 2018).</w:t>
      </w:r>
    </w:p>
    <w:p w14:paraId="20651255" w14:textId="77777777" w:rsidR="00601D6C" w:rsidRPr="002A6F72" w:rsidRDefault="00601D6C" w:rsidP="00601D6C">
      <w:pPr>
        <w:rPr>
          <w:rFonts w:ascii="Calibri" w:hAnsi="Calibri"/>
        </w:rPr>
      </w:pPr>
    </w:p>
    <w:p w14:paraId="003FBE92" w14:textId="77777777" w:rsidR="00601D6C" w:rsidRPr="002A6F72" w:rsidRDefault="00601D6C" w:rsidP="00601D6C">
      <w:pPr>
        <w:ind w:firstLine="720"/>
        <w:rPr>
          <w:rFonts w:ascii="Calibri" w:hAnsi="Calibri"/>
        </w:rPr>
      </w:pPr>
      <w:r w:rsidRPr="002A6F72">
        <w:rPr>
          <w:rFonts w:ascii="Calibri" w:hAnsi="Calibri"/>
        </w:rPr>
        <w:t xml:space="preserve">According to Human Trafficking Foundation (2015, p.94),  the ‘psychological needs’ of victims of modern slavery are among the most important needs to meet which can be seen by looking at  Maslow’s ‘Hierarchy of needs’ (1943 </w:t>
      </w:r>
      <w:r w:rsidRPr="002A6F72">
        <w:rPr>
          <w:rFonts w:ascii="Calibri" w:hAnsi="Calibri"/>
          <w:i/>
        </w:rPr>
        <w:t xml:space="preserve">cited in </w:t>
      </w:r>
      <w:r w:rsidRPr="002A6F72">
        <w:rPr>
          <w:rFonts w:ascii="Calibri" w:hAnsi="Calibri"/>
        </w:rPr>
        <w:t>Gorman, D, 2010, p.1) where it is highlighted that the following aspects are essential to meeting even the ‘basic needs’ (Maslow and American Psychological Association, 1943, p.383):</w:t>
      </w:r>
    </w:p>
    <w:p w14:paraId="287E8C6E" w14:textId="77777777" w:rsidR="00601D6C" w:rsidRDefault="00601D6C" w:rsidP="00601D6C">
      <w:pPr>
        <w:ind w:left="720"/>
        <w:rPr>
          <w:rFonts w:ascii="Calibri" w:hAnsi="Calibri"/>
          <w:i/>
          <w:highlight w:val="yellow"/>
        </w:rPr>
      </w:pPr>
    </w:p>
    <w:p w14:paraId="19DE23F1" w14:textId="36BC4136" w:rsidR="00601D6C" w:rsidRPr="00601D6C" w:rsidRDefault="00601D6C" w:rsidP="00601D6C">
      <w:pPr>
        <w:ind w:left="720"/>
        <w:rPr>
          <w:rFonts w:ascii="Calibri" w:hAnsi="Calibri"/>
          <w:i/>
        </w:rPr>
      </w:pPr>
      <w:r w:rsidRPr="00601D6C">
        <w:rPr>
          <w:rFonts w:ascii="Calibri" w:hAnsi="Calibri"/>
          <w:i/>
        </w:rPr>
        <w:t>freedom to speak, freedom to do what one wishes so long as no harm is done to others, freedom to express one's self, freedom to investigate and seek for information, freedom to defend one's self, justice, fairness, honesty, orderliness in the group (ibid.).</w:t>
      </w:r>
    </w:p>
    <w:p w14:paraId="6F1E97BF" w14:textId="77777777" w:rsidR="00601D6C" w:rsidRPr="002A6F72" w:rsidRDefault="00601D6C" w:rsidP="00601D6C">
      <w:pPr>
        <w:ind w:left="720"/>
        <w:rPr>
          <w:rFonts w:ascii="Calibri" w:hAnsi="Calibri"/>
          <w:i/>
        </w:rPr>
      </w:pPr>
    </w:p>
    <w:p w14:paraId="7A159D74" w14:textId="6B71321C" w:rsidR="00601D6C" w:rsidRDefault="00601D6C" w:rsidP="00601D6C">
      <w:pPr>
        <w:rPr>
          <w:rFonts w:ascii="Calibri" w:hAnsi="Calibri"/>
        </w:rPr>
      </w:pPr>
      <w:r w:rsidRPr="002A6F72">
        <w:rPr>
          <w:rFonts w:ascii="Calibri" w:hAnsi="Calibri"/>
        </w:rPr>
        <w:t xml:space="preserve">Victims of modern slavery are considered vulnerable adults, as outlined by The Human Trafficking Foundation (2015, p.110), as previous experiences have meant that individuals would be at risk of exploitation, needing protection; or may need assistance in meeting health and well-being needs effectively due to these experiences. The Department of Health (DOH) (2011, p.2) state that the following principles should be in mind when practitioners and organisations deliver safeguarding within services: ‘empowerment, protection, prevention, proportionality, partnership, accountability’ and elements of person-centred, holistic approaches are recommended when considering outcomes of reducing the risk to individuals’ safety and well-being (DOH, 2011, pp.2-3). Furthermore, the importance of recognising individuals’ autonomy throughout the provision of services is recognised as being integral (DOH, 2011, p.5) and ensuring the participation of individuals, when making decisions about their own lives is a central part of the </w:t>
      </w:r>
      <w:bookmarkStart w:id="3" w:name="_Hlk531816753"/>
      <w:r w:rsidRPr="002A6F72">
        <w:rPr>
          <w:rFonts w:ascii="Calibri" w:hAnsi="Calibri"/>
          <w:i/>
        </w:rPr>
        <w:t>Social Services and Well-being (Wales) Act 201</w:t>
      </w:r>
      <w:bookmarkEnd w:id="3"/>
      <w:r w:rsidRPr="002A6F72">
        <w:rPr>
          <w:rFonts w:ascii="Calibri" w:hAnsi="Calibri"/>
          <w:i/>
        </w:rPr>
        <w:t xml:space="preserve">4 </w:t>
      </w:r>
      <w:r w:rsidRPr="002A6F72">
        <w:rPr>
          <w:rFonts w:ascii="Calibri" w:hAnsi="Calibri"/>
        </w:rPr>
        <w:t xml:space="preserve">as explained in the Welsh Government’s (2015, p.5) overview of the Act which states: ‘The focus is on what matters to the person and how they can use their own strengths and resources to do those things’ when carrying out assessments and working out a care plan. </w:t>
      </w:r>
    </w:p>
    <w:p w14:paraId="709C497D" w14:textId="77777777" w:rsidR="00601D6C" w:rsidRPr="002A6F72" w:rsidRDefault="00601D6C" w:rsidP="00601D6C">
      <w:pPr>
        <w:rPr>
          <w:rFonts w:ascii="Calibri" w:hAnsi="Calibri"/>
        </w:rPr>
      </w:pPr>
    </w:p>
    <w:p w14:paraId="2A46613B" w14:textId="77777777" w:rsidR="00601D6C" w:rsidRDefault="00601D6C" w:rsidP="00601D6C">
      <w:pPr>
        <w:ind w:firstLine="720"/>
        <w:rPr>
          <w:rFonts w:ascii="Calibri" w:hAnsi="Calibri"/>
        </w:rPr>
      </w:pPr>
      <w:r w:rsidRPr="00601D6C">
        <w:rPr>
          <w:rFonts w:ascii="Calibri" w:hAnsi="Calibri"/>
        </w:rPr>
        <w:t>Another main area of concern for victims of modern slavery,</w:t>
      </w:r>
      <w:r w:rsidRPr="002A6F72">
        <w:rPr>
          <w:rFonts w:ascii="Calibri" w:hAnsi="Calibri"/>
        </w:rPr>
        <w:t xml:space="preserve"> is accessing organisations which will provide safeguarding services, due to immigration issues (Human Trafficking Foundation, 2015). Victims are supposed to be provided with support following their ordeal in areas such as health and justice (European Union, 2013, p.4), however this is only if a positive conclusive grounds decision has been reached (Home Office(3), 2018, para.6) showing the apparent disparity of care which lies between those who have been defined by the relevant authority as a victim, and those who have not (Human Trafficking Foundation(2), 2015). With regards to the health and well-being needs of survivors of human trafficking, the following statement has been made by </w:t>
      </w:r>
      <w:bookmarkStart w:id="4" w:name="_Hlk530934007"/>
      <w:r w:rsidRPr="002A6F72">
        <w:rPr>
          <w:rFonts w:ascii="Calibri" w:hAnsi="Calibri"/>
        </w:rPr>
        <w:t>Human Trafficking Foundation (2015</w:t>
      </w:r>
      <w:bookmarkEnd w:id="4"/>
      <w:r w:rsidRPr="002A6F72">
        <w:rPr>
          <w:rFonts w:ascii="Calibri" w:hAnsi="Calibri"/>
        </w:rPr>
        <w:t>, p.27).</w:t>
      </w:r>
    </w:p>
    <w:p w14:paraId="690CD219" w14:textId="77777777" w:rsidR="00601D6C" w:rsidRPr="002A6F72" w:rsidRDefault="00601D6C" w:rsidP="00601D6C">
      <w:pPr>
        <w:ind w:firstLine="720"/>
        <w:rPr>
          <w:rFonts w:ascii="Calibri" w:hAnsi="Calibri"/>
        </w:rPr>
      </w:pPr>
    </w:p>
    <w:p w14:paraId="2BE4F5BB" w14:textId="77777777" w:rsidR="00601D6C" w:rsidRPr="00601D6C" w:rsidRDefault="00601D6C" w:rsidP="00601D6C">
      <w:pPr>
        <w:ind w:left="720"/>
        <w:rPr>
          <w:rFonts w:ascii="Calibri" w:hAnsi="Calibri"/>
          <w:i/>
        </w:rPr>
      </w:pPr>
      <w:r w:rsidRPr="00601D6C">
        <w:rPr>
          <w:rFonts w:ascii="Calibri" w:hAnsi="Calibri"/>
          <w:i/>
        </w:rPr>
        <w:t>In most parts of the country, (however), the support available after the recovery and reflection period does not appear to be adequate to meet the complex needs of survivors, which often remain unmet.</w:t>
      </w:r>
    </w:p>
    <w:p w14:paraId="09B3C8F3" w14:textId="77777777" w:rsidR="00601D6C" w:rsidRPr="002A6F72" w:rsidRDefault="00601D6C" w:rsidP="00601D6C">
      <w:pPr>
        <w:ind w:left="720"/>
        <w:rPr>
          <w:rFonts w:ascii="Calibri" w:hAnsi="Calibri"/>
          <w:i/>
        </w:rPr>
      </w:pPr>
    </w:p>
    <w:p w14:paraId="5130C6BA" w14:textId="77777777" w:rsidR="00601D6C" w:rsidRDefault="00601D6C" w:rsidP="00601D6C">
      <w:pPr>
        <w:rPr>
          <w:rFonts w:ascii="Calibri" w:hAnsi="Calibri"/>
        </w:rPr>
      </w:pPr>
      <w:r w:rsidRPr="002A6F72">
        <w:rPr>
          <w:rFonts w:ascii="Calibri" w:hAnsi="Calibri"/>
        </w:rPr>
        <w:t>So even in the cases where individuals have received a positive conclusive grounds decision, it seems that the support and care provided is inadequate Human Trafficking Foundation (2015).</w:t>
      </w:r>
    </w:p>
    <w:p w14:paraId="5744AD1A" w14:textId="77777777" w:rsidR="00601D6C" w:rsidRDefault="00601D6C" w:rsidP="00601D6C">
      <w:pPr>
        <w:rPr>
          <w:rFonts w:ascii="Calibri" w:hAnsi="Calibri"/>
        </w:rPr>
      </w:pPr>
    </w:p>
    <w:p w14:paraId="00B1AEFE" w14:textId="77777777" w:rsidR="00601D6C" w:rsidRDefault="00601D6C" w:rsidP="00601D6C">
      <w:pPr>
        <w:ind w:firstLine="720"/>
        <w:rPr>
          <w:rFonts w:ascii="Calibri" w:hAnsi="Calibri"/>
        </w:rPr>
      </w:pPr>
      <w:r w:rsidRPr="002A6F72">
        <w:rPr>
          <w:rFonts w:ascii="Calibri" w:hAnsi="Calibri"/>
        </w:rPr>
        <w:t xml:space="preserve">Whilst there is housing support for individuals who have received a ‘reasonable grounds’ decision (Human Trafficking </w:t>
      </w:r>
      <w:proofErr w:type="gramStart"/>
      <w:r w:rsidRPr="002A6F72">
        <w:rPr>
          <w:rFonts w:ascii="Calibri" w:hAnsi="Calibri"/>
        </w:rPr>
        <w:t>Foundation(</w:t>
      </w:r>
      <w:proofErr w:type="gramEnd"/>
      <w:r w:rsidRPr="002A6F72">
        <w:rPr>
          <w:rFonts w:ascii="Calibri" w:hAnsi="Calibri"/>
        </w:rPr>
        <w:t xml:space="preserve">2), 2015, p.3), this is only required to be provided for a period of forty-five days </w:t>
      </w:r>
      <w:r w:rsidRPr="002A6F72">
        <w:rPr>
          <w:rFonts w:ascii="Calibri" w:hAnsi="Calibri"/>
        </w:rPr>
        <w:lastRenderedPageBreak/>
        <w:t xml:space="preserve">(ibid.). It is during this time that a decision is being reached by the relative authority, as to whether or not an individual should receive a ‘positive decision’ (Home Office(2), 2018, para.5) or ‘negative decision’ (ibid.), with respect to whether there are ‘conclusive grounds’ (Human Trafficking Foundation(2)(2015, p.4) to believe an individual should be officially recognised as a victim of modern slavery. So, concerns for the well-being of potential victims of modern slavery arise upon exiting this </w:t>
      </w:r>
      <w:proofErr w:type="gramStart"/>
      <w:r w:rsidRPr="002A6F72">
        <w:rPr>
          <w:rFonts w:ascii="Calibri" w:hAnsi="Calibri"/>
        </w:rPr>
        <w:t>forty-five day</w:t>
      </w:r>
      <w:proofErr w:type="gramEnd"/>
      <w:r w:rsidRPr="002A6F72">
        <w:rPr>
          <w:rFonts w:ascii="Calibri" w:hAnsi="Calibri"/>
        </w:rPr>
        <w:t xml:space="preserve"> period and when forced to leave temporary accommodation. </w:t>
      </w:r>
    </w:p>
    <w:p w14:paraId="3B92F302" w14:textId="77777777" w:rsidR="00601D6C" w:rsidRPr="002A6F72" w:rsidRDefault="00601D6C" w:rsidP="00601D6C">
      <w:pPr>
        <w:ind w:firstLine="720"/>
        <w:rPr>
          <w:rFonts w:ascii="Calibri" w:hAnsi="Calibri"/>
        </w:rPr>
      </w:pPr>
    </w:p>
    <w:p w14:paraId="0F815811" w14:textId="6410A11B" w:rsidR="00601D6C" w:rsidRDefault="00601D6C" w:rsidP="00601D6C">
      <w:pPr>
        <w:ind w:firstLine="720"/>
        <w:rPr>
          <w:rFonts w:ascii="Calibri" w:hAnsi="Calibri"/>
        </w:rPr>
      </w:pPr>
      <w:r w:rsidRPr="002A6F72">
        <w:rPr>
          <w:rFonts w:ascii="Calibri" w:hAnsi="Calibri"/>
        </w:rPr>
        <w:t>Through carrying out qualitative research with victims of modern slavery themselves, the</w:t>
      </w:r>
      <w:r w:rsidRPr="002A6F72">
        <w:rPr>
          <w:rFonts w:ascii="Calibri" w:hAnsi="Calibri"/>
          <w:u w:val="single"/>
        </w:rPr>
        <w:t xml:space="preserve"> </w:t>
      </w:r>
      <w:r w:rsidRPr="002A6F72">
        <w:rPr>
          <w:rFonts w:ascii="Calibri" w:hAnsi="Calibri"/>
        </w:rPr>
        <w:t xml:space="preserve">Human Trafficking </w:t>
      </w:r>
      <w:proofErr w:type="gramStart"/>
      <w:r w:rsidRPr="002A6F72">
        <w:rPr>
          <w:rFonts w:ascii="Calibri" w:hAnsi="Calibri"/>
        </w:rPr>
        <w:t>Foundation(</w:t>
      </w:r>
      <w:proofErr w:type="gramEnd"/>
      <w:r w:rsidRPr="002A6F72">
        <w:rPr>
          <w:rFonts w:ascii="Calibri" w:hAnsi="Calibri"/>
        </w:rPr>
        <w:t xml:space="preserve">2)(2015, pp.3-4) has found, that a lack of follow up care can often result in individuals having no choice but to live in houses or areas where there is a high risk of facing further exploitation and oppression, for example bullying.  It is further highlighted that even in cases where a positive conclusive grounds decision has been reached, follow on support is not provided through the government for very much longer and many victims are re-trafficked (Human Trafficking </w:t>
      </w:r>
      <w:proofErr w:type="gramStart"/>
      <w:r w:rsidRPr="002A6F72">
        <w:rPr>
          <w:rFonts w:ascii="Calibri" w:hAnsi="Calibri"/>
        </w:rPr>
        <w:t>Foundation(</w:t>
      </w:r>
      <w:proofErr w:type="gramEnd"/>
      <w:r w:rsidRPr="002A6F72">
        <w:rPr>
          <w:rFonts w:ascii="Calibri" w:hAnsi="Calibri"/>
        </w:rPr>
        <w:t xml:space="preserve">2), 2015, p.5). The </w:t>
      </w:r>
      <w:r w:rsidRPr="002A6F72">
        <w:rPr>
          <w:rFonts w:ascii="Calibri" w:hAnsi="Calibri"/>
          <w:i/>
        </w:rPr>
        <w:t>Care Act 2014</w:t>
      </w:r>
      <w:r w:rsidRPr="002A6F72">
        <w:rPr>
          <w:rFonts w:ascii="Calibri" w:hAnsi="Calibri"/>
        </w:rPr>
        <w:t xml:space="preserve"> does</w:t>
      </w:r>
      <w:r w:rsidRPr="002A6F72">
        <w:rPr>
          <w:rFonts w:ascii="Calibri" w:hAnsi="Calibri"/>
          <w:i/>
        </w:rPr>
        <w:t xml:space="preserve"> </w:t>
      </w:r>
      <w:r w:rsidRPr="002A6F72">
        <w:rPr>
          <w:rFonts w:ascii="Calibri" w:hAnsi="Calibri"/>
        </w:rPr>
        <w:t>acknowledge the need in preventative action, to ensure the safeguarding and wellbeing of individuals, and this is stated in Part 1, section 2 of the Act, as follows:</w:t>
      </w:r>
    </w:p>
    <w:p w14:paraId="6D0171A1" w14:textId="77777777" w:rsidR="00601D6C" w:rsidRPr="002A6F72" w:rsidRDefault="00601D6C" w:rsidP="00601D6C">
      <w:pPr>
        <w:ind w:firstLine="720"/>
        <w:rPr>
          <w:rFonts w:ascii="Calibri" w:hAnsi="Calibri"/>
        </w:rPr>
      </w:pPr>
    </w:p>
    <w:p w14:paraId="701C35ED" w14:textId="77777777" w:rsidR="00601D6C" w:rsidRPr="00601D6C" w:rsidRDefault="00601D6C" w:rsidP="00601D6C">
      <w:pPr>
        <w:ind w:left="720"/>
        <w:rPr>
          <w:rFonts w:ascii="Calibri" w:hAnsi="Calibri"/>
          <w:i/>
        </w:rPr>
      </w:pPr>
      <w:r w:rsidRPr="00601D6C">
        <w:rPr>
          <w:rFonts w:ascii="Calibri" w:hAnsi="Calibri"/>
          <w:i/>
        </w:rPr>
        <w:t>A local authority must provide or arrange for the provision of services, facilities or resources, or take other steps, which it considers will— contribute towards preventing or delaying the development by adults in its area of needs for care and support</w:t>
      </w:r>
    </w:p>
    <w:p w14:paraId="054DB651" w14:textId="77777777" w:rsidR="00601D6C" w:rsidRPr="002A6F72" w:rsidRDefault="00601D6C" w:rsidP="00601D6C">
      <w:pPr>
        <w:ind w:left="720"/>
        <w:rPr>
          <w:rFonts w:ascii="Calibri" w:hAnsi="Calibri"/>
          <w:i/>
        </w:rPr>
      </w:pPr>
    </w:p>
    <w:p w14:paraId="11580696" w14:textId="77777777" w:rsidR="00601D6C" w:rsidRDefault="00601D6C" w:rsidP="00601D6C">
      <w:pPr>
        <w:rPr>
          <w:rFonts w:ascii="Calibri" w:hAnsi="Calibri"/>
        </w:rPr>
      </w:pPr>
      <w:r w:rsidRPr="002A6F72">
        <w:rPr>
          <w:rFonts w:ascii="Calibri" w:hAnsi="Calibri"/>
        </w:rPr>
        <w:t xml:space="preserve">However, as is often the case, victims of modern slavery are unable to access the necessary support and protection from local authorities because they do not meet the eligibility criteria, showing how the </w:t>
      </w:r>
      <w:r w:rsidRPr="002A6F72">
        <w:rPr>
          <w:rFonts w:ascii="Calibri" w:hAnsi="Calibri"/>
          <w:i/>
        </w:rPr>
        <w:t xml:space="preserve">Care Act 2014 </w:t>
      </w:r>
      <w:r w:rsidRPr="002A6F72">
        <w:rPr>
          <w:rFonts w:ascii="Calibri" w:hAnsi="Calibri"/>
        </w:rPr>
        <w:t xml:space="preserve">contradicts itself (Human Trafficking </w:t>
      </w:r>
      <w:proofErr w:type="gramStart"/>
      <w:r w:rsidRPr="002A6F72">
        <w:rPr>
          <w:rFonts w:ascii="Calibri" w:hAnsi="Calibri"/>
        </w:rPr>
        <w:t>Foundation(</w:t>
      </w:r>
      <w:proofErr w:type="gramEnd"/>
      <w:r w:rsidRPr="002A6F72">
        <w:rPr>
          <w:rFonts w:ascii="Calibri" w:hAnsi="Calibri"/>
        </w:rPr>
        <w:t xml:space="preserve">2), 2015, pp.11-12). The main barrier, as argued by the Human Trafficking Foundation(2) (2015, pp.11-12) is that where it is stated in Part A of the </w:t>
      </w:r>
      <w:r w:rsidRPr="002A6F72">
        <w:rPr>
          <w:rFonts w:ascii="Calibri" w:hAnsi="Calibri"/>
          <w:i/>
        </w:rPr>
        <w:t xml:space="preserve">Care and Support (Eligibility Criteria) Regulations (Order 2015), </w:t>
      </w:r>
      <w:r w:rsidRPr="002A6F72">
        <w:rPr>
          <w:rFonts w:ascii="Calibri" w:hAnsi="Calibri"/>
        </w:rPr>
        <w:t>it is stated</w:t>
      </w:r>
      <w:r w:rsidRPr="002A6F72">
        <w:rPr>
          <w:rFonts w:ascii="Calibri" w:hAnsi="Calibri"/>
          <w:i/>
        </w:rPr>
        <w:t xml:space="preserve"> </w:t>
      </w:r>
      <w:r w:rsidRPr="002A6F72">
        <w:rPr>
          <w:rFonts w:ascii="Calibri" w:hAnsi="Calibri"/>
        </w:rPr>
        <w:t xml:space="preserve">that ‘the adult’s needs arise from or are related to a physical or mental impairment or illness’, victims of modern slavery may not meet this need because the negative lived experiences and the way it has impacted upon victims’ lives, are unique to modern slavery (Human Trafficking Foundation(2), 2015). Whilst victims’ may experience physical or mental effects following the ordeal, such as ‘Post-Traumatic Stress Disorder (PTSD)’ (Human Trafficking Foundation, 2015, p.94), not all victims do, and so it is the impact of experiencing exploitation which would be the identified reason for accessing services (Human Trafficking </w:t>
      </w:r>
      <w:proofErr w:type="gramStart"/>
      <w:r w:rsidRPr="002A6F72">
        <w:rPr>
          <w:rFonts w:ascii="Calibri" w:hAnsi="Calibri"/>
        </w:rPr>
        <w:t>Foundation(</w:t>
      </w:r>
      <w:proofErr w:type="gramEnd"/>
      <w:r w:rsidRPr="002A6F72">
        <w:rPr>
          <w:rFonts w:ascii="Calibri" w:hAnsi="Calibri"/>
        </w:rPr>
        <w:t xml:space="preserve">2), 2015). </w:t>
      </w:r>
    </w:p>
    <w:p w14:paraId="79017511" w14:textId="77777777" w:rsidR="00601D6C" w:rsidRPr="002A6F72" w:rsidRDefault="00601D6C" w:rsidP="00601D6C">
      <w:pPr>
        <w:rPr>
          <w:rFonts w:ascii="Calibri" w:hAnsi="Calibri"/>
        </w:rPr>
      </w:pPr>
    </w:p>
    <w:p w14:paraId="47F4FF71" w14:textId="77777777" w:rsidR="00601D6C" w:rsidRPr="002A6F72" w:rsidRDefault="00601D6C" w:rsidP="00601D6C">
      <w:pPr>
        <w:ind w:firstLine="720"/>
        <w:rPr>
          <w:rFonts w:ascii="Calibri" w:hAnsi="Calibri"/>
        </w:rPr>
      </w:pPr>
      <w:r w:rsidRPr="002A6F72">
        <w:rPr>
          <w:rFonts w:ascii="Calibri" w:hAnsi="Calibri"/>
        </w:rPr>
        <w:t xml:space="preserve">It seems that there is not enough knowledge to meet the varied and complex needs of those who have suffered as a result of modern slavery (Human Trafficking Foundation, 2015). The inequality faced by victims of modern slavery, within the context of meeting eligibility criteria must be addressed and it is suggested by the Human Trafficking </w:t>
      </w:r>
      <w:proofErr w:type="gramStart"/>
      <w:r w:rsidRPr="002A6F72">
        <w:rPr>
          <w:rFonts w:ascii="Calibri" w:hAnsi="Calibri"/>
        </w:rPr>
        <w:t>Foundation(</w:t>
      </w:r>
      <w:proofErr w:type="gramEnd"/>
      <w:r w:rsidRPr="002A6F72">
        <w:rPr>
          <w:rFonts w:ascii="Calibri" w:hAnsi="Calibri"/>
        </w:rPr>
        <w:t xml:space="preserve">2), (2015, p.12) that this issue needs to be taken into account by organisations when interpreting the eligibility criteria. Based upon this suggestion, it seems that it would be beneficial to update the </w:t>
      </w:r>
      <w:r w:rsidRPr="002A6F72">
        <w:rPr>
          <w:rFonts w:ascii="Calibri" w:hAnsi="Calibri"/>
          <w:i/>
        </w:rPr>
        <w:t>Modern Slavery Act 2015</w:t>
      </w:r>
      <w:r w:rsidRPr="002A6F72">
        <w:rPr>
          <w:rFonts w:ascii="Calibri" w:hAnsi="Calibri"/>
        </w:rPr>
        <w:t>, to include the effects of exploitation as part of the criteria for accessing support.</w:t>
      </w:r>
    </w:p>
    <w:p w14:paraId="1CF86C0B" w14:textId="77777777" w:rsidR="00601D6C" w:rsidRPr="002A6F72" w:rsidRDefault="00601D6C" w:rsidP="00601D6C">
      <w:pPr>
        <w:rPr>
          <w:rFonts w:ascii="Calibri" w:hAnsi="Calibri"/>
          <w:u w:val="single"/>
        </w:rPr>
      </w:pPr>
    </w:p>
    <w:p w14:paraId="01559B3F" w14:textId="77777777" w:rsidR="00601D6C" w:rsidRPr="002A6F72" w:rsidRDefault="00601D6C" w:rsidP="00601D6C">
      <w:pPr>
        <w:rPr>
          <w:rFonts w:ascii="Calibri" w:hAnsi="Calibri"/>
        </w:rPr>
      </w:pPr>
    </w:p>
    <w:p w14:paraId="4C316AAC" w14:textId="77777777" w:rsidR="00601D6C" w:rsidRPr="006103CD" w:rsidRDefault="00601D6C" w:rsidP="00601D6C">
      <w:pPr>
        <w:ind w:firstLine="720"/>
        <w:rPr>
          <w:rFonts w:ascii="Calibri" w:hAnsi="Calibri"/>
        </w:rPr>
      </w:pPr>
      <w:r w:rsidRPr="002A6F72">
        <w:rPr>
          <w:rFonts w:ascii="Calibri" w:hAnsi="Calibri"/>
        </w:rPr>
        <w:t xml:space="preserve">The challenges faced by non-EU nationals who have been trafficked to the UK begin at the stage of identification as a victim of Modern Slavery, through to the support received in the cases where individuals are recognised as such (Anti-Slavery, 2017). Whilst statistics from 2017 provided by the NCA (2018, p.88) show that of the total referred cases, approximately twenty seven percent of non-EU referral cases have been either: ‘Suspended, Withdrawn, Negative RG, RG Pending’ (ibid.); (RG meaning ‘reasonable grounds’ (Parliament.uk, 2017, para.2); there is no qualitative data within the report to suggest the reasons why these particular cases have turned out this way. Based upon the fact that in comparison, only approximately ten percent of cases concerning the referral of UK nationals are subject to the fore-mentioned conclusions, it seems as though there is a disparity between these two groups which needs to be addressed. </w:t>
      </w:r>
      <w:proofErr w:type="gramStart"/>
      <w:r w:rsidRPr="002A6F72">
        <w:rPr>
          <w:rFonts w:ascii="Calibri" w:hAnsi="Calibri"/>
        </w:rPr>
        <w:t>It seems as though</w:t>
      </w:r>
      <w:proofErr w:type="gramEnd"/>
      <w:r w:rsidRPr="002A6F72">
        <w:rPr>
          <w:rFonts w:ascii="Calibri" w:hAnsi="Calibri"/>
        </w:rPr>
        <w:t xml:space="preserve"> those who are most vulnerable to receiving a negative decision, are those who are not from the UK and who are non-EU individuals (Anti-Slavery, 2017). </w:t>
      </w:r>
    </w:p>
    <w:p w14:paraId="1ED61776" w14:textId="77777777" w:rsidR="00601D6C" w:rsidRDefault="00601D6C" w:rsidP="00601D6C">
      <w:pPr>
        <w:ind w:firstLine="720"/>
        <w:rPr>
          <w:rFonts w:ascii="Calibri" w:hAnsi="Calibri"/>
        </w:rPr>
      </w:pPr>
      <w:r w:rsidRPr="002A6F72">
        <w:rPr>
          <w:rFonts w:ascii="Calibri" w:hAnsi="Calibri"/>
        </w:rPr>
        <w:t>Individuals who are ‘potential victims (PV’s</w:t>
      </w:r>
      <w:proofErr w:type="gramStart"/>
      <w:r w:rsidRPr="002A6F72">
        <w:rPr>
          <w:rFonts w:ascii="Calibri" w:hAnsi="Calibri"/>
        </w:rPr>
        <w:t>)‘ (</w:t>
      </w:r>
      <w:proofErr w:type="gramEnd"/>
      <w:r w:rsidRPr="002A6F72">
        <w:rPr>
          <w:rFonts w:ascii="Calibri" w:hAnsi="Calibri"/>
        </w:rPr>
        <w:t xml:space="preserve">NCA, 2018, p.1) and who are non-EEA are not only failed in the process of being officially recognised as victims of modern slavery, but it is stated by NCA (2018, p.5) that ‘a considerable proportion of cases (over 63%) are pending an outcome’. Whilst this statistic includes PV’s from all nations, it highlights the fact that those who are in this position, whilst having to deal with the </w:t>
      </w:r>
      <w:r w:rsidRPr="002A6F72">
        <w:rPr>
          <w:rFonts w:ascii="Calibri" w:hAnsi="Calibri"/>
        </w:rPr>
        <w:lastRenderedPageBreak/>
        <w:t xml:space="preserve">prospect of a largely bureaucratic and arduous immigration process, do not have the opportunity to begin the recovery process (Freedom United, 2018). </w:t>
      </w:r>
    </w:p>
    <w:p w14:paraId="164EDA0B" w14:textId="77777777" w:rsidR="00601D6C" w:rsidRDefault="00601D6C" w:rsidP="00601D6C">
      <w:pPr>
        <w:rPr>
          <w:rFonts w:ascii="Calibri" w:hAnsi="Calibri"/>
        </w:rPr>
      </w:pPr>
    </w:p>
    <w:p w14:paraId="6A0F991B" w14:textId="77777777" w:rsidR="00601D6C" w:rsidRDefault="00601D6C" w:rsidP="00601D6C">
      <w:pPr>
        <w:rPr>
          <w:rFonts w:ascii="Calibri" w:hAnsi="Calibri"/>
        </w:rPr>
      </w:pPr>
    </w:p>
    <w:p w14:paraId="73719B17" w14:textId="0416C593" w:rsidR="00601D6C" w:rsidRDefault="00601D6C" w:rsidP="00601D6C">
      <w:r>
        <w:t xml:space="preserve">The standpoint of the Conservative party is that </w:t>
      </w:r>
      <w:proofErr w:type="gramStart"/>
      <w:r>
        <w:t>due to the fact that</w:t>
      </w:r>
      <w:proofErr w:type="gramEnd"/>
      <w:r>
        <w:t xml:space="preserve"> decisions made by courts in the UK can be over-ruled, current laws are being exploited, resulting in a society whereupon public bodies are afraid to act, in case the result is legal action against them (</w:t>
      </w:r>
      <w:proofErr w:type="spellStart"/>
      <w:r w:rsidRPr="002A6F72">
        <w:rPr>
          <w:rFonts w:ascii="Calibri" w:hAnsi="Calibri"/>
        </w:rPr>
        <w:t>Eccleshall</w:t>
      </w:r>
      <w:proofErr w:type="spellEnd"/>
      <w:r w:rsidRPr="002A6F72">
        <w:rPr>
          <w:rFonts w:ascii="Calibri" w:hAnsi="Calibri"/>
        </w:rPr>
        <w:t xml:space="preserve">, </w:t>
      </w:r>
      <w:r w:rsidRPr="002A6F72">
        <w:rPr>
          <w:rFonts w:ascii="Calibri" w:hAnsi="Calibri"/>
          <w:i/>
        </w:rPr>
        <w:t>et al</w:t>
      </w:r>
      <w:r>
        <w:rPr>
          <w:rFonts w:ascii="Calibri" w:hAnsi="Calibri"/>
          <w:i/>
        </w:rPr>
        <w:t xml:space="preserve">, </w:t>
      </w:r>
      <w:r w:rsidRPr="002A6F72">
        <w:rPr>
          <w:rFonts w:ascii="Calibri" w:hAnsi="Calibri"/>
        </w:rPr>
        <w:t>1984)</w:t>
      </w:r>
      <w:r>
        <w:rPr>
          <w:rFonts w:ascii="Calibri" w:hAnsi="Calibri"/>
        </w:rPr>
        <w:t>.</w:t>
      </w:r>
      <w:r>
        <w:t xml:space="preserve"> Not only does this seem to highlight the belief that UK society has become ‘risk averse</w:t>
      </w:r>
      <w:proofErr w:type="gramStart"/>
      <w:r>
        <w:t>’(</w:t>
      </w:r>
      <w:proofErr w:type="gramEnd"/>
      <w:r>
        <w:t xml:space="preserve">Dyson, 2011, p.9) but also that values are centred more around </w:t>
      </w:r>
      <w:r w:rsidRPr="002A6F72">
        <w:t>security and control</w:t>
      </w:r>
      <w:r>
        <w:t xml:space="preserve"> (</w:t>
      </w:r>
      <w:proofErr w:type="spellStart"/>
      <w:r>
        <w:t>Issuu</w:t>
      </w:r>
      <w:proofErr w:type="spellEnd"/>
      <w:r>
        <w:t xml:space="preserve">, 2017, p.30). There have been cases where </w:t>
      </w:r>
      <w:proofErr w:type="gramStart"/>
      <w:r>
        <w:t>it can be seen that having</w:t>
      </w:r>
      <w:proofErr w:type="gramEnd"/>
      <w:r>
        <w:t xml:space="preserve"> the ability to take cases to the British courts </w:t>
      </w:r>
      <w:r w:rsidRPr="002A6F72">
        <w:t>(Taylor, 2018)</w:t>
      </w:r>
      <w:r>
        <w:t xml:space="preserve">, can protect the rights and freedoms of individuals, yet this should not need to happen. Guidance from the </w:t>
      </w:r>
      <w:r w:rsidRPr="002A6F72">
        <w:rPr>
          <w:rFonts w:ascii="Calibri" w:hAnsi="Calibri"/>
        </w:rPr>
        <w:t xml:space="preserve">Home </w:t>
      </w:r>
      <w:proofErr w:type="gramStart"/>
      <w:r w:rsidRPr="002A6F72">
        <w:rPr>
          <w:rFonts w:ascii="Calibri" w:hAnsi="Calibri"/>
        </w:rPr>
        <w:t>Office’s(</w:t>
      </w:r>
      <w:proofErr w:type="gramEnd"/>
      <w:r w:rsidRPr="002A6F72">
        <w:rPr>
          <w:rFonts w:ascii="Calibri" w:hAnsi="Calibri"/>
        </w:rPr>
        <w:t>4) (2018</w:t>
      </w:r>
      <w:r>
        <w:rPr>
          <w:rFonts w:ascii="Calibri" w:hAnsi="Calibri"/>
        </w:rPr>
        <w:t>)</w:t>
      </w:r>
      <w:r>
        <w:t xml:space="preserve">, relating to obtaining leave to remain is ambiguous and can be interpreted in a number of ways, lacking clarity. For victims of modern slavery, the stress of having to deal with the effects of such issues caused by the Home Office can be that health and well-being is negatively </w:t>
      </w:r>
      <w:proofErr w:type="gramStart"/>
      <w:r>
        <w:t>affected  (</w:t>
      </w:r>
      <w:proofErr w:type="gramEnd"/>
      <w:r>
        <w:t xml:space="preserve">Human Trafficking Foundation, 2015). </w:t>
      </w:r>
      <w:r w:rsidRPr="00954045">
        <w:rPr>
          <w:i/>
        </w:rPr>
        <w:t xml:space="preserve">The Modern Slavery Act 2015 </w:t>
      </w:r>
      <w:r>
        <w:t xml:space="preserve">should provide holistic, person-centred approaches to safe-guarding and service provision has been promoted by the Welsh government and has been central to recent legislation in Wales </w:t>
      </w:r>
      <w:r w:rsidRPr="002A6F72">
        <w:rPr>
          <w:rFonts w:ascii="Calibri" w:hAnsi="Calibri"/>
        </w:rPr>
        <w:t>(2015, p.5)</w:t>
      </w:r>
      <w:r>
        <w:t xml:space="preserve"> in </w:t>
      </w:r>
      <w:r w:rsidRPr="00954045">
        <w:rPr>
          <w:i/>
        </w:rPr>
        <w:t>Social Services and Well-being (Wales) Act 2014.</w:t>
      </w:r>
      <w:r>
        <w:t xml:space="preserve"> One important point to promote is the fact that the individual should be included in decisions about their life (</w:t>
      </w:r>
      <w:r w:rsidRPr="002A6F72">
        <w:rPr>
          <w:rFonts w:ascii="Calibri" w:hAnsi="Calibri"/>
        </w:rPr>
        <w:t>DOH, 2011</w:t>
      </w:r>
      <w:r>
        <w:rPr>
          <w:rFonts w:ascii="Calibri" w:hAnsi="Calibri"/>
        </w:rPr>
        <w:t xml:space="preserve">: </w:t>
      </w:r>
      <w:r w:rsidRPr="00954045">
        <w:rPr>
          <w:i/>
        </w:rPr>
        <w:t>Social Services and Well-being (Wales) Act 2014</w:t>
      </w:r>
      <w:r>
        <w:rPr>
          <w:i/>
        </w:rPr>
        <w:t>).</w:t>
      </w:r>
      <w:r>
        <w:rPr>
          <w:i/>
        </w:rPr>
        <w:t xml:space="preserve"> </w:t>
      </w:r>
      <w:r>
        <w:t>Whilst some protection is provided for victims of modern slavery, it seems that it is arduous and complicated and based upon authorities assessing individuals’ cases to determine firstly, whether they can be categorised as a potential victim before receiving a decision on whether an individual can be classified officially, as a victim of modern slavery. This is extremely important in being able to provide the necessary support for those concerned.</w:t>
      </w:r>
      <w:r>
        <w:t xml:space="preserve"> </w:t>
      </w:r>
      <w:r>
        <w:t xml:space="preserve">f individuals are in a position where they can seek support from local authorities and the services provided, it seems that often, the eligibility criteria </w:t>
      </w:r>
      <w:proofErr w:type="gramStart"/>
      <w:r>
        <w:t>is</w:t>
      </w:r>
      <w:proofErr w:type="gramEnd"/>
      <w:r>
        <w:t xml:space="preserve"> not met. This is because there is not enough knowledge of the varied and complex needs of victims of modern slavery (</w:t>
      </w:r>
      <w:r w:rsidRPr="00E8340E">
        <w:t>Human Tra</w:t>
      </w:r>
      <w:r>
        <w:t>f</w:t>
      </w:r>
      <w:r w:rsidRPr="00E8340E">
        <w:t>ficking Foundation</w:t>
      </w:r>
      <w:r>
        <w:t>, 2</w:t>
      </w:r>
      <w:r w:rsidRPr="00E8340E">
        <w:t>015</w:t>
      </w:r>
      <w:r>
        <w:t>, p.27)</w:t>
      </w:r>
      <w:r>
        <w:t xml:space="preserve">. </w:t>
      </w:r>
      <w:proofErr w:type="gramStart"/>
      <w:r>
        <w:t>It seems as though</w:t>
      </w:r>
      <w:proofErr w:type="gramEnd"/>
      <w:r>
        <w:t xml:space="preserve"> those who are most vulnerable to receiving a negative decision, are those who are not from the UK and who are non-EU individuals (Anti-Slavery, 2017).</w:t>
      </w:r>
    </w:p>
    <w:p w14:paraId="64C0B06C" w14:textId="77777777" w:rsidR="00523988" w:rsidRDefault="00523988"/>
    <w:sectPr w:rsidR="00523988">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0E7C02" w14:textId="77777777" w:rsidR="00F33973" w:rsidRDefault="00F33973" w:rsidP="00601D6C">
      <w:r>
        <w:separator/>
      </w:r>
    </w:p>
  </w:endnote>
  <w:endnote w:type="continuationSeparator" w:id="0">
    <w:p w14:paraId="6107967B" w14:textId="77777777" w:rsidR="00F33973" w:rsidRDefault="00F33973" w:rsidP="00601D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75B1EF" w14:textId="77777777" w:rsidR="00601D6C" w:rsidRDefault="00601D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4C9694" w14:textId="77777777" w:rsidR="00601D6C" w:rsidRDefault="00601D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65C8C5" w14:textId="77777777" w:rsidR="00601D6C" w:rsidRDefault="00601D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3E12F4" w14:textId="77777777" w:rsidR="00F33973" w:rsidRDefault="00F33973" w:rsidP="00601D6C">
      <w:r>
        <w:separator/>
      </w:r>
    </w:p>
  </w:footnote>
  <w:footnote w:type="continuationSeparator" w:id="0">
    <w:p w14:paraId="3A0E8D48" w14:textId="77777777" w:rsidR="00F33973" w:rsidRDefault="00F33973" w:rsidP="00601D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037391" w14:textId="77777777" w:rsidR="00601D6C" w:rsidRDefault="00601D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1C0547" w14:textId="5BAEEDA7" w:rsidR="00601D6C" w:rsidRDefault="00601D6C">
    <w:pPr>
      <w:pStyle w:val="Header"/>
    </w:pPr>
    <w:r>
      <w:rPr>
        <w:noProof/>
      </w:rPr>
      <mc:AlternateContent>
        <mc:Choice Requires="wps">
          <w:drawing>
            <wp:anchor distT="0" distB="0" distL="118745" distR="118745" simplePos="0" relativeHeight="251659264" behindDoc="1" locked="0" layoutInCell="1" allowOverlap="0" wp14:anchorId="60E015C1" wp14:editId="0FAF712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bookmarkStart w:id="5" w:name="_GoBack" w:displacedByCustomXml="nex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49872BC4" w14:textId="4B01D361" w:rsidR="00601D6C" w:rsidRDefault="00601D6C">
                              <w:pPr>
                                <w:pStyle w:val="Header"/>
                                <w:jc w:val="center"/>
                                <w:rPr>
                                  <w:caps/>
                                  <w:color w:val="FFFFFF" w:themeColor="background1"/>
                                </w:rPr>
                              </w:pPr>
                              <w:r>
                                <w:rPr>
                                  <w:caps/>
                                  <w:color w:val="FFFFFF" w:themeColor="background1"/>
                                </w:rPr>
                                <w:t>ecSs6002 aSS1</w:t>
                              </w:r>
                            </w:p>
                          </w:sdtContent>
                        </w:sdt>
                        <w:bookmarkEnd w:id="5" w:displacedByCustomXml="prev"/>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60E015C1" id="Rectangle 197"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bookmarkStart w:id="6" w:name="_GoBack" w:displacedByCustomXml="nex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49872BC4" w14:textId="4B01D361" w:rsidR="00601D6C" w:rsidRDefault="00601D6C">
                        <w:pPr>
                          <w:pStyle w:val="Header"/>
                          <w:jc w:val="center"/>
                          <w:rPr>
                            <w:caps/>
                            <w:color w:val="FFFFFF" w:themeColor="background1"/>
                          </w:rPr>
                        </w:pPr>
                        <w:r>
                          <w:rPr>
                            <w:caps/>
                            <w:color w:val="FFFFFF" w:themeColor="background1"/>
                          </w:rPr>
                          <w:t>ecSs6002 aSS1</w:t>
                        </w:r>
                      </w:p>
                    </w:sdtContent>
                  </w:sdt>
                  <w:bookmarkEnd w:id="6" w:displacedByCustomXml="prev"/>
                </w:txbxContent>
              </v:textbox>
              <w10:wrap type="square" anchorx="margin" anchory="page"/>
            </v:rect>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2BCCF2" w14:textId="77777777" w:rsidR="00601D6C" w:rsidRDefault="00601D6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D6C"/>
    <w:rsid w:val="00060E30"/>
    <w:rsid w:val="00193159"/>
    <w:rsid w:val="002F0291"/>
    <w:rsid w:val="003A37EE"/>
    <w:rsid w:val="00523988"/>
    <w:rsid w:val="00601D6C"/>
    <w:rsid w:val="006B18E2"/>
    <w:rsid w:val="00F33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263452"/>
  <w15:chartTrackingRefBased/>
  <w15:docId w15:val="{E32DF09A-E25D-4F38-AFAB-97B7058FD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01D6C"/>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1D6C"/>
    <w:rPr>
      <w:color w:val="0563C1" w:themeColor="hyperlink"/>
      <w:u w:val="single"/>
    </w:rPr>
  </w:style>
  <w:style w:type="character" w:styleId="CommentReference">
    <w:name w:val="annotation reference"/>
    <w:basedOn w:val="DefaultParagraphFont"/>
    <w:uiPriority w:val="99"/>
    <w:semiHidden/>
    <w:unhideWhenUsed/>
    <w:rsid w:val="00601D6C"/>
    <w:rPr>
      <w:sz w:val="16"/>
      <w:szCs w:val="16"/>
    </w:rPr>
  </w:style>
  <w:style w:type="paragraph" w:styleId="CommentText">
    <w:name w:val="annotation text"/>
    <w:basedOn w:val="Normal"/>
    <w:link w:val="CommentTextChar"/>
    <w:uiPriority w:val="99"/>
    <w:unhideWhenUsed/>
    <w:rsid w:val="00601D6C"/>
  </w:style>
  <w:style w:type="character" w:customStyle="1" w:styleId="CommentTextChar">
    <w:name w:val="Comment Text Char"/>
    <w:basedOn w:val="DefaultParagraphFont"/>
    <w:link w:val="CommentText"/>
    <w:uiPriority w:val="99"/>
    <w:rsid w:val="00601D6C"/>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601D6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01D6C"/>
    <w:rPr>
      <w:rFonts w:ascii="Segoe UI" w:eastAsia="Times New Roman" w:hAnsi="Segoe UI" w:cs="Segoe UI"/>
      <w:sz w:val="18"/>
      <w:szCs w:val="18"/>
      <w:lang w:eastAsia="en-GB"/>
    </w:rPr>
  </w:style>
  <w:style w:type="character" w:styleId="FollowedHyperlink">
    <w:name w:val="FollowedHyperlink"/>
    <w:basedOn w:val="DefaultParagraphFont"/>
    <w:uiPriority w:val="99"/>
    <w:semiHidden/>
    <w:unhideWhenUsed/>
    <w:rsid w:val="00601D6C"/>
    <w:rPr>
      <w:color w:val="954F72" w:themeColor="followedHyperlink"/>
      <w:u w:val="single"/>
    </w:rPr>
  </w:style>
  <w:style w:type="paragraph" w:styleId="Header">
    <w:name w:val="header"/>
    <w:basedOn w:val="Normal"/>
    <w:link w:val="HeaderChar"/>
    <w:uiPriority w:val="99"/>
    <w:unhideWhenUsed/>
    <w:rsid w:val="00601D6C"/>
    <w:pPr>
      <w:tabs>
        <w:tab w:val="center" w:pos="4513"/>
        <w:tab w:val="right" w:pos="9026"/>
      </w:tabs>
    </w:pPr>
  </w:style>
  <w:style w:type="character" w:customStyle="1" w:styleId="HeaderChar">
    <w:name w:val="Header Char"/>
    <w:basedOn w:val="DefaultParagraphFont"/>
    <w:link w:val="Header"/>
    <w:uiPriority w:val="99"/>
    <w:rsid w:val="00601D6C"/>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01D6C"/>
    <w:pPr>
      <w:tabs>
        <w:tab w:val="center" w:pos="4513"/>
        <w:tab w:val="right" w:pos="9026"/>
      </w:tabs>
    </w:pPr>
  </w:style>
  <w:style w:type="character" w:customStyle="1" w:styleId="FooterChar">
    <w:name w:val="Footer Char"/>
    <w:basedOn w:val="DefaultParagraphFont"/>
    <w:link w:val="Footer"/>
    <w:uiPriority w:val="99"/>
    <w:rsid w:val="00601D6C"/>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5</Pages>
  <Words>3273</Words>
  <Characters>18660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ecSs6002 aSS1</dc:title>
  <dc:subject/>
  <dc:creator>Annie</dc:creator>
  <cp:keywords/>
  <dc:description/>
  <cp:lastModifiedBy>Annie</cp:lastModifiedBy>
  <cp:revision>1</cp:revision>
  <dcterms:created xsi:type="dcterms:W3CDTF">2018-12-05T23:50:00Z</dcterms:created>
  <dcterms:modified xsi:type="dcterms:W3CDTF">2018-12-06T00:05:00Z</dcterms:modified>
</cp:coreProperties>
</file>