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CC317" w14:textId="77777777" w:rsidR="008D75D1" w:rsidRPr="00211B37" w:rsidRDefault="008D75D1" w:rsidP="00F15B36">
      <w:pPr>
        <w:tabs>
          <w:tab w:val="left" w:pos="941"/>
        </w:tabs>
        <w:spacing w:line="360" w:lineRule="auto"/>
        <w:rPr>
          <w:rStyle w:val="eop"/>
          <w:rFonts w:ascii="Arial" w:hAnsi="Arial" w:cs="Arial"/>
          <w:b/>
          <w:bCs/>
          <w:sz w:val="32"/>
          <w:szCs w:val="32"/>
          <w:shd w:val="clear" w:color="auto" w:fill="FFFFFF"/>
        </w:rPr>
      </w:pPr>
    </w:p>
    <w:p w14:paraId="4DE6F12F" w14:textId="77777777" w:rsidR="008D75D1" w:rsidRPr="00211B37" w:rsidRDefault="008D75D1" w:rsidP="00F15B36">
      <w:pPr>
        <w:tabs>
          <w:tab w:val="left" w:pos="941"/>
        </w:tabs>
        <w:spacing w:line="360" w:lineRule="auto"/>
        <w:rPr>
          <w:rFonts w:ascii="Arial" w:eastAsia="Times New Roman" w:hAnsi="Arial" w:cs="Arial"/>
          <w:b/>
          <w:bCs/>
          <w:sz w:val="32"/>
          <w:szCs w:val="32"/>
        </w:rPr>
      </w:pPr>
    </w:p>
    <w:p w14:paraId="57677EB9" w14:textId="2FBF76A3" w:rsidR="29B14188" w:rsidRPr="00211B37" w:rsidRDefault="29B14188" w:rsidP="005416DB">
      <w:pPr>
        <w:tabs>
          <w:tab w:val="left" w:pos="941"/>
        </w:tabs>
        <w:spacing w:line="360" w:lineRule="auto"/>
        <w:jc w:val="center"/>
        <w:rPr>
          <w:rFonts w:ascii="Arial" w:eastAsia="Times New Roman" w:hAnsi="Arial" w:cs="Arial"/>
          <w:b/>
          <w:bCs/>
          <w:sz w:val="32"/>
          <w:szCs w:val="32"/>
        </w:rPr>
      </w:pPr>
      <w:r w:rsidRPr="00211B37">
        <w:rPr>
          <w:rFonts w:ascii="Arial" w:eastAsia="Times New Roman" w:hAnsi="Arial" w:cs="Arial"/>
          <w:b/>
          <w:bCs/>
          <w:sz w:val="32"/>
          <w:szCs w:val="32"/>
        </w:rPr>
        <w:t>How to engage employees throughout the employee lifecycle essay</w:t>
      </w:r>
    </w:p>
    <w:p w14:paraId="5F370788" w14:textId="77777777" w:rsidR="008D75D1" w:rsidRPr="00211B37" w:rsidRDefault="008D75D1" w:rsidP="005416DB">
      <w:pPr>
        <w:tabs>
          <w:tab w:val="left" w:pos="941"/>
        </w:tabs>
        <w:spacing w:line="360" w:lineRule="auto"/>
        <w:jc w:val="center"/>
        <w:rPr>
          <w:rFonts w:ascii="Arial" w:eastAsia="Times New Roman" w:hAnsi="Arial" w:cs="Arial"/>
          <w:b/>
          <w:bCs/>
          <w:sz w:val="32"/>
          <w:szCs w:val="32"/>
        </w:rPr>
      </w:pPr>
    </w:p>
    <w:p w14:paraId="5A2A77AD" w14:textId="542CE31D" w:rsidR="29B14188" w:rsidRDefault="29B14188" w:rsidP="005416DB">
      <w:pPr>
        <w:tabs>
          <w:tab w:val="left" w:pos="941"/>
        </w:tabs>
        <w:spacing w:line="360" w:lineRule="auto"/>
        <w:jc w:val="center"/>
        <w:rPr>
          <w:rFonts w:ascii="Arial" w:eastAsia="Times New Roman" w:hAnsi="Arial" w:cs="Arial"/>
          <w:b/>
          <w:bCs/>
          <w:sz w:val="32"/>
          <w:szCs w:val="32"/>
        </w:rPr>
      </w:pPr>
      <w:r w:rsidRPr="00211B37">
        <w:rPr>
          <w:rFonts w:ascii="Arial" w:eastAsia="Times New Roman" w:hAnsi="Arial" w:cs="Arial"/>
          <w:b/>
          <w:bCs/>
          <w:sz w:val="32"/>
          <w:szCs w:val="32"/>
        </w:rPr>
        <w:t>Student name</w:t>
      </w:r>
      <w:r w:rsidR="005709AE" w:rsidRPr="00211B37">
        <w:rPr>
          <w:rFonts w:ascii="Arial" w:eastAsia="Times New Roman" w:hAnsi="Arial" w:cs="Arial"/>
          <w:b/>
          <w:bCs/>
          <w:sz w:val="32"/>
          <w:szCs w:val="32"/>
        </w:rPr>
        <w:t>:</w:t>
      </w:r>
      <w:r w:rsidR="00214332">
        <w:rPr>
          <w:rFonts w:ascii="Arial" w:eastAsia="Times New Roman" w:hAnsi="Arial" w:cs="Arial"/>
          <w:b/>
          <w:bCs/>
          <w:sz w:val="32"/>
          <w:szCs w:val="32"/>
        </w:rPr>
        <w:t xml:space="preserve">  Daniel Ranga</w:t>
      </w:r>
    </w:p>
    <w:p w14:paraId="5911B67C" w14:textId="77777777" w:rsidR="00F15B36" w:rsidRDefault="00F15B36" w:rsidP="005416DB">
      <w:pPr>
        <w:tabs>
          <w:tab w:val="left" w:pos="941"/>
        </w:tabs>
        <w:spacing w:line="360" w:lineRule="auto"/>
        <w:jc w:val="center"/>
        <w:rPr>
          <w:rFonts w:ascii="Arial" w:eastAsia="Times New Roman" w:hAnsi="Arial" w:cs="Arial"/>
          <w:b/>
          <w:bCs/>
          <w:sz w:val="32"/>
          <w:szCs w:val="32"/>
        </w:rPr>
      </w:pPr>
    </w:p>
    <w:p w14:paraId="1A976E0B" w14:textId="2EB7971C" w:rsidR="00F15B36" w:rsidRPr="00211B37" w:rsidRDefault="00F15B36" w:rsidP="005416DB">
      <w:pPr>
        <w:tabs>
          <w:tab w:val="left" w:pos="941"/>
        </w:tabs>
        <w:spacing w:line="360" w:lineRule="auto"/>
        <w:jc w:val="center"/>
        <w:rPr>
          <w:rFonts w:ascii="Arial" w:eastAsia="Times New Roman" w:hAnsi="Arial" w:cs="Arial"/>
          <w:b/>
          <w:bCs/>
          <w:sz w:val="32"/>
          <w:szCs w:val="32"/>
        </w:rPr>
      </w:pPr>
      <w:r>
        <w:rPr>
          <w:rFonts w:ascii="Arial" w:eastAsia="Times New Roman" w:hAnsi="Arial" w:cs="Arial"/>
          <w:b/>
          <w:bCs/>
          <w:sz w:val="32"/>
          <w:szCs w:val="32"/>
        </w:rPr>
        <w:t>Student number:2118951</w:t>
      </w:r>
    </w:p>
    <w:p w14:paraId="018F01F3" w14:textId="77777777" w:rsidR="008D75D1" w:rsidRPr="00211B37" w:rsidRDefault="008D75D1" w:rsidP="005416DB">
      <w:pPr>
        <w:tabs>
          <w:tab w:val="left" w:pos="941"/>
        </w:tabs>
        <w:spacing w:line="360" w:lineRule="auto"/>
        <w:jc w:val="center"/>
        <w:rPr>
          <w:rFonts w:ascii="Arial" w:eastAsia="Times New Roman" w:hAnsi="Arial" w:cs="Arial"/>
          <w:b/>
          <w:bCs/>
          <w:sz w:val="32"/>
          <w:szCs w:val="32"/>
        </w:rPr>
      </w:pPr>
    </w:p>
    <w:p w14:paraId="258096B5" w14:textId="30A0C76C" w:rsidR="00214332" w:rsidRPr="00211B37" w:rsidRDefault="008D75D1" w:rsidP="00214332">
      <w:pPr>
        <w:tabs>
          <w:tab w:val="left" w:pos="941"/>
        </w:tabs>
        <w:spacing w:line="360" w:lineRule="auto"/>
        <w:jc w:val="center"/>
        <w:rPr>
          <w:rStyle w:val="normaltextrun"/>
          <w:rFonts w:ascii="Arial" w:hAnsi="Arial" w:cs="Arial"/>
          <w:b/>
          <w:bCs/>
          <w:sz w:val="32"/>
          <w:szCs w:val="32"/>
          <w:shd w:val="clear" w:color="auto" w:fill="FFFFFF"/>
        </w:rPr>
      </w:pPr>
      <w:r w:rsidRPr="00211B37">
        <w:rPr>
          <w:rFonts w:ascii="Arial" w:eastAsia="Times New Roman" w:hAnsi="Arial" w:cs="Arial"/>
          <w:b/>
          <w:bCs/>
          <w:sz w:val="32"/>
          <w:szCs w:val="32"/>
        </w:rPr>
        <w:t>M</w:t>
      </w:r>
      <w:r w:rsidR="29B14188" w:rsidRPr="00211B37">
        <w:rPr>
          <w:rFonts w:ascii="Arial" w:eastAsia="Times New Roman" w:hAnsi="Arial" w:cs="Arial"/>
          <w:b/>
          <w:bCs/>
          <w:sz w:val="32"/>
          <w:szCs w:val="32"/>
        </w:rPr>
        <w:t>odule title</w:t>
      </w:r>
      <w:r w:rsidR="005709AE" w:rsidRPr="00211B37">
        <w:rPr>
          <w:rFonts w:ascii="Arial" w:eastAsia="Times New Roman" w:hAnsi="Arial" w:cs="Arial"/>
          <w:b/>
          <w:bCs/>
          <w:sz w:val="32"/>
          <w:szCs w:val="32"/>
        </w:rPr>
        <w:t>:</w:t>
      </w:r>
      <w:r w:rsidR="00214332" w:rsidRPr="00214332">
        <w:rPr>
          <w:rStyle w:val="normaltextrun"/>
          <w:rFonts w:ascii="Arial" w:hAnsi="Arial" w:cs="Arial"/>
          <w:b/>
          <w:bCs/>
          <w:sz w:val="32"/>
          <w:szCs w:val="32"/>
          <w:shd w:val="clear" w:color="auto" w:fill="FFFFFF"/>
        </w:rPr>
        <w:t xml:space="preserve"> </w:t>
      </w:r>
      <w:r w:rsidR="00214332" w:rsidRPr="00211B37">
        <w:rPr>
          <w:rStyle w:val="normaltextrun"/>
          <w:rFonts w:ascii="Arial" w:hAnsi="Arial" w:cs="Arial"/>
          <w:b/>
          <w:bCs/>
          <w:sz w:val="32"/>
          <w:szCs w:val="32"/>
          <w:shd w:val="clear" w:color="auto" w:fill="FFFFFF"/>
        </w:rPr>
        <w:t>Personnel Resourcing and Development</w:t>
      </w:r>
    </w:p>
    <w:p w14:paraId="3B8BA22B" w14:textId="51226C47" w:rsidR="29B14188" w:rsidRPr="00211B37" w:rsidRDefault="29B14188" w:rsidP="005416DB">
      <w:pPr>
        <w:spacing w:line="360" w:lineRule="auto"/>
        <w:jc w:val="center"/>
        <w:rPr>
          <w:rFonts w:ascii="Arial" w:eastAsia="Times New Roman" w:hAnsi="Arial" w:cs="Arial"/>
          <w:b/>
          <w:bCs/>
          <w:sz w:val="32"/>
          <w:szCs w:val="32"/>
        </w:rPr>
      </w:pPr>
    </w:p>
    <w:p w14:paraId="647D24E8" w14:textId="77777777" w:rsidR="008D75D1" w:rsidRPr="00211B37" w:rsidRDefault="008D75D1" w:rsidP="005416DB">
      <w:pPr>
        <w:spacing w:line="360" w:lineRule="auto"/>
        <w:jc w:val="center"/>
        <w:rPr>
          <w:rFonts w:ascii="Arial" w:eastAsia="Times New Roman" w:hAnsi="Arial" w:cs="Arial"/>
          <w:b/>
          <w:bCs/>
          <w:sz w:val="32"/>
          <w:szCs w:val="32"/>
        </w:rPr>
      </w:pPr>
    </w:p>
    <w:p w14:paraId="198D02F4" w14:textId="7716D5D9" w:rsidR="00214332" w:rsidRPr="00211B37" w:rsidRDefault="008D75D1" w:rsidP="00214332">
      <w:pPr>
        <w:tabs>
          <w:tab w:val="left" w:pos="941"/>
        </w:tabs>
        <w:spacing w:line="360" w:lineRule="auto"/>
        <w:jc w:val="center"/>
        <w:rPr>
          <w:rFonts w:ascii="Arial" w:eastAsia="Times New Roman" w:hAnsi="Arial" w:cs="Arial"/>
          <w:b/>
          <w:bCs/>
          <w:sz w:val="32"/>
          <w:szCs w:val="32"/>
        </w:rPr>
      </w:pPr>
      <w:r w:rsidRPr="00211B37">
        <w:rPr>
          <w:rFonts w:ascii="Arial" w:eastAsia="Times New Roman" w:hAnsi="Arial" w:cs="Arial"/>
          <w:b/>
          <w:bCs/>
          <w:sz w:val="32"/>
          <w:szCs w:val="32"/>
        </w:rPr>
        <w:t>M</w:t>
      </w:r>
      <w:r w:rsidR="29B14188" w:rsidRPr="00211B37">
        <w:rPr>
          <w:rFonts w:ascii="Arial" w:eastAsia="Times New Roman" w:hAnsi="Arial" w:cs="Arial"/>
          <w:b/>
          <w:bCs/>
          <w:sz w:val="32"/>
          <w:szCs w:val="32"/>
        </w:rPr>
        <w:t>odule code</w:t>
      </w:r>
      <w:r w:rsidR="005709AE" w:rsidRPr="00211B37">
        <w:rPr>
          <w:rFonts w:ascii="Arial" w:eastAsia="Times New Roman" w:hAnsi="Arial" w:cs="Arial"/>
          <w:b/>
          <w:bCs/>
          <w:sz w:val="32"/>
          <w:szCs w:val="32"/>
        </w:rPr>
        <w:t>:</w:t>
      </w:r>
      <w:r w:rsidR="00214332" w:rsidRPr="00214332">
        <w:rPr>
          <w:rFonts w:ascii="Arial" w:eastAsia="Times New Roman" w:hAnsi="Arial" w:cs="Arial"/>
          <w:b/>
          <w:bCs/>
          <w:sz w:val="32"/>
          <w:szCs w:val="32"/>
        </w:rPr>
        <w:t xml:space="preserve"> </w:t>
      </w:r>
      <w:r w:rsidR="00214332" w:rsidRPr="00BA481E">
        <w:rPr>
          <w:rFonts w:ascii="Arial" w:eastAsia="Times New Roman" w:hAnsi="Arial" w:cs="Arial"/>
          <w:b/>
          <w:bCs/>
          <w:sz w:val="32"/>
          <w:szCs w:val="32"/>
        </w:rPr>
        <w:t>BMIH5005</w:t>
      </w:r>
    </w:p>
    <w:p w14:paraId="69955C1F" w14:textId="51B71113" w:rsidR="29B14188" w:rsidRPr="00211B37" w:rsidRDefault="29B14188" w:rsidP="005416DB">
      <w:pPr>
        <w:spacing w:line="360" w:lineRule="auto"/>
        <w:jc w:val="center"/>
        <w:rPr>
          <w:rFonts w:ascii="Arial" w:eastAsia="Times New Roman" w:hAnsi="Arial" w:cs="Arial"/>
          <w:b/>
          <w:bCs/>
          <w:sz w:val="32"/>
          <w:szCs w:val="32"/>
        </w:rPr>
      </w:pPr>
    </w:p>
    <w:p w14:paraId="34D4C7D8" w14:textId="77777777" w:rsidR="008D75D1" w:rsidRPr="00211B37" w:rsidRDefault="008D75D1" w:rsidP="005416DB">
      <w:pPr>
        <w:spacing w:line="360" w:lineRule="auto"/>
        <w:jc w:val="center"/>
        <w:rPr>
          <w:rFonts w:ascii="Arial" w:eastAsia="Times New Roman" w:hAnsi="Arial" w:cs="Arial"/>
          <w:b/>
          <w:bCs/>
          <w:sz w:val="32"/>
          <w:szCs w:val="32"/>
        </w:rPr>
      </w:pPr>
    </w:p>
    <w:p w14:paraId="7622DFD5" w14:textId="10A0CB67" w:rsidR="005709AE" w:rsidRPr="00211B37" w:rsidRDefault="29B14188" w:rsidP="005416DB">
      <w:pPr>
        <w:spacing w:line="360" w:lineRule="auto"/>
        <w:jc w:val="center"/>
        <w:rPr>
          <w:rFonts w:ascii="Arial" w:eastAsia="Times New Roman" w:hAnsi="Arial" w:cs="Arial"/>
          <w:b/>
          <w:bCs/>
          <w:sz w:val="32"/>
          <w:szCs w:val="32"/>
        </w:rPr>
      </w:pPr>
      <w:r w:rsidRPr="00211B37">
        <w:rPr>
          <w:rFonts w:ascii="Arial" w:eastAsia="Times New Roman" w:hAnsi="Arial" w:cs="Arial"/>
          <w:b/>
          <w:bCs/>
          <w:sz w:val="32"/>
          <w:szCs w:val="32"/>
        </w:rPr>
        <w:t>Lecture name</w:t>
      </w:r>
      <w:r w:rsidR="005709AE" w:rsidRPr="00211B37">
        <w:rPr>
          <w:rFonts w:ascii="Arial" w:eastAsia="Times New Roman" w:hAnsi="Arial" w:cs="Arial"/>
          <w:b/>
          <w:bCs/>
          <w:sz w:val="32"/>
          <w:szCs w:val="32"/>
        </w:rPr>
        <w:t>:</w:t>
      </w:r>
      <w:r w:rsidR="00214332">
        <w:rPr>
          <w:rFonts w:ascii="Arial" w:eastAsia="Times New Roman" w:hAnsi="Arial" w:cs="Arial"/>
          <w:b/>
          <w:bCs/>
          <w:sz w:val="32"/>
          <w:szCs w:val="32"/>
        </w:rPr>
        <w:t xml:space="preserve"> Kathryn Roberts</w:t>
      </w:r>
    </w:p>
    <w:p w14:paraId="7544132A" w14:textId="77777777" w:rsidR="005709AE" w:rsidRPr="00211B37" w:rsidRDefault="005709AE" w:rsidP="005416DB">
      <w:pPr>
        <w:spacing w:line="360" w:lineRule="auto"/>
        <w:jc w:val="center"/>
        <w:rPr>
          <w:rFonts w:ascii="Arial" w:eastAsia="Times New Roman" w:hAnsi="Arial" w:cs="Arial"/>
          <w:sz w:val="32"/>
          <w:szCs w:val="32"/>
        </w:rPr>
      </w:pPr>
      <w:r w:rsidRPr="00211B37">
        <w:rPr>
          <w:rFonts w:ascii="Arial" w:eastAsia="Times New Roman" w:hAnsi="Arial" w:cs="Arial"/>
          <w:sz w:val="32"/>
          <w:szCs w:val="32"/>
        </w:rPr>
        <w:br w:type="page"/>
      </w:r>
    </w:p>
    <w:p w14:paraId="7E18F452" w14:textId="68EBAB01" w:rsidR="29B14188" w:rsidRPr="005416DB" w:rsidRDefault="29B14188" w:rsidP="005416DB">
      <w:pPr>
        <w:spacing w:line="360" w:lineRule="auto"/>
        <w:rPr>
          <w:rFonts w:ascii="Arial" w:eastAsia="Times New Roman" w:hAnsi="Arial" w:cs="Arial"/>
          <w:sz w:val="24"/>
          <w:szCs w:val="24"/>
        </w:rPr>
      </w:pPr>
      <w:r w:rsidRPr="005416DB">
        <w:rPr>
          <w:rFonts w:ascii="Arial" w:eastAsia="Times New Roman" w:hAnsi="Arial" w:cs="Arial"/>
          <w:sz w:val="24"/>
          <w:szCs w:val="24"/>
        </w:rPr>
        <w:lastRenderedPageBreak/>
        <w:t xml:space="preserve">According to a study by the Society for Human Resource Management, engaging employees throughout their entire employment lifecycle is crucial for the success of an organization (SHRM, 2018). Employee engagement refers to the emotional, cognitive, and behavioral connection that an employee has to their workplace (Macey, 2008). It is a measure of how invested and committed an employee is to their job and the organization they work for. The human resource department in a large hotel plays a vital role in ensuring employee engagement, as it is responsible for creating and implementing effective strategies to keep employees motivated and satisfied. Research has shown that employee engagement has a positive impact on job satisfaction, employee retention, and overall productivity (Brown, 2021). To effectively engage employees, the HR department must understand the needs and expectations of employees at </w:t>
      </w:r>
      <w:bookmarkStart w:id="0" w:name="_Int_Ri1Vhx71"/>
      <w:r w:rsidRPr="005416DB">
        <w:rPr>
          <w:rFonts w:ascii="Arial" w:eastAsia="Times New Roman" w:hAnsi="Arial" w:cs="Arial"/>
          <w:sz w:val="24"/>
          <w:szCs w:val="24"/>
        </w:rPr>
        <w:t>different stages</w:t>
      </w:r>
      <w:bookmarkEnd w:id="0"/>
      <w:r w:rsidRPr="005416DB">
        <w:rPr>
          <w:rFonts w:ascii="Arial" w:eastAsia="Times New Roman" w:hAnsi="Arial" w:cs="Arial"/>
          <w:sz w:val="24"/>
          <w:szCs w:val="24"/>
        </w:rPr>
        <w:t xml:space="preserve"> of their employment and involve management and other departments in the engagement process.</w:t>
      </w:r>
    </w:p>
    <w:p w14:paraId="5CFA85C8" w14:textId="7F7DC2BC" w:rsidR="29B14188" w:rsidRPr="005416DB" w:rsidRDefault="29B14188" w:rsidP="005416DB">
      <w:pPr>
        <w:spacing w:line="360" w:lineRule="auto"/>
        <w:rPr>
          <w:rFonts w:ascii="Arial" w:hAnsi="Arial" w:cs="Arial"/>
          <w:sz w:val="24"/>
          <w:szCs w:val="24"/>
        </w:rPr>
      </w:pPr>
      <w:r w:rsidRPr="005416DB">
        <w:rPr>
          <w:rFonts w:ascii="Arial" w:eastAsia="Times New Roman" w:hAnsi="Arial" w:cs="Arial"/>
          <w:sz w:val="24"/>
          <w:szCs w:val="24"/>
        </w:rPr>
        <w:t xml:space="preserve">   The human resource department plays a crucial role in engaging employees throughout the employee lifecycle within a large hotel (Florkowski, 1996). HR must employ several strategies and tactics to ensure that employees are motivated, satisfied, and engaged at every stage of their employment. First, HR must understand the needs and expectations of employees at each stage of the employee lifecycle. This requires regular communication and feedback, as well as an understanding of the challenges and opportunities facing employees at different points in their careers. Second, HR must create and maintain a supportive work environment that fosters employee engagement (Anitha, 2014). This may include providing opportunities for professional development and growth, promoting work-life balance, and offering recognition and rewards for employees who perform well. Third, HR must involve other departments and management in the employee engagement process. This can help to ensure that the needs of employees are being addressed at every level of the organization, and that everyone is working together to create a positive work environment. The goal of the HR department in a large hotel is to create a positive work environment that fosters employee satisfaction and engagement, leading to increased employee retention and improved business performance.</w:t>
      </w:r>
    </w:p>
    <w:p w14:paraId="688EF390" w14:textId="68C13509" w:rsidR="29B14188" w:rsidRPr="005416DB" w:rsidRDefault="29B14188" w:rsidP="005416DB">
      <w:pPr>
        <w:spacing w:line="360" w:lineRule="auto"/>
        <w:rPr>
          <w:rFonts w:ascii="Arial" w:hAnsi="Arial" w:cs="Arial"/>
          <w:sz w:val="24"/>
          <w:szCs w:val="24"/>
        </w:rPr>
      </w:pPr>
      <w:r w:rsidRPr="005416DB">
        <w:rPr>
          <w:rFonts w:ascii="Arial" w:eastAsia="Times New Roman" w:hAnsi="Arial" w:cs="Arial"/>
          <w:sz w:val="24"/>
          <w:szCs w:val="24"/>
        </w:rPr>
        <w:lastRenderedPageBreak/>
        <w:t xml:space="preserve">     Employee engagement is not only important for the happiness and satisfaction of employees, but it also has numerous advantages for the hotel. To engage employees, HR must create a supportive work environment that fosters communication, collaboration, and growth. This may include providing regular training and development opportunities, promoting work-life balance, and recognizing and rewarding employee achievements. HR can also encourage employee engagement by involving employees in decision-making processes and providing opportunities for employees to take on new challenges and responsibilities (Liontos, 1993). The advantages of engaging employees are numerous. According to Patro, (2019), Engaged employees are more likely to be productive, creative, and motivated, leading to improved job satisfaction and employee retention. An engaged workforce can also lead to improved customer satisfaction and increased revenue for the hotel, as engaged employees are more likely to provide high-quality service to guests (Serrano, 2011). Additionally, engaged employees are more likely to be loyal to the hotel and less likely to seek employment elsewhere, saving the hotel time and resources on recruitment and training. Engaged employees can also help to create a positive organizational culture and increase morale among staff, leading to improved teamwork and collaboration. The human resource department in a large hotel must employ a variety of strategies to engage employees throughout the employee lifecycle. By investing in employee engagement, the hotel can reap numerous benefits, including increased productivity, improved employee satisfaction and retention, and improved business performance.</w:t>
      </w:r>
    </w:p>
    <w:p w14:paraId="7ABB211E" w14:textId="76E90534" w:rsidR="29B14188" w:rsidRPr="005416DB" w:rsidRDefault="29B14188" w:rsidP="005416DB">
      <w:pPr>
        <w:spacing w:line="360" w:lineRule="auto"/>
        <w:rPr>
          <w:rFonts w:ascii="Arial" w:hAnsi="Arial" w:cs="Arial"/>
          <w:sz w:val="24"/>
          <w:szCs w:val="24"/>
        </w:rPr>
      </w:pPr>
      <w:r w:rsidRPr="005416DB">
        <w:rPr>
          <w:rFonts w:ascii="Arial" w:eastAsia="Times New Roman" w:hAnsi="Arial" w:cs="Arial"/>
          <w:sz w:val="24"/>
          <w:szCs w:val="24"/>
        </w:rPr>
        <w:t xml:space="preserve">      The human resource department in a large hotel plays a crucial role in engaging employees throughout the employee lifecycle, which encompasses the stages of attraction, recruitment, onboarding, development, retention, and separation (Parmar, 2014). To attract employees, the HR department must create and promote a positive image of the hotel as a great place to work. This can include sharing information about the hotel's culture, values, and benefits, as well as reaching out to potential candidates through job fairs, social media, and other channels. The recruitment process should be designed to identify and attract the best candidates for the hotel. The HR department can achieve this by developing job descriptions that accurately reflect the responsibilities and qualifications required for each role, and by conducting </w:t>
      </w:r>
      <w:r w:rsidRPr="005416DB">
        <w:rPr>
          <w:rFonts w:ascii="Arial" w:eastAsia="Times New Roman" w:hAnsi="Arial" w:cs="Arial"/>
          <w:sz w:val="24"/>
          <w:szCs w:val="24"/>
        </w:rPr>
        <w:lastRenderedPageBreak/>
        <w:t xml:space="preserve">comprehensive background checks and assessments to ensure that the best candidates are selected for each position. According to Graybill (2013), the onboarding process is a critical part of engaging new employees, as it sets the tone for their future employment with the hotel. The HR department can ensure that new employees are properly onboarded by providing them with a comprehensive orientation program that covers the hotel's policies, procedures, and culture. Development is a key part of engaging employees throughout their employment lifecycle (O'Bryan, 2017). The HR department can support employee development by offering training and development opportunities, encouraging employee feedback, and promoting a culture of continuous learning. Retention is a major concern for the HR department in a large hotel, as retaining high-performing employees can be challenging. To retain employees, the HR department can provide a supportive work environment that includes opportunities for growth and development, flexible work arrangements, and recognition and rewards for exceptional performance (Ernst </w:t>
      </w:r>
      <w:proofErr w:type="spellStart"/>
      <w:r w:rsidRPr="005416DB">
        <w:rPr>
          <w:rFonts w:ascii="Arial" w:eastAsia="Times New Roman" w:hAnsi="Arial" w:cs="Arial"/>
          <w:sz w:val="24"/>
          <w:szCs w:val="24"/>
        </w:rPr>
        <w:t>Kossek</w:t>
      </w:r>
      <w:proofErr w:type="spellEnd"/>
      <w:r w:rsidRPr="005416DB">
        <w:rPr>
          <w:rFonts w:ascii="Arial" w:eastAsia="Times New Roman" w:hAnsi="Arial" w:cs="Arial"/>
          <w:sz w:val="24"/>
          <w:szCs w:val="24"/>
        </w:rPr>
        <w:t>, 2012). Finally, the HR department must be prepared to handle the separation process in a professional and compassionate manner. This can include providing support and guidance to employees during their transition, and conducting exit interviews to gather feedback and insights that can help the hotel to improve its processes and support for employees.</w:t>
      </w:r>
    </w:p>
    <w:p w14:paraId="5BD48760" w14:textId="4B723A50" w:rsidR="29B14188" w:rsidRPr="005416DB" w:rsidRDefault="29B14188" w:rsidP="005416DB">
      <w:pPr>
        <w:spacing w:line="360" w:lineRule="auto"/>
        <w:rPr>
          <w:rFonts w:ascii="Arial" w:eastAsia="Times New Roman" w:hAnsi="Arial" w:cs="Arial"/>
          <w:sz w:val="24"/>
          <w:szCs w:val="24"/>
        </w:rPr>
      </w:pPr>
      <w:r w:rsidRPr="005416DB">
        <w:rPr>
          <w:rFonts w:ascii="Arial" w:eastAsia="Times New Roman" w:hAnsi="Arial" w:cs="Arial"/>
          <w:sz w:val="24"/>
          <w:szCs w:val="24"/>
        </w:rPr>
        <w:t xml:space="preserve">   The human resource department in a large hotel plays a critical role in engaging employees throughout the employee lifecycle. There are several strategies that the HR department can employ to engage employees and create a positive and supportive work environment. One effective way to engage employees is through regular communication and feedback (Leavitt, 1951). The HR department can hold regular team meetings, one-on-one sessions, and performance evaluations to provide employees with opportunities to share their thoughts and concerns, and to receive feedback on their performance. Another way to engage employees is by providing opportunities for growth and development. The HR department can offer training and development programs, mentorship opportunities, and career advancement paths to help employees reach their full potential. According to Scott and stark, (2010), Incentives and recognition programs can also be effective in engaging employees. The HR department can create programs that reward employees for their performance, such as bonuses, </w:t>
      </w:r>
      <w:r w:rsidRPr="005416DB">
        <w:rPr>
          <w:rFonts w:ascii="Arial" w:eastAsia="Times New Roman" w:hAnsi="Arial" w:cs="Arial"/>
          <w:sz w:val="24"/>
          <w:szCs w:val="24"/>
        </w:rPr>
        <w:lastRenderedPageBreak/>
        <w:t>promotions, and special recognition events. Fostering a positive work environment is also essential to engaging employees. The HR department can encourage a culture of teamwork, respect, and inclusivity by promoting open communication, fostering collaboration, and addressing any issues or conflicts that arise in a timely and fair manner. Providing flexible work arrangements, such as telecommuting, flexible schedules, and paid time off, can also be effective in engaging employees (Allen, 2009). These arrangements can help employees balance their work and personal lives and feel more fulfilled and supported in their roles.</w:t>
      </w:r>
    </w:p>
    <w:p w14:paraId="7ABD59BB" w14:textId="12466D43" w:rsidR="29B14188" w:rsidRPr="005416DB" w:rsidRDefault="29B14188" w:rsidP="005416DB">
      <w:pPr>
        <w:spacing w:line="360" w:lineRule="auto"/>
        <w:rPr>
          <w:rFonts w:ascii="Arial" w:eastAsia="Times New Roman" w:hAnsi="Arial" w:cs="Arial"/>
          <w:sz w:val="24"/>
          <w:szCs w:val="24"/>
        </w:rPr>
      </w:pPr>
      <w:r w:rsidRPr="005416DB">
        <w:rPr>
          <w:rFonts w:ascii="Arial" w:eastAsia="Times New Roman" w:hAnsi="Arial" w:cs="Arial"/>
          <w:sz w:val="24"/>
          <w:szCs w:val="24"/>
        </w:rPr>
        <w:t xml:space="preserve">              The role of the human resource department in a large hotel is crucial in ensuring employee engagement throughout the entire employee lifecycle. According to Padhi, (2015), Implementing an effective employee engagement model can help create a supportive and productive work environment, leading to higher levels of engagement, retention, and overall success for the hotel. The Gallup Q12 model is a widely recognized employee engagement model that focuses on twelve elements including career advancement opportunities, supervisory support, recognition and rewards, growth and development opportunities, positive work environment, good relationships with coworkers, open communication from management, supportive leadership, fair treatment, responsibility and autonomy, and a sense of purpose in work (Fredrickson, 2000). To implement this model, the HR department can conduct regular employee engagement surveys and assessments, using the results to identify areas for improvement and prioritize initiatives that will enhance employee engagement. For example, if the results show that employees are seeking more growth and development opportunities, the HR department can implement training and development programs, mentorship opportunities, and career advancement paths to help employees reach their full potential. Additionally, if the results show that employees are seeking more recognition and rewards, the HR department can create programs that reward employees for their performance such as bonuses, promotions, and special recognition events. The HR department can also work with managers and supervisors to promote a positive work environment, encourage open communication, foster collaboration, and address any issues or conflicts that arise in a timely and fair manner. An effective employee engagement model provides a framework for the HR department in a large </w:t>
      </w:r>
      <w:r w:rsidRPr="005416DB">
        <w:rPr>
          <w:rFonts w:ascii="Arial" w:eastAsia="Times New Roman" w:hAnsi="Arial" w:cs="Arial"/>
          <w:sz w:val="24"/>
          <w:szCs w:val="24"/>
        </w:rPr>
        <w:lastRenderedPageBreak/>
        <w:t>hotel to engage employees throughout the entire employee lifecycle. By regularly assessing and addressing the needs of employees, the HR department can create a supportive and productive work environment, leading to higher levels of engagement, retention, and overall success for the hotel.</w:t>
      </w:r>
    </w:p>
    <w:p w14:paraId="46983E20" w14:textId="4E5962CD" w:rsidR="29B14188" w:rsidRPr="005416DB" w:rsidRDefault="29B14188" w:rsidP="005416DB">
      <w:pPr>
        <w:spacing w:line="360" w:lineRule="auto"/>
        <w:rPr>
          <w:rFonts w:ascii="Arial" w:hAnsi="Arial" w:cs="Arial"/>
          <w:sz w:val="24"/>
          <w:szCs w:val="24"/>
        </w:rPr>
      </w:pPr>
      <w:r w:rsidRPr="005416DB">
        <w:rPr>
          <w:rFonts w:ascii="Arial" w:eastAsia="Times New Roman" w:hAnsi="Arial" w:cs="Arial"/>
          <w:sz w:val="24"/>
          <w:szCs w:val="24"/>
        </w:rPr>
        <w:t xml:space="preserve">        The human resource department in a large hotel plays a crucial role in ensuring employee engagement throughout the entire employee lifecycle. Engaging employees has been shown to lead to improved job satisfaction, increased productivity, and reduced turnover, making it essential for the success of the hotel. To engage employees, the HR department must employ various strategies and tactics that are tailored to meet the unique needs and expectations of their employees. One example of effective employee engagement practices in the hotel industry can be seen at the Ritz Carlton, where they focus on creating a culture of caring and empathy, making their employees feel valued and appreciated. They provide a range of benefits, such as flexible schedules, career advancement opportunities, and employee recognition programs, which help employees feel valued and connected to the organization. Additionally, the Ritz Carlton places a strong emphasis on employee training and development, providing ongoing opportunities for growth and development that help employees stay engaged and motivated. Another example is the Four Seasons Hotels and Resorts, which has implemented a comprehensive employee engagement program that covers all aspects of the employee lifecycle. The program includes initiatives such as a robust onboarding process, performance management, employee recognition, and leadership development programs, as well as employee wellness programs that help employees maintain a healthy work-life balance (Moore, 2007). These efforts have helped Four Seasons achieve high levels of employee engagement and loyalty, leading to lower turnover rates and higher levels of customer satisfaction. The HR department in a large hotel must employ various strategies and tactics that are tailored to meet the unique needs and expectations of their employees. By adopting best practices from the industry, such as those implemented by the Ritz Carlton and Four Seasons Hotels and Resorts, the HR department can create a supportive and productive work environment that engages employees throughout the entire employee lifecycle (Albrecht, 2015).</w:t>
      </w:r>
    </w:p>
    <w:p w14:paraId="608F7AF8" w14:textId="11B5C790" w:rsidR="29B14188" w:rsidRPr="005416DB" w:rsidRDefault="29B14188" w:rsidP="005416DB">
      <w:pPr>
        <w:spacing w:line="360" w:lineRule="auto"/>
        <w:rPr>
          <w:rFonts w:ascii="Arial" w:hAnsi="Arial" w:cs="Arial"/>
          <w:sz w:val="24"/>
          <w:szCs w:val="24"/>
        </w:rPr>
      </w:pPr>
      <w:r w:rsidRPr="005416DB">
        <w:rPr>
          <w:rFonts w:ascii="Arial" w:eastAsia="Times New Roman" w:hAnsi="Arial" w:cs="Arial"/>
          <w:sz w:val="24"/>
          <w:szCs w:val="24"/>
        </w:rPr>
        <w:lastRenderedPageBreak/>
        <w:t xml:space="preserve">         In conclusion, the human resource department plays a crucial role in ensuring employee engagement throughout the employee lifecycle in a large hotel. Engaging employees has numerous benefits for the organization, including increased job satisfaction, increased productivity, and reduced turnover. To engage employees, the HR department must employ various strategies and tactics that are tailored to meet the unique needs and expectations of their employees. Examples from the hotel industry, such as the Ritz Carlton and Four Seasons Hotels and Resorts, highlight the importance of creating a culture of caring and empathy, providing opportunities for growth and development, and offering employee recognition and wellness programs. These efforts can help employees feel valued and connected to the organization, leading to increased engagement and loyalty. The HR department must also have a comprehensive employee engagement model in place that covers all aspects of the employee lifecycle, including attraction, recruitment, onboarding, development, retention, and separation. By implementing best practices from the industry and regularly monitoring and evaluating the effectiveness of their engagement efforts, the HR department can ensure that employees are engaged and motivated throughout their time with the organization.</w:t>
      </w:r>
    </w:p>
    <w:p w14:paraId="011E29C8" w14:textId="77777777" w:rsidR="00AB468E" w:rsidRDefault="00AB468E">
      <w:pPr>
        <w:rPr>
          <w:rFonts w:ascii="Arial" w:eastAsia="Times New Roman" w:hAnsi="Arial" w:cs="Arial"/>
          <w:b/>
          <w:bCs/>
          <w:sz w:val="24"/>
          <w:szCs w:val="24"/>
        </w:rPr>
      </w:pPr>
      <w:r>
        <w:rPr>
          <w:rFonts w:ascii="Arial" w:eastAsia="Times New Roman" w:hAnsi="Arial" w:cs="Arial"/>
          <w:b/>
          <w:bCs/>
          <w:sz w:val="24"/>
          <w:szCs w:val="24"/>
        </w:rPr>
        <w:br w:type="page"/>
      </w:r>
    </w:p>
    <w:p w14:paraId="4CB73D4D" w14:textId="67F019E4" w:rsidR="29B14188" w:rsidRPr="00AB468E" w:rsidRDefault="29B14188" w:rsidP="005416DB">
      <w:pPr>
        <w:spacing w:line="360" w:lineRule="auto"/>
        <w:rPr>
          <w:rFonts w:ascii="Arial" w:eastAsia="Times New Roman" w:hAnsi="Arial" w:cs="Arial"/>
          <w:b/>
          <w:bCs/>
          <w:sz w:val="24"/>
          <w:szCs w:val="24"/>
        </w:rPr>
      </w:pPr>
      <w:r w:rsidRPr="00AB468E">
        <w:rPr>
          <w:rFonts w:ascii="Arial" w:eastAsia="Times New Roman" w:hAnsi="Arial" w:cs="Arial"/>
          <w:b/>
          <w:bCs/>
          <w:sz w:val="24"/>
          <w:szCs w:val="24"/>
        </w:rPr>
        <w:lastRenderedPageBreak/>
        <w:t>Reference</w:t>
      </w:r>
      <w:r w:rsidR="00AB468E" w:rsidRPr="00AB468E">
        <w:rPr>
          <w:rFonts w:ascii="Arial" w:eastAsia="Times New Roman" w:hAnsi="Arial" w:cs="Arial"/>
          <w:b/>
          <w:bCs/>
          <w:sz w:val="24"/>
          <w:szCs w:val="24"/>
        </w:rPr>
        <w:t>s</w:t>
      </w:r>
    </w:p>
    <w:p w14:paraId="35B269BD" w14:textId="4C40D061"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Florkowski, G.W., 2021. HR technology goal realization: predictors and consequences. </w:t>
      </w:r>
      <w:r w:rsidRPr="00AB468E">
        <w:rPr>
          <w:rFonts w:ascii="Arial" w:eastAsia="Times New Roman" w:hAnsi="Arial" w:cs="Arial"/>
          <w:i/>
          <w:iCs/>
          <w:sz w:val="24"/>
          <w:szCs w:val="24"/>
        </w:rPr>
        <w:t>Personnel Review</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50</w:t>
      </w:r>
      <w:r w:rsidRPr="00AB468E">
        <w:rPr>
          <w:rFonts w:ascii="Arial" w:eastAsia="Times New Roman" w:hAnsi="Arial" w:cs="Arial"/>
          <w:sz w:val="24"/>
          <w:szCs w:val="24"/>
        </w:rPr>
        <w:t>(5), pp.1372-1396.</w:t>
      </w:r>
    </w:p>
    <w:p w14:paraId="7594DE03" w14:textId="2A46355B"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Anitha, J., 2014. Determinants of employee engagement and their impact on employee performance. </w:t>
      </w:r>
      <w:r w:rsidRPr="00AB468E">
        <w:rPr>
          <w:rFonts w:ascii="Arial" w:eastAsia="Times New Roman" w:hAnsi="Arial" w:cs="Arial"/>
          <w:i/>
          <w:iCs/>
          <w:sz w:val="24"/>
          <w:szCs w:val="24"/>
        </w:rPr>
        <w:t>International journal of productivity and performance management</w:t>
      </w:r>
      <w:r w:rsidRPr="00AB468E">
        <w:rPr>
          <w:rFonts w:ascii="Arial" w:eastAsia="Times New Roman" w:hAnsi="Arial" w:cs="Arial"/>
          <w:sz w:val="24"/>
          <w:szCs w:val="24"/>
        </w:rPr>
        <w:t>.</w:t>
      </w:r>
    </w:p>
    <w:p w14:paraId="40B7F10E" w14:textId="40E60E4C" w:rsidR="29B14188" w:rsidRPr="00AB468E" w:rsidRDefault="29B14188" w:rsidP="00AB468E">
      <w:pPr>
        <w:pStyle w:val="ListParagraph"/>
        <w:numPr>
          <w:ilvl w:val="0"/>
          <w:numId w:val="2"/>
        </w:numPr>
        <w:spacing w:line="360" w:lineRule="auto"/>
        <w:rPr>
          <w:rFonts w:ascii="Arial" w:eastAsia="Times New Roman" w:hAnsi="Arial" w:cs="Arial"/>
          <w:sz w:val="24"/>
          <w:szCs w:val="24"/>
        </w:rPr>
      </w:pPr>
      <w:r w:rsidRPr="00AB468E">
        <w:rPr>
          <w:rFonts w:ascii="Arial" w:eastAsia="Times New Roman" w:hAnsi="Arial" w:cs="Arial"/>
          <w:sz w:val="24"/>
          <w:szCs w:val="24"/>
        </w:rPr>
        <w:t xml:space="preserve">Liontos, L.B., 1993. Shared Decision-Making. </w:t>
      </w:r>
      <w:r w:rsidRPr="00AB468E">
        <w:rPr>
          <w:rFonts w:ascii="Arial" w:eastAsia="Times New Roman" w:hAnsi="Arial" w:cs="Arial"/>
          <w:i/>
          <w:iCs/>
          <w:sz w:val="24"/>
          <w:szCs w:val="24"/>
        </w:rPr>
        <w:t>OSSC Bulletin</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37</w:t>
      </w:r>
      <w:r w:rsidRPr="00AB468E">
        <w:rPr>
          <w:rFonts w:ascii="Arial" w:eastAsia="Times New Roman" w:hAnsi="Arial" w:cs="Arial"/>
          <w:sz w:val="24"/>
          <w:szCs w:val="24"/>
        </w:rPr>
        <w:t>(2), p.n2.</w:t>
      </w:r>
    </w:p>
    <w:p w14:paraId="4E40C49B" w14:textId="0B7E8AE1" w:rsidR="29B14188" w:rsidRPr="00AB468E" w:rsidRDefault="29B14188" w:rsidP="00AB468E">
      <w:pPr>
        <w:pStyle w:val="ListParagraph"/>
        <w:numPr>
          <w:ilvl w:val="0"/>
          <w:numId w:val="2"/>
        </w:numPr>
        <w:spacing w:line="360" w:lineRule="auto"/>
        <w:rPr>
          <w:rFonts w:ascii="Arial" w:eastAsia="Times New Roman" w:hAnsi="Arial" w:cs="Arial"/>
          <w:sz w:val="24"/>
          <w:szCs w:val="24"/>
        </w:rPr>
      </w:pPr>
      <w:r w:rsidRPr="00AB468E">
        <w:rPr>
          <w:rFonts w:ascii="Arial" w:eastAsia="Times New Roman" w:hAnsi="Arial" w:cs="Arial"/>
          <w:sz w:val="24"/>
          <w:szCs w:val="24"/>
        </w:rPr>
        <w:t xml:space="preserve">Patro, C.S., 2013, December. The impact of employee engagement on an organization’s productivity. In </w:t>
      </w:r>
      <w:r w:rsidRPr="00AB468E">
        <w:rPr>
          <w:rFonts w:ascii="Arial" w:eastAsia="Times New Roman" w:hAnsi="Arial" w:cs="Arial"/>
          <w:i/>
          <w:iCs/>
          <w:sz w:val="24"/>
          <w:szCs w:val="24"/>
        </w:rPr>
        <w:t>2nd international conference on managing human resources at the workplace</w:t>
      </w:r>
      <w:r w:rsidRPr="00AB468E">
        <w:rPr>
          <w:rFonts w:ascii="Arial" w:eastAsia="Times New Roman" w:hAnsi="Arial" w:cs="Arial"/>
          <w:sz w:val="24"/>
          <w:szCs w:val="24"/>
        </w:rPr>
        <w:t xml:space="preserve"> (Vol. 1, pp. 1-9).</w:t>
      </w:r>
    </w:p>
    <w:p w14:paraId="2C2625F3" w14:textId="49378488"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Serrano, S.A. and Reichard, R.J., 2011. Leadership strategies for an engaged workforce. </w:t>
      </w:r>
      <w:r w:rsidRPr="00AB468E">
        <w:rPr>
          <w:rFonts w:ascii="Arial" w:eastAsia="Times New Roman" w:hAnsi="Arial" w:cs="Arial"/>
          <w:i/>
          <w:iCs/>
          <w:sz w:val="24"/>
          <w:szCs w:val="24"/>
        </w:rPr>
        <w:t>Consulting Psychology Journal: Practice and Research</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63</w:t>
      </w:r>
      <w:r w:rsidRPr="00AB468E">
        <w:rPr>
          <w:rFonts w:ascii="Arial" w:eastAsia="Times New Roman" w:hAnsi="Arial" w:cs="Arial"/>
          <w:sz w:val="24"/>
          <w:szCs w:val="24"/>
        </w:rPr>
        <w:t>(3), p.176.</w:t>
      </w:r>
    </w:p>
    <w:p w14:paraId="7E1C1A9A" w14:textId="3368B009"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Parmar, A., 2014. The role of HR department in employer branding in public and private sector. </w:t>
      </w:r>
      <w:r w:rsidRPr="00AB468E">
        <w:rPr>
          <w:rFonts w:ascii="Arial" w:eastAsia="Times New Roman" w:hAnsi="Arial" w:cs="Arial"/>
          <w:i/>
          <w:iCs/>
          <w:sz w:val="24"/>
          <w:szCs w:val="24"/>
        </w:rPr>
        <w:t>Journal of Human Resources Management and Labor Studies</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2</w:t>
      </w:r>
      <w:r w:rsidRPr="00AB468E">
        <w:rPr>
          <w:rFonts w:ascii="Arial" w:eastAsia="Times New Roman" w:hAnsi="Arial" w:cs="Arial"/>
          <w:sz w:val="24"/>
          <w:szCs w:val="24"/>
        </w:rPr>
        <w:t>(2), pp.201-225.</w:t>
      </w:r>
    </w:p>
    <w:p w14:paraId="7DC2E45F" w14:textId="2FE59547" w:rsidR="29B14188" w:rsidRPr="00AB468E" w:rsidRDefault="29B14188" w:rsidP="00AB468E">
      <w:pPr>
        <w:pStyle w:val="ListParagraph"/>
        <w:numPr>
          <w:ilvl w:val="0"/>
          <w:numId w:val="2"/>
        </w:numPr>
        <w:spacing w:line="360" w:lineRule="auto"/>
        <w:rPr>
          <w:rFonts w:ascii="Arial" w:eastAsia="Times New Roman" w:hAnsi="Arial" w:cs="Arial"/>
          <w:sz w:val="24"/>
          <w:szCs w:val="24"/>
        </w:rPr>
      </w:pPr>
      <w:r w:rsidRPr="00AB468E">
        <w:rPr>
          <w:rFonts w:ascii="Arial" w:eastAsia="Times New Roman" w:hAnsi="Arial" w:cs="Arial"/>
          <w:sz w:val="24"/>
          <w:szCs w:val="24"/>
        </w:rPr>
        <w:t xml:space="preserve">Graybill, J.O., Carpenter, M.T.H., Offord, J., </w:t>
      </w:r>
      <w:proofErr w:type="spellStart"/>
      <w:r w:rsidRPr="00AB468E">
        <w:rPr>
          <w:rFonts w:ascii="Arial" w:eastAsia="Times New Roman" w:hAnsi="Arial" w:cs="Arial"/>
          <w:sz w:val="24"/>
          <w:szCs w:val="24"/>
        </w:rPr>
        <w:t>Piorun</w:t>
      </w:r>
      <w:proofErr w:type="spellEnd"/>
      <w:r w:rsidRPr="00AB468E">
        <w:rPr>
          <w:rFonts w:ascii="Arial" w:eastAsia="Times New Roman" w:hAnsi="Arial" w:cs="Arial"/>
          <w:sz w:val="24"/>
          <w:szCs w:val="24"/>
        </w:rPr>
        <w:t xml:space="preserve">, M. and Shaffer, G., 2013. Employee onboarding: Identification of best practices in ACRL libraries. </w:t>
      </w:r>
      <w:r w:rsidRPr="00AB468E">
        <w:rPr>
          <w:rFonts w:ascii="Arial" w:eastAsia="Times New Roman" w:hAnsi="Arial" w:cs="Arial"/>
          <w:i/>
          <w:iCs/>
          <w:sz w:val="24"/>
          <w:szCs w:val="24"/>
        </w:rPr>
        <w:t>Library Management</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34</w:t>
      </w:r>
      <w:r w:rsidRPr="00AB468E">
        <w:rPr>
          <w:rFonts w:ascii="Arial" w:eastAsia="Times New Roman" w:hAnsi="Arial" w:cs="Arial"/>
          <w:sz w:val="24"/>
          <w:szCs w:val="24"/>
        </w:rPr>
        <w:t>(3), pp.200-218.</w:t>
      </w:r>
    </w:p>
    <w:p w14:paraId="67A85F3F" w14:textId="41F22608"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Ernst </w:t>
      </w:r>
      <w:proofErr w:type="spellStart"/>
      <w:r w:rsidRPr="00AB468E">
        <w:rPr>
          <w:rFonts w:ascii="Arial" w:eastAsia="Times New Roman" w:hAnsi="Arial" w:cs="Arial"/>
          <w:sz w:val="24"/>
          <w:szCs w:val="24"/>
        </w:rPr>
        <w:t>Kossek</w:t>
      </w:r>
      <w:proofErr w:type="spellEnd"/>
      <w:r w:rsidRPr="00AB468E">
        <w:rPr>
          <w:rFonts w:ascii="Arial" w:eastAsia="Times New Roman" w:hAnsi="Arial" w:cs="Arial"/>
          <w:sz w:val="24"/>
          <w:szCs w:val="24"/>
        </w:rPr>
        <w:t xml:space="preserve">, E., </w:t>
      </w:r>
      <w:proofErr w:type="spellStart"/>
      <w:r w:rsidRPr="00AB468E">
        <w:rPr>
          <w:rFonts w:ascii="Arial" w:eastAsia="Times New Roman" w:hAnsi="Arial" w:cs="Arial"/>
          <w:sz w:val="24"/>
          <w:szCs w:val="24"/>
        </w:rPr>
        <w:t>Kalliath</w:t>
      </w:r>
      <w:proofErr w:type="spellEnd"/>
      <w:r w:rsidRPr="00AB468E">
        <w:rPr>
          <w:rFonts w:ascii="Arial" w:eastAsia="Times New Roman" w:hAnsi="Arial" w:cs="Arial"/>
          <w:sz w:val="24"/>
          <w:szCs w:val="24"/>
        </w:rPr>
        <w:t xml:space="preserve">, T. and </w:t>
      </w:r>
      <w:proofErr w:type="spellStart"/>
      <w:r w:rsidRPr="00AB468E">
        <w:rPr>
          <w:rFonts w:ascii="Arial" w:eastAsia="Times New Roman" w:hAnsi="Arial" w:cs="Arial"/>
          <w:sz w:val="24"/>
          <w:szCs w:val="24"/>
        </w:rPr>
        <w:t>Kalliath</w:t>
      </w:r>
      <w:proofErr w:type="spellEnd"/>
      <w:r w:rsidRPr="00AB468E">
        <w:rPr>
          <w:rFonts w:ascii="Arial" w:eastAsia="Times New Roman" w:hAnsi="Arial" w:cs="Arial"/>
          <w:sz w:val="24"/>
          <w:szCs w:val="24"/>
        </w:rPr>
        <w:t xml:space="preserve">, P., 2012. Achieving employee wellbeing in a changing work environment: An expert commentary on current scholarship. </w:t>
      </w:r>
      <w:r w:rsidRPr="00AB468E">
        <w:rPr>
          <w:rFonts w:ascii="Arial" w:eastAsia="Times New Roman" w:hAnsi="Arial" w:cs="Arial"/>
          <w:i/>
          <w:iCs/>
          <w:sz w:val="24"/>
          <w:szCs w:val="24"/>
        </w:rPr>
        <w:t>International Journal of Manpower</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33</w:t>
      </w:r>
      <w:r w:rsidRPr="00AB468E">
        <w:rPr>
          <w:rFonts w:ascii="Arial" w:eastAsia="Times New Roman" w:hAnsi="Arial" w:cs="Arial"/>
          <w:sz w:val="24"/>
          <w:szCs w:val="24"/>
        </w:rPr>
        <w:t>(7), pp.738-753.</w:t>
      </w:r>
    </w:p>
    <w:p w14:paraId="4C354F1F" w14:textId="1A6FE231"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Leavitt, H.J. and Mueller, R.A., 1951. Some effects of feedback on communication. </w:t>
      </w:r>
      <w:r w:rsidRPr="00AB468E">
        <w:rPr>
          <w:rFonts w:ascii="Arial" w:eastAsia="Times New Roman" w:hAnsi="Arial" w:cs="Arial"/>
          <w:i/>
          <w:iCs/>
          <w:sz w:val="24"/>
          <w:szCs w:val="24"/>
        </w:rPr>
        <w:t>Human relations</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4</w:t>
      </w:r>
      <w:r w:rsidRPr="00AB468E">
        <w:rPr>
          <w:rFonts w:ascii="Arial" w:eastAsia="Times New Roman" w:hAnsi="Arial" w:cs="Arial"/>
          <w:sz w:val="24"/>
          <w:szCs w:val="24"/>
        </w:rPr>
        <w:t>(4), pp.401-410.</w:t>
      </w:r>
    </w:p>
    <w:p w14:paraId="16C5F0C0" w14:textId="30FF3DF8"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Scott, D., McMullen, T., Royal, M. and Stark, M., 2010. The impact of rewards programs on employee engagement. </w:t>
      </w:r>
      <w:r w:rsidRPr="00AB468E">
        <w:rPr>
          <w:rFonts w:ascii="Arial" w:eastAsia="Times New Roman" w:hAnsi="Arial" w:cs="Arial"/>
          <w:i/>
          <w:iCs/>
          <w:sz w:val="24"/>
          <w:szCs w:val="24"/>
        </w:rPr>
        <w:t xml:space="preserve">Retrieved </w:t>
      </w:r>
      <w:bookmarkStart w:id="1" w:name="_Int_5C9jlvSV"/>
      <w:proofErr w:type="gramStart"/>
      <w:r w:rsidRPr="00AB468E">
        <w:rPr>
          <w:rFonts w:ascii="Arial" w:eastAsia="Times New Roman" w:hAnsi="Arial" w:cs="Arial"/>
          <w:i/>
          <w:iCs/>
          <w:sz w:val="24"/>
          <w:szCs w:val="24"/>
        </w:rPr>
        <w:t>March</w:t>
      </w:r>
      <w:r w:rsidRPr="00AB468E">
        <w:rPr>
          <w:rFonts w:ascii="Arial" w:eastAsia="Times New Roman" w:hAnsi="Arial" w:cs="Arial"/>
          <w:sz w:val="24"/>
          <w:szCs w:val="24"/>
        </w:rPr>
        <w:t>,</w:t>
      </w:r>
      <w:bookmarkEnd w:id="1"/>
      <w:proofErr w:type="gramEnd"/>
      <w:r w:rsidRPr="00AB468E">
        <w:rPr>
          <w:rFonts w:ascii="Arial" w:eastAsia="Times New Roman" w:hAnsi="Arial" w:cs="Arial"/>
          <w:sz w:val="24"/>
          <w:szCs w:val="24"/>
        </w:rPr>
        <w:t xml:space="preserve"> </w:t>
      </w:r>
      <w:r w:rsidRPr="00AB468E">
        <w:rPr>
          <w:rFonts w:ascii="Arial" w:eastAsia="Times New Roman" w:hAnsi="Arial" w:cs="Arial"/>
          <w:i/>
          <w:iCs/>
          <w:sz w:val="24"/>
          <w:szCs w:val="24"/>
        </w:rPr>
        <w:t>18</w:t>
      </w:r>
      <w:r w:rsidRPr="00AB468E">
        <w:rPr>
          <w:rFonts w:ascii="Arial" w:eastAsia="Times New Roman" w:hAnsi="Arial" w:cs="Arial"/>
          <w:sz w:val="24"/>
          <w:szCs w:val="24"/>
        </w:rPr>
        <w:t>, p.2014.</w:t>
      </w:r>
    </w:p>
    <w:p w14:paraId="40319A83" w14:textId="12E12D59"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Allen, T.D. and Shockley, K., 2009. Flexible work arrangements: Help or hype. </w:t>
      </w:r>
      <w:r w:rsidRPr="00AB468E">
        <w:rPr>
          <w:rFonts w:ascii="Arial" w:eastAsia="Times New Roman" w:hAnsi="Arial" w:cs="Arial"/>
          <w:i/>
          <w:iCs/>
          <w:sz w:val="24"/>
          <w:szCs w:val="24"/>
        </w:rPr>
        <w:t>Handbook of families and work: Interdisciplinary perspectives</w:t>
      </w:r>
      <w:r w:rsidRPr="00AB468E">
        <w:rPr>
          <w:rFonts w:ascii="Arial" w:eastAsia="Times New Roman" w:hAnsi="Arial" w:cs="Arial"/>
          <w:sz w:val="24"/>
          <w:szCs w:val="24"/>
        </w:rPr>
        <w:t>, pp.265-284.</w:t>
      </w:r>
    </w:p>
    <w:p w14:paraId="6F6069F1" w14:textId="7DC02ADA"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Padhi, B., Panda, D. and Kumar, A., 2015. A study on employee engagement models for sustainability of </w:t>
      </w:r>
      <w:proofErr w:type="spellStart"/>
      <w:r w:rsidRPr="00AB468E">
        <w:rPr>
          <w:rFonts w:ascii="Arial" w:eastAsia="Times New Roman" w:hAnsi="Arial" w:cs="Arial"/>
          <w:sz w:val="24"/>
          <w:szCs w:val="24"/>
        </w:rPr>
        <w:t>organisation</w:t>
      </w:r>
      <w:proofErr w:type="spellEnd"/>
      <w:r w:rsidRPr="00AB468E">
        <w:rPr>
          <w:rFonts w:ascii="Arial" w:eastAsia="Times New Roman" w:hAnsi="Arial" w:cs="Arial"/>
          <w:sz w:val="24"/>
          <w:szCs w:val="24"/>
        </w:rPr>
        <w:t xml:space="preserve">. </w:t>
      </w:r>
      <w:r w:rsidRPr="00AB468E">
        <w:rPr>
          <w:rFonts w:ascii="Arial" w:eastAsia="Times New Roman" w:hAnsi="Arial" w:cs="Arial"/>
          <w:i/>
          <w:iCs/>
          <w:sz w:val="24"/>
          <w:szCs w:val="24"/>
        </w:rPr>
        <w:t xml:space="preserve">Padhi, B. and Panda, AK (2015)." A Study on Employee Engagement Models for Sustainability of </w:t>
      </w:r>
      <w:proofErr w:type="spellStart"/>
      <w:r w:rsidRPr="00AB468E">
        <w:rPr>
          <w:rFonts w:ascii="Arial" w:eastAsia="Times New Roman" w:hAnsi="Arial" w:cs="Arial"/>
          <w:i/>
          <w:iCs/>
          <w:sz w:val="24"/>
          <w:szCs w:val="24"/>
        </w:rPr>
        <w:t>Organisation</w:t>
      </w:r>
      <w:proofErr w:type="spellEnd"/>
      <w:r w:rsidRPr="00AB468E">
        <w:rPr>
          <w:rFonts w:ascii="Arial" w:eastAsia="Times New Roman" w:hAnsi="Arial" w:cs="Arial"/>
          <w:i/>
          <w:iCs/>
          <w:sz w:val="24"/>
          <w:szCs w:val="24"/>
        </w:rPr>
        <w:t xml:space="preserve">". </w:t>
      </w:r>
      <w:r w:rsidRPr="00AB468E">
        <w:rPr>
          <w:rFonts w:ascii="Arial" w:eastAsia="Times New Roman" w:hAnsi="Arial" w:cs="Arial"/>
          <w:i/>
          <w:iCs/>
          <w:sz w:val="24"/>
          <w:szCs w:val="24"/>
        </w:rPr>
        <w:lastRenderedPageBreak/>
        <w:t>International Journal of Research and Development-A Management Review (IJRDMR)</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4</w:t>
      </w:r>
      <w:r w:rsidRPr="00AB468E">
        <w:rPr>
          <w:rFonts w:ascii="Arial" w:eastAsia="Times New Roman" w:hAnsi="Arial" w:cs="Arial"/>
          <w:sz w:val="24"/>
          <w:szCs w:val="24"/>
        </w:rPr>
        <w:t>(4), pp.79-85.</w:t>
      </w:r>
    </w:p>
    <w:p w14:paraId="6C43003C" w14:textId="1DEB8C65" w:rsidR="29B14188" w:rsidRPr="00AB468E" w:rsidRDefault="29B14188" w:rsidP="00AB468E">
      <w:pPr>
        <w:pStyle w:val="ListParagraph"/>
        <w:numPr>
          <w:ilvl w:val="0"/>
          <w:numId w:val="2"/>
        </w:numPr>
        <w:spacing w:line="360" w:lineRule="auto"/>
        <w:rPr>
          <w:rFonts w:ascii="Arial" w:eastAsia="Times New Roman" w:hAnsi="Arial" w:cs="Arial"/>
          <w:sz w:val="24"/>
          <w:szCs w:val="24"/>
        </w:rPr>
      </w:pPr>
      <w:r w:rsidRPr="00AB468E">
        <w:rPr>
          <w:rFonts w:ascii="Arial" w:eastAsia="Times New Roman" w:hAnsi="Arial" w:cs="Arial"/>
          <w:sz w:val="24"/>
          <w:szCs w:val="24"/>
        </w:rPr>
        <w:t xml:space="preserve">Fredrickson, B.L., 2000. Why positive emotions matter in organizations: Lessons from the broaden-and-build model. </w:t>
      </w:r>
      <w:r w:rsidRPr="00AB468E">
        <w:rPr>
          <w:rFonts w:ascii="Arial" w:eastAsia="Times New Roman" w:hAnsi="Arial" w:cs="Arial"/>
          <w:i/>
          <w:iCs/>
          <w:sz w:val="24"/>
          <w:szCs w:val="24"/>
        </w:rPr>
        <w:t>The Psychologist-Manager Journal</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4</w:t>
      </w:r>
      <w:r w:rsidRPr="00AB468E">
        <w:rPr>
          <w:rFonts w:ascii="Arial" w:eastAsia="Times New Roman" w:hAnsi="Arial" w:cs="Arial"/>
          <w:sz w:val="24"/>
          <w:szCs w:val="24"/>
        </w:rPr>
        <w:t>(2), p.131.</w:t>
      </w:r>
    </w:p>
    <w:p w14:paraId="5CB5CB68" w14:textId="55FBDD23"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Moore, F., 2007. Work</w:t>
      </w:r>
      <w:r w:rsidRPr="00AB468E">
        <w:rPr>
          <w:rFonts w:ascii="Cambria Math" w:eastAsia="Times New Roman" w:hAnsi="Cambria Math" w:cs="Cambria Math"/>
          <w:sz w:val="24"/>
          <w:szCs w:val="24"/>
        </w:rPr>
        <w:t>‐</w:t>
      </w:r>
      <w:r w:rsidRPr="00AB468E">
        <w:rPr>
          <w:rFonts w:ascii="Arial" w:eastAsia="Times New Roman" w:hAnsi="Arial" w:cs="Arial"/>
          <w:sz w:val="24"/>
          <w:szCs w:val="24"/>
        </w:rPr>
        <w:t xml:space="preserve">life balance: contrasting managers and workers in an MNC. </w:t>
      </w:r>
      <w:r w:rsidRPr="00AB468E">
        <w:rPr>
          <w:rFonts w:ascii="Arial" w:eastAsia="Times New Roman" w:hAnsi="Arial" w:cs="Arial"/>
          <w:i/>
          <w:iCs/>
          <w:sz w:val="24"/>
          <w:szCs w:val="24"/>
        </w:rPr>
        <w:t>Employee relations</w:t>
      </w:r>
      <w:r w:rsidRPr="00AB468E">
        <w:rPr>
          <w:rFonts w:ascii="Arial" w:eastAsia="Times New Roman" w:hAnsi="Arial" w:cs="Arial"/>
          <w:sz w:val="24"/>
          <w:szCs w:val="24"/>
        </w:rPr>
        <w:t>.</w:t>
      </w:r>
    </w:p>
    <w:p w14:paraId="48F92C3B" w14:textId="160A24C2"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Albrecht, S.L., Bakker, A.B., Gruman, J.A., Macey, W.H. and Saks, A.M., 2015. Employee engagement, human resource management practices and competitive advantage: An integrated approach. </w:t>
      </w:r>
      <w:r w:rsidRPr="00AB468E">
        <w:rPr>
          <w:rFonts w:ascii="Arial" w:eastAsia="Times New Roman" w:hAnsi="Arial" w:cs="Arial"/>
          <w:i/>
          <w:iCs/>
          <w:sz w:val="24"/>
          <w:szCs w:val="24"/>
        </w:rPr>
        <w:t>Journal of Organizational Effectiveness: People and Performance</w:t>
      </w:r>
      <w:r w:rsidRPr="00AB468E">
        <w:rPr>
          <w:rFonts w:ascii="Arial" w:eastAsia="Times New Roman" w:hAnsi="Arial" w:cs="Arial"/>
          <w:sz w:val="24"/>
          <w:szCs w:val="24"/>
        </w:rPr>
        <w:t>.</w:t>
      </w:r>
    </w:p>
    <w:p w14:paraId="356D16CF" w14:textId="148E215B"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Macey, W.H. and Schneider, B., 2008. The meaning of employee engagement. </w:t>
      </w:r>
      <w:r w:rsidRPr="00AB468E">
        <w:rPr>
          <w:rFonts w:ascii="Arial" w:eastAsia="Times New Roman" w:hAnsi="Arial" w:cs="Arial"/>
          <w:i/>
          <w:iCs/>
          <w:sz w:val="24"/>
          <w:szCs w:val="24"/>
        </w:rPr>
        <w:t>Industrial and organizational Psychology</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1</w:t>
      </w:r>
      <w:r w:rsidRPr="00AB468E">
        <w:rPr>
          <w:rFonts w:ascii="Arial" w:eastAsia="Times New Roman" w:hAnsi="Arial" w:cs="Arial"/>
          <w:sz w:val="24"/>
          <w:szCs w:val="24"/>
        </w:rPr>
        <w:t>(1), pp.3-30.</w:t>
      </w:r>
    </w:p>
    <w:p w14:paraId="421609B1" w14:textId="47992D4A"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O'Bryan, C. and Casey, A.M., 2017. Talent management: Hiring and developing engaged employees. </w:t>
      </w:r>
      <w:r w:rsidRPr="00AB468E">
        <w:rPr>
          <w:rFonts w:ascii="Arial" w:eastAsia="Times New Roman" w:hAnsi="Arial" w:cs="Arial"/>
          <w:i/>
          <w:iCs/>
          <w:sz w:val="24"/>
          <w:szCs w:val="24"/>
        </w:rPr>
        <w:t>Library Leadership &amp; Management</w:t>
      </w:r>
      <w:r w:rsidRPr="00AB468E">
        <w:rPr>
          <w:rFonts w:ascii="Arial" w:eastAsia="Times New Roman" w:hAnsi="Arial" w:cs="Arial"/>
          <w:sz w:val="24"/>
          <w:szCs w:val="24"/>
        </w:rPr>
        <w:t xml:space="preserve">, </w:t>
      </w:r>
      <w:r w:rsidRPr="00AB468E">
        <w:rPr>
          <w:rFonts w:ascii="Arial" w:eastAsia="Times New Roman" w:hAnsi="Arial" w:cs="Arial"/>
          <w:i/>
          <w:iCs/>
          <w:sz w:val="24"/>
          <w:szCs w:val="24"/>
        </w:rPr>
        <w:t>32</w:t>
      </w:r>
      <w:r w:rsidRPr="00AB468E">
        <w:rPr>
          <w:rFonts w:ascii="Arial" w:eastAsia="Times New Roman" w:hAnsi="Arial" w:cs="Arial"/>
          <w:sz w:val="24"/>
          <w:szCs w:val="24"/>
        </w:rPr>
        <w:t>(1), p.1.</w:t>
      </w:r>
    </w:p>
    <w:p w14:paraId="42E3A1D7" w14:textId="411DEF21"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Mathis, R.L., Jackson, J.H., Valentine, S.R. and Meglich, P., 2016. </w:t>
      </w:r>
      <w:r w:rsidRPr="00AB468E">
        <w:rPr>
          <w:rFonts w:ascii="Arial" w:eastAsia="Times New Roman" w:hAnsi="Arial" w:cs="Arial"/>
          <w:i/>
          <w:iCs/>
          <w:sz w:val="24"/>
          <w:szCs w:val="24"/>
        </w:rPr>
        <w:t>Human resource management</w:t>
      </w:r>
      <w:r w:rsidRPr="00AB468E">
        <w:rPr>
          <w:rFonts w:ascii="Arial" w:eastAsia="Times New Roman" w:hAnsi="Arial" w:cs="Arial"/>
          <w:sz w:val="24"/>
          <w:szCs w:val="24"/>
        </w:rPr>
        <w:t>. Cengage Learning.</w:t>
      </w:r>
    </w:p>
    <w:p w14:paraId="108C96B3" w14:textId="3851106D" w:rsidR="29B14188" w:rsidRPr="00AB468E" w:rsidRDefault="29B14188" w:rsidP="00AB468E">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Kular, S., Gatenby, M., Rees, C., Soane, E. and Truss, K., 2008. Employee engagement: A literature review.</w:t>
      </w:r>
    </w:p>
    <w:p w14:paraId="3F48EBA6" w14:textId="7582D5D6" w:rsidR="29B14188" w:rsidRPr="00B630E1" w:rsidRDefault="29B14188" w:rsidP="00B630E1">
      <w:pPr>
        <w:pStyle w:val="ListParagraph"/>
        <w:numPr>
          <w:ilvl w:val="0"/>
          <w:numId w:val="2"/>
        </w:numPr>
        <w:spacing w:line="360" w:lineRule="auto"/>
        <w:rPr>
          <w:rFonts w:ascii="Arial" w:hAnsi="Arial" w:cs="Arial"/>
          <w:sz w:val="24"/>
          <w:szCs w:val="24"/>
        </w:rPr>
      </w:pPr>
      <w:r w:rsidRPr="00AB468E">
        <w:rPr>
          <w:rFonts w:ascii="Arial" w:eastAsia="Times New Roman" w:hAnsi="Arial" w:cs="Arial"/>
          <w:sz w:val="24"/>
          <w:szCs w:val="24"/>
        </w:rPr>
        <w:t xml:space="preserve">Radda, A.A., </w:t>
      </w:r>
      <w:proofErr w:type="spellStart"/>
      <w:r w:rsidRPr="00AB468E">
        <w:rPr>
          <w:rFonts w:ascii="Arial" w:eastAsia="Times New Roman" w:hAnsi="Arial" w:cs="Arial"/>
          <w:sz w:val="24"/>
          <w:szCs w:val="24"/>
        </w:rPr>
        <w:t>Majidadi</w:t>
      </w:r>
      <w:proofErr w:type="spellEnd"/>
      <w:r w:rsidRPr="00AB468E">
        <w:rPr>
          <w:rFonts w:ascii="Arial" w:eastAsia="Times New Roman" w:hAnsi="Arial" w:cs="Arial"/>
          <w:sz w:val="24"/>
          <w:szCs w:val="24"/>
        </w:rPr>
        <w:t xml:space="preserve">, M. and </w:t>
      </w:r>
      <w:proofErr w:type="spellStart"/>
      <w:r w:rsidRPr="00AB468E">
        <w:rPr>
          <w:rFonts w:ascii="Arial" w:eastAsia="Times New Roman" w:hAnsi="Arial" w:cs="Arial"/>
          <w:sz w:val="24"/>
          <w:szCs w:val="24"/>
        </w:rPr>
        <w:t>Aka</w:t>
      </w:r>
      <w:r w:rsidRPr="00B630E1">
        <w:rPr>
          <w:rFonts w:ascii="Arial" w:eastAsia="Times New Roman" w:hAnsi="Arial" w:cs="Arial"/>
          <w:sz w:val="24"/>
          <w:szCs w:val="24"/>
        </w:rPr>
        <w:t>nno</w:t>
      </w:r>
      <w:proofErr w:type="spellEnd"/>
      <w:r w:rsidRPr="00B630E1">
        <w:rPr>
          <w:rFonts w:ascii="Arial" w:eastAsia="Times New Roman" w:hAnsi="Arial" w:cs="Arial"/>
          <w:sz w:val="24"/>
          <w:szCs w:val="24"/>
        </w:rPr>
        <w:t xml:space="preserve">, S., 2015. Employee engagement: The new model of leadership. </w:t>
      </w:r>
      <w:r w:rsidRPr="00B630E1">
        <w:rPr>
          <w:rFonts w:ascii="Arial" w:eastAsia="Times New Roman" w:hAnsi="Arial" w:cs="Arial"/>
          <w:i/>
          <w:iCs/>
          <w:sz w:val="24"/>
          <w:szCs w:val="24"/>
        </w:rPr>
        <w:t>Indian Journal of Management Science</w:t>
      </w:r>
      <w:r w:rsidRPr="00B630E1">
        <w:rPr>
          <w:rFonts w:ascii="Arial" w:eastAsia="Times New Roman" w:hAnsi="Arial" w:cs="Arial"/>
          <w:sz w:val="24"/>
          <w:szCs w:val="24"/>
        </w:rPr>
        <w:t>.</w:t>
      </w:r>
    </w:p>
    <w:p w14:paraId="0A5662C5" w14:textId="023F3C76" w:rsidR="29B14188" w:rsidRPr="005416DB" w:rsidRDefault="29B14188" w:rsidP="005416DB">
      <w:pPr>
        <w:spacing w:line="360" w:lineRule="auto"/>
        <w:rPr>
          <w:rFonts w:ascii="Arial" w:eastAsia="Times New Roman" w:hAnsi="Arial" w:cs="Arial"/>
          <w:sz w:val="24"/>
          <w:szCs w:val="24"/>
        </w:rPr>
      </w:pPr>
    </w:p>
    <w:p w14:paraId="546D647F" w14:textId="5A2EC22C" w:rsidR="29B14188" w:rsidRPr="005416DB" w:rsidRDefault="29B14188" w:rsidP="005416DB">
      <w:pPr>
        <w:spacing w:line="360" w:lineRule="auto"/>
        <w:rPr>
          <w:rFonts w:ascii="Arial" w:eastAsia="Times New Roman" w:hAnsi="Arial" w:cs="Arial"/>
          <w:sz w:val="24"/>
          <w:szCs w:val="24"/>
        </w:rPr>
      </w:pPr>
    </w:p>
    <w:p w14:paraId="45B38F77" w14:textId="4BC002F3" w:rsidR="29B14188" w:rsidRPr="005416DB" w:rsidRDefault="29B14188" w:rsidP="005416DB">
      <w:pPr>
        <w:spacing w:line="360" w:lineRule="auto"/>
        <w:rPr>
          <w:rFonts w:ascii="Arial" w:eastAsia="Times New Roman" w:hAnsi="Arial" w:cs="Arial"/>
          <w:sz w:val="24"/>
          <w:szCs w:val="24"/>
        </w:rPr>
      </w:pPr>
    </w:p>
    <w:p w14:paraId="356EC822" w14:textId="45D70067" w:rsidR="29B14188" w:rsidRPr="005416DB" w:rsidRDefault="29B14188" w:rsidP="005416DB">
      <w:pPr>
        <w:spacing w:line="360" w:lineRule="auto"/>
        <w:rPr>
          <w:rFonts w:ascii="Arial" w:eastAsia="Times New Roman" w:hAnsi="Arial" w:cs="Arial"/>
          <w:sz w:val="24"/>
          <w:szCs w:val="24"/>
        </w:rPr>
      </w:pPr>
    </w:p>
    <w:p w14:paraId="113770D2" w14:textId="19428FE7" w:rsidR="29B14188" w:rsidRPr="005416DB" w:rsidRDefault="29B14188" w:rsidP="005416DB">
      <w:pPr>
        <w:spacing w:line="360" w:lineRule="auto"/>
        <w:rPr>
          <w:rFonts w:ascii="Arial" w:eastAsia="Times New Roman" w:hAnsi="Arial" w:cs="Arial"/>
          <w:sz w:val="24"/>
          <w:szCs w:val="24"/>
        </w:rPr>
      </w:pPr>
    </w:p>
    <w:p w14:paraId="29DC9BC6" w14:textId="26346F0E" w:rsidR="29B14188" w:rsidRPr="005416DB" w:rsidRDefault="29B14188" w:rsidP="005416DB">
      <w:pPr>
        <w:spacing w:line="360" w:lineRule="auto"/>
        <w:rPr>
          <w:rFonts w:ascii="Arial" w:eastAsia="Times New Roman" w:hAnsi="Arial" w:cs="Arial"/>
          <w:sz w:val="24"/>
          <w:szCs w:val="24"/>
        </w:rPr>
      </w:pPr>
    </w:p>
    <w:p w14:paraId="7DCCE06F" w14:textId="1978AF01" w:rsidR="29B14188" w:rsidRPr="005416DB" w:rsidRDefault="29B14188" w:rsidP="005416DB">
      <w:pPr>
        <w:spacing w:line="360" w:lineRule="auto"/>
        <w:rPr>
          <w:rFonts w:ascii="Arial" w:eastAsia="Times New Roman" w:hAnsi="Arial" w:cs="Arial"/>
          <w:sz w:val="24"/>
          <w:szCs w:val="24"/>
        </w:rPr>
      </w:pPr>
    </w:p>
    <w:p w14:paraId="2C5E1D02" w14:textId="3D774CA7" w:rsidR="29B14188" w:rsidRPr="005416DB" w:rsidRDefault="29B14188" w:rsidP="005416DB">
      <w:pPr>
        <w:spacing w:line="360" w:lineRule="auto"/>
        <w:rPr>
          <w:rFonts w:ascii="Arial" w:eastAsia="Times New Roman" w:hAnsi="Arial" w:cs="Arial"/>
          <w:sz w:val="24"/>
          <w:szCs w:val="24"/>
        </w:rPr>
      </w:pPr>
    </w:p>
    <w:sectPr w:rsidR="29B14188" w:rsidRPr="005416D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D85F" w14:textId="77777777" w:rsidR="001520D9" w:rsidRDefault="001520D9" w:rsidP="00171F94">
      <w:pPr>
        <w:spacing w:after="0" w:line="240" w:lineRule="auto"/>
      </w:pPr>
      <w:r>
        <w:separator/>
      </w:r>
    </w:p>
  </w:endnote>
  <w:endnote w:type="continuationSeparator" w:id="0">
    <w:p w14:paraId="2598967E" w14:textId="77777777" w:rsidR="001520D9" w:rsidRDefault="001520D9" w:rsidP="00171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749880"/>
      <w:docPartObj>
        <w:docPartGallery w:val="Page Numbers (Bottom of Page)"/>
        <w:docPartUnique/>
      </w:docPartObj>
    </w:sdtPr>
    <w:sdtEndPr>
      <w:rPr>
        <w:noProof/>
      </w:rPr>
    </w:sdtEndPr>
    <w:sdtContent>
      <w:p w14:paraId="18135A78" w14:textId="72886CEE" w:rsidR="00171F94" w:rsidRDefault="00171F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0CEFC0" w14:textId="77777777" w:rsidR="00171F94" w:rsidRDefault="00171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0DB90" w14:textId="77777777" w:rsidR="001520D9" w:rsidRDefault="001520D9" w:rsidP="00171F94">
      <w:pPr>
        <w:spacing w:after="0" w:line="240" w:lineRule="auto"/>
      </w:pPr>
      <w:r>
        <w:separator/>
      </w:r>
    </w:p>
  </w:footnote>
  <w:footnote w:type="continuationSeparator" w:id="0">
    <w:p w14:paraId="4EB88555" w14:textId="77777777" w:rsidR="001520D9" w:rsidRDefault="001520D9" w:rsidP="00171F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r26LnD/IRuSuS" int2:id="JUsIDJ1W">
      <int2:state int2:value="Rejected" int2:type="LegacyProofing"/>
    </int2:textHash>
    <int2:textHash int2:hashCode="yo7HaJ+o5elN4j" int2:id="Sw5hbuz5">
      <int2:state int2:value="Rejected" int2:type="LegacyProofing"/>
    </int2:textHash>
    <int2:textHash int2:hashCode="LuxJCZnX/VHEfh" int2:id="APZZtkBb">
      <int2:state int2:value="Rejected" int2:type="LegacyProofing"/>
    </int2:textHash>
    <int2:textHash int2:hashCode="gK629ki3pC+hO/" int2:id="IZ59YjNP">
      <int2:state int2:value="Rejected" int2:type="LegacyProofing"/>
    </int2:textHash>
    <int2:textHash int2:hashCode="m/C6mGJeQTWOW1" int2:id="gH6umwLA">
      <int2:state int2:value="Rejected" int2:type="LegacyProofing"/>
    </int2:textHash>
    <int2:textHash int2:hashCode="Zqio8x5thyZG+j" int2:id="MjEwQ0sf">
      <int2:state int2:value="Rejected" int2:type="LegacyProofing"/>
    </int2:textHash>
    <int2:bookmark int2:bookmarkName="_Int_5C9jlvSV" int2:invalidationBookmarkName="" int2:hashCode="sNIDdohFb+8RpT" int2:id="c80qXmCv">
      <int2:state int2:value="Rejected" int2:type="LegacyProofing"/>
    </int2:bookmark>
    <int2:bookmark int2:bookmarkName="_Int_Ri1Vhx71" int2:invalidationBookmarkName="" int2:hashCode="r9JD0N+L3yj3g/" int2:id="Xd1Whja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3EAA9"/>
    <w:multiLevelType w:val="hybridMultilevel"/>
    <w:tmpl w:val="F13E9EDA"/>
    <w:lvl w:ilvl="0" w:tplc="BAFCCD80">
      <w:numFmt w:val="bullet"/>
      <w:lvlText w:val=""/>
      <w:lvlJc w:val="left"/>
      <w:pPr>
        <w:ind w:left="940" w:hanging="154"/>
      </w:pPr>
      <w:rPr>
        <w:rFonts w:ascii="Symbol" w:hAnsi="Symbol" w:hint="default"/>
      </w:rPr>
    </w:lvl>
    <w:lvl w:ilvl="1" w:tplc="3170ED56">
      <w:start w:val="1"/>
      <w:numFmt w:val="bullet"/>
      <w:lvlText w:val="o"/>
      <w:lvlJc w:val="left"/>
      <w:pPr>
        <w:ind w:left="1440" w:hanging="360"/>
      </w:pPr>
      <w:rPr>
        <w:rFonts w:ascii="Courier New" w:hAnsi="Courier New" w:hint="default"/>
      </w:rPr>
    </w:lvl>
    <w:lvl w:ilvl="2" w:tplc="A1C23D12">
      <w:start w:val="1"/>
      <w:numFmt w:val="bullet"/>
      <w:lvlText w:val=""/>
      <w:lvlJc w:val="left"/>
      <w:pPr>
        <w:ind w:left="2160" w:hanging="360"/>
      </w:pPr>
      <w:rPr>
        <w:rFonts w:ascii="Wingdings" w:hAnsi="Wingdings" w:hint="default"/>
      </w:rPr>
    </w:lvl>
    <w:lvl w:ilvl="3" w:tplc="3872FB14">
      <w:start w:val="1"/>
      <w:numFmt w:val="bullet"/>
      <w:lvlText w:val=""/>
      <w:lvlJc w:val="left"/>
      <w:pPr>
        <w:ind w:left="2880" w:hanging="360"/>
      </w:pPr>
      <w:rPr>
        <w:rFonts w:ascii="Symbol" w:hAnsi="Symbol" w:hint="default"/>
      </w:rPr>
    </w:lvl>
    <w:lvl w:ilvl="4" w:tplc="EA8E1094">
      <w:start w:val="1"/>
      <w:numFmt w:val="bullet"/>
      <w:lvlText w:val="o"/>
      <w:lvlJc w:val="left"/>
      <w:pPr>
        <w:ind w:left="3600" w:hanging="360"/>
      </w:pPr>
      <w:rPr>
        <w:rFonts w:ascii="Courier New" w:hAnsi="Courier New" w:hint="default"/>
      </w:rPr>
    </w:lvl>
    <w:lvl w:ilvl="5" w:tplc="5CC08554">
      <w:start w:val="1"/>
      <w:numFmt w:val="bullet"/>
      <w:lvlText w:val=""/>
      <w:lvlJc w:val="left"/>
      <w:pPr>
        <w:ind w:left="4320" w:hanging="360"/>
      </w:pPr>
      <w:rPr>
        <w:rFonts w:ascii="Wingdings" w:hAnsi="Wingdings" w:hint="default"/>
      </w:rPr>
    </w:lvl>
    <w:lvl w:ilvl="6" w:tplc="82964D42">
      <w:start w:val="1"/>
      <w:numFmt w:val="bullet"/>
      <w:lvlText w:val=""/>
      <w:lvlJc w:val="left"/>
      <w:pPr>
        <w:ind w:left="5040" w:hanging="360"/>
      </w:pPr>
      <w:rPr>
        <w:rFonts w:ascii="Symbol" w:hAnsi="Symbol" w:hint="default"/>
      </w:rPr>
    </w:lvl>
    <w:lvl w:ilvl="7" w:tplc="5694BE98">
      <w:start w:val="1"/>
      <w:numFmt w:val="bullet"/>
      <w:lvlText w:val="o"/>
      <w:lvlJc w:val="left"/>
      <w:pPr>
        <w:ind w:left="5760" w:hanging="360"/>
      </w:pPr>
      <w:rPr>
        <w:rFonts w:ascii="Courier New" w:hAnsi="Courier New" w:hint="default"/>
      </w:rPr>
    </w:lvl>
    <w:lvl w:ilvl="8" w:tplc="6C300E7A">
      <w:start w:val="1"/>
      <w:numFmt w:val="bullet"/>
      <w:lvlText w:val=""/>
      <w:lvlJc w:val="left"/>
      <w:pPr>
        <w:ind w:left="6480" w:hanging="360"/>
      </w:pPr>
      <w:rPr>
        <w:rFonts w:ascii="Wingdings" w:hAnsi="Wingdings" w:hint="default"/>
      </w:rPr>
    </w:lvl>
  </w:abstractNum>
  <w:abstractNum w:abstractNumId="1" w15:restartNumberingAfterBreak="0">
    <w:nsid w:val="71966ABC"/>
    <w:multiLevelType w:val="hybridMultilevel"/>
    <w:tmpl w:val="DA126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8710614">
    <w:abstractNumId w:val="0"/>
  </w:num>
  <w:num w:numId="2" w16cid:durableId="1345205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xMrQ0MjE0MbA0tDRW0lEKTi0uzszPAykwrAUA5AqeFSwAAAA="/>
  </w:docVars>
  <w:rsids>
    <w:rsidRoot w:val="0A7D01D9"/>
    <w:rsid w:val="00061B62"/>
    <w:rsid w:val="001520D9"/>
    <w:rsid w:val="00171F94"/>
    <w:rsid w:val="002058C6"/>
    <w:rsid w:val="00211B37"/>
    <w:rsid w:val="00214332"/>
    <w:rsid w:val="00277C17"/>
    <w:rsid w:val="005416DB"/>
    <w:rsid w:val="005709AE"/>
    <w:rsid w:val="008D75D1"/>
    <w:rsid w:val="00AB468E"/>
    <w:rsid w:val="00B630E1"/>
    <w:rsid w:val="00BA481E"/>
    <w:rsid w:val="00E8197F"/>
    <w:rsid w:val="00F15B36"/>
    <w:rsid w:val="00FF6668"/>
    <w:rsid w:val="0A7D01D9"/>
    <w:rsid w:val="29B14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01D9"/>
  <w15:chartTrackingRefBased/>
  <w15:docId w15:val="{85E47B06-01A7-4444-B243-CD17CD38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A481E"/>
  </w:style>
  <w:style w:type="character" w:customStyle="1" w:styleId="eop">
    <w:name w:val="eop"/>
    <w:basedOn w:val="DefaultParagraphFont"/>
    <w:rsid w:val="00BA481E"/>
  </w:style>
  <w:style w:type="paragraph" w:styleId="Header">
    <w:name w:val="header"/>
    <w:basedOn w:val="Normal"/>
    <w:link w:val="HeaderChar"/>
    <w:uiPriority w:val="99"/>
    <w:unhideWhenUsed/>
    <w:rsid w:val="00171F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F94"/>
  </w:style>
  <w:style w:type="paragraph" w:styleId="Footer">
    <w:name w:val="footer"/>
    <w:basedOn w:val="Normal"/>
    <w:link w:val="FooterChar"/>
    <w:uiPriority w:val="99"/>
    <w:unhideWhenUsed/>
    <w:rsid w:val="00171F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F94"/>
  </w:style>
  <w:style w:type="paragraph" w:styleId="ListParagraph">
    <w:name w:val="List Paragraph"/>
    <w:basedOn w:val="Normal"/>
    <w:uiPriority w:val="34"/>
    <w:qFormat/>
    <w:rsid w:val="00AB4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46293">
      <w:bodyDiv w:val="1"/>
      <w:marLeft w:val="0"/>
      <w:marRight w:val="0"/>
      <w:marTop w:val="0"/>
      <w:marBottom w:val="0"/>
      <w:divBdr>
        <w:top w:val="none" w:sz="0" w:space="0" w:color="auto"/>
        <w:left w:val="none" w:sz="0" w:space="0" w:color="auto"/>
        <w:bottom w:val="none" w:sz="0" w:space="0" w:color="auto"/>
        <w:right w:val="none" w:sz="0" w:space="0" w:color="auto"/>
      </w:divBdr>
      <w:divsChild>
        <w:div w:id="497115756">
          <w:marLeft w:val="0"/>
          <w:marRight w:val="0"/>
          <w:marTop w:val="0"/>
          <w:marBottom w:val="0"/>
          <w:divBdr>
            <w:top w:val="none" w:sz="0" w:space="0" w:color="auto"/>
            <w:left w:val="none" w:sz="0" w:space="0" w:color="auto"/>
            <w:bottom w:val="none" w:sz="0" w:space="0" w:color="auto"/>
            <w:right w:val="none" w:sz="0" w:space="0" w:color="auto"/>
          </w:divBdr>
          <w:divsChild>
            <w:div w:id="1278490245">
              <w:marLeft w:val="0"/>
              <w:marRight w:val="0"/>
              <w:marTop w:val="0"/>
              <w:marBottom w:val="0"/>
              <w:divBdr>
                <w:top w:val="none" w:sz="0" w:space="0" w:color="auto"/>
                <w:left w:val="none" w:sz="0" w:space="0" w:color="auto"/>
                <w:bottom w:val="none" w:sz="0" w:space="0" w:color="auto"/>
                <w:right w:val="none" w:sz="0" w:space="0" w:color="auto"/>
              </w:divBdr>
            </w:div>
          </w:divsChild>
        </w:div>
        <w:div w:id="1334718481">
          <w:marLeft w:val="0"/>
          <w:marRight w:val="0"/>
          <w:marTop w:val="0"/>
          <w:marBottom w:val="0"/>
          <w:divBdr>
            <w:top w:val="none" w:sz="0" w:space="0" w:color="auto"/>
            <w:left w:val="none" w:sz="0" w:space="0" w:color="auto"/>
            <w:bottom w:val="none" w:sz="0" w:space="0" w:color="auto"/>
            <w:right w:val="none" w:sz="0" w:space="0" w:color="auto"/>
          </w:divBdr>
          <w:divsChild>
            <w:div w:id="16340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10</Pages>
  <Words>2562</Words>
  <Characters>14604</Characters>
  <Application>Microsoft Office Word</Application>
  <DocSecurity>0</DocSecurity>
  <Lines>121</Lines>
  <Paragraphs>34</Paragraphs>
  <ScaleCrop>false</ScaleCrop>
  <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22</dc:creator>
  <cp:keywords/>
  <dc:description/>
  <cp:lastModifiedBy>Ranga Daniel</cp:lastModifiedBy>
  <cp:revision>15</cp:revision>
  <dcterms:created xsi:type="dcterms:W3CDTF">2023-02-08T08:16:00Z</dcterms:created>
  <dcterms:modified xsi:type="dcterms:W3CDTF">2023-02-10T19:01:00Z</dcterms:modified>
</cp:coreProperties>
</file>