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731C8" w14:textId="77777777" w:rsidR="00AB134A" w:rsidRDefault="00AB134A" w:rsidP="001B00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noProof/>
        </w:rPr>
        <w:drawing>
          <wp:inline distT="0" distB="0" distL="0" distR="0" wp14:anchorId="3039EC75" wp14:editId="3930FF53">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image1.png" descr="Description: :::::::Desktop:In progress desktop:TRINITY SAINT DAVID:logo:TSD_logo2010.jpg"/>
                    <pic:cNvPicPr/>
                  </pic:nvPicPr>
                  <pic:blipFill>
                    <a:blip r:embed="rId4"/>
                    <a:srcRect/>
                    <a:stretch>
                      <a:fillRect/>
                    </a:stretch>
                  </pic:blipFill>
                  <pic:spPr>
                    <a:xfrm>
                      <a:off x="0" y="0"/>
                      <a:ext cx="2209800" cy="742950"/>
                    </a:xfrm>
                    <a:prstGeom prst="rect">
                      <a:avLst/>
                    </a:prstGeom>
                    <a:ln/>
                  </pic:spPr>
                </pic:pic>
              </a:graphicData>
            </a:graphic>
          </wp:inline>
        </w:drawing>
      </w:r>
    </w:p>
    <w:p w14:paraId="25E57979" w14:textId="7D39E97D" w:rsidR="00AB134A" w:rsidRDefault="00AB134A" w:rsidP="001B00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 xml:space="preserve">ANNA KLEPCZAREK </w:t>
      </w:r>
    </w:p>
    <w:p w14:paraId="144C4B68" w14:textId="614E6932" w:rsidR="00AB134A" w:rsidRDefault="00AB134A" w:rsidP="001B00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2217529</w:t>
      </w:r>
    </w:p>
    <w:p w14:paraId="0E7584EB" w14:textId="7FCAD875" w:rsidR="00AB134A" w:rsidRDefault="00AB134A" w:rsidP="001B00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BMHP6023</w:t>
      </w:r>
    </w:p>
    <w:p w14:paraId="1C08ADD3" w14:textId="77777777" w:rsidR="00AB134A" w:rsidRDefault="00AB134A" w:rsidP="001B00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26FBEE6" w14:textId="77777777" w:rsidR="00AB134A" w:rsidRDefault="00AB134A" w:rsidP="001B00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35A80FF" w14:textId="448D7935" w:rsidR="001B00ED" w:rsidRDefault="001B00ED" w:rsidP="001B00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B00ED">
        <w:rPr>
          <w:rFonts w:ascii="Times New Roman" w:eastAsia="Times New Roman" w:hAnsi="Times New Roman" w:cs="Times New Roman"/>
          <w:b/>
          <w:bCs/>
          <w:kern w:val="36"/>
          <w:sz w:val="48"/>
          <w:szCs w:val="48"/>
          <w:lang w:eastAsia="en-GB"/>
          <w14:ligatures w14:val="none"/>
        </w:rPr>
        <w:t>Children, Young People and Emergent Technologies: Development, Inequality and Regulation in the Digital Age</w:t>
      </w:r>
    </w:p>
    <w:p w14:paraId="00888659" w14:textId="77777777" w:rsidR="00723CB5" w:rsidRPr="000E701D" w:rsidRDefault="00723CB5" w:rsidP="002D6286">
      <w:pPr>
        <w:spacing w:before="100" w:beforeAutospacing="1" w:after="100" w:afterAutospacing="1" w:line="360" w:lineRule="auto"/>
        <w:outlineLvl w:val="0"/>
        <w:rPr>
          <w:rFonts w:ascii="Calibri" w:eastAsia="Times New Roman" w:hAnsi="Calibri" w:cs="Calibri"/>
          <w:b/>
          <w:bCs/>
          <w:kern w:val="36"/>
          <w:sz w:val="28"/>
          <w:szCs w:val="28"/>
          <w:lang w:eastAsia="en-GB"/>
          <w14:ligatures w14:val="none"/>
        </w:rPr>
      </w:pPr>
    </w:p>
    <w:p w14:paraId="50A36E16" w14:textId="77777777" w:rsidR="00723CB5" w:rsidRPr="000E701D" w:rsidRDefault="00723CB5" w:rsidP="002D6286">
      <w:pPr>
        <w:spacing w:before="100" w:beforeAutospacing="1" w:after="100" w:afterAutospacing="1" w:line="360" w:lineRule="auto"/>
        <w:outlineLvl w:val="0"/>
        <w:rPr>
          <w:rFonts w:ascii="Calibri" w:eastAsia="Times New Roman" w:hAnsi="Calibri" w:cs="Calibri"/>
          <w:kern w:val="36"/>
          <w:sz w:val="28"/>
          <w:szCs w:val="28"/>
          <w:lang w:eastAsia="en-GB"/>
          <w14:ligatures w14:val="none"/>
        </w:rPr>
      </w:pPr>
      <w:r w:rsidRPr="000E701D">
        <w:rPr>
          <w:rFonts w:ascii="Calibri" w:eastAsia="Times New Roman" w:hAnsi="Calibri" w:cs="Calibri"/>
          <w:kern w:val="36"/>
          <w:sz w:val="28"/>
          <w:szCs w:val="28"/>
          <w:lang w:eastAsia="en-GB"/>
          <w14:ligatures w14:val="none"/>
        </w:rPr>
        <w:t xml:space="preserve">INTRODUCTION </w:t>
      </w:r>
    </w:p>
    <w:p w14:paraId="4B54B198" w14:textId="3D5AD6FF" w:rsidR="005C4B01" w:rsidRPr="000E701D" w:rsidRDefault="00723CB5" w:rsidP="002D6286">
      <w:pPr>
        <w:spacing w:before="100" w:beforeAutospacing="1" w:after="100" w:afterAutospacing="1" w:line="360" w:lineRule="auto"/>
        <w:outlineLvl w:val="0"/>
        <w:rPr>
          <w:rFonts w:ascii="Calibri" w:hAnsi="Calibri" w:cs="Calibri"/>
          <w:sz w:val="28"/>
          <w:szCs w:val="28"/>
        </w:rPr>
      </w:pPr>
      <w:r w:rsidRPr="000E701D">
        <w:rPr>
          <w:rFonts w:ascii="Calibri" w:hAnsi="Calibri" w:cs="Calibri"/>
          <w:sz w:val="28"/>
          <w:szCs w:val="28"/>
        </w:rPr>
        <w:t>Harwood and Eaves (2020)</w:t>
      </w:r>
      <w:r w:rsidRPr="000E701D">
        <w:rPr>
          <w:rFonts w:ascii="Calibri" w:eastAsia="Times New Roman" w:hAnsi="Calibri" w:cs="Calibri"/>
          <w:kern w:val="36"/>
          <w:sz w:val="28"/>
          <w:szCs w:val="28"/>
          <w:lang w:eastAsia="en-GB"/>
          <w14:ligatures w14:val="none"/>
        </w:rPr>
        <w:t xml:space="preserve"> state that technology is the application of knowledge to achieve practical goals through tools, systems, and methods that solve problems or meet human needs. It includes both physical objects, such as machines, and intangible processes, such as software or techniques. Technology goes beyond gadgets, involving creativity, organisation, and human values, while shaping society and influencing how people live and work.</w:t>
      </w:r>
      <w:r w:rsidR="00984A9D" w:rsidRPr="000E701D">
        <w:rPr>
          <w:rFonts w:ascii="Calibri" w:eastAsia="Times New Roman" w:hAnsi="Calibri" w:cs="Calibri"/>
          <w:kern w:val="36"/>
          <w:sz w:val="28"/>
          <w:szCs w:val="28"/>
          <w:lang w:eastAsia="en-GB"/>
          <w14:ligatures w14:val="none"/>
        </w:rPr>
        <w:t xml:space="preserve"> </w:t>
      </w:r>
      <w:r w:rsidR="005C4B01" w:rsidRPr="000E701D">
        <w:rPr>
          <w:rFonts w:ascii="Calibri" w:hAnsi="Calibri" w:cs="Calibri"/>
          <w:sz w:val="28"/>
          <w:szCs w:val="28"/>
        </w:rPr>
        <w:t xml:space="preserve">Emergent technologies have radically changed the environment in which development takes place by becoming integrated into children's and youths' everyday experiences. These days, social media sites like TikTok, Instagram, and </w:t>
      </w:r>
      <w:r w:rsidR="005C4B01" w:rsidRPr="000E701D">
        <w:rPr>
          <w:rFonts w:ascii="Calibri" w:hAnsi="Calibri" w:cs="Calibri"/>
          <w:sz w:val="28"/>
          <w:szCs w:val="28"/>
        </w:rPr>
        <w:lastRenderedPageBreak/>
        <w:t>YouTube, as well as online gaming communities like Roblox and Fortnite, serve as important centres for identity development, social interaction, education, and business. At the same time, wearable technology, such as fitness trackers and smartwatches, expands digital communication into physical experiences and health behaviours. These changes indicate that the natural environment of childhood is changing. Digital technologies are now structural elements of modern developmental environments rather than external impacts (Avci, Baams, and Kretschmer, 2025).</w:t>
      </w:r>
      <w:r w:rsidR="004914AE" w:rsidRPr="000E701D">
        <w:rPr>
          <w:rFonts w:ascii="Calibri" w:hAnsi="Calibri" w:cs="Calibri"/>
          <w:sz w:val="28"/>
          <w:szCs w:val="28"/>
        </w:rPr>
        <w:t xml:space="preserve"> Additionally, children's physical habits and health monitoring </w:t>
      </w:r>
      <w:r w:rsidR="005248F2">
        <w:rPr>
          <w:rFonts w:ascii="Calibri" w:hAnsi="Calibri" w:cs="Calibri"/>
          <w:sz w:val="28"/>
          <w:szCs w:val="28"/>
        </w:rPr>
        <w:t>are increasingly influenced by wearable technology such as</w:t>
      </w:r>
      <w:r w:rsidR="004914AE" w:rsidRPr="000E701D">
        <w:rPr>
          <w:rFonts w:ascii="Calibri" w:hAnsi="Calibri" w:cs="Calibri"/>
          <w:sz w:val="28"/>
          <w:szCs w:val="28"/>
        </w:rPr>
        <w:t xml:space="preserve"> activity trackers and smartwatches. These technologies actively shape the developing contexts where cognitive, social, and emotional processes take place, rather than simply being introduced to childhood. Risks associated with this include data privacy breaches and pressure on young users' performance. Therefore, a critical, theoretically based, and policy-aware approach that acknowledges both opportunity and risk is necessary to fully understand how those devices fully influence (Au et al., 2024)</w:t>
      </w:r>
      <w:r w:rsidR="008B73BB" w:rsidRPr="000E701D">
        <w:rPr>
          <w:rFonts w:ascii="Calibri" w:hAnsi="Calibri" w:cs="Calibri"/>
          <w:sz w:val="28"/>
          <w:szCs w:val="28"/>
        </w:rPr>
        <w:t>.</w:t>
      </w:r>
    </w:p>
    <w:p w14:paraId="4F3EC154" w14:textId="4A251854" w:rsidR="000E701D" w:rsidRPr="000E701D" w:rsidRDefault="000E701D" w:rsidP="002D6286">
      <w:pPr>
        <w:spacing w:before="100" w:beforeAutospacing="1" w:after="100" w:afterAutospacing="1" w:line="360" w:lineRule="auto"/>
        <w:outlineLvl w:val="0"/>
        <w:rPr>
          <w:rFonts w:ascii="Calibri" w:hAnsi="Calibri" w:cs="Calibri"/>
          <w:sz w:val="28"/>
          <w:szCs w:val="28"/>
        </w:rPr>
      </w:pPr>
      <w:r w:rsidRPr="000E701D">
        <w:rPr>
          <w:rFonts w:ascii="Calibri" w:hAnsi="Calibri" w:cs="Calibri"/>
          <w:sz w:val="28"/>
          <w:szCs w:val="28"/>
        </w:rPr>
        <w:t>Main body</w:t>
      </w:r>
    </w:p>
    <w:p w14:paraId="42821CB8" w14:textId="5141CD10" w:rsidR="000E701D" w:rsidRPr="000E701D" w:rsidRDefault="008B73BB" w:rsidP="002D6286">
      <w:pPr>
        <w:spacing w:before="100" w:beforeAutospacing="1" w:after="100" w:afterAutospacing="1" w:line="360" w:lineRule="auto"/>
        <w:outlineLvl w:val="0"/>
        <w:rPr>
          <w:rFonts w:ascii="Calibri" w:hAnsi="Calibri" w:cs="Calibri"/>
          <w:sz w:val="28"/>
          <w:szCs w:val="28"/>
        </w:rPr>
      </w:pPr>
      <w:r w:rsidRPr="000E701D">
        <w:rPr>
          <w:rFonts w:ascii="Calibri" w:eastAsia="Times New Roman" w:hAnsi="Calibri" w:cs="Calibri"/>
          <w:kern w:val="36"/>
          <w:sz w:val="28"/>
          <w:szCs w:val="28"/>
          <w:lang w:eastAsia="en-GB"/>
          <w14:ligatures w14:val="none"/>
        </w:rPr>
        <w:t xml:space="preserve">The classification of developing technology as only beneficial or harmful is inaccurate. Children should not be seen as either naturally competent in digital skills or as helpless victims of digital impact. Instead, they are developing individuals who engage in online environments that are purposefully created to increase interaction, gather information, and make money. The impact of these technologies must therefore be examined through developmental psychology, as well as sociological perspectives that consider inequality and power structures. Careful assessment of laws and regulations is also necessary to understand how effectively digital risks are managed and how children’s </w:t>
      </w:r>
      <w:r w:rsidRPr="000E701D">
        <w:rPr>
          <w:rFonts w:ascii="Calibri" w:eastAsia="Times New Roman" w:hAnsi="Calibri" w:cs="Calibri"/>
          <w:kern w:val="36"/>
          <w:sz w:val="28"/>
          <w:szCs w:val="28"/>
          <w:lang w:eastAsia="en-GB"/>
          <w14:ligatures w14:val="none"/>
        </w:rPr>
        <w:lastRenderedPageBreak/>
        <w:t xml:space="preserve">rights and well-being are protected </w:t>
      </w:r>
      <w:r w:rsidRPr="000E701D">
        <w:rPr>
          <w:rFonts w:ascii="Calibri" w:hAnsi="Calibri" w:cs="Calibri"/>
          <w:sz w:val="28"/>
          <w:szCs w:val="28"/>
        </w:rPr>
        <w:t xml:space="preserve">(Clemente-Suárez et al., 20214). </w:t>
      </w:r>
      <w:r w:rsidR="005C4B01" w:rsidRPr="000E701D">
        <w:rPr>
          <w:rFonts w:ascii="Calibri" w:hAnsi="Calibri" w:cs="Calibri"/>
          <w:sz w:val="28"/>
          <w:szCs w:val="28"/>
        </w:rPr>
        <w:t>From a cognitive perspective, the work of Jean Piaget offers an important lens through which to examine digital environments. Piaget’s theory of cognitive development suggests that adolescence marks the emergence of formal operational thinking, characterised by abstract reasoning and hypothetical analysis. Digital platforms appear to offer informational resources capable of stimulating these cognitive capacities. Young people can access educational content, scientific explanations and political commentary through platforms such as YouTube, where tutorials and lectures provide alternative pathways to knowledge beyond formal schooling</w:t>
      </w:r>
      <w:r w:rsidR="00344558" w:rsidRPr="000E701D">
        <w:rPr>
          <w:rFonts w:ascii="Calibri" w:hAnsi="Calibri" w:cs="Calibri"/>
          <w:sz w:val="28"/>
          <w:szCs w:val="28"/>
        </w:rPr>
        <w:t xml:space="preserve"> (Kilag et al., 2022).</w:t>
      </w:r>
      <w:r w:rsidR="000E701D">
        <w:rPr>
          <w:rFonts w:ascii="Calibri" w:eastAsia="Times New Roman" w:hAnsi="Calibri" w:cs="Calibri"/>
          <w:kern w:val="36"/>
          <w:sz w:val="28"/>
          <w:szCs w:val="28"/>
          <w:lang w:eastAsia="en-GB"/>
          <w14:ligatures w14:val="none"/>
        </w:rPr>
        <w:t xml:space="preserve"> </w:t>
      </w:r>
    </w:p>
    <w:p w14:paraId="68D24D77" w14:textId="5BE02F44" w:rsidR="003E1A21" w:rsidRPr="000E701D" w:rsidRDefault="001704BE" w:rsidP="002D6286">
      <w:pPr>
        <w:spacing w:before="100" w:beforeAutospacing="1" w:after="100" w:afterAutospacing="1" w:line="360" w:lineRule="auto"/>
        <w:outlineLvl w:val="0"/>
        <w:rPr>
          <w:rFonts w:ascii="Calibri" w:eastAsia="Times New Roman" w:hAnsi="Calibri" w:cs="Calibri"/>
          <w:kern w:val="36"/>
          <w:sz w:val="28"/>
          <w:szCs w:val="28"/>
          <w:lang w:eastAsia="en-GB"/>
          <w14:ligatures w14:val="none"/>
        </w:rPr>
      </w:pPr>
      <w:r w:rsidRPr="000E701D">
        <w:rPr>
          <w:rFonts w:ascii="Calibri" w:hAnsi="Calibri" w:cs="Calibri"/>
          <w:sz w:val="28"/>
          <w:szCs w:val="28"/>
        </w:rPr>
        <w:t>However, algorithmic design serves as a link between digital media's cognitive advantages and disadvantages. Systems for suggestions pay closer attention to information that is projected to increase engagement than to truth or knowledge content. Rapid scrolling screens and short-form movies may promote fragmented attention, shallow engagement, and a reduced capacity for continued concentration</w:t>
      </w:r>
      <w:r w:rsidR="00F23F90" w:rsidRPr="000E701D">
        <w:rPr>
          <w:rFonts w:ascii="Calibri" w:hAnsi="Calibri" w:cs="Calibri"/>
          <w:sz w:val="28"/>
          <w:szCs w:val="28"/>
        </w:rPr>
        <w:t xml:space="preserve"> (Metzler and Garcia, 2024). </w:t>
      </w:r>
      <w:r w:rsidRPr="000E701D">
        <w:rPr>
          <w:rFonts w:ascii="Calibri" w:hAnsi="Calibri" w:cs="Calibri"/>
          <w:sz w:val="28"/>
          <w:szCs w:val="28"/>
        </w:rPr>
        <w:t>Concerns about decreased deep reading practices and shorter attention spans remain regardless of the ongoing debate over research on the long-term cognitive impacts of digital multitasking</w:t>
      </w:r>
      <w:r w:rsidRPr="000E701D">
        <w:rPr>
          <w:rFonts w:ascii="Calibri" w:hAnsi="Calibri" w:cs="Calibri"/>
          <w:color w:val="000000" w:themeColor="text1"/>
          <w:sz w:val="28"/>
          <w:szCs w:val="28"/>
        </w:rPr>
        <w:t>. The key issue is not access to information but the epistemic architecture through which information is encountered. Algorithmic systems influence how children perceive and understand the world. Therefore, in the digital age, cognitive development occurs inside infrastructures shaped by commercial logics rather than concentrating entirely on educational goals</w:t>
      </w:r>
      <w:r w:rsidR="00F23F90" w:rsidRPr="000E701D">
        <w:rPr>
          <w:rFonts w:ascii="Calibri" w:hAnsi="Calibri" w:cs="Calibri"/>
          <w:color w:val="000000" w:themeColor="text1"/>
          <w:sz w:val="28"/>
          <w:szCs w:val="28"/>
        </w:rPr>
        <w:t xml:space="preserve"> (Hasan, 2024).</w:t>
      </w:r>
      <w:r w:rsidR="000E701D" w:rsidRPr="000E701D">
        <w:rPr>
          <w:rFonts w:ascii="Calibri" w:hAnsi="Calibri" w:cs="Calibri"/>
          <w:color w:val="00B0F0"/>
          <w:sz w:val="28"/>
          <w:szCs w:val="28"/>
        </w:rPr>
        <w:t xml:space="preserve"> </w:t>
      </w:r>
      <w:r w:rsidR="00F23F90" w:rsidRPr="000E701D">
        <w:rPr>
          <w:rFonts w:ascii="Calibri" w:eastAsia="Times New Roman" w:hAnsi="Calibri" w:cs="Calibri"/>
          <w:kern w:val="0"/>
          <w:sz w:val="28"/>
          <w:szCs w:val="28"/>
          <w:lang w:eastAsia="en-GB"/>
          <w14:ligatures w14:val="none"/>
        </w:rPr>
        <w:t xml:space="preserve">In the same way, digital tools encourage psychosocial development. Adolescence is the period of identity versus role confusion, according to Erik Erikson, when people experiment with roles, attitudes, and beliefs in an effort to develop an integrated understanding of </w:t>
      </w:r>
      <w:r w:rsidR="00F23F90" w:rsidRPr="000E701D">
        <w:rPr>
          <w:rFonts w:ascii="Calibri" w:eastAsia="Times New Roman" w:hAnsi="Calibri" w:cs="Calibri"/>
          <w:kern w:val="0"/>
          <w:sz w:val="28"/>
          <w:szCs w:val="28"/>
          <w:lang w:eastAsia="en-GB"/>
          <w14:ligatures w14:val="none"/>
        </w:rPr>
        <w:lastRenderedPageBreak/>
        <w:t>who they are. This growth process is pushed forward by social media, which makes identity discovery accessible, visible, and archivable. Images, performances, and story fragments are used to create one's self-presentation on sites like Instagram and TikTok. Interpersonal validation is</w:t>
      </w:r>
      <w:r w:rsidR="003E1A21" w:rsidRPr="000E701D">
        <w:rPr>
          <w:rFonts w:ascii="Calibri" w:eastAsia="Times New Roman" w:hAnsi="Calibri" w:cs="Calibri"/>
          <w:kern w:val="0"/>
          <w:sz w:val="28"/>
          <w:szCs w:val="28"/>
          <w:lang w:eastAsia="en-GB"/>
          <w14:ligatures w14:val="none"/>
        </w:rPr>
        <w:t xml:space="preserve"> strongly associated with </w:t>
      </w:r>
      <w:r w:rsidR="00F23F90" w:rsidRPr="000E701D">
        <w:rPr>
          <w:rFonts w:ascii="Calibri" w:eastAsia="Times New Roman" w:hAnsi="Calibri" w:cs="Calibri"/>
          <w:kern w:val="0"/>
          <w:sz w:val="28"/>
          <w:szCs w:val="28"/>
          <w:lang w:eastAsia="en-GB"/>
          <w14:ligatures w14:val="none"/>
        </w:rPr>
        <w:t>measurable metrics</w:t>
      </w:r>
      <w:r w:rsidR="003E1A21" w:rsidRPr="000E701D">
        <w:rPr>
          <w:rFonts w:ascii="Calibri" w:eastAsia="Times New Roman" w:hAnsi="Calibri" w:cs="Calibri"/>
          <w:kern w:val="0"/>
          <w:sz w:val="28"/>
          <w:szCs w:val="28"/>
          <w:lang w:eastAsia="en-GB"/>
          <w14:ligatures w14:val="none"/>
        </w:rPr>
        <w:t>, such as</w:t>
      </w:r>
      <w:r w:rsidR="00F23F90" w:rsidRPr="000E701D">
        <w:rPr>
          <w:rFonts w:ascii="Calibri" w:eastAsia="Times New Roman" w:hAnsi="Calibri" w:cs="Calibri"/>
          <w:kern w:val="0"/>
          <w:sz w:val="28"/>
          <w:szCs w:val="28"/>
          <w:lang w:eastAsia="en-GB"/>
          <w14:ligatures w14:val="none"/>
        </w:rPr>
        <w:t xml:space="preserve"> </w:t>
      </w:r>
      <w:r w:rsidR="003E1A21" w:rsidRPr="000E701D">
        <w:rPr>
          <w:rFonts w:ascii="Calibri" w:eastAsia="Times New Roman" w:hAnsi="Calibri" w:cs="Calibri"/>
          <w:kern w:val="0"/>
          <w:sz w:val="28"/>
          <w:szCs w:val="28"/>
          <w:lang w:eastAsia="en-GB"/>
          <w14:ligatures w14:val="none"/>
        </w:rPr>
        <w:t>the number of likes</w:t>
      </w:r>
      <w:r w:rsidR="00F23F90" w:rsidRPr="000E701D">
        <w:rPr>
          <w:rFonts w:ascii="Calibri" w:eastAsia="Times New Roman" w:hAnsi="Calibri" w:cs="Calibri"/>
          <w:kern w:val="0"/>
          <w:sz w:val="28"/>
          <w:szCs w:val="28"/>
          <w:lang w:eastAsia="en-GB"/>
          <w14:ligatures w14:val="none"/>
        </w:rPr>
        <w:t>, shares, and follower counts</w:t>
      </w:r>
      <w:r w:rsidR="003E1A21" w:rsidRPr="000E701D">
        <w:rPr>
          <w:rFonts w:ascii="Calibri" w:eastAsia="Times New Roman" w:hAnsi="Calibri" w:cs="Calibri"/>
          <w:kern w:val="0"/>
          <w:sz w:val="28"/>
          <w:szCs w:val="28"/>
          <w:lang w:eastAsia="en-GB"/>
          <w14:ligatures w14:val="none"/>
        </w:rPr>
        <w:t>,</w:t>
      </w:r>
      <w:r w:rsidR="00F23F90" w:rsidRPr="000E701D">
        <w:rPr>
          <w:rFonts w:ascii="Calibri" w:eastAsia="Times New Roman" w:hAnsi="Calibri" w:cs="Calibri"/>
          <w:kern w:val="0"/>
          <w:sz w:val="28"/>
          <w:szCs w:val="28"/>
          <w:lang w:eastAsia="en-GB"/>
          <w14:ligatures w14:val="none"/>
        </w:rPr>
        <w:t xml:space="preserve"> to quantify social validation</w:t>
      </w:r>
      <w:r w:rsidR="003E1A21" w:rsidRPr="000E701D">
        <w:rPr>
          <w:rFonts w:ascii="Calibri" w:eastAsia="Times New Roman" w:hAnsi="Calibri" w:cs="Calibri"/>
          <w:kern w:val="0"/>
          <w:sz w:val="28"/>
          <w:szCs w:val="28"/>
          <w:lang w:eastAsia="en-GB"/>
          <w14:ligatures w14:val="none"/>
        </w:rPr>
        <w:t xml:space="preserve">. </w:t>
      </w:r>
      <w:r w:rsidR="00F23F90" w:rsidRPr="000E701D">
        <w:rPr>
          <w:rFonts w:ascii="Calibri" w:eastAsia="Times New Roman" w:hAnsi="Calibri" w:cs="Calibri"/>
          <w:kern w:val="0"/>
          <w:sz w:val="28"/>
          <w:szCs w:val="28"/>
          <w:lang w:eastAsia="en-GB"/>
          <w14:ligatures w14:val="none"/>
        </w:rPr>
        <w:t>However, this metric-driven feedback risks fostering comparison, inauthenticity and external validation, potentially deepening role confusion rather than resolving it</w:t>
      </w:r>
      <w:r w:rsidR="003E1A21" w:rsidRPr="000E701D">
        <w:rPr>
          <w:rFonts w:ascii="Calibri" w:eastAsia="Times New Roman" w:hAnsi="Calibri" w:cs="Calibri"/>
          <w:kern w:val="0"/>
          <w:sz w:val="28"/>
          <w:szCs w:val="28"/>
          <w:lang w:eastAsia="en-GB"/>
          <w14:ligatures w14:val="none"/>
        </w:rPr>
        <w:t xml:space="preserve"> (Rani, 2022). </w:t>
      </w:r>
    </w:p>
    <w:p w14:paraId="2FB6F4F0" w14:textId="59F144B2" w:rsidR="00B512AA" w:rsidRPr="000E701D" w:rsidRDefault="000E701D" w:rsidP="002D6286">
      <w:pPr>
        <w:spacing w:after="0" w:line="360" w:lineRule="auto"/>
        <w:rPr>
          <w:rFonts w:ascii="Calibri" w:eastAsia="Times New Roman" w:hAnsi="Calibri" w:cs="Calibri"/>
          <w:kern w:val="0"/>
          <w:sz w:val="28"/>
          <w:szCs w:val="28"/>
          <w:lang w:eastAsia="en-GB"/>
          <w14:ligatures w14:val="none"/>
        </w:rPr>
      </w:pPr>
      <w:r w:rsidRPr="000E701D">
        <w:rPr>
          <w:rFonts w:ascii="Calibri" w:eastAsia="Times New Roman" w:hAnsi="Calibri" w:cs="Calibri"/>
          <w:kern w:val="0"/>
          <w:sz w:val="28"/>
          <w:szCs w:val="28"/>
          <w:lang w:eastAsia="en-GB"/>
          <w14:ligatures w14:val="none"/>
        </w:rPr>
        <w:t>This indicator of social approbation may increase social comparison and anxiety, especially in adolescence, when sensitivity to opinion is heightened</w:t>
      </w:r>
      <w:r w:rsidR="00B512AA" w:rsidRPr="000E701D">
        <w:rPr>
          <w:rFonts w:ascii="Calibri" w:eastAsia="Times New Roman" w:hAnsi="Calibri" w:cs="Calibri"/>
          <w:kern w:val="0"/>
          <w:sz w:val="28"/>
          <w:szCs w:val="28"/>
          <w:lang w:eastAsia="en-GB"/>
          <w14:ligatures w14:val="none"/>
        </w:rPr>
        <w:t xml:space="preserve">. Digital communities, on the other hand, can offer marginalised young people spaces of acceptance. In ways that are not possible in limiting offline situations, online platforms might provide opportunities for the exploration of gender identity, sexuality, or cultural identification. </w:t>
      </w:r>
      <w:r w:rsidR="0043488F" w:rsidRPr="000E701D">
        <w:rPr>
          <w:rFonts w:ascii="Calibri" w:eastAsia="Times New Roman" w:hAnsi="Calibri" w:cs="Calibri"/>
          <w:kern w:val="0"/>
          <w:sz w:val="28"/>
          <w:szCs w:val="28"/>
          <w:lang w:eastAsia="en-GB"/>
          <w14:ligatures w14:val="none"/>
        </w:rPr>
        <w:t xml:space="preserve">LGBTQ+ young people, for instance, frequently report that online spaces provide validation and access to information otherwise unavailable. </w:t>
      </w:r>
      <w:r w:rsidR="00B512AA" w:rsidRPr="000E701D">
        <w:rPr>
          <w:rFonts w:ascii="Calibri" w:eastAsia="Times New Roman" w:hAnsi="Calibri" w:cs="Calibri"/>
          <w:kern w:val="0"/>
          <w:sz w:val="28"/>
          <w:szCs w:val="28"/>
          <w:lang w:eastAsia="en-GB"/>
          <w14:ligatures w14:val="none"/>
        </w:rPr>
        <w:t>The uncertainty of digital identity development can be seen by Erikson's framework platforms can both encourage exploration and hinder authenticity through the demands of persistence and visibility</w:t>
      </w:r>
      <w:r w:rsidR="00D85506" w:rsidRPr="000E701D">
        <w:rPr>
          <w:rFonts w:ascii="Calibri" w:eastAsia="Times New Roman" w:hAnsi="Calibri" w:cs="Calibri"/>
          <w:kern w:val="0"/>
          <w:sz w:val="28"/>
          <w:szCs w:val="28"/>
          <w:lang w:eastAsia="en-GB"/>
          <w14:ligatures w14:val="none"/>
        </w:rPr>
        <w:t xml:space="preserve"> (Mitchell et al., 2022).</w:t>
      </w:r>
    </w:p>
    <w:p w14:paraId="7E36AB28" w14:textId="30B4A8F4" w:rsidR="00D85506" w:rsidRPr="000E701D" w:rsidRDefault="00D85506" w:rsidP="002D6286">
      <w:pPr>
        <w:spacing w:line="360" w:lineRule="auto"/>
        <w:rPr>
          <w:rFonts w:ascii="Calibri" w:hAnsi="Calibri" w:cs="Calibri"/>
          <w:sz w:val="28"/>
          <w:szCs w:val="28"/>
        </w:rPr>
      </w:pPr>
      <w:r w:rsidRPr="000E701D">
        <w:rPr>
          <w:rFonts w:ascii="Calibri" w:hAnsi="Calibri" w:cs="Calibri"/>
          <w:sz w:val="28"/>
          <w:szCs w:val="28"/>
        </w:rPr>
        <w:t xml:space="preserve">The role of influencer culture and commercial modelling can be examined through Albert Bandura's social learning theory. Bandura argued that children learn behaviours through observation and imitation, particularly when those behaviours are rewarded. Influencers on platforms such as YouTube and Instagram display consumer behaviours, aesthetic standards and lifestyle aspirations that are visibly rewarded with sponsorships and algorithmic amplification. Repeated exposure risks internalising these standards as normative during critical identity formation. For young audiences, the </w:t>
      </w:r>
      <w:r w:rsidRPr="000E701D">
        <w:rPr>
          <w:rFonts w:ascii="Calibri" w:hAnsi="Calibri" w:cs="Calibri"/>
          <w:sz w:val="28"/>
          <w:szCs w:val="28"/>
        </w:rPr>
        <w:lastRenderedPageBreak/>
        <w:t>distinction between authentic content and advertising is often blurred. Observing influencers receive social and financial rewards for specific behaviours may encourage imitation, embedding consumer socialisation within everyday digital interaction. This dynamic contributes to the broader commercialisation of childhood, where attention itself becomes a commodity (Li and Hua, 2022).</w:t>
      </w:r>
    </w:p>
    <w:p w14:paraId="1AAA03AB" w14:textId="77777777" w:rsidR="000E701D" w:rsidRDefault="0043488F" w:rsidP="002D6286">
      <w:pPr>
        <w:spacing w:line="360" w:lineRule="auto"/>
        <w:rPr>
          <w:rFonts w:ascii="Calibri" w:hAnsi="Calibri" w:cs="Calibri"/>
          <w:sz w:val="28"/>
          <w:szCs w:val="28"/>
        </w:rPr>
      </w:pPr>
      <w:r w:rsidRPr="000E701D">
        <w:rPr>
          <w:rFonts w:ascii="Calibri" w:hAnsi="Calibri" w:cs="Calibri"/>
          <w:sz w:val="28"/>
          <w:szCs w:val="28"/>
        </w:rPr>
        <w:t xml:space="preserve">A more comprehensive understanding of digital childhood can be achieved through Urie Bronfenbrenner’s ecological systems theory. Sullivan (2025) suggests that Bronfenbrenner emphasised that development occurs within nested systems ranging from immediate interpersonal environments to broader socio-cultural contexts. Digital technologies operate across these ecological layers. At the microsystem level, peer interactions increasingly occur through messaging applications and multiplayer games. At the mesosystem level, schools rely on digital platforms for communication and learning management. The </w:t>
      </w:r>
      <w:proofErr w:type="spellStart"/>
      <w:r w:rsidRPr="000E701D">
        <w:rPr>
          <w:rFonts w:ascii="Calibri" w:hAnsi="Calibri" w:cs="Calibri"/>
          <w:sz w:val="28"/>
          <w:szCs w:val="28"/>
        </w:rPr>
        <w:t>exosystem</w:t>
      </w:r>
      <w:proofErr w:type="spellEnd"/>
      <w:r w:rsidRPr="000E701D">
        <w:rPr>
          <w:rFonts w:ascii="Calibri" w:hAnsi="Calibri" w:cs="Calibri"/>
          <w:sz w:val="28"/>
          <w:szCs w:val="28"/>
        </w:rPr>
        <w:t xml:space="preserve"> includes parental employment conditions and economic pressures that shape supervision and </w:t>
      </w:r>
      <w:r w:rsidR="004B0569" w:rsidRPr="000E701D">
        <w:rPr>
          <w:rFonts w:ascii="Calibri" w:hAnsi="Calibri" w:cs="Calibri"/>
          <w:sz w:val="28"/>
          <w:szCs w:val="28"/>
        </w:rPr>
        <w:t>device</w:t>
      </w:r>
      <w:r w:rsidRPr="000E701D">
        <w:rPr>
          <w:rFonts w:ascii="Calibri" w:hAnsi="Calibri" w:cs="Calibri"/>
          <w:sz w:val="28"/>
          <w:szCs w:val="28"/>
        </w:rPr>
        <w:t xml:space="preserve"> </w:t>
      </w:r>
      <w:r w:rsidR="004B0569" w:rsidRPr="000E701D">
        <w:rPr>
          <w:rFonts w:ascii="Calibri" w:hAnsi="Calibri" w:cs="Calibri"/>
          <w:sz w:val="28"/>
          <w:szCs w:val="28"/>
        </w:rPr>
        <w:t>accessibility</w:t>
      </w:r>
      <w:r w:rsidRPr="000E701D">
        <w:rPr>
          <w:rFonts w:ascii="Calibri" w:hAnsi="Calibri" w:cs="Calibri"/>
          <w:sz w:val="28"/>
          <w:szCs w:val="28"/>
        </w:rPr>
        <w:t xml:space="preserve">. The macrosystem encompasses cultural norms that normalise constant connectivity and entrepreneurial self-branding. The chronosystem reflects the historical period in which children grow up </w:t>
      </w:r>
      <w:r w:rsidR="004B0569" w:rsidRPr="000E701D">
        <w:rPr>
          <w:rFonts w:ascii="Calibri" w:hAnsi="Calibri" w:cs="Calibri"/>
          <w:sz w:val="28"/>
          <w:szCs w:val="28"/>
        </w:rPr>
        <w:t>dependently</w:t>
      </w:r>
      <w:r w:rsidRPr="000E701D">
        <w:rPr>
          <w:rFonts w:ascii="Calibri" w:hAnsi="Calibri" w:cs="Calibri"/>
          <w:sz w:val="28"/>
          <w:szCs w:val="28"/>
        </w:rPr>
        <w:t xml:space="preserve"> in platform infrastructures. This ecological perspective underscores that digital experiences cannot be analysed </w:t>
      </w:r>
      <w:r w:rsidR="004B0569" w:rsidRPr="000E701D">
        <w:rPr>
          <w:rFonts w:ascii="Calibri" w:hAnsi="Calibri" w:cs="Calibri"/>
          <w:sz w:val="28"/>
          <w:szCs w:val="28"/>
        </w:rPr>
        <w:t>without</w:t>
      </w:r>
      <w:r w:rsidRPr="000E701D">
        <w:rPr>
          <w:rFonts w:ascii="Calibri" w:hAnsi="Calibri" w:cs="Calibri"/>
          <w:sz w:val="28"/>
          <w:szCs w:val="28"/>
        </w:rPr>
        <w:t xml:space="preserve"> broader structural conditions (Navarro and Tudge, 2022).</w:t>
      </w:r>
      <w:r w:rsidR="000E701D" w:rsidRPr="000E701D">
        <w:rPr>
          <w:rFonts w:ascii="Calibri" w:hAnsi="Calibri" w:cs="Calibri"/>
          <w:sz w:val="28"/>
          <w:szCs w:val="28"/>
        </w:rPr>
        <w:t xml:space="preserve"> </w:t>
      </w:r>
      <w:proofErr w:type="spellStart"/>
      <w:r w:rsidR="004B0569" w:rsidRPr="000E701D">
        <w:rPr>
          <w:rFonts w:ascii="Calibri" w:hAnsi="Calibri" w:cs="Calibri"/>
          <w:sz w:val="28"/>
          <w:szCs w:val="28"/>
        </w:rPr>
        <w:t>Atalatti</w:t>
      </w:r>
      <w:proofErr w:type="spellEnd"/>
      <w:r w:rsidR="004B0569" w:rsidRPr="000E701D">
        <w:rPr>
          <w:rFonts w:ascii="Calibri" w:hAnsi="Calibri" w:cs="Calibri"/>
          <w:sz w:val="28"/>
          <w:szCs w:val="28"/>
        </w:rPr>
        <w:t xml:space="preserve"> and Pawar (2024) described b</w:t>
      </w:r>
      <w:r w:rsidR="005C4B01" w:rsidRPr="000E701D">
        <w:rPr>
          <w:rFonts w:ascii="Calibri" w:hAnsi="Calibri" w:cs="Calibri"/>
          <w:sz w:val="28"/>
          <w:szCs w:val="28"/>
        </w:rPr>
        <w:t xml:space="preserve">ehavioural patterns associated with digital engagement </w:t>
      </w:r>
      <w:r w:rsidR="004B0569" w:rsidRPr="000E701D">
        <w:rPr>
          <w:rFonts w:ascii="Calibri" w:hAnsi="Calibri" w:cs="Calibri"/>
          <w:sz w:val="28"/>
          <w:szCs w:val="28"/>
        </w:rPr>
        <w:t xml:space="preserve">that </w:t>
      </w:r>
      <w:r w:rsidR="005C4B01" w:rsidRPr="000E701D">
        <w:rPr>
          <w:rFonts w:ascii="Calibri" w:hAnsi="Calibri" w:cs="Calibri"/>
          <w:sz w:val="28"/>
          <w:szCs w:val="28"/>
        </w:rPr>
        <w:t xml:space="preserve">are closely linked to persuasive design features embedded within platforms. Infinite scroll, autoplay and intermittent notifications operate through variable reward mechanisms that encourage habitual checking. Gaming environments such as Fortnite incorporate seasonal rewards, in-game purchases and competitive ranking systems that incentivise prolonged </w:t>
      </w:r>
      <w:r w:rsidR="005C4B01" w:rsidRPr="000E701D">
        <w:rPr>
          <w:rFonts w:ascii="Calibri" w:hAnsi="Calibri" w:cs="Calibri"/>
          <w:sz w:val="28"/>
          <w:szCs w:val="28"/>
        </w:rPr>
        <w:lastRenderedPageBreak/>
        <w:t>participation. Communication platforms such as Snapchat employ streak features that create social obligations tied to daily interaction. Given that executive functioning and impulse control continue developing into early adulthood, children and adolescents may be particularly susceptible to these engagement mechanisms. While public discourse often frames these patterns as digital addiction, a more structural analysis highlights the role of platform economies that rely on sustained user attention for profit generation</w:t>
      </w:r>
      <w:r w:rsidR="004B0569" w:rsidRPr="000E701D">
        <w:rPr>
          <w:rFonts w:ascii="Calibri" w:hAnsi="Calibri" w:cs="Calibri"/>
          <w:sz w:val="28"/>
          <w:szCs w:val="28"/>
        </w:rPr>
        <w:t xml:space="preserve"> ( Dimg and Li, 2022).</w:t>
      </w:r>
    </w:p>
    <w:p w14:paraId="245474C4" w14:textId="76B50C69" w:rsidR="00DD424D" w:rsidRDefault="005C4B01" w:rsidP="002D6286">
      <w:pPr>
        <w:spacing w:line="360" w:lineRule="auto"/>
        <w:rPr>
          <w:rFonts w:ascii="Calibri" w:hAnsi="Calibri" w:cs="Calibri"/>
          <w:sz w:val="28"/>
          <w:szCs w:val="28"/>
        </w:rPr>
      </w:pPr>
      <w:r w:rsidRPr="000E701D">
        <w:rPr>
          <w:rFonts w:ascii="Calibri" w:hAnsi="Calibri" w:cs="Calibri"/>
          <w:sz w:val="28"/>
          <w:szCs w:val="28"/>
        </w:rPr>
        <w:t>Emergent technologies also extend into the domain of health through wearable devices that quantify movement and bodily data. Meta-analyses examining wearable activity trackers among children and adolescents suggest modest increases in physical activity when devices are integrated into structured interventions. Gamified goal-setting functions and feedback mechanisms can motivate behavioural change. However, the quantification of bodily metrics raises concerns regarding surveillance and data commodification. Children’s physical data are stored within corporate systems, potentially subject to commercial use. Moreover, reliance on numerical targets may shift motivation from intrinsic enjoyment of physical activity to extrinsic reward structures. Even health-promoting technologies therefore operate within broader data-driven economies that prioritise information extraction</w:t>
      </w:r>
      <w:r w:rsidR="00DD424D" w:rsidRPr="000E701D">
        <w:rPr>
          <w:rFonts w:ascii="Calibri" w:hAnsi="Calibri" w:cs="Calibri"/>
          <w:sz w:val="28"/>
          <w:szCs w:val="28"/>
        </w:rPr>
        <w:t xml:space="preserve"> (Creaser et al., 2021).</w:t>
      </w:r>
      <w:r w:rsidR="000E701D">
        <w:rPr>
          <w:rFonts w:ascii="Calibri" w:hAnsi="Calibri" w:cs="Calibri"/>
          <w:sz w:val="28"/>
          <w:szCs w:val="28"/>
        </w:rPr>
        <w:t xml:space="preserve"> </w:t>
      </w:r>
      <w:r w:rsidR="00DD424D" w:rsidRPr="000E701D">
        <w:rPr>
          <w:rFonts w:ascii="Calibri" w:hAnsi="Calibri" w:cs="Calibri"/>
          <w:sz w:val="28"/>
          <w:szCs w:val="28"/>
        </w:rPr>
        <w:t xml:space="preserve">There is still much professional uncertainty over the connection between social media use and mental health. According to studies, excessive social media use is linked to higher levels of anxiety and depressive symptoms, especially in teenage girls. Social comparison and body image concerns may worsen on image-centric platforms. Structural correlations are still up for debate, although. It is also possible that anxious young people are more likely to use digital platforms extensively as a coping strategy. </w:t>
      </w:r>
      <w:r w:rsidR="00B90A55" w:rsidRPr="000E701D">
        <w:rPr>
          <w:rFonts w:ascii="Calibri" w:hAnsi="Calibri" w:cs="Calibri"/>
          <w:sz w:val="28"/>
          <w:szCs w:val="28"/>
        </w:rPr>
        <w:t xml:space="preserve">Additionally, thoughtful and </w:t>
      </w:r>
      <w:r w:rsidR="00B90A55" w:rsidRPr="000E701D">
        <w:rPr>
          <w:rFonts w:ascii="Calibri" w:hAnsi="Calibri" w:cs="Calibri"/>
          <w:sz w:val="28"/>
          <w:szCs w:val="28"/>
        </w:rPr>
        <w:lastRenderedPageBreak/>
        <w:t>moderate use can improve well-being by encouraging support and interaction (Shannon et al., 2022).</w:t>
      </w:r>
      <w:r w:rsidR="00DD424D" w:rsidRPr="000E701D">
        <w:rPr>
          <w:rFonts w:ascii="Calibri" w:hAnsi="Calibri" w:cs="Calibri"/>
          <w:sz w:val="28"/>
          <w:szCs w:val="28"/>
        </w:rPr>
        <w:t>Online communities frequently offer resources to raise awareness of mental health issues, which lessens stigma and encourages behaviours related to seeking treatment. The complexity of these results highlights the need to stay clear of prescriptive narratives that exclusively blame technology for psychological repercussions</w:t>
      </w:r>
      <w:r w:rsidR="00B90A55" w:rsidRPr="000E701D">
        <w:rPr>
          <w:rFonts w:ascii="Calibri" w:hAnsi="Calibri" w:cs="Calibri"/>
          <w:sz w:val="28"/>
          <w:szCs w:val="28"/>
        </w:rPr>
        <w:t xml:space="preserve"> (Agyapong-Opoku, Agyapong-Opoku, and Greenshaw, 2025).</w:t>
      </w:r>
    </w:p>
    <w:p w14:paraId="3E442A36" w14:textId="77777777" w:rsidR="000E701D" w:rsidRDefault="000E701D" w:rsidP="002D6286">
      <w:pPr>
        <w:spacing w:line="360" w:lineRule="auto"/>
        <w:rPr>
          <w:rFonts w:ascii="Calibri" w:hAnsi="Calibri" w:cs="Calibri"/>
          <w:sz w:val="28"/>
          <w:szCs w:val="28"/>
        </w:rPr>
      </w:pPr>
    </w:p>
    <w:p w14:paraId="1BC46D22" w14:textId="77777777" w:rsidR="000E701D" w:rsidRPr="000E701D" w:rsidRDefault="000E701D" w:rsidP="002D6286">
      <w:pPr>
        <w:spacing w:line="360" w:lineRule="auto"/>
        <w:rPr>
          <w:rFonts w:ascii="Calibri" w:hAnsi="Calibri" w:cs="Calibri"/>
          <w:sz w:val="28"/>
          <w:szCs w:val="28"/>
        </w:rPr>
      </w:pPr>
    </w:p>
    <w:p w14:paraId="57C53B19" w14:textId="16819E71" w:rsidR="000E701D" w:rsidRDefault="00B90A55" w:rsidP="002D6286">
      <w:pPr>
        <w:spacing w:line="360" w:lineRule="auto"/>
        <w:rPr>
          <w:rFonts w:ascii="Calibri" w:hAnsi="Calibri" w:cs="Calibri"/>
          <w:sz w:val="28"/>
          <w:szCs w:val="28"/>
        </w:rPr>
      </w:pPr>
      <w:r w:rsidRPr="000E701D">
        <w:rPr>
          <w:rFonts w:ascii="Calibri" w:hAnsi="Calibri" w:cs="Calibri"/>
          <w:sz w:val="28"/>
          <w:szCs w:val="28"/>
        </w:rPr>
        <w:t xml:space="preserve">The situation is made more difficult by digital exclusion. Some children get too involved in technology, while others have limited access because of financial limitations. Disparities in the availability of devices and dependable internet connectivity have been made worse by the </w:t>
      </w:r>
      <w:r w:rsidR="000E701D">
        <w:rPr>
          <w:rFonts w:ascii="Calibri" w:hAnsi="Calibri" w:cs="Calibri"/>
          <w:sz w:val="28"/>
          <w:szCs w:val="28"/>
        </w:rPr>
        <w:t>cost of living crisis</w:t>
      </w:r>
      <w:r w:rsidRPr="000E701D">
        <w:rPr>
          <w:rFonts w:ascii="Calibri" w:hAnsi="Calibri" w:cs="Calibri"/>
          <w:sz w:val="28"/>
          <w:szCs w:val="28"/>
        </w:rPr>
        <w:t xml:space="preserve">. Digital connectivity is becoming more and more necessary, </w:t>
      </w:r>
      <w:r w:rsidR="000E701D">
        <w:rPr>
          <w:rFonts w:ascii="Calibri" w:hAnsi="Calibri" w:cs="Calibri"/>
          <w:sz w:val="28"/>
          <w:szCs w:val="28"/>
        </w:rPr>
        <w:t>especially during the COVID-19</w:t>
      </w:r>
      <w:r w:rsidRPr="000E701D">
        <w:rPr>
          <w:rFonts w:ascii="Calibri" w:hAnsi="Calibri" w:cs="Calibri"/>
          <w:sz w:val="28"/>
          <w:szCs w:val="28"/>
        </w:rPr>
        <w:t xml:space="preserve"> pandemic</w:t>
      </w:r>
      <w:r w:rsidR="000E701D">
        <w:rPr>
          <w:rFonts w:ascii="Calibri" w:hAnsi="Calibri" w:cs="Calibri"/>
          <w:sz w:val="28"/>
          <w:szCs w:val="28"/>
        </w:rPr>
        <w:t>,</w:t>
      </w:r>
      <w:r w:rsidRPr="000E701D">
        <w:rPr>
          <w:rFonts w:ascii="Calibri" w:hAnsi="Calibri" w:cs="Calibri"/>
          <w:sz w:val="28"/>
          <w:szCs w:val="28"/>
        </w:rPr>
        <w:t> for educational participation, and disparities in access lead to disparities in opportunity. Inequalities in digital literacy also influence results; some youth develop advanced technical and creative abilities, while others continue to be content consumers. Therefore, unless they are paired with focused initiatives that support fair access and skill development, new technologies run the risk of strengthening current socioeconomic inequalities</w:t>
      </w:r>
      <w:r w:rsidR="007974C7" w:rsidRPr="000E701D">
        <w:rPr>
          <w:rFonts w:ascii="Calibri" w:hAnsi="Calibri" w:cs="Calibri"/>
          <w:sz w:val="28"/>
          <w:szCs w:val="28"/>
        </w:rPr>
        <w:t xml:space="preserve"> (Egede, Walker, and Williams, 2024).</w:t>
      </w:r>
      <w:r w:rsidR="000E701D">
        <w:rPr>
          <w:rFonts w:ascii="Calibri" w:hAnsi="Calibri" w:cs="Calibri"/>
          <w:sz w:val="28"/>
          <w:szCs w:val="28"/>
        </w:rPr>
        <w:t xml:space="preserve"> </w:t>
      </w:r>
      <w:r w:rsidR="007974C7" w:rsidRPr="000E701D">
        <w:rPr>
          <w:rFonts w:ascii="Calibri" w:hAnsi="Calibri" w:cs="Calibri"/>
          <w:sz w:val="28"/>
          <w:szCs w:val="28"/>
        </w:rPr>
        <w:t>Regulatory frameworks aim to reduce potential risks that are connected to digital environments. The Office of Communications, which regulates communications in the UK, has taken on more responsibility for monitoring internet safety. Platforms are required by the Online Safety Act 2023 to evaluate and reduce threats to children, indicating a move toward increased corporate responsibility</w:t>
      </w:r>
      <w:r w:rsidR="006E6327" w:rsidRPr="000E701D">
        <w:rPr>
          <w:rFonts w:ascii="Calibri" w:hAnsi="Calibri" w:cs="Calibri"/>
          <w:sz w:val="28"/>
          <w:szCs w:val="28"/>
        </w:rPr>
        <w:t>.</w:t>
      </w:r>
      <w:r w:rsidR="006F3B57" w:rsidRPr="000E701D">
        <w:rPr>
          <w:rFonts w:ascii="Calibri" w:hAnsi="Calibri" w:cs="Calibri"/>
          <w:sz w:val="28"/>
          <w:szCs w:val="28"/>
        </w:rPr>
        <w:t xml:space="preserve"> </w:t>
      </w:r>
      <w:r w:rsidR="007974C7" w:rsidRPr="000E701D">
        <w:rPr>
          <w:rFonts w:ascii="Calibri" w:hAnsi="Calibri" w:cs="Calibri"/>
          <w:sz w:val="28"/>
          <w:szCs w:val="28"/>
        </w:rPr>
        <w:t xml:space="preserve">Furthermore, the </w:t>
      </w:r>
      <w:r w:rsidR="007974C7" w:rsidRPr="000E701D">
        <w:rPr>
          <w:rFonts w:ascii="Calibri" w:hAnsi="Calibri" w:cs="Calibri"/>
          <w:sz w:val="28"/>
          <w:szCs w:val="28"/>
        </w:rPr>
        <w:lastRenderedPageBreak/>
        <w:t xml:space="preserve">General Data Protection Regulation strengthens safeguards </w:t>
      </w:r>
      <w:r w:rsidR="006F3B57" w:rsidRPr="000E701D">
        <w:rPr>
          <w:rFonts w:ascii="Calibri" w:hAnsi="Calibri" w:cs="Calibri"/>
          <w:sz w:val="28"/>
          <w:szCs w:val="28"/>
        </w:rPr>
        <w:t xml:space="preserve">for </w:t>
      </w:r>
      <w:r w:rsidR="007974C7" w:rsidRPr="000E701D">
        <w:rPr>
          <w:rFonts w:ascii="Calibri" w:hAnsi="Calibri" w:cs="Calibri"/>
          <w:sz w:val="28"/>
          <w:szCs w:val="28"/>
        </w:rPr>
        <w:t>even more personal information and acknowledges children as more vulnerable data subjects in need of more protection. These regulations are an attempt to restore the balance of power between IT corporations and users</w:t>
      </w:r>
      <w:r w:rsidR="006E6327" w:rsidRPr="000E701D">
        <w:rPr>
          <w:rFonts w:ascii="Calibri" w:hAnsi="Calibri" w:cs="Calibri"/>
          <w:sz w:val="28"/>
          <w:szCs w:val="28"/>
        </w:rPr>
        <w:t xml:space="preserve"> (Legislation. GOV.UK, 2023). </w:t>
      </w:r>
    </w:p>
    <w:p w14:paraId="2C5E6D1E" w14:textId="5A826764" w:rsidR="00482A36" w:rsidRPr="000E701D" w:rsidRDefault="00482A36" w:rsidP="002D6286">
      <w:pPr>
        <w:spacing w:after="0" w:line="360" w:lineRule="auto"/>
        <w:rPr>
          <w:rFonts w:ascii="Calibri" w:hAnsi="Calibri" w:cs="Calibri"/>
          <w:sz w:val="28"/>
          <w:szCs w:val="28"/>
        </w:rPr>
      </w:pPr>
      <w:r w:rsidRPr="000E701D">
        <w:rPr>
          <w:rFonts w:ascii="Calibri" w:hAnsi="Calibri" w:cs="Calibri"/>
          <w:sz w:val="28"/>
          <w:szCs w:val="28"/>
        </w:rPr>
        <w:t xml:space="preserve">However, there are many obstacles in the way of regulatory initiatives. Global operations of digital platforms make national regulation more difficult. Concerns about censorship and freedom of speech are raised by the fact that content moderation frequently depends on automated systems that may incorrectly identify acceptable content. Cultural norms and conflicting ideals make defining what is damaging content fundamentally political. Limited enforcement resources and platform compliance delays further undermine effectiveness. While </w:t>
      </w:r>
      <w:proofErr w:type="spellStart"/>
      <w:r w:rsidRPr="000E701D">
        <w:rPr>
          <w:rFonts w:ascii="Calibri" w:hAnsi="Calibri" w:cs="Calibri"/>
          <w:sz w:val="28"/>
          <w:szCs w:val="28"/>
        </w:rPr>
        <w:t>underregulation</w:t>
      </w:r>
      <w:proofErr w:type="spellEnd"/>
      <w:r w:rsidRPr="000E701D">
        <w:rPr>
          <w:rFonts w:ascii="Calibri" w:hAnsi="Calibri" w:cs="Calibri"/>
          <w:sz w:val="28"/>
          <w:szCs w:val="28"/>
        </w:rPr>
        <w:t xml:space="preserve"> may lead adolescents to dangerous information, excessive legislation might limit acceptable activist or instructional materials. Therefore, advanced, rights-based methods that acknowledge children as both participants with the right to digital participation and as vulnerable subjects are necessary for effective governance (Judson, Kira, and Howard, 2024).</w:t>
      </w:r>
    </w:p>
    <w:p w14:paraId="47EA675F" w14:textId="77777777" w:rsidR="000E701D" w:rsidRDefault="000E701D" w:rsidP="002D6286">
      <w:pPr>
        <w:spacing w:line="360" w:lineRule="auto"/>
        <w:rPr>
          <w:rFonts w:ascii="Calibri" w:hAnsi="Calibri" w:cs="Calibri"/>
          <w:sz w:val="28"/>
          <w:szCs w:val="28"/>
        </w:rPr>
      </w:pPr>
    </w:p>
    <w:p w14:paraId="7605DF61" w14:textId="77777777" w:rsidR="005248F2" w:rsidRDefault="005248F2" w:rsidP="002D6286">
      <w:pPr>
        <w:spacing w:line="360" w:lineRule="auto"/>
        <w:rPr>
          <w:rFonts w:ascii="Calibri" w:hAnsi="Calibri" w:cs="Calibri"/>
          <w:sz w:val="28"/>
          <w:szCs w:val="28"/>
        </w:rPr>
      </w:pPr>
    </w:p>
    <w:p w14:paraId="6A634C00" w14:textId="77777777" w:rsidR="005248F2" w:rsidRDefault="005248F2" w:rsidP="002D6286">
      <w:pPr>
        <w:spacing w:line="360" w:lineRule="auto"/>
        <w:rPr>
          <w:rFonts w:ascii="Calibri" w:hAnsi="Calibri" w:cs="Calibri"/>
          <w:sz w:val="28"/>
          <w:szCs w:val="28"/>
        </w:rPr>
      </w:pPr>
    </w:p>
    <w:p w14:paraId="55CCDC91" w14:textId="77777777" w:rsidR="000E701D" w:rsidRDefault="000E701D" w:rsidP="002D6286">
      <w:pPr>
        <w:spacing w:line="360" w:lineRule="auto"/>
        <w:rPr>
          <w:rFonts w:ascii="Calibri" w:hAnsi="Calibri" w:cs="Calibri"/>
          <w:sz w:val="28"/>
          <w:szCs w:val="28"/>
        </w:rPr>
      </w:pPr>
    </w:p>
    <w:p w14:paraId="31DD8BFF" w14:textId="068C7764" w:rsidR="00DF5888" w:rsidRPr="000E701D" w:rsidRDefault="00DF5888" w:rsidP="002D6286">
      <w:pPr>
        <w:spacing w:line="360" w:lineRule="auto"/>
        <w:rPr>
          <w:rFonts w:ascii="Calibri" w:hAnsi="Calibri" w:cs="Calibri"/>
          <w:sz w:val="28"/>
          <w:szCs w:val="28"/>
        </w:rPr>
      </w:pPr>
      <w:r w:rsidRPr="000E701D">
        <w:rPr>
          <w:rFonts w:ascii="Calibri" w:hAnsi="Calibri" w:cs="Calibri"/>
          <w:sz w:val="28"/>
          <w:szCs w:val="28"/>
        </w:rPr>
        <w:t>CONCLUSION</w:t>
      </w:r>
    </w:p>
    <w:p w14:paraId="1547D22D" w14:textId="7BA87F32" w:rsidR="00482A36" w:rsidRPr="000E701D" w:rsidRDefault="005C4B01" w:rsidP="002D6286">
      <w:pPr>
        <w:spacing w:line="360" w:lineRule="auto"/>
        <w:rPr>
          <w:rFonts w:ascii="Calibri" w:hAnsi="Calibri" w:cs="Calibri"/>
          <w:sz w:val="28"/>
          <w:szCs w:val="28"/>
        </w:rPr>
      </w:pPr>
      <w:r w:rsidRPr="000E701D">
        <w:rPr>
          <w:rFonts w:ascii="Calibri" w:hAnsi="Calibri" w:cs="Calibri"/>
          <w:sz w:val="28"/>
          <w:szCs w:val="28"/>
        </w:rPr>
        <w:t xml:space="preserve">In conclusion, emergent technologies shape children’s and young people’s lives in ways that are complex, contradictory and deeply embedded within broader </w:t>
      </w:r>
      <w:r w:rsidRPr="000E701D">
        <w:rPr>
          <w:rFonts w:ascii="Calibri" w:hAnsi="Calibri" w:cs="Calibri"/>
          <w:sz w:val="28"/>
          <w:szCs w:val="28"/>
        </w:rPr>
        <w:lastRenderedPageBreak/>
        <w:t>systems of power and inequality. Through the theoretical lenses of Piaget, Erikson, Bandura and Bronfenbrenner, it becomes evident that digital environments intensify developmental processes while situating them within commercial and regulatory infrastructures</w:t>
      </w:r>
      <w:r w:rsidR="007B7908" w:rsidRPr="000E701D">
        <w:rPr>
          <w:rFonts w:ascii="Calibri" w:hAnsi="Calibri" w:cs="Calibri"/>
          <w:sz w:val="28"/>
          <w:szCs w:val="28"/>
        </w:rPr>
        <w:t xml:space="preserve"> (Mitchell et al., 2022)</w:t>
      </w:r>
      <w:r w:rsidRPr="000E701D">
        <w:rPr>
          <w:rFonts w:ascii="Calibri" w:hAnsi="Calibri" w:cs="Calibri"/>
          <w:sz w:val="28"/>
          <w:szCs w:val="28"/>
        </w:rPr>
        <w:t xml:space="preserve">. </w:t>
      </w:r>
      <w:r w:rsidR="00482A36" w:rsidRPr="000E701D">
        <w:rPr>
          <w:rFonts w:ascii="Calibri" w:hAnsi="Calibri" w:cs="Calibri"/>
          <w:sz w:val="28"/>
          <w:szCs w:val="28"/>
        </w:rPr>
        <w:t>Social media platforms have the potential to promote participation in society, artistic expression, and identity development, but they can also increase competition, manipulative creativity, and social comparison. While expanding information monitoring inside the body, wearable technology may encourage physical exercise. While digital access might increase educational opportunities, it can also reinforce structural inequality</w:t>
      </w:r>
      <w:r w:rsidR="007B7908" w:rsidRPr="000E701D">
        <w:rPr>
          <w:rFonts w:ascii="Calibri" w:hAnsi="Calibri" w:cs="Calibri"/>
          <w:sz w:val="28"/>
          <w:szCs w:val="28"/>
        </w:rPr>
        <w:t xml:space="preserve"> (Kilag et al., 2022)</w:t>
      </w:r>
      <w:r w:rsidR="00482A36" w:rsidRPr="000E701D">
        <w:rPr>
          <w:rFonts w:ascii="Calibri" w:hAnsi="Calibri" w:cs="Calibri"/>
          <w:sz w:val="28"/>
          <w:szCs w:val="28"/>
        </w:rPr>
        <w:t xml:space="preserve">. Accordingly, a critical and theoretically grounded approach is crucial. Technology must be viewed as a component of a socio-technical ecosystem influenced by political regulation, cultural norms, and financial benefits rather than as a stand-alone element. In an increasingly networked world, the main difficulty is making sure that digital settings are set up to </w:t>
      </w:r>
      <w:r w:rsidR="00DF5888" w:rsidRPr="000E701D">
        <w:rPr>
          <w:rFonts w:ascii="Calibri" w:hAnsi="Calibri" w:cs="Calibri"/>
          <w:sz w:val="28"/>
          <w:szCs w:val="28"/>
        </w:rPr>
        <w:t>prioritise</w:t>
      </w:r>
      <w:r w:rsidR="00482A36" w:rsidRPr="000E701D">
        <w:rPr>
          <w:rFonts w:ascii="Calibri" w:hAnsi="Calibri" w:cs="Calibri"/>
          <w:sz w:val="28"/>
          <w:szCs w:val="28"/>
        </w:rPr>
        <w:t xml:space="preserve"> children's rights, welfare, and equal chances</w:t>
      </w:r>
      <w:r w:rsidR="007B7908" w:rsidRPr="000E701D">
        <w:rPr>
          <w:rFonts w:ascii="Calibri" w:hAnsi="Calibri" w:cs="Calibri"/>
          <w:sz w:val="28"/>
          <w:szCs w:val="28"/>
        </w:rPr>
        <w:t xml:space="preserve"> (Navarro and Tudge, 2022).</w:t>
      </w:r>
    </w:p>
    <w:p w14:paraId="526FFAF1" w14:textId="77777777" w:rsidR="007B7908" w:rsidRPr="000E701D" w:rsidRDefault="007B7908" w:rsidP="002D6286">
      <w:pPr>
        <w:spacing w:line="360" w:lineRule="auto"/>
        <w:rPr>
          <w:rFonts w:ascii="Calibri" w:hAnsi="Calibri" w:cs="Calibri"/>
          <w:sz w:val="28"/>
          <w:szCs w:val="28"/>
        </w:rPr>
      </w:pPr>
    </w:p>
    <w:p w14:paraId="5F510A8C" w14:textId="77777777" w:rsidR="007B7908" w:rsidRDefault="007B7908" w:rsidP="002D6286">
      <w:pPr>
        <w:spacing w:line="360" w:lineRule="auto"/>
        <w:rPr>
          <w:rFonts w:ascii="Calibri" w:hAnsi="Calibri" w:cs="Calibri"/>
          <w:sz w:val="28"/>
          <w:szCs w:val="28"/>
        </w:rPr>
      </w:pPr>
    </w:p>
    <w:p w14:paraId="11EFA397" w14:textId="77777777" w:rsidR="000E701D" w:rsidRDefault="000E701D" w:rsidP="002D6286">
      <w:pPr>
        <w:spacing w:line="360" w:lineRule="auto"/>
        <w:rPr>
          <w:rFonts w:ascii="Calibri" w:hAnsi="Calibri" w:cs="Calibri"/>
          <w:sz w:val="28"/>
          <w:szCs w:val="28"/>
        </w:rPr>
      </w:pPr>
    </w:p>
    <w:p w14:paraId="539D0546" w14:textId="77777777" w:rsidR="000E701D" w:rsidRDefault="000E701D" w:rsidP="002D6286">
      <w:pPr>
        <w:spacing w:line="360" w:lineRule="auto"/>
        <w:rPr>
          <w:rFonts w:ascii="Calibri" w:hAnsi="Calibri" w:cs="Calibri"/>
          <w:sz w:val="28"/>
          <w:szCs w:val="28"/>
        </w:rPr>
      </w:pPr>
    </w:p>
    <w:p w14:paraId="381C693D" w14:textId="77777777" w:rsidR="000E701D" w:rsidRDefault="000E701D" w:rsidP="002D6286">
      <w:pPr>
        <w:spacing w:line="360" w:lineRule="auto"/>
        <w:rPr>
          <w:rFonts w:ascii="Calibri" w:hAnsi="Calibri" w:cs="Calibri"/>
          <w:sz w:val="28"/>
          <w:szCs w:val="28"/>
        </w:rPr>
      </w:pPr>
    </w:p>
    <w:p w14:paraId="132D18B6" w14:textId="77777777" w:rsidR="000E701D" w:rsidRDefault="000E701D" w:rsidP="002D6286">
      <w:pPr>
        <w:spacing w:line="360" w:lineRule="auto"/>
        <w:rPr>
          <w:rFonts w:ascii="Calibri" w:hAnsi="Calibri" w:cs="Calibri"/>
          <w:sz w:val="28"/>
          <w:szCs w:val="28"/>
        </w:rPr>
      </w:pPr>
    </w:p>
    <w:p w14:paraId="2A851175" w14:textId="77777777" w:rsidR="000E701D" w:rsidRDefault="000E701D" w:rsidP="00482A36">
      <w:pPr>
        <w:rPr>
          <w:rFonts w:ascii="Calibri" w:hAnsi="Calibri" w:cs="Calibri"/>
          <w:sz w:val="28"/>
          <w:szCs w:val="28"/>
        </w:rPr>
      </w:pPr>
    </w:p>
    <w:p w14:paraId="46CDF39B" w14:textId="77777777" w:rsidR="000E701D" w:rsidRDefault="000E701D" w:rsidP="00482A36">
      <w:pPr>
        <w:rPr>
          <w:rFonts w:ascii="Calibri" w:hAnsi="Calibri" w:cs="Calibri"/>
          <w:sz w:val="28"/>
          <w:szCs w:val="28"/>
        </w:rPr>
      </w:pPr>
    </w:p>
    <w:p w14:paraId="43FE49F1" w14:textId="77777777" w:rsidR="000E701D" w:rsidRDefault="000E701D" w:rsidP="00482A36">
      <w:pPr>
        <w:rPr>
          <w:rFonts w:ascii="Calibri" w:hAnsi="Calibri" w:cs="Calibri"/>
          <w:sz w:val="28"/>
          <w:szCs w:val="28"/>
        </w:rPr>
      </w:pPr>
    </w:p>
    <w:p w14:paraId="558660B9" w14:textId="77777777" w:rsidR="000E701D" w:rsidRDefault="000E701D" w:rsidP="00482A36">
      <w:pPr>
        <w:rPr>
          <w:rFonts w:ascii="Calibri" w:hAnsi="Calibri" w:cs="Calibri"/>
          <w:sz w:val="28"/>
          <w:szCs w:val="28"/>
        </w:rPr>
      </w:pPr>
    </w:p>
    <w:p w14:paraId="7D4C7F02" w14:textId="77777777" w:rsidR="000E701D" w:rsidRDefault="000E701D" w:rsidP="00482A36">
      <w:pPr>
        <w:rPr>
          <w:rFonts w:ascii="Calibri" w:hAnsi="Calibri" w:cs="Calibri"/>
          <w:sz w:val="28"/>
          <w:szCs w:val="28"/>
        </w:rPr>
      </w:pPr>
    </w:p>
    <w:p w14:paraId="00B5F687" w14:textId="77777777" w:rsidR="000E701D" w:rsidRPr="000E701D" w:rsidRDefault="000E701D" w:rsidP="00482A36">
      <w:pPr>
        <w:rPr>
          <w:rFonts w:ascii="Calibri" w:hAnsi="Calibri" w:cs="Calibri"/>
          <w:sz w:val="28"/>
          <w:szCs w:val="28"/>
        </w:rPr>
      </w:pPr>
    </w:p>
    <w:p w14:paraId="1FD7E114" w14:textId="4D1AC084" w:rsidR="007B7908" w:rsidRPr="000E701D" w:rsidRDefault="007B7908" w:rsidP="00482A36">
      <w:pPr>
        <w:rPr>
          <w:rFonts w:ascii="Calibri" w:hAnsi="Calibri" w:cs="Calibri"/>
          <w:sz w:val="28"/>
          <w:szCs w:val="28"/>
        </w:rPr>
      </w:pPr>
      <w:r w:rsidRPr="000E701D">
        <w:rPr>
          <w:rFonts w:ascii="Calibri" w:hAnsi="Calibri" w:cs="Calibri"/>
          <w:sz w:val="28"/>
          <w:szCs w:val="28"/>
        </w:rPr>
        <w:t>Reference list</w:t>
      </w:r>
    </w:p>
    <w:p w14:paraId="57CC18FF" w14:textId="77777777" w:rsidR="007B7908" w:rsidRPr="000E701D" w:rsidRDefault="007B7908" w:rsidP="00482A36">
      <w:pPr>
        <w:rPr>
          <w:rFonts w:ascii="Calibri" w:hAnsi="Calibri" w:cs="Calibri"/>
          <w:sz w:val="28"/>
          <w:szCs w:val="28"/>
        </w:rPr>
      </w:pPr>
    </w:p>
    <w:p w14:paraId="5D9E137C" w14:textId="77777777" w:rsidR="007B7908" w:rsidRPr="000E701D" w:rsidRDefault="007B7908" w:rsidP="007B7908">
      <w:pPr>
        <w:rPr>
          <w:rFonts w:ascii="Calibri" w:hAnsi="Calibri" w:cs="Calibri"/>
          <w:sz w:val="28"/>
          <w:szCs w:val="28"/>
        </w:rPr>
      </w:pPr>
    </w:p>
    <w:p w14:paraId="145E71E9" w14:textId="77777777" w:rsidR="007B7908" w:rsidRPr="000E701D" w:rsidRDefault="007B7908" w:rsidP="007B7908">
      <w:pPr>
        <w:rPr>
          <w:rFonts w:ascii="Calibri" w:hAnsi="Calibri" w:cs="Calibri"/>
          <w:sz w:val="28"/>
          <w:szCs w:val="28"/>
        </w:rPr>
      </w:pPr>
      <w:proofErr w:type="spellStart"/>
      <w:r w:rsidRPr="000E701D">
        <w:rPr>
          <w:rFonts w:ascii="Calibri" w:hAnsi="Calibri" w:cs="Calibri"/>
          <w:sz w:val="28"/>
          <w:szCs w:val="28"/>
        </w:rPr>
        <w:t>Atalatti</w:t>
      </w:r>
      <w:proofErr w:type="spellEnd"/>
      <w:r w:rsidRPr="000E701D">
        <w:rPr>
          <w:rFonts w:ascii="Calibri" w:hAnsi="Calibri" w:cs="Calibri"/>
          <w:sz w:val="28"/>
          <w:szCs w:val="28"/>
        </w:rPr>
        <w:t xml:space="preserve">, S., and Pawar, U. (2024) ‘Addictive interfaces: How persuasion, psychology principles, and emotions shape engagement’, </w:t>
      </w:r>
      <w:r w:rsidRPr="000E701D">
        <w:rPr>
          <w:rFonts w:ascii="Calibri" w:hAnsi="Calibri" w:cs="Calibri"/>
          <w:i/>
          <w:iCs/>
          <w:sz w:val="28"/>
          <w:szCs w:val="28"/>
        </w:rPr>
        <w:t>In</w:t>
      </w:r>
      <w:r w:rsidRPr="000E701D">
        <w:rPr>
          <w:rFonts w:ascii="Calibri" w:hAnsi="Calibri" w:cs="Calibri"/>
          <w:sz w:val="28"/>
          <w:szCs w:val="28"/>
        </w:rPr>
        <w:t> </w:t>
      </w:r>
      <w:r w:rsidRPr="000E701D">
        <w:rPr>
          <w:rFonts w:ascii="Calibri" w:hAnsi="Calibri" w:cs="Calibri"/>
          <w:i/>
          <w:iCs/>
          <w:sz w:val="28"/>
          <w:szCs w:val="28"/>
        </w:rPr>
        <w:t>Interactive media with next-gen technologies and their usability evaluation</w:t>
      </w:r>
      <w:r w:rsidRPr="000E701D">
        <w:rPr>
          <w:rFonts w:ascii="Calibri" w:hAnsi="Calibri" w:cs="Calibri"/>
          <w:sz w:val="28"/>
          <w:szCs w:val="28"/>
        </w:rPr>
        <w:t>  10(3) pp. 47-66.</w:t>
      </w:r>
    </w:p>
    <w:p w14:paraId="0644C6C6" w14:textId="77777777" w:rsidR="007B7908" w:rsidRPr="000E701D" w:rsidRDefault="007B7908" w:rsidP="007B7908">
      <w:pPr>
        <w:rPr>
          <w:rFonts w:ascii="Calibri" w:hAnsi="Calibri" w:cs="Calibri"/>
          <w:sz w:val="28"/>
          <w:szCs w:val="28"/>
        </w:rPr>
      </w:pPr>
    </w:p>
    <w:p w14:paraId="178A4637"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Agyapong-Opoku, N., Agyapong-Opoku, F., and Greenshaw, A. J. (2025) ‘Effects of Social Media Use on Youth and Adolescent Mental Health: A Scoping Review of Reviews’, </w:t>
      </w:r>
      <w:r w:rsidRPr="000E701D">
        <w:rPr>
          <w:rFonts w:ascii="Calibri" w:hAnsi="Calibri" w:cs="Calibri"/>
          <w:i/>
          <w:iCs/>
          <w:sz w:val="28"/>
          <w:szCs w:val="28"/>
        </w:rPr>
        <w:t>Behavioural Sciences</w:t>
      </w:r>
      <w:r w:rsidRPr="000E701D">
        <w:rPr>
          <w:rFonts w:ascii="Calibri" w:hAnsi="Calibri" w:cs="Calibri"/>
          <w:sz w:val="28"/>
          <w:szCs w:val="28"/>
        </w:rPr>
        <w:t xml:space="preserve">, 15(5), pp. 574. </w:t>
      </w:r>
    </w:p>
    <w:p w14:paraId="2EB46CDF" w14:textId="77777777" w:rsidR="007B7908" w:rsidRPr="000E701D" w:rsidRDefault="007B7908" w:rsidP="007B7908">
      <w:pPr>
        <w:rPr>
          <w:rFonts w:ascii="Calibri" w:hAnsi="Calibri" w:cs="Calibri"/>
          <w:sz w:val="28"/>
          <w:szCs w:val="28"/>
        </w:rPr>
      </w:pPr>
    </w:p>
    <w:p w14:paraId="5AC16606"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 xml:space="preserve">Au, W. W., Recchia, F., Fong, D. Y., Wong, S. H. S., Chan, D. K. C., Capio, C. M., Yu, C. C. W., Wong, S. W. S., Sit, C. H. P., Ip, P., Chen, Y. J., Thompson, W. R., and Siu, P. M. (2024) 'Effect of wearable activity trackers on physical activity in children and adolescents: a systematic review and meta-analysis', </w:t>
      </w:r>
      <w:r w:rsidRPr="000E701D">
        <w:rPr>
          <w:rFonts w:ascii="Calibri" w:hAnsi="Calibri" w:cs="Calibri"/>
          <w:i/>
          <w:iCs/>
          <w:sz w:val="28"/>
          <w:szCs w:val="28"/>
        </w:rPr>
        <w:t>The Lancet. Digital health</w:t>
      </w:r>
      <w:r w:rsidRPr="000E701D">
        <w:rPr>
          <w:rFonts w:ascii="Calibri" w:hAnsi="Calibri" w:cs="Calibri"/>
          <w:sz w:val="28"/>
          <w:szCs w:val="28"/>
        </w:rPr>
        <w:t xml:space="preserve">, 6(9), pp. 625–639. </w:t>
      </w:r>
    </w:p>
    <w:p w14:paraId="4873EB2A" w14:textId="77777777" w:rsidR="007B7908" w:rsidRPr="000E701D" w:rsidRDefault="007B7908" w:rsidP="007B7908">
      <w:pPr>
        <w:rPr>
          <w:rFonts w:ascii="Calibri" w:hAnsi="Calibri" w:cs="Calibri"/>
          <w:sz w:val="28"/>
          <w:szCs w:val="28"/>
        </w:rPr>
      </w:pPr>
    </w:p>
    <w:p w14:paraId="2211952F"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 xml:space="preserve">Avci, H., Baams, L., and Kretschmer, T. (2025) ‘A Systematic Review of Social Media Use and Adolescent Identity Development’, </w:t>
      </w:r>
      <w:r w:rsidRPr="000E701D">
        <w:rPr>
          <w:rFonts w:ascii="Calibri" w:hAnsi="Calibri" w:cs="Calibri"/>
          <w:i/>
          <w:iCs/>
          <w:sz w:val="28"/>
          <w:szCs w:val="28"/>
        </w:rPr>
        <w:t>Adolescent research review</w:t>
      </w:r>
      <w:r w:rsidRPr="000E701D">
        <w:rPr>
          <w:rFonts w:ascii="Calibri" w:hAnsi="Calibri" w:cs="Calibri"/>
          <w:sz w:val="28"/>
          <w:szCs w:val="28"/>
        </w:rPr>
        <w:t xml:space="preserve">, 10(2), pp. 219–236. </w:t>
      </w:r>
    </w:p>
    <w:p w14:paraId="1794E745" w14:textId="77777777" w:rsidR="007B7908" w:rsidRPr="000E701D" w:rsidRDefault="007B7908" w:rsidP="007B7908">
      <w:pPr>
        <w:rPr>
          <w:rFonts w:ascii="Calibri" w:hAnsi="Calibri" w:cs="Calibri"/>
          <w:sz w:val="28"/>
          <w:szCs w:val="28"/>
        </w:rPr>
      </w:pPr>
    </w:p>
    <w:p w14:paraId="46790893"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 xml:space="preserve">Creaser, A. V., Clemes, S. A., Costa, S., Hall, J., </w:t>
      </w:r>
      <w:proofErr w:type="spellStart"/>
      <w:r w:rsidRPr="000E701D">
        <w:rPr>
          <w:rFonts w:ascii="Calibri" w:hAnsi="Calibri" w:cs="Calibri"/>
          <w:sz w:val="28"/>
          <w:szCs w:val="28"/>
        </w:rPr>
        <w:t>Ridgers</w:t>
      </w:r>
      <w:proofErr w:type="spellEnd"/>
      <w:r w:rsidRPr="000E701D">
        <w:rPr>
          <w:rFonts w:ascii="Calibri" w:hAnsi="Calibri" w:cs="Calibri"/>
          <w:sz w:val="28"/>
          <w:szCs w:val="28"/>
        </w:rPr>
        <w:t>, N. D., Barber, S. E., and Bingham, D. D. (2021) ‘The Acceptability, Feasibility, and Effectiveness of Wearable Activity Trackers for Increasing Physical Activity in Children and Adolescents: A Systematic Review’ </w:t>
      </w:r>
      <w:r w:rsidRPr="000E701D">
        <w:rPr>
          <w:rFonts w:ascii="Calibri" w:hAnsi="Calibri" w:cs="Calibri"/>
          <w:i/>
          <w:iCs/>
          <w:sz w:val="28"/>
          <w:szCs w:val="28"/>
        </w:rPr>
        <w:t>International journal of environmental research and public health</w:t>
      </w:r>
      <w:r w:rsidRPr="000E701D">
        <w:rPr>
          <w:rFonts w:ascii="Calibri" w:hAnsi="Calibri" w:cs="Calibri"/>
          <w:sz w:val="28"/>
          <w:szCs w:val="28"/>
        </w:rPr>
        <w:t xml:space="preserve">, 18(12), pp. 6211. </w:t>
      </w:r>
    </w:p>
    <w:p w14:paraId="2C4AC652" w14:textId="77777777" w:rsidR="007B7908" w:rsidRPr="000E701D" w:rsidRDefault="007B7908" w:rsidP="007B7908">
      <w:pPr>
        <w:rPr>
          <w:rFonts w:ascii="Calibri" w:hAnsi="Calibri" w:cs="Calibri"/>
          <w:sz w:val="28"/>
          <w:szCs w:val="28"/>
        </w:rPr>
      </w:pPr>
    </w:p>
    <w:p w14:paraId="4BA7063D"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Clemente-Suárez, V. J., Beltrán-Velasco, A. I., Herrero-Roldán, S., Rodriguez-Besteiro, S., Martínez-Guardado, I., Martín-Rodríguez, A., and Tornero-Aguilera, J. F. (2024) ‘Digital Device Usage and Childhood Cognitive Development: Exploring Effects on Cognitive Abilities’, </w:t>
      </w:r>
      <w:r w:rsidRPr="000E701D">
        <w:rPr>
          <w:rFonts w:ascii="Calibri" w:hAnsi="Calibri" w:cs="Calibri"/>
          <w:i/>
          <w:iCs/>
          <w:sz w:val="28"/>
          <w:szCs w:val="28"/>
        </w:rPr>
        <w:t>Children</w:t>
      </w:r>
      <w:r w:rsidRPr="000E701D">
        <w:rPr>
          <w:rFonts w:ascii="Calibri" w:hAnsi="Calibri" w:cs="Calibri"/>
          <w:sz w:val="28"/>
          <w:szCs w:val="28"/>
        </w:rPr>
        <w:t>, 11(11),pp.  1299.</w:t>
      </w:r>
    </w:p>
    <w:p w14:paraId="61A732D1" w14:textId="77777777" w:rsidR="007B7908" w:rsidRPr="000E701D" w:rsidRDefault="007B7908" w:rsidP="007B7908">
      <w:pPr>
        <w:rPr>
          <w:rFonts w:ascii="Calibri" w:hAnsi="Calibri" w:cs="Calibri"/>
          <w:sz w:val="28"/>
          <w:szCs w:val="28"/>
        </w:rPr>
      </w:pPr>
    </w:p>
    <w:p w14:paraId="665561E7"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Ding, K., and Li, H. (2023) ‘Digital addiction intervention for children and adolescents: A scoping review’, </w:t>
      </w:r>
      <w:r w:rsidRPr="000E701D">
        <w:rPr>
          <w:rFonts w:ascii="Calibri" w:hAnsi="Calibri" w:cs="Calibri"/>
          <w:i/>
          <w:iCs/>
          <w:sz w:val="28"/>
          <w:szCs w:val="28"/>
        </w:rPr>
        <w:t>International journal of environmental research and public health</w:t>
      </w:r>
      <w:r w:rsidRPr="000E701D">
        <w:rPr>
          <w:rFonts w:ascii="Calibri" w:hAnsi="Calibri" w:cs="Calibri"/>
          <w:sz w:val="28"/>
          <w:szCs w:val="28"/>
        </w:rPr>
        <w:t>, 20(6), pp. 4777.</w:t>
      </w:r>
    </w:p>
    <w:p w14:paraId="7499BCEC" w14:textId="77777777" w:rsidR="007B7908" w:rsidRPr="000E701D" w:rsidRDefault="007B7908" w:rsidP="007B7908">
      <w:pPr>
        <w:rPr>
          <w:rFonts w:ascii="Calibri" w:hAnsi="Calibri" w:cs="Calibri"/>
          <w:sz w:val="28"/>
          <w:szCs w:val="28"/>
        </w:rPr>
      </w:pPr>
    </w:p>
    <w:p w14:paraId="48F19A0D"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Egede, L. E., Walker, R. J., and Williams, J. S. (2024) ‘Addressing Structural Inequalities, Structural Racism, and Social Determinants of Health: a Vision for the Future’, </w:t>
      </w:r>
      <w:r w:rsidRPr="000E701D">
        <w:rPr>
          <w:rFonts w:ascii="Calibri" w:hAnsi="Calibri" w:cs="Calibri"/>
          <w:i/>
          <w:iCs/>
          <w:sz w:val="28"/>
          <w:szCs w:val="28"/>
        </w:rPr>
        <w:t>Journal of general internal medicine</w:t>
      </w:r>
      <w:r w:rsidRPr="000E701D">
        <w:rPr>
          <w:rFonts w:ascii="Calibri" w:hAnsi="Calibri" w:cs="Calibri"/>
          <w:sz w:val="28"/>
          <w:szCs w:val="28"/>
        </w:rPr>
        <w:t xml:space="preserve">, 39(3), pp. 487–491. </w:t>
      </w:r>
    </w:p>
    <w:p w14:paraId="77AFC959" w14:textId="77777777" w:rsidR="007B7908" w:rsidRPr="000E701D" w:rsidRDefault="007B7908" w:rsidP="007B7908">
      <w:pPr>
        <w:rPr>
          <w:rFonts w:ascii="Calibri" w:hAnsi="Calibri" w:cs="Calibri"/>
          <w:sz w:val="28"/>
          <w:szCs w:val="28"/>
        </w:rPr>
      </w:pPr>
    </w:p>
    <w:p w14:paraId="2DCC595D"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Harwood, S., and Eaves, S. (2020) ‘Conceptualising technology, its development and future: The six genres of technology’, </w:t>
      </w:r>
      <w:r w:rsidRPr="000E701D">
        <w:rPr>
          <w:rFonts w:ascii="Calibri" w:hAnsi="Calibri" w:cs="Calibri"/>
          <w:i/>
          <w:iCs/>
          <w:sz w:val="28"/>
          <w:szCs w:val="28"/>
        </w:rPr>
        <w:t>Technological forecasting and social change</w:t>
      </w:r>
      <w:r w:rsidRPr="000E701D">
        <w:rPr>
          <w:rFonts w:ascii="Calibri" w:hAnsi="Calibri" w:cs="Calibri"/>
          <w:sz w:val="28"/>
          <w:szCs w:val="28"/>
        </w:rPr>
        <w:t xml:space="preserve">, 160(1), pp.120174. </w:t>
      </w:r>
    </w:p>
    <w:p w14:paraId="138D0C58" w14:textId="77777777" w:rsidR="007B7908" w:rsidRPr="000E701D" w:rsidRDefault="007B7908" w:rsidP="007B7908">
      <w:pPr>
        <w:rPr>
          <w:rFonts w:ascii="Calibri" w:hAnsi="Calibri" w:cs="Calibri"/>
          <w:sz w:val="28"/>
          <w:szCs w:val="28"/>
        </w:rPr>
      </w:pPr>
    </w:p>
    <w:p w14:paraId="251F515B"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 xml:space="preserve">Hasan M. K. (2024) ‘Digital multitasking and hyperactivity: unveiling the hidden costs to brain health’, </w:t>
      </w:r>
      <w:r w:rsidRPr="000E701D">
        <w:rPr>
          <w:rFonts w:ascii="Calibri" w:hAnsi="Calibri" w:cs="Calibri"/>
          <w:i/>
          <w:iCs/>
          <w:sz w:val="28"/>
          <w:szCs w:val="28"/>
        </w:rPr>
        <w:t>Annals of medicine and surgery (2012)</w:t>
      </w:r>
      <w:r w:rsidRPr="000E701D">
        <w:rPr>
          <w:rFonts w:ascii="Calibri" w:hAnsi="Calibri" w:cs="Calibri"/>
          <w:sz w:val="28"/>
          <w:szCs w:val="28"/>
        </w:rPr>
        <w:t xml:space="preserve">, 86(11), pp.6371–6373. </w:t>
      </w:r>
    </w:p>
    <w:p w14:paraId="3D80CB2D" w14:textId="77777777" w:rsidR="007B7908" w:rsidRPr="000E701D" w:rsidRDefault="007B7908" w:rsidP="007B7908">
      <w:pPr>
        <w:rPr>
          <w:rFonts w:ascii="Calibri" w:hAnsi="Calibri" w:cs="Calibri"/>
          <w:sz w:val="28"/>
          <w:szCs w:val="28"/>
        </w:rPr>
      </w:pPr>
    </w:p>
    <w:p w14:paraId="10FF6341"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Judson, E., Kira, B., and Howard, J. W. (2024) ‘The Bypass Strategy: platforms, the Online Safety Act and future of online speech’,  </w:t>
      </w:r>
      <w:r w:rsidRPr="000E701D">
        <w:rPr>
          <w:rFonts w:ascii="Calibri" w:hAnsi="Calibri" w:cs="Calibri"/>
          <w:i/>
          <w:iCs/>
          <w:sz w:val="28"/>
          <w:szCs w:val="28"/>
        </w:rPr>
        <w:t>Journal of Media Law</w:t>
      </w:r>
      <w:r w:rsidRPr="000E701D">
        <w:rPr>
          <w:rFonts w:ascii="Calibri" w:hAnsi="Calibri" w:cs="Calibri"/>
          <w:sz w:val="28"/>
          <w:szCs w:val="28"/>
        </w:rPr>
        <w:t>, 16(2), pp.  336-357.</w:t>
      </w:r>
    </w:p>
    <w:p w14:paraId="308F694A" w14:textId="77777777" w:rsidR="007B7908" w:rsidRPr="000E701D" w:rsidRDefault="007B7908" w:rsidP="007B7908">
      <w:pPr>
        <w:rPr>
          <w:rFonts w:ascii="Calibri" w:hAnsi="Calibri" w:cs="Calibri"/>
          <w:sz w:val="28"/>
          <w:szCs w:val="28"/>
        </w:rPr>
      </w:pPr>
    </w:p>
    <w:p w14:paraId="08C709F6"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 xml:space="preserve">Kilag, O. K. T., Ignacio, R., </w:t>
      </w:r>
      <w:proofErr w:type="spellStart"/>
      <w:r w:rsidRPr="000E701D">
        <w:rPr>
          <w:rFonts w:ascii="Calibri" w:hAnsi="Calibri" w:cs="Calibri"/>
          <w:sz w:val="28"/>
          <w:szCs w:val="28"/>
        </w:rPr>
        <w:t>Lumando</w:t>
      </w:r>
      <w:proofErr w:type="spellEnd"/>
      <w:r w:rsidRPr="000E701D">
        <w:rPr>
          <w:rFonts w:ascii="Calibri" w:hAnsi="Calibri" w:cs="Calibri"/>
          <w:sz w:val="28"/>
          <w:szCs w:val="28"/>
        </w:rPr>
        <w:t xml:space="preserve">, E. B., Alvez, G. U., </w:t>
      </w:r>
      <w:proofErr w:type="spellStart"/>
      <w:r w:rsidRPr="000E701D">
        <w:rPr>
          <w:rFonts w:ascii="Calibri" w:hAnsi="Calibri" w:cs="Calibri"/>
          <w:sz w:val="28"/>
          <w:szCs w:val="28"/>
        </w:rPr>
        <w:t>Abendan</w:t>
      </w:r>
      <w:proofErr w:type="spellEnd"/>
      <w:r w:rsidRPr="000E701D">
        <w:rPr>
          <w:rFonts w:ascii="Calibri" w:hAnsi="Calibri" w:cs="Calibri"/>
          <w:sz w:val="28"/>
          <w:szCs w:val="28"/>
        </w:rPr>
        <w:t xml:space="preserve">, C. F. K., </w:t>
      </w:r>
      <w:proofErr w:type="spellStart"/>
      <w:r w:rsidRPr="000E701D">
        <w:rPr>
          <w:rFonts w:ascii="Calibri" w:hAnsi="Calibri" w:cs="Calibri"/>
          <w:sz w:val="28"/>
          <w:szCs w:val="28"/>
        </w:rPr>
        <w:t>QuiÃƒÂ±anola</w:t>
      </w:r>
      <w:proofErr w:type="spellEnd"/>
      <w:r w:rsidRPr="000E701D">
        <w:rPr>
          <w:rFonts w:ascii="Calibri" w:hAnsi="Calibri" w:cs="Calibri"/>
          <w:sz w:val="28"/>
          <w:szCs w:val="28"/>
        </w:rPr>
        <w:t xml:space="preserve">, N. A. M. P., and Sasan, J. M. (2022) ‘ICT integration in Primary School classrooms in the time of Pandemic in the light of Jean Piaget's cognitive </w:t>
      </w:r>
      <w:r w:rsidRPr="000E701D">
        <w:rPr>
          <w:rFonts w:ascii="Calibri" w:hAnsi="Calibri" w:cs="Calibri"/>
          <w:sz w:val="28"/>
          <w:szCs w:val="28"/>
        </w:rPr>
        <w:lastRenderedPageBreak/>
        <w:t>development theory’, </w:t>
      </w:r>
      <w:r w:rsidRPr="000E701D">
        <w:rPr>
          <w:rFonts w:ascii="Calibri" w:hAnsi="Calibri" w:cs="Calibri"/>
          <w:i/>
          <w:iCs/>
          <w:sz w:val="28"/>
          <w:szCs w:val="28"/>
        </w:rPr>
        <w:t>International Journal of Emerging Issues in Early Childhood Education</w:t>
      </w:r>
      <w:r w:rsidRPr="000E701D">
        <w:rPr>
          <w:rFonts w:ascii="Calibri" w:hAnsi="Calibri" w:cs="Calibri"/>
          <w:sz w:val="28"/>
          <w:szCs w:val="28"/>
        </w:rPr>
        <w:t>, 4(2), pp. 42-54.</w:t>
      </w:r>
    </w:p>
    <w:p w14:paraId="56D5E02F" w14:textId="77777777" w:rsidR="007B7908" w:rsidRPr="000E701D" w:rsidRDefault="007B7908" w:rsidP="007B7908">
      <w:pPr>
        <w:rPr>
          <w:rFonts w:ascii="Calibri" w:hAnsi="Calibri" w:cs="Calibri"/>
          <w:sz w:val="28"/>
          <w:szCs w:val="28"/>
        </w:rPr>
      </w:pPr>
    </w:p>
    <w:p w14:paraId="66063F4B"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 xml:space="preserve">Li, M., and Hua, Y. (2022) ‘Integrating Social Presence With Social Learning to Promote Purchase Intention: Based on Social Cognitive Theory’, </w:t>
      </w:r>
      <w:r w:rsidRPr="000E701D">
        <w:rPr>
          <w:rFonts w:ascii="Calibri" w:hAnsi="Calibri" w:cs="Calibri"/>
          <w:i/>
          <w:iCs/>
          <w:sz w:val="28"/>
          <w:szCs w:val="28"/>
        </w:rPr>
        <w:t>Frontiers in psychology</w:t>
      </w:r>
      <w:r w:rsidRPr="000E701D">
        <w:rPr>
          <w:rFonts w:ascii="Calibri" w:hAnsi="Calibri" w:cs="Calibri"/>
          <w:sz w:val="28"/>
          <w:szCs w:val="28"/>
        </w:rPr>
        <w:t xml:space="preserve">, 12(2), pp.  810181. </w:t>
      </w:r>
    </w:p>
    <w:p w14:paraId="18B70062" w14:textId="77777777" w:rsidR="007B7908" w:rsidRPr="000E701D" w:rsidRDefault="007B7908" w:rsidP="007B7908">
      <w:pPr>
        <w:rPr>
          <w:rFonts w:ascii="Calibri" w:hAnsi="Calibri" w:cs="Calibri"/>
          <w:sz w:val="28"/>
          <w:szCs w:val="28"/>
        </w:rPr>
      </w:pPr>
    </w:p>
    <w:p w14:paraId="3F9664CD"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 xml:space="preserve">Legislation. GOV.UK (2023) </w:t>
      </w:r>
      <w:r w:rsidRPr="000E701D">
        <w:rPr>
          <w:rFonts w:ascii="Calibri" w:hAnsi="Calibri" w:cs="Calibri"/>
          <w:i/>
          <w:iCs/>
          <w:sz w:val="28"/>
          <w:szCs w:val="28"/>
        </w:rPr>
        <w:t>Online Safety Act 2023</w:t>
      </w:r>
      <w:r w:rsidRPr="000E701D">
        <w:rPr>
          <w:rFonts w:ascii="Calibri" w:hAnsi="Calibri" w:cs="Calibri"/>
          <w:sz w:val="28"/>
          <w:szCs w:val="28"/>
        </w:rPr>
        <w:t>. Available at : https://www.legislation.gov.uk/ukpga/2023/50 (Accessed 12th March, 2026).</w:t>
      </w:r>
    </w:p>
    <w:p w14:paraId="07A5E4F7" w14:textId="77777777" w:rsidR="007B7908" w:rsidRPr="000E701D" w:rsidRDefault="007B7908" w:rsidP="007B7908">
      <w:pPr>
        <w:rPr>
          <w:rFonts w:ascii="Calibri" w:hAnsi="Calibri" w:cs="Calibri"/>
          <w:sz w:val="28"/>
          <w:szCs w:val="28"/>
        </w:rPr>
      </w:pPr>
    </w:p>
    <w:p w14:paraId="024D9F11"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 xml:space="preserve">Metzler, H., and Garcia, D. (2024) ‘Social Drivers and Algorithmic Mechanisms on Digital Media’, </w:t>
      </w:r>
      <w:r w:rsidRPr="000E701D">
        <w:rPr>
          <w:rFonts w:ascii="Calibri" w:hAnsi="Calibri" w:cs="Calibri"/>
          <w:i/>
          <w:iCs/>
          <w:sz w:val="28"/>
          <w:szCs w:val="28"/>
        </w:rPr>
        <w:t>Perspectives on Psychological Science: a journal of the Association for Psychological Science</w:t>
      </w:r>
      <w:r w:rsidRPr="000E701D">
        <w:rPr>
          <w:rFonts w:ascii="Calibri" w:hAnsi="Calibri" w:cs="Calibri"/>
          <w:sz w:val="28"/>
          <w:szCs w:val="28"/>
        </w:rPr>
        <w:t xml:space="preserve">, 19(5), pp. 735–748. </w:t>
      </w:r>
    </w:p>
    <w:p w14:paraId="76DBFFA7" w14:textId="77777777" w:rsidR="007B7908" w:rsidRPr="000E701D" w:rsidRDefault="007B7908" w:rsidP="007B7908">
      <w:pPr>
        <w:rPr>
          <w:rFonts w:ascii="Calibri" w:hAnsi="Calibri" w:cs="Calibri"/>
          <w:sz w:val="28"/>
          <w:szCs w:val="28"/>
        </w:rPr>
      </w:pPr>
    </w:p>
    <w:p w14:paraId="70EB9783"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Mitchell, L. L., Lodi-Smith, J., Baranski, E. N., and Whitbourne, S. K. (2021) ‘Implications of identity resolution in emerging adulthood for intimacy, generativity, and integrity across the adult lifespan’, </w:t>
      </w:r>
      <w:r w:rsidRPr="000E701D">
        <w:rPr>
          <w:rFonts w:ascii="Calibri" w:hAnsi="Calibri" w:cs="Calibri"/>
          <w:i/>
          <w:iCs/>
          <w:sz w:val="28"/>
          <w:szCs w:val="28"/>
        </w:rPr>
        <w:t>Psychology and aging</w:t>
      </w:r>
      <w:r w:rsidRPr="000E701D">
        <w:rPr>
          <w:rFonts w:ascii="Calibri" w:hAnsi="Calibri" w:cs="Calibri"/>
          <w:sz w:val="28"/>
          <w:szCs w:val="28"/>
        </w:rPr>
        <w:t xml:space="preserve">, 36(5), pp. 545–556. </w:t>
      </w:r>
    </w:p>
    <w:p w14:paraId="19207873" w14:textId="77777777" w:rsidR="007B7908" w:rsidRPr="000E701D" w:rsidRDefault="007B7908" w:rsidP="007B7908">
      <w:pPr>
        <w:rPr>
          <w:rFonts w:ascii="Calibri" w:hAnsi="Calibri" w:cs="Calibri"/>
          <w:sz w:val="28"/>
          <w:szCs w:val="28"/>
        </w:rPr>
      </w:pPr>
    </w:p>
    <w:p w14:paraId="0DB990FF"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 xml:space="preserve">Navarro, J. L., and Tudge, J. R. H. (2022) ‘Technologizing Bronfenbrenner: Neo-ecological Theory’, Current psychology, 3(4) pp.1–17. </w:t>
      </w:r>
    </w:p>
    <w:p w14:paraId="22FC497A" w14:textId="77777777" w:rsidR="007B7908" w:rsidRPr="000E701D" w:rsidRDefault="007B7908" w:rsidP="007B7908">
      <w:pPr>
        <w:rPr>
          <w:rFonts w:ascii="Calibri" w:hAnsi="Calibri" w:cs="Calibri"/>
          <w:sz w:val="28"/>
          <w:szCs w:val="28"/>
        </w:rPr>
      </w:pPr>
    </w:p>
    <w:p w14:paraId="439B81B2"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Rani, R. (2022) ‘The impact of digital world on our identity’, </w:t>
      </w:r>
      <w:r w:rsidRPr="000E701D">
        <w:rPr>
          <w:rFonts w:ascii="Calibri" w:hAnsi="Calibri" w:cs="Calibri"/>
          <w:i/>
          <w:iCs/>
          <w:sz w:val="28"/>
          <w:szCs w:val="28"/>
        </w:rPr>
        <w:t>The Creative Launcher</w:t>
      </w:r>
      <w:r w:rsidRPr="000E701D">
        <w:rPr>
          <w:rFonts w:ascii="Calibri" w:hAnsi="Calibri" w:cs="Calibri"/>
          <w:sz w:val="28"/>
          <w:szCs w:val="28"/>
        </w:rPr>
        <w:t>, 7(1), pp. 27-32.</w:t>
      </w:r>
    </w:p>
    <w:p w14:paraId="3FCB623B" w14:textId="77777777" w:rsidR="007B7908" w:rsidRPr="000E701D" w:rsidRDefault="007B7908" w:rsidP="007B7908">
      <w:pPr>
        <w:rPr>
          <w:rFonts w:ascii="Calibri" w:hAnsi="Calibri" w:cs="Calibri"/>
          <w:sz w:val="28"/>
          <w:szCs w:val="28"/>
        </w:rPr>
      </w:pPr>
    </w:p>
    <w:p w14:paraId="78843FBB"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t xml:space="preserve">Shannon, H., Bush, K., Villeneuve, P. J., </w:t>
      </w:r>
      <w:proofErr w:type="spellStart"/>
      <w:r w:rsidRPr="000E701D">
        <w:rPr>
          <w:rFonts w:ascii="Calibri" w:hAnsi="Calibri" w:cs="Calibri"/>
          <w:sz w:val="28"/>
          <w:szCs w:val="28"/>
        </w:rPr>
        <w:t>Hellemans</w:t>
      </w:r>
      <w:proofErr w:type="spellEnd"/>
      <w:r w:rsidRPr="000E701D">
        <w:rPr>
          <w:rFonts w:ascii="Calibri" w:hAnsi="Calibri" w:cs="Calibri"/>
          <w:sz w:val="28"/>
          <w:szCs w:val="28"/>
        </w:rPr>
        <w:t xml:space="preserve">, K. G., and Guimond, S. (2022) ‘Problematic Social Media Use in Adolescents and Young Adults: Systematic Review and Meta-analysis’, </w:t>
      </w:r>
      <w:r w:rsidRPr="000E701D">
        <w:rPr>
          <w:rFonts w:ascii="Calibri" w:hAnsi="Calibri" w:cs="Calibri"/>
          <w:i/>
          <w:iCs/>
          <w:sz w:val="28"/>
          <w:szCs w:val="28"/>
        </w:rPr>
        <w:t>JMIR mental health</w:t>
      </w:r>
      <w:r w:rsidRPr="000E701D">
        <w:rPr>
          <w:rFonts w:ascii="Calibri" w:hAnsi="Calibri" w:cs="Calibri"/>
          <w:sz w:val="28"/>
          <w:szCs w:val="28"/>
        </w:rPr>
        <w:t xml:space="preserve">, 9(4), pp. 33-45. </w:t>
      </w:r>
    </w:p>
    <w:p w14:paraId="048DE206" w14:textId="77777777" w:rsidR="007B7908" w:rsidRPr="000E701D" w:rsidRDefault="007B7908" w:rsidP="007B7908">
      <w:pPr>
        <w:rPr>
          <w:rFonts w:ascii="Calibri" w:hAnsi="Calibri" w:cs="Calibri"/>
          <w:sz w:val="28"/>
          <w:szCs w:val="28"/>
        </w:rPr>
      </w:pPr>
    </w:p>
    <w:p w14:paraId="5224A1AC" w14:textId="77777777" w:rsidR="007B7908" w:rsidRPr="000E701D" w:rsidRDefault="007B7908" w:rsidP="007B7908">
      <w:pPr>
        <w:rPr>
          <w:rFonts w:ascii="Calibri" w:hAnsi="Calibri" w:cs="Calibri"/>
          <w:sz w:val="28"/>
          <w:szCs w:val="28"/>
        </w:rPr>
      </w:pPr>
      <w:r w:rsidRPr="000E701D">
        <w:rPr>
          <w:rFonts w:ascii="Calibri" w:hAnsi="Calibri" w:cs="Calibri"/>
          <w:sz w:val="28"/>
          <w:szCs w:val="28"/>
        </w:rPr>
        <w:lastRenderedPageBreak/>
        <w:t xml:space="preserve">Sullivan, J. (2025) ‘Children Growing Up Digital: Applying Bronfenbrenner’s Ecological Systems Theory to Technology and Play’, </w:t>
      </w:r>
      <w:r w:rsidRPr="000E701D">
        <w:rPr>
          <w:rFonts w:ascii="Calibri" w:hAnsi="Calibri" w:cs="Calibri"/>
          <w:i/>
          <w:iCs/>
          <w:sz w:val="28"/>
          <w:szCs w:val="28"/>
        </w:rPr>
        <w:t>International Journal of the Whole Child</w:t>
      </w:r>
      <w:r w:rsidRPr="000E701D">
        <w:rPr>
          <w:rFonts w:ascii="Calibri" w:hAnsi="Calibri" w:cs="Calibri"/>
          <w:sz w:val="28"/>
          <w:szCs w:val="28"/>
        </w:rPr>
        <w:t>, 10(2), pp. 32-39.</w:t>
      </w:r>
    </w:p>
    <w:p w14:paraId="14E62ECC" w14:textId="77777777" w:rsidR="007B7908" w:rsidRPr="000E701D" w:rsidRDefault="007B7908" w:rsidP="00482A36">
      <w:pPr>
        <w:rPr>
          <w:rFonts w:ascii="Calibri" w:hAnsi="Calibri" w:cs="Calibri"/>
          <w:sz w:val="28"/>
          <w:szCs w:val="28"/>
        </w:rPr>
      </w:pPr>
    </w:p>
    <w:p w14:paraId="276C7B6C" w14:textId="7F56D0BA" w:rsidR="001B00ED" w:rsidRPr="000E701D" w:rsidRDefault="001B00ED">
      <w:pPr>
        <w:rPr>
          <w:rFonts w:ascii="Calibri" w:hAnsi="Calibri" w:cs="Calibri"/>
          <w:sz w:val="28"/>
          <w:szCs w:val="28"/>
        </w:rPr>
      </w:pPr>
    </w:p>
    <w:sectPr w:rsidR="001B00ED" w:rsidRPr="000E70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0ED"/>
    <w:rsid w:val="000874EC"/>
    <w:rsid w:val="000E701D"/>
    <w:rsid w:val="001704BE"/>
    <w:rsid w:val="001B00ED"/>
    <w:rsid w:val="002D6286"/>
    <w:rsid w:val="00344558"/>
    <w:rsid w:val="003E1A21"/>
    <w:rsid w:val="004030B4"/>
    <w:rsid w:val="0043488F"/>
    <w:rsid w:val="00482A36"/>
    <w:rsid w:val="004914AE"/>
    <w:rsid w:val="004B0569"/>
    <w:rsid w:val="004E7703"/>
    <w:rsid w:val="005248F2"/>
    <w:rsid w:val="005C4B01"/>
    <w:rsid w:val="005E0F1C"/>
    <w:rsid w:val="00686007"/>
    <w:rsid w:val="006E6327"/>
    <w:rsid w:val="006F3B57"/>
    <w:rsid w:val="00723CB5"/>
    <w:rsid w:val="007974C7"/>
    <w:rsid w:val="007B7908"/>
    <w:rsid w:val="008B73BB"/>
    <w:rsid w:val="00984A9D"/>
    <w:rsid w:val="00A21F91"/>
    <w:rsid w:val="00AB134A"/>
    <w:rsid w:val="00B512AA"/>
    <w:rsid w:val="00B90A55"/>
    <w:rsid w:val="00BD7A53"/>
    <w:rsid w:val="00C804AE"/>
    <w:rsid w:val="00C955AA"/>
    <w:rsid w:val="00D44895"/>
    <w:rsid w:val="00D85506"/>
    <w:rsid w:val="00DD424D"/>
    <w:rsid w:val="00DF5888"/>
    <w:rsid w:val="00E92B84"/>
    <w:rsid w:val="00EB503D"/>
    <w:rsid w:val="00F23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1177B"/>
  <w15:chartTrackingRefBased/>
  <w15:docId w15:val="{C789F463-EC49-4354-A0D1-E792CAE93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00E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B00E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B00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B00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00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00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00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00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00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0E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B00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B00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B00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00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00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00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00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00ED"/>
    <w:rPr>
      <w:rFonts w:eastAsiaTheme="majorEastAsia" w:cstheme="majorBidi"/>
      <w:color w:val="272727" w:themeColor="text1" w:themeTint="D8"/>
    </w:rPr>
  </w:style>
  <w:style w:type="paragraph" w:styleId="Title">
    <w:name w:val="Title"/>
    <w:basedOn w:val="Normal"/>
    <w:next w:val="Normal"/>
    <w:link w:val="TitleChar"/>
    <w:uiPriority w:val="10"/>
    <w:qFormat/>
    <w:rsid w:val="001B00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00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00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00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00ED"/>
    <w:pPr>
      <w:spacing w:before="160"/>
      <w:jc w:val="center"/>
    </w:pPr>
    <w:rPr>
      <w:i/>
      <w:iCs/>
      <w:color w:val="404040" w:themeColor="text1" w:themeTint="BF"/>
    </w:rPr>
  </w:style>
  <w:style w:type="character" w:customStyle="1" w:styleId="QuoteChar">
    <w:name w:val="Quote Char"/>
    <w:basedOn w:val="DefaultParagraphFont"/>
    <w:link w:val="Quote"/>
    <w:uiPriority w:val="29"/>
    <w:rsid w:val="001B00ED"/>
    <w:rPr>
      <w:i/>
      <w:iCs/>
      <w:color w:val="404040" w:themeColor="text1" w:themeTint="BF"/>
    </w:rPr>
  </w:style>
  <w:style w:type="paragraph" w:styleId="ListParagraph">
    <w:name w:val="List Paragraph"/>
    <w:basedOn w:val="Normal"/>
    <w:uiPriority w:val="34"/>
    <w:qFormat/>
    <w:rsid w:val="001B00ED"/>
    <w:pPr>
      <w:ind w:left="720"/>
      <w:contextualSpacing/>
    </w:pPr>
  </w:style>
  <w:style w:type="character" w:styleId="IntenseEmphasis">
    <w:name w:val="Intense Emphasis"/>
    <w:basedOn w:val="DefaultParagraphFont"/>
    <w:uiPriority w:val="21"/>
    <w:qFormat/>
    <w:rsid w:val="001B00ED"/>
    <w:rPr>
      <w:i/>
      <w:iCs/>
      <w:color w:val="2F5496" w:themeColor="accent1" w:themeShade="BF"/>
    </w:rPr>
  </w:style>
  <w:style w:type="paragraph" w:styleId="IntenseQuote">
    <w:name w:val="Intense Quote"/>
    <w:basedOn w:val="Normal"/>
    <w:next w:val="Normal"/>
    <w:link w:val="IntenseQuoteChar"/>
    <w:uiPriority w:val="30"/>
    <w:qFormat/>
    <w:rsid w:val="001B00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00ED"/>
    <w:rPr>
      <w:i/>
      <w:iCs/>
      <w:color w:val="2F5496" w:themeColor="accent1" w:themeShade="BF"/>
    </w:rPr>
  </w:style>
  <w:style w:type="character" w:styleId="IntenseReference">
    <w:name w:val="Intense Reference"/>
    <w:basedOn w:val="DefaultParagraphFont"/>
    <w:uiPriority w:val="32"/>
    <w:qFormat/>
    <w:rsid w:val="001B00E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2894</Words>
  <Characters>16502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Klepczarek</dc:creator>
  <cp:keywords/>
  <dc:description/>
  <cp:lastModifiedBy>Anna Klepczarek</cp:lastModifiedBy>
  <cp:revision>16</cp:revision>
  <dcterms:created xsi:type="dcterms:W3CDTF">2026-02-22T03:58:00Z</dcterms:created>
  <dcterms:modified xsi:type="dcterms:W3CDTF">2026-03-14T23:39:00Z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2ce6bd4f-dff3-4f04-adbe-5cb605d399ec</vt:lpwstr>
  </property>
</Properties>
</file>