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BAEF7" w14:textId="77777777" w:rsidR="00524F36" w:rsidRDefault="00524F36" w:rsidP="00524F36">
      <w:pPr>
        <w:spacing w:line="276" w:lineRule="auto"/>
      </w:pPr>
    </w:p>
    <w:p w14:paraId="5523DC32" w14:textId="77777777" w:rsidR="00524F36" w:rsidRDefault="00524F36" w:rsidP="00524F36">
      <w:pPr>
        <w:spacing w:line="276" w:lineRule="auto"/>
      </w:pPr>
    </w:p>
    <w:p w14:paraId="5BC35948" w14:textId="77777777" w:rsidR="00524F36" w:rsidRPr="00524F36" w:rsidRDefault="00524F36" w:rsidP="00524F36">
      <w:pPr>
        <w:spacing w:after="160"/>
        <w:jc w:val="center"/>
      </w:pPr>
      <w:r w:rsidRPr="00524F36">
        <w:rPr>
          <w:rFonts w:eastAsia="Times New Roman"/>
          <w:color w:val="333333"/>
        </w:rPr>
        <w:t>University of Wales Trinity Saint David</w:t>
      </w:r>
    </w:p>
    <w:p w14:paraId="7045074E" w14:textId="77777777" w:rsidR="00524F36" w:rsidRPr="00524F36" w:rsidRDefault="00524F36" w:rsidP="00524F36">
      <w:pPr>
        <w:spacing w:after="600"/>
        <w:jc w:val="center"/>
      </w:pPr>
      <w:r w:rsidRPr="00524F36">
        <w:rPr>
          <w:rFonts w:eastAsia="Times New Roman"/>
          <w:i/>
          <w:iCs/>
          <w:color w:val="333333"/>
        </w:rPr>
        <w:t>MSc Sustainable Construction</w:t>
      </w:r>
    </w:p>
    <w:p w14:paraId="2336279C" w14:textId="77777777" w:rsidR="00524F36" w:rsidRPr="00524F36" w:rsidRDefault="00524F36" w:rsidP="00524F36">
      <w:pPr>
        <w:pBdr>
          <w:bottom w:val="single" w:sz="4" w:space="1" w:color="999999"/>
        </w:pBdr>
        <w:spacing w:after="600"/>
        <w:jc w:val="center"/>
        <w:rPr>
          <w:color w:val="0F4761" w:themeColor="accent1" w:themeShade="BF"/>
        </w:rPr>
      </w:pPr>
    </w:p>
    <w:p w14:paraId="6F9A5147" w14:textId="77777777" w:rsidR="00524F36" w:rsidRPr="00524F36" w:rsidRDefault="00524F36" w:rsidP="00524F36">
      <w:pPr>
        <w:spacing w:before="400" w:after="200"/>
        <w:jc w:val="center"/>
      </w:pPr>
      <w:r w:rsidRPr="00524F36">
        <w:rPr>
          <w:rFonts w:eastAsia="Times New Roman"/>
          <w:b/>
          <w:bCs/>
          <w:color w:val="1A1A1A"/>
          <w:sz w:val="40"/>
          <w:szCs w:val="40"/>
        </w:rPr>
        <w:t>Enhancing Sustainability in Post-Construction Management:</w:t>
      </w:r>
    </w:p>
    <w:p w14:paraId="0E2D072F" w14:textId="77777777" w:rsidR="00524F36" w:rsidRPr="00524F36" w:rsidRDefault="00524F36" w:rsidP="00524F36">
      <w:pPr>
        <w:spacing w:after="200"/>
        <w:jc w:val="center"/>
      </w:pPr>
      <w:r w:rsidRPr="00524F36">
        <w:rPr>
          <w:rFonts w:eastAsia="Times New Roman"/>
          <w:b/>
          <w:bCs/>
          <w:color w:val="1A1A1A"/>
          <w:sz w:val="36"/>
          <w:szCs w:val="36"/>
        </w:rPr>
        <w:t>Leveraging API-Driven AI and Digital Twins</w:t>
      </w:r>
    </w:p>
    <w:p w14:paraId="7079493F" w14:textId="77777777" w:rsidR="00524F36" w:rsidRPr="00524F36" w:rsidRDefault="00524F36" w:rsidP="00524F36">
      <w:pPr>
        <w:spacing w:after="800"/>
        <w:jc w:val="center"/>
      </w:pPr>
      <w:r w:rsidRPr="00524F36">
        <w:rPr>
          <w:rFonts w:eastAsia="Times New Roman"/>
          <w:b/>
          <w:bCs/>
          <w:color w:val="1A1A1A"/>
          <w:sz w:val="36"/>
          <w:szCs w:val="36"/>
        </w:rPr>
        <w:t>for Optimising M&amp;E Systems</w:t>
      </w:r>
    </w:p>
    <w:p w14:paraId="77FBF869" w14:textId="77777777" w:rsidR="00524F36" w:rsidRPr="00524F36" w:rsidRDefault="00524F36" w:rsidP="00524F36">
      <w:pPr>
        <w:pBdr>
          <w:bottom w:val="single" w:sz="4" w:space="1" w:color="999999"/>
        </w:pBdr>
        <w:spacing w:after="1000"/>
        <w:jc w:val="center"/>
      </w:pPr>
    </w:p>
    <w:p w14:paraId="1875BE2C" w14:textId="77777777" w:rsidR="00524F36" w:rsidRPr="00524F36" w:rsidRDefault="00524F36" w:rsidP="00524F36">
      <w:pPr>
        <w:spacing w:after="200"/>
        <w:jc w:val="center"/>
      </w:pPr>
      <w:r w:rsidRPr="00524F36">
        <w:rPr>
          <w:rFonts w:eastAsia="Times New Roman"/>
          <w:i/>
          <w:iCs/>
          <w:color w:val="555555"/>
        </w:rPr>
        <w:t>by</w:t>
      </w:r>
    </w:p>
    <w:p w14:paraId="780D525B" w14:textId="77777777" w:rsidR="00524F36" w:rsidRPr="00524F36" w:rsidRDefault="00524F36" w:rsidP="00524F36">
      <w:pPr>
        <w:spacing w:after="200"/>
        <w:jc w:val="center"/>
      </w:pPr>
      <w:r w:rsidRPr="00524F36">
        <w:rPr>
          <w:rFonts w:eastAsia="Times New Roman"/>
          <w:b/>
          <w:bCs/>
          <w:color w:val="1A1A1A"/>
          <w:sz w:val="36"/>
          <w:szCs w:val="36"/>
        </w:rPr>
        <w:t>Paul Davies</w:t>
      </w:r>
    </w:p>
    <w:p w14:paraId="321D6BFD" w14:textId="77777777" w:rsidR="00524F36" w:rsidRPr="00524F36" w:rsidRDefault="00524F36" w:rsidP="00524F36">
      <w:pPr>
        <w:spacing w:after="1200"/>
        <w:jc w:val="center"/>
      </w:pPr>
      <w:r w:rsidRPr="00524F36">
        <w:rPr>
          <w:rFonts w:eastAsia="Times New Roman"/>
          <w:color w:val="555555"/>
          <w:sz w:val="22"/>
          <w:szCs w:val="22"/>
        </w:rPr>
        <w:t>Student ID: 2203997</w:t>
      </w:r>
    </w:p>
    <w:p w14:paraId="2DC4975D" w14:textId="77777777" w:rsidR="00524F36" w:rsidRPr="00524F36" w:rsidRDefault="00524F36" w:rsidP="00524F36">
      <w:pPr>
        <w:spacing w:line="276" w:lineRule="auto"/>
      </w:pPr>
    </w:p>
    <w:p w14:paraId="69EF8514" w14:textId="77777777" w:rsidR="00524F36" w:rsidRPr="00524F36" w:rsidRDefault="00524F36" w:rsidP="00524F36">
      <w:pPr>
        <w:spacing w:line="276" w:lineRule="auto"/>
      </w:pPr>
    </w:p>
    <w:p w14:paraId="24D1363F" w14:textId="77777777" w:rsidR="00524F36" w:rsidRPr="00524F36" w:rsidRDefault="00524F36" w:rsidP="00524F36">
      <w:pPr>
        <w:spacing w:line="276" w:lineRule="auto"/>
      </w:pPr>
    </w:p>
    <w:p w14:paraId="091ACA89" w14:textId="77777777" w:rsidR="00524F36" w:rsidRPr="00524F36" w:rsidRDefault="00524F36" w:rsidP="00524F36">
      <w:pPr>
        <w:spacing w:line="276" w:lineRule="auto"/>
      </w:pPr>
    </w:p>
    <w:p w14:paraId="63D88D5C" w14:textId="77777777" w:rsidR="00524F36" w:rsidRPr="00524F36" w:rsidRDefault="00524F36" w:rsidP="00524F36">
      <w:pPr>
        <w:spacing w:line="276" w:lineRule="auto"/>
      </w:pPr>
    </w:p>
    <w:p w14:paraId="05B3E6FB" w14:textId="4142E408" w:rsidR="00524F36" w:rsidRPr="00524F36" w:rsidRDefault="00524F36" w:rsidP="00524F36">
      <w:pPr>
        <w:spacing w:after="160"/>
        <w:jc w:val="center"/>
      </w:pPr>
      <w:r w:rsidRPr="00524F36">
        <w:rPr>
          <w:rFonts w:eastAsia="Times New Roman"/>
          <w:color w:val="333333"/>
          <w:sz w:val="22"/>
          <w:szCs w:val="22"/>
        </w:rPr>
        <w:t xml:space="preserve">A dissertation submitted in partial fulfilment of the </w:t>
      </w:r>
      <w:r w:rsidR="001931DE" w:rsidRPr="00524F36">
        <w:rPr>
          <w:rFonts w:eastAsia="Times New Roman"/>
          <w:color w:val="333333"/>
          <w:sz w:val="22"/>
          <w:szCs w:val="22"/>
        </w:rPr>
        <w:t>requirements</w:t>
      </w:r>
    </w:p>
    <w:p w14:paraId="61B0D584" w14:textId="77777777" w:rsidR="00524F36" w:rsidRPr="00524F36" w:rsidRDefault="00524F36" w:rsidP="00524F36">
      <w:pPr>
        <w:spacing w:after="160"/>
        <w:jc w:val="center"/>
      </w:pPr>
      <w:r w:rsidRPr="00524F36">
        <w:rPr>
          <w:rFonts w:eastAsia="Times New Roman"/>
          <w:color w:val="333333"/>
          <w:sz w:val="22"/>
          <w:szCs w:val="22"/>
        </w:rPr>
        <w:t>for the degree of Master of Science in Sustainable Construction</w:t>
      </w:r>
    </w:p>
    <w:p w14:paraId="57FC1AD8" w14:textId="77777777" w:rsidR="00524F36" w:rsidRPr="00524F36" w:rsidRDefault="00524F36" w:rsidP="00524F36">
      <w:pPr>
        <w:spacing w:before="200" w:after="160"/>
        <w:jc w:val="center"/>
      </w:pPr>
      <w:r w:rsidRPr="00524F36">
        <w:rPr>
          <w:rFonts w:eastAsia="Times New Roman"/>
          <w:i/>
          <w:iCs/>
          <w:color w:val="333333"/>
          <w:sz w:val="22"/>
          <w:szCs w:val="22"/>
        </w:rPr>
        <w:t>Supervised by Dr. Deborah Hughes</w:t>
      </w:r>
    </w:p>
    <w:p w14:paraId="7D9EADE7" w14:textId="663C59D7" w:rsidR="00524F36" w:rsidRPr="00524F36" w:rsidRDefault="00524F36" w:rsidP="00524F36">
      <w:pPr>
        <w:spacing w:before="160"/>
        <w:jc w:val="center"/>
      </w:pPr>
      <w:r w:rsidRPr="00524F36">
        <w:rPr>
          <w:rFonts w:eastAsia="Times New Roman"/>
          <w:color w:val="333333"/>
        </w:rPr>
        <w:t>202</w:t>
      </w:r>
      <w:r>
        <w:rPr>
          <w:rFonts w:eastAsia="Times New Roman"/>
          <w:color w:val="333333"/>
        </w:rPr>
        <w:t>6</w:t>
      </w:r>
    </w:p>
    <w:p w14:paraId="056473A8" w14:textId="77777777" w:rsidR="00C520F4" w:rsidRDefault="00C520F4" w:rsidP="00C520F4">
      <w:pPr>
        <w:pStyle w:val="Title"/>
        <w:jc w:val="center"/>
        <w:rPr>
          <w:sz w:val="40"/>
          <w:szCs w:val="40"/>
        </w:rPr>
      </w:pPr>
    </w:p>
    <w:p w14:paraId="24380EF7" w14:textId="77777777" w:rsidR="00C520F4" w:rsidRDefault="00C520F4" w:rsidP="00CD56E9">
      <w:pPr>
        <w:pStyle w:val="Title"/>
        <w:rPr>
          <w:sz w:val="40"/>
          <w:szCs w:val="40"/>
        </w:rPr>
      </w:pPr>
    </w:p>
    <w:p w14:paraId="315078D5" w14:textId="77777777" w:rsidR="00CD56E9" w:rsidRDefault="00CD56E9" w:rsidP="00CD56E9">
      <w:pPr>
        <w:sectPr w:rsidR="00CD56E9" w:rsidSect="00C520F4">
          <w:headerReference w:type="default" r:id="rId8"/>
          <w:footerReference w:type="default" r:id="rId9"/>
          <w:pgSz w:w="11906" w:h="16838"/>
          <w:pgMar w:top="1134" w:right="1440" w:bottom="1440" w:left="1440" w:header="708" w:footer="708" w:gutter="0"/>
          <w:cols w:space="720"/>
          <w:docGrid w:linePitch="360"/>
        </w:sectPr>
      </w:pPr>
    </w:p>
    <w:p w14:paraId="1267E2C9" w14:textId="77777777" w:rsidR="005D0832" w:rsidRPr="00E6228F" w:rsidRDefault="005D0832" w:rsidP="005D0832">
      <w:pPr>
        <w:spacing w:after="400"/>
        <w:jc w:val="center"/>
        <w:rPr>
          <w:sz w:val="40"/>
          <w:szCs w:val="40"/>
        </w:rPr>
      </w:pPr>
      <w:r w:rsidRPr="00E6228F">
        <w:rPr>
          <w:b/>
          <w:bCs/>
          <w:sz w:val="40"/>
          <w:szCs w:val="40"/>
        </w:rPr>
        <w:lastRenderedPageBreak/>
        <w:t>Declaration</w:t>
      </w:r>
    </w:p>
    <w:p w14:paraId="3673E860" w14:textId="77777777" w:rsidR="005D0832" w:rsidRPr="00E6228F" w:rsidRDefault="005D0832" w:rsidP="005D0832">
      <w:pPr>
        <w:pBdr>
          <w:bottom w:val="single" w:sz="4" w:space="1" w:color="999999"/>
        </w:pBdr>
        <w:spacing w:after="400"/>
      </w:pPr>
    </w:p>
    <w:p w14:paraId="17A67CED" w14:textId="77777777" w:rsidR="005D0832" w:rsidRPr="00E6228F" w:rsidRDefault="005D0832" w:rsidP="005D0832">
      <w:pPr>
        <w:spacing w:after="240" w:line="360" w:lineRule="auto"/>
      </w:pPr>
      <w:r w:rsidRPr="00E6228F">
        <w:t>I, Paul Davies (Student ID: 2203997), hereby declare that this dissertation, submitted in partial fulfilment of the requirements for the degree of Master of Science in Sustainable Construction at the University of Wales Trinity Saint David, is my own original work.</w:t>
      </w:r>
    </w:p>
    <w:p w14:paraId="69133F9A" w14:textId="77777777" w:rsidR="005D0832" w:rsidRPr="00E6228F" w:rsidRDefault="005D0832" w:rsidP="005D0832">
      <w:pPr>
        <w:spacing w:after="240" w:line="360" w:lineRule="auto"/>
      </w:pPr>
      <w:r w:rsidRPr="00E6228F">
        <w:t>This work has not been submitted previously for any degree or other qualification at this or any other institution. All sources consulted have been fully acknowledged and referenced in accordance with UWTSD Harvard referencing guidelines.</w:t>
      </w:r>
    </w:p>
    <w:p w14:paraId="227BD6EE" w14:textId="77777777" w:rsidR="005D0832" w:rsidRPr="00E6228F" w:rsidRDefault="005D0832" w:rsidP="005D0832">
      <w:pPr>
        <w:spacing w:after="240" w:line="360" w:lineRule="auto"/>
      </w:pPr>
      <w:r w:rsidRPr="00E6228F">
        <w:t>Where artificial intelligence tools were used to support the preparation of this work, their use has been fully disclosed in Appendix H in accordance with UWTSD academic integrity policy. All analytical reasoning, data collection, interpretation, and conclusions are entirely my own.</w:t>
      </w:r>
    </w:p>
    <w:p w14:paraId="03F13617" w14:textId="77777777" w:rsidR="005D0832" w:rsidRDefault="005D0832" w:rsidP="005D0832">
      <w:pPr>
        <w:pBdr>
          <w:top w:val="single" w:sz="4" w:space="1" w:color="999999"/>
          <w:bottom w:val="single" w:sz="4" w:space="1" w:color="999999"/>
        </w:pBdr>
        <w:spacing w:before="240" w:after="240"/>
        <w:rPr>
          <w:b/>
          <w:bCs/>
        </w:rPr>
      </w:pPr>
    </w:p>
    <w:p w14:paraId="57B4CAB9" w14:textId="03E3ACD1" w:rsidR="005D0832" w:rsidRPr="00E6228F" w:rsidRDefault="005D0832" w:rsidP="005D0832">
      <w:pPr>
        <w:pBdr>
          <w:top w:val="single" w:sz="4" w:space="1" w:color="999999"/>
          <w:bottom w:val="single" w:sz="4" w:space="1" w:color="999999"/>
        </w:pBdr>
        <w:spacing w:before="240" w:after="100" w:afterAutospacing="1"/>
        <w:rPr>
          <w:b/>
          <w:bCs/>
        </w:rPr>
      </w:pPr>
      <w:r w:rsidRPr="00E6228F">
        <w:rPr>
          <w:b/>
          <w:bCs/>
        </w:rPr>
        <w:t>Word Count: 16,1</w:t>
      </w:r>
      <w:r w:rsidR="00C43D8E">
        <w:rPr>
          <w:b/>
          <w:bCs/>
        </w:rPr>
        <w:t>17</w:t>
      </w:r>
    </w:p>
    <w:p w14:paraId="4DD20827" w14:textId="77777777" w:rsidR="005D0832" w:rsidRPr="00E6228F" w:rsidRDefault="005D0832" w:rsidP="005D0832">
      <w:pPr>
        <w:pBdr>
          <w:bottom w:val="single" w:sz="4" w:space="1" w:color="999999"/>
        </w:pBdr>
        <w:spacing w:after="480" w:line="360" w:lineRule="auto"/>
        <w:rPr>
          <w:i/>
          <w:iCs/>
          <w:color w:val="444444"/>
          <w:sz w:val="22"/>
          <w:szCs w:val="22"/>
        </w:rPr>
      </w:pPr>
      <w:r w:rsidRPr="00E6228F">
        <w:rPr>
          <w:i/>
          <w:iCs/>
          <w:color w:val="444444"/>
          <w:sz w:val="22"/>
          <w:szCs w:val="22"/>
        </w:rPr>
        <w:t xml:space="preserve">This figure excludes appendices, reference list, figures, tables, contents pages, and text boxes, in accordance with UWTSD dissertation guidelines. </w:t>
      </w:r>
    </w:p>
    <w:p w14:paraId="0D8F9E0E" w14:textId="77777777" w:rsidR="005D0832" w:rsidRPr="00E6228F" w:rsidRDefault="005D0832" w:rsidP="005D0832">
      <w:pPr>
        <w:spacing w:before="200" w:after="120" w:line="360" w:lineRule="auto"/>
      </w:pPr>
      <w:r w:rsidRPr="00E6228F">
        <w:t>Signed:   </w:t>
      </w:r>
      <w:r w:rsidRPr="00E6228F">
        <w:rPr>
          <w:rFonts w:ascii="Lucida Handwriting" w:hAnsi="Lucida Handwriting"/>
          <w:sz w:val="32"/>
          <w:szCs w:val="32"/>
        </w:rPr>
        <w:t>P. A. Davies </w:t>
      </w:r>
      <w:r w:rsidRPr="00E6228F">
        <w:rPr>
          <w:rFonts w:ascii="Lucida Handwriting" w:hAnsi="Lucida Handwriting"/>
        </w:rPr>
        <w:t>                                                                </w:t>
      </w:r>
    </w:p>
    <w:p w14:paraId="59AF496A" w14:textId="77777777" w:rsidR="005D0832" w:rsidRPr="00E6228F" w:rsidRDefault="005D0832" w:rsidP="005D0832">
      <w:pPr>
        <w:spacing w:after="120" w:line="360" w:lineRule="auto"/>
      </w:pPr>
      <w:r w:rsidRPr="00E6228F">
        <w:t>Name:    Paul Davies</w:t>
      </w:r>
    </w:p>
    <w:p w14:paraId="34A0488A" w14:textId="77777777" w:rsidR="005D0832" w:rsidRPr="00E6228F" w:rsidRDefault="005D0832" w:rsidP="005D0832">
      <w:pPr>
        <w:spacing w:after="600" w:line="360" w:lineRule="auto"/>
      </w:pPr>
      <w:r w:rsidRPr="00E6228F">
        <w:t>Date:   07 - 03 - 202</w:t>
      </w:r>
      <w:r>
        <w:t>6</w:t>
      </w:r>
    </w:p>
    <w:p w14:paraId="2CFFF418" w14:textId="7243FBA8" w:rsidR="005D0832" w:rsidRPr="005D0832" w:rsidRDefault="005D0832" w:rsidP="005D0832">
      <w:pPr>
        <w:spacing w:after="160" w:line="259" w:lineRule="auto"/>
        <w:rPr>
          <w:rFonts w:eastAsiaTheme="majorEastAsia"/>
          <w:spacing w:val="-10"/>
          <w:kern w:val="28"/>
          <w:sz w:val="40"/>
          <w:szCs w:val="40"/>
        </w:rPr>
      </w:pPr>
      <w:r>
        <w:rPr>
          <w:sz w:val="40"/>
          <w:szCs w:val="40"/>
        </w:rPr>
        <w:br w:type="page"/>
      </w:r>
    </w:p>
    <w:p w14:paraId="04C151D2" w14:textId="2C25D18A" w:rsidR="00C520F4" w:rsidRPr="001969E4" w:rsidRDefault="00C520F4" w:rsidP="001969E4">
      <w:pPr>
        <w:pStyle w:val="Title"/>
        <w:spacing w:line="360" w:lineRule="auto"/>
        <w:rPr>
          <w:rFonts w:ascii="Arial" w:hAnsi="Arial" w:cs="Arial"/>
          <w:sz w:val="40"/>
          <w:szCs w:val="40"/>
        </w:rPr>
      </w:pPr>
      <w:r w:rsidRPr="00963A58">
        <w:rPr>
          <w:rFonts w:ascii="Arial" w:hAnsi="Arial" w:cs="Arial"/>
          <w:sz w:val="40"/>
          <w:szCs w:val="40"/>
        </w:rPr>
        <w:lastRenderedPageBreak/>
        <w:t>Abstract</w:t>
      </w:r>
    </w:p>
    <w:p w14:paraId="55711DB0" w14:textId="3E5310F5" w:rsidR="00C520F4" w:rsidRDefault="00C520F4" w:rsidP="005D0832">
      <w:pPr>
        <w:pStyle w:val="BodyText"/>
        <w:jc w:val="left"/>
      </w:pPr>
      <w:r>
        <w:t>The built environment contributes approximately 40% of global energy consumption and 36% of carbon dioxide emissions, with mechanical and electrical (M&amp;E) systems representing the largest operational energy consumers. While AI-enabled Digital Twin technologies demonstrate proven energy savings of 10</w:t>
      </w:r>
      <w:r w:rsidR="006E0411">
        <w:t>-</w:t>
      </w:r>
      <w:r>
        <w:t>38% in academic literature, practical adoption in post-construction building management remains limited, particularly in public-sector contexts. This research investigates how API-driven AI and Digital Twin technologies can enhance sustainability in post-construction M&amp;E systems within the Further Education sector in South Wales.</w:t>
      </w:r>
    </w:p>
    <w:p w14:paraId="6F8CBF67" w14:textId="7A574D1E" w:rsidR="00C520F4" w:rsidRDefault="00C520F4" w:rsidP="005D0832">
      <w:pPr>
        <w:pStyle w:val="BodyText"/>
        <w:jc w:val="left"/>
      </w:pPr>
      <w:r>
        <w:t xml:space="preserve">A convergent parallel mixed-methods design combined quantitative survey research (n=87 built environment professionals) with qualitative semi-structured interviews (n=6 FE sector stakeholders). Analysis was guided by a three-domain conceptual framework addressing Technological Capability, Human and Organisational Readiness, and Policy and Governance Alignment, interpreted through established technology adoption theories including </w:t>
      </w:r>
      <w:r w:rsidR="001969E4" w:rsidRPr="001969E4">
        <w:t>Technology Acceptance Model</w:t>
      </w:r>
      <w:r w:rsidR="001969E4">
        <w:t xml:space="preserve"> (</w:t>
      </w:r>
      <w:r>
        <w:t>TAM</w:t>
      </w:r>
      <w:r w:rsidR="001969E4">
        <w:t>)</w:t>
      </w:r>
      <w:r>
        <w:t xml:space="preserve">, </w:t>
      </w:r>
      <w:r w:rsidR="001969E4" w:rsidRPr="001969E4">
        <w:t>Unified Theory of Acceptance and Use of Technology</w:t>
      </w:r>
      <w:r w:rsidR="001969E4">
        <w:t xml:space="preserve"> (</w:t>
      </w:r>
      <w:r>
        <w:t>UTAUT</w:t>
      </w:r>
      <w:r w:rsidR="001969E4">
        <w:t>)</w:t>
      </w:r>
      <w:r>
        <w:t>, and Diffusion of Innovations</w:t>
      </w:r>
      <w:r w:rsidR="00076519">
        <w:t xml:space="preserve"> (DOI)</w:t>
      </w:r>
      <w:r>
        <w:t>.</w:t>
      </w:r>
    </w:p>
    <w:p w14:paraId="0597C3CA" w14:textId="11963C56" w:rsidR="00C520F4" w:rsidRDefault="00C520F4" w:rsidP="005D0832">
      <w:pPr>
        <w:pStyle w:val="BodyText"/>
        <w:jc w:val="left"/>
      </w:pPr>
      <w:r>
        <w:t xml:space="preserve">Findings reveal that only 6.9% of respondents reported full AI-Digital Twin integration, with 40.2% describing partial implementation. Predictive maintenance benefits received strongest endorsement (94.3% agreement), supported by qualitative accounts of verified energy savings including 18% reduction in gas consumption. </w:t>
      </w:r>
      <w:r w:rsidR="00C43D8E">
        <w:t>A</w:t>
      </w:r>
      <w:r>
        <w:t>doption is constrained by interconnected barriers: budget limitations (92% rating as moderate barrier or higher), legacy system incompatibility, cybersecurity concerns, and skills gaps. A moderate</w:t>
      </w:r>
      <w:r w:rsidR="009950F7">
        <w:t>-strong</w:t>
      </w:r>
      <w:r>
        <w:t xml:space="preserve"> positive correlation between technology familiarity and barrier perception</w:t>
      </w:r>
      <w:r w:rsidR="005D0832">
        <w:t xml:space="preserve">, </w:t>
      </w:r>
      <w:r>
        <w:t>suggests increased understanding leads to more realistic assessment of implementation challenges.</w:t>
      </w:r>
    </w:p>
    <w:p w14:paraId="1E34E72E" w14:textId="0BBD9100" w:rsidR="00EE4960" w:rsidRDefault="00C520F4" w:rsidP="005D0832">
      <w:pPr>
        <w:pStyle w:val="BodyText"/>
        <w:jc w:val="left"/>
      </w:pPr>
      <w:r>
        <w:t>The research concludes that while perceived usefulness is well-established, perceived ease of use and facilitating conditions remain constrained by structural factors including short-term funding cycles and fragmented legacy infrastructure. Recommendations</w:t>
      </w:r>
      <w:r w:rsidR="006E0411">
        <w:t xml:space="preserve"> </w:t>
      </w:r>
      <w:r>
        <w:t xml:space="preserve">include phased digital retrofit strategies, open-protocol procurement, and sector-specific implementation guidance. </w:t>
      </w:r>
    </w:p>
    <w:p w14:paraId="17E4BB95" w14:textId="45E04C0F" w:rsidR="00C520F4" w:rsidRDefault="00EE4960" w:rsidP="00EE4960">
      <w:pPr>
        <w:spacing w:after="160" w:line="259" w:lineRule="auto"/>
      </w:pPr>
      <w:r>
        <w:br w:type="page"/>
      </w:r>
    </w:p>
    <w:p w14:paraId="2CDF34EF" w14:textId="365C4048" w:rsidR="00CC5107" w:rsidRPr="00CC5107" w:rsidRDefault="00CC5107" w:rsidP="009B151B">
      <w:pPr>
        <w:pStyle w:val="BodyText"/>
        <w:spacing w:after="480"/>
        <w:jc w:val="left"/>
        <w:rPr>
          <w:sz w:val="40"/>
          <w:szCs w:val="40"/>
        </w:rPr>
      </w:pPr>
      <w:r w:rsidRPr="00CC5107">
        <w:rPr>
          <w:sz w:val="40"/>
          <w:szCs w:val="40"/>
        </w:rPr>
        <w:lastRenderedPageBreak/>
        <w:t>Table of Contents</w:t>
      </w:r>
    </w:p>
    <w:p w14:paraId="729E4386" w14:textId="7316A6DD" w:rsidR="00731DF2" w:rsidRDefault="00CC5107" w:rsidP="00861778">
      <w:pPr>
        <w:pStyle w:val="TOC1"/>
      </w:pPr>
      <w:r w:rsidRPr="00BE2DA0">
        <w:fldChar w:fldCharType="begin"/>
      </w:r>
      <w:r w:rsidRPr="00BE2DA0">
        <w:instrText xml:space="preserve"> TOC \o "1-3" \h \z \u </w:instrText>
      </w:r>
      <w:r w:rsidRPr="00BE2DA0">
        <w:fldChar w:fldCharType="separate"/>
      </w:r>
      <w:hyperlink w:anchor="_Toc220152159" w:history="1">
        <w:r w:rsidR="00731DF2" w:rsidRPr="00861778">
          <w:rPr>
            <w:rStyle w:val="Hyperlink"/>
            <w:b/>
            <w:bCs/>
          </w:rPr>
          <w:t>Chapter 1 – Introduction</w:t>
        </w:r>
        <w:r w:rsidR="00731DF2" w:rsidRPr="00861778">
          <w:rPr>
            <w:webHidden/>
          </w:rPr>
          <w:tab/>
        </w:r>
        <w:r w:rsidR="00731DF2" w:rsidRPr="00861778">
          <w:rPr>
            <w:webHidden/>
          </w:rPr>
          <w:fldChar w:fldCharType="begin"/>
        </w:r>
        <w:r w:rsidR="00731DF2" w:rsidRPr="00861778">
          <w:rPr>
            <w:webHidden/>
          </w:rPr>
          <w:instrText xml:space="preserve"> PAGEREF _Toc220152159 \h </w:instrText>
        </w:r>
        <w:r w:rsidR="00731DF2" w:rsidRPr="00861778">
          <w:rPr>
            <w:webHidden/>
          </w:rPr>
        </w:r>
        <w:r w:rsidR="00731DF2" w:rsidRPr="00861778">
          <w:rPr>
            <w:webHidden/>
          </w:rPr>
          <w:fldChar w:fldCharType="separate"/>
        </w:r>
        <w:r w:rsidR="005D0832">
          <w:rPr>
            <w:webHidden/>
          </w:rPr>
          <w:t>1</w:t>
        </w:r>
        <w:r w:rsidR="00731DF2" w:rsidRPr="00861778">
          <w:rPr>
            <w:webHidden/>
          </w:rPr>
          <w:fldChar w:fldCharType="end"/>
        </w:r>
      </w:hyperlink>
    </w:p>
    <w:p w14:paraId="241601D3" w14:textId="77777777" w:rsidR="00861778" w:rsidRPr="00861778" w:rsidRDefault="00861778" w:rsidP="00861778">
      <w:pPr>
        <w:rPr>
          <w:noProof/>
        </w:rPr>
      </w:pPr>
    </w:p>
    <w:p w14:paraId="3C9167D6" w14:textId="28FDD530" w:rsidR="00731DF2" w:rsidRPr="00BE2DA0" w:rsidRDefault="00731DF2" w:rsidP="00BE2DA0">
      <w:pPr>
        <w:pStyle w:val="TOC2"/>
        <w:rPr>
          <w:rFonts w:eastAsiaTheme="minorEastAsia"/>
          <w:noProof/>
          <w:kern w:val="2"/>
          <w14:ligatures w14:val="standardContextual"/>
        </w:rPr>
      </w:pPr>
      <w:hyperlink w:anchor="_Toc220152160" w:history="1">
        <w:r w:rsidRPr="00BE2DA0">
          <w:rPr>
            <w:rStyle w:val="Hyperlink"/>
            <w:noProof/>
          </w:rPr>
          <w:t>1.1 Background and Context</w:t>
        </w:r>
        <w:r w:rsidRPr="00BE2DA0">
          <w:rPr>
            <w:noProof/>
            <w:webHidden/>
          </w:rPr>
          <w:tab/>
        </w:r>
        <w:r w:rsidRPr="00BE2DA0">
          <w:rPr>
            <w:noProof/>
            <w:webHidden/>
          </w:rPr>
          <w:fldChar w:fldCharType="begin"/>
        </w:r>
        <w:r w:rsidRPr="00BE2DA0">
          <w:rPr>
            <w:noProof/>
            <w:webHidden/>
          </w:rPr>
          <w:instrText xml:space="preserve"> PAGEREF _Toc220152160 \h </w:instrText>
        </w:r>
        <w:r w:rsidRPr="00BE2DA0">
          <w:rPr>
            <w:noProof/>
            <w:webHidden/>
          </w:rPr>
        </w:r>
        <w:r w:rsidRPr="00BE2DA0">
          <w:rPr>
            <w:noProof/>
            <w:webHidden/>
          </w:rPr>
          <w:fldChar w:fldCharType="separate"/>
        </w:r>
        <w:r w:rsidR="005D0832">
          <w:rPr>
            <w:noProof/>
            <w:webHidden/>
          </w:rPr>
          <w:t>1</w:t>
        </w:r>
        <w:r w:rsidRPr="00BE2DA0">
          <w:rPr>
            <w:noProof/>
            <w:webHidden/>
          </w:rPr>
          <w:fldChar w:fldCharType="end"/>
        </w:r>
      </w:hyperlink>
    </w:p>
    <w:p w14:paraId="314955D5" w14:textId="177C0594" w:rsidR="00731DF2" w:rsidRPr="00BE2DA0" w:rsidRDefault="00731DF2" w:rsidP="00BE2DA0">
      <w:pPr>
        <w:pStyle w:val="TOC2"/>
        <w:rPr>
          <w:rFonts w:eastAsiaTheme="minorEastAsia"/>
          <w:noProof/>
          <w:kern w:val="2"/>
          <w14:ligatures w14:val="standardContextual"/>
        </w:rPr>
      </w:pPr>
      <w:hyperlink w:anchor="_Toc220152161" w:history="1">
        <w:r w:rsidRPr="00BE2DA0">
          <w:rPr>
            <w:rStyle w:val="Hyperlink"/>
            <w:noProof/>
          </w:rPr>
          <w:t>1.2 Sectoral Context: Further Education in South Wales</w:t>
        </w:r>
        <w:r w:rsidRPr="00BE2DA0">
          <w:rPr>
            <w:noProof/>
            <w:webHidden/>
          </w:rPr>
          <w:tab/>
        </w:r>
        <w:r w:rsidRPr="00BE2DA0">
          <w:rPr>
            <w:noProof/>
            <w:webHidden/>
          </w:rPr>
          <w:fldChar w:fldCharType="begin"/>
        </w:r>
        <w:r w:rsidRPr="00BE2DA0">
          <w:rPr>
            <w:noProof/>
            <w:webHidden/>
          </w:rPr>
          <w:instrText xml:space="preserve"> PAGEREF _Toc220152161 \h </w:instrText>
        </w:r>
        <w:r w:rsidRPr="00BE2DA0">
          <w:rPr>
            <w:noProof/>
            <w:webHidden/>
          </w:rPr>
        </w:r>
        <w:r w:rsidRPr="00BE2DA0">
          <w:rPr>
            <w:noProof/>
            <w:webHidden/>
          </w:rPr>
          <w:fldChar w:fldCharType="separate"/>
        </w:r>
        <w:r w:rsidR="005D0832">
          <w:rPr>
            <w:noProof/>
            <w:webHidden/>
          </w:rPr>
          <w:t>2</w:t>
        </w:r>
        <w:r w:rsidRPr="00BE2DA0">
          <w:rPr>
            <w:noProof/>
            <w:webHidden/>
          </w:rPr>
          <w:fldChar w:fldCharType="end"/>
        </w:r>
      </w:hyperlink>
    </w:p>
    <w:p w14:paraId="656EA518" w14:textId="5BFA0DC2" w:rsidR="00731DF2" w:rsidRPr="00BE2DA0" w:rsidRDefault="00731DF2" w:rsidP="00BE2DA0">
      <w:pPr>
        <w:pStyle w:val="TOC2"/>
        <w:rPr>
          <w:rFonts w:eastAsiaTheme="minorEastAsia"/>
          <w:noProof/>
          <w:kern w:val="2"/>
          <w14:ligatures w14:val="standardContextual"/>
        </w:rPr>
      </w:pPr>
      <w:hyperlink w:anchor="_Toc220152162" w:history="1">
        <w:r w:rsidRPr="00BE2DA0">
          <w:rPr>
            <w:rStyle w:val="Hyperlink"/>
            <w:noProof/>
          </w:rPr>
          <w:t>1.3 Problem Statement</w:t>
        </w:r>
        <w:r w:rsidRPr="00BE2DA0">
          <w:rPr>
            <w:noProof/>
            <w:webHidden/>
          </w:rPr>
          <w:tab/>
        </w:r>
        <w:r w:rsidRPr="00BE2DA0">
          <w:rPr>
            <w:noProof/>
            <w:webHidden/>
          </w:rPr>
          <w:fldChar w:fldCharType="begin"/>
        </w:r>
        <w:r w:rsidRPr="00BE2DA0">
          <w:rPr>
            <w:noProof/>
            <w:webHidden/>
          </w:rPr>
          <w:instrText xml:space="preserve"> PAGEREF _Toc220152162 \h </w:instrText>
        </w:r>
        <w:r w:rsidRPr="00BE2DA0">
          <w:rPr>
            <w:noProof/>
            <w:webHidden/>
          </w:rPr>
        </w:r>
        <w:r w:rsidRPr="00BE2DA0">
          <w:rPr>
            <w:noProof/>
            <w:webHidden/>
          </w:rPr>
          <w:fldChar w:fldCharType="separate"/>
        </w:r>
        <w:r w:rsidR="005D0832">
          <w:rPr>
            <w:noProof/>
            <w:webHidden/>
          </w:rPr>
          <w:t>3</w:t>
        </w:r>
        <w:r w:rsidRPr="00BE2DA0">
          <w:rPr>
            <w:noProof/>
            <w:webHidden/>
          </w:rPr>
          <w:fldChar w:fldCharType="end"/>
        </w:r>
      </w:hyperlink>
    </w:p>
    <w:p w14:paraId="60C065F4" w14:textId="001DFCA8" w:rsidR="00731DF2" w:rsidRPr="00BE2DA0" w:rsidRDefault="00731DF2" w:rsidP="00BE2DA0">
      <w:pPr>
        <w:pStyle w:val="TOC2"/>
        <w:rPr>
          <w:rFonts w:eastAsiaTheme="minorEastAsia"/>
          <w:noProof/>
          <w:kern w:val="2"/>
          <w14:ligatures w14:val="standardContextual"/>
        </w:rPr>
      </w:pPr>
      <w:hyperlink w:anchor="_Toc220152163" w:history="1">
        <w:r w:rsidRPr="00BE2DA0">
          <w:rPr>
            <w:rStyle w:val="Hyperlink"/>
            <w:noProof/>
          </w:rPr>
          <w:t>1.4 Research Aim</w:t>
        </w:r>
        <w:r w:rsidRPr="00BE2DA0">
          <w:rPr>
            <w:noProof/>
            <w:webHidden/>
          </w:rPr>
          <w:tab/>
        </w:r>
        <w:r w:rsidRPr="00BE2DA0">
          <w:rPr>
            <w:noProof/>
            <w:webHidden/>
          </w:rPr>
          <w:fldChar w:fldCharType="begin"/>
        </w:r>
        <w:r w:rsidRPr="00BE2DA0">
          <w:rPr>
            <w:noProof/>
            <w:webHidden/>
          </w:rPr>
          <w:instrText xml:space="preserve"> PAGEREF _Toc220152163 \h </w:instrText>
        </w:r>
        <w:r w:rsidRPr="00BE2DA0">
          <w:rPr>
            <w:noProof/>
            <w:webHidden/>
          </w:rPr>
        </w:r>
        <w:r w:rsidRPr="00BE2DA0">
          <w:rPr>
            <w:noProof/>
            <w:webHidden/>
          </w:rPr>
          <w:fldChar w:fldCharType="separate"/>
        </w:r>
        <w:r w:rsidR="005D0832">
          <w:rPr>
            <w:noProof/>
            <w:webHidden/>
          </w:rPr>
          <w:t>4</w:t>
        </w:r>
        <w:r w:rsidRPr="00BE2DA0">
          <w:rPr>
            <w:noProof/>
            <w:webHidden/>
          </w:rPr>
          <w:fldChar w:fldCharType="end"/>
        </w:r>
      </w:hyperlink>
    </w:p>
    <w:p w14:paraId="5014327B" w14:textId="78E15482" w:rsidR="00731DF2" w:rsidRPr="00BE2DA0" w:rsidRDefault="00731DF2" w:rsidP="00BE2DA0">
      <w:pPr>
        <w:pStyle w:val="TOC2"/>
        <w:rPr>
          <w:rFonts w:eastAsiaTheme="minorEastAsia"/>
          <w:noProof/>
          <w:kern w:val="2"/>
          <w14:ligatures w14:val="standardContextual"/>
        </w:rPr>
      </w:pPr>
      <w:hyperlink w:anchor="_Toc220152164" w:history="1">
        <w:r w:rsidRPr="00BE2DA0">
          <w:rPr>
            <w:rStyle w:val="Hyperlink"/>
            <w:noProof/>
          </w:rPr>
          <w:t>1.5 Research Objectives</w:t>
        </w:r>
        <w:r w:rsidRPr="00BE2DA0">
          <w:rPr>
            <w:noProof/>
            <w:webHidden/>
          </w:rPr>
          <w:tab/>
        </w:r>
        <w:r w:rsidRPr="00BE2DA0">
          <w:rPr>
            <w:noProof/>
            <w:webHidden/>
          </w:rPr>
          <w:fldChar w:fldCharType="begin"/>
        </w:r>
        <w:r w:rsidRPr="00BE2DA0">
          <w:rPr>
            <w:noProof/>
            <w:webHidden/>
          </w:rPr>
          <w:instrText xml:space="preserve"> PAGEREF _Toc220152164 \h </w:instrText>
        </w:r>
        <w:r w:rsidRPr="00BE2DA0">
          <w:rPr>
            <w:noProof/>
            <w:webHidden/>
          </w:rPr>
        </w:r>
        <w:r w:rsidRPr="00BE2DA0">
          <w:rPr>
            <w:noProof/>
            <w:webHidden/>
          </w:rPr>
          <w:fldChar w:fldCharType="separate"/>
        </w:r>
        <w:r w:rsidR="005D0832">
          <w:rPr>
            <w:noProof/>
            <w:webHidden/>
          </w:rPr>
          <w:t>4</w:t>
        </w:r>
        <w:r w:rsidRPr="00BE2DA0">
          <w:rPr>
            <w:noProof/>
            <w:webHidden/>
          </w:rPr>
          <w:fldChar w:fldCharType="end"/>
        </w:r>
      </w:hyperlink>
    </w:p>
    <w:p w14:paraId="31E187A7" w14:textId="1DB775C2" w:rsidR="00731DF2" w:rsidRPr="00BE2DA0" w:rsidRDefault="00731DF2" w:rsidP="00BE2DA0">
      <w:pPr>
        <w:pStyle w:val="TOC2"/>
        <w:rPr>
          <w:rFonts w:eastAsiaTheme="minorEastAsia"/>
          <w:noProof/>
          <w:kern w:val="2"/>
          <w14:ligatures w14:val="standardContextual"/>
        </w:rPr>
      </w:pPr>
      <w:hyperlink w:anchor="_Toc220152165" w:history="1">
        <w:r w:rsidRPr="00BE2DA0">
          <w:rPr>
            <w:rStyle w:val="Hyperlink"/>
            <w:noProof/>
          </w:rPr>
          <w:t>1.6 Research Questions</w:t>
        </w:r>
        <w:r w:rsidRPr="00BE2DA0">
          <w:rPr>
            <w:noProof/>
            <w:webHidden/>
          </w:rPr>
          <w:tab/>
        </w:r>
        <w:r w:rsidRPr="00BE2DA0">
          <w:rPr>
            <w:noProof/>
            <w:webHidden/>
          </w:rPr>
          <w:fldChar w:fldCharType="begin"/>
        </w:r>
        <w:r w:rsidRPr="00BE2DA0">
          <w:rPr>
            <w:noProof/>
            <w:webHidden/>
          </w:rPr>
          <w:instrText xml:space="preserve"> PAGEREF _Toc220152165 \h </w:instrText>
        </w:r>
        <w:r w:rsidRPr="00BE2DA0">
          <w:rPr>
            <w:noProof/>
            <w:webHidden/>
          </w:rPr>
        </w:r>
        <w:r w:rsidRPr="00BE2DA0">
          <w:rPr>
            <w:noProof/>
            <w:webHidden/>
          </w:rPr>
          <w:fldChar w:fldCharType="separate"/>
        </w:r>
        <w:r w:rsidR="005D0832">
          <w:rPr>
            <w:noProof/>
            <w:webHidden/>
          </w:rPr>
          <w:t>5</w:t>
        </w:r>
        <w:r w:rsidRPr="00BE2DA0">
          <w:rPr>
            <w:noProof/>
            <w:webHidden/>
          </w:rPr>
          <w:fldChar w:fldCharType="end"/>
        </w:r>
      </w:hyperlink>
    </w:p>
    <w:p w14:paraId="341DEBE2" w14:textId="3BBCE543" w:rsidR="00731DF2" w:rsidRPr="00BE2DA0" w:rsidRDefault="00731DF2" w:rsidP="00BE2DA0">
      <w:pPr>
        <w:pStyle w:val="TOC2"/>
        <w:rPr>
          <w:rFonts w:eastAsiaTheme="minorEastAsia"/>
          <w:noProof/>
          <w:kern w:val="2"/>
          <w14:ligatures w14:val="standardContextual"/>
        </w:rPr>
      </w:pPr>
      <w:hyperlink w:anchor="_Toc220152166" w:history="1">
        <w:r w:rsidRPr="00BE2DA0">
          <w:rPr>
            <w:rStyle w:val="Hyperlink"/>
            <w:noProof/>
          </w:rPr>
          <w:t>1.7 Significance of the Study</w:t>
        </w:r>
        <w:r w:rsidRPr="00BE2DA0">
          <w:rPr>
            <w:noProof/>
            <w:webHidden/>
          </w:rPr>
          <w:tab/>
        </w:r>
        <w:r w:rsidRPr="00BE2DA0">
          <w:rPr>
            <w:noProof/>
            <w:webHidden/>
          </w:rPr>
          <w:fldChar w:fldCharType="begin"/>
        </w:r>
        <w:r w:rsidRPr="00BE2DA0">
          <w:rPr>
            <w:noProof/>
            <w:webHidden/>
          </w:rPr>
          <w:instrText xml:space="preserve"> PAGEREF _Toc220152166 \h </w:instrText>
        </w:r>
        <w:r w:rsidRPr="00BE2DA0">
          <w:rPr>
            <w:noProof/>
            <w:webHidden/>
          </w:rPr>
        </w:r>
        <w:r w:rsidRPr="00BE2DA0">
          <w:rPr>
            <w:noProof/>
            <w:webHidden/>
          </w:rPr>
          <w:fldChar w:fldCharType="separate"/>
        </w:r>
        <w:r w:rsidR="005D0832">
          <w:rPr>
            <w:noProof/>
            <w:webHidden/>
          </w:rPr>
          <w:t>5</w:t>
        </w:r>
        <w:r w:rsidRPr="00BE2DA0">
          <w:rPr>
            <w:noProof/>
            <w:webHidden/>
          </w:rPr>
          <w:fldChar w:fldCharType="end"/>
        </w:r>
      </w:hyperlink>
    </w:p>
    <w:p w14:paraId="7AEF0B40" w14:textId="2D39E337" w:rsidR="00731DF2" w:rsidRPr="00BE2DA0" w:rsidRDefault="00731DF2" w:rsidP="00BE2DA0">
      <w:pPr>
        <w:pStyle w:val="TOC2"/>
        <w:rPr>
          <w:rFonts w:eastAsiaTheme="minorEastAsia"/>
          <w:noProof/>
          <w:kern w:val="2"/>
          <w14:ligatures w14:val="standardContextual"/>
        </w:rPr>
      </w:pPr>
      <w:hyperlink w:anchor="_Toc220152167" w:history="1">
        <w:r w:rsidRPr="00BE2DA0">
          <w:rPr>
            <w:rStyle w:val="Hyperlink"/>
            <w:noProof/>
          </w:rPr>
          <w:t>1.8 Scope and Delimitations</w:t>
        </w:r>
        <w:r w:rsidRPr="00BE2DA0">
          <w:rPr>
            <w:noProof/>
            <w:webHidden/>
          </w:rPr>
          <w:tab/>
        </w:r>
        <w:r w:rsidRPr="00BE2DA0">
          <w:rPr>
            <w:noProof/>
            <w:webHidden/>
          </w:rPr>
          <w:fldChar w:fldCharType="begin"/>
        </w:r>
        <w:r w:rsidRPr="00BE2DA0">
          <w:rPr>
            <w:noProof/>
            <w:webHidden/>
          </w:rPr>
          <w:instrText xml:space="preserve"> PAGEREF _Toc220152167 \h </w:instrText>
        </w:r>
        <w:r w:rsidRPr="00BE2DA0">
          <w:rPr>
            <w:noProof/>
            <w:webHidden/>
          </w:rPr>
        </w:r>
        <w:r w:rsidRPr="00BE2DA0">
          <w:rPr>
            <w:noProof/>
            <w:webHidden/>
          </w:rPr>
          <w:fldChar w:fldCharType="separate"/>
        </w:r>
        <w:r w:rsidR="005D0832">
          <w:rPr>
            <w:noProof/>
            <w:webHidden/>
          </w:rPr>
          <w:t>6</w:t>
        </w:r>
        <w:r w:rsidRPr="00BE2DA0">
          <w:rPr>
            <w:noProof/>
            <w:webHidden/>
          </w:rPr>
          <w:fldChar w:fldCharType="end"/>
        </w:r>
      </w:hyperlink>
    </w:p>
    <w:p w14:paraId="3F8F8166" w14:textId="710F973F" w:rsidR="00731DF2" w:rsidRPr="00BE2DA0" w:rsidRDefault="00731DF2" w:rsidP="00BE2DA0">
      <w:pPr>
        <w:pStyle w:val="TOC2"/>
        <w:rPr>
          <w:rFonts w:eastAsiaTheme="minorEastAsia"/>
          <w:noProof/>
          <w:kern w:val="2"/>
          <w14:ligatures w14:val="standardContextual"/>
        </w:rPr>
      </w:pPr>
      <w:hyperlink w:anchor="_Toc220152168" w:history="1">
        <w:r w:rsidRPr="00BE2DA0">
          <w:rPr>
            <w:rStyle w:val="Hyperlink"/>
            <w:noProof/>
          </w:rPr>
          <w:t>1.9 Research Methodology Overview</w:t>
        </w:r>
        <w:r w:rsidRPr="00BE2DA0">
          <w:rPr>
            <w:noProof/>
            <w:webHidden/>
          </w:rPr>
          <w:tab/>
        </w:r>
        <w:r w:rsidRPr="00BE2DA0">
          <w:rPr>
            <w:noProof/>
            <w:webHidden/>
          </w:rPr>
          <w:fldChar w:fldCharType="begin"/>
        </w:r>
        <w:r w:rsidRPr="00BE2DA0">
          <w:rPr>
            <w:noProof/>
            <w:webHidden/>
          </w:rPr>
          <w:instrText xml:space="preserve"> PAGEREF _Toc220152168 \h </w:instrText>
        </w:r>
        <w:r w:rsidRPr="00BE2DA0">
          <w:rPr>
            <w:noProof/>
            <w:webHidden/>
          </w:rPr>
        </w:r>
        <w:r w:rsidRPr="00BE2DA0">
          <w:rPr>
            <w:noProof/>
            <w:webHidden/>
          </w:rPr>
          <w:fldChar w:fldCharType="separate"/>
        </w:r>
        <w:r w:rsidR="005D0832">
          <w:rPr>
            <w:noProof/>
            <w:webHidden/>
          </w:rPr>
          <w:t>6</w:t>
        </w:r>
        <w:r w:rsidRPr="00BE2DA0">
          <w:rPr>
            <w:noProof/>
            <w:webHidden/>
          </w:rPr>
          <w:fldChar w:fldCharType="end"/>
        </w:r>
      </w:hyperlink>
    </w:p>
    <w:p w14:paraId="7F63F64D" w14:textId="7361F013" w:rsidR="00731DF2" w:rsidRDefault="00731DF2" w:rsidP="00BE2DA0">
      <w:pPr>
        <w:pStyle w:val="TOC2"/>
        <w:rPr>
          <w:noProof/>
        </w:rPr>
      </w:pPr>
      <w:hyperlink w:anchor="_Toc220152169" w:history="1">
        <w:r w:rsidRPr="00BE2DA0">
          <w:rPr>
            <w:rStyle w:val="Hyperlink"/>
            <w:noProof/>
          </w:rPr>
          <w:t>1.10 Dissertation Structure</w:t>
        </w:r>
        <w:r w:rsidRPr="00BE2DA0">
          <w:rPr>
            <w:noProof/>
            <w:webHidden/>
          </w:rPr>
          <w:tab/>
        </w:r>
        <w:r w:rsidRPr="00BE2DA0">
          <w:rPr>
            <w:noProof/>
            <w:webHidden/>
          </w:rPr>
          <w:fldChar w:fldCharType="begin"/>
        </w:r>
        <w:r w:rsidRPr="00BE2DA0">
          <w:rPr>
            <w:noProof/>
            <w:webHidden/>
          </w:rPr>
          <w:instrText xml:space="preserve"> PAGEREF _Toc220152169 \h </w:instrText>
        </w:r>
        <w:r w:rsidRPr="00BE2DA0">
          <w:rPr>
            <w:noProof/>
            <w:webHidden/>
          </w:rPr>
        </w:r>
        <w:r w:rsidRPr="00BE2DA0">
          <w:rPr>
            <w:noProof/>
            <w:webHidden/>
          </w:rPr>
          <w:fldChar w:fldCharType="separate"/>
        </w:r>
        <w:r w:rsidR="005D0832">
          <w:rPr>
            <w:noProof/>
            <w:webHidden/>
          </w:rPr>
          <w:t>7</w:t>
        </w:r>
        <w:r w:rsidRPr="00BE2DA0">
          <w:rPr>
            <w:noProof/>
            <w:webHidden/>
          </w:rPr>
          <w:fldChar w:fldCharType="end"/>
        </w:r>
      </w:hyperlink>
    </w:p>
    <w:p w14:paraId="6769BEDE" w14:textId="77777777" w:rsidR="00861778" w:rsidRPr="00861778" w:rsidRDefault="00861778" w:rsidP="00861778">
      <w:pPr>
        <w:rPr>
          <w:noProof/>
        </w:rPr>
      </w:pPr>
    </w:p>
    <w:p w14:paraId="38ECD66B" w14:textId="1A3484F0" w:rsidR="00731DF2" w:rsidRDefault="00731DF2" w:rsidP="00861778">
      <w:pPr>
        <w:pStyle w:val="TOC1"/>
      </w:pPr>
      <w:hyperlink w:anchor="_Toc220152170" w:history="1">
        <w:r w:rsidRPr="00BE2DA0">
          <w:rPr>
            <w:rStyle w:val="Hyperlink"/>
            <w:b/>
            <w:bCs/>
          </w:rPr>
          <w:t>Chapter 2 – Literature Review</w:t>
        </w:r>
        <w:r w:rsidRPr="00BE2DA0">
          <w:rPr>
            <w:webHidden/>
          </w:rPr>
          <w:tab/>
        </w:r>
        <w:r w:rsidRPr="00BE2DA0">
          <w:rPr>
            <w:webHidden/>
          </w:rPr>
          <w:fldChar w:fldCharType="begin"/>
        </w:r>
        <w:r w:rsidRPr="00BE2DA0">
          <w:rPr>
            <w:webHidden/>
          </w:rPr>
          <w:instrText xml:space="preserve"> PAGEREF _Toc220152170 \h </w:instrText>
        </w:r>
        <w:r w:rsidRPr="00BE2DA0">
          <w:rPr>
            <w:webHidden/>
          </w:rPr>
        </w:r>
        <w:r w:rsidRPr="00BE2DA0">
          <w:rPr>
            <w:webHidden/>
          </w:rPr>
          <w:fldChar w:fldCharType="separate"/>
        </w:r>
        <w:r w:rsidR="005D0832">
          <w:rPr>
            <w:webHidden/>
          </w:rPr>
          <w:t>9</w:t>
        </w:r>
        <w:r w:rsidRPr="00BE2DA0">
          <w:rPr>
            <w:webHidden/>
          </w:rPr>
          <w:fldChar w:fldCharType="end"/>
        </w:r>
      </w:hyperlink>
    </w:p>
    <w:p w14:paraId="66CA9810" w14:textId="77777777" w:rsidR="00861778" w:rsidRPr="00861778" w:rsidRDefault="00861778" w:rsidP="00861778">
      <w:pPr>
        <w:rPr>
          <w:noProof/>
        </w:rPr>
      </w:pPr>
    </w:p>
    <w:p w14:paraId="70EA96D1" w14:textId="2C64CE07" w:rsidR="00731DF2" w:rsidRPr="00BE2DA0" w:rsidRDefault="00731DF2" w:rsidP="00BE2DA0">
      <w:pPr>
        <w:pStyle w:val="TOC2"/>
        <w:rPr>
          <w:rFonts w:eastAsiaTheme="minorEastAsia"/>
          <w:noProof/>
          <w:kern w:val="2"/>
          <w14:ligatures w14:val="standardContextual"/>
        </w:rPr>
      </w:pPr>
      <w:hyperlink w:anchor="_Toc220152171" w:history="1">
        <w:r w:rsidRPr="00BE2DA0">
          <w:rPr>
            <w:rStyle w:val="Hyperlink"/>
            <w:noProof/>
          </w:rPr>
          <w:t>2.1 Introduction</w:t>
        </w:r>
        <w:r w:rsidRPr="00BE2DA0">
          <w:rPr>
            <w:noProof/>
            <w:webHidden/>
          </w:rPr>
          <w:tab/>
        </w:r>
        <w:r w:rsidRPr="00BE2DA0">
          <w:rPr>
            <w:noProof/>
            <w:webHidden/>
          </w:rPr>
          <w:fldChar w:fldCharType="begin"/>
        </w:r>
        <w:r w:rsidRPr="00BE2DA0">
          <w:rPr>
            <w:noProof/>
            <w:webHidden/>
          </w:rPr>
          <w:instrText xml:space="preserve"> PAGEREF _Toc220152171 \h </w:instrText>
        </w:r>
        <w:r w:rsidRPr="00BE2DA0">
          <w:rPr>
            <w:noProof/>
            <w:webHidden/>
          </w:rPr>
        </w:r>
        <w:r w:rsidRPr="00BE2DA0">
          <w:rPr>
            <w:noProof/>
            <w:webHidden/>
          </w:rPr>
          <w:fldChar w:fldCharType="separate"/>
        </w:r>
        <w:r w:rsidR="005D0832">
          <w:rPr>
            <w:noProof/>
            <w:webHidden/>
          </w:rPr>
          <w:t>9</w:t>
        </w:r>
        <w:r w:rsidRPr="00BE2DA0">
          <w:rPr>
            <w:noProof/>
            <w:webHidden/>
          </w:rPr>
          <w:fldChar w:fldCharType="end"/>
        </w:r>
      </w:hyperlink>
    </w:p>
    <w:p w14:paraId="72A8C8DB" w14:textId="3EE299F5" w:rsidR="00731DF2" w:rsidRPr="00BE2DA0" w:rsidRDefault="00731DF2" w:rsidP="00BE2DA0">
      <w:pPr>
        <w:pStyle w:val="TOC2"/>
        <w:rPr>
          <w:rFonts w:eastAsiaTheme="minorEastAsia"/>
          <w:noProof/>
          <w:kern w:val="2"/>
          <w14:ligatures w14:val="standardContextual"/>
        </w:rPr>
      </w:pPr>
      <w:hyperlink w:anchor="_Toc220152172" w:history="1">
        <w:r w:rsidRPr="00BE2DA0">
          <w:rPr>
            <w:rStyle w:val="Hyperlink"/>
            <w:noProof/>
          </w:rPr>
          <w:t>2.2 Sustainable Post-Construction Management</w:t>
        </w:r>
        <w:r w:rsidRPr="00BE2DA0">
          <w:rPr>
            <w:noProof/>
            <w:webHidden/>
          </w:rPr>
          <w:tab/>
        </w:r>
        <w:r w:rsidRPr="00BE2DA0">
          <w:rPr>
            <w:noProof/>
            <w:webHidden/>
          </w:rPr>
          <w:fldChar w:fldCharType="begin"/>
        </w:r>
        <w:r w:rsidRPr="00BE2DA0">
          <w:rPr>
            <w:noProof/>
            <w:webHidden/>
          </w:rPr>
          <w:instrText xml:space="preserve"> PAGEREF _Toc220152172 \h </w:instrText>
        </w:r>
        <w:r w:rsidRPr="00BE2DA0">
          <w:rPr>
            <w:noProof/>
            <w:webHidden/>
          </w:rPr>
        </w:r>
        <w:r w:rsidRPr="00BE2DA0">
          <w:rPr>
            <w:noProof/>
            <w:webHidden/>
          </w:rPr>
          <w:fldChar w:fldCharType="separate"/>
        </w:r>
        <w:r w:rsidR="005D0832">
          <w:rPr>
            <w:noProof/>
            <w:webHidden/>
          </w:rPr>
          <w:t>9</w:t>
        </w:r>
        <w:r w:rsidRPr="00BE2DA0">
          <w:rPr>
            <w:noProof/>
            <w:webHidden/>
          </w:rPr>
          <w:fldChar w:fldCharType="end"/>
        </w:r>
      </w:hyperlink>
    </w:p>
    <w:p w14:paraId="502E805B" w14:textId="1F7556D0" w:rsidR="00731DF2" w:rsidRPr="00BE2DA0" w:rsidRDefault="00731DF2" w:rsidP="00BE2DA0">
      <w:pPr>
        <w:pStyle w:val="TOC2"/>
        <w:rPr>
          <w:rFonts w:eastAsiaTheme="minorEastAsia"/>
          <w:noProof/>
          <w:kern w:val="2"/>
          <w14:ligatures w14:val="standardContextual"/>
        </w:rPr>
      </w:pPr>
      <w:hyperlink w:anchor="_Toc220152173" w:history="1">
        <w:r w:rsidRPr="00BE2DA0">
          <w:rPr>
            <w:rStyle w:val="Hyperlink"/>
            <w:noProof/>
          </w:rPr>
          <w:t>2.3 Building Information Modelling and Digital Twin Evolution</w:t>
        </w:r>
        <w:r w:rsidRPr="00BE2DA0">
          <w:rPr>
            <w:noProof/>
            <w:webHidden/>
          </w:rPr>
          <w:tab/>
        </w:r>
        <w:r w:rsidRPr="00BE2DA0">
          <w:rPr>
            <w:noProof/>
            <w:webHidden/>
          </w:rPr>
          <w:fldChar w:fldCharType="begin"/>
        </w:r>
        <w:r w:rsidRPr="00BE2DA0">
          <w:rPr>
            <w:noProof/>
            <w:webHidden/>
          </w:rPr>
          <w:instrText xml:space="preserve"> PAGEREF _Toc220152173 \h </w:instrText>
        </w:r>
        <w:r w:rsidRPr="00BE2DA0">
          <w:rPr>
            <w:noProof/>
            <w:webHidden/>
          </w:rPr>
        </w:r>
        <w:r w:rsidRPr="00BE2DA0">
          <w:rPr>
            <w:noProof/>
            <w:webHidden/>
          </w:rPr>
          <w:fldChar w:fldCharType="separate"/>
        </w:r>
        <w:r w:rsidR="005D0832">
          <w:rPr>
            <w:noProof/>
            <w:webHidden/>
          </w:rPr>
          <w:t>11</w:t>
        </w:r>
        <w:r w:rsidRPr="00BE2DA0">
          <w:rPr>
            <w:noProof/>
            <w:webHidden/>
          </w:rPr>
          <w:fldChar w:fldCharType="end"/>
        </w:r>
      </w:hyperlink>
    </w:p>
    <w:p w14:paraId="22FEF435" w14:textId="0E8A6BC5" w:rsidR="00731DF2" w:rsidRPr="00BE2DA0" w:rsidRDefault="00731DF2" w:rsidP="00BE2DA0">
      <w:pPr>
        <w:pStyle w:val="TOC2"/>
        <w:rPr>
          <w:rFonts w:eastAsiaTheme="minorEastAsia"/>
          <w:noProof/>
          <w:kern w:val="2"/>
          <w14:ligatures w14:val="standardContextual"/>
        </w:rPr>
      </w:pPr>
      <w:hyperlink w:anchor="_Toc220152174" w:history="1">
        <w:r w:rsidRPr="00BE2DA0">
          <w:rPr>
            <w:rStyle w:val="Hyperlink"/>
            <w:noProof/>
          </w:rPr>
          <w:t>2.4 M&amp;E Systems Optimisation and Predictive Maintenance</w:t>
        </w:r>
        <w:r w:rsidRPr="00BE2DA0">
          <w:rPr>
            <w:noProof/>
            <w:webHidden/>
          </w:rPr>
          <w:tab/>
        </w:r>
        <w:r w:rsidRPr="00BE2DA0">
          <w:rPr>
            <w:noProof/>
            <w:webHidden/>
          </w:rPr>
          <w:fldChar w:fldCharType="begin"/>
        </w:r>
        <w:r w:rsidRPr="00BE2DA0">
          <w:rPr>
            <w:noProof/>
            <w:webHidden/>
          </w:rPr>
          <w:instrText xml:space="preserve"> PAGEREF _Toc220152174 \h </w:instrText>
        </w:r>
        <w:r w:rsidRPr="00BE2DA0">
          <w:rPr>
            <w:noProof/>
            <w:webHidden/>
          </w:rPr>
        </w:r>
        <w:r w:rsidRPr="00BE2DA0">
          <w:rPr>
            <w:noProof/>
            <w:webHidden/>
          </w:rPr>
          <w:fldChar w:fldCharType="separate"/>
        </w:r>
        <w:r w:rsidR="005D0832">
          <w:rPr>
            <w:noProof/>
            <w:webHidden/>
          </w:rPr>
          <w:t>12</w:t>
        </w:r>
        <w:r w:rsidRPr="00BE2DA0">
          <w:rPr>
            <w:noProof/>
            <w:webHidden/>
          </w:rPr>
          <w:fldChar w:fldCharType="end"/>
        </w:r>
      </w:hyperlink>
    </w:p>
    <w:p w14:paraId="29EB643B" w14:textId="1820F89C" w:rsidR="00731DF2" w:rsidRPr="00BE2DA0" w:rsidRDefault="00731DF2" w:rsidP="00BE2DA0">
      <w:pPr>
        <w:pStyle w:val="TOC2"/>
        <w:rPr>
          <w:rFonts w:eastAsiaTheme="minorEastAsia"/>
          <w:noProof/>
          <w:kern w:val="2"/>
          <w14:ligatures w14:val="standardContextual"/>
        </w:rPr>
      </w:pPr>
      <w:hyperlink w:anchor="_Toc220152175" w:history="1">
        <w:r w:rsidRPr="00BE2DA0">
          <w:rPr>
            <w:rStyle w:val="Hyperlink"/>
            <w:noProof/>
          </w:rPr>
          <w:t>2.5 Artificial Intelligence and API Integration</w:t>
        </w:r>
        <w:r w:rsidRPr="00BE2DA0">
          <w:rPr>
            <w:noProof/>
            <w:webHidden/>
          </w:rPr>
          <w:tab/>
        </w:r>
        <w:r w:rsidRPr="00BE2DA0">
          <w:rPr>
            <w:noProof/>
            <w:webHidden/>
          </w:rPr>
          <w:fldChar w:fldCharType="begin"/>
        </w:r>
        <w:r w:rsidRPr="00BE2DA0">
          <w:rPr>
            <w:noProof/>
            <w:webHidden/>
          </w:rPr>
          <w:instrText xml:space="preserve"> PAGEREF _Toc220152175 \h </w:instrText>
        </w:r>
        <w:r w:rsidRPr="00BE2DA0">
          <w:rPr>
            <w:noProof/>
            <w:webHidden/>
          </w:rPr>
        </w:r>
        <w:r w:rsidRPr="00BE2DA0">
          <w:rPr>
            <w:noProof/>
            <w:webHidden/>
          </w:rPr>
          <w:fldChar w:fldCharType="separate"/>
        </w:r>
        <w:r w:rsidR="005D0832">
          <w:rPr>
            <w:noProof/>
            <w:webHidden/>
          </w:rPr>
          <w:t>16</w:t>
        </w:r>
        <w:r w:rsidRPr="00BE2DA0">
          <w:rPr>
            <w:noProof/>
            <w:webHidden/>
          </w:rPr>
          <w:fldChar w:fldCharType="end"/>
        </w:r>
      </w:hyperlink>
    </w:p>
    <w:p w14:paraId="4670F025" w14:textId="15A4F285" w:rsidR="00731DF2" w:rsidRPr="00BE2DA0" w:rsidRDefault="00731DF2" w:rsidP="00BE2DA0">
      <w:pPr>
        <w:pStyle w:val="TOC2"/>
        <w:rPr>
          <w:rFonts w:eastAsiaTheme="minorEastAsia"/>
          <w:noProof/>
          <w:kern w:val="2"/>
          <w14:ligatures w14:val="standardContextual"/>
        </w:rPr>
      </w:pPr>
      <w:hyperlink w:anchor="_Toc220152176" w:history="1">
        <w:r w:rsidRPr="00BE2DA0">
          <w:rPr>
            <w:rStyle w:val="Hyperlink"/>
            <w:noProof/>
          </w:rPr>
          <w:t>2.6 Technology Adoption Perspectives</w:t>
        </w:r>
        <w:r w:rsidRPr="00BE2DA0">
          <w:rPr>
            <w:noProof/>
            <w:webHidden/>
          </w:rPr>
          <w:tab/>
        </w:r>
        <w:r w:rsidRPr="00BE2DA0">
          <w:rPr>
            <w:noProof/>
            <w:webHidden/>
          </w:rPr>
          <w:fldChar w:fldCharType="begin"/>
        </w:r>
        <w:r w:rsidRPr="00BE2DA0">
          <w:rPr>
            <w:noProof/>
            <w:webHidden/>
          </w:rPr>
          <w:instrText xml:space="preserve"> PAGEREF _Toc220152176 \h </w:instrText>
        </w:r>
        <w:r w:rsidRPr="00BE2DA0">
          <w:rPr>
            <w:noProof/>
            <w:webHidden/>
          </w:rPr>
        </w:r>
        <w:r w:rsidRPr="00BE2DA0">
          <w:rPr>
            <w:noProof/>
            <w:webHidden/>
          </w:rPr>
          <w:fldChar w:fldCharType="separate"/>
        </w:r>
        <w:r w:rsidR="005D0832">
          <w:rPr>
            <w:noProof/>
            <w:webHidden/>
          </w:rPr>
          <w:t>18</w:t>
        </w:r>
        <w:r w:rsidRPr="00BE2DA0">
          <w:rPr>
            <w:noProof/>
            <w:webHidden/>
          </w:rPr>
          <w:fldChar w:fldCharType="end"/>
        </w:r>
      </w:hyperlink>
    </w:p>
    <w:p w14:paraId="75B98492" w14:textId="11DBC646" w:rsidR="00731DF2" w:rsidRPr="00BE2DA0" w:rsidRDefault="00731DF2" w:rsidP="00BE2DA0">
      <w:pPr>
        <w:pStyle w:val="TOC2"/>
        <w:rPr>
          <w:rFonts w:eastAsiaTheme="minorEastAsia"/>
          <w:noProof/>
          <w:kern w:val="2"/>
          <w14:ligatures w14:val="standardContextual"/>
        </w:rPr>
      </w:pPr>
      <w:hyperlink w:anchor="_Toc220152177" w:history="1">
        <w:r w:rsidRPr="00BE2DA0">
          <w:rPr>
            <w:rStyle w:val="Hyperlink"/>
            <w:noProof/>
          </w:rPr>
          <w:t>2.7 Policy and Regulatory Context</w:t>
        </w:r>
        <w:r w:rsidRPr="00BE2DA0">
          <w:rPr>
            <w:noProof/>
            <w:webHidden/>
          </w:rPr>
          <w:tab/>
        </w:r>
        <w:r w:rsidRPr="00BE2DA0">
          <w:rPr>
            <w:noProof/>
            <w:webHidden/>
          </w:rPr>
          <w:fldChar w:fldCharType="begin"/>
        </w:r>
        <w:r w:rsidRPr="00BE2DA0">
          <w:rPr>
            <w:noProof/>
            <w:webHidden/>
          </w:rPr>
          <w:instrText xml:space="preserve"> PAGEREF _Toc220152177 \h </w:instrText>
        </w:r>
        <w:r w:rsidRPr="00BE2DA0">
          <w:rPr>
            <w:noProof/>
            <w:webHidden/>
          </w:rPr>
        </w:r>
        <w:r w:rsidRPr="00BE2DA0">
          <w:rPr>
            <w:noProof/>
            <w:webHidden/>
          </w:rPr>
          <w:fldChar w:fldCharType="separate"/>
        </w:r>
        <w:r w:rsidR="005D0832">
          <w:rPr>
            <w:noProof/>
            <w:webHidden/>
          </w:rPr>
          <w:t>19</w:t>
        </w:r>
        <w:r w:rsidRPr="00BE2DA0">
          <w:rPr>
            <w:noProof/>
            <w:webHidden/>
          </w:rPr>
          <w:fldChar w:fldCharType="end"/>
        </w:r>
      </w:hyperlink>
    </w:p>
    <w:p w14:paraId="691FB9AA" w14:textId="76AA3EA5" w:rsidR="00731DF2" w:rsidRPr="00BE2DA0" w:rsidRDefault="00731DF2" w:rsidP="00BE2DA0">
      <w:pPr>
        <w:pStyle w:val="TOC2"/>
        <w:rPr>
          <w:rFonts w:eastAsiaTheme="minorEastAsia"/>
          <w:noProof/>
          <w:kern w:val="2"/>
          <w14:ligatures w14:val="standardContextual"/>
        </w:rPr>
      </w:pPr>
      <w:hyperlink w:anchor="_Toc220152178" w:history="1">
        <w:r w:rsidRPr="00BE2DA0">
          <w:rPr>
            <w:rStyle w:val="Hyperlink"/>
            <w:noProof/>
          </w:rPr>
          <w:t>2.8 Human and Organisational Readiness</w:t>
        </w:r>
        <w:r w:rsidRPr="00BE2DA0">
          <w:rPr>
            <w:noProof/>
            <w:webHidden/>
          </w:rPr>
          <w:tab/>
        </w:r>
        <w:r w:rsidRPr="00BE2DA0">
          <w:rPr>
            <w:noProof/>
            <w:webHidden/>
          </w:rPr>
          <w:fldChar w:fldCharType="begin"/>
        </w:r>
        <w:r w:rsidRPr="00BE2DA0">
          <w:rPr>
            <w:noProof/>
            <w:webHidden/>
          </w:rPr>
          <w:instrText xml:space="preserve"> PAGEREF _Toc220152178 \h </w:instrText>
        </w:r>
        <w:r w:rsidRPr="00BE2DA0">
          <w:rPr>
            <w:noProof/>
            <w:webHidden/>
          </w:rPr>
        </w:r>
        <w:r w:rsidRPr="00BE2DA0">
          <w:rPr>
            <w:noProof/>
            <w:webHidden/>
          </w:rPr>
          <w:fldChar w:fldCharType="separate"/>
        </w:r>
        <w:r w:rsidR="005D0832">
          <w:rPr>
            <w:noProof/>
            <w:webHidden/>
          </w:rPr>
          <w:t>20</w:t>
        </w:r>
        <w:r w:rsidRPr="00BE2DA0">
          <w:rPr>
            <w:noProof/>
            <w:webHidden/>
          </w:rPr>
          <w:fldChar w:fldCharType="end"/>
        </w:r>
      </w:hyperlink>
    </w:p>
    <w:p w14:paraId="0122ACDE" w14:textId="1611F6F9" w:rsidR="00731DF2" w:rsidRPr="00BE2DA0" w:rsidRDefault="00731DF2" w:rsidP="00BE2DA0">
      <w:pPr>
        <w:pStyle w:val="TOC2"/>
        <w:rPr>
          <w:rFonts w:eastAsiaTheme="minorEastAsia"/>
          <w:noProof/>
          <w:kern w:val="2"/>
          <w14:ligatures w14:val="standardContextual"/>
        </w:rPr>
      </w:pPr>
      <w:hyperlink w:anchor="_Toc220152179" w:history="1">
        <w:r w:rsidRPr="00BE2DA0">
          <w:rPr>
            <w:rStyle w:val="Hyperlink"/>
            <w:noProof/>
          </w:rPr>
          <w:t>2.9 Conceptual Framework</w:t>
        </w:r>
        <w:r w:rsidRPr="00BE2DA0">
          <w:rPr>
            <w:noProof/>
            <w:webHidden/>
          </w:rPr>
          <w:tab/>
        </w:r>
        <w:r w:rsidRPr="00BE2DA0">
          <w:rPr>
            <w:noProof/>
            <w:webHidden/>
          </w:rPr>
          <w:fldChar w:fldCharType="begin"/>
        </w:r>
        <w:r w:rsidRPr="00BE2DA0">
          <w:rPr>
            <w:noProof/>
            <w:webHidden/>
          </w:rPr>
          <w:instrText xml:space="preserve"> PAGEREF _Toc220152179 \h </w:instrText>
        </w:r>
        <w:r w:rsidRPr="00BE2DA0">
          <w:rPr>
            <w:noProof/>
            <w:webHidden/>
          </w:rPr>
        </w:r>
        <w:r w:rsidRPr="00BE2DA0">
          <w:rPr>
            <w:noProof/>
            <w:webHidden/>
          </w:rPr>
          <w:fldChar w:fldCharType="separate"/>
        </w:r>
        <w:r w:rsidR="005D0832">
          <w:rPr>
            <w:noProof/>
            <w:webHidden/>
          </w:rPr>
          <w:t>21</w:t>
        </w:r>
        <w:r w:rsidRPr="00BE2DA0">
          <w:rPr>
            <w:noProof/>
            <w:webHidden/>
          </w:rPr>
          <w:fldChar w:fldCharType="end"/>
        </w:r>
      </w:hyperlink>
    </w:p>
    <w:p w14:paraId="2A4E68A9" w14:textId="61DADD44" w:rsidR="00731DF2" w:rsidRDefault="00731DF2" w:rsidP="00BE2DA0">
      <w:pPr>
        <w:pStyle w:val="TOC2"/>
        <w:rPr>
          <w:noProof/>
        </w:rPr>
      </w:pPr>
      <w:hyperlink w:anchor="_Toc220152180" w:history="1">
        <w:r w:rsidRPr="00BE2DA0">
          <w:rPr>
            <w:rStyle w:val="Hyperlink"/>
            <w:noProof/>
          </w:rPr>
          <w:t>2.10 Research Gap and Chapter Summary</w:t>
        </w:r>
        <w:r w:rsidRPr="00BE2DA0">
          <w:rPr>
            <w:noProof/>
            <w:webHidden/>
          </w:rPr>
          <w:tab/>
        </w:r>
        <w:r w:rsidRPr="00BE2DA0">
          <w:rPr>
            <w:noProof/>
            <w:webHidden/>
          </w:rPr>
          <w:fldChar w:fldCharType="begin"/>
        </w:r>
        <w:r w:rsidRPr="00BE2DA0">
          <w:rPr>
            <w:noProof/>
            <w:webHidden/>
          </w:rPr>
          <w:instrText xml:space="preserve"> PAGEREF _Toc220152180 \h </w:instrText>
        </w:r>
        <w:r w:rsidRPr="00BE2DA0">
          <w:rPr>
            <w:noProof/>
            <w:webHidden/>
          </w:rPr>
        </w:r>
        <w:r w:rsidRPr="00BE2DA0">
          <w:rPr>
            <w:noProof/>
            <w:webHidden/>
          </w:rPr>
          <w:fldChar w:fldCharType="separate"/>
        </w:r>
        <w:r w:rsidR="005D0832">
          <w:rPr>
            <w:noProof/>
            <w:webHidden/>
          </w:rPr>
          <w:t>22</w:t>
        </w:r>
        <w:r w:rsidRPr="00BE2DA0">
          <w:rPr>
            <w:noProof/>
            <w:webHidden/>
          </w:rPr>
          <w:fldChar w:fldCharType="end"/>
        </w:r>
      </w:hyperlink>
    </w:p>
    <w:p w14:paraId="59B77489" w14:textId="77777777" w:rsidR="00861778" w:rsidRPr="00861778" w:rsidRDefault="00861778" w:rsidP="00861778">
      <w:pPr>
        <w:rPr>
          <w:noProof/>
        </w:rPr>
      </w:pPr>
    </w:p>
    <w:p w14:paraId="1D11F516" w14:textId="519CF703" w:rsidR="00731DF2" w:rsidRDefault="00731DF2" w:rsidP="00861778">
      <w:pPr>
        <w:pStyle w:val="TOC1"/>
      </w:pPr>
      <w:hyperlink w:anchor="_Toc220152181" w:history="1">
        <w:r w:rsidRPr="00BE2DA0">
          <w:rPr>
            <w:rStyle w:val="Hyperlink"/>
            <w:b/>
            <w:bCs/>
          </w:rPr>
          <w:t>Chapter 3 – Research Methodology</w:t>
        </w:r>
        <w:r w:rsidRPr="00BE2DA0">
          <w:rPr>
            <w:webHidden/>
          </w:rPr>
          <w:tab/>
        </w:r>
        <w:r w:rsidRPr="00BE2DA0">
          <w:rPr>
            <w:webHidden/>
          </w:rPr>
          <w:fldChar w:fldCharType="begin"/>
        </w:r>
        <w:r w:rsidRPr="00BE2DA0">
          <w:rPr>
            <w:webHidden/>
          </w:rPr>
          <w:instrText xml:space="preserve"> PAGEREF _Toc220152181 \h </w:instrText>
        </w:r>
        <w:r w:rsidRPr="00BE2DA0">
          <w:rPr>
            <w:webHidden/>
          </w:rPr>
        </w:r>
        <w:r w:rsidRPr="00BE2DA0">
          <w:rPr>
            <w:webHidden/>
          </w:rPr>
          <w:fldChar w:fldCharType="separate"/>
        </w:r>
        <w:r w:rsidR="005D0832">
          <w:rPr>
            <w:webHidden/>
          </w:rPr>
          <w:t>25</w:t>
        </w:r>
        <w:r w:rsidRPr="00BE2DA0">
          <w:rPr>
            <w:webHidden/>
          </w:rPr>
          <w:fldChar w:fldCharType="end"/>
        </w:r>
      </w:hyperlink>
    </w:p>
    <w:p w14:paraId="6812D11F" w14:textId="77777777" w:rsidR="00861778" w:rsidRPr="00861778" w:rsidRDefault="00861778" w:rsidP="00861778">
      <w:pPr>
        <w:rPr>
          <w:noProof/>
        </w:rPr>
      </w:pPr>
    </w:p>
    <w:p w14:paraId="54F41C3A" w14:textId="4188C7E5" w:rsidR="00731DF2" w:rsidRPr="00BE2DA0" w:rsidRDefault="00731DF2" w:rsidP="00BE2DA0">
      <w:pPr>
        <w:pStyle w:val="TOC2"/>
        <w:rPr>
          <w:rFonts w:eastAsiaTheme="minorEastAsia"/>
          <w:noProof/>
          <w:kern w:val="2"/>
          <w14:ligatures w14:val="standardContextual"/>
        </w:rPr>
      </w:pPr>
      <w:hyperlink w:anchor="_Toc220152182" w:history="1">
        <w:r w:rsidRPr="00BE2DA0">
          <w:rPr>
            <w:rStyle w:val="Hyperlink"/>
            <w:noProof/>
          </w:rPr>
          <w:t>3.1 Introduction</w:t>
        </w:r>
        <w:r w:rsidRPr="00BE2DA0">
          <w:rPr>
            <w:noProof/>
            <w:webHidden/>
          </w:rPr>
          <w:tab/>
        </w:r>
        <w:r w:rsidRPr="00BE2DA0">
          <w:rPr>
            <w:noProof/>
            <w:webHidden/>
          </w:rPr>
          <w:fldChar w:fldCharType="begin"/>
        </w:r>
        <w:r w:rsidRPr="00BE2DA0">
          <w:rPr>
            <w:noProof/>
            <w:webHidden/>
          </w:rPr>
          <w:instrText xml:space="preserve"> PAGEREF _Toc220152182 \h </w:instrText>
        </w:r>
        <w:r w:rsidRPr="00BE2DA0">
          <w:rPr>
            <w:noProof/>
            <w:webHidden/>
          </w:rPr>
        </w:r>
        <w:r w:rsidRPr="00BE2DA0">
          <w:rPr>
            <w:noProof/>
            <w:webHidden/>
          </w:rPr>
          <w:fldChar w:fldCharType="separate"/>
        </w:r>
        <w:r w:rsidR="005D0832">
          <w:rPr>
            <w:noProof/>
            <w:webHidden/>
          </w:rPr>
          <w:t>25</w:t>
        </w:r>
        <w:r w:rsidRPr="00BE2DA0">
          <w:rPr>
            <w:noProof/>
            <w:webHidden/>
          </w:rPr>
          <w:fldChar w:fldCharType="end"/>
        </w:r>
      </w:hyperlink>
    </w:p>
    <w:p w14:paraId="33EBCD5A" w14:textId="7976723B" w:rsidR="00731DF2" w:rsidRPr="00BE2DA0" w:rsidRDefault="00731DF2" w:rsidP="00BE2DA0">
      <w:pPr>
        <w:pStyle w:val="TOC2"/>
        <w:rPr>
          <w:rFonts w:eastAsiaTheme="minorEastAsia"/>
          <w:noProof/>
          <w:kern w:val="2"/>
          <w14:ligatures w14:val="standardContextual"/>
        </w:rPr>
      </w:pPr>
      <w:hyperlink w:anchor="_Toc220152183" w:history="1">
        <w:r w:rsidRPr="00BE2DA0">
          <w:rPr>
            <w:rStyle w:val="Hyperlink"/>
            <w:noProof/>
          </w:rPr>
          <w:t>3.2 Research Philosophy and Paradigmatic Position</w:t>
        </w:r>
        <w:r w:rsidRPr="00BE2DA0">
          <w:rPr>
            <w:noProof/>
            <w:webHidden/>
          </w:rPr>
          <w:tab/>
        </w:r>
        <w:r w:rsidRPr="00BE2DA0">
          <w:rPr>
            <w:noProof/>
            <w:webHidden/>
          </w:rPr>
          <w:fldChar w:fldCharType="begin"/>
        </w:r>
        <w:r w:rsidRPr="00BE2DA0">
          <w:rPr>
            <w:noProof/>
            <w:webHidden/>
          </w:rPr>
          <w:instrText xml:space="preserve"> PAGEREF _Toc220152183 \h </w:instrText>
        </w:r>
        <w:r w:rsidRPr="00BE2DA0">
          <w:rPr>
            <w:noProof/>
            <w:webHidden/>
          </w:rPr>
        </w:r>
        <w:r w:rsidRPr="00BE2DA0">
          <w:rPr>
            <w:noProof/>
            <w:webHidden/>
          </w:rPr>
          <w:fldChar w:fldCharType="separate"/>
        </w:r>
        <w:r w:rsidR="005D0832">
          <w:rPr>
            <w:noProof/>
            <w:webHidden/>
          </w:rPr>
          <w:t>25</w:t>
        </w:r>
        <w:r w:rsidRPr="00BE2DA0">
          <w:rPr>
            <w:noProof/>
            <w:webHidden/>
          </w:rPr>
          <w:fldChar w:fldCharType="end"/>
        </w:r>
      </w:hyperlink>
    </w:p>
    <w:p w14:paraId="7831C39E" w14:textId="282F62E0" w:rsidR="00731DF2" w:rsidRPr="00BE2DA0" w:rsidRDefault="00731DF2" w:rsidP="00BE2DA0">
      <w:pPr>
        <w:pStyle w:val="TOC2"/>
        <w:rPr>
          <w:rFonts w:eastAsiaTheme="minorEastAsia"/>
          <w:noProof/>
          <w:kern w:val="2"/>
          <w14:ligatures w14:val="standardContextual"/>
        </w:rPr>
      </w:pPr>
      <w:hyperlink w:anchor="_Toc220152184" w:history="1">
        <w:r w:rsidRPr="00BE2DA0">
          <w:rPr>
            <w:rStyle w:val="Hyperlink"/>
            <w:noProof/>
          </w:rPr>
          <w:t>3.3 Research Design and Strategy</w:t>
        </w:r>
        <w:r w:rsidRPr="00BE2DA0">
          <w:rPr>
            <w:noProof/>
            <w:webHidden/>
          </w:rPr>
          <w:tab/>
        </w:r>
        <w:r w:rsidRPr="00BE2DA0">
          <w:rPr>
            <w:noProof/>
            <w:webHidden/>
          </w:rPr>
          <w:fldChar w:fldCharType="begin"/>
        </w:r>
        <w:r w:rsidRPr="00BE2DA0">
          <w:rPr>
            <w:noProof/>
            <w:webHidden/>
          </w:rPr>
          <w:instrText xml:space="preserve"> PAGEREF _Toc220152184 \h </w:instrText>
        </w:r>
        <w:r w:rsidRPr="00BE2DA0">
          <w:rPr>
            <w:noProof/>
            <w:webHidden/>
          </w:rPr>
        </w:r>
        <w:r w:rsidRPr="00BE2DA0">
          <w:rPr>
            <w:noProof/>
            <w:webHidden/>
          </w:rPr>
          <w:fldChar w:fldCharType="separate"/>
        </w:r>
        <w:r w:rsidR="005D0832">
          <w:rPr>
            <w:noProof/>
            <w:webHidden/>
          </w:rPr>
          <w:t>26</w:t>
        </w:r>
        <w:r w:rsidRPr="00BE2DA0">
          <w:rPr>
            <w:noProof/>
            <w:webHidden/>
          </w:rPr>
          <w:fldChar w:fldCharType="end"/>
        </w:r>
      </w:hyperlink>
    </w:p>
    <w:p w14:paraId="282A8102" w14:textId="6659E1DC"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185" w:history="1">
        <w:r w:rsidRPr="00BE2DA0">
          <w:rPr>
            <w:rStyle w:val="Hyperlink"/>
            <w:noProof/>
          </w:rPr>
          <w:t>3.3.1 Mixed-Methods Approach</w:t>
        </w:r>
        <w:r w:rsidRPr="00BE2DA0">
          <w:rPr>
            <w:noProof/>
            <w:webHidden/>
          </w:rPr>
          <w:tab/>
        </w:r>
        <w:r w:rsidRPr="00BE2DA0">
          <w:rPr>
            <w:noProof/>
            <w:webHidden/>
          </w:rPr>
          <w:fldChar w:fldCharType="begin"/>
        </w:r>
        <w:r w:rsidRPr="00BE2DA0">
          <w:rPr>
            <w:noProof/>
            <w:webHidden/>
          </w:rPr>
          <w:instrText xml:space="preserve"> PAGEREF _Toc220152185 \h </w:instrText>
        </w:r>
        <w:r w:rsidRPr="00BE2DA0">
          <w:rPr>
            <w:noProof/>
            <w:webHidden/>
          </w:rPr>
        </w:r>
        <w:r w:rsidRPr="00BE2DA0">
          <w:rPr>
            <w:noProof/>
            <w:webHidden/>
          </w:rPr>
          <w:fldChar w:fldCharType="separate"/>
        </w:r>
        <w:r w:rsidR="005D0832">
          <w:rPr>
            <w:noProof/>
            <w:webHidden/>
          </w:rPr>
          <w:t>26</w:t>
        </w:r>
        <w:r w:rsidRPr="00BE2DA0">
          <w:rPr>
            <w:noProof/>
            <w:webHidden/>
          </w:rPr>
          <w:fldChar w:fldCharType="end"/>
        </w:r>
      </w:hyperlink>
    </w:p>
    <w:p w14:paraId="01A3DFE7" w14:textId="20818C1F"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186" w:history="1">
        <w:r w:rsidRPr="00BE2DA0">
          <w:rPr>
            <w:rStyle w:val="Hyperlink"/>
            <w:noProof/>
          </w:rPr>
          <w:t>3.3.2 Conceptual Framework Alignment</w:t>
        </w:r>
        <w:r w:rsidRPr="00BE2DA0">
          <w:rPr>
            <w:noProof/>
            <w:webHidden/>
          </w:rPr>
          <w:tab/>
        </w:r>
        <w:r w:rsidRPr="00BE2DA0">
          <w:rPr>
            <w:noProof/>
            <w:webHidden/>
          </w:rPr>
          <w:fldChar w:fldCharType="begin"/>
        </w:r>
        <w:r w:rsidRPr="00BE2DA0">
          <w:rPr>
            <w:noProof/>
            <w:webHidden/>
          </w:rPr>
          <w:instrText xml:space="preserve"> PAGEREF _Toc220152186 \h </w:instrText>
        </w:r>
        <w:r w:rsidRPr="00BE2DA0">
          <w:rPr>
            <w:noProof/>
            <w:webHidden/>
          </w:rPr>
        </w:r>
        <w:r w:rsidRPr="00BE2DA0">
          <w:rPr>
            <w:noProof/>
            <w:webHidden/>
          </w:rPr>
          <w:fldChar w:fldCharType="separate"/>
        </w:r>
        <w:r w:rsidR="005D0832">
          <w:rPr>
            <w:noProof/>
            <w:webHidden/>
          </w:rPr>
          <w:t>28</w:t>
        </w:r>
        <w:r w:rsidRPr="00BE2DA0">
          <w:rPr>
            <w:noProof/>
            <w:webHidden/>
          </w:rPr>
          <w:fldChar w:fldCharType="end"/>
        </w:r>
      </w:hyperlink>
    </w:p>
    <w:p w14:paraId="06D160E9" w14:textId="448E666D" w:rsidR="00731DF2" w:rsidRPr="00BE2DA0" w:rsidRDefault="00731DF2" w:rsidP="00BE2DA0">
      <w:pPr>
        <w:pStyle w:val="TOC2"/>
        <w:rPr>
          <w:rFonts w:eastAsiaTheme="minorEastAsia"/>
          <w:noProof/>
          <w:kern w:val="2"/>
          <w14:ligatures w14:val="standardContextual"/>
        </w:rPr>
      </w:pPr>
      <w:hyperlink w:anchor="_Toc220152187" w:history="1">
        <w:r w:rsidRPr="00BE2DA0">
          <w:rPr>
            <w:rStyle w:val="Hyperlink"/>
            <w:noProof/>
          </w:rPr>
          <w:t>3.4 Quantitative Data Collection: Industry Survey</w:t>
        </w:r>
        <w:r w:rsidRPr="00BE2DA0">
          <w:rPr>
            <w:noProof/>
            <w:webHidden/>
          </w:rPr>
          <w:tab/>
        </w:r>
        <w:r w:rsidRPr="00BE2DA0">
          <w:rPr>
            <w:noProof/>
            <w:webHidden/>
          </w:rPr>
          <w:fldChar w:fldCharType="begin"/>
        </w:r>
        <w:r w:rsidRPr="00BE2DA0">
          <w:rPr>
            <w:noProof/>
            <w:webHidden/>
          </w:rPr>
          <w:instrText xml:space="preserve"> PAGEREF _Toc220152187 \h </w:instrText>
        </w:r>
        <w:r w:rsidRPr="00BE2DA0">
          <w:rPr>
            <w:noProof/>
            <w:webHidden/>
          </w:rPr>
        </w:r>
        <w:r w:rsidRPr="00BE2DA0">
          <w:rPr>
            <w:noProof/>
            <w:webHidden/>
          </w:rPr>
          <w:fldChar w:fldCharType="separate"/>
        </w:r>
        <w:r w:rsidR="005D0832">
          <w:rPr>
            <w:noProof/>
            <w:webHidden/>
          </w:rPr>
          <w:t>29</w:t>
        </w:r>
        <w:r w:rsidRPr="00BE2DA0">
          <w:rPr>
            <w:noProof/>
            <w:webHidden/>
          </w:rPr>
          <w:fldChar w:fldCharType="end"/>
        </w:r>
      </w:hyperlink>
    </w:p>
    <w:p w14:paraId="297F82C5" w14:textId="725F9DC1"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188" w:history="1">
        <w:r w:rsidRPr="00BE2DA0">
          <w:rPr>
            <w:rStyle w:val="Hyperlink"/>
            <w:noProof/>
          </w:rPr>
          <w:t>3.4.1 Survey Instrument Design</w:t>
        </w:r>
        <w:r w:rsidRPr="00BE2DA0">
          <w:rPr>
            <w:noProof/>
            <w:webHidden/>
          </w:rPr>
          <w:tab/>
        </w:r>
        <w:r w:rsidRPr="00BE2DA0">
          <w:rPr>
            <w:noProof/>
            <w:webHidden/>
          </w:rPr>
          <w:fldChar w:fldCharType="begin"/>
        </w:r>
        <w:r w:rsidRPr="00BE2DA0">
          <w:rPr>
            <w:noProof/>
            <w:webHidden/>
          </w:rPr>
          <w:instrText xml:space="preserve"> PAGEREF _Toc220152188 \h </w:instrText>
        </w:r>
        <w:r w:rsidRPr="00BE2DA0">
          <w:rPr>
            <w:noProof/>
            <w:webHidden/>
          </w:rPr>
        </w:r>
        <w:r w:rsidRPr="00BE2DA0">
          <w:rPr>
            <w:noProof/>
            <w:webHidden/>
          </w:rPr>
          <w:fldChar w:fldCharType="separate"/>
        </w:r>
        <w:r w:rsidR="005D0832">
          <w:rPr>
            <w:noProof/>
            <w:webHidden/>
          </w:rPr>
          <w:t>29</w:t>
        </w:r>
        <w:r w:rsidRPr="00BE2DA0">
          <w:rPr>
            <w:noProof/>
            <w:webHidden/>
          </w:rPr>
          <w:fldChar w:fldCharType="end"/>
        </w:r>
      </w:hyperlink>
    </w:p>
    <w:p w14:paraId="1BC8806B" w14:textId="43B873F2"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189" w:history="1">
        <w:r w:rsidRPr="00BE2DA0">
          <w:rPr>
            <w:rStyle w:val="Hyperlink"/>
            <w:noProof/>
          </w:rPr>
          <w:t>3.4.2 Pilot Testing and Refinement</w:t>
        </w:r>
        <w:r w:rsidRPr="00BE2DA0">
          <w:rPr>
            <w:noProof/>
            <w:webHidden/>
          </w:rPr>
          <w:tab/>
        </w:r>
        <w:r w:rsidRPr="00BE2DA0">
          <w:rPr>
            <w:noProof/>
            <w:webHidden/>
          </w:rPr>
          <w:fldChar w:fldCharType="begin"/>
        </w:r>
        <w:r w:rsidRPr="00BE2DA0">
          <w:rPr>
            <w:noProof/>
            <w:webHidden/>
          </w:rPr>
          <w:instrText xml:space="preserve"> PAGEREF _Toc220152189 \h </w:instrText>
        </w:r>
        <w:r w:rsidRPr="00BE2DA0">
          <w:rPr>
            <w:noProof/>
            <w:webHidden/>
          </w:rPr>
        </w:r>
        <w:r w:rsidRPr="00BE2DA0">
          <w:rPr>
            <w:noProof/>
            <w:webHidden/>
          </w:rPr>
          <w:fldChar w:fldCharType="separate"/>
        </w:r>
        <w:r w:rsidR="005D0832">
          <w:rPr>
            <w:noProof/>
            <w:webHidden/>
          </w:rPr>
          <w:t>30</w:t>
        </w:r>
        <w:r w:rsidRPr="00BE2DA0">
          <w:rPr>
            <w:noProof/>
            <w:webHidden/>
          </w:rPr>
          <w:fldChar w:fldCharType="end"/>
        </w:r>
      </w:hyperlink>
    </w:p>
    <w:p w14:paraId="75F35795" w14:textId="4BE9160B"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190" w:history="1">
        <w:r w:rsidRPr="00BE2DA0">
          <w:rPr>
            <w:rStyle w:val="Hyperlink"/>
            <w:noProof/>
          </w:rPr>
          <w:t>3.4.3 Sampling Strategy and Distribution</w:t>
        </w:r>
        <w:r w:rsidRPr="00BE2DA0">
          <w:rPr>
            <w:noProof/>
            <w:webHidden/>
          </w:rPr>
          <w:tab/>
        </w:r>
        <w:r w:rsidRPr="00BE2DA0">
          <w:rPr>
            <w:noProof/>
            <w:webHidden/>
          </w:rPr>
          <w:fldChar w:fldCharType="begin"/>
        </w:r>
        <w:r w:rsidRPr="00BE2DA0">
          <w:rPr>
            <w:noProof/>
            <w:webHidden/>
          </w:rPr>
          <w:instrText xml:space="preserve"> PAGEREF _Toc220152190 \h </w:instrText>
        </w:r>
        <w:r w:rsidRPr="00BE2DA0">
          <w:rPr>
            <w:noProof/>
            <w:webHidden/>
          </w:rPr>
        </w:r>
        <w:r w:rsidRPr="00BE2DA0">
          <w:rPr>
            <w:noProof/>
            <w:webHidden/>
          </w:rPr>
          <w:fldChar w:fldCharType="separate"/>
        </w:r>
        <w:r w:rsidR="005D0832">
          <w:rPr>
            <w:noProof/>
            <w:webHidden/>
          </w:rPr>
          <w:t>30</w:t>
        </w:r>
        <w:r w:rsidRPr="00BE2DA0">
          <w:rPr>
            <w:noProof/>
            <w:webHidden/>
          </w:rPr>
          <w:fldChar w:fldCharType="end"/>
        </w:r>
      </w:hyperlink>
    </w:p>
    <w:p w14:paraId="1373D4FF" w14:textId="1C93D977" w:rsidR="00731DF2" w:rsidRPr="00BE2DA0" w:rsidRDefault="00731DF2" w:rsidP="00BE2DA0">
      <w:pPr>
        <w:pStyle w:val="TOC2"/>
        <w:rPr>
          <w:rFonts w:eastAsiaTheme="minorEastAsia"/>
          <w:noProof/>
          <w:kern w:val="2"/>
          <w14:ligatures w14:val="standardContextual"/>
        </w:rPr>
      </w:pPr>
      <w:hyperlink w:anchor="_Toc220152191" w:history="1">
        <w:r w:rsidRPr="00BE2DA0">
          <w:rPr>
            <w:rStyle w:val="Hyperlink"/>
            <w:noProof/>
          </w:rPr>
          <w:t>3.5 Qualitative Data Collection: Semi-Structured Interviews</w:t>
        </w:r>
        <w:r w:rsidRPr="00BE2DA0">
          <w:rPr>
            <w:noProof/>
            <w:webHidden/>
          </w:rPr>
          <w:tab/>
        </w:r>
        <w:r w:rsidRPr="00BE2DA0">
          <w:rPr>
            <w:noProof/>
            <w:webHidden/>
          </w:rPr>
          <w:fldChar w:fldCharType="begin"/>
        </w:r>
        <w:r w:rsidRPr="00BE2DA0">
          <w:rPr>
            <w:noProof/>
            <w:webHidden/>
          </w:rPr>
          <w:instrText xml:space="preserve"> PAGEREF _Toc220152191 \h </w:instrText>
        </w:r>
        <w:r w:rsidRPr="00BE2DA0">
          <w:rPr>
            <w:noProof/>
            <w:webHidden/>
          </w:rPr>
        </w:r>
        <w:r w:rsidRPr="00BE2DA0">
          <w:rPr>
            <w:noProof/>
            <w:webHidden/>
          </w:rPr>
          <w:fldChar w:fldCharType="separate"/>
        </w:r>
        <w:r w:rsidR="005D0832">
          <w:rPr>
            <w:noProof/>
            <w:webHidden/>
          </w:rPr>
          <w:t>31</w:t>
        </w:r>
        <w:r w:rsidRPr="00BE2DA0">
          <w:rPr>
            <w:noProof/>
            <w:webHidden/>
          </w:rPr>
          <w:fldChar w:fldCharType="end"/>
        </w:r>
      </w:hyperlink>
    </w:p>
    <w:p w14:paraId="5DBEFF0B" w14:textId="12B2BBC1"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192" w:history="1">
        <w:r w:rsidRPr="00BE2DA0">
          <w:rPr>
            <w:rStyle w:val="Hyperlink"/>
            <w:noProof/>
          </w:rPr>
          <w:t>3.5.1 Interview Protocol Design</w:t>
        </w:r>
        <w:r w:rsidRPr="00BE2DA0">
          <w:rPr>
            <w:noProof/>
            <w:webHidden/>
          </w:rPr>
          <w:tab/>
        </w:r>
        <w:r w:rsidRPr="00BE2DA0">
          <w:rPr>
            <w:noProof/>
            <w:webHidden/>
          </w:rPr>
          <w:fldChar w:fldCharType="begin"/>
        </w:r>
        <w:r w:rsidRPr="00BE2DA0">
          <w:rPr>
            <w:noProof/>
            <w:webHidden/>
          </w:rPr>
          <w:instrText xml:space="preserve"> PAGEREF _Toc220152192 \h </w:instrText>
        </w:r>
        <w:r w:rsidRPr="00BE2DA0">
          <w:rPr>
            <w:noProof/>
            <w:webHidden/>
          </w:rPr>
        </w:r>
        <w:r w:rsidRPr="00BE2DA0">
          <w:rPr>
            <w:noProof/>
            <w:webHidden/>
          </w:rPr>
          <w:fldChar w:fldCharType="separate"/>
        </w:r>
        <w:r w:rsidR="005D0832">
          <w:rPr>
            <w:noProof/>
            <w:webHidden/>
          </w:rPr>
          <w:t>31</w:t>
        </w:r>
        <w:r w:rsidRPr="00BE2DA0">
          <w:rPr>
            <w:noProof/>
            <w:webHidden/>
          </w:rPr>
          <w:fldChar w:fldCharType="end"/>
        </w:r>
      </w:hyperlink>
    </w:p>
    <w:p w14:paraId="034B42FC" w14:textId="402F37F1"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193" w:history="1">
        <w:r w:rsidRPr="00BE2DA0">
          <w:rPr>
            <w:rStyle w:val="Hyperlink"/>
            <w:noProof/>
          </w:rPr>
          <w:t>3.5.2 Participant Selection and Recruitment</w:t>
        </w:r>
        <w:r w:rsidRPr="00BE2DA0">
          <w:rPr>
            <w:noProof/>
            <w:webHidden/>
          </w:rPr>
          <w:tab/>
        </w:r>
        <w:r w:rsidRPr="00BE2DA0">
          <w:rPr>
            <w:noProof/>
            <w:webHidden/>
          </w:rPr>
          <w:fldChar w:fldCharType="begin"/>
        </w:r>
        <w:r w:rsidRPr="00BE2DA0">
          <w:rPr>
            <w:noProof/>
            <w:webHidden/>
          </w:rPr>
          <w:instrText xml:space="preserve"> PAGEREF _Toc220152193 \h </w:instrText>
        </w:r>
        <w:r w:rsidRPr="00BE2DA0">
          <w:rPr>
            <w:noProof/>
            <w:webHidden/>
          </w:rPr>
        </w:r>
        <w:r w:rsidRPr="00BE2DA0">
          <w:rPr>
            <w:noProof/>
            <w:webHidden/>
          </w:rPr>
          <w:fldChar w:fldCharType="separate"/>
        </w:r>
        <w:r w:rsidR="005D0832">
          <w:rPr>
            <w:noProof/>
            <w:webHidden/>
          </w:rPr>
          <w:t>32</w:t>
        </w:r>
        <w:r w:rsidRPr="00BE2DA0">
          <w:rPr>
            <w:noProof/>
            <w:webHidden/>
          </w:rPr>
          <w:fldChar w:fldCharType="end"/>
        </w:r>
      </w:hyperlink>
    </w:p>
    <w:p w14:paraId="795565EE" w14:textId="25864235" w:rsidR="00731DF2" w:rsidRPr="00BE2DA0" w:rsidRDefault="00731DF2" w:rsidP="00BE2DA0">
      <w:pPr>
        <w:pStyle w:val="TOC2"/>
        <w:rPr>
          <w:rFonts w:eastAsiaTheme="minorEastAsia"/>
          <w:noProof/>
          <w:kern w:val="2"/>
          <w14:ligatures w14:val="standardContextual"/>
        </w:rPr>
      </w:pPr>
      <w:hyperlink w:anchor="_Toc220152194" w:history="1">
        <w:r w:rsidRPr="00BE2DA0">
          <w:rPr>
            <w:rStyle w:val="Hyperlink"/>
            <w:noProof/>
          </w:rPr>
          <w:t>3.6 Data Analysis Methods</w:t>
        </w:r>
        <w:r w:rsidRPr="00BE2DA0">
          <w:rPr>
            <w:noProof/>
            <w:webHidden/>
          </w:rPr>
          <w:tab/>
        </w:r>
        <w:r w:rsidRPr="00BE2DA0">
          <w:rPr>
            <w:noProof/>
            <w:webHidden/>
          </w:rPr>
          <w:fldChar w:fldCharType="begin"/>
        </w:r>
        <w:r w:rsidRPr="00BE2DA0">
          <w:rPr>
            <w:noProof/>
            <w:webHidden/>
          </w:rPr>
          <w:instrText xml:space="preserve"> PAGEREF _Toc220152194 \h </w:instrText>
        </w:r>
        <w:r w:rsidRPr="00BE2DA0">
          <w:rPr>
            <w:noProof/>
            <w:webHidden/>
          </w:rPr>
        </w:r>
        <w:r w:rsidRPr="00BE2DA0">
          <w:rPr>
            <w:noProof/>
            <w:webHidden/>
          </w:rPr>
          <w:fldChar w:fldCharType="separate"/>
        </w:r>
        <w:r w:rsidR="005D0832">
          <w:rPr>
            <w:noProof/>
            <w:webHidden/>
          </w:rPr>
          <w:t>32</w:t>
        </w:r>
        <w:r w:rsidRPr="00BE2DA0">
          <w:rPr>
            <w:noProof/>
            <w:webHidden/>
          </w:rPr>
          <w:fldChar w:fldCharType="end"/>
        </w:r>
      </w:hyperlink>
    </w:p>
    <w:p w14:paraId="5C3457FE" w14:textId="4CD4316B"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195" w:history="1">
        <w:r w:rsidRPr="00BE2DA0">
          <w:rPr>
            <w:rStyle w:val="Hyperlink"/>
            <w:noProof/>
          </w:rPr>
          <w:t>3.6.1 Quantitative Analysis Procedures</w:t>
        </w:r>
        <w:r w:rsidRPr="00BE2DA0">
          <w:rPr>
            <w:noProof/>
            <w:webHidden/>
          </w:rPr>
          <w:tab/>
        </w:r>
        <w:r w:rsidRPr="00BE2DA0">
          <w:rPr>
            <w:noProof/>
            <w:webHidden/>
          </w:rPr>
          <w:fldChar w:fldCharType="begin"/>
        </w:r>
        <w:r w:rsidRPr="00BE2DA0">
          <w:rPr>
            <w:noProof/>
            <w:webHidden/>
          </w:rPr>
          <w:instrText xml:space="preserve"> PAGEREF _Toc220152195 \h </w:instrText>
        </w:r>
        <w:r w:rsidRPr="00BE2DA0">
          <w:rPr>
            <w:noProof/>
            <w:webHidden/>
          </w:rPr>
        </w:r>
        <w:r w:rsidRPr="00BE2DA0">
          <w:rPr>
            <w:noProof/>
            <w:webHidden/>
          </w:rPr>
          <w:fldChar w:fldCharType="separate"/>
        </w:r>
        <w:r w:rsidR="005D0832">
          <w:rPr>
            <w:noProof/>
            <w:webHidden/>
          </w:rPr>
          <w:t>32</w:t>
        </w:r>
        <w:r w:rsidRPr="00BE2DA0">
          <w:rPr>
            <w:noProof/>
            <w:webHidden/>
          </w:rPr>
          <w:fldChar w:fldCharType="end"/>
        </w:r>
      </w:hyperlink>
    </w:p>
    <w:p w14:paraId="5F2097D8" w14:textId="6D5697C2"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196" w:history="1">
        <w:r w:rsidRPr="00BE2DA0">
          <w:rPr>
            <w:rStyle w:val="Hyperlink"/>
            <w:noProof/>
          </w:rPr>
          <w:t>3.6.2 Qualitative Analysis Procedures</w:t>
        </w:r>
        <w:r w:rsidRPr="00BE2DA0">
          <w:rPr>
            <w:noProof/>
            <w:webHidden/>
          </w:rPr>
          <w:tab/>
        </w:r>
        <w:r w:rsidRPr="00BE2DA0">
          <w:rPr>
            <w:noProof/>
            <w:webHidden/>
          </w:rPr>
          <w:fldChar w:fldCharType="begin"/>
        </w:r>
        <w:r w:rsidRPr="00BE2DA0">
          <w:rPr>
            <w:noProof/>
            <w:webHidden/>
          </w:rPr>
          <w:instrText xml:space="preserve"> PAGEREF _Toc220152196 \h </w:instrText>
        </w:r>
        <w:r w:rsidRPr="00BE2DA0">
          <w:rPr>
            <w:noProof/>
            <w:webHidden/>
          </w:rPr>
        </w:r>
        <w:r w:rsidRPr="00BE2DA0">
          <w:rPr>
            <w:noProof/>
            <w:webHidden/>
          </w:rPr>
          <w:fldChar w:fldCharType="separate"/>
        </w:r>
        <w:r w:rsidR="005D0832">
          <w:rPr>
            <w:noProof/>
            <w:webHidden/>
          </w:rPr>
          <w:t>33</w:t>
        </w:r>
        <w:r w:rsidRPr="00BE2DA0">
          <w:rPr>
            <w:noProof/>
            <w:webHidden/>
          </w:rPr>
          <w:fldChar w:fldCharType="end"/>
        </w:r>
      </w:hyperlink>
    </w:p>
    <w:p w14:paraId="006E1AE1" w14:textId="1F46CA00"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197" w:history="1">
        <w:r w:rsidRPr="00BE2DA0">
          <w:rPr>
            <w:rStyle w:val="Hyperlink"/>
            <w:noProof/>
          </w:rPr>
          <w:t>3.6.3 Mixed-Methods Integration Strategy</w:t>
        </w:r>
        <w:r w:rsidRPr="00BE2DA0">
          <w:rPr>
            <w:noProof/>
            <w:webHidden/>
          </w:rPr>
          <w:tab/>
        </w:r>
        <w:r w:rsidRPr="00BE2DA0">
          <w:rPr>
            <w:noProof/>
            <w:webHidden/>
          </w:rPr>
          <w:fldChar w:fldCharType="begin"/>
        </w:r>
        <w:r w:rsidRPr="00BE2DA0">
          <w:rPr>
            <w:noProof/>
            <w:webHidden/>
          </w:rPr>
          <w:instrText xml:space="preserve"> PAGEREF _Toc220152197 \h </w:instrText>
        </w:r>
        <w:r w:rsidRPr="00BE2DA0">
          <w:rPr>
            <w:noProof/>
            <w:webHidden/>
          </w:rPr>
        </w:r>
        <w:r w:rsidRPr="00BE2DA0">
          <w:rPr>
            <w:noProof/>
            <w:webHidden/>
          </w:rPr>
          <w:fldChar w:fldCharType="separate"/>
        </w:r>
        <w:r w:rsidR="005D0832">
          <w:rPr>
            <w:noProof/>
            <w:webHidden/>
          </w:rPr>
          <w:t>34</w:t>
        </w:r>
        <w:r w:rsidRPr="00BE2DA0">
          <w:rPr>
            <w:noProof/>
            <w:webHidden/>
          </w:rPr>
          <w:fldChar w:fldCharType="end"/>
        </w:r>
      </w:hyperlink>
    </w:p>
    <w:p w14:paraId="1B09E250" w14:textId="0BFBDB01" w:rsidR="00731DF2" w:rsidRPr="00BE2DA0" w:rsidRDefault="00731DF2" w:rsidP="00BE2DA0">
      <w:pPr>
        <w:pStyle w:val="TOC2"/>
        <w:rPr>
          <w:rFonts w:eastAsiaTheme="minorEastAsia"/>
          <w:noProof/>
          <w:kern w:val="2"/>
          <w14:ligatures w14:val="standardContextual"/>
        </w:rPr>
      </w:pPr>
      <w:hyperlink w:anchor="_Toc220152198" w:history="1">
        <w:r w:rsidRPr="00BE2DA0">
          <w:rPr>
            <w:rStyle w:val="Hyperlink"/>
            <w:noProof/>
          </w:rPr>
          <w:t>3.7 Quality Assurance and Rigour</w:t>
        </w:r>
        <w:r w:rsidRPr="00BE2DA0">
          <w:rPr>
            <w:noProof/>
            <w:webHidden/>
          </w:rPr>
          <w:tab/>
        </w:r>
        <w:r w:rsidRPr="00BE2DA0">
          <w:rPr>
            <w:noProof/>
            <w:webHidden/>
          </w:rPr>
          <w:fldChar w:fldCharType="begin"/>
        </w:r>
        <w:r w:rsidRPr="00BE2DA0">
          <w:rPr>
            <w:noProof/>
            <w:webHidden/>
          </w:rPr>
          <w:instrText xml:space="preserve"> PAGEREF _Toc220152198 \h </w:instrText>
        </w:r>
        <w:r w:rsidRPr="00BE2DA0">
          <w:rPr>
            <w:noProof/>
            <w:webHidden/>
          </w:rPr>
        </w:r>
        <w:r w:rsidRPr="00BE2DA0">
          <w:rPr>
            <w:noProof/>
            <w:webHidden/>
          </w:rPr>
          <w:fldChar w:fldCharType="separate"/>
        </w:r>
        <w:r w:rsidR="005D0832">
          <w:rPr>
            <w:noProof/>
            <w:webHidden/>
          </w:rPr>
          <w:t>34</w:t>
        </w:r>
        <w:r w:rsidRPr="00BE2DA0">
          <w:rPr>
            <w:noProof/>
            <w:webHidden/>
          </w:rPr>
          <w:fldChar w:fldCharType="end"/>
        </w:r>
      </w:hyperlink>
    </w:p>
    <w:p w14:paraId="653BCFDB" w14:textId="5B222C68"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199" w:history="1">
        <w:r w:rsidRPr="00BE2DA0">
          <w:rPr>
            <w:rStyle w:val="Hyperlink"/>
            <w:noProof/>
          </w:rPr>
          <w:t>3.7.1 Validity and Reliability Considerations</w:t>
        </w:r>
        <w:r w:rsidRPr="00BE2DA0">
          <w:rPr>
            <w:noProof/>
            <w:webHidden/>
          </w:rPr>
          <w:tab/>
        </w:r>
        <w:r w:rsidRPr="00BE2DA0">
          <w:rPr>
            <w:noProof/>
            <w:webHidden/>
          </w:rPr>
          <w:fldChar w:fldCharType="begin"/>
        </w:r>
        <w:r w:rsidRPr="00BE2DA0">
          <w:rPr>
            <w:noProof/>
            <w:webHidden/>
          </w:rPr>
          <w:instrText xml:space="preserve"> PAGEREF _Toc220152199 \h </w:instrText>
        </w:r>
        <w:r w:rsidRPr="00BE2DA0">
          <w:rPr>
            <w:noProof/>
            <w:webHidden/>
          </w:rPr>
        </w:r>
        <w:r w:rsidRPr="00BE2DA0">
          <w:rPr>
            <w:noProof/>
            <w:webHidden/>
          </w:rPr>
          <w:fldChar w:fldCharType="separate"/>
        </w:r>
        <w:r w:rsidR="005D0832">
          <w:rPr>
            <w:noProof/>
            <w:webHidden/>
          </w:rPr>
          <w:t>34</w:t>
        </w:r>
        <w:r w:rsidRPr="00BE2DA0">
          <w:rPr>
            <w:noProof/>
            <w:webHidden/>
          </w:rPr>
          <w:fldChar w:fldCharType="end"/>
        </w:r>
      </w:hyperlink>
    </w:p>
    <w:p w14:paraId="42A20420" w14:textId="125CBB21"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200" w:history="1">
        <w:r w:rsidRPr="00BE2DA0">
          <w:rPr>
            <w:rStyle w:val="Hyperlink"/>
            <w:noProof/>
          </w:rPr>
          <w:t>3.7.2 Triangulation</w:t>
        </w:r>
        <w:r w:rsidRPr="00BE2DA0">
          <w:rPr>
            <w:noProof/>
            <w:webHidden/>
          </w:rPr>
          <w:tab/>
        </w:r>
        <w:r w:rsidRPr="00BE2DA0">
          <w:rPr>
            <w:noProof/>
            <w:webHidden/>
          </w:rPr>
          <w:fldChar w:fldCharType="begin"/>
        </w:r>
        <w:r w:rsidRPr="00BE2DA0">
          <w:rPr>
            <w:noProof/>
            <w:webHidden/>
          </w:rPr>
          <w:instrText xml:space="preserve"> PAGEREF _Toc220152200 \h </w:instrText>
        </w:r>
        <w:r w:rsidRPr="00BE2DA0">
          <w:rPr>
            <w:noProof/>
            <w:webHidden/>
          </w:rPr>
        </w:r>
        <w:r w:rsidRPr="00BE2DA0">
          <w:rPr>
            <w:noProof/>
            <w:webHidden/>
          </w:rPr>
          <w:fldChar w:fldCharType="separate"/>
        </w:r>
        <w:r w:rsidR="005D0832">
          <w:rPr>
            <w:noProof/>
            <w:webHidden/>
          </w:rPr>
          <w:t>35</w:t>
        </w:r>
        <w:r w:rsidRPr="00BE2DA0">
          <w:rPr>
            <w:noProof/>
            <w:webHidden/>
          </w:rPr>
          <w:fldChar w:fldCharType="end"/>
        </w:r>
      </w:hyperlink>
    </w:p>
    <w:p w14:paraId="5C850FA6" w14:textId="3F8C614D" w:rsidR="00731DF2" w:rsidRPr="00BE2DA0" w:rsidRDefault="00731DF2" w:rsidP="00BE2DA0">
      <w:pPr>
        <w:pStyle w:val="TOC2"/>
        <w:rPr>
          <w:rFonts w:eastAsiaTheme="minorEastAsia"/>
          <w:noProof/>
          <w:kern w:val="2"/>
          <w14:ligatures w14:val="standardContextual"/>
        </w:rPr>
      </w:pPr>
      <w:hyperlink w:anchor="_Toc220152201" w:history="1">
        <w:r w:rsidRPr="00BE2DA0">
          <w:rPr>
            <w:rStyle w:val="Hyperlink"/>
            <w:noProof/>
          </w:rPr>
          <w:t>3.8 Ethical Considerations</w:t>
        </w:r>
        <w:r w:rsidRPr="00BE2DA0">
          <w:rPr>
            <w:noProof/>
            <w:webHidden/>
          </w:rPr>
          <w:tab/>
        </w:r>
        <w:r w:rsidRPr="00BE2DA0">
          <w:rPr>
            <w:noProof/>
            <w:webHidden/>
          </w:rPr>
          <w:fldChar w:fldCharType="begin"/>
        </w:r>
        <w:r w:rsidRPr="00BE2DA0">
          <w:rPr>
            <w:noProof/>
            <w:webHidden/>
          </w:rPr>
          <w:instrText xml:space="preserve"> PAGEREF _Toc220152201 \h </w:instrText>
        </w:r>
        <w:r w:rsidRPr="00BE2DA0">
          <w:rPr>
            <w:noProof/>
            <w:webHidden/>
          </w:rPr>
        </w:r>
        <w:r w:rsidRPr="00BE2DA0">
          <w:rPr>
            <w:noProof/>
            <w:webHidden/>
          </w:rPr>
          <w:fldChar w:fldCharType="separate"/>
        </w:r>
        <w:r w:rsidR="005D0832">
          <w:rPr>
            <w:noProof/>
            <w:webHidden/>
          </w:rPr>
          <w:t>35</w:t>
        </w:r>
        <w:r w:rsidRPr="00BE2DA0">
          <w:rPr>
            <w:noProof/>
            <w:webHidden/>
          </w:rPr>
          <w:fldChar w:fldCharType="end"/>
        </w:r>
      </w:hyperlink>
    </w:p>
    <w:p w14:paraId="77B62CD7" w14:textId="30E13CEB" w:rsidR="00731DF2" w:rsidRPr="00BE2DA0" w:rsidRDefault="00731DF2" w:rsidP="00BE2DA0">
      <w:pPr>
        <w:pStyle w:val="TOC2"/>
        <w:rPr>
          <w:rFonts w:eastAsiaTheme="minorEastAsia"/>
          <w:noProof/>
          <w:kern w:val="2"/>
          <w14:ligatures w14:val="standardContextual"/>
        </w:rPr>
      </w:pPr>
      <w:hyperlink w:anchor="_Toc220152202" w:history="1">
        <w:r w:rsidRPr="00BE2DA0">
          <w:rPr>
            <w:rStyle w:val="Hyperlink"/>
            <w:noProof/>
          </w:rPr>
          <w:t>3.9 Methodological Limitations</w:t>
        </w:r>
        <w:r w:rsidRPr="00BE2DA0">
          <w:rPr>
            <w:noProof/>
            <w:webHidden/>
          </w:rPr>
          <w:tab/>
        </w:r>
        <w:r w:rsidRPr="00BE2DA0">
          <w:rPr>
            <w:noProof/>
            <w:webHidden/>
          </w:rPr>
          <w:fldChar w:fldCharType="begin"/>
        </w:r>
        <w:r w:rsidRPr="00BE2DA0">
          <w:rPr>
            <w:noProof/>
            <w:webHidden/>
          </w:rPr>
          <w:instrText xml:space="preserve"> PAGEREF _Toc220152202 \h </w:instrText>
        </w:r>
        <w:r w:rsidRPr="00BE2DA0">
          <w:rPr>
            <w:noProof/>
            <w:webHidden/>
          </w:rPr>
        </w:r>
        <w:r w:rsidRPr="00BE2DA0">
          <w:rPr>
            <w:noProof/>
            <w:webHidden/>
          </w:rPr>
          <w:fldChar w:fldCharType="separate"/>
        </w:r>
        <w:r w:rsidR="005D0832">
          <w:rPr>
            <w:noProof/>
            <w:webHidden/>
          </w:rPr>
          <w:t>36</w:t>
        </w:r>
        <w:r w:rsidRPr="00BE2DA0">
          <w:rPr>
            <w:noProof/>
            <w:webHidden/>
          </w:rPr>
          <w:fldChar w:fldCharType="end"/>
        </w:r>
      </w:hyperlink>
    </w:p>
    <w:p w14:paraId="22E336A2" w14:textId="68C1B181" w:rsidR="00731DF2" w:rsidRDefault="00731DF2" w:rsidP="00BE2DA0">
      <w:pPr>
        <w:pStyle w:val="TOC2"/>
        <w:rPr>
          <w:noProof/>
        </w:rPr>
      </w:pPr>
      <w:hyperlink w:anchor="_Toc220152203" w:history="1">
        <w:r w:rsidRPr="00BE2DA0">
          <w:rPr>
            <w:rStyle w:val="Hyperlink"/>
            <w:noProof/>
          </w:rPr>
          <w:t>3.10 Chapter Summary</w:t>
        </w:r>
        <w:r w:rsidRPr="00BE2DA0">
          <w:rPr>
            <w:noProof/>
            <w:webHidden/>
          </w:rPr>
          <w:tab/>
        </w:r>
        <w:r w:rsidRPr="00BE2DA0">
          <w:rPr>
            <w:noProof/>
            <w:webHidden/>
          </w:rPr>
          <w:fldChar w:fldCharType="begin"/>
        </w:r>
        <w:r w:rsidRPr="00BE2DA0">
          <w:rPr>
            <w:noProof/>
            <w:webHidden/>
          </w:rPr>
          <w:instrText xml:space="preserve"> PAGEREF _Toc220152203 \h </w:instrText>
        </w:r>
        <w:r w:rsidRPr="00BE2DA0">
          <w:rPr>
            <w:noProof/>
            <w:webHidden/>
          </w:rPr>
        </w:r>
        <w:r w:rsidRPr="00BE2DA0">
          <w:rPr>
            <w:noProof/>
            <w:webHidden/>
          </w:rPr>
          <w:fldChar w:fldCharType="separate"/>
        </w:r>
        <w:r w:rsidR="005D0832">
          <w:rPr>
            <w:noProof/>
            <w:webHidden/>
          </w:rPr>
          <w:t>37</w:t>
        </w:r>
        <w:r w:rsidRPr="00BE2DA0">
          <w:rPr>
            <w:noProof/>
            <w:webHidden/>
          </w:rPr>
          <w:fldChar w:fldCharType="end"/>
        </w:r>
      </w:hyperlink>
    </w:p>
    <w:p w14:paraId="5B9CFDB5" w14:textId="77777777" w:rsidR="00861778" w:rsidRPr="00861778" w:rsidRDefault="00861778" w:rsidP="00861778">
      <w:pPr>
        <w:rPr>
          <w:noProof/>
        </w:rPr>
      </w:pPr>
    </w:p>
    <w:p w14:paraId="01B3A884" w14:textId="61A1D25F" w:rsidR="00731DF2" w:rsidRDefault="00731DF2" w:rsidP="00861778">
      <w:pPr>
        <w:pStyle w:val="TOC1"/>
      </w:pPr>
      <w:hyperlink w:anchor="_Toc220152204" w:history="1">
        <w:r w:rsidRPr="00BE2DA0">
          <w:rPr>
            <w:rStyle w:val="Hyperlink"/>
            <w:b/>
            <w:bCs/>
          </w:rPr>
          <w:t>Chapter 4 – Findings and Analysis</w:t>
        </w:r>
        <w:r w:rsidRPr="00BE2DA0">
          <w:rPr>
            <w:webHidden/>
          </w:rPr>
          <w:tab/>
        </w:r>
        <w:r w:rsidRPr="00BE2DA0">
          <w:rPr>
            <w:webHidden/>
          </w:rPr>
          <w:fldChar w:fldCharType="begin"/>
        </w:r>
        <w:r w:rsidRPr="00BE2DA0">
          <w:rPr>
            <w:webHidden/>
          </w:rPr>
          <w:instrText xml:space="preserve"> PAGEREF _Toc220152204 \h </w:instrText>
        </w:r>
        <w:r w:rsidRPr="00BE2DA0">
          <w:rPr>
            <w:webHidden/>
          </w:rPr>
        </w:r>
        <w:r w:rsidRPr="00BE2DA0">
          <w:rPr>
            <w:webHidden/>
          </w:rPr>
          <w:fldChar w:fldCharType="separate"/>
        </w:r>
        <w:r w:rsidR="005D0832">
          <w:rPr>
            <w:webHidden/>
          </w:rPr>
          <w:t>39</w:t>
        </w:r>
        <w:r w:rsidRPr="00BE2DA0">
          <w:rPr>
            <w:webHidden/>
          </w:rPr>
          <w:fldChar w:fldCharType="end"/>
        </w:r>
      </w:hyperlink>
    </w:p>
    <w:p w14:paraId="190771AE" w14:textId="77777777" w:rsidR="00861778" w:rsidRPr="00861778" w:rsidRDefault="00861778" w:rsidP="00861778">
      <w:pPr>
        <w:rPr>
          <w:noProof/>
        </w:rPr>
      </w:pPr>
    </w:p>
    <w:p w14:paraId="64548440" w14:textId="59178074" w:rsidR="00731DF2" w:rsidRPr="00BE2DA0" w:rsidRDefault="00731DF2" w:rsidP="00BE2DA0">
      <w:pPr>
        <w:pStyle w:val="TOC2"/>
        <w:rPr>
          <w:rFonts w:eastAsiaTheme="minorEastAsia"/>
          <w:noProof/>
          <w:kern w:val="2"/>
          <w14:ligatures w14:val="standardContextual"/>
        </w:rPr>
      </w:pPr>
      <w:hyperlink w:anchor="_Toc220152205" w:history="1">
        <w:r w:rsidRPr="00BE2DA0">
          <w:rPr>
            <w:rStyle w:val="Hyperlink"/>
            <w:noProof/>
          </w:rPr>
          <w:t>4.1 Introduction</w:t>
        </w:r>
        <w:r w:rsidRPr="00BE2DA0">
          <w:rPr>
            <w:noProof/>
            <w:webHidden/>
          </w:rPr>
          <w:tab/>
        </w:r>
        <w:r w:rsidRPr="00BE2DA0">
          <w:rPr>
            <w:noProof/>
            <w:webHidden/>
          </w:rPr>
          <w:fldChar w:fldCharType="begin"/>
        </w:r>
        <w:r w:rsidRPr="00BE2DA0">
          <w:rPr>
            <w:noProof/>
            <w:webHidden/>
          </w:rPr>
          <w:instrText xml:space="preserve"> PAGEREF _Toc220152205 \h </w:instrText>
        </w:r>
        <w:r w:rsidRPr="00BE2DA0">
          <w:rPr>
            <w:noProof/>
            <w:webHidden/>
          </w:rPr>
        </w:r>
        <w:r w:rsidRPr="00BE2DA0">
          <w:rPr>
            <w:noProof/>
            <w:webHidden/>
          </w:rPr>
          <w:fldChar w:fldCharType="separate"/>
        </w:r>
        <w:r w:rsidR="005D0832">
          <w:rPr>
            <w:noProof/>
            <w:webHidden/>
          </w:rPr>
          <w:t>39</w:t>
        </w:r>
        <w:r w:rsidRPr="00BE2DA0">
          <w:rPr>
            <w:noProof/>
            <w:webHidden/>
          </w:rPr>
          <w:fldChar w:fldCharType="end"/>
        </w:r>
      </w:hyperlink>
    </w:p>
    <w:p w14:paraId="19628337" w14:textId="6B90AF18" w:rsidR="00731DF2" w:rsidRPr="00BE2DA0" w:rsidRDefault="00731DF2" w:rsidP="00BE2DA0">
      <w:pPr>
        <w:pStyle w:val="TOC2"/>
        <w:rPr>
          <w:rFonts w:eastAsiaTheme="minorEastAsia"/>
          <w:noProof/>
          <w:kern w:val="2"/>
          <w14:ligatures w14:val="standardContextual"/>
        </w:rPr>
      </w:pPr>
      <w:hyperlink w:anchor="_Toc220152206" w:history="1">
        <w:r w:rsidRPr="00BE2DA0">
          <w:rPr>
            <w:rStyle w:val="Hyperlink"/>
            <w:noProof/>
          </w:rPr>
          <w:t>4.2 Survey Respondent Profile</w:t>
        </w:r>
        <w:r w:rsidRPr="00BE2DA0">
          <w:rPr>
            <w:noProof/>
            <w:webHidden/>
          </w:rPr>
          <w:tab/>
        </w:r>
        <w:r w:rsidRPr="00BE2DA0">
          <w:rPr>
            <w:noProof/>
            <w:webHidden/>
          </w:rPr>
          <w:fldChar w:fldCharType="begin"/>
        </w:r>
        <w:r w:rsidRPr="00BE2DA0">
          <w:rPr>
            <w:noProof/>
            <w:webHidden/>
          </w:rPr>
          <w:instrText xml:space="preserve"> PAGEREF _Toc220152206 \h </w:instrText>
        </w:r>
        <w:r w:rsidRPr="00BE2DA0">
          <w:rPr>
            <w:noProof/>
            <w:webHidden/>
          </w:rPr>
        </w:r>
        <w:r w:rsidRPr="00BE2DA0">
          <w:rPr>
            <w:noProof/>
            <w:webHidden/>
          </w:rPr>
          <w:fldChar w:fldCharType="separate"/>
        </w:r>
        <w:r w:rsidR="005D0832">
          <w:rPr>
            <w:noProof/>
            <w:webHidden/>
          </w:rPr>
          <w:t>39</w:t>
        </w:r>
        <w:r w:rsidRPr="00BE2DA0">
          <w:rPr>
            <w:noProof/>
            <w:webHidden/>
          </w:rPr>
          <w:fldChar w:fldCharType="end"/>
        </w:r>
      </w:hyperlink>
    </w:p>
    <w:p w14:paraId="7350980A" w14:textId="25BB678E" w:rsidR="00731DF2" w:rsidRPr="00BE2DA0" w:rsidRDefault="00731DF2" w:rsidP="00BE2DA0">
      <w:pPr>
        <w:pStyle w:val="TOC2"/>
        <w:rPr>
          <w:rFonts w:eastAsiaTheme="minorEastAsia"/>
          <w:noProof/>
          <w:kern w:val="2"/>
          <w14:ligatures w14:val="standardContextual"/>
        </w:rPr>
      </w:pPr>
      <w:hyperlink w:anchor="_Toc220152207" w:history="1">
        <w:r w:rsidRPr="00BE2DA0">
          <w:rPr>
            <w:rStyle w:val="Hyperlink"/>
            <w:noProof/>
          </w:rPr>
          <w:t>4.3 Interview Participant Profile</w:t>
        </w:r>
        <w:r w:rsidRPr="00BE2DA0">
          <w:rPr>
            <w:noProof/>
            <w:webHidden/>
          </w:rPr>
          <w:tab/>
        </w:r>
        <w:r w:rsidRPr="00BE2DA0">
          <w:rPr>
            <w:noProof/>
            <w:webHidden/>
          </w:rPr>
          <w:fldChar w:fldCharType="begin"/>
        </w:r>
        <w:r w:rsidRPr="00BE2DA0">
          <w:rPr>
            <w:noProof/>
            <w:webHidden/>
          </w:rPr>
          <w:instrText xml:space="preserve"> PAGEREF _Toc220152207 \h </w:instrText>
        </w:r>
        <w:r w:rsidRPr="00BE2DA0">
          <w:rPr>
            <w:noProof/>
            <w:webHidden/>
          </w:rPr>
        </w:r>
        <w:r w:rsidRPr="00BE2DA0">
          <w:rPr>
            <w:noProof/>
            <w:webHidden/>
          </w:rPr>
          <w:fldChar w:fldCharType="separate"/>
        </w:r>
        <w:r w:rsidR="005D0832">
          <w:rPr>
            <w:noProof/>
            <w:webHidden/>
          </w:rPr>
          <w:t>42</w:t>
        </w:r>
        <w:r w:rsidRPr="00BE2DA0">
          <w:rPr>
            <w:noProof/>
            <w:webHidden/>
          </w:rPr>
          <w:fldChar w:fldCharType="end"/>
        </w:r>
      </w:hyperlink>
    </w:p>
    <w:p w14:paraId="75E5A746" w14:textId="0D813F9D" w:rsidR="00731DF2" w:rsidRPr="00BE2DA0" w:rsidRDefault="00731DF2" w:rsidP="00BE2DA0">
      <w:pPr>
        <w:pStyle w:val="TOC2"/>
        <w:rPr>
          <w:rFonts w:eastAsiaTheme="minorEastAsia"/>
          <w:noProof/>
          <w:kern w:val="2"/>
          <w14:ligatures w14:val="standardContextual"/>
        </w:rPr>
      </w:pPr>
      <w:hyperlink w:anchor="_Toc220152208" w:history="1">
        <w:r w:rsidRPr="00BE2DA0">
          <w:rPr>
            <w:rStyle w:val="Hyperlink"/>
            <w:noProof/>
          </w:rPr>
          <w:t>4.4 Current Adoption Status and Digital Maturity</w:t>
        </w:r>
        <w:r w:rsidRPr="00BE2DA0">
          <w:rPr>
            <w:noProof/>
            <w:webHidden/>
          </w:rPr>
          <w:tab/>
        </w:r>
        <w:r w:rsidRPr="00BE2DA0">
          <w:rPr>
            <w:noProof/>
            <w:webHidden/>
          </w:rPr>
          <w:fldChar w:fldCharType="begin"/>
        </w:r>
        <w:r w:rsidRPr="00BE2DA0">
          <w:rPr>
            <w:noProof/>
            <w:webHidden/>
          </w:rPr>
          <w:instrText xml:space="preserve"> PAGEREF _Toc220152208 \h </w:instrText>
        </w:r>
        <w:r w:rsidRPr="00BE2DA0">
          <w:rPr>
            <w:noProof/>
            <w:webHidden/>
          </w:rPr>
        </w:r>
        <w:r w:rsidRPr="00BE2DA0">
          <w:rPr>
            <w:noProof/>
            <w:webHidden/>
          </w:rPr>
          <w:fldChar w:fldCharType="separate"/>
        </w:r>
        <w:r w:rsidR="005D0832">
          <w:rPr>
            <w:noProof/>
            <w:webHidden/>
          </w:rPr>
          <w:t>43</w:t>
        </w:r>
        <w:r w:rsidRPr="00BE2DA0">
          <w:rPr>
            <w:noProof/>
            <w:webHidden/>
          </w:rPr>
          <w:fldChar w:fldCharType="end"/>
        </w:r>
      </w:hyperlink>
    </w:p>
    <w:p w14:paraId="064F1B26" w14:textId="33D113B2"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209" w:history="1">
        <w:r w:rsidRPr="00BE2DA0">
          <w:rPr>
            <w:rStyle w:val="Hyperlink"/>
            <w:noProof/>
          </w:rPr>
          <w:t>4.4.1 Quantitative Findings: Technology Implementation</w:t>
        </w:r>
        <w:r w:rsidRPr="00BE2DA0">
          <w:rPr>
            <w:noProof/>
            <w:webHidden/>
          </w:rPr>
          <w:tab/>
        </w:r>
        <w:r w:rsidRPr="00BE2DA0">
          <w:rPr>
            <w:noProof/>
            <w:webHidden/>
          </w:rPr>
          <w:fldChar w:fldCharType="begin"/>
        </w:r>
        <w:r w:rsidRPr="00BE2DA0">
          <w:rPr>
            <w:noProof/>
            <w:webHidden/>
          </w:rPr>
          <w:instrText xml:space="preserve"> PAGEREF _Toc220152209 \h </w:instrText>
        </w:r>
        <w:r w:rsidRPr="00BE2DA0">
          <w:rPr>
            <w:noProof/>
            <w:webHidden/>
          </w:rPr>
        </w:r>
        <w:r w:rsidRPr="00BE2DA0">
          <w:rPr>
            <w:noProof/>
            <w:webHidden/>
          </w:rPr>
          <w:fldChar w:fldCharType="separate"/>
        </w:r>
        <w:r w:rsidR="005D0832">
          <w:rPr>
            <w:noProof/>
            <w:webHidden/>
          </w:rPr>
          <w:t>43</w:t>
        </w:r>
        <w:r w:rsidRPr="00BE2DA0">
          <w:rPr>
            <w:noProof/>
            <w:webHidden/>
          </w:rPr>
          <w:fldChar w:fldCharType="end"/>
        </w:r>
      </w:hyperlink>
    </w:p>
    <w:p w14:paraId="23D137E1" w14:textId="4B0CED46"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210" w:history="1">
        <w:r w:rsidRPr="00BE2DA0">
          <w:rPr>
            <w:rStyle w:val="Hyperlink"/>
            <w:noProof/>
          </w:rPr>
          <w:t>4.4.2 Qualitative Findings: Digital Maturity Context</w:t>
        </w:r>
        <w:r w:rsidRPr="00BE2DA0">
          <w:rPr>
            <w:noProof/>
            <w:webHidden/>
          </w:rPr>
          <w:tab/>
        </w:r>
        <w:r w:rsidRPr="00BE2DA0">
          <w:rPr>
            <w:noProof/>
            <w:webHidden/>
          </w:rPr>
          <w:fldChar w:fldCharType="begin"/>
        </w:r>
        <w:r w:rsidRPr="00BE2DA0">
          <w:rPr>
            <w:noProof/>
            <w:webHidden/>
          </w:rPr>
          <w:instrText xml:space="preserve"> PAGEREF _Toc220152210 \h </w:instrText>
        </w:r>
        <w:r w:rsidRPr="00BE2DA0">
          <w:rPr>
            <w:noProof/>
            <w:webHidden/>
          </w:rPr>
        </w:r>
        <w:r w:rsidRPr="00BE2DA0">
          <w:rPr>
            <w:noProof/>
            <w:webHidden/>
          </w:rPr>
          <w:fldChar w:fldCharType="separate"/>
        </w:r>
        <w:r w:rsidR="005D0832">
          <w:rPr>
            <w:noProof/>
            <w:webHidden/>
          </w:rPr>
          <w:t>44</w:t>
        </w:r>
        <w:r w:rsidRPr="00BE2DA0">
          <w:rPr>
            <w:noProof/>
            <w:webHidden/>
          </w:rPr>
          <w:fldChar w:fldCharType="end"/>
        </w:r>
      </w:hyperlink>
    </w:p>
    <w:p w14:paraId="2C59799F" w14:textId="151DA7A4" w:rsidR="00731DF2" w:rsidRPr="00BE2DA0" w:rsidRDefault="00731DF2" w:rsidP="00BE2DA0">
      <w:pPr>
        <w:pStyle w:val="TOC2"/>
        <w:rPr>
          <w:rFonts w:eastAsiaTheme="minorEastAsia"/>
          <w:noProof/>
          <w:kern w:val="2"/>
          <w14:ligatures w14:val="standardContextual"/>
        </w:rPr>
      </w:pPr>
      <w:hyperlink w:anchor="_Toc220152211" w:history="1">
        <w:r w:rsidRPr="00BE2DA0">
          <w:rPr>
            <w:rStyle w:val="Hyperlink"/>
            <w:noProof/>
          </w:rPr>
          <w:t>4.5 Perceived Benefits of AI and Digital Twin Technologies</w:t>
        </w:r>
        <w:r w:rsidRPr="00BE2DA0">
          <w:rPr>
            <w:noProof/>
            <w:webHidden/>
          </w:rPr>
          <w:tab/>
        </w:r>
        <w:r w:rsidRPr="00BE2DA0">
          <w:rPr>
            <w:noProof/>
            <w:webHidden/>
          </w:rPr>
          <w:fldChar w:fldCharType="begin"/>
        </w:r>
        <w:r w:rsidRPr="00BE2DA0">
          <w:rPr>
            <w:noProof/>
            <w:webHidden/>
          </w:rPr>
          <w:instrText xml:space="preserve"> PAGEREF _Toc220152211 \h </w:instrText>
        </w:r>
        <w:r w:rsidRPr="00BE2DA0">
          <w:rPr>
            <w:noProof/>
            <w:webHidden/>
          </w:rPr>
        </w:r>
        <w:r w:rsidRPr="00BE2DA0">
          <w:rPr>
            <w:noProof/>
            <w:webHidden/>
          </w:rPr>
          <w:fldChar w:fldCharType="separate"/>
        </w:r>
        <w:r w:rsidR="005D0832">
          <w:rPr>
            <w:noProof/>
            <w:webHidden/>
          </w:rPr>
          <w:t>45</w:t>
        </w:r>
        <w:r w:rsidRPr="00BE2DA0">
          <w:rPr>
            <w:noProof/>
            <w:webHidden/>
          </w:rPr>
          <w:fldChar w:fldCharType="end"/>
        </w:r>
      </w:hyperlink>
    </w:p>
    <w:p w14:paraId="7F9B9C27" w14:textId="43B08CD8"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212" w:history="1">
        <w:r w:rsidRPr="00BE2DA0">
          <w:rPr>
            <w:rStyle w:val="Hyperlink"/>
            <w:noProof/>
          </w:rPr>
          <w:t>4.5.1 Quantitative Findings: Benefits Perception</w:t>
        </w:r>
        <w:r w:rsidRPr="00BE2DA0">
          <w:rPr>
            <w:noProof/>
            <w:webHidden/>
          </w:rPr>
          <w:tab/>
        </w:r>
        <w:r w:rsidRPr="00BE2DA0">
          <w:rPr>
            <w:noProof/>
            <w:webHidden/>
          </w:rPr>
          <w:fldChar w:fldCharType="begin"/>
        </w:r>
        <w:r w:rsidRPr="00BE2DA0">
          <w:rPr>
            <w:noProof/>
            <w:webHidden/>
          </w:rPr>
          <w:instrText xml:space="preserve"> PAGEREF _Toc220152212 \h </w:instrText>
        </w:r>
        <w:r w:rsidRPr="00BE2DA0">
          <w:rPr>
            <w:noProof/>
            <w:webHidden/>
          </w:rPr>
        </w:r>
        <w:r w:rsidRPr="00BE2DA0">
          <w:rPr>
            <w:noProof/>
            <w:webHidden/>
          </w:rPr>
          <w:fldChar w:fldCharType="separate"/>
        </w:r>
        <w:r w:rsidR="005D0832">
          <w:rPr>
            <w:noProof/>
            <w:webHidden/>
          </w:rPr>
          <w:t>45</w:t>
        </w:r>
        <w:r w:rsidRPr="00BE2DA0">
          <w:rPr>
            <w:noProof/>
            <w:webHidden/>
          </w:rPr>
          <w:fldChar w:fldCharType="end"/>
        </w:r>
      </w:hyperlink>
    </w:p>
    <w:p w14:paraId="0FC28ABE" w14:textId="5B81660B"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213" w:history="1">
        <w:r w:rsidRPr="00BE2DA0">
          <w:rPr>
            <w:rStyle w:val="Hyperlink"/>
            <w:noProof/>
          </w:rPr>
          <w:t>4.5.2 Qualitative Findings: Demonstrated Value</w:t>
        </w:r>
        <w:r w:rsidRPr="00BE2DA0">
          <w:rPr>
            <w:noProof/>
            <w:webHidden/>
          </w:rPr>
          <w:tab/>
        </w:r>
        <w:r w:rsidRPr="00BE2DA0">
          <w:rPr>
            <w:noProof/>
            <w:webHidden/>
          </w:rPr>
          <w:fldChar w:fldCharType="begin"/>
        </w:r>
        <w:r w:rsidRPr="00BE2DA0">
          <w:rPr>
            <w:noProof/>
            <w:webHidden/>
          </w:rPr>
          <w:instrText xml:space="preserve"> PAGEREF _Toc220152213 \h </w:instrText>
        </w:r>
        <w:r w:rsidRPr="00BE2DA0">
          <w:rPr>
            <w:noProof/>
            <w:webHidden/>
          </w:rPr>
        </w:r>
        <w:r w:rsidRPr="00BE2DA0">
          <w:rPr>
            <w:noProof/>
            <w:webHidden/>
          </w:rPr>
          <w:fldChar w:fldCharType="separate"/>
        </w:r>
        <w:r w:rsidR="005D0832">
          <w:rPr>
            <w:noProof/>
            <w:webHidden/>
          </w:rPr>
          <w:t>46</w:t>
        </w:r>
        <w:r w:rsidRPr="00BE2DA0">
          <w:rPr>
            <w:noProof/>
            <w:webHidden/>
          </w:rPr>
          <w:fldChar w:fldCharType="end"/>
        </w:r>
      </w:hyperlink>
    </w:p>
    <w:p w14:paraId="35515731" w14:textId="28400044" w:rsidR="00731DF2" w:rsidRPr="00BE2DA0" w:rsidRDefault="00731DF2" w:rsidP="00BE2DA0">
      <w:pPr>
        <w:pStyle w:val="TOC2"/>
        <w:rPr>
          <w:rFonts w:eastAsiaTheme="minorEastAsia"/>
          <w:noProof/>
          <w:kern w:val="2"/>
          <w14:ligatures w14:val="standardContextual"/>
        </w:rPr>
      </w:pPr>
      <w:hyperlink w:anchor="_Toc220152214" w:history="1">
        <w:r w:rsidRPr="00BE2DA0">
          <w:rPr>
            <w:rStyle w:val="Hyperlink"/>
            <w:noProof/>
          </w:rPr>
          <w:t>4.6 Perceived Barriers to Adoption</w:t>
        </w:r>
        <w:r w:rsidRPr="00BE2DA0">
          <w:rPr>
            <w:noProof/>
            <w:webHidden/>
          </w:rPr>
          <w:tab/>
        </w:r>
        <w:r w:rsidRPr="00BE2DA0">
          <w:rPr>
            <w:noProof/>
            <w:webHidden/>
          </w:rPr>
          <w:fldChar w:fldCharType="begin"/>
        </w:r>
        <w:r w:rsidRPr="00BE2DA0">
          <w:rPr>
            <w:noProof/>
            <w:webHidden/>
          </w:rPr>
          <w:instrText xml:space="preserve"> PAGEREF _Toc220152214 \h </w:instrText>
        </w:r>
        <w:r w:rsidRPr="00BE2DA0">
          <w:rPr>
            <w:noProof/>
            <w:webHidden/>
          </w:rPr>
        </w:r>
        <w:r w:rsidRPr="00BE2DA0">
          <w:rPr>
            <w:noProof/>
            <w:webHidden/>
          </w:rPr>
          <w:fldChar w:fldCharType="separate"/>
        </w:r>
        <w:r w:rsidR="005D0832">
          <w:rPr>
            <w:noProof/>
            <w:webHidden/>
          </w:rPr>
          <w:t>47</w:t>
        </w:r>
        <w:r w:rsidRPr="00BE2DA0">
          <w:rPr>
            <w:noProof/>
            <w:webHidden/>
          </w:rPr>
          <w:fldChar w:fldCharType="end"/>
        </w:r>
      </w:hyperlink>
    </w:p>
    <w:p w14:paraId="0C8AC72C" w14:textId="5D05A3D1"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215" w:history="1">
        <w:r w:rsidRPr="00BE2DA0">
          <w:rPr>
            <w:rStyle w:val="Hyperlink"/>
            <w:noProof/>
          </w:rPr>
          <w:t>4.6.1 Quantitative Findings: Barrier Ratings</w:t>
        </w:r>
        <w:r w:rsidRPr="00BE2DA0">
          <w:rPr>
            <w:noProof/>
            <w:webHidden/>
          </w:rPr>
          <w:tab/>
        </w:r>
        <w:r w:rsidRPr="00BE2DA0">
          <w:rPr>
            <w:noProof/>
            <w:webHidden/>
          </w:rPr>
          <w:fldChar w:fldCharType="begin"/>
        </w:r>
        <w:r w:rsidRPr="00BE2DA0">
          <w:rPr>
            <w:noProof/>
            <w:webHidden/>
          </w:rPr>
          <w:instrText xml:space="preserve"> PAGEREF _Toc220152215 \h </w:instrText>
        </w:r>
        <w:r w:rsidRPr="00BE2DA0">
          <w:rPr>
            <w:noProof/>
            <w:webHidden/>
          </w:rPr>
        </w:r>
        <w:r w:rsidRPr="00BE2DA0">
          <w:rPr>
            <w:noProof/>
            <w:webHidden/>
          </w:rPr>
          <w:fldChar w:fldCharType="separate"/>
        </w:r>
        <w:r w:rsidR="005D0832">
          <w:rPr>
            <w:noProof/>
            <w:webHidden/>
          </w:rPr>
          <w:t>47</w:t>
        </w:r>
        <w:r w:rsidRPr="00BE2DA0">
          <w:rPr>
            <w:noProof/>
            <w:webHidden/>
          </w:rPr>
          <w:fldChar w:fldCharType="end"/>
        </w:r>
      </w:hyperlink>
    </w:p>
    <w:p w14:paraId="4307AAB1" w14:textId="40CF59A6"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216" w:history="1">
        <w:r w:rsidRPr="00BE2DA0">
          <w:rPr>
            <w:rStyle w:val="Hyperlink"/>
            <w:noProof/>
          </w:rPr>
          <w:t>4.6.2 Qualitative Findings: Interoperability and Legacy Challenges</w:t>
        </w:r>
        <w:r w:rsidRPr="00BE2DA0">
          <w:rPr>
            <w:noProof/>
            <w:webHidden/>
          </w:rPr>
          <w:tab/>
        </w:r>
        <w:r w:rsidRPr="00BE2DA0">
          <w:rPr>
            <w:noProof/>
            <w:webHidden/>
          </w:rPr>
          <w:fldChar w:fldCharType="begin"/>
        </w:r>
        <w:r w:rsidRPr="00BE2DA0">
          <w:rPr>
            <w:noProof/>
            <w:webHidden/>
          </w:rPr>
          <w:instrText xml:space="preserve"> PAGEREF _Toc220152216 \h </w:instrText>
        </w:r>
        <w:r w:rsidRPr="00BE2DA0">
          <w:rPr>
            <w:noProof/>
            <w:webHidden/>
          </w:rPr>
        </w:r>
        <w:r w:rsidRPr="00BE2DA0">
          <w:rPr>
            <w:noProof/>
            <w:webHidden/>
          </w:rPr>
          <w:fldChar w:fldCharType="separate"/>
        </w:r>
        <w:r w:rsidR="005D0832">
          <w:rPr>
            <w:noProof/>
            <w:webHidden/>
          </w:rPr>
          <w:t>48</w:t>
        </w:r>
        <w:r w:rsidRPr="00BE2DA0">
          <w:rPr>
            <w:noProof/>
            <w:webHidden/>
          </w:rPr>
          <w:fldChar w:fldCharType="end"/>
        </w:r>
      </w:hyperlink>
    </w:p>
    <w:p w14:paraId="182C1BA0" w14:textId="5E108D26" w:rsidR="00731DF2" w:rsidRPr="00BE2DA0" w:rsidRDefault="00731DF2" w:rsidP="00BE2DA0">
      <w:pPr>
        <w:pStyle w:val="TOC2"/>
        <w:rPr>
          <w:rFonts w:eastAsiaTheme="minorEastAsia"/>
          <w:noProof/>
          <w:kern w:val="2"/>
          <w14:ligatures w14:val="standardContextual"/>
        </w:rPr>
      </w:pPr>
      <w:hyperlink w:anchor="_Toc220152217" w:history="1">
        <w:r w:rsidRPr="00BE2DA0">
          <w:rPr>
            <w:rStyle w:val="Hyperlink"/>
            <w:noProof/>
          </w:rPr>
          <w:t>4.7 Organisational Readiness</w:t>
        </w:r>
        <w:r w:rsidRPr="00BE2DA0">
          <w:rPr>
            <w:noProof/>
            <w:webHidden/>
          </w:rPr>
          <w:tab/>
        </w:r>
        <w:r w:rsidRPr="00BE2DA0">
          <w:rPr>
            <w:noProof/>
            <w:webHidden/>
          </w:rPr>
          <w:fldChar w:fldCharType="begin"/>
        </w:r>
        <w:r w:rsidRPr="00BE2DA0">
          <w:rPr>
            <w:noProof/>
            <w:webHidden/>
          </w:rPr>
          <w:instrText xml:space="preserve"> PAGEREF _Toc220152217 \h </w:instrText>
        </w:r>
        <w:r w:rsidRPr="00BE2DA0">
          <w:rPr>
            <w:noProof/>
            <w:webHidden/>
          </w:rPr>
        </w:r>
        <w:r w:rsidRPr="00BE2DA0">
          <w:rPr>
            <w:noProof/>
            <w:webHidden/>
          </w:rPr>
          <w:fldChar w:fldCharType="separate"/>
        </w:r>
        <w:r w:rsidR="005D0832">
          <w:rPr>
            <w:noProof/>
            <w:webHidden/>
          </w:rPr>
          <w:t>48</w:t>
        </w:r>
        <w:r w:rsidRPr="00BE2DA0">
          <w:rPr>
            <w:noProof/>
            <w:webHidden/>
          </w:rPr>
          <w:fldChar w:fldCharType="end"/>
        </w:r>
      </w:hyperlink>
    </w:p>
    <w:p w14:paraId="6F2C7C00" w14:textId="5E427C85" w:rsidR="00731DF2" w:rsidRPr="00BE2DA0" w:rsidRDefault="00731DF2" w:rsidP="00BE2DA0">
      <w:pPr>
        <w:pStyle w:val="TOC2"/>
        <w:rPr>
          <w:rFonts w:eastAsiaTheme="minorEastAsia"/>
          <w:noProof/>
          <w:kern w:val="2"/>
          <w14:ligatures w14:val="standardContextual"/>
        </w:rPr>
      </w:pPr>
      <w:hyperlink w:anchor="_Toc220152218" w:history="1">
        <w:r w:rsidRPr="00BE2DA0">
          <w:rPr>
            <w:rStyle w:val="Hyperlink"/>
            <w:noProof/>
          </w:rPr>
          <w:t>4.8 Correlation Analysis</w:t>
        </w:r>
        <w:r w:rsidRPr="00BE2DA0">
          <w:rPr>
            <w:noProof/>
            <w:webHidden/>
          </w:rPr>
          <w:tab/>
        </w:r>
        <w:r w:rsidRPr="00BE2DA0">
          <w:rPr>
            <w:noProof/>
            <w:webHidden/>
          </w:rPr>
          <w:fldChar w:fldCharType="begin"/>
        </w:r>
        <w:r w:rsidRPr="00BE2DA0">
          <w:rPr>
            <w:noProof/>
            <w:webHidden/>
          </w:rPr>
          <w:instrText xml:space="preserve"> PAGEREF _Toc220152218 \h </w:instrText>
        </w:r>
        <w:r w:rsidRPr="00BE2DA0">
          <w:rPr>
            <w:noProof/>
            <w:webHidden/>
          </w:rPr>
        </w:r>
        <w:r w:rsidRPr="00BE2DA0">
          <w:rPr>
            <w:noProof/>
            <w:webHidden/>
          </w:rPr>
          <w:fldChar w:fldCharType="separate"/>
        </w:r>
        <w:r w:rsidR="005D0832">
          <w:rPr>
            <w:noProof/>
            <w:webHidden/>
          </w:rPr>
          <w:t>49</w:t>
        </w:r>
        <w:r w:rsidRPr="00BE2DA0">
          <w:rPr>
            <w:noProof/>
            <w:webHidden/>
          </w:rPr>
          <w:fldChar w:fldCharType="end"/>
        </w:r>
      </w:hyperlink>
    </w:p>
    <w:p w14:paraId="189DF2A8" w14:textId="0E8C78D9" w:rsidR="00731DF2" w:rsidRPr="00BE2DA0" w:rsidRDefault="00731DF2" w:rsidP="00BE2DA0">
      <w:pPr>
        <w:pStyle w:val="TOC2"/>
        <w:rPr>
          <w:rFonts w:eastAsiaTheme="minorEastAsia"/>
          <w:noProof/>
          <w:kern w:val="2"/>
          <w14:ligatures w14:val="standardContextual"/>
        </w:rPr>
      </w:pPr>
      <w:hyperlink w:anchor="_Toc220152219" w:history="1">
        <w:r w:rsidRPr="00BE2DA0">
          <w:rPr>
            <w:rStyle w:val="Hyperlink"/>
            <w:noProof/>
          </w:rPr>
          <w:t>4.9 Sustainability Outcomes and Policy Alignment</w:t>
        </w:r>
        <w:r w:rsidRPr="00BE2DA0">
          <w:rPr>
            <w:noProof/>
            <w:webHidden/>
          </w:rPr>
          <w:tab/>
        </w:r>
        <w:r w:rsidRPr="00BE2DA0">
          <w:rPr>
            <w:noProof/>
            <w:webHidden/>
          </w:rPr>
          <w:fldChar w:fldCharType="begin"/>
        </w:r>
        <w:r w:rsidRPr="00BE2DA0">
          <w:rPr>
            <w:noProof/>
            <w:webHidden/>
          </w:rPr>
          <w:instrText xml:space="preserve"> PAGEREF _Toc220152219 \h </w:instrText>
        </w:r>
        <w:r w:rsidRPr="00BE2DA0">
          <w:rPr>
            <w:noProof/>
            <w:webHidden/>
          </w:rPr>
        </w:r>
        <w:r w:rsidRPr="00BE2DA0">
          <w:rPr>
            <w:noProof/>
            <w:webHidden/>
          </w:rPr>
          <w:fldChar w:fldCharType="separate"/>
        </w:r>
        <w:r w:rsidR="005D0832">
          <w:rPr>
            <w:noProof/>
            <w:webHidden/>
          </w:rPr>
          <w:t>51</w:t>
        </w:r>
        <w:r w:rsidRPr="00BE2DA0">
          <w:rPr>
            <w:noProof/>
            <w:webHidden/>
          </w:rPr>
          <w:fldChar w:fldCharType="end"/>
        </w:r>
      </w:hyperlink>
    </w:p>
    <w:p w14:paraId="7E72C4CF" w14:textId="3C994D46" w:rsidR="00731DF2" w:rsidRPr="00BE2DA0" w:rsidRDefault="00731DF2" w:rsidP="00BE2DA0">
      <w:pPr>
        <w:pStyle w:val="TOC2"/>
        <w:rPr>
          <w:rFonts w:eastAsiaTheme="minorEastAsia"/>
          <w:noProof/>
          <w:kern w:val="2"/>
          <w14:ligatures w14:val="standardContextual"/>
        </w:rPr>
      </w:pPr>
      <w:hyperlink w:anchor="_Toc220152220" w:history="1">
        <w:r w:rsidRPr="00BE2DA0">
          <w:rPr>
            <w:rStyle w:val="Hyperlink"/>
            <w:noProof/>
          </w:rPr>
          <w:t>4.10 Three-Domain Framework Assessment</w:t>
        </w:r>
        <w:r w:rsidRPr="00BE2DA0">
          <w:rPr>
            <w:noProof/>
            <w:webHidden/>
          </w:rPr>
          <w:tab/>
        </w:r>
        <w:r w:rsidRPr="00BE2DA0">
          <w:rPr>
            <w:noProof/>
            <w:webHidden/>
          </w:rPr>
          <w:fldChar w:fldCharType="begin"/>
        </w:r>
        <w:r w:rsidRPr="00BE2DA0">
          <w:rPr>
            <w:noProof/>
            <w:webHidden/>
          </w:rPr>
          <w:instrText xml:space="preserve"> PAGEREF _Toc220152220 \h </w:instrText>
        </w:r>
        <w:r w:rsidRPr="00BE2DA0">
          <w:rPr>
            <w:noProof/>
            <w:webHidden/>
          </w:rPr>
        </w:r>
        <w:r w:rsidRPr="00BE2DA0">
          <w:rPr>
            <w:noProof/>
            <w:webHidden/>
          </w:rPr>
          <w:fldChar w:fldCharType="separate"/>
        </w:r>
        <w:r w:rsidR="005D0832">
          <w:rPr>
            <w:noProof/>
            <w:webHidden/>
          </w:rPr>
          <w:t>52</w:t>
        </w:r>
        <w:r w:rsidRPr="00BE2DA0">
          <w:rPr>
            <w:noProof/>
            <w:webHidden/>
          </w:rPr>
          <w:fldChar w:fldCharType="end"/>
        </w:r>
      </w:hyperlink>
    </w:p>
    <w:p w14:paraId="45EFED85" w14:textId="1F6706BD" w:rsidR="00861778" w:rsidRPr="00861778" w:rsidRDefault="00731DF2" w:rsidP="00861778">
      <w:pPr>
        <w:pStyle w:val="TOC2"/>
        <w:rPr>
          <w:noProof/>
        </w:rPr>
      </w:pPr>
      <w:hyperlink w:anchor="_Toc220152221" w:history="1">
        <w:r w:rsidRPr="00BE2DA0">
          <w:rPr>
            <w:rStyle w:val="Hyperlink"/>
            <w:noProof/>
          </w:rPr>
          <w:t>4.11 Summary of Key Findings</w:t>
        </w:r>
        <w:r w:rsidRPr="00BE2DA0">
          <w:rPr>
            <w:noProof/>
            <w:webHidden/>
          </w:rPr>
          <w:tab/>
        </w:r>
        <w:r w:rsidRPr="00BE2DA0">
          <w:rPr>
            <w:noProof/>
            <w:webHidden/>
          </w:rPr>
          <w:fldChar w:fldCharType="begin"/>
        </w:r>
        <w:r w:rsidRPr="00BE2DA0">
          <w:rPr>
            <w:noProof/>
            <w:webHidden/>
          </w:rPr>
          <w:instrText xml:space="preserve"> PAGEREF _Toc220152221 \h </w:instrText>
        </w:r>
        <w:r w:rsidRPr="00BE2DA0">
          <w:rPr>
            <w:noProof/>
            <w:webHidden/>
          </w:rPr>
        </w:r>
        <w:r w:rsidRPr="00BE2DA0">
          <w:rPr>
            <w:noProof/>
            <w:webHidden/>
          </w:rPr>
          <w:fldChar w:fldCharType="separate"/>
        </w:r>
        <w:r w:rsidR="005D0832">
          <w:rPr>
            <w:noProof/>
            <w:webHidden/>
          </w:rPr>
          <w:t>54</w:t>
        </w:r>
        <w:r w:rsidRPr="00BE2DA0">
          <w:rPr>
            <w:noProof/>
            <w:webHidden/>
          </w:rPr>
          <w:fldChar w:fldCharType="end"/>
        </w:r>
      </w:hyperlink>
    </w:p>
    <w:p w14:paraId="418E1767" w14:textId="008A6887" w:rsidR="00731DF2" w:rsidRDefault="00731DF2" w:rsidP="00861778">
      <w:pPr>
        <w:pStyle w:val="TOC1"/>
      </w:pPr>
      <w:hyperlink w:anchor="_Toc220152222" w:history="1">
        <w:r w:rsidRPr="00BE2DA0">
          <w:rPr>
            <w:rStyle w:val="Hyperlink"/>
            <w:b/>
            <w:bCs/>
          </w:rPr>
          <w:t>Chapter 5 – Discussion</w:t>
        </w:r>
        <w:r w:rsidRPr="00BE2DA0">
          <w:rPr>
            <w:webHidden/>
          </w:rPr>
          <w:tab/>
        </w:r>
        <w:r w:rsidRPr="00BE2DA0">
          <w:rPr>
            <w:webHidden/>
          </w:rPr>
          <w:fldChar w:fldCharType="begin"/>
        </w:r>
        <w:r w:rsidRPr="00BE2DA0">
          <w:rPr>
            <w:webHidden/>
          </w:rPr>
          <w:instrText xml:space="preserve"> PAGEREF _Toc220152222 \h </w:instrText>
        </w:r>
        <w:r w:rsidRPr="00BE2DA0">
          <w:rPr>
            <w:webHidden/>
          </w:rPr>
        </w:r>
        <w:r w:rsidRPr="00BE2DA0">
          <w:rPr>
            <w:webHidden/>
          </w:rPr>
          <w:fldChar w:fldCharType="separate"/>
        </w:r>
        <w:r w:rsidR="005D0832">
          <w:rPr>
            <w:webHidden/>
          </w:rPr>
          <w:t>56</w:t>
        </w:r>
        <w:r w:rsidRPr="00BE2DA0">
          <w:rPr>
            <w:webHidden/>
          </w:rPr>
          <w:fldChar w:fldCharType="end"/>
        </w:r>
      </w:hyperlink>
    </w:p>
    <w:p w14:paraId="76D1B6A2" w14:textId="77777777" w:rsidR="00861778" w:rsidRPr="00861778" w:rsidRDefault="00861778" w:rsidP="00861778">
      <w:pPr>
        <w:rPr>
          <w:noProof/>
        </w:rPr>
      </w:pPr>
    </w:p>
    <w:p w14:paraId="0324B079" w14:textId="4D017443" w:rsidR="00731DF2" w:rsidRPr="00BE2DA0" w:rsidRDefault="00731DF2" w:rsidP="00BE2DA0">
      <w:pPr>
        <w:pStyle w:val="TOC2"/>
        <w:rPr>
          <w:rFonts w:eastAsiaTheme="minorEastAsia"/>
          <w:noProof/>
          <w:kern w:val="2"/>
          <w14:ligatures w14:val="standardContextual"/>
        </w:rPr>
      </w:pPr>
      <w:hyperlink w:anchor="_Toc220152223" w:history="1">
        <w:r w:rsidRPr="00BE2DA0">
          <w:rPr>
            <w:rStyle w:val="Hyperlink"/>
            <w:noProof/>
          </w:rPr>
          <w:t>5.1 Introduction</w:t>
        </w:r>
        <w:r w:rsidRPr="00BE2DA0">
          <w:rPr>
            <w:noProof/>
            <w:webHidden/>
          </w:rPr>
          <w:tab/>
        </w:r>
        <w:r w:rsidRPr="00BE2DA0">
          <w:rPr>
            <w:noProof/>
            <w:webHidden/>
          </w:rPr>
          <w:fldChar w:fldCharType="begin"/>
        </w:r>
        <w:r w:rsidRPr="00BE2DA0">
          <w:rPr>
            <w:noProof/>
            <w:webHidden/>
          </w:rPr>
          <w:instrText xml:space="preserve"> PAGEREF _Toc220152223 \h </w:instrText>
        </w:r>
        <w:r w:rsidRPr="00BE2DA0">
          <w:rPr>
            <w:noProof/>
            <w:webHidden/>
          </w:rPr>
        </w:r>
        <w:r w:rsidRPr="00BE2DA0">
          <w:rPr>
            <w:noProof/>
            <w:webHidden/>
          </w:rPr>
          <w:fldChar w:fldCharType="separate"/>
        </w:r>
        <w:r w:rsidR="005D0832">
          <w:rPr>
            <w:noProof/>
            <w:webHidden/>
          </w:rPr>
          <w:t>56</w:t>
        </w:r>
        <w:r w:rsidRPr="00BE2DA0">
          <w:rPr>
            <w:noProof/>
            <w:webHidden/>
          </w:rPr>
          <w:fldChar w:fldCharType="end"/>
        </w:r>
      </w:hyperlink>
    </w:p>
    <w:p w14:paraId="3192D492" w14:textId="6AD2039D" w:rsidR="00731DF2" w:rsidRPr="00BE2DA0" w:rsidRDefault="00731DF2" w:rsidP="00BE2DA0">
      <w:pPr>
        <w:pStyle w:val="TOC2"/>
        <w:rPr>
          <w:rFonts w:eastAsiaTheme="minorEastAsia"/>
          <w:noProof/>
          <w:kern w:val="2"/>
          <w14:ligatures w14:val="standardContextual"/>
        </w:rPr>
      </w:pPr>
      <w:hyperlink w:anchor="_Toc220152224" w:history="1">
        <w:r w:rsidRPr="00BE2DA0">
          <w:rPr>
            <w:rStyle w:val="Hyperlink"/>
            <w:noProof/>
          </w:rPr>
          <w:t>5.2 Technological Capability: Interoperability and the API Integration Gap</w:t>
        </w:r>
        <w:r w:rsidRPr="00BE2DA0">
          <w:rPr>
            <w:noProof/>
            <w:webHidden/>
          </w:rPr>
          <w:tab/>
        </w:r>
        <w:r w:rsidRPr="00BE2DA0">
          <w:rPr>
            <w:noProof/>
            <w:webHidden/>
          </w:rPr>
          <w:fldChar w:fldCharType="begin"/>
        </w:r>
        <w:r w:rsidRPr="00BE2DA0">
          <w:rPr>
            <w:noProof/>
            <w:webHidden/>
          </w:rPr>
          <w:instrText xml:space="preserve"> PAGEREF _Toc220152224 \h </w:instrText>
        </w:r>
        <w:r w:rsidRPr="00BE2DA0">
          <w:rPr>
            <w:noProof/>
            <w:webHidden/>
          </w:rPr>
        </w:r>
        <w:r w:rsidRPr="00BE2DA0">
          <w:rPr>
            <w:noProof/>
            <w:webHidden/>
          </w:rPr>
          <w:fldChar w:fldCharType="separate"/>
        </w:r>
        <w:r w:rsidR="005D0832">
          <w:rPr>
            <w:noProof/>
            <w:webHidden/>
          </w:rPr>
          <w:t>56</w:t>
        </w:r>
        <w:r w:rsidRPr="00BE2DA0">
          <w:rPr>
            <w:noProof/>
            <w:webHidden/>
          </w:rPr>
          <w:fldChar w:fldCharType="end"/>
        </w:r>
      </w:hyperlink>
    </w:p>
    <w:p w14:paraId="68F1AADF" w14:textId="20DA98B6" w:rsidR="00731DF2" w:rsidRPr="00BE2DA0" w:rsidRDefault="00731DF2" w:rsidP="00BE2DA0">
      <w:pPr>
        <w:pStyle w:val="TOC2"/>
        <w:rPr>
          <w:rFonts w:eastAsiaTheme="minorEastAsia"/>
          <w:noProof/>
          <w:kern w:val="2"/>
          <w14:ligatures w14:val="standardContextual"/>
        </w:rPr>
      </w:pPr>
      <w:hyperlink w:anchor="_Toc220152225" w:history="1">
        <w:r w:rsidRPr="00BE2DA0">
          <w:rPr>
            <w:rStyle w:val="Hyperlink"/>
            <w:noProof/>
          </w:rPr>
          <w:t>5.3 Human and Organisational Readiness: Skills, Culture, and Leadership</w:t>
        </w:r>
        <w:r w:rsidRPr="00BE2DA0">
          <w:rPr>
            <w:noProof/>
            <w:webHidden/>
          </w:rPr>
          <w:tab/>
        </w:r>
        <w:r w:rsidRPr="00BE2DA0">
          <w:rPr>
            <w:noProof/>
            <w:webHidden/>
          </w:rPr>
          <w:fldChar w:fldCharType="begin"/>
        </w:r>
        <w:r w:rsidRPr="00BE2DA0">
          <w:rPr>
            <w:noProof/>
            <w:webHidden/>
          </w:rPr>
          <w:instrText xml:space="preserve"> PAGEREF _Toc220152225 \h </w:instrText>
        </w:r>
        <w:r w:rsidRPr="00BE2DA0">
          <w:rPr>
            <w:noProof/>
            <w:webHidden/>
          </w:rPr>
        </w:r>
        <w:r w:rsidRPr="00BE2DA0">
          <w:rPr>
            <w:noProof/>
            <w:webHidden/>
          </w:rPr>
          <w:fldChar w:fldCharType="separate"/>
        </w:r>
        <w:r w:rsidR="005D0832">
          <w:rPr>
            <w:noProof/>
            <w:webHidden/>
          </w:rPr>
          <w:t>58</w:t>
        </w:r>
        <w:r w:rsidRPr="00BE2DA0">
          <w:rPr>
            <w:noProof/>
            <w:webHidden/>
          </w:rPr>
          <w:fldChar w:fldCharType="end"/>
        </w:r>
      </w:hyperlink>
    </w:p>
    <w:p w14:paraId="1A3528F2" w14:textId="3FF373AE" w:rsidR="00731DF2" w:rsidRPr="00BE2DA0" w:rsidRDefault="00731DF2" w:rsidP="00BE2DA0">
      <w:pPr>
        <w:pStyle w:val="TOC2"/>
        <w:rPr>
          <w:rFonts w:eastAsiaTheme="minorEastAsia"/>
          <w:noProof/>
          <w:kern w:val="2"/>
          <w14:ligatures w14:val="standardContextual"/>
        </w:rPr>
      </w:pPr>
      <w:hyperlink w:anchor="_Toc220152226" w:history="1">
        <w:r w:rsidRPr="00BE2DA0">
          <w:rPr>
            <w:rStyle w:val="Hyperlink"/>
            <w:noProof/>
          </w:rPr>
          <w:t>5.4 Policy and Governance Alignment: Structural Barriers and Funding Constraints</w:t>
        </w:r>
        <w:r w:rsidRPr="00BE2DA0">
          <w:rPr>
            <w:noProof/>
            <w:webHidden/>
          </w:rPr>
          <w:tab/>
        </w:r>
        <w:r w:rsidRPr="00BE2DA0">
          <w:rPr>
            <w:noProof/>
            <w:webHidden/>
          </w:rPr>
          <w:fldChar w:fldCharType="begin"/>
        </w:r>
        <w:r w:rsidRPr="00BE2DA0">
          <w:rPr>
            <w:noProof/>
            <w:webHidden/>
          </w:rPr>
          <w:instrText xml:space="preserve"> PAGEREF _Toc220152226 \h </w:instrText>
        </w:r>
        <w:r w:rsidRPr="00BE2DA0">
          <w:rPr>
            <w:noProof/>
            <w:webHidden/>
          </w:rPr>
        </w:r>
        <w:r w:rsidRPr="00BE2DA0">
          <w:rPr>
            <w:noProof/>
            <w:webHidden/>
          </w:rPr>
          <w:fldChar w:fldCharType="separate"/>
        </w:r>
        <w:r w:rsidR="005D0832">
          <w:rPr>
            <w:noProof/>
            <w:webHidden/>
          </w:rPr>
          <w:t>60</w:t>
        </w:r>
        <w:r w:rsidRPr="00BE2DA0">
          <w:rPr>
            <w:noProof/>
            <w:webHidden/>
          </w:rPr>
          <w:fldChar w:fldCharType="end"/>
        </w:r>
      </w:hyperlink>
    </w:p>
    <w:p w14:paraId="04709007" w14:textId="5A4797F7" w:rsidR="00731DF2" w:rsidRPr="00BE2DA0" w:rsidRDefault="00731DF2" w:rsidP="00BE2DA0">
      <w:pPr>
        <w:pStyle w:val="TOC2"/>
        <w:rPr>
          <w:rFonts w:eastAsiaTheme="minorEastAsia"/>
          <w:noProof/>
          <w:kern w:val="2"/>
          <w14:ligatures w14:val="standardContextual"/>
        </w:rPr>
      </w:pPr>
      <w:hyperlink w:anchor="_Toc220152227" w:history="1">
        <w:r w:rsidRPr="00BE2DA0">
          <w:rPr>
            <w:rStyle w:val="Hyperlink"/>
            <w:noProof/>
          </w:rPr>
          <w:t>5.5 Sustainability Outcomes: Conditions for Benefit Realisation</w:t>
        </w:r>
        <w:r w:rsidRPr="00BE2DA0">
          <w:rPr>
            <w:noProof/>
            <w:webHidden/>
          </w:rPr>
          <w:tab/>
        </w:r>
        <w:r w:rsidRPr="00BE2DA0">
          <w:rPr>
            <w:noProof/>
            <w:webHidden/>
          </w:rPr>
          <w:fldChar w:fldCharType="begin"/>
        </w:r>
        <w:r w:rsidRPr="00BE2DA0">
          <w:rPr>
            <w:noProof/>
            <w:webHidden/>
          </w:rPr>
          <w:instrText xml:space="preserve"> PAGEREF _Toc220152227 \h </w:instrText>
        </w:r>
        <w:r w:rsidRPr="00BE2DA0">
          <w:rPr>
            <w:noProof/>
            <w:webHidden/>
          </w:rPr>
        </w:r>
        <w:r w:rsidRPr="00BE2DA0">
          <w:rPr>
            <w:noProof/>
            <w:webHidden/>
          </w:rPr>
          <w:fldChar w:fldCharType="separate"/>
        </w:r>
        <w:r w:rsidR="005D0832">
          <w:rPr>
            <w:noProof/>
            <w:webHidden/>
          </w:rPr>
          <w:t>62</w:t>
        </w:r>
        <w:r w:rsidRPr="00BE2DA0">
          <w:rPr>
            <w:noProof/>
            <w:webHidden/>
          </w:rPr>
          <w:fldChar w:fldCharType="end"/>
        </w:r>
      </w:hyperlink>
    </w:p>
    <w:p w14:paraId="6D52144A" w14:textId="2F4AC616" w:rsidR="00731DF2" w:rsidRPr="00BE2DA0" w:rsidRDefault="00731DF2" w:rsidP="00BE2DA0">
      <w:pPr>
        <w:pStyle w:val="TOC2"/>
        <w:rPr>
          <w:rFonts w:eastAsiaTheme="minorEastAsia"/>
          <w:noProof/>
          <w:kern w:val="2"/>
          <w14:ligatures w14:val="standardContextual"/>
        </w:rPr>
      </w:pPr>
      <w:hyperlink w:anchor="_Toc220152228" w:history="1">
        <w:r w:rsidRPr="00BE2DA0">
          <w:rPr>
            <w:rStyle w:val="Hyperlink"/>
            <w:noProof/>
          </w:rPr>
          <w:t>5.6 Theoretical Integration: Technology Adoption in FE Contexts</w:t>
        </w:r>
        <w:r w:rsidRPr="00BE2DA0">
          <w:rPr>
            <w:noProof/>
            <w:webHidden/>
          </w:rPr>
          <w:tab/>
        </w:r>
        <w:r w:rsidRPr="00BE2DA0">
          <w:rPr>
            <w:noProof/>
            <w:webHidden/>
          </w:rPr>
          <w:fldChar w:fldCharType="begin"/>
        </w:r>
        <w:r w:rsidRPr="00BE2DA0">
          <w:rPr>
            <w:noProof/>
            <w:webHidden/>
          </w:rPr>
          <w:instrText xml:space="preserve"> PAGEREF _Toc220152228 \h </w:instrText>
        </w:r>
        <w:r w:rsidRPr="00BE2DA0">
          <w:rPr>
            <w:noProof/>
            <w:webHidden/>
          </w:rPr>
        </w:r>
        <w:r w:rsidRPr="00BE2DA0">
          <w:rPr>
            <w:noProof/>
            <w:webHidden/>
          </w:rPr>
          <w:fldChar w:fldCharType="separate"/>
        </w:r>
        <w:r w:rsidR="005D0832">
          <w:rPr>
            <w:noProof/>
            <w:webHidden/>
          </w:rPr>
          <w:t>63</w:t>
        </w:r>
        <w:r w:rsidRPr="00BE2DA0">
          <w:rPr>
            <w:noProof/>
            <w:webHidden/>
          </w:rPr>
          <w:fldChar w:fldCharType="end"/>
        </w:r>
      </w:hyperlink>
    </w:p>
    <w:p w14:paraId="00E13A1F" w14:textId="0E62BF64" w:rsidR="00731DF2" w:rsidRPr="00BE2DA0" w:rsidRDefault="00731DF2" w:rsidP="00BE2DA0">
      <w:pPr>
        <w:pStyle w:val="TOC2"/>
        <w:rPr>
          <w:rFonts w:eastAsiaTheme="minorEastAsia"/>
          <w:noProof/>
          <w:kern w:val="2"/>
          <w14:ligatures w14:val="standardContextual"/>
        </w:rPr>
      </w:pPr>
      <w:hyperlink w:anchor="_Toc220152229" w:history="1">
        <w:r w:rsidRPr="00BE2DA0">
          <w:rPr>
            <w:rStyle w:val="Hyperlink"/>
            <w:noProof/>
          </w:rPr>
          <w:t>5.7 Implications for Theory, Practice, and Policy</w:t>
        </w:r>
        <w:r w:rsidRPr="00BE2DA0">
          <w:rPr>
            <w:noProof/>
            <w:webHidden/>
          </w:rPr>
          <w:tab/>
        </w:r>
        <w:r w:rsidRPr="00BE2DA0">
          <w:rPr>
            <w:noProof/>
            <w:webHidden/>
          </w:rPr>
          <w:fldChar w:fldCharType="begin"/>
        </w:r>
        <w:r w:rsidRPr="00BE2DA0">
          <w:rPr>
            <w:noProof/>
            <w:webHidden/>
          </w:rPr>
          <w:instrText xml:space="preserve"> PAGEREF _Toc220152229 \h </w:instrText>
        </w:r>
        <w:r w:rsidRPr="00BE2DA0">
          <w:rPr>
            <w:noProof/>
            <w:webHidden/>
          </w:rPr>
        </w:r>
        <w:r w:rsidRPr="00BE2DA0">
          <w:rPr>
            <w:noProof/>
            <w:webHidden/>
          </w:rPr>
          <w:fldChar w:fldCharType="separate"/>
        </w:r>
        <w:r w:rsidR="005D0832">
          <w:rPr>
            <w:noProof/>
            <w:webHidden/>
          </w:rPr>
          <w:t>65</w:t>
        </w:r>
        <w:r w:rsidRPr="00BE2DA0">
          <w:rPr>
            <w:noProof/>
            <w:webHidden/>
          </w:rPr>
          <w:fldChar w:fldCharType="end"/>
        </w:r>
      </w:hyperlink>
    </w:p>
    <w:p w14:paraId="5B7F65A4" w14:textId="0AFE83B1"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230" w:history="1">
        <w:r w:rsidRPr="00BE2DA0">
          <w:rPr>
            <w:rStyle w:val="Hyperlink"/>
            <w:noProof/>
          </w:rPr>
          <w:t>5.7.1 Theoretical Implications</w:t>
        </w:r>
        <w:r w:rsidRPr="00BE2DA0">
          <w:rPr>
            <w:noProof/>
            <w:webHidden/>
          </w:rPr>
          <w:tab/>
        </w:r>
        <w:r w:rsidRPr="00BE2DA0">
          <w:rPr>
            <w:noProof/>
            <w:webHidden/>
          </w:rPr>
          <w:fldChar w:fldCharType="begin"/>
        </w:r>
        <w:r w:rsidRPr="00BE2DA0">
          <w:rPr>
            <w:noProof/>
            <w:webHidden/>
          </w:rPr>
          <w:instrText xml:space="preserve"> PAGEREF _Toc220152230 \h </w:instrText>
        </w:r>
        <w:r w:rsidRPr="00BE2DA0">
          <w:rPr>
            <w:noProof/>
            <w:webHidden/>
          </w:rPr>
        </w:r>
        <w:r w:rsidRPr="00BE2DA0">
          <w:rPr>
            <w:noProof/>
            <w:webHidden/>
          </w:rPr>
          <w:fldChar w:fldCharType="separate"/>
        </w:r>
        <w:r w:rsidR="005D0832">
          <w:rPr>
            <w:noProof/>
            <w:webHidden/>
          </w:rPr>
          <w:t>65</w:t>
        </w:r>
        <w:r w:rsidRPr="00BE2DA0">
          <w:rPr>
            <w:noProof/>
            <w:webHidden/>
          </w:rPr>
          <w:fldChar w:fldCharType="end"/>
        </w:r>
      </w:hyperlink>
    </w:p>
    <w:p w14:paraId="416B2F21" w14:textId="22CDE646"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231" w:history="1">
        <w:r w:rsidRPr="00BE2DA0">
          <w:rPr>
            <w:rStyle w:val="Hyperlink"/>
            <w:noProof/>
          </w:rPr>
          <w:t>5.7.2 Practical Implications</w:t>
        </w:r>
        <w:r w:rsidRPr="00BE2DA0">
          <w:rPr>
            <w:noProof/>
            <w:webHidden/>
          </w:rPr>
          <w:tab/>
        </w:r>
        <w:r w:rsidRPr="00BE2DA0">
          <w:rPr>
            <w:noProof/>
            <w:webHidden/>
          </w:rPr>
          <w:fldChar w:fldCharType="begin"/>
        </w:r>
        <w:r w:rsidRPr="00BE2DA0">
          <w:rPr>
            <w:noProof/>
            <w:webHidden/>
          </w:rPr>
          <w:instrText xml:space="preserve"> PAGEREF _Toc220152231 \h </w:instrText>
        </w:r>
        <w:r w:rsidRPr="00BE2DA0">
          <w:rPr>
            <w:noProof/>
            <w:webHidden/>
          </w:rPr>
        </w:r>
        <w:r w:rsidRPr="00BE2DA0">
          <w:rPr>
            <w:noProof/>
            <w:webHidden/>
          </w:rPr>
          <w:fldChar w:fldCharType="separate"/>
        </w:r>
        <w:r w:rsidR="005D0832">
          <w:rPr>
            <w:noProof/>
            <w:webHidden/>
          </w:rPr>
          <w:t>65</w:t>
        </w:r>
        <w:r w:rsidRPr="00BE2DA0">
          <w:rPr>
            <w:noProof/>
            <w:webHidden/>
          </w:rPr>
          <w:fldChar w:fldCharType="end"/>
        </w:r>
      </w:hyperlink>
    </w:p>
    <w:p w14:paraId="47FBCF2B" w14:textId="62B6A931"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232" w:history="1">
        <w:r w:rsidRPr="00BE2DA0">
          <w:rPr>
            <w:rStyle w:val="Hyperlink"/>
            <w:noProof/>
          </w:rPr>
          <w:t>5.7.3 Policy Implications</w:t>
        </w:r>
        <w:r w:rsidRPr="00BE2DA0">
          <w:rPr>
            <w:noProof/>
            <w:webHidden/>
          </w:rPr>
          <w:tab/>
        </w:r>
        <w:r w:rsidRPr="00BE2DA0">
          <w:rPr>
            <w:noProof/>
            <w:webHidden/>
          </w:rPr>
          <w:fldChar w:fldCharType="begin"/>
        </w:r>
        <w:r w:rsidRPr="00BE2DA0">
          <w:rPr>
            <w:noProof/>
            <w:webHidden/>
          </w:rPr>
          <w:instrText xml:space="preserve"> PAGEREF _Toc220152232 \h </w:instrText>
        </w:r>
        <w:r w:rsidRPr="00BE2DA0">
          <w:rPr>
            <w:noProof/>
            <w:webHidden/>
          </w:rPr>
        </w:r>
        <w:r w:rsidRPr="00BE2DA0">
          <w:rPr>
            <w:noProof/>
            <w:webHidden/>
          </w:rPr>
          <w:fldChar w:fldCharType="separate"/>
        </w:r>
        <w:r w:rsidR="005D0832">
          <w:rPr>
            <w:noProof/>
            <w:webHidden/>
          </w:rPr>
          <w:t>66</w:t>
        </w:r>
        <w:r w:rsidRPr="00BE2DA0">
          <w:rPr>
            <w:noProof/>
            <w:webHidden/>
          </w:rPr>
          <w:fldChar w:fldCharType="end"/>
        </w:r>
      </w:hyperlink>
    </w:p>
    <w:p w14:paraId="224777B8" w14:textId="7A3DED35" w:rsidR="00731DF2" w:rsidRPr="00BE2DA0" w:rsidRDefault="00731DF2" w:rsidP="00BE2DA0">
      <w:pPr>
        <w:pStyle w:val="TOC2"/>
        <w:rPr>
          <w:rFonts w:eastAsiaTheme="minorEastAsia"/>
          <w:noProof/>
          <w:kern w:val="2"/>
          <w14:ligatures w14:val="standardContextual"/>
        </w:rPr>
      </w:pPr>
      <w:hyperlink w:anchor="_Toc220152233" w:history="1">
        <w:r w:rsidRPr="00BE2DA0">
          <w:rPr>
            <w:rStyle w:val="Hyperlink"/>
            <w:noProof/>
          </w:rPr>
          <w:t>5.8 Limitations and Future Research Directions</w:t>
        </w:r>
        <w:r w:rsidRPr="00BE2DA0">
          <w:rPr>
            <w:noProof/>
            <w:webHidden/>
          </w:rPr>
          <w:tab/>
        </w:r>
        <w:r w:rsidRPr="00BE2DA0">
          <w:rPr>
            <w:noProof/>
            <w:webHidden/>
          </w:rPr>
          <w:fldChar w:fldCharType="begin"/>
        </w:r>
        <w:r w:rsidRPr="00BE2DA0">
          <w:rPr>
            <w:noProof/>
            <w:webHidden/>
          </w:rPr>
          <w:instrText xml:space="preserve"> PAGEREF _Toc220152233 \h </w:instrText>
        </w:r>
        <w:r w:rsidRPr="00BE2DA0">
          <w:rPr>
            <w:noProof/>
            <w:webHidden/>
          </w:rPr>
        </w:r>
        <w:r w:rsidRPr="00BE2DA0">
          <w:rPr>
            <w:noProof/>
            <w:webHidden/>
          </w:rPr>
          <w:fldChar w:fldCharType="separate"/>
        </w:r>
        <w:r w:rsidR="005D0832">
          <w:rPr>
            <w:noProof/>
            <w:webHidden/>
          </w:rPr>
          <w:t>66</w:t>
        </w:r>
        <w:r w:rsidRPr="00BE2DA0">
          <w:rPr>
            <w:noProof/>
            <w:webHidden/>
          </w:rPr>
          <w:fldChar w:fldCharType="end"/>
        </w:r>
      </w:hyperlink>
    </w:p>
    <w:p w14:paraId="2AC8922E" w14:textId="5CC7E898" w:rsidR="00731DF2" w:rsidRDefault="00731DF2" w:rsidP="00BE2DA0">
      <w:pPr>
        <w:pStyle w:val="TOC2"/>
        <w:rPr>
          <w:noProof/>
        </w:rPr>
      </w:pPr>
      <w:hyperlink w:anchor="_Toc220152234" w:history="1">
        <w:r w:rsidRPr="00BE2DA0">
          <w:rPr>
            <w:rStyle w:val="Hyperlink"/>
            <w:noProof/>
          </w:rPr>
          <w:t>5.9 Chapter Summary</w:t>
        </w:r>
        <w:r w:rsidRPr="00BE2DA0">
          <w:rPr>
            <w:noProof/>
            <w:webHidden/>
          </w:rPr>
          <w:tab/>
        </w:r>
        <w:r w:rsidRPr="00BE2DA0">
          <w:rPr>
            <w:noProof/>
            <w:webHidden/>
          </w:rPr>
          <w:fldChar w:fldCharType="begin"/>
        </w:r>
        <w:r w:rsidRPr="00BE2DA0">
          <w:rPr>
            <w:noProof/>
            <w:webHidden/>
          </w:rPr>
          <w:instrText xml:space="preserve"> PAGEREF _Toc220152234 \h </w:instrText>
        </w:r>
        <w:r w:rsidRPr="00BE2DA0">
          <w:rPr>
            <w:noProof/>
            <w:webHidden/>
          </w:rPr>
        </w:r>
        <w:r w:rsidRPr="00BE2DA0">
          <w:rPr>
            <w:noProof/>
            <w:webHidden/>
          </w:rPr>
          <w:fldChar w:fldCharType="separate"/>
        </w:r>
        <w:r w:rsidR="005D0832">
          <w:rPr>
            <w:noProof/>
            <w:webHidden/>
          </w:rPr>
          <w:t>67</w:t>
        </w:r>
        <w:r w:rsidRPr="00BE2DA0">
          <w:rPr>
            <w:noProof/>
            <w:webHidden/>
          </w:rPr>
          <w:fldChar w:fldCharType="end"/>
        </w:r>
      </w:hyperlink>
    </w:p>
    <w:p w14:paraId="33D17883" w14:textId="77777777" w:rsidR="00861778" w:rsidRPr="00861778" w:rsidRDefault="00861778" w:rsidP="00861778">
      <w:pPr>
        <w:rPr>
          <w:noProof/>
        </w:rPr>
      </w:pPr>
    </w:p>
    <w:p w14:paraId="6B9CBB5C" w14:textId="526847B6" w:rsidR="00731DF2" w:rsidRDefault="00731DF2" w:rsidP="00861778">
      <w:pPr>
        <w:pStyle w:val="TOC1"/>
      </w:pPr>
      <w:hyperlink w:anchor="_Toc220152235" w:history="1">
        <w:r w:rsidRPr="00BE2DA0">
          <w:rPr>
            <w:rStyle w:val="Hyperlink"/>
            <w:b/>
            <w:bCs/>
          </w:rPr>
          <w:t>Chapter 6 – Conclusions and Recommendations</w:t>
        </w:r>
        <w:r w:rsidRPr="00BE2DA0">
          <w:rPr>
            <w:webHidden/>
          </w:rPr>
          <w:tab/>
        </w:r>
        <w:r w:rsidRPr="00BE2DA0">
          <w:rPr>
            <w:webHidden/>
          </w:rPr>
          <w:fldChar w:fldCharType="begin"/>
        </w:r>
        <w:r w:rsidRPr="00BE2DA0">
          <w:rPr>
            <w:webHidden/>
          </w:rPr>
          <w:instrText xml:space="preserve"> PAGEREF _Toc220152235 \h </w:instrText>
        </w:r>
        <w:r w:rsidRPr="00BE2DA0">
          <w:rPr>
            <w:webHidden/>
          </w:rPr>
        </w:r>
        <w:r w:rsidRPr="00BE2DA0">
          <w:rPr>
            <w:webHidden/>
          </w:rPr>
          <w:fldChar w:fldCharType="separate"/>
        </w:r>
        <w:r w:rsidR="005D0832">
          <w:rPr>
            <w:webHidden/>
          </w:rPr>
          <w:t>69</w:t>
        </w:r>
        <w:r w:rsidRPr="00BE2DA0">
          <w:rPr>
            <w:webHidden/>
          </w:rPr>
          <w:fldChar w:fldCharType="end"/>
        </w:r>
      </w:hyperlink>
    </w:p>
    <w:p w14:paraId="675D84F0" w14:textId="77777777" w:rsidR="00861778" w:rsidRPr="00861778" w:rsidRDefault="00861778" w:rsidP="00861778">
      <w:pPr>
        <w:rPr>
          <w:noProof/>
        </w:rPr>
      </w:pPr>
    </w:p>
    <w:p w14:paraId="76CCB1A7" w14:textId="6C873DB4" w:rsidR="00731DF2" w:rsidRPr="00BE2DA0" w:rsidRDefault="00731DF2" w:rsidP="00BE2DA0">
      <w:pPr>
        <w:pStyle w:val="TOC2"/>
        <w:rPr>
          <w:rFonts w:eastAsiaTheme="minorEastAsia"/>
          <w:noProof/>
          <w:kern w:val="2"/>
          <w14:ligatures w14:val="standardContextual"/>
        </w:rPr>
      </w:pPr>
      <w:hyperlink w:anchor="_Toc220152236" w:history="1">
        <w:r w:rsidRPr="00BE2DA0">
          <w:rPr>
            <w:rStyle w:val="Hyperlink"/>
            <w:noProof/>
          </w:rPr>
          <w:t>6.1 Introduction</w:t>
        </w:r>
        <w:r w:rsidRPr="00BE2DA0">
          <w:rPr>
            <w:noProof/>
            <w:webHidden/>
          </w:rPr>
          <w:tab/>
        </w:r>
        <w:r w:rsidRPr="00BE2DA0">
          <w:rPr>
            <w:noProof/>
            <w:webHidden/>
          </w:rPr>
          <w:fldChar w:fldCharType="begin"/>
        </w:r>
        <w:r w:rsidRPr="00BE2DA0">
          <w:rPr>
            <w:noProof/>
            <w:webHidden/>
          </w:rPr>
          <w:instrText xml:space="preserve"> PAGEREF _Toc220152236 \h </w:instrText>
        </w:r>
        <w:r w:rsidRPr="00BE2DA0">
          <w:rPr>
            <w:noProof/>
            <w:webHidden/>
          </w:rPr>
        </w:r>
        <w:r w:rsidRPr="00BE2DA0">
          <w:rPr>
            <w:noProof/>
            <w:webHidden/>
          </w:rPr>
          <w:fldChar w:fldCharType="separate"/>
        </w:r>
        <w:r w:rsidR="005D0832">
          <w:rPr>
            <w:noProof/>
            <w:webHidden/>
          </w:rPr>
          <w:t>69</w:t>
        </w:r>
        <w:r w:rsidRPr="00BE2DA0">
          <w:rPr>
            <w:noProof/>
            <w:webHidden/>
          </w:rPr>
          <w:fldChar w:fldCharType="end"/>
        </w:r>
      </w:hyperlink>
    </w:p>
    <w:p w14:paraId="25C84FFA" w14:textId="72AEBB03" w:rsidR="00731DF2" w:rsidRPr="00BE2DA0" w:rsidRDefault="00731DF2" w:rsidP="00BE2DA0">
      <w:pPr>
        <w:pStyle w:val="TOC2"/>
        <w:rPr>
          <w:rFonts w:eastAsiaTheme="minorEastAsia"/>
          <w:noProof/>
          <w:kern w:val="2"/>
          <w14:ligatures w14:val="standardContextual"/>
        </w:rPr>
      </w:pPr>
      <w:hyperlink w:anchor="_Toc220152237" w:history="1">
        <w:r w:rsidRPr="00BE2DA0">
          <w:rPr>
            <w:rStyle w:val="Hyperlink"/>
            <w:noProof/>
          </w:rPr>
          <w:t>6.2 Summary of Key Findings</w:t>
        </w:r>
        <w:r w:rsidRPr="00BE2DA0">
          <w:rPr>
            <w:noProof/>
            <w:webHidden/>
          </w:rPr>
          <w:tab/>
        </w:r>
        <w:r w:rsidRPr="00BE2DA0">
          <w:rPr>
            <w:noProof/>
            <w:webHidden/>
          </w:rPr>
          <w:fldChar w:fldCharType="begin"/>
        </w:r>
        <w:r w:rsidRPr="00BE2DA0">
          <w:rPr>
            <w:noProof/>
            <w:webHidden/>
          </w:rPr>
          <w:instrText xml:space="preserve"> PAGEREF _Toc220152237 \h </w:instrText>
        </w:r>
        <w:r w:rsidRPr="00BE2DA0">
          <w:rPr>
            <w:noProof/>
            <w:webHidden/>
          </w:rPr>
        </w:r>
        <w:r w:rsidRPr="00BE2DA0">
          <w:rPr>
            <w:noProof/>
            <w:webHidden/>
          </w:rPr>
          <w:fldChar w:fldCharType="separate"/>
        </w:r>
        <w:r w:rsidR="005D0832">
          <w:rPr>
            <w:noProof/>
            <w:webHidden/>
          </w:rPr>
          <w:t>69</w:t>
        </w:r>
        <w:r w:rsidRPr="00BE2DA0">
          <w:rPr>
            <w:noProof/>
            <w:webHidden/>
          </w:rPr>
          <w:fldChar w:fldCharType="end"/>
        </w:r>
      </w:hyperlink>
    </w:p>
    <w:p w14:paraId="10B0EA7D" w14:textId="5A325FEB" w:rsidR="00731DF2" w:rsidRPr="00BE2DA0" w:rsidRDefault="00731DF2" w:rsidP="00BE2DA0">
      <w:pPr>
        <w:pStyle w:val="TOC2"/>
        <w:rPr>
          <w:rFonts w:eastAsiaTheme="minorEastAsia"/>
          <w:noProof/>
          <w:kern w:val="2"/>
          <w14:ligatures w14:val="standardContextual"/>
        </w:rPr>
      </w:pPr>
      <w:hyperlink w:anchor="_Toc220152238" w:history="1">
        <w:r w:rsidRPr="00BE2DA0">
          <w:rPr>
            <w:rStyle w:val="Hyperlink"/>
            <w:noProof/>
          </w:rPr>
          <w:t>6.3 Conclusions in Relation to the Research Objectives</w:t>
        </w:r>
        <w:r w:rsidRPr="00BE2DA0">
          <w:rPr>
            <w:noProof/>
            <w:webHidden/>
          </w:rPr>
          <w:tab/>
        </w:r>
        <w:r w:rsidRPr="00BE2DA0">
          <w:rPr>
            <w:noProof/>
            <w:webHidden/>
          </w:rPr>
          <w:fldChar w:fldCharType="begin"/>
        </w:r>
        <w:r w:rsidRPr="00BE2DA0">
          <w:rPr>
            <w:noProof/>
            <w:webHidden/>
          </w:rPr>
          <w:instrText xml:space="preserve"> PAGEREF _Toc220152238 \h </w:instrText>
        </w:r>
        <w:r w:rsidRPr="00BE2DA0">
          <w:rPr>
            <w:noProof/>
            <w:webHidden/>
          </w:rPr>
        </w:r>
        <w:r w:rsidRPr="00BE2DA0">
          <w:rPr>
            <w:noProof/>
            <w:webHidden/>
          </w:rPr>
          <w:fldChar w:fldCharType="separate"/>
        </w:r>
        <w:r w:rsidR="005D0832">
          <w:rPr>
            <w:noProof/>
            <w:webHidden/>
          </w:rPr>
          <w:t>71</w:t>
        </w:r>
        <w:r w:rsidRPr="00BE2DA0">
          <w:rPr>
            <w:noProof/>
            <w:webHidden/>
          </w:rPr>
          <w:fldChar w:fldCharType="end"/>
        </w:r>
      </w:hyperlink>
    </w:p>
    <w:p w14:paraId="6E206784" w14:textId="3B9DB5E9" w:rsidR="00731DF2" w:rsidRPr="00BE2DA0" w:rsidRDefault="00731DF2" w:rsidP="00BE2DA0">
      <w:pPr>
        <w:pStyle w:val="TOC2"/>
        <w:rPr>
          <w:rFonts w:eastAsiaTheme="minorEastAsia"/>
          <w:noProof/>
          <w:kern w:val="2"/>
          <w14:ligatures w14:val="standardContextual"/>
        </w:rPr>
      </w:pPr>
      <w:hyperlink w:anchor="_Toc220152239" w:history="1">
        <w:r w:rsidRPr="00BE2DA0">
          <w:rPr>
            <w:rStyle w:val="Hyperlink"/>
            <w:noProof/>
          </w:rPr>
          <w:t>6.4 Contribution to Knowledge and Practice</w:t>
        </w:r>
        <w:r w:rsidRPr="00BE2DA0">
          <w:rPr>
            <w:noProof/>
            <w:webHidden/>
          </w:rPr>
          <w:tab/>
        </w:r>
        <w:r w:rsidRPr="00BE2DA0">
          <w:rPr>
            <w:noProof/>
            <w:webHidden/>
          </w:rPr>
          <w:fldChar w:fldCharType="begin"/>
        </w:r>
        <w:r w:rsidRPr="00BE2DA0">
          <w:rPr>
            <w:noProof/>
            <w:webHidden/>
          </w:rPr>
          <w:instrText xml:space="preserve"> PAGEREF _Toc220152239 \h </w:instrText>
        </w:r>
        <w:r w:rsidRPr="00BE2DA0">
          <w:rPr>
            <w:noProof/>
            <w:webHidden/>
          </w:rPr>
        </w:r>
        <w:r w:rsidRPr="00BE2DA0">
          <w:rPr>
            <w:noProof/>
            <w:webHidden/>
          </w:rPr>
          <w:fldChar w:fldCharType="separate"/>
        </w:r>
        <w:r w:rsidR="005D0832">
          <w:rPr>
            <w:noProof/>
            <w:webHidden/>
          </w:rPr>
          <w:t>72</w:t>
        </w:r>
        <w:r w:rsidRPr="00BE2DA0">
          <w:rPr>
            <w:noProof/>
            <w:webHidden/>
          </w:rPr>
          <w:fldChar w:fldCharType="end"/>
        </w:r>
      </w:hyperlink>
    </w:p>
    <w:p w14:paraId="6C30364D" w14:textId="5B0459D7"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240" w:history="1">
        <w:r w:rsidRPr="00BE2DA0">
          <w:rPr>
            <w:rStyle w:val="Hyperlink"/>
            <w:noProof/>
          </w:rPr>
          <w:t>6.4.1 Contribution to Knowledge</w:t>
        </w:r>
        <w:r w:rsidRPr="00BE2DA0">
          <w:rPr>
            <w:noProof/>
            <w:webHidden/>
          </w:rPr>
          <w:tab/>
        </w:r>
        <w:r w:rsidRPr="00BE2DA0">
          <w:rPr>
            <w:noProof/>
            <w:webHidden/>
          </w:rPr>
          <w:fldChar w:fldCharType="begin"/>
        </w:r>
        <w:r w:rsidRPr="00BE2DA0">
          <w:rPr>
            <w:noProof/>
            <w:webHidden/>
          </w:rPr>
          <w:instrText xml:space="preserve"> PAGEREF _Toc220152240 \h </w:instrText>
        </w:r>
        <w:r w:rsidRPr="00BE2DA0">
          <w:rPr>
            <w:noProof/>
            <w:webHidden/>
          </w:rPr>
        </w:r>
        <w:r w:rsidRPr="00BE2DA0">
          <w:rPr>
            <w:noProof/>
            <w:webHidden/>
          </w:rPr>
          <w:fldChar w:fldCharType="separate"/>
        </w:r>
        <w:r w:rsidR="005D0832">
          <w:rPr>
            <w:noProof/>
            <w:webHidden/>
          </w:rPr>
          <w:t>72</w:t>
        </w:r>
        <w:r w:rsidRPr="00BE2DA0">
          <w:rPr>
            <w:noProof/>
            <w:webHidden/>
          </w:rPr>
          <w:fldChar w:fldCharType="end"/>
        </w:r>
      </w:hyperlink>
    </w:p>
    <w:p w14:paraId="10A011D9" w14:textId="59697C93"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241" w:history="1">
        <w:r w:rsidRPr="00BE2DA0">
          <w:rPr>
            <w:rStyle w:val="Hyperlink"/>
            <w:noProof/>
          </w:rPr>
          <w:t>6.4.2 Contribution to Practice</w:t>
        </w:r>
        <w:r w:rsidRPr="00BE2DA0">
          <w:rPr>
            <w:noProof/>
            <w:webHidden/>
          </w:rPr>
          <w:tab/>
        </w:r>
        <w:r w:rsidRPr="00BE2DA0">
          <w:rPr>
            <w:noProof/>
            <w:webHidden/>
          </w:rPr>
          <w:fldChar w:fldCharType="begin"/>
        </w:r>
        <w:r w:rsidRPr="00BE2DA0">
          <w:rPr>
            <w:noProof/>
            <w:webHidden/>
          </w:rPr>
          <w:instrText xml:space="preserve"> PAGEREF _Toc220152241 \h </w:instrText>
        </w:r>
        <w:r w:rsidRPr="00BE2DA0">
          <w:rPr>
            <w:noProof/>
            <w:webHidden/>
          </w:rPr>
        </w:r>
        <w:r w:rsidRPr="00BE2DA0">
          <w:rPr>
            <w:noProof/>
            <w:webHidden/>
          </w:rPr>
          <w:fldChar w:fldCharType="separate"/>
        </w:r>
        <w:r w:rsidR="005D0832">
          <w:rPr>
            <w:noProof/>
            <w:webHidden/>
          </w:rPr>
          <w:t>73</w:t>
        </w:r>
        <w:r w:rsidRPr="00BE2DA0">
          <w:rPr>
            <w:noProof/>
            <w:webHidden/>
          </w:rPr>
          <w:fldChar w:fldCharType="end"/>
        </w:r>
      </w:hyperlink>
    </w:p>
    <w:p w14:paraId="67D97EA2" w14:textId="15CCACA7" w:rsidR="00731DF2" w:rsidRPr="00BE2DA0" w:rsidRDefault="00731DF2" w:rsidP="00BE2DA0">
      <w:pPr>
        <w:pStyle w:val="TOC2"/>
        <w:rPr>
          <w:rFonts w:eastAsiaTheme="minorEastAsia"/>
          <w:noProof/>
          <w:kern w:val="2"/>
          <w14:ligatures w14:val="standardContextual"/>
        </w:rPr>
      </w:pPr>
      <w:hyperlink w:anchor="_Toc220152242" w:history="1">
        <w:r w:rsidRPr="00BE2DA0">
          <w:rPr>
            <w:rStyle w:val="Hyperlink"/>
            <w:noProof/>
          </w:rPr>
          <w:t>6.5 Recommendations</w:t>
        </w:r>
        <w:r w:rsidRPr="00BE2DA0">
          <w:rPr>
            <w:noProof/>
            <w:webHidden/>
          </w:rPr>
          <w:tab/>
        </w:r>
        <w:r w:rsidRPr="00BE2DA0">
          <w:rPr>
            <w:noProof/>
            <w:webHidden/>
          </w:rPr>
          <w:fldChar w:fldCharType="begin"/>
        </w:r>
        <w:r w:rsidRPr="00BE2DA0">
          <w:rPr>
            <w:noProof/>
            <w:webHidden/>
          </w:rPr>
          <w:instrText xml:space="preserve"> PAGEREF _Toc220152242 \h </w:instrText>
        </w:r>
        <w:r w:rsidRPr="00BE2DA0">
          <w:rPr>
            <w:noProof/>
            <w:webHidden/>
          </w:rPr>
        </w:r>
        <w:r w:rsidRPr="00BE2DA0">
          <w:rPr>
            <w:noProof/>
            <w:webHidden/>
          </w:rPr>
          <w:fldChar w:fldCharType="separate"/>
        </w:r>
        <w:r w:rsidR="005D0832">
          <w:rPr>
            <w:noProof/>
            <w:webHidden/>
          </w:rPr>
          <w:t>73</w:t>
        </w:r>
        <w:r w:rsidRPr="00BE2DA0">
          <w:rPr>
            <w:noProof/>
            <w:webHidden/>
          </w:rPr>
          <w:fldChar w:fldCharType="end"/>
        </w:r>
      </w:hyperlink>
    </w:p>
    <w:p w14:paraId="1DDBEDA9" w14:textId="776ACEBA"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243" w:history="1">
        <w:r w:rsidRPr="00BE2DA0">
          <w:rPr>
            <w:rStyle w:val="Hyperlink"/>
            <w:noProof/>
          </w:rPr>
          <w:t>6.5.1 Recommendations for Industry Practice</w:t>
        </w:r>
        <w:r w:rsidRPr="00BE2DA0">
          <w:rPr>
            <w:noProof/>
            <w:webHidden/>
          </w:rPr>
          <w:tab/>
        </w:r>
        <w:r w:rsidRPr="00BE2DA0">
          <w:rPr>
            <w:noProof/>
            <w:webHidden/>
          </w:rPr>
          <w:fldChar w:fldCharType="begin"/>
        </w:r>
        <w:r w:rsidRPr="00BE2DA0">
          <w:rPr>
            <w:noProof/>
            <w:webHidden/>
          </w:rPr>
          <w:instrText xml:space="preserve"> PAGEREF _Toc220152243 \h </w:instrText>
        </w:r>
        <w:r w:rsidRPr="00BE2DA0">
          <w:rPr>
            <w:noProof/>
            <w:webHidden/>
          </w:rPr>
        </w:r>
        <w:r w:rsidRPr="00BE2DA0">
          <w:rPr>
            <w:noProof/>
            <w:webHidden/>
          </w:rPr>
          <w:fldChar w:fldCharType="separate"/>
        </w:r>
        <w:r w:rsidR="005D0832">
          <w:rPr>
            <w:noProof/>
            <w:webHidden/>
          </w:rPr>
          <w:t>74</w:t>
        </w:r>
        <w:r w:rsidRPr="00BE2DA0">
          <w:rPr>
            <w:noProof/>
            <w:webHidden/>
          </w:rPr>
          <w:fldChar w:fldCharType="end"/>
        </w:r>
      </w:hyperlink>
    </w:p>
    <w:p w14:paraId="193939F3" w14:textId="7DC7CB61"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244" w:history="1">
        <w:r w:rsidRPr="00BE2DA0">
          <w:rPr>
            <w:rStyle w:val="Hyperlink"/>
            <w:noProof/>
          </w:rPr>
          <w:t>6.5.2 Recommendations for Policy and Institutional Leadership</w:t>
        </w:r>
        <w:r w:rsidRPr="00BE2DA0">
          <w:rPr>
            <w:noProof/>
            <w:webHidden/>
          </w:rPr>
          <w:tab/>
        </w:r>
        <w:r w:rsidRPr="00BE2DA0">
          <w:rPr>
            <w:noProof/>
            <w:webHidden/>
          </w:rPr>
          <w:fldChar w:fldCharType="begin"/>
        </w:r>
        <w:r w:rsidRPr="00BE2DA0">
          <w:rPr>
            <w:noProof/>
            <w:webHidden/>
          </w:rPr>
          <w:instrText xml:space="preserve"> PAGEREF _Toc220152244 \h </w:instrText>
        </w:r>
        <w:r w:rsidRPr="00BE2DA0">
          <w:rPr>
            <w:noProof/>
            <w:webHidden/>
          </w:rPr>
        </w:r>
        <w:r w:rsidRPr="00BE2DA0">
          <w:rPr>
            <w:noProof/>
            <w:webHidden/>
          </w:rPr>
          <w:fldChar w:fldCharType="separate"/>
        </w:r>
        <w:r w:rsidR="005D0832">
          <w:rPr>
            <w:noProof/>
            <w:webHidden/>
          </w:rPr>
          <w:t>74</w:t>
        </w:r>
        <w:r w:rsidRPr="00BE2DA0">
          <w:rPr>
            <w:noProof/>
            <w:webHidden/>
          </w:rPr>
          <w:fldChar w:fldCharType="end"/>
        </w:r>
      </w:hyperlink>
    </w:p>
    <w:p w14:paraId="4370D2AE" w14:textId="6CBEC65B" w:rsidR="00731DF2" w:rsidRPr="00BE2DA0" w:rsidRDefault="00731DF2" w:rsidP="00BE2DA0">
      <w:pPr>
        <w:pStyle w:val="TOC3"/>
        <w:tabs>
          <w:tab w:val="right" w:leader="dot" w:pos="9016"/>
        </w:tabs>
        <w:spacing w:after="0" w:line="360" w:lineRule="auto"/>
        <w:rPr>
          <w:rFonts w:eastAsiaTheme="minorEastAsia"/>
          <w:noProof/>
          <w:kern w:val="2"/>
          <w14:ligatures w14:val="standardContextual"/>
        </w:rPr>
      </w:pPr>
      <w:hyperlink w:anchor="_Toc220152245" w:history="1">
        <w:r w:rsidRPr="00BE2DA0">
          <w:rPr>
            <w:rStyle w:val="Hyperlink"/>
            <w:noProof/>
          </w:rPr>
          <w:t>6.5.3 Recommendations for Future Research</w:t>
        </w:r>
        <w:r w:rsidRPr="00BE2DA0">
          <w:rPr>
            <w:noProof/>
            <w:webHidden/>
          </w:rPr>
          <w:tab/>
        </w:r>
        <w:r w:rsidRPr="00BE2DA0">
          <w:rPr>
            <w:noProof/>
            <w:webHidden/>
          </w:rPr>
          <w:fldChar w:fldCharType="begin"/>
        </w:r>
        <w:r w:rsidRPr="00BE2DA0">
          <w:rPr>
            <w:noProof/>
            <w:webHidden/>
          </w:rPr>
          <w:instrText xml:space="preserve"> PAGEREF _Toc220152245 \h </w:instrText>
        </w:r>
        <w:r w:rsidRPr="00BE2DA0">
          <w:rPr>
            <w:noProof/>
            <w:webHidden/>
          </w:rPr>
        </w:r>
        <w:r w:rsidRPr="00BE2DA0">
          <w:rPr>
            <w:noProof/>
            <w:webHidden/>
          </w:rPr>
          <w:fldChar w:fldCharType="separate"/>
        </w:r>
        <w:r w:rsidR="005D0832">
          <w:rPr>
            <w:noProof/>
            <w:webHidden/>
          </w:rPr>
          <w:t>75</w:t>
        </w:r>
        <w:r w:rsidRPr="00BE2DA0">
          <w:rPr>
            <w:noProof/>
            <w:webHidden/>
          </w:rPr>
          <w:fldChar w:fldCharType="end"/>
        </w:r>
      </w:hyperlink>
    </w:p>
    <w:p w14:paraId="5A4F27EA" w14:textId="23AFDC30" w:rsidR="00731DF2" w:rsidRPr="00BE2DA0" w:rsidRDefault="00731DF2" w:rsidP="00BE2DA0">
      <w:pPr>
        <w:pStyle w:val="TOC2"/>
        <w:rPr>
          <w:rFonts w:eastAsiaTheme="minorEastAsia"/>
          <w:noProof/>
          <w:kern w:val="2"/>
          <w14:ligatures w14:val="standardContextual"/>
        </w:rPr>
      </w:pPr>
      <w:hyperlink w:anchor="_Toc220152246" w:history="1">
        <w:r w:rsidRPr="00BE2DA0">
          <w:rPr>
            <w:rStyle w:val="Hyperlink"/>
            <w:noProof/>
          </w:rPr>
          <w:t>6.6 Reflections on the Research Process</w:t>
        </w:r>
        <w:r w:rsidRPr="00BE2DA0">
          <w:rPr>
            <w:noProof/>
            <w:webHidden/>
          </w:rPr>
          <w:tab/>
        </w:r>
        <w:r w:rsidRPr="00BE2DA0">
          <w:rPr>
            <w:noProof/>
            <w:webHidden/>
          </w:rPr>
          <w:fldChar w:fldCharType="begin"/>
        </w:r>
        <w:r w:rsidRPr="00BE2DA0">
          <w:rPr>
            <w:noProof/>
            <w:webHidden/>
          </w:rPr>
          <w:instrText xml:space="preserve"> PAGEREF _Toc220152246 \h </w:instrText>
        </w:r>
        <w:r w:rsidRPr="00BE2DA0">
          <w:rPr>
            <w:noProof/>
            <w:webHidden/>
          </w:rPr>
        </w:r>
        <w:r w:rsidRPr="00BE2DA0">
          <w:rPr>
            <w:noProof/>
            <w:webHidden/>
          </w:rPr>
          <w:fldChar w:fldCharType="separate"/>
        </w:r>
        <w:r w:rsidR="005D0832">
          <w:rPr>
            <w:noProof/>
            <w:webHidden/>
          </w:rPr>
          <w:t>76</w:t>
        </w:r>
        <w:r w:rsidRPr="00BE2DA0">
          <w:rPr>
            <w:noProof/>
            <w:webHidden/>
          </w:rPr>
          <w:fldChar w:fldCharType="end"/>
        </w:r>
      </w:hyperlink>
    </w:p>
    <w:p w14:paraId="29BB1985" w14:textId="6D1926BB" w:rsidR="00731DF2" w:rsidRPr="00BE2DA0" w:rsidRDefault="00731DF2" w:rsidP="00BE2DA0">
      <w:pPr>
        <w:pStyle w:val="TOC2"/>
        <w:rPr>
          <w:noProof/>
        </w:rPr>
      </w:pPr>
      <w:hyperlink w:anchor="_Toc220152247" w:history="1">
        <w:r w:rsidRPr="00BE2DA0">
          <w:rPr>
            <w:rStyle w:val="Hyperlink"/>
            <w:noProof/>
          </w:rPr>
          <w:t>6.7 Concluding Statement</w:t>
        </w:r>
        <w:r w:rsidRPr="00BE2DA0">
          <w:rPr>
            <w:noProof/>
            <w:webHidden/>
          </w:rPr>
          <w:tab/>
        </w:r>
        <w:r w:rsidRPr="00BE2DA0">
          <w:rPr>
            <w:noProof/>
            <w:webHidden/>
          </w:rPr>
          <w:fldChar w:fldCharType="begin"/>
        </w:r>
        <w:r w:rsidRPr="00BE2DA0">
          <w:rPr>
            <w:noProof/>
            <w:webHidden/>
          </w:rPr>
          <w:instrText xml:space="preserve"> PAGEREF _Toc220152247 \h </w:instrText>
        </w:r>
        <w:r w:rsidRPr="00BE2DA0">
          <w:rPr>
            <w:noProof/>
            <w:webHidden/>
          </w:rPr>
        </w:r>
        <w:r w:rsidRPr="00BE2DA0">
          <w:rPr>
            <w:noProof/>
            <w:webHidden/>
          </w:rPr>
          <w:fldChar w:fldCharType="separate"/>
        </w:r>
        <w:r w:rsidR="005D0832">
          <w:rPr>
            <w:noProof/>
            <w:webHidden/>
          </w:rPr>
          <w:t>76</w:t>
        </w:r>
        <w:r w:rsidRPr="00BE2DA0">
          <w:rPr>
            <w:noProof/>
            <w:webHidden/>
          </w:rPr>
          <w:fldChar w:fldCharType="end"/>
        </w:r>
      </w:hyperlink>
    </w:p>
    <w:p w14:paraId="08425E69" w14:textId="472FFD24" w:rsidR="00BE2DA0" w:rsidRPr="00BE2DA0" w:rsidRDefault="00BE2DA0" w:rsidP="00BE2DA0">
      <w:pPr>
        <w:spacing w:line="360" w:lineRule="auto"/>
        <w:rPr>
          <w:noProof/>
        </w:rPr>
      </w:pPr>
      <w:r w:rsidRPr="00BE2DA0">
        <w:rPr>
          <w:noProof/>
        </w:rPr>
        <w:br w:type="page"/>
      </w:r>
    </w:p>
    <w:p w14:paraId="09CED12C" w14:textId="6C07E19A" w:rsidR="00731DF2" w:rsidRDefault="00731DF2" w:rsidP="00861778">
      <w:pPr>
        <w:pStyle w:val="TOC1"/>
      </w:pPr>
      <w:hyperlink w:anchor="_Toc220152248" w:history="1">
        <w:r w:rsidRPr="00BE2DA0">
          <w:rPr>
            <w:rStyle w:val="Hyperlink"/>
            <w:b/>
            <w:bCs/>
          </w:rPr>
          <w:t>Appendix A: Survey Questionnaire</w:t>
        </w:r>
        <w:r w:rsidRPr="00BE2DA0">
          <w:rPr>
            <w:webHidden/>
          </w:rPr>
          <w:tab/>
        </w:r>
        <w:r w:rsidRPr="00BE2DA0">
          <w:rPr>
            <w:webHidden/>
          </w:rPr>
          <w:fldChar w:fldCharType="begin"/>
        </w:r>
        <w:r w:rsidRPr="00BE2DA0">
          <w:rPr>
            <w:webHidden/>
          </w:rPr>
          <w:instrText xml:space="preserve"> PAGEREF _Toc220152248 \h </w:instrText>
        </w:r>
        <w:r w:rsidRPr="00BE2DA0">
          <w:rPr>
            <w:webHidden/>
          </w:rPr>
        </w:r>
        <w:r w:rsidRPr="00BE2DA0">
          <w:rPr>
            <w:webHidden/>
          </w:rPr>
          <w:fldChar w:fldCharType="separate"/>
        </w:r>
        <w:r w:rsidR="005D0832">
          <w:rPr>
            <w:webHidden/>
          </w:rPr>
          <w:t>84</w:t>
        </w:r>
        <w:r w:rsidRPr="00BE2DA0">
          <w:rPr>
            <w:webHidden/>
          </w:rPr>
          <w:fldChar w:fldCharType="end"/>
        </w:r>
      </w:hyperlink>
    </w:p>
    <w:p w14:paraId="6D39E67A" w14:textId="77777777" w:rsidR="00861778" w:rsidRPr="00861778" w:rsidRDefault="00861778" w:rsidP="00861778">
      <w:pPr>
        <w:rPr>
          <w:noProof/>
        </w:rPr>
      </w:pPr>
    </w:p>
    <w:p w14:paraId="5E3B2DE5" w14:textId="3C88BA88" w:rsidR="00731DF2" w:rsidRPr="00BE2DA0" w:rsidRDefault="00731DF2" w:rsidP="00BE2DA0">
      <w:pPr>
        <w:pStyle w:val="TOC2"/>
        <w:rPr>
          <w:rFonts w:eastAsiaTheme="minorEastAsia"/>
          <w:noProof/>
          <w:kern w:val="2"/>
          <w14:ligatures w14:val="standardContextual"/>
        </w:rPr>
      </w:pPr>
      <w:hyperlink w:anchor="_Toc220152249" w:history="1">
        <w:r w:rsidRPr="00BE2DA0">
          <w:rPr>
            <w:rStyle w:val="Hyperlink"/>
            <w:noProof/>
          </w:rPr>
          <w:t>Purpose</w:t>
        </w:r>
        <w:r w:rsidRPr="00BE2DA0">
          <w:rPr>
            <w:noProof/>
            <w:webHidden/>
          </w:rPr>
          <w:tab/>
        </w:r>
        <w:r w:rsidRPr="00BE2DA0">
          <w:rPr>
            <w:noProof/>
            <w:webHidden/>
          </w:rPr>
          <w:fldChar w:fldCharType="begin"/>
        </w:r>
        <w:r w:rsidRPr="00BE2DA0">
          <w:rPr>
            <w:noProof/>
            <w:webHidden/>
          </w:rPr>
          <w:instrText xml:space="preserve"> PAGEREF _Toc220152249 \h </w:instrText>
        </w:r>
        <w:r w:rsidRPr="00BE2DA0">
          <w:rPr>
            <w:noProof/>
            <w:webHidden/>
          </w:rPr>
        </w:r>
        <w:r w:rsidRPr="00BE2DA0">
          <w:rPr>
            <w:noProof/>
            <w:webHidden/>
          </w:rPr>
          <w:fldChar w:fldCharType="separate"/>
        </w:r>
        <w:r w:rsidR="005D0832">
          <w:rPr>
            <w:noProof/>
            <w:webHidden/>
          </w:rPr>
          <w:t>84</w:t>
        </w:r>
        <w:r w:rsidRPr="00BE2DA0">
          <w:rPr>
            <w:noProof/>
            <w:webHidden/>
          </w:rPr>
          <w:fldChar w:fldCharType="end"/>
        </w:r>
      </w:hyperlink>
    </w:p>
    <w:p w14:paraId="1F5C8AC7" w14:textId="779FF847" w:rsidR="00731DF2" w:rsidRPr="00BE2DA0" w:rsidRDefault="00731DF2" w:rsidP="00BE2DA0">
      <w:pPr>
        <w:pStyle w:val="TOC2"/>
        <w:rPr>
          <w:rFonts w:eastAsiaTheme="minorEastAsia"/>
          <w:noProof/>
          <w:kern w:val="2"/>
          <w14:ligatures w14:val="standardContextual"/>
        </w:rPr>
      </w:pPr>
      <w:hyperlink w:anchor="_Toc220152250" w:history="1">
        <w:r w:rsidRPr="00BE2DA0">
          <w:rPr>
            <w:rStyle w:val="Hyperlink"/>
            <w:noProof/>
          </w:rPr>
          <w:t>Target Participants</w:t>
        </w:r>
        <w:r w:rsidRPr="00BE2DA0">
          <w:rPr>
            <w:noProof/>
            <w:webHidden/>
          </w:rPr>
          <w:tab/>
        </w:r>
        <w:r w:rsidRPr="00BE2DA0">
          <w:rPr>
            <w:noProof/>
            <w:webHidden/>
          </w:rPr>
          <w:fldChar w:fldCharType="begin"/>
        </w:r>
        <w:r w:rsidRPr="00BE2DA0">
          <w:rPr>
            <w:noProof/>
            <w:webHidden/>
          </w:rPr>
          <w:instrText xml:space="preserve"> PAGEREF _Toc220152250 \h </w:instrText>
        </w:r>
        <w:r w:rsidRPr="00BE2DA0">
          <w:rPr>
            <w:noProof/>
            <w:webHidden/>
          </w:rPr>
        </w:r>
        <w:r w:rsidRPr="00BE2DA0">
          <w:rPr>
            <w:noProof/>
            <w:webHidden/>
          </w:rPr>
          <w:fldChar w:fldCharType="separate"/>
        </w:r>
        <w:r w:rsidR="005D0832">
          <w:rPr>
            <w:noProof/>
            <w:webHidden/>
          </w:rPr>
          <w:t>84</w:t>
        </w:r>
        <w:r w:rsidRPr="00BE2DA0">
          <w:rPr>
            <w:noProof/>
            <w:webHidden/>
          </w:rPr>
          <w:fldChar w:fldCharType="end"/>
        </w:r>
      </w:hyperlink>
    </w:p>
    <w:p w14:paraId="3C44ACF0" w14:textId="2F7EC05C" w:rsidR="00731DF2" w:rsidRPr="00BE2DA0" w:rsidRDefault="00731DF2" w:rsidP="00BE2DA0">
      <w:pPr>
        <w:pStyle w:val="TOC2"/>
        <w:rPr>
          <w:rFonts w:eastAsiaTheme="minorEastAsia"/>
          <w:noProof/>
          <w:kern w:val="2"/>
          <w14:ligatures w14:val="standardContextual"/>
        </w:rPr>
      </w:pPr>
      <w:hyperlink w:anchor="_Toc220152251" w:history="1">
        <w:r w:rsidRPr="00BE2DA0">
          <w:rPr>
            <w:rStyle w:val="Hyperlink"/>
            <w:noProof/>
          </w:rPr>
          <w:t>Format</w:t>
        </w:r>
        <w:r w:rsidRPr="00BE2DA0">
          <w:rPr>
            <w:noProof/>
            <w:webHidden/>
          </w:rPr>
          <w:tab/>
        </w:r>
        <w:r w:rsidRPr="00BE2DA0">
          <w:rPr>
            <w:noProof/>
            <w:webHidden/>
          </w:rPr>
          <w:fldChar w:fldCharType="begin"/>
        </w:r>
        <w:r w:rsidRPr="00BE2DA0">
          <w:rPr>
            <w:noProof/>
            <w:webHidden/>
          </w:rPr>
          <w:instrText xml:space="preserve"> PAGEREF _Toc220152251 \h </w:instrText>
        </w:r>
        <w:r w:rsidRPr="00BE2DA0">
          <w:rPr>
            <w:noProof/>
            <w:webHidden/>
          </w:rPr>
        </w:r>
        <w:r w:rsidRPr="00BE2DA0">
          <w:rPr>
            <w:noProof/>
            <w:webHidden/>
          </w:rPr>
          <w:fldChar w:fldCharType="separate"/>
        </w:r>
        <w:r w:rsidR="005D0832">
          <w:rPr>
            <w:noProof/>
            <w:webHidden/>
          </w:rPr>
          <w:t>84</w:t>
        </w:r>
        <w:r w:rsidRPr="00BE2DA0">
          <w:rPr>
            <w:noProof/>
            <w:webHidden/>
          </w:rPr>
          <w:fldChar w:fldCharType="end"/>
        </w:r>
      </w:hyperlink>
    </w:p>
    <w:p w14:paraId="31AB5951" w14:textId="05C262A4" w:rsidR="00731DF2" w:rsidRPr="00BE2DA0" w:rsidRDefault="00731DF2" w:rsidP="00BE2DA0">
      <w:pPr>
        <w:pStyle w:val="TOC2"/>
        <w:rPr>
          <w:rFonts w:eastAsiaTheme="minorEastAsia"/>
          <w:noProof/>
          <w:kern w:val="2"/>
          <w14:ligatures w14:val="standardContextual"/>
        </w:rPr>
      </w:pPr>
      <w:hyperlink w:anchor="_Toc220152252" w:history="1">
        <w:r w:rsidRPr="00BE2DA0">
          <w:rPr>
            <w:rStyle w:val="Hyperlink"/>
            <w:noProof/>
          </w:rPr>
          <w:t>Section 1: Professional Context</w:t>
        </w:r>
        <w:r w:rsidRPr="00BE2DA0">
          <w:rPr>
            <w:noProof/>
            <w:webHidden/>
          </w:rPr>
          <w:tab/>
        </w:r>
        <w:r w:rsidRPr="00BE2DA0">
          <w:rPr>
            <w:noProof/>
            <w:webHidden/>
          </w:rPr>
          <w:fldChar w:fldCharType="begin"/>
        </w:r>
        <w:r w:rsidRPr="00BE2DA0">
          <w:rPr>
            <w:noProof/>
            <w:webHidden/>
          </w:rPr>
          <w:instrText xml:space="preserve"> PAGEREF _Toc220152252 \h </w:instrText>
        </w:r>
        <w:r w:rsidRPr="00BE2DA0">
          <w:rPr>
            <w:noProof/>
            <w:webHidden/>
          </w:rPr>
        </w:r>
        <w:r w:rsidRPr="00BE2DA0">
          <w:rPr>
            <w:noProof/>
            <w:webHidden/>
          </w:rPr>
          <w:fldChar w:fldCharType="separate"/>
        </w:r>
        <w:r w:rsidR="005D0832">
          <w:rPr>
            <w:noProof/>
            <w:webHidden/>
          </w:rPr>
          <w:t>84</w:t>
        </w:r>
        <w:r w:rsidRPr="00BE2DA0">
          <w:rPr>
            <w:noProof/>
            <w:webHidden/>
          </w:rPr>
          <w:fldChar w:fldCharType="end"/>
        </w:r>
      </w:hyperlink>
    </w:p>
    <w:p w14:paraId="158E4202" w14:textId="7C232ACA" w:rsidR="00731DF2" w:rsidRPr="00BE2DA0" w:rsidRDefault="00731DF2" w:rsidP="00BE2DA0">
      <w:pPr>
        <w:pStyle w:val="TOC2"/>
        <w:rPr>
          <w:rFonts w:eastAsiaTheme="minorEastAsia"/>
          <w:noProof/>
          <w:kern w:val="2"/>
          <w14:ligatures w14:val="standardContextual"/>
        </w:rPr>
      </w:pPr>
      <w:hyperlink w:anchor="_Toc220152253" w:history="1">
        <w:r w:rsidRPr="00BE2DA0">
          <w:rPr>
            <w:rStyle w:val="Hyperlink"/>
            <w:noProof/>
          </w:rPr>
          <w:t>Section 2: Familiarity and Adoption</w:t>
        </w:r>
        <w:r w:rsidRPr="00BE2DA0">
          <w:rPr>
            <w:noProof/>
            <w:webHidden/>
          </w:rPr>
          <w:tab/>
        </w:r>
        <w:r w:rsidRPr="00BE2DA0">
          <w:rPr>
            <w:noProof/>
            <w:webHidden/>
          </w:rPr>
          <w:fldChar w:fldCharType="begin"/>
        </w:r>
        <w:r w:rsidRPr="00BE2DA0">
          <w:rPr>
            <w:noProof/>
            <w:webHidden/>
          </w:rPr>
          <w:instrText xml:space="preserve"> PAGEREF _Toc220152253 \h </w:instrText>
        </w:r>
        <w:r w:rsidRPr="00BE2DA0">
          <w:rPr>
            <w:noProof/>
            <w:webHidden/>
          </w:rPr>
        </w:r>
        <w:r w:rsidRPr="00BE2DA0">
          <w:rPr>
            <w:noProof/>
            <w:webHidden/>
          </w:rPr>
          <w:fldChar w:fldCharType="separate"/>
        </w:r>
        <w:r w:rsidR="005D0832">
          <w:rPr>
            <w:noProof/>
            <w:webHidden/>
          </w:rPr>
          <w:t>84</w:t>
        </w:r>
        <w:r w:rsidRPr="00BE2DA0">
          <w:rPr>
            <w:noProof/>
            <w:webHidden/>
          </w:rPr>
          <w:fldChar w:fldCharType="end"/>
        </w:r>
      </w:hyperlink>
    </w:p>
    <w:p w14:paraId="0D870871" w14:textId="304EFBA0" w:rsidR="00731DF2" w:rsidRPr="00BE2DA0" w:rsidRDefault="00731DF2" w:rsidP="00BE2DA0">
      <w:pPr>
        <w:pStyle w:val="TOC2"/>
        <w:rPr>
          <w:rFonts w:eastAsiaTheme="minorEastAsia"/>
          <w:noProof/>
          <w:kern w:val="2"/>
          <w14:ligatures w14:val="standardContextual"/>
        </w:rPr>
      </w:pPr>
      <w:hyperlink w:anchor="_Toc220152254" w:history="1">
        <w:r w:rsidRPr="00BE2DA0">
          <w:rPr>
            <w:rStyle w:val="Hyperlink"/>
            <w:noProof/>
          </w:rPr>
          <w:t>Section 3: Perceived Benefits</w:t>
        </w:r>
        <w:r w:rsidRPr="00BE2DA0">
          <w:rPr>
            <w:noProof/>
            <w:webHidden/>
          </w:rPr>
          <w:tab/>
        </w:r>
        <w:r w:rsidRPr="00BE2DA0">
          <w:rPr>
            <w:noProof/>
            <w:webHidden/>
          </w:rPr>
          <w:fldChar w:fldCharType="begin"/>
        </w:r>
        <w:r w:rsidRPr="00BE2DA0">
          <w:rPr>
            <w:noProof/>
            <w:webHidden/>
          </w:rPr>
          <w:instrText xml:space="preserve"> PAGEREF _Toc220152254 \h </w:instrText>
        </w:r>
        <w:r w:rsidRPr="00BE2DA0">
          <w:rPr>
            <w:noProof/>
            <w:webHidden/>
          </w:rPr>
        </w:r>
        <w:r w:rsidRPr="00BE2DA0">
          <w:rPr>
            <w:noProof/>
            <w:webHidden/>
          </w:rPr>
          <w:fldChar w:fldCharType="separate"/>
        </w:r>
        <w:r w:rsidR="005D0832">
          <w:rPr>
            <w:noProof/>
            <w:webHidden/>
          </w:rPr>
          <w:t>85</w:t>
        </w:r>
        <w:r w:rsidRPr="00BE2DA0">
          <w:rPr>
            <w:noProof/>
            <w:webHidden/>
          </w:rPr>
          <w:fldChar w:fldCharType="end"/>
        </w:r>
      </w:hyperlink>
    </w:p>
    <w:p w14:paraId="105B95FE" w14:textId="49C47FFE" w:rsidR="00731DF2" w:rsidRPr="00BE2DA0" w:rsidRDefault="00731DF2" w:rsidP="00BE2DA0">
      <w:pPr>
        <w:pStyle w:val="TOC2"/>
        <w:rPr>
          <w:rFonts w:eastAsiaTheme="minorEastAsia"/>
          <w:noProof/>
          <w:kern w:val="2"/>
          <w14:ligatures w14:val="standardContextual"/>
        </w:rPr>
      </w:pPr>
      <w:hyperlink w:anchor="_Toc220152255" w:history="1">
        <w:r w:rsidRPr="00BE2DA0">
          <w:rPr>
            <w:rStyle w:val="Hyperlink"/>
            <w:noProof/>
          </w:rPr>
          <w:t>Section 4: Barriers and Readiness</w:t>
        </w:r>
        <w:r w:rsidRPr="00BE2DA0">
          <w:rPr>
            <w:noProof/>
            <w:webHidden/>
          </w:rPr>
          <w:tab/>
        </w:r>
        <w:r w:rsidRPr="00BE2DA0">
          <w:rPr>
            <w:noProof/>
            <w:webHidden/>
          </w:rPr>
          <w:fldChar w:fldCharType="begin"/>
        </w:r>
        <w:r w:rsidRPr="00BE2DA0">
          <w:rPr>
            <w:noProof/>
            <w:webHidden/>
          </w:rPr>
          <w:instrText xml:space="preserve"> PAGEREF _Toc220152255 \h </w:instrText>
        </w:r>
        <w:r w:rsidRPr="00BE2DA0">
          <w:rPr>
            <w:noProof/>
            <w:webHidden/>
          </w:rPr>
        </w:r>
        <w:r w:rsidRPr="00BE2DA0">
          <w:rPr>
            <w:noProof/>
            <w:webHidden/>
          </w:rPr>
          <w:fldChar w:fldCharType="separate"/>
        </w:r>
        <w:r w:rsidR="005D0832">
          <w:rPr>
            <w:noProof/>
            <w:webHidden/>
          </w:rPr>
          <w:t>85</w:t>
        </w:r>
        <w:r w:rsidRPr="00BE2DA0">
          <w:rPr>
            <w:noProof/>
            <w:webHidden/>
          </w:rPr>
          <w:fldChar w:fldCharType="end"/>
        </w:r>
      </w:hyperlink>
    </w:p>
    <w:p w14:paraId="2495FAEE" w14:textId="1EDDED43" w:rsidR="00731DF2" w:rsidRPr="00BE2DA0" w:rsidRDefault="00731DF2" w:rsidP="00BE2DA0">
      <w:pPr>
        <w:pStyle w:val="TOC2"/>
        <w:rPr>
          <w:rFonts w:eastAsiaTheme="minorEastAsia"/>
          <w:noProof/>
          <w:kern w:val="2"/>
          <w14:ligatures w14:val="standardContextual"/>
        </w:rPr>
      </w:pPr>
      <w:hyperlink w:anchor="_Toc220152256" w:history="1">
        <w:r w:rsidRPr="00BE2DA0">
          <w:rPr>
            <w:rStyle w:val="Hyperlink"/>
            <w:noProof/>
          </w:rPr>
          <w:t>Section 5: Sustainability and Policy Alignment</w:t>
        </w:r>
        <w:r w:rsidRPr="00BE2DA0">
          <w:rPr>
            <w:noProof/>
            <w:webHidden/>
          </w:rPr>
          <w:tab/>
        </w:r>
        <w:r w:rsidRPr="00BE2DA0">
          <w:rPr>
            <w:noProof/>
            <w:webHidden/>
          </w:rPr>
          <w:fldChar w:fldCharType="begin"/>
        </w:r>
        <w:r w:rsidRPr="00BE2DA0">
          <w:rPr>
            <w:noProof/>
            <w:webHidden/>
          </w:rPr>
          <w:instrText xml:space="preserve"> PAGEREF _Toc220152256 \h </w:instrText>
        </w:r>
        <w:r w:rsidRPr="00BE2DA0">
          <w:rPr>
            <w:noProof/>
            <w:webHidden/>
          </w:rPr>
        </w:r>
        <w:r w:rsidRPr="00BE2DA0">
          <w:rPr>
            <w:noProof/>
            <w:webHidden/>
          </w:rPr>
          <w:fldChar w:fldCharType="separate"/>
        </w:r>
        <w:r w:rsidR="005D0832">
          <w:rPr>
            <w:noProof/>
            <w:webHidden/>
          </w:rPr>
          <w:t>85</w:t>
        </w:r>
        <w:r w:rsidRPr="00BE2DA0">
          <w:rPr>
            <w:noProof/>
            <w:webHidden/>
          </w:rPr>
          <w:fldChar w:fldCharType="end"/>
        </w:r>
      </w:hyperlink>
    </w:p>
    <w:p w14:paraId="28C84525" w14:textId="6634DBC8" w:rsidR="00731DF2" w:rsidRDefault="00731DF2" w:rsidP="00BE2DA0">
      <w:pPr>
        <w:pStyle w:val="TOC2"/>
        <w:rPr>
          <w:noProof/>
        </w:rPr>
      </w:pPr>
      <w:hyperlink w:anchor="_Toc220152257" w:history="1">
        <w:r w:rsidRPr="00BE2DA0">
          <w:rPr>
            <w:rStyle w:val="Hyperlink"/>
            <w:noProof/>
          </w:rPr>
          <w:t>Section 6: Demographics (Optional)</w:t>
        </w:r>
        <w:r w:rsidRPr="00BE2DA0">
          <w:rPr>
            <w:noProof/>
            <w:webHidden/>
          </w:rPr>
          <w:tab/>
        </w:r>
        <w:r w:rsidRPr="00BE2DA0">
          <w:rPr>
            <w:noProof/>
            <w:webHidden/>
          </w:rPr>
          <w:fldChar w:fldCharType="begin"/>
        </w:r>
        <w:r w:rsidRPr="00BE2DA0">
          <w:rPr>
            <w:noProof/>
            <w:webHidden/>
          </w:rPr>
          <w:instrText xml:space="preserve"> PAGEREF _Toc220152257 \h </w:instrText>
        </w:r>
        <w:r w:rsidRPr="00BE2DA0">
          <w:rPr>
            <w:noProof/>
            <w:webHidden/>
          </w:rPr>
        </w:r>
        <w:r w:rsidRPr="00BE2DA0">
          <w:rPr>
            <w:noProof/>
            <w:webHidden/>
          </w:rPr>
          <w:fldChar w:fldCharType="separate"/>
        </w:r>
        <w:r w:rsidR="005D0832">
          <w:rPr>
            <w:noProof/>
            <w:webHidden/>
          </w:rPr>
          <w:t>86</w:t>
        </w:r>
        <w:r w:rsidRPr="00BE2DA0">
          <w:rPr>
            <w:noProof/>
            <w:webHidden/>
          </w:rPr>
          <w:fldChar w:fldCharType="end"/>
        </w:r>
      </w:hyperlink>
    </w:p>
    <w:p w14:paraId="59DA5BE7" w14:textId="77777777" w:rsidR="00861778" w:rsidRPr="00861778" w:rsidRDefault="00861778" w:rsidP="00861778">
      <w:pPr>
        <w:rPr>
          <w:noProof/>
        </w:rPr>
      </w:pPr>
    </w:p>
    <w:p w14:paraId="26115743" w14:textId="7D17EC2B" w:rsidR="00731DF2" w:rsidRDefault="00731DF2" w:rsidP="00861778">
      <w:pPr>
        <w:pStyle w:val="TOC1"/>
      </w:pPr>
      <w:hyperlink w:anchor="_Toc220152258" w:history="1">
        <w:r w:rsidRPr="00BE2DA0">
          <w:rPr>
            <w:rStyle w:val="Hyperlink"/>
            <w:b/>
            <w:bCs/>
          </w:rPr>
          <w:t>Appendix B: Semi-Structured Interview Schedule</w:t>
        </w:r>
        <w:r w:rsidRPr="00BE2DA0">
          <w:rPr>
            <w:webHidden/>
          </w:rPr>
          <w:tab/>
        </w:r>
        <w:r w:rsidRPr="00BE2DA0">
          <w:rPr>
            <w:webHidden/>
          </w:rPr>
          <w:fldChar w:fldCharType="begin"/>
        </w:r>
        <w:r w:rsidRPr="00BE2DA0">
          <w:rPr>
            <w:webHidden/>
          </w:rPr>
          <w:instrText xml:space="preserve"> PAGEREF _Toc220152258 \h </w:instrText>
        </w:r>
        <w:r w:rsidRPr="00BE2DA0">
          <w:rPr>
            <w:webHidden/>
          </w:rPr>
        </w:r>
        <w:r w:rsidRPr="00BE2DA0">
          <w:rPr>
            <w:webHidden/>
          </w:rPr>
          <w:fldChar w:fldCharType="separate"/>
        </w:r>
        <w:r w:rsidR="005D0832">
          <w:rPr>
            <w:webHidden/>
          </w:rPr>
          <w:t>87</w:t>
        </w:r>
        <w:r w:rsidRPr="00BE2DA0">
          <w:rPr>
            <w:webHidden/>
          </w:rPr>
          <w:fldChar w:fldCharType="end"/>
        </w:r>
      </w:hyperlink>
    </w:p>
    <w:p w14:paraId="308F3C9C" w14:textId="77777777" w:rsidR="00861778" w:rsidRPr="00861778" w:rsidRDefault="00861778" w:rsidP="00861778">
      <w:pPr>
        <w:rPr>
          <w:noProof/>
        </w:rPr>
      </w:pPr>
    </w:p>
    <w:p w14:paraId="024D6F60" w14:textId="6660CA47" w:rsidR="00731DF2" w:rsidRPr="00BE2DA0" w:rsidRDefault="00731DF2" w:rsidP="00BE2DA0">
      <w:pPr>
        <w:pStyle w:val="TOC2"/>
        <w:rPr>
          <w:rFonts w:eastAsiaTheme="minorEastAsia"/>
          <w:noProof/>
          <w:kern w:val="2"/>
          <w14:ligatures w14:val="standardContextual"/>
        </w:rPr>
      </w:pPr>
      <w:hyperlink w:anchor="_Toc220152259" w:history="1">
        <w:r w:rsidRPr="00BE2DA0">
          <w:rPr>
            <w:rStyle w:val="Hyperlink"/>
            <w:noProof/>
          </w:rPr>
          <w:t>Purpose</w:t>
        </w:r>
        <w:r w:rsidRPr="00BE2DA0">
          <w:rPr>
            <w:noProof/>
            <w:webHidden/>
          </w:rPr>
          <w:tab/>
        </w:r>
        <w:r w:rsidRPr="00BE2DA0">
          <w:rPr>
            <w:noProof/>
            <w:webHidden/>
          </w:rPr>
          <w:fldChar w:fldCharType="begin"/>
        </w:r>
        <w:r w:rsidRPr="00BE2DA0">
          <w:rPr>
            <w:noProof/>
            <w:webHidden/>
          </w:rPr>
          <w:instrText xml:space="preserve"> PAGEREF _Toc220152259 \h </w:instrText>
        </w:r>
        <w:r w:rsidRPr="00BE2DA0">
          <w:rPr>
            <w:noProof/>
            <w:webHidden/>
          </w:rPr>
        </w:r>
        <w:r w:rsidRPr="00BE2DA0">
          <w:rPr>
            <w:noProof/>
            <w:webHidden/>
          </w:rPr>
          <w:fldChar w:fldCharType="separate"/>
        </w:r>
        <w:r w:rsidR="005D0832">
          <w:rPr>
            <w:noProof/>
            <w:webHidden/>
          </w:rPr>
          <w:t>87</w:t>
        </w:r>
        <w:r w:rsidRPr="00BE2DA0">
          <w:rPr>
            <w:noProof/>
            <w:webHidden/>
          </w:rPr>
          <w:fldChar w:fldCharType="end"/>
        </w:r>
      </w:hyperlink>
    </w:p>
    <w:p w14:paraId="6FB654AB" w14:textId="7D5C0E4C" w:rsidR="00731DF2" w:rsidRPr="00BE2DA0" w:rsidRDefault="00731DF2" w:rsidP="00BE2DA0">
      <w:pPr>
        <w:pStyle w:val="TOC2"/>
        <w:rPr>
          <w:rFonts w:eastAsiaTheme="minorEastAsia"/>
          <w:noProof/>
          <w:kern w:val="2"/>
          <w14:ligatures w14:val="standardContextual"/>
        </w:rPr>
      </w:pPr>
      <w:hyperlink w:anchor="_Toc220152260" w:history="1">
        <w:r w:rsidRPr="00BE2DA0">
          <w:rPr>
            <w:rStyle w:val="Hyperlink"/>
            <w:noProof/>
          </w:rPr>
          <w:t>Section A: Context and Background</w:t>
        </w:r>
        <w:r w:rsidRPr="00BE2DA0">
          <w:rPr>
            <w:noProof/>
            <w:webHidden/>
          </w:rPr>
          <w:tab/>
        </w:r>
        <w:r w:rsidRPr="00BE2DA0">
          <w:rPr>
            <w:noProof/>
            <w:webHidden/>
          </w:rPr>
          <w:fldChar w:fldCharType="begin"/>
        </w:r>
        <w:r w:rsidRPr="00BE2DA0">
          <w:rPr>
            <w:noProof/>
            <w:webHidden/>
          </w:rPr>
          <w:instrText xml:space="preserve"> PAGEREF _Toc220152260 \h </w:instrText>
        </w:r>
        <w:r w:rsidRPr="00BE2DA0">
          <w:rPr>
            <w:noProof/>
            <w:webHidden/>
          </w:rPr>
        </w:r>
        <w:r w:rsidRPr="00BE2DA0">
          <w:rPr>
            <w:noProof/>
            <w:webHidden/>
          </w:rPr>
          <w:fldChar w:fldCharType="separate"/>
        </w:r>
        <w:r w:rsidR="005D0832">
          <w:rPr>
            <w:noProof/>
            <w:webHidden/>
          </w:rPr>
          <w:t>87</w:t>
        </w:r>
        <w:r w:rsidRPr="00BE2DA0">
          <w:rPr>
            <w:noProof/>
            <w:webHidden/>
          </w:rPr>
          <w:fldChar w:fldCharType="end"/>
        </w:r>
      </w:hyperlink>
    </w:p>
    <w:p w14:paraId="40DB1710" w14:textId="6B9E810E" w:rsidR="00731DF2" w:rsidRPr="00BE2DA0" w:rsidRDefault="00731DF2" w:rsidP="00BE2DA0">
      <w:pPr>
        <w:pStyle w:val="TOC2"/>
        <w:rPr>
          <w:rFonts w:eastAsiaTheme="minorEastAsia"/>
          <w:noProof/>
          <w:kern w:val="2"/>
          <w14:ligatures w14:val="standardContextual"/>
        </w:rPr>
      </w:pPr>
      <w:hyperlink w:anchor="_Toc220152261" w:history="1">
        <w:r w:rsidRPr="00BE2DA0">
          <w:rPr>
            <w:rStyle w:val="Hyperlink"/>
            <w:noProof/>
          </w:rPr>
          <w:t>Section B: Adoption and Integration</w:t>
        </w:r>
        <w:r w:rsidRPr="00BE2DA0">
          <w:rPr>
            <w:noProof/>
            <w:webHidden/>
          </w:rPr>
          <w:tab/>
        </w:r>
        <w:r w:rsidRPr="00BE2DA0">
          <w:rPr>
            <w:noProof/>
            <w:webHidden/>
          </w:rPr>
          <w:fldChar w:fldCharType="begin"/>
        </w:r>
        <w:r w:rsidRPr="00BE2DA0">
          <w:rPr>
            <w:noProof/>
            <w:webHidden/>
          </w:rPr>
          <w:instrText xml:space="preserve"> PAGEREF _Toc220152261 \h </w:instrText>
        </w:r>
        <w:r w:rsidRPr="00BE2DA0">
          <w:rPr>
            <w:noProof/>
            <w:webHidden/>
          </w:rPr>
        </w:r>
        <w:r w:rsidRPr="00BE2DA0">
          <w:rPr>
            <w:noProof/>
            <w:webHidden/>
          </w:rPr>
          <w:fldChar w:fldCharType="separate"/>
        </w:r>
        <w:r w:rsidR="005D0832">
          <w:rPr>
            <w:noProof/>
            <w:webHidden/>
          </w:rPr>
          <w:t>87</w:t>
        </w:r>
        <w:r w:rsidRPr="00BE2DA0">
          <w:rPr>
            <w:noProof/>
            <w:webHidden/>
          </w:rPr>
          <w:fldChar w:fldCharType="end"/>
        </w:r>
      </w:hyperlink>
    </w:p>
    <w:p w14:paraId="3010A3CB" w14:textId="4C63B2FA" w:rsidR="00731DF2" w:rsidRPr="00BE2DA0" w:rsidRDefault="00731DF2" w:rsidP="00BE2DA0">
      <w:pPr>
        <w:pStyle w:val="TOC2"/>
        <w:rPr>
          <w:rFonts w:eastAsiaTheme="minorEastAsia"/>
          <w:noProof/>
          <w:kern w:val="2"/>
          <w14:ligatures w14:val="standardContextual"/>
        </w:rPr>
      </w:pPr>
      <w:hyperlink w:anchor="_Toc220152262" w:history="1">
        <w:r w:rsidRPr="00BE2DA0">
          <w:rPr>
            <w:rStyle w:val="Hyperlink"/>
            <w:noProof/>
          </w:rPr>
          <w:t>Section C: Governance, Skills, and Culture</w:t>
        </w:r>
        <w:r w:rsidRPr="00BE2DA0">
          <w:rPr>
            <w:noProof/>
            <w:webHidden/>
          </w:rPr>
          <w:tab/>
        </w:r>
        <w:r w:rsidRPr="00BE2DA0">
          <w:rPr>
            <w:noProof/>
            <w:webHidden/>
          </w:rPr>
          <w:fldChar w:fldCharType="begin"/>
        </w:r>
        <w:r w:rsidRPr="00BE2DA0">
          <w:rPr>
            <w:noProof/>
            <w:webHidden/>
          </w:rPr>
          <w:instrText xml:space="preserve"> PAGEREF _Toc220152262 \h </w:instrText>
        </w:r>
        <w:r w:rsidRPr="00BE2DA0">
          <w:rPr>
            <w:noProof/>
            <w:webHidden/>
          </w:rPr>
        </w:r>
        <w:r w:rsidRPr="00BE2DA0">
          <w:rPr>
            <w:noProof/>
            <w:webHidden/>
          </w:rPr>
          <w:fldChar w:fldCharType="separate"/>
        </w:r>
        <w:r w:rsidR="005D0832">
          <w:rPr>
            <w:noProof/>
            <w:webHidden/>
          </w:rPr>
          <w:t>87</w:t>
        </w:r>
        <w:r w:rsidRPr="00BE2DA0">
          <w:rPr>
            <w:noProof/>
            <w:webHidden/>
          </w:rPr>
          <w:fldChar w:fldCharType="end"/>
        </w:r>
      </w:hyperlink>
    </w:p>
    <w:p w14:paraId="09687A91" w14:textId="61A3D235" w:rsidR="00731DF2" w:rsidRPr="00BE2DA0" w:rsidRDefault="00731DF2" w:rsidP="00BE2DA0">
      <w:pPr>
        <w:pStyle w:val="TOC2"/>
        <w:rPr>
          <w:rFonts w:eastAsiaTheme="minorEastAsia"/>
          <w:noProof/>
          <w:kern w:val="2"/>
          <w14:ligatures w14:val="standardContextual"/>
        </w:rPr>
      </w:pPr>
      <w:hyperlink w:anchor="_Toc220152263" w:history="1">
        <w:r w:rsidRPr="00BE2DA0">
          <w:rPr>
            <w:rStyle w:val="Hyperlink"/>
            <w:noProof/>
          </w:rPr>
          <w:t>Section D: Sustainability and Value</w:t>
        </w:r>
        <w:r w:rsidRPr="00BE2DA0">
          <w:rPr>
            <w:noProof/>
            <w:webHidden/>
          </w:rPr>
          <w:tab/>
        </w:r>
        <w:r w:rsidRPr="00BE2DA0">
          <w:rPr>
            <w:noProof/>
            <w:webHidden/>
          </w:rPr>
          <w:fldChar w:fldCharType="begin"/>
        </w:r>
        <w:r w:rsidRPr="00BE2DA0">
          <w:rPr>
            <w:noProof/>
            <w:webHidden/>
          </w:rPr>
          <w:instrText xml:space="preserve"> PAGEREF _Toc220152263 \h </w:instrText>
        </w:r>
        <w:r w:rsidRPr="00BE2DA0">
          <w:rPr>
            <w:noProof/>
            <w:webHidden/>
          </w:rPr>
        </w:r>
        <w:r w:rsidRPr="00BE2DA0">
          <w:rPr>
            <w:noProof/>
            <w:webHidden/>
          </w:rPr>
          <w:fldChar w:fldCharType="separate"/>
        </w:r>
        <w:r w:rsidR="005D0832">
          <w:rPr>
            <w:noProof/>
            <w:webHidden/>
          </w:rPr>
          <w:t>88</w:t>
        </w:r>
        <w:r w:rsidRPr="00BE2DA0">
          <w:rPr>
            <w:noProof/>
            <w:webHidden/>
          </w:rPr>
          <w:fldChar w:fldCharType="end"/>
        </w:r>
      </w:hyperlink>
    </w:p>
    <w:p w14:paraId="0832BBA9" w14:textId="5F5299CE" w:rsidR="00731DF2" w:rsidRPr="00BE2DA0" w:rsidRDefault="00731DF2" w:rsidP="00BE2DA0">
      <w:pPr>
        <w:pStyle w:val="TOC2"/>
        <w:rPr>
          <w:rFonts w:eastAsiaTheme="minorEastAsia"/>
          <w:noProof/>
          <w:kern w:val="2"/>
          <w14:ligatures w14:val="standardContextual"/>
        </w:rPr>
      </w:pPr>
      <w:hyperlink w:anchor="_Toc220152264" w:history="1">
        <w:r w:rsidRPr="00BE2DA0">
          <w:rPr>
            <w:rStyle w:val="Hyperlink"/>
            <w:noProof/>
          </w:rPr>
          <w:t>Section E: Barriers and Future Outlook</w:t>
        </w:r>
        <w:r w:rsidRPr="00BE2DA0">
          <w:rPr>
            <w:noProof/>
            <w:webHidden/>
          </w:rPr>
          <w:tab/>
        </w:r>
        <w:r w:rsidRPr="00BE2DA0">
          <w:rPr>
            <w:noProof/>
            <w:webHidden/>
          </w:rPr>
          <w:fldChar w:fldCharType="begin"/>
        </w:r>
        <w:r w:rsidRPr="00BE2DA0">
          <w:rPr>
            <w:noProof/>
            <w:webHidden/>
          </w:rPr>
          <w:instrText xml:space="preserve"> PAGEREF _Toc220152264 \h </w:instrText>
        </w:r>
        <w:r w:rsidRPr="00BE2DA0">
          <w:rPr>
            <w:noProof/>
            <w:webHidden/>
          </w:rPr>
        </w:r>
        <w:r w:rsidRPr="00BE2DA0">
          <w:rPr>
            <w:noProof/>
            <w:webHidden/>
          </w:rPr>
          <w:fldChar w:fldCharType="separate"/>
        </w:r>
        <w:r w:rsidR="005D0832">
          <w:rPr>
            <w:noProof/>
            <w:webHidden/>
          </w:rPr>
          <w:t>88</w:t>
        </w:r>
        <w:r w:rsidRPr="00BE2DA0">
          <w:rPr>
            <w:noProof/>
            <w:webHidden/>
          </w:rPr>
          <w:fldChar w:fldCharType="end"/>
        </w:r>
      </w:hyperlink>
    </w:p>
    <w:p w14:paraId="1D55F19A" w14:textId="6D9C5D53" w:rsidR="00731DF2" w:rsidRDefault="00731DF2" w:rsidP="00BE2DA0">
      <w:pPr>
        <w:pStyle w:val="TOC2"/>
        <w:rPr>
          <w:noProof/>
        </w:rPr>
      </w:pPr>
      <w:hyperlink w:anchor="_Toc220152265" w:history="1">
        <w:r w:rsidRPr="00BE2DA0">
          <w:rPr>
            <w:rStyle w:val="Hyperlink"/>
            <w:noProof/>
          </w:rPr>
          <w:t>Closing</w:t>
        </w:r>
        <w:r w:rsidRPr="00BE2DA0">
          <w:rPr>
            <w:noProof/>
            <w:webHidden/>
          </w:rPr>
          <w:tab/>
        </w:r>
        <w:r w:rsidRPr="00BE2DA0">
          <w:rPr>
            <w:noProof/>
            <w:webHidden/>
          </w:rPr>
          <w:fldChar w:fldCharType="begin"/>
        </w:r>
        <w:r w:rsidRPr="00BE2DA0">
          <w:rPr>
            <w:noProof/>
            <w:webHidden/>
          </w:rPr>
          <w:instrText xml:space="preserve"> PAGEREF _Toc220152265 \h </w:instrText>
        </w:r>
        <w:r w:rsidRPr="00BE2DA0">
          <w:rPr>
            <w:noProof/>
            <w:webHidden/>
          </w:rPr>
        </w:r>
        <w:r w:rsidRPr="00BE2DA0">
          <w:rPr>
            <w:noProof/>
            <w:webHidden/>
          </w:rPr>
          <w:fldChar w:fldCharType="separate"/>
        </w:r>
        <w:r w:rsidR="005D0832">
          <w:rPr>
            <w:noProof/>
            <w:webHidden/>
          </w:rPr>
          <w:t>88</w:t>
        </w:r>
        <w:r w:rsidRPr="00BE2DA0">
          <w:rPr>
            <w:noProof/>
            <w:webHidden/>
          </w:rPr>
          <w:fldChar w:fldCharType="end"/>
        </w:r>
      </w:hyperlink>
    </w:p>
    <w:p w14:paraId="2FD4B994" w14:textId="77777777" w:rsidR="00861778" w:rsidRPr="00861778" w:rsidRDefault="00861778" w:rsidP="00861778">
      <w:pPr>
        <w:rPr>
          <w:noProof/>
        </w:rPr>
      </w:pPr>
    </w:p>
    <w:p w14:paraId="0522650F" w14:textId="4F327442" w:rsidR="00731DF2" w:rsidRDefault="00731DF2" w:rsidP="00861778">
      <w:pPr>
        <w:pStyle w:val="TOC1"/>
      </w:pPr>
      <w:hyperlink w:anchor="_Toc220152266" w:history="1">
        <w:r w:rsidRPr="00BE2DA0">
          <w:rPr>
            <w:rStyle w:val="Hyperlink"/>
            <w:b/>
            <w:bCs/>
          </w:rPr>
          <w:t>Appendix C: Participant Information and Consent</w:t>
        </w:r>
        <w:r w:rsidRPr="00BE2DA0">
          <w:rPr>
            <w:webHidden/>
          </w:rPr>
          <w:tab/>
        </w:r>
        <w:r w:rsidRPr="00BE2DA0">
          <w:rPr>
            <w:webHidden/>
          </w:rPr>
          <w:fldChar w:fldCharType="begin"/>
        </w:r>
        <w:r w:rsidRPr="00BE2DA0">
          <w:rPr>
            <w:webHidden/>
          </w:rPr>
          <w:instrText xml:space="preserve"> PAGEREF _Toc220152266 \h </w:instrText>
        </w:r>
        <w:r w:rsidRPr="00BE2DA0">
          <w:rPr>
            <w:webHidden/>
          </w:rPr>
        </w:r>
        <w:r w:rsidRPr="00BE2DA0">
          <w:rPr>
            <w:webHidden/>
          </w:rPr>
          <w:fldChar w:fldCharType="separate"/>
        </w:r>
        <w:r w:rsidR="005D0832">
          <w:rPr>
            <w:webHidden/>
          </w:rPr>
          <w:t>89</w:t>
        </w:r>
        <w:r w:rsidRPr="00BE2DA0">
          <w:rPr>
            <w:webHidden/>
          </w:rPr>
          <w:fldChar w:fldCharType="end"/>
        </w:r>
      </w:hyperlink>
    </w:p>
    <w:p w14:paraId="7A06D403" w14:textId="77777777" w:rsidR="00861778" w:rsidRPr="00861778" w:rsidRDefault="00861778" w:rsidP="00861778">
      <w:pPr>
        <w:rPr>
          <w:noProof/>
        </w:rPr>
      </w:pPr>
    </w:p>
    <w:p w14:paraId="138BA833" w14:textId="0E903F61" w:rsidR="00731DF2" w:rsidRPr="00BE2DA0" w:rsidRDefault="00731DF2" w:rsidP="00BE2DA0">
      <w:pPr>
        <w:pStyle w:val="TOC2"/>
        <w:rPr>
          <w:rFonts w:eastAsiaTheme="minorEastAsia"/>
          <w:noProof/>
          <w:kern w:val="2"/>
          <w14:ligatures w14:val="standardContextual"/>
        </w:rPr>
      </w:pPr>
      <w:hyperlink w:anchor="_Toc220152267" w:history="1">
        <w:r w:rsidRPr="00BE2DA0">
          <w:rPr>
            <w:rStyle w:val="Hyperlink"/>
            <w:noProof/>
          </w:rPr>
          <w:t>C.1 Survey Participation (LinkedIn Distribution)</w:t>
        </w:r>
        <w:r w:rsidRPr="00BE2DA0">
          <w:rPr>
            <w:noProof/>
            <w:webHidden/>
          </w:rPr>
          <w:tab/>
        </w:r>
        <w:r w:rsidRPr="00BE2DA0">
          <w:rPr>
            <w:noProof/>
            <w:webHidden/>
          </w:rPr>
          <w:fldChar w:fldCharType="begin"/>
        </w:r>
        <w:r w:rsidRPr="00BE2DA0">
          <w:rPr>
            <w:noProof/>
            <w:webHidden/>
          </w:rPr>
          <w:instrText xml:space="preserve"> PAGEREF _Toc220152267 \h </w:instrText>
        </w:r>
        <w:r w:rsidRPr="00BE2DA0">
          <w:rPr>
            <w:noProof/>
            <w:webHidden/>
          </w:rPr>
        </w:r>
        <w:r w:rsidRPr="00BE2DA0">
          <w:rPr>
            <w:noProof/>
            <w:webHidden/>
          </w:rPr>
          <w:fldChar w:fldCharType="separate"/>
        </w:r>
        <w:r w:rsidR="005D0832">
          <w:rPr>
            <w:noProof/>
            <w:webHidden/>
          </w:rPr>
          <w:t>89</w:t>
        </w:r>
        <w:r w:rsidRPr="00BE2DA0">
          <w:rPr>
            <w:noProof/>
            <w:webHidden/>
          </w:rPr>
          <w:fldChar w:fldCharType="end"/>
        </w:r>
      </w:hyperlink>
    </w:p>
    <w:p w14:paraId="6FC06565" w14:textId="7ACB1166" w:rsidR="00731DF2" w:rsidRPr="00BE2DA0" w:rsidRDefault="00731DF2" w:rsidP="00BE2DA0">
      <w:pPr>
        <w:pStyle w:val="TOC2"/>
        <w:rPr>
          <w:rFonts w:eastAsiaTheme="minorEastAsia"/>
          <w:noProof/>
          <w:kern w:val="2"/>
          <w14:ligatures w14:val="standardContextual"/>
        </w:rPr>
      </w:pPr>
      <w:hyperlink w:anchor="_Toc220152268" w:history="1">
        <w:r w:rsidRPr="00BE2DA0">
          <w:rPr>
            <w:rStyle w:val="Hyperlink"/>
            <w:noProof/>
          </w:rPr>
          <w:t>Survey Preamble Text</w:t>
        </w:r>
        <w:r w:rsidRPr="00BE2DA0">
          <w:rPr>
            <w:noProof/>
            <w:webHidden/>
          </w:rPr>
          <w:tab/>
        </w:r>
        <w:r w:rsidRPr="00BE2DA0">
          <w:rPr>
            <w:noProof/>
            <w:webHidden/>
          </w:rPr>
          <w:fldChar w:fldCharType="begin"/>
        </w:r>
        <w:r w:rsidRPr="00BE2DA0">
          <w:rPr>
            <w:noProof/>
            <w:webHidden/>
          </w:rPr>
          <w:instrText xml:space="preserve"> PAGEREF _Toc220152268 \h </w:instrText>
        </w:r>
        <w:r w:rsidRPr="00BE2DA0">
          <w:rPr>
            <w:noProof/>
            <w:webHidden/>
          </w:rPr>
        </w:r>
        <w:r w:rsidRPr="00BE2DA0">
          <w:rPr>
            <w:noProof/>
            <w:webHidden/>
          </w:rPr>
          <w:fldChar w:fldCharType="separate"/>
        </w:r>
        <w:r w:rsidR="005D0832">
          <w:rPr>
            <w:noProof/>
            <w:webHidden/>
          </w:rPr>
          <w:t>89</w:t>
        </w:r>
        <w:r w:rsidRPr="00BE2DA0">
          <w:rPr>
            <w:noProof/>
            <w:webHidden/>
          </w:rPr>
          <w:fldChar w:fldCharType="end"/>
        </w:r>
      </w:hyperlink>
    </w:p>
    <w:p w14:paraId="42FECEB9" w14:textId="4D8A7E06" w:rsidR="00731DF2" w:rsidRPr="00BE2DA0" w:rsidRDefault="00731DF2" w:rsidP="00BE2DA0">
      <w:pPr>
        <w:pStyle w:val="TOC2"/>
        <w:rPr>
          <w:rFonts w:eastAsiaTheme="minorEastAsia"/>
          <w:noProof/>
          <w:kern w:val="2"/>
          <w14:ligatures w14:val="standardContextual"/>
        </w:rPr>
      </w:pPr>
      <w:hyperlink w:anchor="_Toc220152269" w:history="1">
        <w:r w:rsidRPr="00BE2DA0">
          <w:rPr>
            <w:rStyle w:val="Hyperlink"/>
            <w:noProof/>
          </w:rPr>
          <w:t>C.2 Interview Participant Information and Consent</w:t>
        </w:r>
        <w:r w:rsidRPr="00BE2DA0">
          <w:rPr>
            <w:noProof/>
            <w:webHidden/>
          </w:rPr>
          <w:tab/>
        </w:r>
        <w:r w:rsidRPr="00BE2DA0">
          <w:rPr>
            <w:noProof/>
            <w:webHidden/>
          </w:rPr>
          <w:fldChar w:fldCharType="begin"/>
        </w:r>
        <w:r w:rsidRPr="00BE2DA0">
          <w:rPr>
            <w:noProof/>
            <w:webHidden/>
          </w:rPr>
          <w:instrText xml:space="preserve"> PAGEREF _Toc220152269 \h </w:instrText>
        </w:r>
        <w:r w:rsidRPr="00BE2DA0">
          <w:rPr>
            <w:noProof/>
            <w:webHidden/>
          </w:rPr>
        </w:r>
        <w:r w:rsidRPr="00BE2DA0">
          <w:rPr>
            <w:noProof/>
            <w:webHidden/>
          </w:rPr>
          <w:fldChar w:fldCharType="separate"/>
        </w:r>
        <w:r w:rsidR="005D0832">
          <w:rPr>
            <w:noProof/>
            <w:webHidden/>
          </w:rPr>
          <w:t>89</w:t>
        </w:r>
        <w:r w:rsidRPr="00BE2DA0">
          <w:rPr>
            <w:noProof/>
            <w:webHidden/>
          </w:rPr>
          <w:fldChar w:fldCharType="end"/>
        </w:r>
      </w:hyperlink>
    </w:p>
    <w:p w14:paraId="444D72F0" w14:textId="3B38FE83" w:rsidR="00731DF2" w:rsidRDefault="00731DF2" w:rsidP="00BE2DA0">
      <w:pPr>
        <w:pStyle w:val="TOC2"/>
        <w:rPr>
          <w:noProof/>
        </w:rPr>
      </w:pPr>
      <w:hyperlink w:anchor="_Toc220152270" w:history="1">
        <w:r w:rsidRPr="00BE2DA0">
          <w:rPr>
            <w:rStyle w:val="Hyperlink"/>
            <w:noProof/>
          </w:rPr>
          <w:t>Interview Consent Statement</w:t>
        </w:r>
        <w:r w:rsidRPr="00BE2DA0">
          <w:rPr>
            <w:noProof/>
            <w:webHidden/>
          </w:rPr>
          <w:tab/>
        </w:r>
        <w:r w:rsidRPr="00BE2DA0">
          <w:rPr>
            <w:noProof/>
            <w:webHidden/>
          </w:rPr>
          <w:fldChar w:fldCharType="begin"/>
        </w:r>
        <w:r w:rsidRPr="00BE2DA0">
          <w:rPr>
            <w:noProof/>
            <w:webHidden/>
          </w:rPr>
          <w:instrText xml:space="preserve"> PAGEREF _Toc220152270 \h </w:instrText>
        </w:r>
        <w:r w:rsidRPr="00BE2DA0">
          <w:rPr>
            <w:noProof/>
            <w:webHidden/>
          </w:rPr>
        </w:r>
        <w:r w:rsidRPr="00BE2DA0">
          <w:rPr>
            <w:noProof/>
            <w:webHidden/>
          </w:rPr>
          <w:fldChar w:fldCharType="separate"/>
        </w:r>
        <w:r w:rsidR="005D0832">
          <w:rPr>
            <w:noProof/>
            <w:webHidden/>
          </w:rPr>
          <w:t>90</w:t>
        </w:r>
        <w:r w:rsidRPr="00BE2DA0">
          <w:rPr>
            <w:noProof/>
            <w:webHidden/>
          </w:rPr>
          <w:fldChar w:fldCharType="end"/>
        </w:r>
      </w:hyperlink>
    </w:p>
    <w:p w14:paraId="4914F3EA" w14:textId="77777777" w:rsidR="00861778" w:rsidRPr="00861778" w:rsidRDefault="00861778" w:rsidP="00861778">
      <w:pPr>
        <w:rPr>
          <w:noProof/>
        </w:rPr>
      </w:pPr>
    </w:p>
    <w:p w14:paraId="6A3F31F5" w14:textId="58C3FED2" w:rsidR="00731DF2" w:rsidRDefault="00731DF2" w:rsidP="00861778">
      <w:pPr>
        <w:pStyle w:val="TOC1"/>
      </w:pPr>
      <w:hyperlink w:anchor="_Toc220152271" w:history="1">
        <w:r w:rsidRPr="00BE2DA0">
          <w:rPr>
            <w:rStyle w:val="Hyperlink"/>
            <w:b/>
            <w:bCs/>
          </w:rPr>
          <w:t>Appendix D: Systematic Literature Review Protocol</w:t>
        </w:r>
        <w:r w:rsidRPr="00BE2DA0">
          <w:rPr>
            <w:webHidden/>
          </w:rPr>
          <w:tab/>
        </w:r>
        <w:r w:rsidRPr="00BE2DA0">
          <w:rPr>
            <w:webHidden/>
          </w:rPr>
          <w:fldChar w:fldCharType="begin"/>
        </w:r>
        <w:r w:rsidRPr="00BE2DA0">
          <w:rPr>
            <w:webHidden/>
          </w:rPr>
          <w:instrText xml:space="preserve"> PAGEREF _Toc220152271 \h </w:instrText>
        </w:r>
        <w:r w:rsidRPr="00BE2DA0">
          <w:rPr>
            <w:webHidden/>
          </w:rPr>
        </w:r>
        <w:r w:rsidRPr="00BE2DA0">
          <w:rPr>
            <w:webHidden/>
          </w:rPr>
          <w:fldChar w:fldCharType="separate"/>
        </w:r>
        <w:r w:rsidR="005D0832">
          <w:rPr>
            <w:webHidden/>
          </w:rPr>
          <w:t>91</w:t>
        </w:r>
        <w:r w:rsidRPr="00BE2DA0">
          <w:rPr>
            <w:webHidden/>
          </w:rPr>
          <w:fldChar w:fldCharType="end"/>
        </w:r>
      </w:hyperlink>
    </w:p>
    <w:p w14:paraId="716C5DD5" w14:textId="77777777" w:rsidR="00861778" w:rsidRPr="00861778" w:rsidRDefault="00861778" w:rsidP="00861778">
      <w:pPr>
        <w:rPr>
          <w:noProof/>
        </w:rPr>
      </w:pPr>
    </w:p>
    <w:p w14:paraId="156C7CDE" w14:textId="58589422" w:rsidR="00731DF2" w:rsidRPr="00BE2DA0" w:rsidRDefault="00731DF2" w:rsidP="00BE2DA0">
      <w:pPr>
        <w:pStyle w:val="TOC2"/>
        <w:rPr>
          <w:rFonts w:eastAsiaTheme="minorEastAsia"/>
          <w:noProof/>
          <w:kern w:val="2"/>
          <w14:ligatures w14:val="standardContextual"/>
        </w:rPr>
      </w:pPr>
      <w:hyperlink w:anchor="_Toc220152272" w:history="1">
        <w:r w:rsidRPr="00BE2DA0">
          <w:rPr>
            <w:rStyle w:val="Hyperlink"/>
            <w:noProof/>
          </w:rPr>
          <w:t>D.1 Review Objective</w:t>
        </w:r>
        <w:r w:rsidRPr="00BE2DA0">
          <w:rPr>
            <w:noProof/>
            <w:webHidden/>
          </w:rPr>
          <w:tab/>
        </w:r>
        <w:r w:rsidRPr="00BE2DA0">
          <w:rPr>
            <w:noProof/>
            <w:webHidden/>
          </w:rPr>
          <w:fldChar w:fldCharType="begin"/>
        </w:r>
        <w:r w:rsidRPr="00BE2DA0">
          <w:rPr>
            <w:noProof/>
            <w:webHidden/>
          </w:rPr>
          <w:instrText xml:space="preserve"> PAGEREF _Toc220152272 \h </w:instrText>
        </w:r>
        <w:r w:rsidRPr="00BE2DA0">
          <w:rPr>
            <w:noProof/>
            <w:webHidden/>
          </w:rPr>
        </w:r>
        <w:r w:rsidRPr="00BE2DA0">
          <w:rPr>
            <w:noProof/>
            <w:webHidden/>
          </w:rPr>
          <w:fldChar w:fldCharType="separate"/>
        </w:r>
        <w:r w:rsidR="005D0832">
          <w:rPr>
            <w:noProof/>
            <w:webHidden/>
          </w:rPr>
          <w:t>91</w:t>
        </w:r>
        <w:r w:rsidRPr="00BE2DA0">
          <w:rPr>
            <w:noProof/>
            <w:webHidden/>
          </w:rPr>
          <w:fldChar w:fldCharType="end"/>
        </w:r>
      </w:hyperlink>
    </w:p>
    <w:p w14:paraId="7DFF0399" w14:textId="2D15033E" w:rsidR="00731DF2" w:rsidRPr="00BE2DA0" w:rsidRDefault="00731DF2" w:rsidP="00BE2DA0">
      <w:pPr>
        <w:pStyle w:val="TOC2"/>
        <w:rPr>
          <w:rFonts w:eastAsiaTheme="minorEastAsia"/>
          <w:noProof/>
          <w:kern w:val="2"/>
          <w14:ligatures w14:val="standardContextual"/>
        </w:rPr>
      </w:pPr>
      <w:hyperlink w:anchor="_Toc220152273" w:history="1">
        <w:r w:rsidRPr="00BE2DA0">
          <w:rPr>
            <w:rStyle w:val="Hyperlink"/>
            <w:noProof/>
          </w:rPr>
          <w:t>D.2 Search Strategy</w:t>
        </w:r>
        <w:r w:rsidRPr="00BE2DA0">
          <w:rPr>
            <w:noProof/>
            <w:webHidden/>
          </w:rPr>
          <w:tab/>
        </w:r>
        <w:r w:rsidRPr="00BE2DA0">
          <w:rPr>
            <w:noProof/>
            <w:webHidden/>
          </w:rPr>
          <w:fldChar w:fldCharType="begin"/>
        </w:r>
        <w:r w:rsidRPr="00BE2DA0">
          <w:rPr>
            <w:noProof/>
            <w:webHidden/>
          </w:rPr>
          <w:instrText xml:space="preserve"> PAGEREF _Toc220152273 \h </w:instrText>
        </w:r>
        <w:r w:rsidRPr="00BE2DA0">
          <w:rPr>
            <w:noProof/>
            <w:webHidden/>
          </w:rPr>
        </w:r>
        <w:r w:rsidRPr="00BE2DA0">
          <w:rPr>
            <w:noProof/>
            <w:webHidden/>
          </w:rPr>
          <w:fldChar w:fldCharType="separate"/>
        </w:r>
        <w:r w:rsidR="005D0832">
          <w:rPr>
            <w:noProof/>
            <w:webHidden/>
          </w:rPr>
          <w:t>91</w:t>
        </w:r>
        <w:r w:rsidRPr="00BE2DA0">
          <w:rPr>
            <w:noProof/>
            <w:webHidden/>
          </w:rPr>
          <w:fldChar w:fldCharType="end"/>
        </w:r>
      </w:hyperlink>
    </w:p>
    <w:p w14:paraId="3B39F234" w14:textId="56C3B8E5" w:rsidR="00731DF2" w:rsidRPr="00BE2DA0" w:rsidRDefault="00731DF2" w:rsidP="00BE2DA0">
      <w:pPr>
        <w:pStyle w:val="TOC2"/>
        <w:rPr>
          <w:rFonts w:eastAsiaTheme="minorEastAsia"/>
          <w:noProof/>
          <w:kern w:val="2"/>
          <w14:ligatures w14:val="standardContextual"/>
        </w:rPr>
      </w:pPr>
      <w:hyperlink w:anchor="_Toc220152274" w:history="1">
        <w:r w:rsidRPr="00BE2DA0">
          <w:rPr>
            <w:rStyle w:val="Hyperlink"/>
            <w:noProof/>
          </w:rPr>
          <w:t>D.3 Inclusion Criteria</w:t>
        </w:r>
        <w:r w:rsidRPr="00BE2DA0">
          <w:rPr>
            <w:noProof/>
            <w:webHidden/>
          </w:rPr>
          <w:tab/>
        </w:r>
        <w:r w:rsidRPr="00BE2DA0">
          <w:rPr>
            <w:noProof/>
            <w:webHidden/>
          </w:rPr>
          <w:fldChar w:fldCharType="begin"/>
        </w:r>
        <w:r w:rsidRPr="00BE2DA0">
          <w:rPr>
            <w:noProof/>
            <w:webHidden/>
          </w:rPr>
          <w:instrText xml:space="preserve"> PAGEREF _Toc220152274 \h </w:instrText>
        </w:r>
        <w:r w:rsidRPr="00BE2DA0">
          <w:rPr>
            <w:noProof/>
            <w:webHidden/>
          </w:rPr>
        </w:r>
        <w:r w:rsidRPr="00BE2DA0">
          <w:rPr>
            <w:noProof/>
            <w:webHidden/>
          </w:rPr>
          <w:fldChar w:fldCharType="separate"/>
        </w:r>
        <w:r w:rsidR="005D0832">
          <w:rPr>
            <w:noProof/>
            <w:webHidden/>
          </w:rPr>
          <w:t>91</w:t>
        </w:r>
        <w:r w:rsidRPr="00BE2DA0">
          <w:rPr>
            <w:noProof/>
            <w:webHidden/>
          </w:rPr>
          <w:fldChar w:fldCharType="end"/>
        </w:r>
      </w:hyperlink>
    </w:p>
    <w:p w14:paraId="390D84D7" w14:textId="77D4CFA3" w:rsidR="00731DF2" w:rsidRPr="00BE2DA0" w:rsidRDefault="00731DF2" w:rsidP="00BE2DA0">
      <w:pPr>
        <w:pStyle w:val="TOC2"/>
        <w:rPr>
          <w:rFonts w:eastAsiaTheme="minorEastAsia"/>
          <w:noProof/>
          <w:kern w:val="2"/>
          <w14:ligatures w14:val="standardContextual"/>
        </w:rPr>
      </w:pPr>
      <w:hyperlink w:anchor="_Toc220152275" w:history="1">
        <w:r w:rsidRPr="00BE2DA0">
          <w:rPr>
            <w:rStyle w:val="Hyperlink"/>
            <w:noProof/>
          </w:rPr>
          <w:t>D.4 Data Extraction Framework</w:t>
        </w:r>
        <w:r w:rsidRPr="00BE2DA0">
          <w:rPr>
            <w:noProof/>
            <w:webHidden/>
          </w:rPr>
          <w:tab/>
        </w:r>
        <w:r w:rsidRPr="00BE2DA0">
          <w:rPr>
            <w:noProof/>
            <w:webHidden/>
          </w:rPr>
          <w:fldChar w:fldCharType="begin"/>
        </w:r>
        <w:r w:rsidRPr="00BE2DA0">
          <w:rPr>
            <w:noProof/>
            <w:webHidden/>
          </w:rPr>
          <w:instrText xml:space="preserve"> PAGEREF _Toc220152275 \h </w:instrText>
        </w:r>
        <w:r w:rsidRPr="00BE2DA0">
          <w:rPr>
            <w:noProof/>
            <w:webHidden/>
          </w:rPr>
        </w:r>
        <w:r w:rsidRPr="00BE2DA0">
          <w:rPr>
            <w:noProof/>
            <w:webHidden/>
          </w:rPr>
          <w:fldChar w:fldCharType="separate"/>
        </w:r>
        <w:r w:rsidR="005D0832">
          <w:rPr>
            <w:noProof/>
            <w:webHidden/>
          </w:rPr>
          <w:t>91</w:t>
        </w:r>
        <w:r w:rsidRPr="00BE2DA0">
          <w:rPr>
            <w:noProof/>
            <w:webHidden/>
          </w:rPr>
          <w:fldChar w:fldCharType="end"/>
        </w:r>
      </w:hyperlink>
    </w:p>
    <w:p w14:paraId="56ADFEAD" w14:textId="2B484BED" w:rsidR="00731DF2" w:rsidRPr="00BE2DA0" w:rsidRDefault="00731DF2" w:rsidP="00BE2DA0">
      <w:pPr>
        <w:pStyle w:val="TOC2"/>
        <w:rPr>
          <w:rFonts w:eastAsiaTheme="minorEastAsia"/>
          <w:noProof/>
          <w:kern w:val="2"/>
          <w14:ligatures w14:val="standardContextual"/>
        </w:rPr>
      </w:pPr>
      <w:hyperlink w:anchor="_Toc220152276" w:history="1">
        <w:r w:rsidRPr="00BE2DA0">
          <w:rPr>
            <w:rStyle w:val="Hyperlink"/>
            <w:noProof/>
          </w:rPr>
          <w:t>D.5 Results Summary</w:t>
        </w:r>
        <w:r w:rsidRPr="00BE2DA0">
          <w:rPr>
            <w:noProof/>
            <w:webHidden/>
          </w:rPr>
          <w:tab/>
        </w:r>
        <w:r w:rsidRPr="00BE2DA0">
          <w:rPr>
            <w:noProof/>
            <w:webHidden/>
          </w:rPr>
          <w:fldChar w:fldCharType="begin"/>
        </w:r>
        <w:r w:rsidRPr="00BE2DA0">
          <w:rPr>
            <w:noProof/>
            <w:webHidden/>
          </w:rPr>
          <w:instrText xml:space="preserve"> PAGEREF _Toc220152276 \h </w:instrText>
        </w:r>
        <w:r w:rsidRPr="00BE2DA0">
          <w:rPr>
            <w:noProof/>
            <w:webHidden/>
          </w:rPr>
        </w:r>
        <w:r w:rsidRPr="00BE2DA0">
          <w:rPr>
            <w:noProof/>
            <w:webHidden/>
          </w:rPr>
          <w:fldChar w:fldCharType="separate"/>
        </w:r>
        <w:r w:rsidR="005D0832">
          <w:rPr>
            <w:noProof/>
            <w:webHidden/>
          </w:rPr>
          <w:t>92</w:t>
        </w:r>
        <w:r w:rsidRPr="00BE2DA0">
          <w:rPr>
            <w:noProof/>
            <w:webHidden/>
          </w:rPr>
          <w:fldChar w:fldCharType="end"/>
        </w:r>
      </w:hyperlink>
    </w:p>
    <w:p w14:paraId="6C101321" w14:textId="008053A6" w:rsidR="00731DF2" w:rsidRPr="00BE2DA0" w:rsidRDefault="00731DF2" w:rsidP="00BE2DA0">
      <w:pPr>
        <w:pStyle w:val="TOC2"/>
        <w:rPr>
          <w:rFonts w:eastAsiaTheme="minorEastAsia"/>
          <w:noProof/>
          <w:kern w:val="2"/>
          <w14:ligatures w14:val="standardContextual"/>
        </w:rPr>
      </w:pPr>
      <w:hyperlink w:anchor="_Toc220152277" w:history="1">
        <w:r w:rsidRPr="00BE2DA0">
          <w:rPr>
            <w:rStyle w:val="Hyperlink"/>
            <w:noProof/>
          </w:rPr>
          <w:t>D.6 Key Findings from Systematic Review</w:t>
        </w:r>
        <w:r w:rsidRPr="00BE2DA0">
          <w:rPr>
            <w:noProof/>
            <w:webHidden/>
          </w:rPr>
          <w:tab/>
        </w:r>
        <w:r w:rsidRPr="00BE2DA0">
          <w:rPr>
            <w:noProof/>
            <w:webHidden/>
          </w:rPr>
          <w:fldChar w:fldCharType="begin"/>
        </w:r>
        <w:r w:rsidRPr="00BE2DA0">
          <w:rPr>
            <w:noProof/>
            <w:webHidden/>
          </w:rPr>
          <w:instrText xml:space="preserve"> PAGEREF _Toc220152277 \h </w:instrText>
        </w:r>
        <w:r w:rsidRPr="00BE2DA0">
          <w:rPr>
            <w:noProof/>
            <w:webHidden/>
          </w:rPr>
        </w:r>
        <w:r w:rsidRPr="00BE2DA0">
          <w:rPr>
            <w:noProof/>
            <w:webHidden/>
          </w:rPr>
          <w:fldChar w:fldCharType="separate"/>
        </w:r>
        <w:r w:rsidR="005D0832">
          <w:rPr>
            <w:noProof/>
            <w:webHidden/>
          </w:rPr>
          <w:t>92</w:t>
        </w:r>
        <w:r w:rsidRPr="00BE2DA0">
          <w:rPr>
            <w:noProof/>
            <w:webHidden/>
          </w:rPr>
          <w:fldChar w:fldCharType="end"/>
        </w:r>
      </w:hyperlink>
    </w:p>
    <w:p w14:paraId="05D82E17" w14:textId="00A218A8" w:rsidR="00861778" w:rsidRPr="00861778" w:rsidRDefault="00731DF2" w:rsidP="00861778">
      <w:pPr>
        <w:pStyle w:val="TOC2"/>
        <w:rPr>
          <w:noProof/>
        </w:rPr>
      </w:pPr>
      <w:hyperlink w:anchor="_Toc220152278" w:history="1">
        <w:r w:rsidRPr="00BE2DA0">
          <w:rPr>
            <w:rStyle w:val="Hyperlink"/>
            <w:noProof/>
          </w:rPr>
          <w:t>D.7 Quality Assurance</w:t>
        </w:r>
        <w:r w:rsidRPr="00BE2DA0">
          <w:rPr>
            <w:noProof/>
            <w:webHidden/>
          </w:rPr>
          <w:tab/>
        </w:r>
        <w:r w:rsidRPr="00BE2DA0">
          <w:rPr>
            <w:noProof/>
            <w:webHidden/>
          </w:rPr>
          <w:fldChar w:fldCharType="begin"/>
        </w:r>
        <w:r w:rsidRPr="00BE2DA0">
          <w:rPr>
            <w:noProof/>
            <w:webHidden/>
          </w:rPr>
          <w:instrText xml:space="preserve"> PAGEREF _Toc220152278 \h </w:instrText>
        </w:r>
        <w:r w:rsidRPr="00BE2DA0">
          <w:rPr>
            <w:noProof/>
            <w:webHidden/>
          </w:rPr>
        </w:r>
        <w:r w:rsidRPr="00BE2DA0">
          <w:rPr>
            <w:noProof/>
            <w:webHidden/>
          </w:rPr>
          <w:fldChar w:fldCharType="separate"/>
        </w:r>
        <w:r w:rsidR="005D0832">
          <w:rPr>
            <w:noProof/>
            <w:webHidden/>
          </w:rPr>
          <w:t>92</w:t>
        </w:r>
        <w:r w:rsidRPr="00BE2DA0">
          <w:rPr>
            <w:noProof/>
            <w:webHidden/>
          </w:rPr>
          <w:fldChar w:fldCharType="end"/>
        </w:r>
      </w:hyperlink>
    </w:p>
    <w:p w14:paraId="3F44D6D5" w14:textId="7CAA1DA1" w:rsidR="00861778" w:rsidRDefault="00731DF2" w:rsidP="00861778">
      <w:pPr>
        <w:pStyle w:val="TOC1"/>
      </w:pPr>
      <w:hyperlink w:anchor="_Toc220152279" w:history="1">
        <w:r w:rsidRPr="00BE2DA0">
          <w:rPr>
            <w:rStyle w:val="Hyperlink"/>
            <w:b/>
            <w:bCs/>
          </w:rPr>
          <w:t>Appendix E: Sample Interview Transcript Extracts</w:t>
        </w:r>
        <w:r w:rsidRPr="00BE2DA0">
          <w:rPr>
            <w:webHidden/>
          </w:rPr>
          <w:tab/>
        </w:r>
        <w:r w:rsidRPr="00BE2DA0">
          <w:rPr>
            <w:webHidden/>
          </w:rPr>
          <w:fldChar w:fldCharType="begin"/>
        </w:r>
        <w:r w:rsidRPr="00BE2DA0">
          <w:rPr>
            <w:webHidden/>
          </w:rPr>
          <w:instrText xml:space="preserve"> PAGEREF _Toc220152279 \h </w:instrText>
        </w:r>
        <w:r w:rsidRPr="00BE2DA0">
          <w:rPr>
            <w:webHidden/>
          </w:rPr>
        </w:r>
        <w:r w:rsidRPr="00BE2DA0">
          <w:rPr>
            <w:webHidden/>
          </w:rPr>
          <w:fldChar w:fldCharType="separate"/>
        </w:r>
        <w:r w:rsidR="005D0832">
          <w:rPr>
            <w:webHidden/>
          </w:rPr>
          <w:t>93</w:t>
        </w:r>
        <w:r w:rsidRPr="00BE2DA0">
          <w:rPr>
            <w:webHidden/>
          </w:rPr>
          <w:fldChar w:fldCharType="end"/>
        </w:r>
      </w:hyperlink>
    </w:p>
    <w:p w14:paraId="6A930CDA" w14:textId="77777777" w:rsidR="00861778" w:rsidRPr="00861778" w:rsidRDefault="00861778" w:rsidP="00861778">
      <w:pPr>
        <w:rPr>
          <w:noProof/>
        </w:rPr>
      </w:pPr>
    </w:p>
    <w:p w14:paraId="4D19EC7A" w14:textId="62B72ABF" w:rsidR="00731DF2" w:rsidRPr="00BE2DA0" w:rsidRDefault="00731DF2" w:rsidP="00BE2DA0">
      <w:pPr>
        <w:pStyle w:val="TOC2"/>
        <w:rPr>
          <w:rFonts w:eastAsiaTheme="minorEastAsia"/>
          <w:noProof/>
          <w:kern w:val="2"/>
          <w14:ligatures w14:val="standardContextual"/>
        </w:rPr>
      </w:pPr>
      <w:hyperlink w:anchor="_Toc220152280" w:history="1">
        <w:r w:rsidRPr="00BE2DA0">
          <w:rPr>
            <w:rStyle w:val="Hyperlink"/>
            <w:noProof/>
          </w:rPr>
          <w:t>E.1 Participant Profile Summary</w:t>
        </w:r>
        <w:r w:rsidRPr="00BE2DA0">
          <w:rPr>
            <w:noProof/>
            <w:webHidden/>
          </w:rPr>
          <w:tab/>
        </w:r>
        <w:r w:rsidRPr="00BE2DA0">
          <w:rPr>
            <w:noProof/>
            <w:webHidden/>
          </w:rPr>
          <w:fldChar w:fldCharType="begin"/>
        </w:r>
        <w:r w:rsidRPr="00BE2DA0">
          <w:rPr>
            <w:noProof/>
            <w:webHidden/>
          </w:rPr>
          <w:instrText xml:space="preserve"> PAGEREF _Toc220152280 \h </w:instrText>
        </w:r>
        <w:r w:rsidRPr="00BE2DA0">
          <w:rPr>
            <w:noProof/>
            <w:webHidden/>
          </w:rPr>
        </w:r>
        <w:r w:rsidRPr="00BE2DA0">
          <w:rPr>
            <w:noProof/>
            <w:webHidden/>
          </w:rPr>
          <w:fldChar w:fldCharType="separate"/>
        </w:r>
        <w:r w:rsidR="005D0832">
          <w:rPr>
            <w:noProof/>
            <w:webHidden/>
          </w:rPr>
          <w:t>93</w:t>
        </w:r>
        <w:r w:rsidRPr="00BE2DA0">
          <w:rPr>
            <w:noProof/>
            <w:webHidden/>
          </w:rPr>
          <w:fldChar w:fldCharType="end"/>
        </w:r>
      </w:hyperlink>
    </w:p>
    <w:p w14:paraId="7691D444" w14:textId="6C0C0263" w:rsidR="00731DF2" w:rsidRDefault="00731DF2" w:rsidP="00BE2DA0">
      <w:pPr>
        <w:pStyle w:val="TOC2"/>
        <w:rPr>
          <w:noProof/>
        </w:rPr>
      </w:pPr>
      <w:hyperlink w:anchor="_Toc220152281" w:history="1">
        <w:r w:rsidRPr="00BE2DA0">
          <w:rPr>
            <w:rStyle w:val="Hyperlink"/>
            <w:noProof/>
          </w:rPr>
          <w:t>E.2 Sample Transcript Excerpts by Theme</w:t>
        </w:r>
        <w:r w:rsidRPr="00BE2DA0">
          <w:rPr>
            <w:noProof/>
            <w:webHidden/>
          </w:rPr>
          <w:tab/>
        </w:r>
        <w:r w:rsidRPr="00BE2DA0">
          <w:rPr>
            <w:noProof/>
            <w:webHidden/>
          </w:rPr>
          <w:fldChar w:fldCharType="begin"/>
        </w:r>
        <w:r w:rsidRPr="00BE2DA0">
          <w:rPr>
            <w:noProof/>
            <w:webHidden/>
          </w:rPr>
          <w:instrText xml:space="preserve"> PAGEREF _Toc220152281 \h </w:instrText>
        </w:r>
        <w:r w:rsidRPr="00BE2DA0">
          <w:rPr>
            <w:noProof/>
            <w:webHidden/>
          </w:rPr>
        </w:r>
        <w:r w:rsidRPr="00BE2DA0">
          <w:rPr>
            <w:noProof/>
            <w:webHidden/>
          </w:rPr>
          <w:fldChar w:fldCharType="separate"/>
        </w:r>
        <w:r w:rsidR="005D0832">
          <w:rPr>
            <w:noProof/>
            <w:webHidden/>
          </w:rPr>
          <w:t>93</w:t>
        </w:r>
        <w:r w:rsidRPr="00BE2DA0">
          <w:rPr>
            <w:noProof/>
            <w:webHidden/>
          </w:rPr>
          <w:fldChar w:fldCharType="end"/>
        </w:r>
      </w:hyperlink>
    </w:p>
    <w:p w14:paraId="5596CA71" w14:textId="77777777" w:rsidR="00861778" w:rsidRPr="00861778" w:rsidRDefault="00861778" w:rsidP="00861778">
      <w:pPr>
        <w:rPr>
          <w:noProof/>
        </w:rPr>
      </w:pPr>
    </w:p>
    <w:p w14:paraId="53892DA3" w14:textId="1C4D2868" w:rsidR="00731DF2" w:rsidRDefault="00731DF2" w:rsidP="00861778">
      <w:pPr>
        <w:pStyle w:val="TOC1"/>
      </w:pPr>
      <w:hyperlink w:anchor="_Toc220152282" w:history="1">
        <w:r w:rsidRPr="00BE2DA0">
          <w:rPr>
            <w:rStyle w:val="Hyperlink"/>
            <w:b/>
            <w:bCs/>
          </w:rPr>
          <w:t>Appendix F: Ethics Approval Documentation</w:t>
        </w:r>
        <w:r w:rsidRPr="00BE2DA0">
          <w:rPr>
            <w:webHidden/>
          </w:rPr>
          <w:tab/>
        </w:r>
        <w:r w:rsidRPr="00BE2DA0">
          <w:rPr>
            <w:webHidden/>
          </w:rPr>
          <w:fldChar w:fldCharType="begin"/>
        </w:r>
        <w:r w:rsidRPr="00BE2DA0">
          <w:rPr>
            <w:webHidden/>
          </w:rPr>
          <w:instrText xml:space="preserve"> PAGEREF _Toc220152282 \h </w:instrText>
        </w:r>
        <w:r w:rsidRPr="00BE2DA0">
          <w:rPr>
            <w:webHidden/>
          </w:rPr>
        </w:r>
        <w:r w:rsidRPr="00BE2DA0">
          <w:rPr>
            <w:webHidden/>
          </w:rPr>
          <w:fldChar w:fldCharType="separate"/>
        </w:r>
        <w:r w:rsidR="005D0832">
          <w:rPr>
            <w:webHidden/>
          </w:rPr>
          <w:t>96</w:t>
        </w:r>
        <w:r w:rsidRPr="00BE2DA0">
          <w:rPr>
            <w:webHidden/>
          </w:rPr>
          <w:fldChar w:fldCharType="end"/>
        </w:r>
      </w:hyperlink>
    </w:p>
    <w:p w14:paraId="73A4E2E1" w14:textId="77777777" w:rsidR="00861778" w:rsidRPr="00861778" w:rsidRDefault="00861778" w:rsidP="00861778">
      <w:pPr>
        <w:rPr>
          <w:noProof/>
        </w:rPr>
      </w:pPr>
    </w:p>
    <w:p w14:paraId="50A8A6A6" w14:textId="7616F7C4" w:rsidR="00731DF2" w:rsidRPr="00BE2DA0" w:rsidRDefault="00731DF2" w:rsidP="00BE2DA0">
      <w:pPr>
        <w:pStyle w:val="TOC2"/>
        <w:rPr>
          <w:rFonts w:eastAsiaTheme="minorEastAsia"/>
          <w:noProof/>
          <w:kern w:val="2"/>
          <w14:ligatures w14:val="standardContextual"/>
        </w:rPr>
      </w:pPr>
      <w:hyperlink w:anchor="_Toc220152283" w:history="1">
        <w:r w:rsidRPr="00BE2DA0">
          <w:rPr>
            <w:rStyle w:val="Hyperlink"/>
            <w:noProof/>
          </w:rPr>
          <w:t>F.1 Ethics Approval Statement</w:t>
        </w:r>
        <w:r w:rsidRPr="00BE2DA0">
          <w:rPr>
            <w:noProof/>
            <w:webHidden/>
          </w:rPr>
          <w:tab/>
        </w:r>
        <w:r w:rsidRPr="00BE2DA0">
          <w:rPr>
            <w:noProof/>
            <w:webHidden/>
          </w:rPr>
          <w:fldChar w:fldCharType="begin"/>
        </w:r>
        <w:r w:rsidRPr="00BE2DA0">
          <w:rPr>
            <w:noProof/>
            <w:webHidden/>
          </w:rPr>
          <w:instrText xml:space="preserve"> PAGEREF _Toc220152283 \h </w:instrText>
        </w:r>
        <w:r w:rsidRPr="00BE2DA0">
          <w:rPr>
            <w:noProof/>
            <w:webHidden/>
          </w:rPr>
        </w:r>
        <w:r w:rsidRPr="00BE2DA0">
          <w:rPr>
            <w:noProof/>
            <w:webHidden/>
          </w:rPr>
          <w:fldChar w:fldCharType="separate"/>
        </w:r>
        <w:r w:rsidR="005D0832">
          <w:rPr>
            <w:noProof/>
            <w:webHidden/>
          </w:rPr>
          <w:t>96</w:t>
        </w:r>
        <w:r w:rsidRPr="00BE2DA0">
          <w:rPr>
            <w:noProof/>
            <w:webHidden/>
          </w:rPr>
          <w:fldChar w:fldCharType="end"/>
        </w:r>
      </w:hyperlink>
    </w:p>
    <w:p w14:paraId="710DFF60" w14:textId="4FEA4C97" w:rsidR="00731DF2" w:rsidRPr="00BE2DA0" w:rsidRDefault="00731DF2" w:rsidP="00BE2DA0">
      <w:pPr>
        <w:pStyle w:val="TOC2"/>
        <w:rPr>
          <w:rFonts w:eastAsiaTheme="minorEastAsia"/>
          <w:noProof/>
          <w:kern w:val="2"/>
          <w14:ligatures w14:val="standardContextual"/>
        </w:rPr>
      </w:pPr>
      <w:hyperlink w:anchor="_Toc220152284" w:history="1">
        <w:r w:rsidRPr="00BE2DA0">
          <w:rPr>
            <w:rStyle w:val="Hyperlink"/>
            <w:noProof/>
          </w:rPr>
          <w:t>F.2 Ethical Considerations Addressed</w:t>
        </w:r>
        <w:r w:rsidRPr="00BE2DA0">
          <w:rPr>
            <w:noProof/>
            <w:webHidden/>
          </w:rPr>
          <w:tab/>
        </w:r>
        <w:r w:rsidRPr="00BE2DA0">
          <w:rPr>
            <w:noProof/>
            <w:webHidden/>
          </w:rPr>
          <w:fldChar w:fldCharType="begin"/>
        </w:r>
        <w:r w:rsidRPr="00BE2DA0">
          <w:rPr>
            <w:noProof/>
            <w:webHidden/>
          </w:rPr>
          <w:instrText xml:space="preserve"> PAGEREF _Toc220152284 \h </w:instrText>
        </w:r>
        <w:r w:rsidRPr="00BE2DA0">
          <w:rPr>
            <w:noProof/>
            <w:webHidden/>
          </w:rPr>
        </w:r>
        <w:r w:rsidRPr="00BE2DA0">
          <w:rPr>
            <w:noProof/>
            <w:webHidden/>
          </w:rPr>
          <w:fldChar w:fldCharType="separate"/>
        </w:r>
        <w:r w:rsidR="005D0832">
          <w:rPr>
            <w:noProof/>
            <w:webHidden/>
          </w:rPr>
          <w:t>96</w:t>
        </w:r>
        <w:r w:rsidRPr="00BE2DA0">
          <w:rPr>
            <w:noProof/>
            <w:webHidden/>
          </w:rPr>
          <w:fldChar w:fldCharType="end"/>
        </w:r>
      </w:hyperlink>
    </w:p>
    <w:p w14:paraId="410AF43F" w14:textId="21C94E18" w:rsidR="00731DF2" w:rsidRDefault="00731DF2" w:rsidP="00BE2DA0">
      <w:pPr>
        <w:pStyle w:val="TOC2"/>
        <w:rPr>
          <w:noProof/>
        </w:rPr>
      </w:pPr>
      <w:hyperlink w:anchor="_Toc220152285" w:history="1">
        <w:r w:rsidRPr="00BE2DA0">
          <w:rPr>
            <w:rStyle w:val="Hyperlink"/>
            <w:noProof/>
          </w:rPr>
          <w:t>F.3 Compliance Statement</w:t>
        </w:r>
        <w:r w:rsidRPr="00BE2DA0">
          <w:rPr>
            <w:noProof/>
            <w:webHidden/>
          </w:rPr>
          <w:tab/>
        </w:r>
        <w:r w:rsidRPr="00BE2DA0">
          <w:rPr>
            <w:noProof/>
            <w:webHidden/>
          </w:rPr>
          <w:fldChar w:fldCharType="begin"/>
        </w:r>
        <w:r w:rsidRPr="00BE2DA0">
          <w:rPr>
            <w:noProof/>
            <w:webHidden/>
          </w:rPr>
          <w:instrText xml:space="preserve"> PAGEREF _Toc220152285 \h </w:instrText>
        </w:r>
        <w:r w:rsidRPr="00BE2DA0">
          <w:rPr>
            <w:noProof/>
            <w:webHidden/>
          </w:rPr>
        </w:r>
        <w:r w:rsidRPr="00BE2DA0">
          <w:rPr>
            <w:noProof/>
            <w:webHidden/>
          </w:rPr>
          <w:fldChar w:fldCharType="separate"/>
        </w:r>
        <w:r w:rsidR="005D0832">
          <w:rPr>
            <w:noProof/>
            <w:webHidden/>
          </w:rPr>
          <w:t>97</w:t>
        </w:r>
        <w:r w:rsidRPr="00BE2DA0">
          <w:rPr>
            <w:noProof/>
            <w:webHidden/>
          </w:rPr>
          <w:fldChar w:fldCharType="end"/>
        </w:r>
      </w:hyperlink>
    </w:p>
    <w:p w14:paraId="1E8D4F1D" w14:textId="77777777" w:rsidR="00861778" w:rsidRPr="00861778" w:rsidRDefault="00861778" w:rsidP="00861778">
      <w:pPr>
        <w:rPr>
          <w:noProof/>
        </w:rPr>
      </w:pPr>
    </w:p>
    <w:p w14:paraId="5C48DDCA" w14:textId="377E58A0" w:rsidR="00731DF2" w:rsidRDefault="00731DF2" w:rsidP="00861778">
      <w:pPr>
        <w:pStyle w:val="TOC1"/>
      </w:pPr>
      <w:hyperlink w:anchor="_Toc220152286" w:history="1">
        <w:r w:rsidRPr="00BE2DA0">
          <w:rPr>
            <w:rStyle w:val="Hyperlink"/>
            <w:b/>
            <w:bCs/>
          </w:rPr>
          <w:t>Appendix G: Survey Response Summary and Thematic Coding</w:t>
        </w:r>
        <w:r w:rsidRPr="00BE2DA0">
          <w:rPr>
            <w:webHidden/>
          </w:rPr>
          <w:tab/>
        </w:r>
        <w:r w:rsidRPr="00BE2DA0">
          <w:rPr>
            <w:webHidden/>
          </w:rPr>
          <w:fldChar w:fldCharType="begin"/>
        </w:r>
        <w:r w:rsidRPr="00BE2DA0">
          <w:rPr>
            <w:webHidden/>
          </w:rPr>
          <w:instrText xml:space="preserve"> PAGEREF _Toc220152286 \h </w:instrText>
        </w:r>
        <w:r w:rsidRPr="00BE2DA0">
          <w:rPr>
            <w:webHidden/>
          </w:rPr>
        </w:r>
        <w:r w:rsidRPr="00BE2DA0">
          <w:rPr>
            <w:webHidden/>
          </w:rPr>
          <w:fldChar w:fldCharType="separate"/>
        </w:r>
        <w:r w:rsidR="005D0832">
          <w:rPr>
            <w:webHidden/>
          </w:rPr>
          <w:t>98</w:t>
        </w:r>
        <w:r w:rsidRPr="00BE2DA0">
          <w:rPr>
            <w:webHidden/>
          </w:rPr>
          <w:fldChar w:fldCharType="end"/>
        </w:r>
      </w:hyperlink>
    </w:p>
    <w:p w14:paraId="0D7AF522" w14:textId="77777777" w:rsidR="00861778" w:rsidRPr="00861778" w:rsidRDefault="00861778" w:rsidP="00861778">
      <w:pPr>
        <w:rPr>
          <w:noProof/>
        </w:rPr>
      </w:pPr>
    </w:p>
    <w:p w14:paraId="72718478" w14:textId="07F357F2" w:rsidR="00731DF2" w:rsidRPr="00BE2DA0" w:rsidRDefault="00731DF2" w:rsidP="00BE2DA0">
      <w:pPr>
        <w:pStyle w:val="TOC2"/>
        <w:rPr>
          <w:rFonts w:eastAsiaTheme="minorEastAsia"/>
          <w:noProof/>
          <w:kern w:val="2"/>
          <w14:ligatures w14:val="standardContextual"/>
        </w:rPr>
      </w:pPr>
      <w:hyperlink w:anchor="_Toc220152287" w:history="1">
        <w:r w:rsidRPr="00BE2DA0">
          <w:rPr>
            <w:rStyle w:val="Hyperlink"/>
            <w:noProof/>
          </w:rPr>
          <w:t>G.1 Response Overview</w:t>
        </w:r>
        <w:r w:rsidRPr="00BE2DA0">
          <w:rPr>
            <w:noProof/>
            <w:webHidden/>
          </w:rPr>
          <w:tab/>
        </w:r>
        <w:r w:rsidRPr="00BE2DA0">
          <w:rPr>
            <w:noProof/>
            <w:webHidden/>
          </w:rPr>
          <w:fldChar w:fldCharType="begin"/>
        </w:r>
        <w:r w:rsidRPr="00BE2DA0">
          <w:rPr>
            <w:noProof/>
            <w:webHidden/>
          </w:rPr>
          <w:instrText xml:space="preserve"> PAGEREF _Toc220152287 \h </w:instrText>
        </w:r>
        <w:r w:rsidRPr="00BE2DA0">
          <w:rPr>
            <w:noProof/>
            <w:webHidden/>
          </w:rPr>
        </w:r>
        <w:r w:rsidRPr="00BE2DA0">
          <w:rPr>
            <w:noProof/>
            <w:webHidden/>
          </w:rPr>
          <w:fldChar w:fldCharType="separate"/>
        </w:r>
        <w:r w:rsidR="005D0832">
          <w:rPr>
            <w:noProof/>
            <w:webHidden/>
          </w:rPr>
          <w:t>98</w:t>
        </w:r>
        <w:r w:rsidRPr="00BE2DA0">
          <w:rPr>
            <w:noProof/>
            <w:webHidden/>
          </w:rPr>
          <w:fldChar w:fldCharType="end"/>
        </w:r>
      </w:hyperlink>
    </w:p>
    <w:p w14:paraId="07F3D3A0" w14:textId="446DE41B" w:rsidR="00731DF2" w:rsidRPr="00BE2DA0" w:rsidRDefault="00731DF2" w:rsidP="00BE2DA0">
      <w:pPr>
        <w:pStyle w:val="TOC2"/>
        <w:rPr>
          <w:rFonts w:eastAsiaTheme="minorEastAsia"/>
          <w:noProof/>
          <w:kern w:val="2"/>
          <w14:ligatures w14:val="standardContextual"/>
        </w:rPr>
      </w:pPr>
      <w:hyperlink w:anchor="_Toc220152288" w:history="1">
        <w:r w:rsidRPr="00BE2DA0">
          <w:rPr>
            <w:rStyle w:val="Hyperlink"/>
            <w:noProof/>
          </w:rPr>
          <w:t>G.2 Quantitative Response Summary</w:t>
        </w:r>
        <w:r w:rsidRPr="00BE2DA0">
          <w:rPr>
            <w:noProof/>
            <w:webHidden/>
          </w:rPr>
          <w:tab/>
        </w:r>
        <w:r w:rsidRPr="00BE2DA0">
          <w:rPr>
            <w:noProof/>
            <w:webHidden/>
          </w:rPr>
          <w:fldChar w:fldCharType="begin"/>
        </w:r>
        <w:r w:rsidRPr="00BE2DA0">
          <w:rPr>
            <w:noProof/>
            <w:webHidden/>
          </w:rPr>
          <w:instrText xml:space="preserve"> PAGEREF _Toc220152288 \h </w:instrText>
        </w:r>
        <w:r w:rsidRPr="00BE2DA0">
          <w:rPr>
            <w:noProof/>
            <w:webHidden/>
          </w:rPr>
        </w:r>
        <w:r w:rsidRPr="00BE2DA0">
          <w:rPr>
            <w:noProof/>
            <w:webHidden/>
          </w:rPr>
          <w:fldChar w:fldCharType="separate"/>
        </w:r>
        <w:r w:rsidR="005D0832">
          <w:rPr>
            <w:noProof/>
            <w:webHidden/>
          </w:rPr>
          <w:t>98</w:t>
        </w:r>
        <w:r w:rsidRPr="00BE2DA0">
          <w:rPr>
            <w:noProof/>
            <w:webHidden/>
          </w:rPr>
          <w:fldChar w:fldCharType="end"/>
        </w:r>
      </w:hyperlink>
    </w:p>
    <w:p w14:paraId="300A677C" w14:textId="7BB38FEA" w:rsidR="00731DF2" w:rsidRDefault="00731DF2" w:rsidP="00BE2DA0">
      <w:pPr>
        <w:pStyle w:val="TOC2"/>
        <w:rPr>
          <w:noProof/>
        </w:rPr>
      </w:pPr>
      <w:hyperlink w:anchor="_Toc220152289" w:history="1">
        <w:r w:rsidRPr="00BE2DA0">
          <w:rPr>
            <w:rStyle w:val="Hyperlink"/>
            <w:noProof/>
          </w:rPr>
          <w:t>G.3 Qualitative Theme Coding Framework</w:t>
        </w:r>
        <w:r w:rsidRPr="00BE2DA0">
          <w:rPr>
            <w:noProof/>
            <w:webHidden/>
          </w:rPr>
          <w:tab/>
        </w:r>
        <w:r w:rsidRPr="00BE2DA0">
          <w:rPr>
            <w:noProof/>
            <w:webHidden/>
          </w:rPr>
          <w:fldChar w:fldCharType="begin"/>
        </w:r>
        <w:r w:rsidRPr="00BE2DA0">
          <w:rPr>
            <w:noProof/>
            <w:webHidden/>
          </w:rPr>
          <w:instrText xml:space="preserve"> PAGEREF _Toc220152289 \h </w:instrText>
        </w:r>
        <w:r w:rsidRPr="00BE2DA0">
          <w:rPr>
            <w:noProof/>
            <w:webHidden/>
          </w:rPr>
        </w:r>
        <w:r w:rsidRPr="00BE2DA0">
          <w:rPr>
            <w:noProof/>
            <w:webHidden/>
          </w:rPr>
          <w:fldChar w:fldCharType="separate"/>
        </w:r>
        <w:r w:rsidR="005D0832">
          <w:rPr>
            <w:noProof/>
            <w:webHidden/>
          </w:rPr>
          <w:t>101</w:t>
        </w:r>
        <w:r w:rsidRPr="00BE2DA0">
          <w:rPr>
            <w:noProof/>
            <w:webHidden/>
          </w:rPr>
          <w:fldChar w:fldCharType="end"/>
        </w:r>
      </w:hyperlink>
    </w:p>
    <w:p w14:paraId="3A7A7A2F" w14:textId="77777777" w:rsidR="00861778" w:rsidRPr="00861778" w:rsidRDefault="00861778" w:rsidP="00861778">
      <w:pPr>
        <w:rPr>
          <w:noProof/>
        </w:rPr>
      </w:pPr>
    </w:p>
    <w:p w14:paraId="1A30C908" w14:textId="1B4A5558" w:rsidR="00731DF2" w:rsidRDefault="00731DF2" w:rsidP="00861778">
      <w:pPr>
        <w:pStyle w:val="TOC1"/>
      </w:pPr>
      <w:hyperlink w:anchor="_Toc220152290" w:history="1">
        <w:r w:rsidRPr="00BE2DA0">
          <w:rPr>
            <w:rStyle w:val="Hyperlink"/>
            <w:b/>
            <w:bCs/>
          </w:rPr>
          <w:t>Appendix H: AI Use Acknowledgement</w:t>
        </w:r>
        <w:r w:rsidRPr="00BE2DA0">
          <w:rPr>
            <w:webHidden/>
          </w:rPr>
          <w:tab/>
        </w:r>
        <w:r w:rsidRPr="00BE2DA0">
          <w:rPr>
            <w:webHidden/>
          </w:rPr>
          <w:fldChar w:fldCharType="begin"/>
        </w:r>
        <w:r w:rsidRPr="00BE2DA0">
          <w:rPr>
            <w:webHidden/>
          </w:rPr>
          <w:instrText xml:space="preserve"> PAGEREF _Toc220152290 \h </w:instrText>
        </w:r>
        <w:r w:rsidRPr="00BE2DA0">
          <w:rPr>
            <w:webHidden/>
          </w:rPr>
        </w:r>
        <w:r w:rsidRPr="00BE2DA0">
          <w:rPr>
            <w:webHidden/>
          </w:rPr>
          <w:fldChar w:fldCharType="separate"/>
        </w:r>
        <w:r w:rsidR="005D0832">
          <w:rPr>
            <w:webHidden/>
          </w:rPr>
          <w:t>102</w:t>
        </w:r>
        <w:r w:rsidRPr="00BE2DA0">
          <w:rPr>
            <w:webHidden/>
          </w:rPr>
          <w:fldChar w:fldCharType="end"/>
        </w:r>
      </w:hyperlink>
    </w:p>
    <w:p w14:paraId="3B02E044" w14:textId="77777777" w:rsidR="00861778" w:rsidRPr="00861778" w:rsidRDefault="00861778" w:rsidP="00861778">
      <w:pPr>
        <w:rPr>
          <w:noProof/>
        </w:rPr>
      </w:pPr>
    </w:p>
    <w:p w14:paraId="5C9CE83C" w14:textId="60ECFBCC" w:rsidR="00731DF2" w:rsidRPr="00BE2DA0" w:rsidRDefault="00731DF2" w:rsidP="00BE2DA0">
      <w:pPr>
        <w:pStyle w:val="TOC2"/>
        <w:rPr>
          <w:rFonts w:eastAsiaTheme="minorEastAsia"/>
          <w:noProof/>
          <w:kern w:val="2"/>
          <w14:ligatures w14:val="standardContextual"/>
        </w:rPr>
      </w:pPr>
      <w:hyperlink w:anchor="_Toc220152291" w:history="1">
        <w:r w:rsidRPr="00BE2DA0">
          <w:rPr>
            <w:rStyle w:val="Hyperlink"/>
            <w:noProof/>
          </w:rPr>
          <w:t>Acknowledgement 1: Systematic Literature Review</w:t>
        </w:r>
        <w:r w:rsidRPr="00BE2DA0">
          <w:rPr>
            <w:noProof/>
            <w:webHidden/>
          </w:rPr>
          <w:tab/>
        </w:r>
        <w:r w:rsidRPr="00BE2DA0">
          <w:rPr>
            <w:noProof/>
            <w:webHidden/>
          </w:rPr>
          <w:fldChar w:fldCharType="begin"/>
        </w:r>
        <w:r w:rsidRPr="00BE2DA0">
          <w:rPr>
            <w:noProof/>
            <w:webHidden/>
          </w:rPr>
          <w:instrText xml:space="preserve"> PAGEREF _Toc220152291 \h </w:instrText>
        </w:r>
        <w:r w:rsidRPr="00BE2DA0">
          <w:rPr>
            <w:noProof/>
            <w:webHidden/>
          </w:rPr>
        </w:r>
        <w:r w:rsidRPr="00BE2DA0">
          <w:rPr>
            <w:noProof/>
            <w:webHidden/>
          </w:rPr>
          <w:fldChar w:fldCharType="separate"/>
        </w:r>
        <w:r w:rsidR="005D0832">
          <w:rPr>
            <w:noProof/>
            <w:webHidden/>
          </w:rPr>
          <w:t>102</w:t>
        </w:r>
        <w:r w:rsidRPr="00BE2DA0">
          <w:rPr>
            <w:noProof/>
            <w:webHidden/>
          </w:rPr>
          <w:fldChar w:fldCharType="end"/>
        </w:r>
      </w:hyperlink>
    </w:p>
    <w:p w14:paraId="0A8625B5" w14:textId="2EB65BC9" w:rsidR="00731DF2" w:rsidRPr="00BE2DA0" w:rsidRDefault="00731DF2" w:rsidP="00BE2DA0">
      <w:pPr>
        <w:pStyle w:val="TOC2"/>
        <w:rPr>
          <w:rFonts w:eastAsiaTheme="minorEastAsia"/>
          <w:noProof/>
          <w:kern w:val="2"/>
          <w14:ligatures w14:val="standardContextual"/>
        </w:rPr>
      </w:pPr>
      <w:hyperlink w:anchor="_Toc220152292" w:history="1">
        <w:r w:rsidRPr="00BE2DA0">
          <w:rPr>
            <w:rStyle w:val="Hyperlink"/>
            <w:noProof/>
          </w:rPr>
          <w:t>Acknowledgement 2: Research Exploration and Structure</w:t>
        </w:r>
        <w:r w:rsidRPr="00BE2DA0">
          <w:rPr>
            <w:noProof/>
            <w:webHidden/>
          </w:rPr>
          <w:tab/>
        </w:r>
        <w:r w:rsidRPr="00BE2DA0">
          <w:rPr>
            <w:noProof/>
            <w:webHidden/>
          </w:rPr>
          <w:fldChar w:fldCharType="begin"/>
        </w:r>
        <w:r w:rsidRPr="00BE2DA0">
          <w:rPr>
            <w:noProof/>
            <w:webHidden/>
          </w:rPr>
          <w:instrText xml:space="preserve"> PAGEREF _Toc220152292 \h </w:instrText>
        </w:r>
        <w:r w:rsidRPr="00BE2DA0">
          <w:rPr>
            <w:noProof/>
            <w:webHidden/>
          </w:rPr>
        </w:r>
        <w:r w:rsidRPr="00BE2DA0">
          <w:rPr>
            <w:noProof/>
            <w:webHidden/>
          </w:rPr>
          <w:fldChar w:fldCharType="separate"/>
        </w:r>
        <w:r w:rsidR="005D0832">
          <w:rPr>
            <w:noProof/>
            <w:webHidden/>
          </w:rPr>
          <w:t>102</w:t>
        </w:r>
        <w:r w:rsidRPr="00BE2DA0">
          <w:rPr>
            <w:noProof/>
            <w:webHidden/>
          </w:rPr>
          <w:fldChar w:fldCharType="end"/>
        </w:r>
      </w:hyperlink>
    </w:p>
    <w:p w14:paraId="57615769" w14:textId="225DE1A5" w:rsidR="00731DF2" w:rsidRPr="00BE2DA0" w:rsidRDefault="00731DF2" w:rsidP="00BE2DA0">
      <w:pPr>
        <w:pStyle w:val="TOC2"/>
        <w:rPr>
          <w:rFonts w:eastAsiaTheme="minorEastAsia"/>
          <w:noProof/>
          <w:kern w:val="2"/>
          <w14:ligatures w14:val="standardContextual"/>
        </w:rPr>
      </w:pPr>
      <w:hyperlink w:anchor="_Toc220152293" w:history="1">
        <w:r w:rsidRPr="00BE2DA0">
          <w:rPr>
            <w:rStyle w:val="Hyperlink"/>
            <w:noProof/>
          </w:rPr>
          <w:t>Acknowledgement 3: Drafting and Document Preparation</w:t>
        </w:r>
        <w:r w:rsidRPr="00BE2DA0">
          <w:rPr>
            <w:noProof/>
            <w:webHidden/>
          </w:rPr>
          <w:tab/>
        </w:r>
        <w:r w:rsidRPr="00BE2DA0">
          <w:rPr>
            <w:noProof/>
            <w:webHidden/>
          </w:rPr>
          <w:fldChar w:fldCharType="begin"/>
        </w:r>
        <w:r w:rsidRPr="00BE2DA0">
          <w:rPr>
            <w:noProof/>
            <w:webHidden/>
          </w:rPr>
          <w:instrText xml:space="preserve"> PAGEREF _Toc220152293 \h </w:instrText>
        </w:r>
        <w:r w:rsidRPr="00BE2DA0">
          <w:rPr>
            <w:noProof/>
            <w:webHidden/>
          </w:rPr>
        </w:r>
        <w:r w:rsidRPr="00BE2DA0">
          <w:rPr>
            <w:noProof/>
            <w:webHidden/>
          </w:rPr>
          <w:fldChar w:fldCharType="separate"/>
        </w:r>
        <w:r w:rsidR="005D0832">
          <w:rPr>
            <w:noProof/>
            <w:webHidden/>
          </w:rPr>
          <w:t>102</w:t>
        </w:r>
        <w:r w:rsidRPr="00BE2DA0">
          <w:rPr>
            <w:noProof/>
            <w:webHidden/>
          </w:rPr>
          <w:fldChar w:fldCharType="end"/>
        </w:r>
      </w:hyperlink>
    </w:p>
    <w:p w14:paraId="4C633BFF" w14:textId="4BAEEF10" w:rsidR="00731DF2" w:rsidRPr="00BE2DA0" w:rsidRDefault="00731DF2" w:rsidP="00BE2DA0">
      <w:pPr>
        <w:pStyle w:val="TOC2"/>
        <w:rPr>
          <w:rFonts w:eastAsiaTheme="minorEastAsia"/>
          <w:noProof/>
          <w:kern w:val="2"/>
          <w14:ligatures w14:val="standardContextual"/>
        </w:rPr>
      </w:pPr>
      <w:hyperlink w:anchor="_Toc220152294" w:history="1">
        <w:r w:rsidRPr="00BE2DA0">
          <w:rPr>
            <w:rStyle w:val="Hyperlink"/>
            <w:noProof/>
          </w:rPr>
          <w:t>Acknowledgement 4: Proofreading and Formatting</w:t>
        </w:r>
        <w:r w:rsidRPr="00BE2DA0">
          <w:rPr>
            <w:noProof/>
            <w:webHidden/>
          </w:rPr>
          <w:tab/>
        </w:r>
        <w:r w:rsidRPr="00BE2DA0">
          <w:rPr>
            <w:noProof/>
            <w:webHidden/>
          </w:rPr>
          <w:fldChar w:fldCharType="begin"/>
        </w:r>
        <w:r w:rsidRPr="00BE2DA0">
          <w:rPr>
            <w:noProof/>
            <w:webHidden/>
          </w:rPr>
          <w:instrText xml:space="preserve"> PAGEREF _Toc220152294 \h </w:instrText>
        </w:r>
        <w:r w:rsidRPr="00BE2DA0">
          <w:rPr>
            <w:noProof/>
            <w:webHidden/>
          </w:rPr>
        </w:r>
        <w:r w:rsidRPr="00BE2DA0">
          <w:rPr>
            <w:noProof/>
            <w:webHidden/>
          </w:rPr>
          <w:fldChar w:fldCharType="separate"/>
        </w:r>
        <w:r w:rsidR="005D0832">
          <w:rPr>
            <w:noProof/>
            <w:webHidden/>
          </w:rPr>
          <w:t>103</w:t>
        </w:r>
        <w:r w:rsidRPr="00BE2DA0">
          <w:rPr>
            <w:noProof/>
            <w:webHidden/>
          </w:rPr>
          <w:fldChar w:fldCharType="end"/>
        </w:r>
      </w:hyperlink>
    </w:p>
    <w:p w14:paraId="16019236" w14:textId="3AB6721E" w:rsidR="00731DF2" w:rsidRPr="00BE2DA0" w:rsidRDefault="00731DF2" w:rsidP="00BE2DA0">
      <w:pPr>
        <w:pStyle w:val="TOC2"/>
        <w:rPr>
          <w:rFonts w:eastAsiaTheme="minorEastAsia"/>
          <w:noProof/>
          <w:kern w:val="2"/>
          <w14:ligatures w14:val="standardContextual"/>
        </w:rPr>
      </w:pPr>
      <w:hyperlink w:anchor="_Toc220152295" w:history="1">
        <w:r w:rsidRPr="00BE2DA0">
          <w:rPr>
            <w:rStyle w:val="Hyperlink"/>
            <w:noProof/>
          </w:rPr>
          <w:t>Scope of AI Assistance</w:t>
        </w:r>
        <w:r w:rsidRPr="00BE2DA0">
          <w:rPr>
            <w:noProof/>
            <w:webHidden/>
          </w:rPr>
          <w:tab/>
        </w:r>
        <w:r w:rsidRPr="00BE2DA0">
          <w:rPr>
            <w:noProof/>
            <w:webHidden/>
          </w:rPr>
          <w:fldChar w:fldCharType="begin"/>
        </w:r>
        <w:r w:rsidRPr="00BE2DA0">
          <w:rPr>
            <w:noProof/>
            <w:webHidden/>
          </w:rPr>
          <w:instrText xml:space="preserve"> PAGEREF _Toc220152295 \h </w:instrText>
        </w:r>
        <w:r w:rsidRPr="00BE2DA0">
          <w:rPr>
            <w:noProof/>
            <w:webHidden/>
          </w:rPr>
        </w:r>
        <w:r w:rsidRPr="00BE2DA0">
          <w:rPr>
            <w:noProof/>
            <w:webHidden/>
          </w:rPr>
          <w:fldChar w:fldCharType="separate"/>
        </w:r>
        <w:r w:rsidR="005D0832">
          <w:rPr>
            <w:noProof/>
            <w:webHidden/>
          </w:rPr>
          <w:t>103</w:t>
        </w:r>
        <w:r w:rsidRPr="00BE2DA0">
          <w:rPr>
            <w:noProof/>
            <w:webHidden/>
          </w:rPr>
          <w:fldChar w:fldCharType="end"/>
        </w:r>
      </w:hyperlink>
    </w:p>
    <w:p w14:paraId="5552DCA9" w14:textId="390C057F" w:rsidR="00731DF2" w:rsidRPr="00BE2DA0" w:rsidRDefault="00731DF2" w:rsidP="00BE2DA0">
      <w:pPr>
        <w:pStyle w:val="TOC2"/>
        <w:rPr>
          <w:rFonts w:eastAsiaTheme="minorEastAsia"/>
          <w:noProof/>
          <w:kern w:val="2"/>
          <w14:ligatures w14:val="standardContextual"/>
        </w:rPr>
      </w:pPr>
      <w:hyperlink w:anchor="_Toc220152296" w:history="1">
        <w:r w:rsidRPr="00BE2DA0">
          <w:rPr>
            <w:rStyle w:val="Hyperlink"/>
            <w:noProof/>
          </w:rPr>
          <w:t>Quality Assurance Process</w:t>
        </w:r>
        <w:r w:rsidRPr="00BE2DA0">
          <w:rPr>
            <w:noProof/>
            <w:webHidden/>
          </w:rPr>
          <w:tab/>
        </w:r>
        <w:r w:rsidRPr="00BE2DA0">
          <w:rPr>
            <w:noProof/>
            <w:webHidden/>
          </w:rPr>
          <w:fldChar w:fldCharType="begin"/>
        </w:r>
        <w:r w:rsidRPr="00BE2DA0">
          <w:rPr>
            <w:noProof/>
            <w:webHidden/>
          </w:rPr>
          <w:instrText xml:space="preserve"> PAGEREF _Toc220152296 \h </w:instrText>
        </w:r>
        <w:r w:rsidRPr="00BE2DA0">
          <w:rPr>
            <w:noProof/>
            <w:webHidden/>
          </w:rPr>
        </w:r>
        <w:r w:rsidRPr="00BE2DA0">
          <w:rPr>
            <w:noProof/>
            <w:webHidden/>
          </w:rPr>
          <w:fldChar w:fldCharType="separate"/>
        </w:r>
        <w:r w:rsidR="005D0832">
          <w:rPr>
            <w:noProof/>
            <w:webHidden/>
          </w:rPr>
          <w:t>103</w:t>
        </w:r>
        <w:r w:rsidRPr="00BE2DA0">
          <w:rPr>
            <w:noProof/>
            <w:webHidden/>
          </w:rPr>
          <w:fldChar w:fldCharType="end"/>
        </w:r>
      </w:hyperlink>
    </w:p>
    <w:p w14:paraId="66E81E54" w14:textId="39F29285" w:rsidR="00731DF2" w:rsidRPr="00BE2DA0" w:rsidRDefault="00731DF2" w:rsidP="00BE2DA0">
      <w:pPr>
        <w:pStyle w:val="TOC2"/>
        <w:rPr>
          <w:rFonts w:eastAsiaTheme="minorEastAsia"/>
          <w:noProof/>
          <w:kern w:val="2"/>
          <w14:ligatures w14:val="standardContextual"/>
        </w:rPr>
      </w:pPr>
      <w:hyperlink w:anchor="_Toc220152297" w:history="1">
        <w:r w:rsidRPr="00BE2DA0">
          <w:rPr>
            <w:rStyle w:val="Hyperlink"/>
            <w:noProof/>
          </w:rPr>
          <w:t>Supporting Documentation</w:t>
        </w:r>
        <w:r w:rsidRPr="00BE2DA0">
          <w:rPr>
            <w:noProof/>
            <w:webHidden/>
          </w:rPr>
          <w:tab/>
        </w:r>
        <w:r w:rsidRPr="00BE2DA0">
          <w:rPr>
            <w:noProof/>
            <w:webHidden/>
          </w:rPr>
          <w:fldChar w:fldCharType="begin"/>
        </w:r>
        <w:r w:rsidRPr="00BE2DA0">
          <w:rPr>
            <w:noProof/>
            <w:webHidden/>
          </w:rPr>
          <w:instrText xml:space="preserve"> PAGEREF _Toc220152297 \h </w:instrText>
        </w:r>
        <w:r w:rsidRPr="00BE2DA0">
          <w:rPr>
            <w:noProof/>
            <w:webHidden/>
          </w:rPr>
        </w:r>
        <w:r w:rsidRPr="00BE2DA0">
          <w:rPr>
            <w:noProof/>
            <w:webHidden/>
          </w:rPr>
          <w:fldChar w:fldCharType="separate"/>
        </w:r>
        <w:r w:rsidR="005D0832">
          <w:rPr>
            <w:noProof/>
            <w:webHidden/>
          </w:rPr>
          <w:t>104</w:t>
        </w:r>
        <w:r w:rsidRPr="00BE2DA0">
          <w:rPr>
            <w:noProof/>
            <w:webHidden/>
          </w:rPr>
          <w:fldChar w:fldCharType="end"/>
        </w:r>
      </w:hyperlink>
    </w:p>
    <w:p w14:paraId="71E05BAC" w14:textId="462A9323" w:rsidR="00731DF2" w:rsidRPr="00BE2DA0" w:rsidRDefault="00731DF2" w:rsidP="00BE2DA0">
      <w:pPr>
        <w:pStyle w:val="TOC2"/>
        <w:rPr>
          <w:rFonts w:eastAsiaTheme="minorEastAsia"/>
          <w:noProof/>
          <w:kern w:val="2"/>
          <w14:ligatures w14:val="standardContextual"/>
        </w:rPr>
      </w:pPr>
      <w:hyperlink w:anchor="_Toc220152298" w:history="1">
        <w:r w:rsidRPr="00BE2DA0">
          <w:rPr>
            <w:rStyle w:val="Hyperlink"/>
            <w:noProof/>
          </w:rPr>
          <w:t>Confirmation Statement</w:t>
        </w:r>
        <w:r w:rsidRPr="00BE2DA0">
          <w:rPr>
            <w:noProof/>
            <w:webHidden/>
          </w:rPr>
          <w:tab/>
        </w:r>
        <w:r w:rsidRPr="00BE2DA0">
          <w:rPr>
            <w:noProof/>
            <w:webHidden/>
          </w:rPr>
          <w:fldChar w:fldCharType="begin"/>
        </w:r>
        <w:r w:rsidRPr="00BE2DA0">
          <w:rPr>
            <w:noProof/>
            <w:webHidden/>
          </w:rPr>
          <w:instrText xml:space="preserve"> PAGEREF _Toc220152298 \h </w:instrText>
        </w:r>
        <w:r w:rsidRPr="00BE2DA0">
          <w:rPr>
            <w:noProof/>
            <w:webHidden/>
          </w:rPr>
        </w:r>
        <w:r w:rsidRPr="00BE2DA0">
          <w:rPr>
            <w:noProof/>
            <w:webHidden/>
          </w:rPr>
          <w:fldChar w:fldCharType="separate"/>
        </w:r>
        <w:r w:rsidR="005D0832">
          <w:rPr>
            <w:noProof/>
            <w:webHidden/>
          </w:rPr>
          <w:t>104</w:t>
        </w:r>
        <w:r w:rsidRPr="00BE2DA0">
          <w:rPr>
            <w:noProof/>
            <w:webHidden/>
          </w:rPr>
          <w:fldChar w:fldCharType="end"/>
        </w:r>
      </w:hyperlink>
    </w:p>
    <w:p w14:paraId="4C4F1118" w14:textId="77777777" w:rsidR="00BE2DA0" w:rsidRDefault="00CC5107" w:rsidP="00BE2DA0">
      <w:pPr>
        <w:pStyle w:val="BodyText"/>
        <w:spacing w:after="0"/>
      </w:pPr>
      <w:r w:rsidRPr="00BE2DA0">
        <w:fldChar w:fldCharType="end"/>
      </w:r>
    </w:p>
    <w:p w14:paraId="53CAACF8" w14:textId="215A85A1" w:rsidR="00BE2DA0" w:rsidRDefault="00BE2DA0" w:rsidP="00BE2DA0">
      <w:pPr>
        <w:spacing w:after="160" w:line="259" w:lineRule="auto"/>
      </w:pPr>
      <w:r>
        <w:br w:type="page"/>
      </w:r>
    </w:p>
    <w:p w14:paraId="21F5D981" w14:textId="104FA9C0" w:rsidR="00AB3F4E" w:rsidRPr="00624BBC" w:rsidRDefault="00AB3F4E" w:rsidP="009B151B">
      <w:pPr>
        <w:pStyle w:val="BodyText"/>
        <w:spacing w:after="480"/>
      </w:pPr>
      <w:r w:rsidRPr="00963A58">
        <w:rPr>
          <w:sz w:val="40"/>
          <w:szCs w:val="40"/>
        </w:rPr>
        <w:lastRenderedPageBreak/>
        <w:t>List of Figures</w:t>
      </w:r>
    </w:p>
    <w:p w14:paraId="32715289" w14:textId="0641E9A8" w:rsidR="00FB6993" w:rsidRPr="00FB6993" w:rsidRDefault="006F62AB" w:rsidP="00FB6993">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FB6993">
        <w:fldChar w:fldCharType="begin"/>
      </w:r>
      <w:r w:rsidRPr="00FB6993">
        <w:instrText xml:space="preserve"> TOC \f F \t "Caption" \c </w:instrText>
      </w:r>
      <w:r w:rsidRPr="00FB6993">
        <w:fldChar w:fldCharType="separate"/>
      </w:r>
      <w:r w:rsidR="00FB6993" w:rsidRPr="00FB6993">
        <w:rPr>
          <w:noProof/>
        </w:rPr>
        <w:t>Figure 1.1: Evolution from Traditional Buildings to Integrated Digital Twin Systems</w:t>
      </w:r>
      <w:r w:rsidR="00FB6993" w:rsidRPr="00FB6993">
        <w:rPr>
          <w:noProof/>
        </w:rPr>
        <w:tab/>
      </w:r>
      <w:r w:rsidR="00FB6993" w:rsidRPr="00FB6993">
        <w:rPr>
          <w:noProof/>
        </w:rPr>
        <w:fldChar w:fldCharType="begin"/>
      </w:r>
      <w:r w:rsidR="00FB6993" w:rsidRPr="00FB6993">
        <w:rPr>
          <w:noProof/>
        </w:rPr>
        <w:instrText xml:space="preserve"> PAGEREF _Toc223079106 \h </w:instrText>
      </w:r>
      <w:r w:rsidR="00FB6993" w:rsidRPr="00FB6993">
        <w:rPr>
          <w:noProof/>
        </w:rPr>
      </w:r>
      <w:r w:rsidR="00FB6993" w:rsidRPr="00FB6993">
        <w:rPr>
          <w:noProof/>
        </w:rPr>
        <w:fldChar w:fldCharType="separate"/>
      </w:r>
      <w:r w:rsidR="008177D6">
        <w:rPr>
          <w:noProof/>
        </w:rPr>
        <w:t>2</w:t>
      </w:r>
      <w:r w:rsidR="00FB6993" w:rsidRPr="00FB6993">
        <w:rPr>
          <w:noProof/>
        </w:rPr>
        <w:fldChar w:fldCharType="end"/>
      </w:r>
    </w:p>
    <w:p w14:paraId="554E0774" w14:textId="7F218952" w:rsidR="00FB6993" w:rsidRPr="00FB6993" w:rsidRDefault="00FB6993" w:rsidP="00FB6993">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FB6993">
        <w:rPr>
          <w:noProof/>
          <w:color w:val="000000" w:themeColor="text1"/>
        </w:rPr>
        <w:t>Figure 2.1: Digital Twin Data Flow Architecture for M&amp;E Systems</w:t>
      </w:r>
      <w:r w:rsidRPr="00FB6993">
        <w:rPr>
          <w:noProof/>
        </w:rPr>
        <w:tab/>
      </w:r>
      <w:r w:rsidRPr="00FB6993">
        <w:rPr>
          <w:noProof/>
        </w:rPr>
        <w:fldChar w:fldCharType="begin"/>
      </w:r>
      <w:r w:rsidRPr="00FB6993">
        <w:rPr>
          <w:noProof/>
        </w:rPr>
        <w:instrText xml:space="preserve"> PAGEREF _Toc223079110 \h </w:instrText>
      </w:r>
      <w:r w:rsidRPr="00FB6993">
        <w:rPr>
          <w:noProof/>
        </w:rPr>
      </w:r>
      <w:r w:rsidRPr="00FB6993">
        <w:rPr>
          <w:noProof/>
        </w:rPr>
        <w:fldChar w:fldCharType="separate"/>
      </w:r>
      <w:r w:rsidR="008177D6">
        <w:rPr>
          <w:noProof/>
        </w:rPr>
        <w:t>17</w:t>
      </w:r>
      <w:r w:rsidRPr="00FB6993">
        <w:rPr>
          <w:noProof/>
        </w:rPr>
        <w:fldChar w:fldCharType="end"/>
      </w:r>
    </w:p>
    <w:p w14:paraId="2D80C93B" w14:textId="00937266" w:rsidR="00FB6993" w:rsidRPr="00FB6993" w:rsidRDefault="00FB6993" w:rsidP="00FB6993">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FB6993">
        <w:rPr>
          <w:noProof/>
        </w:rPr>
        <w:t>Figure 2.2: Three-Domain Conceptual Framework</w:t>
      </w:r>
      <w:r w:rsidRPr="00FB6993">
        <w:rPr>
          <w:noProof/>
        </w:rPr>
        <w:tab/>
      </w:r>
      <w:r w:rsidRPr="00FB6993">
        <w:rPr>
          <w:noProof/>
        </w:rPr>
        <w:fldChar w:fldCharType="begin"/>
      </w:r>
      <w:r w:rsidRPr="00FB6993">
        <w:rPr>
          <w:noProof/>
        </w:rPr>
        <w:instrText xml:space="preserve"> PAGEREF _Toc223079111 \h </w:instrText>
      </w:r>
      <w:r w:rsidRPr="00FB6993">
        <w:rPr>
          <w:noProof/>
        </w:rPr>
      </w:r>
      <w:r w:rsidRPr="00FB6993">
        <w:rPr>
          <w:noProof/>
        </w:rPr>
        <w:fldChar w:fldCharType="separate"/>
      </w:r>
      <w:r w:rsidR="008177D6">
        <w:rPr>
          <w:noProof/>
        </w:rPr>
        <w:t>21</w:t>
      </w:r>
      <w:r w:rsidRPr="00FB6993">
        <w:rPr>
          <w:noProof/>
        </w:rPr>
        <w:fldChar w:fldCharType="end"/>
      </w:r>
    </w:p>
    <w:p w14:paraId="6B5D7FAA" w14:textId="7A2C0F5C" w:rsidR="00FB6993" w:rsidRPr="00FB6993" w:rsidRDefault="00FB6993" w:rsidP="00FB6993">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FB6993">
        <w:rPr>
          <w:noProof/>
        </w:rPr>
        <w:t>Figure 3.1: Research Design: Mixed Methods Approach</w:t>
      </w:r>
      <w:r w:rsidRPr="00FB6993">
        <w:rPr>
          <w:noProof/>
        </w:rPr>
        <w:tab/>
      </w:r>
      <w:r w:rsidRPr="00FB6993">
        <w:rPr>
          <w:noProof/>
        </w:rPr>
        <w:fldChar w:fldCharType="begin"/>
      </w:r>
      <w:r w:rsidRPr="00FB6993">
        <w:rPr>
          <w:noProof/>
        </w:rPr>
        <w:instrText xml:space="preserve"> PAGEREF _Toc223079113 \h </w:instrText>
      </w:r>
      <w:r w:rsidRPr="00FB6993">
        <w:rPr>
          <w:noProof/>
        </w:rPr>
      </w:r>
      <w:r w:rsidRPr="00FB6993">
        <w:rPr>
          <w:noProof/>
        </w:rPr>
        <w:fldChar w:fldCharType="separate"/>
      </w:r>
      <w:r w:rsidR="008177D6">
        <w:rPr>
          <w:noProof/>
        </w:rPr>
        <w:t>27</w:t>
      </w:r>
      <w:r w:rsidRPr="00FB6993">
        <w:rPr>
          <w:noProof/>
        </w:rPr>
        <w:fldChar w:fldCharType="end"/>
      </w:r>
    </w:p>
    <w:p w14:paraId="319F9D3B" w14:textId="0FE9A439" w:rsidR="00FB6993" w:rsidRPr="00FB6993" w:rsidRDefault="00FB6993" w:rsidP="00FB6993">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FB6993">
        <w:rPr>
          <w:noProof/>
        </w:rPr>
        <w:t>Figure 4.1: Survey Respondents by Professional Role (n=87)</w:t>
      </w:r>
      <w:r w:rsidRPr="00FB6993">
        <w:rPr>
          <w:noProof/>
        </w:rPr>
        <w:tab/>
      </w:r>
      <w:r w:rsidRPr="00FB6993">
        <w:rPr>
          <w:noProof/>
        </w:rPr>
        <w:fldChar w:fldCharType="begin"/>
      </w:r>
      <w:r w:rsidRPr="00FB6993">
        <w:rPr>
          <w:noProof/>
        </w:rPr>
        <w:instrText xml:space="preserve"> PAGEREF _Toc223079119 \h </w:instrText>
      </w:r>
      <w:r w:rsidRPr="00FB6993">
        <w:rPr>
          <w:noProof/>
        </w:rPr>
      </w:r>
      <w:r w:rsidRPr="00FB6993">
        <w:rPr>
          <w:noProof/>
        </w:rPr>
        <w:fldChar w:fldCharType="separate"/>
      </w:r>
      <w:r w:rsidR="008177D6">
        <w:rPr>
          <w:noProof/>
        </w:rPr>
        <w:t>40</w:t>
      </w:r>
      <w:r w:rsidRPr="00FB6993">
        <w:rPr>
          <w:noProof/>
        </w:rPr>
        <w:fldChar w:fldCharType="end"/>
      </w:r>
    </w:p>
    <w:p w14:paraId="1A37C414" w14:textId="754DDB29" w:rsidR="00FB6993" w:rsidRPr="00FB6993" w:rsidRDefault="00FB6993" w:rsidP="00FB6993">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FB6993">
        <w:rPr>
          <w:noProof/>
        </w:rPr>
        <w:t>Figure 4.2: Survey Respondents by Organisation Type (n=87)</w:t>
      </w:r>
      <w:r w:rsidRPr="00FB6993">
        <w:rPr>
          <w:noProof/>
        </w:rPr>
        <w:tab/>
      </w:r>
      <w:r w:rsidRPr="00FB6993">
        <w:rPr>
          <w:noProof/>
        </w:rPr>
        <w:fldChar w:fldCharType="begin"/>
      </w:r>
      <w:r w:rsidRPr="00FB6993">
        <w:rPr>
          <w:noProof/>
        </w:rPr>
        <w:instrText xml:space="preserve"> PAGEREF _Toc223079121 \h </w:instrText>
      </w:r>
      <w:r w:rsidRPr="00FB6993">
        <w:rPr>
          <w:noProof/>
        </w:rPr>
      </w:r>
      <w:r w:rsidRPr="00FB6993">
        <w:rPr>
          <w:noProof/>
        </w:rPr>
        <w:fldChar w:fldCharType="separate"/>
      </w:r>
      <w:r w:rsidR="008177D6">
        <w:rPr>
          <w:noProof/>
        </w:rPr>
        <w:t>41</w:t>
      </w:r>
      <w:r w:rsidRPr="00FB6993">
        <w:rPr>
          <w:noProof/>
        </w:rPr>
        <w:fldChar w:fldCharType="end"/>
      </w:r>
    </w:p>
    <w:p w14:paraId="6869F859" w14:textId="4119A300" w:rsidR="00FB6993" w:rsidRPr="00FB6993" w:rsidRDefault="00FB6993" w:rsidP="00FB6993">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FB6993">
        <w:rPr>
          <w:noProof/>
        </w:rPr>
        <w:t>Figure 4.3: Survey Respondents by Experience Level (n=87)</w:t>
      </w:r>
      <w:r w:rsidRPr="00FB6993">
        <w:rPr>
          <w:noProof/>
        </w:rPr>
        <w:tab/>
      </w:r>
      <w:r w:rsidRPr="00FB6993">
        <w:rPr>
          <w:noProof/>
        </w:rPr>
        <w:fldChar w:fldCharType="begin"/>
      </w:r>
      <w:r w:rsidRPr="00FB6993">
        <w:rPr>
          <w:noProof/>
        </w:rPr>
        <w:instrText xml:space="preserve"> PAGEREF _Toc223079122 \h </w:instrText>
      </w:r>
      <w:r w:rsidRPr="00FB6993">
        <w:rPr>
          <w:noProof/>
        </w:rPr>
      </w:r>
      <w:r w:rsidRPr="00FB6993">
        <w:rPr>
          <w:noProof/>
        </w:rPr>
        <w:fldChar w:fldCharType="separate"/>
      </w:r>
      <w:r w:rsidR="008177D6">
        <w:rPr>
          <w:noProof/>
        </w:rPr>
        <w:t>41</w:t>
      </w:r>
      <w:r w:rsidRPr="00FB6993">
        <w:rPr>
          <w:noProof/>
        </w:rPr>
        <w:fldChar w:fldCharType="end"/>
      </w:r>
    </w:p>
    <w:p w14:paraId="18BA325D" w14:textId="7EDEF5C4" w:rsidR="00FB6993" w:rsidRPr="00FB6993" w:rsidRDefault="00FB6993" w:rsidP="00FB6993">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FB6993">
        <w:rPr>
          <w:noProof/>
        </w:rPr>
        <w:t>Figure 4.4: Current AI/Digital Twin Adoption Status (n=87)</w:t>
      </w:r>
      <w:r w:rsidRPr="00FB6993">
        <w:rPr>
          <w:noProof/>
        </w:rPr>
        <w:tab/>
      </w:r>
      <w:r w:rsidRPr="00FB6993">
        <w:rPr>
          <w:noProof/>
        </w:rPr>
        <w:fldChar w:fldCharType="begin"/>
      </w:r>
      <w:r w:rsidRPr="00FB6993">
        <w:rPr>
          <w:noProof/>
        </w:rPr>
        <w:instrText xml:space="preserve"> PAGEREF _Toc223079124 \h </w:instrText>
      </w:r>
      <w:r w:rsidRPr="00FB6993">
        <w:rPr>
          <w:noProof/>
        </w:rPr>
      </w:r>
      <w:r w:rsidRPr="00FB6993">
        <w:rPr>
          <w:noProof/>
        </w:rPr>
        <w:fldChar w:fldCharType="separate"/>
      </w:r>
      <w:r w:rsidR="008177D6">
        <w:rPr>
          <w:noProof/>
        </w:rPr>
        <w:t>43</w:t>
      </w:r>
      <w:r w:rsidRPr="00FB6993">
        <w:rPr>
          <w:noProof/>
        </w:rPr>
        <w:fldChar w:fldCharType="end"/>
      </w:r>
    </w:p>
    <w:p w14:paraId="1705D588" w14:textId="44933E16" w:rsidR="00FB6993" w:rsidRPr="00FB6993" w:rsidRDefault="00FB6993" w:rsidP="00FB6993">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FB6993">
        <w:rPr>
          <w:noProof/>
        </w:rPr>
        <w:t>Figure 4.5: Technology Familiarity Ratings (n=87)</w:t>
      </w:r>
      <w:r w:rsidRPr="00FB6993">
        <w:rPr>
          <w:noProof/>
        </w:rPr>
        <w:tab/>
      </w:r>
      <w:r w:rsidRPr="00FB6993">
        <w:rPr>
          <w:noProof/>
        </w:rPr>
        <w:fldChar w:fldCharType="begin"/>
      </w:r>
      <w:r w:rsidRPr="00FB6993">
        <w:rPr>
          <w:noProof/>
        </w:rPr>
        <w:instrText xml:space="preserve"> PAGEREF _Toc223079126 \h </w:instrText>
      </w:r>
      <w:r w:rsidRPr="00FB6993">
        <w:rPr>
          <w:noProof/>
        </w:rPr>
      </w:r>
      <w:r w:rsidRPr="00FB6993">
        <w:rPr>
          <w:noProof/>
        </w:rPr>
        <w:fldChar w:fldCharType="separate"/>
      </w:r>
      <w:r w:rsidR="008177D6">
        <w:rPr>
          <w:noProof/>
        </w:rPr>
        <w:t>44</w:t>
      </w:r>
      <w:r w:rsidRPr="00FB6993">
        <w:rPr>
          <w:noProof/>
        </w:rPr>
        <w:fldChar w:fldCharType="end"/>
      </w:r>
    </w:p>
    <w:p w14:paraId="2E675519" w14:textId="22B08A26" w:rsidR="00FB6993" w:rsidRPr="00FB6993" w:rsidRDefault="00FB6993" w:rsidP="00FB6993">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FB6993">
        <w:rPr>
          <w:noProof/>
        </w:rPr>
        <w:t>Figure 4.</w:t>
      </w:r>
      <w:r w:rsidR="0010076A">
        <w:rPr>
          <w:noProof/>
        </w:rPr>
        <w:t>6</w:t>
      </w:r>
      <w:r w:rsidRPr="00FB6993">
        <w:rPr>
          <w:noProof/>
        </w:rPr>
        <w:t>: Perceived Benefits of AI/Digital Twin Technologies (n=87)</w:t>
      </w:r>
      <w:r w:rsidRPr="00FB6993">
        <w:rPr>
          <w:noProof/>
        </w:rPr>
        <w:tab/>
      </w:r>
      <w:r w:rsidRPr="00FB6993">
        <w:rPr>
          <w:noProof/>
        </w:rPr>
        <w:fldChar w:fldCharType="begin"/>
      </w:r>
      <w:r w:rsidRPr="00FB6993">
        <w:rPr>
          <w:noProof/>
        </w:rPr>
        <w:instrText xml:space="preserve"> PAGEREF _Toc223079128 \h </w:instrText>
      </w:r>
      <w:r w:rsidRPr="00FB6993">
        <w:rPr>
          <w:noProof/>
        </w:rPr>
      </w:r>
      <w:r w:rsidRPr="00FB6993">
        <w:rPr>
          <w:noProof/>
        </w:rPr>
        <w:fldChar w:fldCharType="separate"/>
      </w:r>
      <w:r w:rsidR="008177D6">
        <w:rPr>
          <w:noProof/>
        </w:rPr>
        <w:t>46</w:t>
      </w:r>
      <w:r w:rsidRPr="00FB6993">
        <w:rPr>
          <w:noProof/>
        </w:rPr>
        <w:fldChar w:fldCharType="end"/>
      </w:r>
    </w:p>
    <w:p w14:paraId="0AAA2469" w14:textId="3844D8A9" w:rsidR="00FB6993" w:rsidRPr="00FB6993" w:rsidRDefault="00FB6993" w:rsidP="00FB6993">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FB6993">
        <w:rPr>
          <w:noProof/>
        </w:rPr>
        <w:t>Figure 4.</w:t>
      </w:r>
      <w:r w:rsidR="0010076A">
        <w:rPr>
          <w:noProof/>
        </w:rPr>
        <w:t>7</w:t>
      </w:r>
      <w:r w:rsidRPr="00FB6993">
        <w:rPr>
          <w:noProof/>
        </w:rPr>
        <w:t>: Perceived Barriers to AI/Digital Twin Adoption (n=87)</w:t>
      </w:r>
      <w:r w:rsidRPr="00FB6993">
        <w:rPr>
          <w:noProof/>
        </w:rPr>
        <w:tab/>
      </w:r>
      <w:r w:rsidRPr="00FB6993">
        <w:rPr>
          <w:noProof/>
        </w:rPr>
        <w:fldChar w:fldCharType="begin"/>
      </w:r>
      <w:r w:rsidRPr="00FB6993">
        <w:rPr>
          <w:noProof/>
        </w:rPr>
        <w:instrText xml:space="preserve"> PAGEREF _Toc223079130 \h </w:instrText>
      </w:r>
      <w:r w:rsidRPr="00FB6993">
        <w:rPr>
          <w:noProof/>
        </w:rPr>
      </w:r>
      <w:r w:rsidRPr="00FB6993">
        <w:rPr>
          <w:noProof/>
        </w:rPr>
        <w:fldChar w:fldCharType="separate"/>
      </w:r>
      <w:r w:rsidR="008177D6">
        <w:rPr>
          <w:noProof/>
        </w:rPr>
        <w:t>47</w:t>
      </w:r>
      <w:r w:rsidRPr="00FB6993">
        <w:rPr>
          <w:noProof/>
        </w:rPr>
        <w:fldChar w:fldCharType="end"/>
      </w:r>
    </w:p>
    <w:p w14:paraId="050BFD37" w14:textId="4A13F865" w:rsidR="00FB6993" w:rsidRPr="00FB6993" w:rsidRDefault="00FB6993" w:rsidP="00FB6993">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FB6993">
        <w:rPr>
          <w:noProof/>
        </w:rPr>
        <w:t>Figure 4.</w:t>
      </w:r>
      <w:r w:rsidR="0010076A">
        <w:rPr>
          <w:noProof/>
        </w:rPr>
        <w:t>8</w:t>
      </w:r>
      <w:r w:rsidRPr="00FB6993">
        <w:rPr>
          <w:noProof/>
        </w:rPr>
        <w:t>: Self-Reported Organisational Readiness (n=87)</w:t>
      </w:r>
      <w:r w:rsidRPr="00FB6993">
        <w:rPr>
          <w:noProof/>
        </w:rPr>
        <w:tab/>
      </w:r>
      <w:r w:rsidRPr="00FB6993">
        <w:rPr>
          <w:noProof/>
        </w:rPr>
        <w:fldChar w:fldCharType="begin"/>
      </w:r>
      <w:r w:rsidRPr="00FB6993">
        <w:rPr>
          <w:noProof/>
        </w:rPr>
        <w:instrText xml:space="preserve"> PAGEREF _Toc223079132 \h </w:instrText>
      </w:r>
      <w:r w:rsidRPr="00FB6993">
        <w:rPr>
          <w:noProof/>
        </w:rPr>
      </w:r>
      <w:r w:rsidRPr="00FB6993">
        <w:rPr>
          <w:noProof/>
        </w:rPr>
        <w:fldChar w:fldCharType="separate"/>
      </w:r>
      <w:r w:rsidR="008177D6">
        <w:rPr>
          <w:noProof/>
        </w:rPr>
        <w:t>49</w:t>
      </w:r>
      <w:r w:rsidRPr="00FB6993">
        <w:rPr>
          <w:noProof/>
        </w:rPr>
        <w:fldChar w:fldCharType="end"/>
      </w:r>
    </w:p>
    <w:p w14:paraId="1E96247E" w14:textId="0AAD6044" w:rsidR="00FB6993" w:rsidRPr="00FB6993" w:rsidRDefault="00FB6993" w:rsidP="00FB6993">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FB6993">
        <w:rPr>
          <w:noProof/>
        </w:rPr>
        <w:t>Figure 4.</w:t>
      </w:r>
      <w:r w:rsidR="0010076A">
        <w:rPr>
          <w:noProof/>
        </w:rPr>
        <w:t>9</w:t>
      </w:r>
      <w:r w:rsidRPr="00FB6993">
        <w:rPr>
          <w:noProof/>
        </w:rPr>
        <w:t>: Correlation Matrix – Key Variables</w:t>
      </w:r>
      <w:r w:rsidRPr="00FB6993">
        <w:rPr>
          <w:noProof/>
        </w:rPr>
        <w:tab/>
      </w:r>
      <w:r w:rsidRPr="00FB6993">
        <w:rPr>
          <w:noProof/>
        </w:rPr>
        <w:fldChar w:fldCharType="begin"/>
      </w:r>
      <w:r w:rsidRPr="00FB6993">
        <w:rPr>
          <w:noProof/>
        </w:rPr>
        <w:instrText xml:space="preserve"> PAGEREF _Toc223079134 \h </w:instrText>
      </w:r>
      <w:r w:rsidRPr="00FB6993">
        <w:rPr>
          <w:noProof/>
        </w:rPr>
      </w:r>
      <w:r w:rsidRPr="00FB6993">
        <w:rPr>
          <w:noProof/>
        </w:rPr>
        <w:fldChar w:fldCharType="separate"/>
      </w:r>
      <w:r w:rsidR="008177D6">
        <w:rPr>
          <w:noProof/>
        </w:rPr>
        <w:t>50</w:t>
      </w:r>
      <w:r w:rsidRPr="00FB6993">
        <w:rPr>
          <w:noProof/>
        </w:rPr>
        <w:fldChar w:fldCharType="end"/>
      </w:r>
    </w:p>
    <w:p w14:paraId="5F3201C3" w14:textId="580983BB" w:rsidR="00FB6993" w:rsidRPr="00FB6993" w:rsidRDefault="00FB6993" w:rsidP="00FB6993">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FB6993">
        <w:rPr>
          <w:noProof/>
        </w:rPr>
        <w:t>Figure 4.10: Carbon/EUI Measurement Status (n=87)</w:t>
      </w:r>
      <w:r w:rsidRPr="00FB6993">
        <w:rPr>
          <w:noProof/>
        </w:rPr>
        <w:tab/>
      </w:r>
      <w:r w:rsidRPr="00FB6993">
        <w:rPr>
          <w:noProof/>
        </w:rPr>
        <w:fldChar w:fldCharType="begin"/>
      </w:r>
      <w:r w:rsidRPr="00FB6993">
        <w:rPr>
          <w:noProof/>
        </w:rPr>
        <w:instrText xml:space="preserve"> PAGEREF _Toc223079136 \h </w:instrText>
      </w:r>
      <w:r w:rsidRPr="00FB6993">
        <w:rPr>
          <w:noProof/>
        </w:rPr>
      </w:r>
      <w:r w:rsidRPr="00FB6993">
        <w:rPr>
          <w:noProof/>
        </w:rPr>
        <w:fldChar w:fldCharType="separate"/>
      </w:r>
      <w:r w:rsidR="008177D6">
        <w:rPr>
          <w:noProof/>
        </w:rPr>
        <w:t>51</w:t>
      </w:r>
      <w:r w:rsidRPr="00FB6993">
        <w:rPr>
          <w:noProof/>
        </w:rPr>
        <w:fldChar w:fldCharType="end"/>
      </w:r>
    </w:p>
    <w:p w14:paraId="253A0860" w14:textId="6C8B98C1" w:rsidR="00FB6993" w:rsidRPr="00FB6993" w:rsidRDefault="00FB6993" w:rsidP="00FB6993">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FB6993">
        <w:rPr>
          <w:noProof/>
        </w:rPr>
        <w:t>Figure 4.11: Primary Policy Framework Influence (n=87)</w:t>
      </w:r>
      <w:r w:rsidRPr="00FB6993">
        <w:rPr>
          <w:noProof/>
        </w:rPr>
        <w:tab/>
      </w:r>
      <w:r w:rsidRPr="00FB6993">
        <w:rPr>
          <w:noProof/>
        </w:rPr>
        <w:fldChar w:fldCharType="begin"/>
      </w:r>
      <w:r w:rsidRPr="00FB6993">
        <w:rPr>
          <w:noProof/>
        </w:rPr>
        <w:instrText xml:space="preserve"> PAGEREF _Toc223079138 \h </w:instrText>
      </w:r>
      <w:r w:rsidRPr="00FB6993">
        <w:rPr>
          <w:noProof/>
        </w:rPr>
      </w:r>
      <w:r w:rsidRPr="00FB6993">
        <w:rPr>
          <w:noProof/>
        </w:rPr>
        <w:fldChar w:fldCharType="separate"/>
      </w:r>
      <w:r w:rsidR="008177D6">
        <w:rPr>
          <w:noProof/>
        </w:rPr>
        <w:t>52</w:t>
      </w:r>
      <w:r w:rsidRPr="00FB6993">
        <w:rPr>
          <w:noProof/>
        </w:rPr>
        <w:fldChar w:fldCharType="end"/>
      </w:r>
    </w:p>
    <w:p w14:paraId="083F7FBC" w14:textId="61062FA3" w:rsidR="00FB6993" w:rsidRPr="00FB6993" w:rsidRDefault="00FB6993" w:rsidP="00FB6993">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FB6993">
        <w:rPr>
          <w:noProof/>
        </w:rPr>
        <w:t>Figure 4.12: Three-Domain Framework Assessment</w:t>
      </w:r>
      <w:r w:rsidRPr="00FB6993">
        <w:rPr>
          <w:noProof/>
        </w:rPr>
        <w:tab/>
      </w:r>
      <w:r w:rsidRPr="00FB6993">
        <w:rPr>
          <w:noProof/>
        </w:rPr>
        <w:fldChar w:fldCharType="begin"/>
      </w:r>
      <w:r w:rsidRPr="00FB6993">
        <w:rPr>
          <w:noProof/>
        </w:rPr>
        <w:instrText xml:space="preserve"> PAGEREF _Toc223079140 \h </w:instrText>
      </w:r>
      <w:r w:rsidRPr="00FB6993">
        <w:rPr>
          <w:noProof/>
        </w:rPr>
      </w:r>
      <w:r w:rsidRPr="00FB6993">
        <w:rPr>
          <w:noProof/>
        </w:rPr>
        <w:fldChar w:fldCharType="separate"/>
      </w:r>
      <w:r w:rsidR="008177D6">
        <w:rPr>
          <w:noProof/>
        </w:rPr>
        <w:t>53</w:t>
      </w:r>
      <w:r w:rsidRPr="00FB6993">
        <w:rPr>
          <w:noProof/>
        </w:rPr>
        <w:fldChar w:fldCharType="end"/>
      </w:r>
    </w:p>
    <w:p w14:paraId="07140D0B" w14:textId="5499C43E" w:rsidR="00FB6993" w:rsidRPr="00FB6993" w:rsidRDefault="00FB6993" w:rsidP="00FB6993">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FB6993">
        <w:rPr>
          <w:noProof/>
          <w:color w:val="000000" w:themeColor="text1"/>
        </w:rPr>
        <w:t>Figure 4.13: Summary of Key Research Findings – Digital Twin Adoption in UK FE Sector</w:t>
      </w:r>
      <w:r w:rsidRPr="00FB6993">
        <w:rPr>
          <w:noProof/>
        </w:rPr>
        <w:tab/>
      </w:r>
      <w:r w:rsidRPr="00FB6993">
        <w:rPr>
          <w:noProof/>
        </w:rPr>
        <w:fldChar w:fldCharType="begin"/>
      </w:r>
      <w:r w:rsidRPr="00FB6993">
        <w:rPr>
          <w:noProof/>
        </w:rPr>
        <w:instrText xml:space="preserve"> PAGEREF _Toc223079141 \h </w:instrText>
      </w:r>
      <w:r w:rsidRPr="00FB6993">
        <w:rPr>
          <w:noProof/>
        </w:rPr>
      </w:r>
      <w:r w:rsidRPr="00FB6993">
        <w:rPr>
          <w:noProof/>
        </w:rPr>
        <w:fldChar w:fldCharType="separate"/>
      </w:r>
      <w:r w:rsidR="008177D6">
        <w:rPr>
          <w:noProof/>
        </w:rPr>
        <w:t>55</w:t>
      </w:r>
      <w:r w:rsidRPr="00FB6993">
        <w:rPr>
          <w:noProof/>
        </w:rPr>
        <w:fldChar w:fldCharType="end"/>
      </w:r>
    </w:p>
    <w:p w14:paraId="3C3290D9" w14:textId="5FD30C1D" w:rsidR="006F62AB" w:rsidRDefault="006F62AB" w:rsidP="00FB6993">
      <w:pPr>
        <w:tabs>
          <w:tab w:val="right" w:leader="dot" w:pos="9000"/>
        </w:tabs>
        <w:spacing w:line="360" w:lineRule="auto"/>
      </w:pPr>
      <w:r w:rsidRPr="00FB6993">
        <w:fldChar w:fldCharType="end"/>
      </w:r>
    </w:p>
    <w:p w14:paraId="3DC417BA" w14:textId="77777777" w:rsidR="006F62AB" w:rsidRDefault="006F62AB" w:rsidP="00BE2DA0">
      <w:pPr>
        <w:tabs>
          <w:tab w:val="right" w:leader="dot" w:pos="9000"/>
        </w:tabs>
        <w:spacing w:line="360" w:lineRule="auto"/>
      </w:pPr>
    </w:p>
    <w:p w14:paraId="1658253C" w14:textId="26CF1203" w:rsidR="00705B4B" w:rsidRDefault="000520F8" w:rsidP="00BE2DA0">
      <w:pPr>
        <w:tabs>
          <w:tab w:val="right" w:leader="dot" w:pos="9000"/>
        </w:tabs>
        <w:spacing w:line="360" w:lineRule="auto"/>
      </w:pPr>
      <w:r>
        <w:br w:type="page"/>
      </w:r>
    </w:p>
    <w:p w14:paraId="24B33743" w14:textId="11665BDE" w:rsidR="002A1DD2" w:rsidRPr="00963A58" w:rsidRDefault="002A1DD2" w:rsidP="009B151B">
      <w:pPr>
        <w:spacing w:after="480"/>
        <w:rPr>
          <w:sz w:val="40"/>
          <w:szCs w:val="40"/>
        </w:rPr>
      </w:pPr>
      <w:r w:rsidRPr="00963A58">
        <w:rPr>
          <w:sz w:val="40"/>
          <w:szCs w:val="40"/>
        </w:rPr>
        <w:lastRenderedPageBreak/>
        <w:t>List of Tables</w:t>
      </w:r>
    </w:p>
    <w:p w14:paraId="2E49A2A4" w14:textId="6A2ED67B" w:rsidR="00731DF2" w:rsidRPr="00BE2DA0" w:rsidRDefault="007900BB"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fldChar w:fldCharType="begin"/>
      </w:r>
      <w:r w:rsidRPr="00BE2DA0">
        <w:instrText xml:space="preserve"> TOC \c "Table" </w:instrText>
      </w:r>
      <w:r w:rsidRPr="00BE2DA0">
        <w:fldChar w:fldCharType="separate"/>
      </w:r>
      <w:r w:rsidR="00731DF2" w:rsidRPr="00BE2DA0">
        <w:rPr>
          <w:noProof/>
        </w:rPr>
        <w:t>Table 1.1: Research Questions and Objectives Alignment</w:t>
      </w:r>
      <w:r w:rsidR="00731DF2" w:rsidRPr="00BE2DA0">
        <w:rPr>
          <w:noProof/>
        </w:rPr>
        <w:tab/>
      </w:r>
      <w:r w:rsidR="00731DF2" w:rsidRPr="00BE2DA0">
        <w:rPr>
          <w:noProof/>
        </w:rPr>
        <w:fldChar w:fldCharType="begin"/>
      </w:r>
      <w:r w:rsidR="00731DF2" w:rsidRPr="00BE2DA0">
        <w:rPr>
          <w:noProof/>
        </w:rPr>
        <w:instrText xml:space="preserve"> PAGEREF _Toc220151980 \h </w:instrText>
      </w:r>
      <w:r w:rsidR="00731DF2" w:rsidRPr="00BE2DA0">
        <w:rPr>
          <w:noProof/>
        </w:rPr>
      </w:r>
      <w:r w:rsidR="00731DF2" w:rsidRPr="00BE2DA0">
        <w:rPr>
          <w:noProof/>
        </w:rPr>
        <w:fldChar w:fldCharType="separate"/>
      </w:r>
      <w:r w:rsidR="008177D6">
        <w:rPr>
          <w:noProof/>
        </w:rPr>
        <w:t>5</w:t>
      </w:r>
      <w:r w:rsidR="00731DF2" w:rsidRPr="00BE2DA0">
        <w:rPr>
          <w:noProof/>
        </w:rPr>
        <w:fldChar w:fldCharType="end"/>
      </w:r>
    </w:p>
    <w:p w14:paraId="59F141DF" w14:textId="39EBD215"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1.2: Dissertation Structure Overview</w:t>
      </w:r>
      <w:r w:rsidRPr="00BE2DA0">
        <w:rPr>
          <w:noProof/>
        </w:rPr>
        <w:tab/>
      </w:r>
      <w:r w:rsidRPr="00BE2DA0">
        <w:rPr>
          <w:noProof/>
        </w:rPr>
        <w:fldChar w:fldCharType="begin"/>
      </w:r>
      <w:r w:rsidRPr="00BE2DA0">
        <w:rPr>
          <w:noProof/>
        </w:rPr>
        <w:instrText xml:space="preserve"> PAGEREF _Toc220151981 \h </w:instrText>
      </w:r>
      <w:r w:rsidRPr="00BE2DA0">
        <w:rPr>
          <w:noProof/>
        </w:rPr>
      </w:r>
      <w:r w:rsidRPr="00BE2DA0">
        <w:rPr>
          <w:noProof/>
        </w:rPr>
        <w:fldChar w:fldCharType="separate"/>
      </w:r>
      <w:r w:rsidR="008177D6">
        <w:rPr>
          <w:noProof/>
        </w:rPr>
        <w:t>8</w:t>
      </w:r>
      <w:r w:rsidRPr="00BE2DA0">
        <w:rPr>
          <w:noProof/>
        </w:rPr>
        <w:fldChar w:fldCharType="end"/>
      </w:r>
    </w:p>
    <w:p w14:paraId="1778EF1E" w14:textId="0F3A11F4"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2.1: Systematic Review – Quantified Outcomes from AI-Enhanced Digital Twin Studies (2022–2025)</w:t>
      </w:r>
      <w:r w:rsidRPr="00BE2DA0">
        <w:rPr>
          <w:noProof/>
        </w:rPr>
        <w:tab/>
      </w:r>
      <w:r w:rsidRPr="00BE2DA0">
        <w:rPr>
          <w:noProof/>
        </w:rPr>
        <w:fldChar w:fldCharType="begin"/>
      </w:r>
      <w:r w:rsidRPr="00BE2DA0">
        <w:rPr>
          <w:noProof/>
        </w:rPr>
        <w:instrText xml:space="preserve"> PAGEREF _Toc220151982 \h </w:instrText>
      </w:r>
      <w:r w:rsidRPr="00BE2DA0">
        <w:rPr>
          <w:noProof/>
        </w:rPr>
      </w:r>
      <w:r w:rsidRPr="00BE2DA0">
        <w:rPr>
          <w:noProof/>
        </w:rPr>
        <w:fldChar w:fldCharType="separate"/>
      </w:r>
      <w:r w:rsidR="008177D6">
        <w:rPr>
          <w:noProof/>
        </w:rPr>
        <w:t>13</w:t>
      </w:r>
      <w:r w:rsidRPr="00BE2DA0">
        <w:rPr>
          <w:noProof/>
        </w:rPr>
        <w:fldChar w:fldCharType="end"/>
      </w:r>
    </w:p>
    <w:p w14:paraId="157A02FB" w14:textId="4FF6A944"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2.2: Three-Domain Conceptual Framework</w:t>
      </w:r>
      <w:r w:rsidRPr="00BE2DA0">
        <w:rPr>
          <w:noProof/>
        </w:rPr>
        <w:tab/>
      </w:r>
      <w:r w:rsidRPr="00BE2DA0">
        <w:rPr>
          <w:noProof/>
        </w:rPr>
        <w:fldChar w:fldCharType="begin"/>
      </w:r>
      <w:r w:rsidRPr="00BE2DA0">
        <w:rPr>
          <w:noProof/>
        </w:rPr>
        <w:instrText xml:space="preserve"> PAGEREF _Toc220151983 \h </w:instrText>
      </w:r>
      <w:r w:rsidRPr="00BE2DA0">
        <w:rPr>
          <w:noProof/>
        </w:rPr>
      </w:r>
      <w:r w:rsidRPr="00BE2DA0">
        <w:rPr>
          <w:noProof/>
        </w:rPr>
        <w:fldChar w:fldCharType="separate"/>
      </w:r>
      <w:r w:rsidR="008177D6">
        <w:rPr>
          <w:noProof/>
        </w:rPr>
        <w:t>22</w:t>
      </w:r>
      <w:r w:rsidRPr="00BE2DA0">
        <w:rPr>
          <w:noProof/>
        </w:rPr>
        <w:fldChar w:fldCharType="end"/>
      </w:r>
    </w:p>
    <w:p w14:paraId="04D109B0" w14:textId="59211105"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3.1: Research Design Overview</w:t>
      </w:r>
      <w:r w:rsidRPr="00BE2DA0">
        <w:rPr>
          <w:noProof/>
        </w:rPr>
        <w:tab/>
      </w:r>
      <w:r w:rsidRPr="00BE2DA0">
        <w:rPr>
          <w:noProof/>
        </w:rPr>
        <w:fldChar w:fldCharType="begin"/>
      </w:r>
      <w:r w:rsidRPr="00BE2DA0">
        <w:rPr>
          <w:noProof/>
        </w:rPr>
        <w:instrText xml:space="preserve"> PAGEREF _Toc220151984 \h </w:instrText>
      </w:r>
      <w:r w:rsidRPr="00BE2DA0">
        <w:rPr>
          <w:noProof/>
        </w:rPr>
      </w:r>
      <w:r w:rsidRPr="00BE2DA0">
        <w:rPr>
          <w:noProof/>
        </w:rPr>
        <w:fldChar w:fldCharType="separate"/>
      </w:r>
      <w:r w:rsidR="008177D6">
        <w:rPr>
          <w:noProof/>
        </w:rPr>
        <w:t>28</w:t>
      </w:r>
      <w:r w:rsidRPr="00BE2DA0">
        <w:rPr>
          <w:noProof/>
        </w:rPr>
        <w:fldChar w:fldCharType="end"/>
      </w:r>
    </w:p>
    <w:p w14:paraId="626D68BF" w14:textId="0894BE18"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3.2: Survey Construct Operationalisation</w:t>
      </w:r>
      <w:r w:rsidRPr="00BE2DA0">
        <w:rPr>
          <w:noProof/>
        </w:rPr>
        <w:tab/>
      </w:r>
      <w:r w:rsidRPr="00BE2DA0">
        <w:rPr>
          <w:noProof/>
        </w:rPr>
        <w:fldChar w:fldCharType="begin"/>
      </w:r>
      <w:r w:rsidRPr="00BE2DA0">
        <w:rPr>
          <w:noProof/>
        </w:rPr>
        <w:instrText xml:space="preserve"> PAGEREF _Toc220151985 \h </w:instrText>
      </w:r>
      <w:r w:rsidRPr="00BE2DA0">
        <w:rPr>
          <w:noProof/>
        </w:rPr>
      </w:r>
      <w:r w:rsidRPr="00BE2DA0">
        <w:rPr>
          <w:noProof/>
        </w:rPr>
        <w:fldChar w:fldCharType="separate"/>
      </w:r>
      <w:r w:rsidR="008177D6">
        <w:rPr>
          <w:noProof/>
        </w:rPr>
        <w:t>29</w:t>
      </w:r>
      <w:r w:rsidRPr="00BE2DA0">
        <w:rPr>
          <w:noProof/>
        </w:rPr>
        <w:fldChar w:fldCharType="end"/>
      </w:r>
    </w:p>
    <w:p w14:paraId="1A584FFD" w14:textId="2979C3CC"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3.3: Interview Schedule Structure and Alignment</w:t>
      </w:r>
      <w:r w:rsidRPr="00BE2DA0">
        <w:rPr>
          <w:noProof/>
        </w:rPr>
        <w:tab/>
      </w:r>
      <w:r w:rsidRPr="00BE2DA0">
        <w:rPr>
          <w:noProof/>
        </w:rPr>
        <w:fldChar w:fldCharType="begin"/>
      </w:r>
      <w:r w:rsidRPr="00BE2DA0">
        <w:rPr>
          <w:noProof/>
        </w:rPr>
        <w:instrText xml:space="preserve"> PAGEREF _Toc220151986 \h </w:instrText>
      </w:r>
      <w:r w:rsidRPr="00BE2DA0">
        <w:rPr>
          <w:noProof/>
        </w:rPr>
      </w:r>
      <w:r w:rsidRPr="00BE2DA0">
        <w:rPr>
          <w:noProof/>
        </w:rPr>
        <w:fldChar w:fldCharType="separate"/>
      </w:r>
      <w:r w:rsidR="008177D6">
        <w:rPr>
          <w:noProof/>
        </w:rPr>
        <w:t>31</w:t>
      </w:r>
      <w:r w:rsidRPr="00BE2DA0">
        <w:rPr>
          <w:noProof/>
        </w:rPr>
        <w:fldChar w:fldCharType="end"/>
      </w:r>
    </w:p>
    <w:p w14:paraId="49016644" w14:textId="5A28C6F6"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3.4: Deductive Thematic Framework</w:t>
      </w:r>
      <w:r w:rsidRPr="00BE2DA0">
        <w:rPr>
          <w:noProof/>
        </w:rPr>
        <w:tab/>
      </w:r>
      <w:r w:rsidRPr="00BE2DA0">
        <w:rPr>
          <w:noProof/>
        </w:rPr>
        <w:fldChar w:fldCharType="begin"/>
      </w:r>
      <w:r w:rsidRPr="00BE2DA0">
        <w:rPr>
          <w:noProof/>
        </w:rPr>
        <w:instrText xml:space="preserve"> PAGEREF _Toc220151987 \h </w:instrText>
      </w:r>
      <w:r w:rsidRPr="00BE2DA0">
        <w:rPr>
          <w:noProof/>
        </w:rPr>
      </w:r>
      <w:r w:rsidRPr="00BE2DA0">
        <w:rPr>
          <w:noProof/>
        </w:rPr>
        <w:fldChar w:fldCharType="separate"/>
      </w:r>
      <w:r w:rsidR="008177D6">
        <w:rPr>
          <w:noProof/>
        </w:rPr>
        <w:t>33</w:t>
      </w:r>
      <w:r w:rsidRPr="00BE2DA0">
        <w:rPr>
          <w:noProof/>
        </w:rPr>
        <w:fldChar w:fldCharType="end"/>
      </w:r>
    </w:p>
    <w:p w14:paraId="55BD11DF" w14:textId="7F87A57F"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4.1: Survey Respondent Demographics (n=87)</w:t>
      </w:r>
      <w:r w:rsidRPr="00BE2DA0">
        <w:rPr>
          <w:noProof/>
        </w:rPr>
        <w:tab/>
      </w:r>
      <w:r w:rsidRPr="00BE2DA0">
        <w:rPr>
          <w:noProof/>
        </w:rPr>
        <w:fldChar w:fldCharType="begin"/>
      </w:r>
      <w:r w:rsidRPr="00BE2DA0">
        <w:rPr>
          <w:noProof/>
        </w:rPr>
        <w:instrText xml:space="preserve"> PAGEREF _Toc220151988 \h </w:instrText>
      </w:r>
      <w:r w:rsidRPr="00BE2DA0">
        <w:rPr>
          <w:noProof/>
        </w:rPr>
      </w:r>
      <w:r w:rsidRPr="00BE2DA0">
        <w:rPr>
          <w:noProof/>
        </w:rPr>
        <w:fldChar w:fldCharType="separate"/>
      </w:r>
      <w:r w:rsidR="008177D6">
        <w:rPr>
          <w:noProof/>
        </w:rPr>
        <w:t>40</w:t>
      </w:r>
      <w:r w:rsidRPr="00BE2DA0">
        <w:rPr>
          <w:noProof/>
        </w:rPr>
        <w:fldChar w:fldCharType="end"/>
      </w:r>
    </w:p>
    <w:p w14:paraId="516389AD" w14:textId="14EE566E"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4.2: Interview Participant Profiles</w:t>
      </w:r>
      <w:r w:rsidRPr="00BE2DA0">
        <w:rPr>
          <w:noProof/>
        </w:rPr>
        <w:tab/>
      </w:r>
      <w:r w:rsidRPr="00BE2DA0">
        <w:rPr>
          <w:noProof/>
        </w:rPr>
        <w:fldChar w:fldCharType="begin"/>
      </w:r>
      <w:r w:rsidRPr="00BE2DA0">
        <w:rPr>
          <w:noProof/>
        </w:rPr>
        <w:instrText xml:space="preserve"> PAGEREF _Toc220151989 \h </w:instrText>
      </w:r>
      <w:r w:rsidRPr="00BE2DA0">
        <w:rPr>
          <w:noProof/>
        </w:rPr>
      </w:r>
      <w:r w:rsidRPr="00BE2DA0">
        <w:rPr>
          <w:noProof/>
        </w:rPr>
        <w:fldChar w:fldCharType="separate"/>
      </w:r>
      <w:r w:rsidR="008177D6">
        <w:rPr>
          <w:noProof/>
        </w:rPr>
        <w:t>42</w:t>
      </w:r>
      <w:r w:rsidRPr="00BE2DA0">
        <w:rPr>
          <w:noProof/>
        </w:rPr>
        <w:fldChar w:fldCharType="end"/>
      </w:r>
    </w:p>
    <w:p w14:paraId="72A5A0BD" w14:textId="5C36A67B"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4.3: Current AI/Digital Twin Adoption Status (n=87)</w:t>
      </w:r>
      <w:r w:rsidRPr="00BE2DA0">
        <w:rPr>
          <w:noProof/>
        </w:rPr>
        <w:tab/>
      </w:r>
      <w:r w:rsidRPr="00BE2DA0">
        <w:rPr>
          <w:noProof/>
        </w:rPr>
        <w:fldChar w:fldCharType="begin"/>
      </w:r>
      <w:r w:rsidRPr="00BE2DA0">
        <w:rPr>
          <w:noProof/>
        </w:rPr>
        <w:instrText xml:space="preserve"> PAGEREF _Toc220151990 \h </w:instrText>
      </w:r>
      <w:r w:rsidRPr="00BE2DA0">
        <w:rPr>
          <w:noProof/>
        </w:rPr>
      </w:r>
      <w:r w:rsidRPr="00BE2DA0">
        <w:rPr>
          <w:noProof/>
        </w:rPr>
        <w:fldChar w:fldCharType="separate"/>
      </w:r>
      <w:r w:rsidR="008177D6">
        <w:rPr>
          <w:noProof/>
        </w:rPr>
        <w:t>43</w:t>
      </w:r>
      <w:r w:rsidRPr="00BE2DA0">
        <w:rPr>
          <w:noProof/>
        </w:rPr>
        <w:fldChar w:fldCharType="end"/>
      </w:r>
    </w:p>
    <w:p w14:paraId="57146C45" w14:textId="37BD9526"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4.4: Technology Familiarity Ratings (1=Not familiar, 5=Very familiar)</w:t>
      </w:r>
      <w:r w:rsidRPr="00BE2DA0">
        <w:rPr>
          <w:noProof/>
        </w:rPr>
        <w:tab/>
      </w:r>
      <w:r w:rsidRPr="00BE2DA0">
        <w:rPr>
          <w:noProof/>
        </w:rPr>
        <w:fldChar w:fldCharType="begin"/>
      </w:r>
      <w:r w:rsidRPr="00BE2DA0">
        <w:rPr>
          <w:noProof/>
        </w:rPr>
        <w:instrText xml:space="preserve"> PAGEREF _Toc220151991 \h </w:instrText>
      </w:r>
      <w:r w:rsidRPr="00BE2DA0">
        <w:rPr>
          <w:noProof/>
        </w:rPr>
      </w:r>
      <w:r w:rsidRPr="00BE2DA0">
        <w:rPr>
          <w:noProof/>
        </w:rPr>
        <w:fldChar w:fldCharType="separate"/>
      </w:r>
      <w:r w:rsidR="008177D6">
        <w:rPr>
          <w:noProof/>
        </w:rPr>
        <w:t>44</w:t>
      </w:r>
      <w:r w:rsidRPr="00BE2DA0">
        <w:rPr>
          <w:noProof/>
        </w:rPr>
        <w:fldChar w:fldCharType="end"/>
      </w:r>
    </w:p>
    <w:p w14:paraId="458A656A" w14:textId="161A363B"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4.5: Perceived Benefits of AI/Digital Twin Technologies (n=87)</w:t>
      </w:r>
      <w:r w:rsidRPr="00BE2DA0">
        <w:rPr>
          <w:noProof/>
        </w:rPr>
        <w:tab/>
      </w:r>
      <w:r w:rsidRPr="00BE2DA0">
        <w:rPr>
          <w:noProof/>
        </w:rPr>
        <w:fldChar w:fldCharType="begin"/>
      </w:r>
      <w:r w:rsidRPr="00BE2DA0">
        <w:rPr>
          <w:noProof/>
        </w:rPr>
        <w:instrText xml:space="preserve"> PAGEREF _Toc220151992 \h </w:instrText>
      </w:r>
      <w:r w:rsidRPr="00BE2DA0">
        <w:rPr>
          <w:noProof/>
        </w:rPr>
      </w:r>
      <w:r w:rsidRPr="00BE2DA0">
        <w:rPr>
          <w:noProof/>
        </w:rPr>
        <w:fldChar w:fldCharType="separate"/>
      </w:r>
      <w:r w:rsidR="008177D6">
        <w:rPr>
          <w:noProof/>
        </w:rPr>
        <w:t>46</w:t>
      </w:r>
      <w:r w:rsidRPr="00BE2DA0">
        <w:rPr>
          <w:noProof/>
        </w:rPr>
        <w:fldChar w:fldCharType="end"/>
      </w:r>
    </w:p>
    <w:p w14:paraId="69615EE2" w14:textId="23AEFBC8"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4.6: Perceived Barriers to AI/Digital Twin Adoption (n=87)</w:t>
      </w:r>
      <w:r w:rsidRPr="00BE2DA0">
        <w:rPr>
          <w:noProof/>
        </w:rPr>
        <w:tab/>
      </w:r>
      <w:r w:rsidRPr="00BE2DA0">
        <w:rPr>
          <w:noProof/>
        </w:rPr>
        <w:fldChar w:fldCharType="begin"/>
      </w:r>
      <w:r w:rsidRPr="00BE2DA0">
        <w:rPr>
          <w:noProof/>
        </w:rPr>
        <w:instrText xml:space="preserve"> PAGEREF _Toc220151993 \h </w:instrText>
      </w:r>
      <w:r w:rsidRPr="00BE2DA0">
        <w:rPr>
          <w:noProof/>
        </w:rPr>
      </w:r>
      <w:r w:rsidRPr="00BE2DA0">
        <w:rPr>
          <w:noProof/>
        </w:rPr>
        <w:fldChar w:fldCharType="separate"/>
      </w:r>
      <w:r w:rsidR="008177D6">
        <w:rPr>
          <w:noProof/>
        </w:rPr>
        <w:t>48</w:t>
      </w:r>
      <w:r w:rsidRPr="00BE2DA0">
        <w:rPr>
          <w:noProof/>
        </w:rPr>
        <w:fldChar w:fldCharType="end"/>
      </w:r>
    </w:p>
    <w:p w14:paraId="5781F9F6" w14:textId="4CF6BD88"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4.7: Organisational Readiness by Current Adoption Status</w:t>
      </w:r>
      <w:r w:rsidRPr="00BE2DA0">
        <w:rPr>
          <w:noProof/>
        </w:rPr>
        <w:tab/>
      </w:r>
      <w:r w:rsidRPr="00BE2DA0">
        <w:rPr>
          <w:noProof/>
        </w:rPr>
        <w:fldChar w:fldCharType="begin"/>
      </w:r>
      <w:r w:rsidRPr="00BE2DA0">
        <w:rPr>
          <w:noProof/>
        </w:rPr>
        <w:instrText xml:space="preserve"> PAGEREF _Toc220151994 \h </w:instrText>
      </w:r>
      <w:r w:rsidRPr="00BE2DA0">
        <w:rPr>
          <w:noProof/>
        </w:rPr>
      </w:r>
      <w:r w:rsidRPr="00BE2DA0">
        <w:rPr>
          <w:noProof/>
        </w:rPr>
        <w:fldChar w:fldCharType="separate"/>
      </w:r>
      <w:r w:rsidR="008177D6">
        <w:rPr>
          <w:noProof/>
        </w:rPr>
        <w:t>49</w:t>
      </w:r>
      <w:r w:rsidRPr="00BE2DA0">
        <w:rPr>
          <w:noProof/>
        </w:rPr>
        <w:fldChar w:fldCharType="end"/>
      </w:r>
    </w:p>
    <w:p w14:paraId="305F47DB" w14:textId="027B308A"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4.8: Correlation Matrix (Pearson's r)</w:t>
      </w:r>
      <w:r w:rsidR="00CF3069">
        <w:rPr>
          <w:noProof/>
        </w:rPr>
        <w:t xml:space="preserve"> </w:t>
      </w:r>
      <w:r w:rsidR="00CF3069" w:rsidRPr="00CF3069">
        <w:rPr>
          <w:noProof/>
        </w:rPr>
        <w:t>with Significance Levels</w:t>
      </w:r>
      <w:r w:rsidRPr="00BE2DA0">
        <w:rPr>
          <w:noProof/>
        </w:rPr>
        <w:tab/>
      </w:r>
      <w:r w:rsidRPr="00BE2DA0">
        <w:rPr>
          <w:noProof/>
        </w:rPr>
        <w:fldChar w:fldCharType="begin"/>
      </w:r>
      <w:r w:rsidRPr="00BE2DA0">
        <w:rPr>
          <w:noProof/>
        </w:rPr>
        <w:instrText xml:space="preserve"> PAGEREF _Toc220151995 \h </w:instrText>
      </w:r>
      <w:r w:rsidRPr="00BE2DA0">
        <w:rPr>
          <w:noProof/>
        </w:rPr>
      </w:r>
      <w:r w:rsidRPr="00BE2DA0">
        <w:rPr>
          <w:noProof/>
        </w:rPr>
        <w:fldChar w:fldCharType="separate"/>
      </w:r>
      <w:r w:rsidR="008177D6">
        <w:rPr>
          <w:noProof/>
        </w:rPr>
        <w:t>50</w:t>
      </w:r>
      <w:r w:rsidRPr="00BE2DA0">
        <w:rPr>
          <w:noProof/>
        </w:rPr>
        <w:fldChar w:fldCharType="end"/>
      </w:r>
    </w:p>
    <w:p w14:paraId="52546F34" w14:textId="22290473"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4.9: Carbon/EUI Measurement Status (n=87)</w:t>
      </w:r>
      <w:r w:rsidRPr="00BE2DA0">
        <w:rPr>
          <w:noProof/>
        </w:rPr>
        <w:tab/>
      </w:r>
      <w:r w:rsidRPr="00BE2DA0">
        <w:rPr>
          <w:noProof/>
        </w:rPr>
        <w:fldChar w:fldCharType="begin"/>
      </w:r>
      <w:r w:rsidRPr="00BE2DA0">
        <w:rPr>
          <w:noProof/>
        </w:rPr>
        <w:instrText xml:space="preserve"> PAGEREF _Toc220151996 \h </w:instrText>
      </w:r>
      <w:r w:rsidRPr="00BE2DA0">
        <w:rPr>
          <w:noProof/>
        </w:rPr>
      </w:r>
      <w:r w:rsidRPr="00BE2DA0">
        <w:rPr>
          <w:noProof/>
        </w:rPr>
        <w:fldChar w:fldCharType="separate"/>
      </w:r>
      <w:r w:rsidR="008177D6">
        <w:rPr>
          <w:noProof/>
        </w:rPr>
        <w:t>51</w:t>
      </w:r>
      <w:r w:rsidRPr="00BE2DA0">
        <w:rPr>
          <w:noProof/>
        </w:rPr>
        <w:fldChar w:fldCharType="end"/>
      </w:r>
    </w:p>
    <w:p w14:paraId="0C3B0525" w14:textId="7DFFD61E"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4.10: Primary Policy Framework Influence (n=87)</w:t>
      </w:r>
      <w:r w:rsidRPr="00BE2DA0">
        <w:rPr>
          <w:noProof/>
        </w:rPr>
        <w:tab/>
      </w:r>
      <w:r w:rsidRPr="00BE2DA0">
        <w:rPr>
          <w:noProof/>
        </w:rPr>
        <w:fldChar w:fldCharType="begin"/>
      </w:r>
      <w:r w:rsidRPr="00BE2DA0">
        <w:rPr>
          <w:noProof/>
        </w:rPr>
        <w:instrText xml:space="preserve"> PAGEREF _Toc220151997 \h </w:instrText>
      </w:r>
      <w:r w:rsidRPr="00BE2DA0">
        <w:rPr>
          <w:noProof/>
        </w:rPr>
      </w:r>
      <w:r w:rsidRPr="00BE2DA0">
        <w:rPr>
          <w:noProof/>
        </w:rPr>
        <w:fldChar w:fldCharType="separate"/>
      </w:r>
      <w:r w:rsidR="008177D6">
        <w:rPr>
          <w:noProof/>
        </w:rPr>
        <w:t>52</w:t>
      </w:r>
      <w:r w:rsidRPr="00BE2DA0">
        <w:rPr>
          <w:noProof/>
        </w:rPr>
        <w:fldChar w:fldCharType="end"/>
      </w:r>
    </w:p>
    <w:p w14:paraId="4F411B75" w14:textId="7F9C1D5D"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5.1: Triangulation Summary – Technological Capability Domain</w:t>
      </w:r>
      <w:r w:rsidRPr="00BE2DA0">
        <w:rPr>
          <w:noProof/>
        </w:rPr>
        <w:tab/>
      </w:r>
      <w:r w:rsidRPr="00BE2DA0">
        <w:rPr>
          <w:noProof/>
        </w:rPr>
        <w:fldChar w:fldCharType="begin"/>
      </w:r>
      <w:r w:rsidRPr="00BE2DA0">
        <w:rPr>
          <w:noProof/>
        </w:rPr>
        <w:instrText xml:space="preserve"> PAGEREF _Toc220151998 \h </w:instrText>
      </w:r>
      <w:r w:rsidRPr="00BE2DA0">
        <w:rPr>
          <w:noProof/>
        </w:rPr>
      </w:r>
      <w:r w:rsidRPr="00BE2DA0">
        <w:rPr>
          <w:noProof/>
        </w:rPr>
        <w:fldChar w:fldCharType="separate"/>
      </w:r>
      <w:r w:rsidR="008177D6">
        <w:rPr>
          <w:noProof/>
        </w:rPr>
        <w:t>58</w:t>
      </w:r>
      <w:r w:rsidRPr="00BE2DA0">
        <w:rPr>
          <w:noProof/>
        </w:rPr>
        <w:fldChar w:fldCharType="end"/>
      </w:r>
    </w:p>
    <w:p w14:paraId="0FC72821" w14:textId="06B1136C"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5.2: Implementation Barriers – Survey Rankings and Interview Themes</w:t>
      </w:r>
      <w:r w:rsidRPr="00BE2DA0">
        <w:rPr>
          <w:noProof/>
        </w:rPr>
        <w:tab/>
      </w:r>
      <w:r w:rsidRPr="00BE2DA0">
        <w:rPr>
          <w:noProof/>
        </w:rPr>
        <w:fldChar w:fldCharType="begin"/>
      </w:r>
      <w:r w:rsidRPr="00BE2DA0">
        <w:rPr>
          <w:noProof/>
        </w:rPr>
        <w:instrText xml:space="preserve"> PAGEREF _Toc220151999 \h </w:instrText>
      </w:r>
      <w:r w:rsidRPr="00BE2DA0">
        <w:rPr>
          <w:noProof/>
        </w:rPr>
      </w:r>
      <w:r w:rsidRPr="00BE2DA0">
        <w:rPr>
          <w:noProof/>
        </w:rPr>
        <w:fldChar w:fldCharType="separate"/>
      </w:r>
      <w:r w:rsidR="008177D6">
        <w:rPr>
          <w:noProof/>
        </w:rPr>
        <w:t>61</w:t>
      </w:r>
      <w:r w:rsidRPr="00BE2DA0">
        <w:rPr>
          <w:noProof/>
        </w:rPr>
        <w:fldChar w:fldCharType="end"/>
      </w:r>
    </w:p>
    <w:p w14:paraId="665B3E8C" w14:textId="655B52A5"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5.3: Technology Adoption Framework Application to Findings</w:t>
      </w:r>
      <w:r w:rsidRPr="00BE2DA0">
        <w:rPr>
          <w:noProof/>
        </w:rPr>
        <w:tab/>
      </w:r>
      <w:r w:rsidRPr="00BE2DA0">
        <w:rPr>
          <w:noProof/>
        </w:rPr>
        <w:fldChar w:fldCharType="begin"/>
      </w:r>
      <w:r w:rsidRPr="00BE2DA0">
        <w:rPr>
          <w:noProof/>
        </w:rPr>
        <w:instrText xml:space="preserve"> PAGEREF _Toc220152000 \h </w:instrText>
      </w:r>
      <w:r w:rsidRPr="00BE2DA0">
        <w:rPr>
          <w:noProof/>
        </w:rPr>
      </w:r>
      <w:r w:rsidRPr="00BE2DA0">
        <w:rPr>
          <w:noProof/>
        </w:rPr>
        <w:fldChar w:fldCharType="separate"/>
      </w:r>
      <w:r w:rsidR="008177D6">
        <w:rPr>
          <w:noProof/>
        </w:rPr>
        <w:t>64</w:t>
      </w:r>
      <w:r w:rsidRPr="00BE2DA0">
        <w:rPr>
          <w:noProof/>
        </w:rPr>
        <w:fldChar w:fldCharType="end"/>
      </w:r>
    </w:p>
    <w:p w14:paraId="557B626A" w14:textId="3AB269E3"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6.1: Summary of Findings by Conceptual Framework Domain</w:t>
      </w:r>
      <w:r w:rsidRPr="00BE2DA0">
        <w:rPr>
          <w:noProof/>
        </w:rPr>
        <w:tab/>
      </w:r>
      <w:r w:rsidRPr="00BE2DA0">
        <w:rPr>
          <w:noProof/>
        </w:rPr>
        <w:fldChar w:fldCharType="begin"/>
      </w:r>
      <w:r w:rsidRPr="00BE2DA0">
        <w:rPr>
          <w:noProof/>
        </w:rPr>
        <w:instrText xml:space="preserve"> PAGEREF _Toc220152001 \h </w:instrText>
      </w:r>
      <w:r w:rsidRPr="00BE2DA0">
        <w:rPr>
          <w:noProof/>
        </w:rPr>
      </w:r>
      <w:r w:rsidRPr="00BE2DA0">
        <w:rPr>
          <w:noProof/>
        </w:rPr>
        <w:fldChar w:fldCharType="separate"/>
      </w:r>
      <w:r w:rsidR="008177D6">
        <w:rPr>
          <w:noProof/>
        </w:rPr>
        <w:t>70</w:t>
      </w:r>
      <w:r w:rsidRPr="00BE2DA0">
        <w:rPr>
          <w:noProof/>
        </w:rPr>
        <w:fldChar w:fldCharType="end"/>
      </w:r>
    </w:p>
    <w:p w14:paraId="797B6960" w14:textId="15870F2F"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6.2: Conclusions by Research Objective</w:t>
      </w:r>
      <w:r w:rsidRPr="00BE2DA0">
        <w:rPr>
          <w:noProof/>
        </w:rPr>
        <w:tab/>
      </w:r>
      <w:r w:rsidRPr="00BE2DA0">
        <w:rPr>
          <w:noProof/>
        </w:rPr>
        <w:fldChar w:fldCharType="begin"/>
      </w:r>
      <w:r w:rsidRPr="00BE2DA0">
        <w:rPr>
          <w:noProof/>
        </w:rPr>
        <w:instrText xml:space="preserve"> PAGEREF _Toc220152002 \h </w:instrText>
      </w:r>
      <w:r w:rsidRPr="00BE2DA0">
        <w:rPr>
          <w:noProof/>
        </w:rPr>
      </w:r>
      <w:r w:rsidRPr="00BE2DA0">
        <w:rPr>
          <w:noProof/>
        </w:rPr>
        <w:fldChar w:fldCharType="separate"/>
      </w:r>
      <w:r w:rsidR="008177D6">
        <w:rPr>
          <w:noProof/>
        </w:rPr>
        <w:t>71</w:t>
      </w:r>
      <w:r w:rsidRPr="00BE2DA0">
        <w:rPr>
          <w:noProof/>
        </w:rPr>
        <w:fldChar w:fldCharType="end"/>
      </w:r>
    </w:p>
    <w:p w14:paraId="0E868529" w14:textId="2C9D0B89" w:rsidR="00731DF2" w:rsidRPr="00BE2DA0" w:rsidRDefault="00731DF2" w:rsidP="00BE2DA0">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E2DA0">
        <w:rPr>
          <w:noProof/>
        </w:rPr>
        <w:t>Table 6.3: Summary of Recommendations by Stakeholder Group</w:t>
      </w:r>
      <w:r w:rsidRPr="00BE2DA0">
        <w:rPr>
          <w:noProof/>
        </w:rPr>
        <w:tab/>
      </w:r>
      <w:r w:rsidRPr="00BE2DA0">
        <w:rPr>
          <w:noProof/>
        </w:rPr>
        <w:fldChar w:fldCharType="begin"/>
      </w:r>
      <w:r w:rsidRPr="00BE2DA0">
        <w:rPr>
          <w:noProof/>
        </w:rPr>
        <w:instrText xml:space="preserve"> PAGEREF _Toc220152003 \h </w:instrText>
      </w:r>
      <w:r w:rsidRPr="00BE2DA0">
        <w:rPr>
          <w:noProof/>
        </w:rPr>
      </w:r>
      <w:r w:rsidRPr="00BE2DA0">
        <w:rPr>
          <w:noProof/>
        </w:rPr>
        <w:fldChar w:fldCharType="separate"/>
      </w:r>
      <w:r w:rsidR="008177D6">
        <w:rPr>
          <w:noProof/>
        </w:rPr>
        <w:t>73</w:t>
      </w:r>
      <w:r w:rsidRPr="00BE2DA0">
        <w:rPr>
          <w:noProof/>
        </w:rPr>
        <w:fldChar w:fldCharType="end"/>
      </w:r>
    </w:p>
    <w:p w14:paraId="131D04CE" w14:textId="77777777" w:rsidR="00731DF2" w:rsidRDefault="007900BB" w:rsidP="00BE2DA0">
      <w:pPr>
        <w:spacing w:line="360" w:lineRule="auto"/>
      </w:pPr>
      <w:r w:rsidRPr="00BE2DA0">
        <w:fldChar w:fldCharType="end"/>
      </w:r>
    </w:p>
    <w:p w14:paraId="5FD2E011" w14:textId="37EAC32B" w:rsidR="00731DF2" w:rsidRDefault="00731DF2" w:rsidP="00731DF2">
      <w:pPr>
        <w:spacing w:after="160" w:line="259" w:lineRule="auto"/>
      </w:pPr>
      <w:r>
        <w:br w:type="page"/>
      </w:r>
    </w:p>
    <w:p w14:paraId="51527451" w14:textId="5B4E13F3" w:rsidR="002A1DD2" w:rsidRPr="00705B4B" w:rsidRDefault="002A1DD2" w:rsidP="009B151B">
      <w:pPr>
        <w:spacing w:after="480" w:line="360" w:lineRule="auto"/>
      </w:pPr>
      <w:r w:rsidRPr="00531DE7">
        <w:rPr>
          <w:sz w:val="40"/>
          <w:szCs w:val="40"/>
        </w:rPr>
        <w:lastRenderedPageBreak/>
        <w:t>List of Abbreviations</w:t>
      </w:r>
    </w:p>
    <w:p w14:paraId="0575005E" w14:textId="77777777" w:rsidR="00B762B7" w:rsidRPr="009B151B" w:rsidRDefault="00B762B7" w:rsidP="009B151B">
      <w:pPr>
        <w:spacing w:after="160" w:line="360" w:lineRule="auto"/>
        <w:contextualSpacing/>
      </w:pPr>
      <w:r w:rsidRPr="009B151B">
        <w:t>AEC</w:t>
      </w:r>
      <w:r w:rsidRPr="009B151B">
        <w:tab/>
      </w:r>
      <w:r w:rsidRPr="009B151B">
        <w:tab/>
      </w:r>
      <w:r w:rsidRPr="009B151B">
        <w:tab/>
        <w:t>Architecture, Engineering, and Construction</w:t>
      </w:r>
    </w:p>
    <w:p w14:paraId="749BD7A2" w14:textId="77777777" w:rsidR="00B762B7" w:rsidRPr="009B151B" w:rsidRDefault="00B762B7" w:rsidP="009B151B">
      <w:pPr>
        <w:spacing w:after="160" w:line="360" w:lineRule="auto"/>
        <w:contextualSpacing/>
      </w:pPr>
      <w:r w:rsidRPr="009B151B">
        <w:t>AHU</w:t>
      </w:r>
      <w:r w:rsidRPr="009B151B">
        <w:tab/>
      </w:r>
      <w:r w:rsidRPr="009B151B">
        <w:tab/>
      </w:r>
      <w:r w:rsidRPr="009B151B">
        <w:tab/>
        <w:t>Air Handling Unit</w:t>
      </w:r>
    </w:p>
    <w:p w14:paraId="19AC589E" w14:textId="77777777" w:rsidR="00B762B7" w:rsidRPr="009B151B" w:rsidRDefault="00B762B7" w:rsidP="009B151B">
      <w:pPr>
        <w:spacing w:after="160" w:line="360" w:lineRule="auto"/>
        <w:contextualSpacing/>
      </w:pPr>
      <w:r w:rsidRPr="009B151B">
        <w:t>AI</w:t>
      </w:r>
      <w:r w:rsidRPr="009B151B">
        <w:tab/>
      </w:r>
      <w:r w:rsidRPr="009B151B">
        <w:tab/>
      </w:r>
      <w:r w:rsidRPr="009B151B">
        <w:tab/>
        <w:t>Artificial Intelligence</w:t>
      </w:r>
    </w:p>
    <w:p w14:paraId="03D05522" w14:textId="77777777" w:rsidR="00B762B7" w:rsidRPr="009B151B" w:rsidRDefault="00B762B7" w:rsidP="009B151B">
      <w:pPr>
        <w:spacing w:after="160" w:line="360" w:lineRule="auto"/>
        <w:contextualSpacing/>
      </w:pPr>
      <w:r w:rsidRPr="009B151B">
        <w:t>ANN</w:t>
      </w:r>
      <w:r w:rsidRPr="009B151B">
        <w:tab/>
      </w:r>
      <w:r w:rsidRPr="009B151B">
        <w:tab/>
      </w:r>
      <w:r w:rsidRPr="009B151B">
        <w:tab/>
        <w:t>Artificial Neural Network</w:t>
      </w:r>
    </w:p>
    <w:p w14:paraId="6A5EA183" w14:textId="77777777" w:rsidR="00B762B7" w:rsidRPr="009B151B" w:rsidRDefault="00B762B7" w:rsidP="009B151B">
      <w:pPr>
        <w:spacing w:after="160" w:line="360" w:lineRule="auto"/>
        <w:contextualSpacing/>
      </w:pPr>
      <w:r w:rsidRPr="009B151B">
        <w:t>API</w:t>
      </w:r>
      <w:r w:rsidRPr="009B151B">
        <w:tab/>
      </w:r>
      <w:r w:rsidRPr="009B151B">
        <w:tab/>
      </w:r>
      <w:r w:rsidRPr="009B151B">
        <w:tab/>
        <w:t>Application Programming Interface</w:t>
      </w:r>
    </w:p>
    <w:p w14:paraId="4B670637" w14:textId="77777777" w:rsidR="00B762B7" w:rsidRPr="009B151B" w:rsidRDefault="00B762B7" w:rsidP="009B151B">
      <w:pPr>
        <w:spacing w:after="160" w:line="360" w:lineRule="auto"/>
        <w:ind w:left="2160" w:hanging="2160"/>
        <w:contextualSpacing/>
      </w:pPr>
      <w:r w:rsidRPr="009B151B">
        <w:t>ASHRAE</w:t>
      </w:r>
      <w:r w:rsidRPr="009B151B">
        <w:tab/>
        <w:t>American Society of Heating, Refrigerating and Air-Conditioning Engineers.</w:t>
      </w:r>
    </w:p>
    <w:p w14:paraId="4A664DD6" w14:textId="77777777" w:rsidR="00B762B7" w:rsidRPr="009B151B" w:rsidRDefault="00B762B7" w:rsidP="009B151B">
      <w:pPr>
        <w:spacing w:after="160" w:line="360" w:lineRule="auto"/>
        <w:contextualSpacing/>
      </w:pPr>
      <w:r w:rsidRPr="009B151B">
        <w:t>BAS</w:t>
      </w:r>
      <w:r w:rsidRPr="009B151B">
        <w:tab/>
      </w:r>
      <w:r w:rsidRPr="009B151B">
        <w:tab/>
      </w:r>
      <w:r w:rsidRPr="009B151B">
        <w:tab/>
        <w:t>Building Automation System</w:t>
      </w:r>
    </w:p>
    <w:p w14:paraId="51C4ED1F" w14:textId="77777777" w:rsidR="00B762B7" w:rsidRPr="009B151B" w:rsidRDefault="00B762B7" w:rsidP="009B151B">
      <w:pPr>
        <w:spacing w:after="160" w:line="360" w:lineRule="auto"/>
        <w:contextualSpacing/>
      </w:pPr>
      <w:r w:rsidRPr="009B151B">
        <w:t>BIM</w:t>
      </w:r>
      <w:r w:rsidRPr="009B151B">
        <w:tab/>
      </w:r>
      <w:r w:rsidRPr="009B151B">
        <w:tab/>
      </w:r>
      <w:r w:rsidRPr="009B151B">
        <w:tab/>
        <w:t>Building Information Modelling</w:t>
      </w:r>
    </w:p>
    <w:p w14:paraId="0AC9AB10" w14:textId="77777777" w:rsidR="00B762B7" w:rsidRPr="009B151B" w:rsidRDefault="00B762B7" w:rsidP="009B151B">
      <w:pPr>
        <w:spacing w:after="160" w:line="360" w:lineRule="auto"/>
        <w:contextualSpacing/>
      </w:pPr>
      <w:r w:rsidRPr="009B151B">
        <w:t>BMS</w:t>
      </w:r>
      <w:r w:rsidRPr="009B151B">
        <w:tab/>
      </w:r>
      <w:r w:rsidRPr="009B151B">
        <w:tab/>
      </w:r>
      <w:r w:rsidRPr="009B151B">
        <w:tab/>
        <w:t>Building Management System</w:t>
      </w:r>
    </w:p>
    <w:p w14:paraId="75B42E65" w14:textId="77777777" w:rsidR="00B762B7" w:rsidRPr="009B151B" w:rsidRDefault="00B762B7" w:rsidP="009B151B">
      <w:pPr>
        <w:spacing w:after="160" w:line="360" w:lineRule="auto"/>
        <w:contextualSpacing/>
      </w:pPr>
      <w:r w:rsidRPr="009B151B">
        <w:t>BSRIA</w:t>
      </w:r>
      <w:r w:rsidRPr="009B151B">
        <w:tab/>
      </w:r>
      <w:r w:rsidRPr="009B151B">
        <w:tab/>
        <w:t>Building Services Research and Information Association</w:t>
      </w:r>
    </w:p>
    <w:p w14:paraId="1C64D1A1" w14:textId="77777777" w:rsidR="00B762B7" w:rsidRPr="009B151B" w:rsidRDefault="00B762B7" w:rsidP="009B151B">
      <w:pPr>
        <w:spacing w:after="160" w:line="360" w:lineRule="auto"/>
        <w:contextualSpacing/>
      </w:pPr>
      <w:r w:rsidRPr="009B151B">
        <w:t>CIBSE</w:t>
      </w:r>
      <w:r w:rsidRPr="009B151B">
        <w:tab/>
      </w:r>
      <w:r w:rsidRPr="009B151B">
        <w:tab/>
        <w:t>Chartered Institution of Building Services Engineers</w:t>
      </w:r>
    </w:p>
    <w:p w14:paraId="62CAC78E" w14:textId="77777777" w:rsidR="00B762B7" w:rsidRPr="009B151B" w:rsidRDefault="00B762B7" w:rsidP="009B151B">
      <w:pPr>
        <w:spacing w:after="160" w:line="360" w:lineRule="auto"/>
        <w:contextualSpacing/>
      </w:pPr>
      <w:r w:rsidRPr="009B151B">
        <w:t>CO2</w:t>
      </w:r>
      <w:r w:rsidRPr="009B151B">
        <w:tab/>
      </w:r>
      <w:r w:rsidRPr="009B151B">
        <w:tab/>
      </w:r>
      <w:r w:rsidRPr="009B151B">
        <w:tab/>
        <w:t>Carbon Dioxide</w:t>
      </w:r>
    </w:p>
    <w:p w14:paraId="18568A06" w14:textId="77777777" w:rsidR="00B762B7" w:rsidRPr="009B151B" w:rsidRDefault="00B762B7" w:rsidP="009B151B">
      <w:pPr>
        <w:spacing w:after="160" w:line="360" w:lineRule="auto"/>
        <w:contextualSpacing/>
      </w:pPr>
      <w:r w:rsidRPr="009B151B">
        <w:t>DEC</w:t>
      </w:r>
      <w:r w:rsidRPr="009B151B">
        <w:tab/>
      </w:r>
      <w:r w:rsidRPr="009B151B">
        <w:tab/>
      </w:r>
      <w:r w:rsidRPr="009B151B">
        <w:tab/>
        <w:t>Display Energy Certificate</w:t>
      </w:r>
    </w:p>
    <w:p w14:paraId="4AF9D02F" w14:textId="77777777" w:rsidR="00B762B7" w:rsidRPr="009B151B" w:rsidRDefault="00B762B7" w:rsidP="009B151B">
      <w:pPr>
        <w:spacing w:after="160" w:line="360" w:lineRule="auto"/>
        <w:contextualSpacing/>
      </w:pPr>
      <w:r w:rsidRPr="009B151B">
        <w:t>DNN</w:t>
      </w:r>
      <w:r w:rsidRPr="009B151B">
        <w:tab/>
      </w:r>
      <w:r w:rsidRPr="009B151B">
        <w:tab/>
      </w:r>
      <w:r w:rsidRPr="009B151B">
        <w:tab/>
        <w:t>Deep Neural Network</w:t>
      </w:r>
    </w:p>
    <w:p w14:paraId="6CB48A44" w14:textId="77777777" w:rsidR="00B762B7" w:rsidRPr="009B151B" w:rsidRDefault="00B762B7" w:rsidP="009B151B">
      <w:pPr>
        <w:spacing w:after="160" w:line="360" w:lineRule="auto"/>
        <w:contextualSpacing/>
      </w:pPr>
      <w:r w:rsidRPr="009B151B">
        <w:t>DT</w:t>
      </w:r>
      <w:r w:rsidRPr="009B151B">
        <w:tab/>
      </w:r>
      <w:r w:rsidRPr="009B151B">
        <w:tab/>
      </w:r>
      <w:r w:rsidRPr="009B151B">
        <w:tab/>
        <w:t>Digital Twin</w:t>
      </w:r>
    </w:p>
    <w:p w14:paraId="652941D2" w14:textId="77777777" w:rsidR="00B762B7" w:rsidRPr="009B151B" w:rsidRDefault="00B762B7" w:rsidP="009B151B">
      <w:pPr>
        <w:spacing w:after="160" w:line="360" w:lineRule="auto"/>
        <w:contextualSpacing/>
      </w:pPr>
      <w:r w:rsidRPr="009B151B">
        <w:t>DTBA</w:t>
      </w:r>
      <w:r w:rsidRPr="009B151B">
        <w:tab/>
      </w:r>
      <w:r w:rsidRPr="009B151B">
        <w:tab/>
      </w:r>
      <w:r w:rsidRPr="009B151B">
        <w:tab/>
        <w:t>Digital Twin Building Application</w:t>
      </w:r>
    </w:p>
    <w:p w14:paraId="7ACEFD83" w14:textId="77777777" w:rsidR="00B762B7" w:rsidRPr="009B151B" w:rsidRDefault="00B762B7" w:rsidP="009B151B">
      <w:pPr>
        <w:spacing w:after="160" w:line="360" w:lineRule="auto"/>
        <w:contextualSpacing/>
      </w:pPr>
      <w:r w:rsidRPr="009B151B">
        <w:t>DTDL</w:t>
      </w:r>
      <w:r w:rsidRPr="009B151B">
        <w:tab/>
      </w:r>
      <w:r w:rsidRPr="009B151B">
        <w:tab/>
      </w:r>
      <w:r w:rsidRPr="009B151B">
        <w:tab/>
        <w:t>Digital Twin Definition Language</w:t>
      </w:r>
    </w:p>
    <w:p w14:paraId="71E07DD4" w14:textId="77777777" w:rsidR="00B762B7" w:rsidRPr="009B151B" w:rsidRDefault="00B762B7" w:rsidP="009B151B">
      <w:pPr>
        <w:spacing w:after="160" w:line="360" w:lineRule="auto"/>
        <w:contextualSpacing/>
      </w:pPr>
      <w:r w:rsidRPr="009B151B">
        <w:t>EPBD</w:t>
      </w:r>
      <w:r w:rsidRPr="009B151B">
        <w:tab/>
      </w:r>
      <w:r w:rsidRPr="009B151B">
        <w:tab/>
      </w:r>
      <w:r w:rsidRPr="009B151B">
        <w:tab/>
        <w:t>Energy Performance of Buildings Directive</w:t>
      </w:r>
    </w:p>
    <w:p w14:paraId="4C4815F1" w14:textId="77777777" w:rsidR="00B762B7" w:rsidRPr="009B151B" w:rsidRDefault="00B762B7" w:rsidP="009B151B">
      <w:pPr>
        <w:spacing w:after="160" w:line="360" w:lineRule="auto"/>
        <w:contextualSpacing/>
      </w:pPr>
      <w:r w:rsidRPr="009B151B">
        <w:t>EUI</w:t>
      </w:r>
      <w:r w:rsidRPr="009B151B">
        <w:tab/>
      </w:r>
      <w:r w:rsidRPr="009B151B">
        <w:tab/>
      </w:r>
      <w:r w:rsidRPr="009B151B">
        <w:tab/>
        <w:t>Energy Use Intensity</w:t>
      </w:r>
    </w:p>
    <w:p w14:paraId="047E95FF" w14:textId="77777777" w:rsidR="00B762B7" w:rsidRPr="009B151B" w:rsidRDefault="00B762B7" w:rsidP="009B151B">
      <w:pPr>
        <w:spacing w:after="160" w:line="360" w:lineRule="auto"/>
        <w:contextualSpacing/>
      </w:pPr>
      <w:r w:rsidRPr="009B151B">
        <w:t>FE</w:t>
      </w:r>
      <w:r w:rsidRPr="009B151B">
        <w:tab/>
      </w:r>
      <w:r w:rsidRPr="009B151B">
        <w:tab/>
      </w:r>
      <w:r w:rsidRPr="009B151B">
        <w:tab/>
        <w:t>Further Education</w:t>
      </w:r>
    </w:p>
    <w:p w14:paraId="074D0A24" w14:textId="77777777" w:rsidR="00B762B7" w:rsidRPr="009B151B" w:rsidRDefault="00B762B7" w:rsidP="009B151B">
      <w:pPr>
        <w:spacing w:after="160" w:line="360" w:lineRule="auto"/>
        <w:contextualSpacing/>
      </w:pPr>
      <w:r w:rsidRPr="009B151B">
        <w:t>FIWARE</w:t>
      </w:r>
      <w:r w:rsidRPr="009B151B">
        <w:tab/>
      </w:r>
      <w:r w:rsidRPr="009B151B">
        <w:tab/>
        <w:t>Open-source platform for smart solutions</w:t>
      </w:r>
    </w:p>
    <w:p w14:paraId="318ACAE4" w14:textId="77777777" w:rsidR="00B762B7" w:rsidRPr="009B151B" w:rsidRDefault="00B762B7" w:rsidP="009B151B">
      <w:pPr>
        <w:spacing w:after="160" w:line="360" w:lineRule="auto"/>
        <w:contextualSpacing/>
      </w:pPr>
      <w:r w:rsidRPr="009B151B">
        <w:t>FM</w:t>
      </w:r>
      <w:r w:rsidRPr="009B151B">
        <w:tab/>
      </w:r>
      <w:r w:rsidRPr="009B151B">
        <w:tab/>
      </w:r>
      <w:r w:rsidRPr="009B151B">
        <w:tab/>
        <w:t>Facilities Management</w:t>
      </w:r>
    </w:p>
    <w:p w14:paraId="34964F11" w14:textId="77777777" w:rsidR="00B762B7" w:rsidRPr="009B151B" w:rsidRDefault="00B762B7" w:rsidP="009B151B">
      <w:pPr>
        <w:spacing w:after="160" w:line="360" w:lineRule="auto"/>
        <w:contextualSpacing/>
      </w:pPr>
      <w:r w:rsidRPr="009B151B">
        <w:t>GAN</w:t>
      </w:r>
      <w:r w:rsidRPr="009B151B">
        <w:tab/>
      </w:r>
      <w:r w:rsidRPr="009B151B">
        <w:tab/>
      </w:r>
      <w:r w:rsidRPr="009B151B">
        <w:tab/>
        <w:t>Generative Adversarial Network</w:t>
      </w:r>
    </w:p>
    <w:p w14:paraId="05640889" w14:textId="77777777" w:rsidR="00B762B7" w:rsidRPr="009B151B" w:rsidRDefault="00B762B7" w:rsidP="009B151B">
      <w:pPr>
        <w:spacing w:after="160" w:line="360" w:lineRule="auto"/>
        <w:contextualSpacing/>
      </w:pPr>
      <w:r w:rsidRPr="009B151B">
        <w:t>GDPR</w:t>
      </w:r>
      <w:r w:rsidRPr="009B151B">
        <w:tab/>
      </w:r>
      <w:r w:rsidRPr="009B151B">
        <w:tab/>
      </w:r>
      <w:r w:rsidRPr="009B151B">
        <w:tab/>
        <w:t>General Data Protection Regulation</w:t>
      </w:r>
    </w:p>
    <w:p w14:paraId="69A81C93" w14:textId="77777777" w:rsidR="00B762B7" w:rsidRPr="009B151B" w:rsidRDefault="00B762B7" w:rsidP="009B151B">
      <w:pPr>
        <w:spacing w:after="160" w:line="360" w:lineRule="auto"/>
        <w:contextualSpacing/>
      </w:pPr>
      <w:r w:rsidRPr="009B151B">
        <w:t>GHG</w:t>
      </w:r>
      <w:r w:rsidRPr="009B151B">
        <w:tab/>
      </w:r>
      <w:r w:rsidRPr="009B151B">
        <w:tab/>
      </w:r>
      <w:r w:rsidRPr="009B151B">
        <w:tab/>
        <w:t>Greenhouse Gas</w:t>
      </w:r>
    </w:p>
    <w:p w14:paraId="715D2511" w14:textId="77777777" w:rsidR="00B762B7" w:rsidRPr="009B151B" w:rsidRDefault="00B762B7" w:rsidP="009B151B">
      <w:pPr>
        <w:spacing w:after="160" w:line="360" w:lineRule="auto"/>
        <w:contextualSpacing/>
      </w:pPr>
      <w:r w:rsidRPr="009B151B">
        <w:t>GIS</w:t>
      </w:r>
      <w:r w:rsidRPr="009B151B">
        <w:tab/>
      </w:r>
      <w:r w:rsidRPr="009B151B">
        <w:tab/>
      </w:r>
      <w:r w:rsidRPr="009B151B">
        <w:tab/>
        <w:t>Geographic Information System</w:t>
      </w:r>
    </w:p>
    <w:p w14:paraId="1D63EC12" w14:textId="77777777" w:rsidR="00B762B7" w:rsidRPr="009B151B" w:rsidRDefault="00B762B7" w:rsidP="009B151B">
      <w:pPr>
        <w:spacing w:after="160" w:line="360" w:lineRule="auto"/>
        <w:contextualSpacing/>
      </w:pPr>
      <w:r w:rsidRPr="009B151B">
        <w:t>HVAC</w:t>
      </w:r>
      <w:r w:rsidRPr="009B151B">
        <w:tab/>
      </w:r>
      <w:r w:rsidRPr="009B151B">
        <w:tab/>
      </w:r>
      <w:r w:rsidRPr="009B151B">
        <w:tab/>
        <w:t>Heating, Ventilation and Air Conditioning</w:t>
      </w:r>
    </w:p>
    <w:p w14:paraId="1D6441C9" w14:textId="77777777" w:rsidR="00B762B7" w:rsidRPr="009B151B" w:rsidRDefault="00B762B7" w:rsidP="009B151B">
      <w:pPr>
        <w:spacing w:after="160" w:line="360" w:lineRule="auto"/>
        <w:contextualSpacing/>
      </w:pPr>
      <w:r w:rsidRPr="009B151B">
        <w:t>IAQ</w:t>
      </w:r>
      <w:r w:rsidRPr="009B151B">
        <w:tab/>
      </w:r>
      <w:r w:rsidRPr="009B151B">
        <w:tab/>
      </w:r>
      <w:r w:rsidRPr="009B151B">
        <w:tab/>
        <w:t>Indoor Air Quality</w:t>
      </w:r>
    </w:p>
    <w:p w14:paraId="2A3C8E4B" w14:textId="77777777" w:rsidR="00B762B7" w:rsidRPr="009B151B" w:rsidRDefault="00B762B7" w:rsidP="009B151B">
      <w:pPr>
        <w:spacing w:after="160" w:line="360" w:lineRule="auto"/>
        <w:contextualSpacing/>
      </w:pPr>
      <w:r w:rsidRPr="009B151B">
        <w:t>IEEE</w:t>
      </w:r>
      <w:r w:rsidRPr="009B151B">
        <w:tab/>
      </w:r>
      <w:r w:rsidRPr="009B151B">
        <w:tab/>
      </w:r>
      <w:r w:rsidRPr="009B151B">
        <w:tab/>
        <w:t>Institute of Electrical and Electronics Engineers</w:t>
      </w:r>
    </w:p>
    <w:p w14:paraId="702B97A7" w14:textId="77777777" w:rsidR="00B762B7" w:rsidRPr="009B151B" w:rsidRDefault="00B762B7" w:rsidP="009B151B">
      <w:pPr>
        <w:spacing w:after="160" w:line="360" w:lineRule="auto"/>
        <w:contextualSpacing/>
      </w:pPr>
      <w:r w:rsidRPr="009B151B">
        <w:t>IEQ</w:t>
      </w:r>
      <w:r w:rsidRPr="009B151B">
        <w:tab/>
      </w:r>
      <w:r w:rsidRPr="009B151B">
        <w:tab/>
      </w:r>
      <w:r w:rsidRPr="009B151B">
        <w:tab/>
        <w:t>Indoor Environmental Quality</w:t>
      </w:r>
    </w:p>
    <w:p w14:paraId="5365DBA6" w14:textId="77777777" w:rsidR="00B762B7" w:rsidRPr="009B151B" w:rsidRDefault="00B762B7" w:rsidP="009B151B">
      <w:pPr>
        <w:spacing w:after="160" w:line="360" w:lineRule="auto"/>
        <w:contextualSpacing/>
      </w:pPr>
      <w:r w:rsidRPr="009B151B">
        <w:t>IoT</w:t>
      </w:r>
      <w:r w:rsidRPr="009B151B">
        <w:tab/>
      </w:r>
      <w:r w:rsidRPr="009B151B">
        <w:tab/>
      </w:r>
      <w:r w:rsidRPr="009B151B">
        <w:tab/>
        <w:t>Internet of Things</w:t>
      </w:r>
    </w:p>
    <w:p w14:paraId="05A8646C" w14:textId="77777777" w:rsidR="00B762B7" w:rsidRPr="009B151B" w:rsidRDefault="00B762B7" w:rsidP="009B151B">
      <w:pPr>
        <w:spacing w:after="160" w:line="360" w:lineRule="auto"/>
        <w:contextualSpacing/>
      </w:pPr>
      <w:r w:rsidRPr="009B151B">
        <w:t>ISO</w:t>
      </w:r>
      <w:r w:rsidRPr="009B151B">
        <w:tab/>
      </w:r>
      <w:r w:rsidRPr="009B151B">
        <w:tab/>
      </w:r>
      <w:r w:rsidRPr="009B151B">
        <w:tab/>
        <w:t>International Organisation for Standardisation</w:t>
      </w:r>
    </w:p>
    <w:p w14:paraId="2821330A" w14:textId="77777777" w:rsidR="00B762B7" w:rsidRPr="009B151B" w:rsidRDefault="00B762B7" w:rsidP="009B151B">
      <w:pPr>
        <w:spacing w:after="160" w:line="360" w:lineRule="auto"/>
        <w:contextualSpacing/>
      </w:pPr>
      <w:r w:rsidRPr="009B151B">
        <w:lastRenderedPageBreak/>
        <w:t>IT</w:t>
      </w:r>
      <w:r w:rsidRPr="009B151B">
        <w:tab/>
      </w:r>
      <w:r w:rsidRPr="009B151B">
        <w:tab/>
      </w:r>
      <w:r w:rsidRPr="009B151B">
        <w:tab/>
        <w:t>Information Technology</w:t>
      </w:r>
    </w:p>
    <w:p w14:paraId="1CAFDC21" w14:textId="77777777" w:rsidR="00B762B7" w:rsidRPr="009B151B" w:rsidRDefault="00B762B7" w:rsidP="009B151B">
      <w:pPr>
        <w:spacing w:after="160" w:line="360" w:lineRule="auto"/>
        <w:contextualSpacing/>
      </w:pPr>
      <w:r w:rsidRPr="009B151B">
        <w:t>JSON</w:t>
      </w:r>
      <w:r w:rsidRPr="009B151B">
        <w:tab/>
      </w:r>
      <w:r w:rsidRPr="009B151B">
        <w:tab/>
      </w:r>
      <w:r w:rsidRPr="009B151B">
        <w:tab/>
        <w:t>JavaScript Object Notation</w:t>
      </w:r>
    </w:p>
    <w:p w14:paraId="219C9B22" w14:textId="77777777" w:rsidR="00B762B7" w:rsidRPr="009B151B" w:rsidRDefault="00B762B7" w:rsidP="009B151B">
      <w:pPr>
        <w:spacing w:after="160" w:line="360" w:lineRule="auto"/>
        <w:contextualSpacing/>
      </w:pPr>
      <w:r w:rsidRPr="009B151B">
        <w:t>LD</w:t>
      </w:r>
      <w:r w:rsidRPr="009B151B">
        <w:tab/>
      </w:r>
      <w:r w:rsidRPr="009B151B">
        <w:tab/>
      </w:r>
      <w:r w:rsidRPr="009B151B">
        <w:tab/>
        <w:t>Linked Data</w:t>
      </w:r>
    </w:p>
    <w:p w14:paraId="0FF82339" w14:textId="77777777" w:rsidR="00B762B7" w:rsidRPr="009B151B" w:rsidRDefault="00B762B7" w:rsidP="009B151B">
      <w:pPr>
        <w:spacing w:after="160" w:line="360" w:lineRule="auto"/>
        <w:contextualSpacing/>
      </w:pPr>
      <w:r w:rsidRPr="009B151B">
        <w:t>M&amp;E</w:t>
      </w:r>
      <w:r w:rsidRPr="009B151B">
        <w:tab/>
      </w:r>
      <w:r w:rsidRPr="009B151B">
        <w:tab/>
      </w:r>
      <w:r w:rsidRPr="009B151B">
        <w:tab/>
        <w:t>Mechanical and Electrical</w:t>
      </w:r>
    </w:p>
    <w:p w14:paraId="3D6BFA34" w14:textId="77777777" w:rsidR="00B762B7" w:rsidRPr="009B151B" w:rsidRDefault="00B762B7" w:rsidP="009B151B">
      <w:pPr>
        <w:spacing w:after="160" w:line="360" w:lineRule="auto"/>
        <w:contextualSpacing/>
      </w:pPr>
      <w:r w:rsidRPr="009B151B">
        <w:t>M&amp;V</w:t>
      </w:r>
      <w:r w:rsidRPr="009B151B">
        <w:tab/>
      </w:r>
      <w:r w:rsidRPr="009B151B">
        <w:tab/>
      </w:r>
      <w:r w:rsidRPr="009B151B">
        <w:tab/>
        <w:t>Measurement and Verification</w:t>
      </w:r>
    </w:p>
    <w:p w14:paraId="726A7514" w14:textId="77777777" w:rsidR="00B762B7" w:rsidRPr="009B151B" w:rsidRDefault="00B762B7" w:rsidP="009B151B">
      <w:pPr>
        <w:spacing w:after="160" w:line="360" w:lineRule="auto"/>
        <w:contextualSpacing/>
      </w:pPr>
      <w:r w:rsidRPr="009B151B">
        <w:t>MIS</w:t>
      </w:r>
      <w:r w:rsidRPr="009B151B">
        <w:tab/>
      </w:r>
      <w:r w:rsidRPr="009B151B">
        <w:tab/>
      </w:r>
      <w:r w:rsidRPr="009B151B">
        <w:tab/>
        <w:t>Management Information System</w:t>
      </w:r>
    </w:p>
    <w:p w14:paraId="791A7873" w14:textId="77777777" w:rsidR="00B762B7" w:rsidRPr="009B151B" w:rsidRDefault="00B762B7" w:rsidP="009B151B">
      <w:pPr>
        <w:spacing w:after="160" w:line="360" w:lineRule="auto"/>
        <w:contextualSpacing/>
      </w:pPr>
      <w:r w:rsidRPr="009B151B">
        <w:t>ML</w:t>
      </w:r>
      <w:r w:rsidRPr="009B151B">
        <w:tab/>
      </w:r>
      <w:r w:rsidRPr="009B151B">
        <w:tab/>
      </w:r>
      <w:r w:rsidRPr="009B151B">
        <w:tab/>
        <w:t>Machine Learning</w:t>
      </w:r>
    </w:p>
    <w:p w14:paraId="078BBB1B" w14:textId="77777777" w:rsidR="00B762B7" w:rsidRPr="009B151B" w:rsidRDefault="00B762B7" w:rsidP="009B151B">
      <w:pPr>
        <w:spacing w:after="160" w:line="360" w:lineRule="auto"/>
        <w:contextualSpacing/>
      </w:pPr>
      <w:r w:rsidRPr="009B151B">
        <w:t>MSE</w:t>
      </w:r>
      <w:r w:rsidRPr="009B151B">
        <w:tab/>
      </w:r>
      <w:r w:rsidRPr="009B151B">
        <w:tab/>
      </w:r>
      <w:r w:rsidRPr="009B151B">
        <w:tab/>
        <w:t>Mean Squared Error</w:t>
      </w:r>
    </w:p>
    <w:p w14:paraId="1695C0DF" w14:textId="77777777" w:rsidR="00B762B7" w:rsidRPr="009B151B" w:rsidRDefault="00B762B7" w:rsidP="009B151B">
      <w:pPr>
        <w:spacing w:after="160" w:line="360" w:lineRule="auto"/>
        <w:contextualSpacing/>
      </w:pPr>
      <w:r w:rsidRPr="009B151B">
        <w:t>NGSI</w:t>
      </w:r>
      <w:r w:rsidRPr="009B151B">
        <w:tab/>
      </w:r>
      <w:r w:rsidRPr="009B151B">
        <w:tab/>
      </w:r>
      <w:r w:rsidRPr="009B151B">
        <w:tab/>
        <w:t>Next Generation Service Interface</w:t>
      </w:r>
    </w:p>
    <w:p w14:paraId="0A14D81F" w14:textId="77777777" w:rsidR="00B762B7" w:rsidRPr="009B151B" w:rsidRDefault="00B762B7" w:rsidP="009B151B">
      <w:pPr>
        <w:spacing w:after="160" w:line="360" w:lineRule="auto"/>
        <w:contextualSpacing/>
      </w:pPr>
      <w:r w:rsidRPr="009B151B">
        <w:t>NHS</w:t>
      </w:r>
      <w:r w:rsidRPr="009B151B">
        <w:tab/>
      </w:r>
      <w:r w:rsidRPr="009B151B">
        <w:tab/>
      </w:r>
      <w:r w:rsidRPr="009B151B">
        <w:tab/>
        <w:t>National Health Service</w:t>
      </w:r>
    </w:p>
    <w:p w14:paraId="5CB3DE13" w14:textId="77777777" w:rsidR="00B762B7" w:rsidRPr="009B151B" w:rsidRDefault="00B762B7" w:rsidP="009B151B">
      <w:pPr>
        <w:spacing w:after="160" w:line="360" w:lineRule="auto"/>
        <w:contextualSpacing/>
      </w:pPr>
      <w:r w:rsidRPr="009B151B">
        <w:t>REST</w:t>
      </w:r>
      <w:r w:rsidRPr="009B151B">
        <w:tab/>
      </w:r>
      <w:r w:rsidRPr="009B151B">
        <w:tab/>
      </w:r>
      <w:r w:rsidRPr="009B151B">
        <w:tab/>
        <w:t>Representational State Transfer</w:t>
      </w:r>
    </w:p>
    <w:p w14:paraId="7B5B5D4F" w14:textId="77777777" w:rsidR="00B762B7" w:rsidRPr="009B151B" w:rsidRDefault="00B762B7" w:rsidP="009B151B">
      <w:pPr>
        <w:spacing w:after="160" w:line="360" w:lineRule="auto"/>
        <w:contextualSpacing/>
      </w:pPr>
      <w:r w:rsidRPr="009B151B">
        <w:t>RMSE</w:t>
      </w:r>
      <w:r w:rsidRPr="009B151B">
        <w:tab/>
      </w:r>
      <w:r w:rsidRPr="009B151B">
        <w:tab/>
      </w:r>
      <w:r w:rsidRPr="009B151B">
        <w:tab/>
        <w:t>Root Mean Squared Error</w:t>
      </w:r>
    </w:p>
    <w:p w14:paraId="7B179ACE" w14:textId="77777777" w:rsidR="00B762B7" w:rsidRPr="009B151B" w:rsidRDefault="00B762B7" w:rsidP="009B151B">
      <w:pPr>
        <w:spacing w:after="160" w:line="360" w:lineRule="auto"/>
        <w:contextualSpacing/>
      </w:pPr>
      <w:r w:rsidRPr="009B151B">
        <w:t>ROI</w:t>
      </w:r>
      <w:r w:rsidRPr="009B151B">
        <w:tab/>
      </w:r>
      <w:r w:rsidRPr="009B151B">
        <w:tab/>
      </w:r>
      <w:r w:rsidRPr="009B151B">
        <w:tab/>
        <w:t>Return on Investment</w:t>
      </w:r>
    </w:p>
    <w:p w14:paraId="539ABB75" w14:textId="77777777" w:rsidR="00B762B7" w:rsidRPr="009B151B" w:rsidRDefault="00B762B7" w:rsidP="009B151B">
      <w:pPr>
        <w:spacing w:after="160" w:line="360" w:lineRule="auto"/>
        <w:contextualSpacing/>
      </w:pPr>
      <w:r w:rsidRPr="009B151B">
        <w:t>SD</w:t>
      </w:r>
      <w:r w:rsidRPr="009B151B">
        <w:tab/>
      </w:r>
      <w:r w:rsidRPr="009B151B">
        <w:tab/>
      </w:r>
      <w:r w:rsidRPr="009B151B">
        <w:tab/>
        <w:t>Standard Deviation</w:t>
      </w:r>
    </w:p>
    <w:p w14:paraId="7216639F" w14:textId="77777777" w:rsidR="00B762B7" w:rsidRPr="009B151B" w:rsidRDefault="00B762B7" w:rsidP="009B151B">
      <w:pPr>
        <w:spacing w:after="160" w:line="360" w:lineRule="auto"/>
        <w:contextualSpacing/>
      </w:pPr>
      <w:r w:rsidRPr="009B151B">
        <w:t>SECR</w:t>
      </w:r>
      <w:r w:rsidRPr="009B151B">
        <w:tab/>
      </w:r>
      <w:r w:rsidRPr="009B151B">
        <w:tab/>
      </w:r>
      <w:r w:rsidRPr="009B151B">
        <w:tab/>
        <w:t>Streamlined Energy and Carbon Reporting</w:t>
      </w:r>
    </w:p>
    <w:p w14:paraId="5FF8CF15" w14:textId="77777777" w:rsidR="00B762B7" w:rsidRPr="009B151B" w:rsidRDefault="00B762B7" w:rsidP="009B151B">
      <w:pPr>
        <w:spacing w:after="160" w:line="360" w:lineRule="auto"/>
        <w:contextualSpacing/>
      </w:pPr>
      <w:r w:rsidRPr="009B151B">
        <w:t>SGD</w:t>
      </w:r>
      <w:r w:rsidRPr="009B151B">
        <w:tab/>
      </w:r>
      <w:r w:rsidRPr="009B151B">
        <w:tab/>
      </w:r>
      <w:r w:rsidRPr="009B151B">
        <w:tab/>
        <w:t>Stochastic Gradient Descent</w:t>
      </w:r>
    </w:p>
    <w:p w14:paraId="672D5070" w14:textId="77777777" w:rsidR="00B762B7" w:rsidRPr="009B151B" w:rsidRDefault="00B762B7" w:rsidP="009B151B">
      <w:pPr>
        <w:spacing w:after="160" w:line="360" w:lineRule="auto"/>
        <w:contextualSpacing/>
      </w:pPr>
      <w:r w:rsidRPr="009B151B">
        <w:t>TAM</w:t>
      </w:r>
      <w:r w:rsidRPr="009B151B">
        <w:tab/>
      </w:r>
      <w:r w:rsidRPr="009B151B">
        <w:tab/>
      </w:r>
      <w:r w:rsidRPr="009B151B">
        <w:tab/>
        <w:t>Technology Acceptance Model</w:t>
      </w:r>
    </w:p>
    <w:p w14:paraId="5073C389" w14:textId="77777777" w:rsidR="00B762B7" w:rsidRPr="009B151B" w:rsidRDefault="00B762B7" w:rsidP="009B151B">
      <w:pPr>
        <w:spacing w:after="160" w:line="360" w:lineRule="auto"/>
        <w:contextualSpacing/>
      </w:pPr>
      <w:r w:rsidRPr="009B151B">
        <w:t>UTAUT</w:t>
      </w:r>
      <w:r w:rsidRPr="009B151B">
        <w:tab/>
      </w:r>
      <w:r w:rsidRPr="009B151B">
        <w:tab/>
        <w:t>Unified Theory of Acceptance and Use of Technology</w:t>
      </w:r>
    </w:p>
    <w:p w14:paraId="09A2490E" w14:textId="77777777" w:rsidR="00B762B7" w:rsidRPr="009B151B" w:rsidRDefault="00B762B7" w:rsidP="009B151B">
      <w:pPr>
        <w:spacing w:after="160" w:line="360" w:lineRule="auto"/>
        <w:contextualSpacing/>
      </w:pPr>
      <w:r w:rsidRPr="009B151B">
        <w:t>WBFGA</w:t>
      </w:r>
      <w:r w:rsidRPr="009B151B">
        <w:tab/>
      </w:r>
      <w:r w:rsidRPr="009B151B">
        <w:tab/>
        <w:t>Well-being of Future Generations Act</w:t>
      </w:r>
    </w:p>
    <w:p w14:paraId="0660A7EB" w14:textId="77777777" w:rsidR="00B762B7" w:rsidRDefault="00B762B7" w:rsidP="00B762B7">
      <w:pPr>
        <w:spacing w:after="160"/>
      </w:pPr>
    </w:p>
    <w:p w14:paraId="114B374E" w14:textId="67F65541" w:rsidR="00B762B7" w:rsidRPr="00B762B7" w:rsidRDefault="00B762B7" w:rsidP="00B762B7">
      <w:pPr>
        <w:spacing w:after="160"/>
        <w:rPr>
          <w:sz w:val="20"/>
          <w:szCs w:val="20"/>
        </w:rPr>
      </w:pPr>
      <w:r w:rsidRPr="00B762B7">
        <w:rPr>
          <w:i/>
          <w:sz w:val="20"/>
          <w:szCs w:val="20"/>
        </w:rPr>
        <w:t>Note: This glossary includes all abbreviations used throughout the dissertation, including tables, figures, appendices</w:t>
      </w:r>
      <w:r>
        <w:rPr>
          <w:i/>
          <w:sz w:val="20"/>
          <w:szCs w:val="20"/>
        </w:rPr>
        <w:t>.</w:t>
      </w:r>
    </w:p>
    <w:p w14:paraId="37C4B354" w14:textId="77777777" w:rsidR="00B762B7" w:rsidRPr="002A1DD2" w:rsidRDefault="00B762B7" w:rsidP="00B762B7">
      <w:pPr>
        <w:spacing w:after="160"/>
      </w:pPr>
    </w:p>
    <w:p w14:paraId="22F34B58" w14:textId="77777777" w:rsidR="002A1DD2" w:rsidRDefault="002A1DD2" w:rsidP="00C520F4">
      <w:pPr>
        <w:pStyle w:val="BodyText"/>
      </w:pPr>
    </w:p>
    <w:p w14:paraId="15935E77" w14:textId="77777777" w:rsidR="002A1DD2" w:rsidRDefault="002A1DD2" w:rsidP="00C520F4">
      <w:pPr>
        <w:pStyle w:val="BodyText"/>
        <w:sectPr w:rsidR="002A1DD2" w:rsidSect="002A1DD2">
          <w:footerReference w:type="default" r:id="rId10"/>
          <w:pgSz w:w="11906" w:h="16838"/>
          <w:pgMar w:top="1134" w:right="1440" w:bottom="993" w:left="1440" w:header="708" w:footer="708" w:gutter="0"/>
          <w:pgNumType w:fmt="lowerRoman" w:start="1"/>
          <w:cols w:space="720"/>
          <w:docGrid w:linePitch="360"/>
        </w:sectPr>
      </w:pPr>
    </w:p>
    <w:p w14:paraId="7ACBB905" w14:textId="07673A51" w:rsidR="008A4121" w:rsidRDefault="008A4121" w:rsidP="008A4121">
      <w:pPr>
        <w:pStyle w:val="Heading1"/>
      </w:pPr>
      <w:bookmarkStart w:id="0" w:name="_Toc220152159"/>
      <w:r>
        <w:lastRenderedPageBreak/>
        <w:t>Chapter 1 – Introduction</w:t>
      </w:r>
      <w:bookmarkEnd w:id="0"/>
    </w:p>
    <w:p w14:paraId="7485F11F" w14:textId="77777777" w:rsidR="008A4121" w:rsidRDefault="008A4121" w:rsidP="008A4121">
      <w:pPr>
        <w:pStyle w:val="Heading2"/>
      </w:pPr>
      <w:bookmarkStart w:id="1" w:name="_Toc220152160"/>
      <w:r>
        <w:t>1.1 Background and Context</w:t>
      </w:r>
      <w:bookmarkEnd w:id="1"/>
    </w:p>
    <w:p w14:paraId="5180194A" w14:textId="2E327B13" w:rsidR="008A4121" w:rsidRDefault="008A4121" w:rsidP="008A4121">
      <w:pPr>
        <w:spacing w:after="200" w:line="360" w:lineRule="auto"/>
      </w:pPr>
      <w:r>
        <w:t>The built environment accounts for approximately 40% of global energy consumption and 36% of carbon dioxide emissions, positioning buildings as a critical domain for climate action (International Energy Agency, 2023). Within this sector, mechanical and electrical (M&amp;E) systems</w:t>
      </w:r>
      <w:r w:rsidR="000A2EC6">
        <w:t xml:space="preserve">, </w:t>
      </w:r>
      <w:r>
        <w:t>encompassing heating, ventilation, air conditioning (HVAC), lighting, and power distribution</w:t>
      </w:r>
      <w:r w:rsidR="000A2EC6">
        <w:t xml:space="preserve">, </w:t>
      </w:r>
      <w:r>
        <w:t>represent the largest operational energy consumers, typically accounting for 60</w:t>
      </w:r>
      <w:r w:rsidR="000A2EC6">
        <w:t>-</w:t>
      </w:r>
      <w:r>
        <w:t>70% of total building energy use (Carbon Trust, 2019; CIBSE, 2023). As governments and industries pursue Net-Zero carbon targets, optimising the performance of M&amp;E systems in existing buildings has emerged as an urgent priority with substantial environmental and economic implications.</w:t>
      </w:r>
    </w:p>
    <w:p w14:paraId="27D793F7" w14:textId="77777777" w:rsidR="000302F0" w:rsidRDefault="000302F0" w:rsidP="008A4121">
      <w:pPr>
        <w:spacing w:after="200" w:line="360" w:lineRule="auto"/>
      </w:pPr>
      <w:r w:rsidRPr="0062773A">
        <w:t>The UK's Climate Change Committee emphasises that approximately 80% of 2050's buildings already exist, positioning post-construction management as essential to national decarbonisation. Röck et al. (2020) confirm that operational carbon remains the dominant contributor to whole-life emissions in existing buildings, reinforcing this imperative.</w:t>
      </w:r>
      <w:r>
        <w:t xml:space="preserve"> </w:t>
      </w:r>
    </w:p>
    <w:p w14:paraId="238360E7" w14:textId="50D7D190" w:rsidR="000302F0" w:rsidRDefault="008A4121" w:rsidP="000302F0">
      <w:pPr>
        <w:spacing w:after="200" w:line="360" w:lineRule="auto"/>
      </w:pPr>
      <w:r>
        <w:t>Recent technological advances have positioned Artificial Intelligence (AI) and Digital Twin technologies as transformative tools for building operations and maintenance. A Digital Twin creates a real-time digital replica of physical building systems by integrating data from Internet of Things (IoT) sensors, Building Information Models (BIM), and Building Management Systems (BMS). When enhanced with AI algorithms</w:t>
      </w:r>
      <w:r w:rsidR="000A2EC6">
        <w:t xml:space="preserve">, </w:t>
      </w:r>
      <w:r>
        <w:t>including machine learning for predictive analytics, deep reinforcement learning for system optimisation, and anomaly detection for fault identification</w:t>
      </w:r>
      <w:r w:rsidR="000A2EC6">
        <w:t xml:space="preserve">, </w:t>
      </w:r>
      <w:r>
        <w:t>these systems can autonomously adjust settings based on environmental conditions, occupancy patterns, and historical trends (Boje et al., 2020; Bolton et al., 2018). The Centre for Digital Built Britain's Gemini Principles establish that true Digital Twins require bidirectional data flow between physical and virtual representations, distinguishing them from passive BIM models and enabling predictive rather than merely descriptive analysis.</w:t>
      </w:r>
    </w:p>
    <w:p w14:paraId="760AC50E" w14:textId="77777777" w:rsidR="00E771A7" w:rsidRDefault="00E771A7" w:rsidP="000302F0">
      <w:pPr>
        <w:spacing w:after="200" w:line="360" w:lineRule="auto"/>
      </w:pPr>
    </w:p>
    <w:p w14:paraId="4638F85B" w14:textId="7391A0C2" w:rsidR="00E771A7" w:rsidRDefault="00E771A7" w:rsidP="000302F0">
      <w:pPr>
        <w:spacing w:after="200" w:line="360" w:lineRule="auto"/>
      </w:pPr>
      <w:r w:rsidRPr="00E771A7">
        <w:lastRenderedPageBreak/>
        <w:t>Figure 1.1 illustrates this technological evolution, depicting the progression from traditional buildings with manual controls, through automated and smart building stages, toward fully integrated Digital Twin-enabled systems representing the 'system of systems' approach that this research investigates.</w:t>
      </w:r>
    </w:p>
    <w:p w14:paraId="3FD76DF5" w14:textId="77777777" w:rsidR="001C693C" w:rsidRDefault="00E771A7" w:rsidP="001C693C">
      <w:pPr>
        <w:keepNext/>
        <w:spacing w:after="200" w:line="360" w:lineRule="auto"/>
        <w:jc w:val="center"/>
      </w:pPr>
      <w:r>
        <w:rPr>
          <w:noProof/>
        </w:rPr>
        <w:drawing>
          <wp:inline distT="0" distB="0" distL="0" distR="0" wp14:anchorId="0BEAFFD8" wp14:editId="77CB4ED7">
            <wp:extent cx="5725084" cy="2226310"/>
            <wp:effectExtent l="0" t="0" r="0" b="0"/>
            <wp:docPr id="3" name="Picture 2" descr="digital twin evolution.system of systems.2022 - digital twin evolution.system of systems.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gital twin evolution.system of systems.2022 - digital twin evolution.system of systems.202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5443" cy="2230338"/>
                    </a:xfrm>
                    <a:prstGeom prst="rect">
                      <a:avLst/>
                    </a:prstGeom>
                    <a:noFill/>
                    <a:ln>
                      <a:noFill/>
                    </a:ln>
                  </pic:spPr>
                </pic:pic>
              </a:graphicData>
            </a:graphic>
          </wp:inline>
        </w:drawing>
      </w:r>
    </w:p>
    <w:p w14:paraId="47C29D72" w14:textId="52F88EE7" w:rsidR="00AE4BD9" w:rsidRPr="00861778" w:rsidRDefault="00AE4BD9" w:rsidP="00AE4BD9">
      <w:pPr>
        <w:pStyle w:val="Caption"/>
        <w:jc w:val="center"/>
        <w:rPr>
          <w:b/>
          <w:bCs/>
          <w:color w:val="auto"/>
          <w:sz w:val="20"/>
          <w:szCs w:val="20"/>
        </w:rPr>
      </w:pPr>
      <w:bookmarkStart w:id="2" w:name="_Toc220152004"/>
      <w:bookmarkStart w:id="3" w:name="_Toc223075547"/>
      <w:bookmarkStart w:id="4" w:name="_Toc223079106"/>
      <w:r w:rsidRPr="00861778">
        <w:rPr>
          <w:b/>
          <w:bCs/>
          <w:color w:val="auto"/>
          <w:sz w:val="20"/>
          <w:szCs w:val="20"/>
        </w:rPr>
        <w:t xml:space="preserve">Figure </w:t>
      </w:r>
      <w:r w:rsidR="00FB6993">
        <w:rPr>
          <w:b/>
          <w:bCs/>
          <w:color w:val="auto"/>
          <w:sz w:val="20"/>
          <w:szCs w:val="20"/>
        </w:rPr>
        <w:t>1</w:t>
      </w:r>
      <w:r w:rsidRPr="00861778">
        <w:rPr>
          <w:b/>
          <w:bCs/>
          <w:color w:val="auto"/>
          <w:sz w:val="20"/>
          <w:szCs w:val="20"/>
        </w:rPr>
        <w:t>.1: Evolution from Traditional Buildings to Integrated Digital Twin Systems</w:t>
      </w:r>
      <w:bookmarkEnd w:id="2"/>
      <w:bookmarkEnd w:id="3"/>
      <w:bookmarkEnd w:id="4"/>
    </w:p>
    <w:p w14:paraId="11269682" w14:textId="55A20FCC" w:rsidR="00E771A7" w:rsidRPr="00E771A7" w:rsidRDefault="00E771A7" w:rsidP="00E771A7">
      <w:pPr>
        <w:jc w:val="center"/>
        <w:rPr>
          <w:sz w:val="20"/>
          <w:szCs w:val="20"/>
        </w:rPr>
      </w:pPr>
      <w:r w:rsidRPr="00E771A7">
        <w:rPr>
          <w:i/>
          <w:iCs/>
          <w:sz w:val="20"/>
          <w:szCs w:val="20"/>
        </w:rPr>
        <w:t>Source: Sensative, 2022</w:t>
      </w:r>
    </w:p>
    <w:p w14:paraId="05648CAD" w14:textId="77777777" w:rsidR="00E771A7" w:rsidRDefault="00E771A7" w:rsidP="00E771A7">
      <w:pPr>
        <w:spacing w:after="200" w:line="360" w:lineRule="auto"/>
        <w:jc w:val="center"/>
      </w:pPr>
    </w:p>
    <w:p w14:paraId="4AB7B638" w14:textId="499D0AD5" w:rsidR="000302F0" w:rsidRDefault="000302F0" w:rsidP="000302F0">
      <w:pPr>
        <w:spacing w:after="200" w:line="360" w:lineRule="auto"/>
      </w:pPr>
      <w:r w:rsidRPr="000302F0">
        <w:t xml:space="preserve">Application Programming Interfaces (APIs) provide the standardised protocols enabling disparate building systems to exchange data. </w:t>
      </w:r>
      <w:r w:rsidR="00C43D8E">
        <w:t>P</w:t>
      </w:r>
      <w:r w:rsidRPr="000302F0">
        <w:t>ractical deployment faces significant challenges in existing buildings where legacy infrastructure and proprietary control systems create substantial interoperability barriers (Volk, Stengel and Schultmann, 2014). Understanding adoption requires attention to technical capabilities, organisational readiness, policy frameworks</w:t>
      </w:r>
      <w:r w:rsidR="000A2EC6">
        <w:t xml:space="preserve">, </w:t>
      </w:r>
      <w:r w:rsidRPr="000302F0">
        <w:t>a socio-technical perspective essential for digital transformation (Boje et al., 2020).</w:t>
      </w:r>
    </w:p>
    <w:p w14:paraId="40DD0712" w14:textId="1FF30FF4" w:rsidR="008A4121" w:rsidRDefault="008A4121" w:rsidP="008A4121">
      <w:pPr>
        <w:pStyle w:val="Heading2"/>
      </w:pPr>
      <w:bookmarkStart w:id="5" w:name="_Toc220152161"/>
      <w:r>
        <w:t>1.2 Sectoral Context: Further Education in South Wales</w:t>
      </w:r>
      <w:bookmarkEnd w:id="5"/>
    </w:p>
    <w:p w14:paraId="7A6517F9" w14:textId="1B0C338B" w:rsidR="008A4121" w:rsidRDefault="008A4121" w:rsidP="008A4121">
      <w:pPr>
        <w:spacing w:after="200" w:line="360" w:lineRule="auto"/>
      </w:pPr>
      <w:r>
        <w:t xml:space="preserve">This research focuses specifically on the Further Education (FE) sector in South Wales, a context that exemplifies the challenges facing public-sector building portfolios seeking to adopt digital technologies for sustainability improvement. Welsh FE institutions manage substantial estates comprising buildings of varying ages, conditions, and technical specifications, many constructed before contemporary energy efficiency standards and digital infrastructure requirements were established. The Association of Colleges (2023) reports that FE institutions face </w:t>
      </w:r>
      <w:r w:rsidR="006A1981">
        <w:t>pressures</w:t>
      </w:r>
      <w:r>
        <w:t xml:space="preserve"> in managing ageing building stock while meeting growing expectations for sustainability performance.</w:t>
      </w:r>
    </w:p>
    <w:p w14:paraId="253FACAB" w14:textId="77777777" w:rsidR="000302F0" w:rsidRDefault="000302F0" w:rsidP="008A4121">
      <w:pPr>
        <w:spacing w:after="200" w:line="360" w:lineRule="auto"/>
      </w:pPr>
      <w:r w:rsidRPr="0062773A">
        <w:lastRenderedPageBreak/>
        <w:t>The sector operates under distinctive constraints: public-sector procurement requirements misaligned with agile technology deployment, annual budget cycles creating uncertainty for multi-year investments, and Welsh Government Net-Zero commitments generating pressure while resources remain constrained. These tensions make the FE sector particularly instructive for examining AI and Digital Twin adoption challenges.</w:t>
      </w:r>
    </w:p>
    <w:p w14:paraId="2F1D9178" w14:textId="27496789" w:rsidR="00705B4B" w:rsidRDefault="00C43D8E" w:rsidP="008A4121">
      <w:pPr>
        <w:spacing w:after="200" w:line="360" w:lineRule="auto"/>
      </w:pPr>
      <w:r>
        <w:t>T</w:t>
      </w:r>
      <w:r w:rsidR="008A4121">
        <w:t xml:space="preserve">he FE sector has received limited attention in the academic literature on building digitalisation, which has predominantly focused on commercial office buildings, healthcare facilities, and higher education institutions with greater capital investment capacity. This research addresses that gap by examining technology adoption patterns, barriers, and enablers within a sector managing significant building stock under characteristic public-sector constraints. The findings may transfer to comparable contexts including local authorities, NHS estates, and other </w:t>
      </w:r>
      <w:r w:rsidR="006A1981">
        <w:t>publicly funded</w:t>
      </w:r>
      <w:r w:rsidR="008A4121">
        <w:t xml:space="preserve"> building portfolios.</w:t>
      </w:r>
    </w:p>
    <w:p w14:paraId="1FC5B9DC" w14:textId="77777777" w:rsidR="008A4121" w:rsidRDefault="008A4121" w:rsidP="008A4121">
      <w:pPr>
        <w:pStyle w:val="Heading2"/>
      </w:pPr>
      <w:bookmarkStart w:id="6" w:name="_Toc220152162"/>
      <w:r>
        <w:t>1.3 Problem Statement</w:t>
      </w:r>
      <w:bookmarkEnd w:id="6"/>
    </w:p>
    <w:p w14:paraId="7F77FA9E" w14:textId="4274712B" w:rsidR="008A4121" w:rsidRDefault="008A4121" w:rsidP="008A4121">
      <w:pPr>
        <w:spacing w:after="200" w:line="360" w:lineRule="auto"/>
      </w:pPr>
      <w:r>
        <w:t>Despite growing interest in AI and Digital Twin technologies for building performance optimisation, their adoption within post-construction M&amp;E systems remains limited, particularly in public-sector contexts. A systematic review of recent literature (2022–2025) conducted for this research reveals a significant implementation gap: while AI-enhanced Digital Twins demonstrate proven energy savings of 10</w:t>
      </w:r>
      <w:r w:rsidR="000A2EC6">
        <w:t>-</w:t>
      </w:r>
      <w:r>
        <w:t>38% in reported studies, only three of ten reviewed papers provided technical details on API integration, indicating this remains an underreported and under-researched aspect of the field (Cespedes-Cubides and Jradi, 2024).</w:t>
      </w:r>
    </w:p>
    <w:p w14:paraId="59DAE71A" w14:textId="77777777" w:rsidR="000302F0" w:rsidRDefault="000302F0" w:rsidP="008A4121">
      <w:pPr>
        <w:spacing w:after="200" w:line="360" w:lineRule="auto"/>
      </w:pPr>
      <w:r w:rsidRPr="0062773A">
        <w:t>The literature identifies interconnected barriers: technical challenges including incompatible legacy systems, absent BIM models, and fragmented sensor networks (Volk, Stengel and Schultmann, 2014; Deng, Menassa and Kamat, 2021); organisational barriers including skills shortages, cultural resistance, and cybersecurity concerns (Pärn, Edwards and Sing, 2017; Matarneh et al., 2019); and structural constraints including short-term funding models and procurement frameworks favouring lowest-cost solutions.</w:t>
      </w:r>
    </w:p>
    <w:p w14:paraId="19FDD0B2" w14:textId="4A87CE66" w:rsidR="008A4121" w:rsidRDefault="008A4121" w:rsidP="008A4121">
      <w:pPr>
        <w:spacing w:after="200" w:line="360" w:lineRule="auto"/>
      </w:pPr>
      <w:r>
        <w:t>Technology adoption theories</w:t>
      </w:r>
      <w:r w:rsidR="000A2EC6">
        <w:t xml:space="preserve">, </w:t>
      </w:r>
      <w:r>
        <w:t xml:space="preserve">including Davis's (1989) Technology Acceptance Model, Venkatesh et al.'s (2003) Unified Theory of Acceptance and Use of </w:t>
      </w:r>
      <w:r>
        <w:lastRenderedPageBreak/>
        <w:t>Technology, and Rogers's (2003) Diffusion of Innovations</w:t>
      </w:r>
      <w:r w:rsidR="000A2EC6">
        <w:t xml:space="preserve">, </w:t>
      </w:r>
      <w:r>
        <w:t>provide frameworks for understanding these barriers, yet their application to Digital Twin adoption in existing building contexts remains limited. Critically, existing research focuses on conceptual frameworks, simulation studies, or new-build implementations, with limited empirical investigation of practitioner perspectives and real-world deployment experiences in existing building contexts. There is therefore a need to understand how industry professionals perceive these technologies, what barriers they encounter in practice, and whether implementations deliver measurable sustainability benefits in operational settings.</w:t>
      </w:r>
    </w:p>
    <w:p w14:paraId="393BF490" w14:textId="77777777" w:rsidR="008A4121" w:rsidRDefault="008A4121" w:rsidP="008A4121">
      <w:pPr>
        <w:pStyle w:val="Heading2"/>
      </w:pPr>
      <w:bookmarkStart w:id="7" w:name="_Toc220152163"/>
      <w:r>
        <w:t>1.4 Research Aim</w:t>
      </w:r>
      <w:bookmarkEnd w:id="7"/>
    </w:p>
    <w:p w14:paraId="4C21FF1F" w14:textId="77777777" w:rsidR="008A4121" w:rsidRDefault="008A4121" w:rsidP="008A4121">
      <w:pPr>
        <w:spacing w:after="200" w:line="360" w:lineRule="auto"/>
      </w:pPr>
      <w:r>
        <w:t>The aim of this research is to investigate how API-driven AI and Digital Twin technologies can enhance sustainability in post-construction mechanical and electrical systems, with particular focus on the Further Education sector in South Wales. The study examines industry awareness, adoption patterns, perceived benefits and barriers, and organisational readiness, generating practice-informed insights to support more effective digital transformation strategies for sustainable building operations.</w:t>
      </w:r>
    </w:p>
    <w:p w14:paraId="4F4514B0" w14:textId="77777777" w:rsidR="008A4121" w:rsidRDefault="008A4121" w:rsidP="008A4121">
      <w:pPr>
        <w:pStyle w:val="Heading2"/>
      </w:pPr>
      <w:bookmarkStart w:id="8" w:name="_Toc220152164"/>
      <w:r>
        <w:t>1.5 Research Objectives</w:t>
      </w:r>
      <w:bookmarkEnd w:id="8"/>
    </w:p>
    <w:p w14:paraId="28378845" w14:textId="77777777" w:rsidR="008A4121" w:rsidRDefault="008A4121" w:rsidP="008A4121">
      <w:pPr>
        <w:spacing w:after="120" w:line="360" w:lineRule="auto"/>
      </w:pPr>
      <w:r>
        <w:t>To achieve the research aim, six objectives were established:</w:t>
      </w:r>
    </w:p>
    <w:p w14:paraId="75737ADB" w14:textId="77777777" w:rsidR="008A4121" w:rsidRDefault="008A4121" w:rsidP="008A4121">
      <w:pPr>
        <w:pStyle w:val="ListParagraph"/>
        <w:numPr>
          <w:ilvl w:val="0"/>
          <w:numId w:val="1"/>
        </w:numPr>
        <w:spacing w:after="80"/>
        <w:contextualSpacing w:val="0"/>
      </w:pPr>
      <w:bookmarkStart w:id="9" w:name="_Ref223075693"/>
      <w:r>
        <w:t>To assess industry awareness and familiarity with AI, Digital Twins, and API-based data integration in post-construction M&amp;E contexts.</w:t>
      </w:r>
      <w:bookmarkEnd w:id="9"/>
    </w:p>
    <w:p w14:paraId="6A3D21CF" w14:textId="77777777" w:rsidR="008A4121" w:rsidRDefault="008A4121" w:rsidP="008A4121">
      <w:pPr>
        <w:pStyle w:val="ListParagraph"/>
        <w:numPr>
          <w:ilvl w:val="0"/>
          <w:numId w:val="1"/>
        </w:numPr>
        <w:spacing w:after="80"/>
        <w:contextualSpacing w:val="0"/>
      </w:pPr>
      <w:bookmarkStart w:id="10" w:name="_Ref223075701"/>
      <w:r>
        <w:t>To examine the extent to which AI and Digital Twin technologies have been adopted within existing building operations.</w:t>
      </w:r>
      <w:bookmarkEnd w:id="10"/>
    </w:p>
    <w:p w14:paraId="464704F3" w14:textId="77777777" w:rsidR="008A4121" w:rsidRDefault="008A4121" w:rsidP="008A4121">
      <w:pPr>
        <w:pStyle w:val="ListParagraph"/>
        <w:numPr>
          <w:ilvl w:val="0"/>
          <w:numId w:val="1"/>
        </w:numPr>
        <w:spacing w:after="80"/>
        <w:contextualSpacing w:val="0"/>
      </w:pPr>
      <w:r>
        <w:t>To identify the perceived sustainability and operational benefits associated with these technologies.</w:t>
      </w:r>
    </w:p>
    <w:p w14:paraId="2D95B6B2" w14:textId="77777777" w:rsidR="008A4121" w:rsidRDefault="008A4121" w:rsidP="008A4121">
      <w:pPr>
        <w:pStyle w:val="ListParagraph"/>
        <w:numPr>
          <w:ilvl w:val="0"/>
          <w:numId w:val="1"/>
        </w:numPr>
        <w:spacing w:after="80"/>
        <w:contextualSpacing w:val="0"/>
      </w:pPr>
      <w:r>
        <w:t>To explore the key technical, organisational, and structural barriers limiting adoption, particularly in retrofit environments.</w:t>
      </w:r>
    </w:p>
    <w:p w14:paraId="638E8B07" w14:textId="77777777" w:rsidR="008A4121" w:rsidRDefault="008A4121" w:rsidP="008A4121">
      <w:pPr>
        <w:pStyle w:val="ListParagraph"/>
        <w:numPr>
          <w:ilvl w:val="0"/>
          <w:numId w:val="1"/>
        </w:numPr>
        <w:spacing w:after="80"/>
        <w:contextualSpacing w:val="0"/>
      </w:pPr>
      <w:r>
        <w:t>To investigate how industry professionals perceive organisational readiness for AI and Digital Twin implementation.</w:t>
      </w:r>
    </w:p>
    <w:p w14:paraId="415B2721" w14:textId="5A31B8C4" w:rsidR="00963A58" w:rsidRDefault="008A4121" w:rsidP="00963A58">
      <w:pPr>
        <w:pStyle w:val="ListParagraph"/>
        <w:numPr>
          <w:ilvl w:val="0"/>
          <w:numId w:val="1"/>
        </w:numPr>
        <w:spacing w:after="200"/>
        <w:contextualSpacing w:val="0"/>
      </w:pPr>
      <w:r>
        <w:t>To develop practice-informed insights that can support more effective post-construction sustainability strategies within the FE sector and comparable contexts.</w:t>
      </w:r>
    </w:p>
    <w:p w14:paraId="21D85EDC" w14:textId="77777777" w:rsidR="001E7B2F" w:rsidRDefault="001E7B2F" w:rsidP="001E7B2F">
      <w:pPr>
        <w:spacing w:after="200"/>
      </w:pPr>
    </w:p>
    <w:p w14:paraId="6A8B9D38" w14:textId="77777777" w:rsidR="001E7B2F" w:rsidRDefault="001E7B2F" w:rsidP="001E7B2F">
      <w:pPr>
        <w:spacing w:after="200"/>
      </w:pPr>
    </w:p>
    <w:p w14:paraId="1C015056" w14:textId="77777777" w:rsidR="008A4121" w:rsidRDefault="008A4121" w:rsidP="008A4121">
      <w:pPr>
        <w:pStyle w:val="Heading2"/>
      </w:pPr>
      <w:bookmarkStart w:id="11" w:name="_Toc220152165"/>
      <w:r>
        <w:lastRenderedPageBreak/>
        <w:t>1.6 Research Questions</w:t>
      </w:r>
      <w:bookmarkEnd w:id="11"/>
    </w:p>
    <w:p w14:paraId="7973B540" w14:textId="77777777" w:rsidR="008A4121" w:rsidRDefault="008A4121" w:rsidP="008A4121">
      <w:pPr>
        <w:spacing w:after="120" w:line="360" w:lineRule="auto"/>
      </w:pPr>
      <w:r>
        <w:t>The study addresses the following research questions:</w:t>
      </w:r>
    </w:p>
    <w:p w14:paraId="66FD596D" w14:textId="77777777" w:rsidR="008A4121" w:rsidRDefault="008A4121" w:rsidP="008A4121">
      <w:pPr>
        <w:pStyle w:val="ListParagraph"/>
        <w:numPr>
          <w:ilvl w:val="0"/>
          <w:numId w:val="2"/>
        </w:numPr>
        <w:spacing w:after="80"/>
        <w:contextualSpacing w:val="0"/>
      </w:pPr>
      <w:r>
        <w:t>What is the current level of awareness and familiarity with AI, Digital Twin, and API-driven technologies among professionals involved in post-construction M&amp;E systems?</w:t>
      </w:r>
    </w:p>
    <w:p w14:paraId="205C8A22" w14:textId="77777777" w:rsidR="008A4121" w:rsidRDefault="008A4121" w:rsidP="008A4121">
      <w:pPr>
        <w:pStyle w:val="ListParagraph"/>
        <w:numPr>
          <w:ilvl w:val="0"/>
          <w:numId w:val="2"/>
        </w:numPr>
        <w:spacing w:after="80"/>
        <w:contextualSpacing w:val="0"/>
      </w:pPr>
      <w:r>
        <w:t>To what extent have AI and Digital Twin technologies been adopted in the management and operation of existing buildings?</w:t>
      </w:r>
    </w:p>
    <w:p w14:paraId="192C0489" w14:textId="77777777" w:rsidR="008A4121" w:rsidRDefault="008A4121" w:rsidP="008A4121">
      <w:pPr>
        <w:pStyle w:val="ListParagraph"/>
        <w:numPr>
          <w:ilvl w:val="0"/>
          <w:numId w:val="2"/>
        </w:numPr>
        <w:spacing w:after="80"/>
        <w:contextualSpacing w:val="0"/>
      </w:pPr>
      <w:r>
        <w:t>What sustainability and operational benefits are perceived to result from the use of AI and Digital Twin technologies in post-construction M&amp;E systems?</w:t>
      </w:r>
    </w:p>
    <w:p w14:paraId="48B6A880" w14:textId="77777777" w:rsidR="008A4121" w:rsidRDefault="008A4121" w:rsidP="008A4121">
      <w:pPr>
        <w:pStyle w:val="ListParagraph"/>
        <w:numPr>
          <w:ilvl w:val="0"/>
          <w:numId w:val="2"/>
        </w:numPr>
        <w:spacing w:after="80"/>
        <w:contextualSpacing w:val="0"/>
      </w:pPr>
      <w:r>
        <w:t>What are the main technical, organisational, and structural barriers preventing wider adoption of these technologies in existing buildings?</w:t>
      </w:r>
    </w:p>
    <w:p w14:paraId="226B2133" w14:textId="77777777" w:rsidR="008A4121" w:rsidRDefault="008A4121" w:rsidP="008A4121">
      <w:pPr>
        <w:pStyle w:val="ListParagraph"/>
        <w:numPr>
          <w:ilvl w:val="0"/>
          <w:numId w:val="2"/>
        </w:numPr>
        <w:spacing w:after="200"/>
        <w:contextualSpacing w:val="0"/>
      </w:pPr>
      <w:r>
        <w:t>How ready are organisations to adopt AI and Digital Twin solutions within post-construction M&amp;E contexts?</w:t>
      </w:r>
    </w:p>
    <w:p w14:paraId="5B9E7C1C" w14:textId="77777777" w:rsidR="00DF23BB" w:rsidRDefault="00DF23BB" w:rsidP="00DF23BB">
      <w:pPr>
        <w:spacing w:after="200"/>
        <w:ind w:left="360"/>
      </w:pPr>
    </w:p>
    <w:p w14:paraId="2876291F" w14:textId="505F0747" w:rsidR="007900BB" w:rsidRPr="007900BB" w:rsidRDefault="007900BB" w:rsidP="007900BB">
      <w:pPr>
        <w:pStyle w:val="Caption"/>
        <w:keepNext/>
        <w:rPr>
          <w:b/>
          <w:bCs/>
          <w:color w:val="auto"/>
          <w:sz w:val="20"/>
          <w:szCs w:val="20"/>
        </w:rPr>
      </w:pPr>
      <w:bookmarkStart w:id="12" w:name="_Toc220151980"/>
      <w:bookmarkStart w:id="13" w:name="_Toc223077211"/>
      <w:bookmarkStart w:id="14" w:name="_Toc223079107"/>
      <w:r w:rsidRPr="007900BB">
        <w:rPr>
          <w:b/>
          <w:bCs/>
          <w:color w:val="auto"/>
          <w:sz w:val="20"/>
          <w:szCs w:val="20"/>
        </w:rPr>
        <w:t xml:space="preserve">Table </w:t>
      </w:r>
      <w:r w:rsidR="00CD0E8E">
        <w:rPr>
          <w:b/>
          <w:bCs/>
          <w:color w:val="auto"/>
          <w:sz w:val="20"/>
          <w:szCs w:val="20"/>
        </w:rPr>
        <w:t>1.</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1</w:t>
      </w:r>
      <w:r w:rsidR="00E10041">
        <w:rPr>
          <w:b/>
          <w:bCs/>
          <w:color w:val="auto"/>
          <w:sz w:val="20"/>
          <w:szCs w:val="20"/>
        </w:rPr>
        <w:fldChar w:fldCharType="end"/>
      </w:r>
      <w:r w:rsidRPr="007900BB">
        <w:rPr>
          <w:b/>
          <w:bCs/>
          <w:color w:val="auto"/>
          <w:sz w:val="20"/>
          <w:szCs w:val="20"/>
        </w:rPr>
        <w:t>: Research Questions and Objectives Alignment</w:t>
      </w:r>
      <w:bookmarkEnd w:id="12"/>
      <w:bookmarkEnd w:id="13"/>
      <w:bookmarkEnd w:id="14"/>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161"/>
        <w:gridCol w:w="5284"/>
        <w:gridCol w:w="2579"/>
      </w:tblGrid>
      <w:tr w:rsidR="008A4121" w14:paraId="31EF3FCC" w14:textId="77777777" w:rsidTr="00BE29C7">
        <w:trPr>
          <w:tblHeader/>
        </w:trPr>
        <w:tc>
          <w:tcPr>
            <w:tcW w:w="1200" w:type="dxa"/>
            <w:tcBorders>
              <w:top w:val="single" w:sz="1" w:space="0" w:color="808080"/>
              <w:left w:val="single" w:sz="1" w:space="0" w:color="808080"/>
              <w:bottom w:val="single" w:sz="1" w:space="0" w:color="808080"/>
              <w:right w:val="single" w:sz="1" w:space="0" w:color="808080"/>
            </w:tcBorders>
            <w:shd w:val="clear" w:color="auto" w:fill="D9E2F3"/>
          </w:tcPr>
          <w:p w14:paraId="36C0AD95" w14:textId="77777777" w:rsidR="008A4121" w:rsidRDefault="008A4121" w:rsidP="00BE29C7">
            <w:pPr>
              <w:jc w:val="center"/>
            </w:pPr>
            <w:r>
              <w:rPr>
                <w:b/>
                <w:bCs/>
                <w:sz w:val="22"/>
                <w:szCs w:val="22"/>
              </w:rPr>
              <w:t>RQ</w:t>
            </w:r>
          </w:p>
        </w:tc>
        <w:tc>
          <w:tcPr>
            <w:tcW w:w="5500" w:type="dxa"/>
            <w:tcBorders>
              <w:top w:val="single" w:sz="1" w:space="0" w:color="808080"/>
              <w:left w:val="single" w:sz="1" w:space="0" w:color="808080"/>
              <w:bottom w:val="single" w:sz="1" w:space="0" w:color="808080"/>
              <w:right w:val="single" w:sz="1" w:space="0" w:color="808080"/>
            </w:tcBorders>
            <w:shd w:val="clear" w:color="auto" w:fill="D9E2F3"/>
          </w:tcPr>
          <w:p w14:paraId="18D002ED" w14:textId="77777777" w:rsidR="008A4121" w:rsidRDefault="008A4121" w:rsidP="00BE29C7">
            <w:pPr>
              <w:jc w:val="center"/>
            </w:pPr>
            <w:r>
              <w:rPr>
                <w:b/>
                <w:bCs/>
                <w:sz w:val="22"/>
                <w:szCs w:val="22"/>
              </w:rPr>
              <w:t>Research Question</w:t>
            </w:r>
          </w:p>
        </w:tc>
        <w:tc>
          <w:tcPr>
            <w:tcW w:w="2660" w:type="dxa"/>
            <w:tcBorders>
              <w:top w:val="single" w:sz="1" w:space="0" w:color="808080"/>
              <w:left w:val="single" w:sz="1" w:space="0" w:color="808080"/>
              <w:bottom w:val="single" w:sz="1" w:space="0" w:color="808080"/>
              <w:right w:val="single" w:sz="1" w:space="0" w:color="808080"/>
            </w:tcBorders>
            <w:shd w:val="clear" w:color="auto" w:fill="D9E2F3"/>
          </w:tcPr>
          <w:p w14:paraId="7F0D07C0" w14:textId="77777777" w:rsidR="008A4121" w:rsidRDefault="008A4121" w:rsidP="00BE29C7">
            <w:pPr>
              <w:jc w:val="center"/>
            </w:pPr>
            <w:r>
              <w:rPr>
                <w:b/>
                <w:bCs/>
                <w:sz w:val="22"/>
                <w:szCs w:val="22"/>
              </w:rPr>
              <w:t>Aligned Objectives</w:t>
            </w:r>
          </w:p>
        </w:tc>
      </w:tr>
      <w:tr w:rsidR="008A4121" w14:paraId="3F7F8ACF" w14:textId="77777777" w:rsidTr="0025438A">
        <w:tc>
          <w:tcPr>
            <w:tcW w:w="1200" w:type="dxa"/>
            <w:tcBorders>
              <w:top w:val="single" w:sz="1" w:space="0" w:color="808080"/>
              <w:left w:val="single" w:sz="1" w:space="0" w:color="808080"/>
              <w:bottom w:val="single" w:sz="1" w:space="0" w:color="808080"/>
              <w:right w:val="single" w:sz="1" w:space="0" w:color="808080"/>
            </w:tcBorders>
            <w:vAlign w:val="center"/>
          </w:tcPr>
          <w:p w14:paraId="426F3014" w14:textId="77777777" w:rsidR="008A4121" w:rsidRDefault="008A4121" w:rsidP="0025438A">
            <w:r>
              <w:rPr>
                <w:sz w:val="22"/>
                <w:szCs w:val="22"/>
              </w:rPr>
              <w:t>RQ1</w:t>
            </w:r>
          </w:p>
        </w:tc>
        <w:tc>
          <w:tcPr>
            <w:tcW w:w="5500" w:type="dxa"/>
            <w:tcBorders>
              <w:top w:val="single" w:sz="1" w:space="0" w:color="808080"/>
              <w:left w:val="single" w:sz="1" w:space="0" w:color="808080"/>
              <w:bottom w:val="single" w:sz="1" w:space="0" w:color="808080"/>
              <w:right w:val="single" w:sz="1" w:space="0" w:color="808080"/>
            </w:tcBorders>
            <w:vAlign w:val="center"/>
          </w:tcPr>
          <w:p w14:paraId="3E94473B" w14:textId="77777777" w:rsidR="008A4121" w:rsidRDefault="008A4121" w:rsidP="0025438A">
            <w:r>
              <w:rPr>
                <w:sz w:val="22"/>
                <w:szCs w:val="22"/>
              </w:rPr>
              <w:t>Awareness and familiarity with AI, Digital Twins, and APIs</w:t>
            </w:r>
          </w:p>
        </w:tc>
        <w:tc>
          <w:tcPr>
            <w:tcW w:w="2660" w:type="dxa"/>
            <w:tcBorders>
              <w:top w:val="single" w:sz="1" w:space="0" w:color="808080"/>
              <w:left w:val="single" w:sz="1" w:space="0" w:color="808080"/>
              <w:bottom w:val="single" w:sz="1" w:space="0" w:color="808080"/>
              <w:right w:val="single" w:sz="1" w:space="0" w:color="808080"/>
            </w:tcBorders>
            <w:vAlign w:val="center"/>
          </w:tcPr>
          <w:p w14:paraId="597D85B6" w14:textId="77777777" w:rsidR="008A4121" w:rsidRDefault="008A4121" w:rsidP="0025438A">
            <w:r>
              <w:rPr>
                <w:sz w:val="22"/>
                <w:szCs w:val="22"/>
              </w:rPr>
              <w:t>Objective 1</w:t>
            </w:r>
          </w:p>
        </w:tc>
      </w:tr>
      <w:tr w:rsidR="008A4121" w14:paraId="3DB45819" w14:textId="77777777" w:rsidTr="0077262C">
        <w:trPr>
          <w:trHeight w:val="439"/>
        </w:trPr>
        <w:tc>
          <w:tcPr>
            <w:tcW w:w="1200" w:type="dxa"/>
            <w:tcBorders>
              <w:top w:val="single" w:sz="1" w:space="0" w:color="808080"/>
              <w:left w:val="single" w:sz="1" w:space="0" w:color="808080"/>
              <w:bottom w:val="single" w:sz="1" w:space="0" w:color="808080"/>
              <w:right w:val="single" w:sz="1" w:space="0" w:color="808080"/>
            </w:tcBorders>
            <w:vAlign w:val="center"/>
          </w:tcPr>
          <w:p w14:paraId="1AFCEC10" w14:textId="77777777" w:rsidR="008A4121" w:rsidRDefault="008A4121" w:rsidP="0025438A">
            <w:r>
              <w:rPr>
                <w:sz w:val="22"/>
                <w:szCs w:val="22"/>
              </w:rPr>
              <w:t>RQ2</w:t>
            </w:r>
          </w:p>
        </w:tc>
        <w:tc>
          <w:tcPr>
            <w:tcW w:w="5500" w:type="dxa"/>
            <w:tcBorders>
              <w:top w:val="single" w:sz="1" w:space="0" w:color="808080"/>
              <w:left w:val="single" w:sz="1" w:space="0" w:color="808080"/>
              <w:bottom w:val="single" w:sz="1" w:space="0" w:color="808080"/>
              <w:right w:val="single" w:sz="1" w:space="0" w:color="808080"/>
            </w:tcBorders>
            <w:vAlign w:val="center"/>
          </w:tcPr>
          <w:p w14:paraId="73F8D283" w14:textId="77777777" w:rsidR="008A4121" w:rsidRDefault="008A4121" w:rsidP="0025438A">
            <w:r>
              <w:rPr>
                <w:sz w:val="22"/>
                <w:szCs w:val="22"/>
              </w:rPr>
              <w:t>Extent of adoption in existing buildings</w:t>
            </w:r>
          </w:p>
        </w:tc>
        <w:tc>
          <w:tcPr>
            <w:tcW w:w="2660" w:type="dxa"/>
            <w:tcBorders>
              <w:top w:val="single" w:sz="1" w:space="0" w:color="808080"/>
              <w:left w:val="single" w:sz="1" w:space="0" w:color="808080"/>
              <w:bottom w:val="single" w:sz="1" w:space="0" w:color="808080"/>
              <w:right w:val="single" w:sz="1" w:space="0" w:color="808080"/>
            </w:tcBorders>
            <w:vAlign w:val="center"/>
          </w:tcPr>
          <w:p w14:paraId="2BB0EE57" w14:textId="77777777" w:rsidR="008A4121" w:rsidRDefault="008A4121" w:rsidP="0025438A">
            <w:r>
              <w:rPr>
                <w:sz w:val="22"/>
                <w:szCs w:val="22"/>
              </w:rPr>
              <w:t>Objective 2</w:t>
            </w:r>
          </w:p>
        </w:tc>
      </w:tr>
      <w:tr w:rsidR="008A4121" w14:paraId="307F0E21" w14:textId="77777777" w:rsidTr="0077262C">
        <w:trPr>
          <w:trHeight w:val="403"/>
        </w:trPr>
        <w:tc>
          <w:tcPr>
            <w:tcW w:w="1200" w:type="dxa"/>
            <w:tcBorders>
              <w:top w:val="single" w:sz="1" w:space="0" w:color="808080"/>
              <w:left w:val="single" w:sz="1" w:space="0" w:color="808080"/>
              <w:bottom w:val="single" w:sz="1" w:space="0" w:color="808080"/>
              <w:right w:val="single" w:sz="1" w:space="0" w:color="808080"/>
            </w:tcBorders>
            <w:vAlign w:val="center"/>
          </w:tcPr>
          <w:p w14:paraId="4AA47E6A" w14:textId="77777777" w:rsidR="008A4121" w:rsidRDefault="008A4121" w:rsidP="0025438A">
            <w:r>
              <w:rPr>
                <w:sz w:val="22"/>
                <w:szCs w:val="22"/>
              </w:rPr>
              <w:t>RQ3</w:t>
            </w:r>
          </w:p>
        </w:tc>
        <w:tc>
          <w:tcPr>
            <w:tcW w:w="5500" w:type="dxa"/>
            <w:tcBorders>
              <w:top w:val="single" w:sz="1" w:space="0" w:color="808080"/>
              <w:left w:val="single" w:sz="1" w:space="0" w:color="808080"/>
              <w:bottom w:val="single" w:sz="1" w:space="0" w:color="808080"/>
              <w:right w:val="single" w:sz="1" w:space="0" w:color="808080"/>
            </w:tcBorders>
            <w:vAlign w:val="center"/>
          </w:tcPr>
          <w:p w14:paraId="23927F5A" w14:textId="77777777" w:rsidR="008A4121" w:rsidRDefault="008A4121" w:rsidP="0025438A">
            <w:r>
              <w:rPr>
                <w:sz w:val="22"/>
                <w:szCs w:val="22"/>
              </w:rPr>
              <w:t>Perceived sustainability and operational benefits</w:t>
            </w:r>
          </w:p>
        </w:tc>
        <w:tc>
          <w:tcPr>
            <w:tcW w:w="2660" w:type="dxa"/>
            <w:tcBorders>
              <w:top w:val="single" w:sz="1" w:space="0" w:color="808080"/>
              <w:left w:val="single" w:sz="1" w:space="0" w:color="808080"/>
              <w:bottom w:val="single" w:sz="1" w:space="0" w:color="808080"/>
              <w:right w:val="single" w:sz="1" w:space="0" w:color="808080"/>
            </w:tcBorders>
            <w:vAlign w:val="center"/>
          </w:tcPr>
          <w:p w14:paraId="462C672D" w14:textId="77777777" w:rsidR="008A4121" w:rsidRDefault="008A4121" w:rsidP="0025438A">
            <w:r>
              <w:rPr>
                <w:sz w:val="22"/>
                <w:szCs w:val="22"/>
              </w:rPr>
              <w:t>Objective 3</w:t>
            </w:r>
          </w:p>
        </w:tc>
      </w:tr>
      <w:tr w:rsidR="008A4121" w14:paraId="18090CC3" w14:textId="77777777" w:rsidTr="0077262C">
        <w:trPr>
          <w:trHeight w:val="437"/>
        </w:trPr>
        <w:tc>
          <w:tcPr>
            <w:tcW w:w="1200" w:type="dxa"/>
            <w:tcBorders>
              <w:top w:val="single" w:sz="1" w:space="0" w:color="808080"/>
              <w:left w:val="single" w:sz="1" w:space="0" w:color="808080"/>
              <w:bottom w:val="single" w:sz="1" w:space="0" w:color="808080"/>
              <w:right w:val="single" w:sz="1" w:space="0" w:color="808080"/>
            </w:tcBorders>
            <w:vAlign w:val="center"/>
          </w:tcPr>
          <w:p w14:paraId="154DC73B" w14:textId="77777777" w:rsidR="008A4121" w:rsidRDefault="008A4121" w:rsidP="0025438A">
            <w:r>
              <w:rPr>
                <w:sz w:val="22"/>
                <w:szCs w:val="22"/>
              </w:rPr>
              <w:t>RQ4</w:t>
            </w:r>
          </w:p>
        </w:tc>
        <w:tc>
          <w:tcPr>
            <w:tcW w:w="5500" w:type="dxa"/>
            <w:tcBorders>
              <w:top w:val="single" w:sz="1" w:space="0" w:color="808080"/>
              <w:left w:val="single" w:sz="1" w:space="0" w:color="808080"/>
              <w:bottom w:val="single" w:sz="1" w:space="0" w:color="808080"/>
              <w:right w:val="single" w:sz="1" w:space="0" w:color="808080"/>
            </w:tcBorders>
            <w:vAlign w:val="center"/>
          </w:tcPr>
          <w:p w14:paraId="63E0E199" w14:textId="77777777" w:rsidR="008A4121" w:rsidRDefault="008A4121" w:rsidP="0025438A">
            <w:r>
              <w:rPr>
                <w:sz w:val="22"/>
                <w:szCs w:val="22"/>
              </w:rPr>
              <w:t>Technical, organisational, and structural barriers</w:t>
            </w:r>
          </w:p>
        </w:tc>
        <w:tc>
          <w:tcPr>
            <w:tcW w:w="2660" w:type="dxa"/>
            <w:tcBorders>
              <w:top w:val="single" w:sz="1" w:space="0" w:color="808080"/>
              <w:left w:val="single" w:sz="1" w:space="0" w:color="808080"/>
              <w:bottom w:val="single" w:sz="1" w:space="0" w:color="808080"/>
              <w:right w:val="single" w:sz="1" w:space="0" w:color="808080"/>
            </w:tcBorders>
            <w:vAlign w:val="center"/>
          </w:tcPr>
          <w:p w14:paraId="453B8924" w14:textId="77777777" w:rsidR="008A4121" w:rsidRDefault="008A4121" w:rsidP="0025438A">
            <w:r>
              <w:rPr>
                <w:sz w:val="22"/>
                <w:szCs w:val="22"/>
              </w:rPr>
              <w:t>Objective 4</w:t>
            </w:r>
          </w:p>
        </w:tc>
      </w:tr>
      <w:tr w:rsidR="008A4121" w14:paraId="69475418" w14:textId="77777777" w:rsidTr="0077262C">
        <w:trPr>
          <w:trHeight w:val="416"/>
        </w:trPr>
        <w:tc>
          <w:tcPr>
            <w:tcW w:w="1200" w:type="dxa"/>
            <w:tcBorders>
              <w:top w:val="single" w:sz="1" w:space="0" w:color="808080"/>
              <w:left w:val="single" w:sz="1" w:space="0" w:color="808080"/>
              <w:bottom w:val="single" w:sz="1" w:space="0" w:color="808080"/>
              <w:right w:val="single" w:sz="1" w:space="0" w:color="808080"/>
            </w:tcBorders>
            <w:vAlign w:val="center"/>
          </w:tcPr>
          <w:p w14:paraId="2E3B50C9" w14:textId="77777777" w:rsidR="008A4121" w:rsidRDefault="008A4121" w:rsidP="0025438A">
            <w:r>
              <w:rPr>
                <w:sz w:val="22"/>
                <w:szCs w:val="22"/>
              </w:rPr>
              <w:t>RQ5</w:t>
            </w:r>
          </w:p>
        </w:tc>
        <w:tc>
          <w:tcPr>
            <w:tcW w:w="5500" w:type="dxa"/>
            <w:tcBorders>
              <w:top w:val="single" w:sz="1" w:space="0" w:color="808080"/>
              <w:left w:val="single" w:sz="1" w:space="0" w:color="808080"/>
              <w:bottom w:val="single" w:sz="1" w:space="0" w:color="808080"/>
              <w:right w:val="single" w:sz="1" w:space="0" w:color="808080"/>
            </w:tcBorders>
            <w:vAlign w:val="center"/>
          </w:tcPr>
          <w:p w14:paraId="3496EE7C" w14:textId="77777777" w:rsidR="008A4121" w:rsidRDefault="008A4121" w:rsidP="0025438A">
            <w:r>
              <w:rPr>
                <w:sz w:val="22"/>
                <w:szCs w:val="22"/>
              </w:rPr>
              <w:t>Organisational readiness for adoption</w:t>
            </w:r>
          </w:p>
        </w:tc>
        <w:tc>
          <w:tcPr>
            <w:tcW w:w="2660" w:type="dxa"/>
            <w:tcBorders>
              <w:top w:val="single" w:sz="1" w:space="0" w:color="808080"/>
              <w:left w:val="single" w:sz="1" w:space="0" w:color="808080"/>
              <w:bottom w:val="single" w:sz="1" w:space="0" w:color="808080"/>
              <w:right w:val="single" w:sz="1" w:space="0" w:color="808080"/>
            </w:tcBorders>
            <w:vAlign w:val="center"/>
          </w:tcPr>
          <w:p w14:paraId="1D47DF1E" w14:textId="77777777" w:rsidR="008A4121" w:rsidRDefault="008A4121" w:rsidP="0025438A">
            <w:r>
              <w:rPr>
                <w:sz w:val="22"/>
                <w:szCs w:val="22"/>
              </w:rPr>
              <w:t>Objectives 5, 6</w:t>
            </w:r>
          </w:p>
        </w:tc>
      </w:tr>
    </w:tbl>
    <w:p w14:paraId="70720085" w14:textId="77777777" w:rsidR="008A4121" w:rsidRDefault="008A4121" w:rsidP="008A4121">
      <w:pPr>
        <w:spacing w:after="200"/>
      </w:pPr>
    </w:p>
    <w:p w14:paraId="608AEC6B" w14:textId="77777777" w:rsidR="008A4121" w:rsidRDefault="008A4121" w:rsidP="008A4121">
      <w:pPr>
        <w:pStyle w:val="Heading2"/>
      </w:pPr>
      <w:bookmarkStart w:id="15" w:name="_Toc220152166"/>
      <w:r>
        <w:t>1.7 Significance of the Study</w:t>
      </w:r>
      <w:bookmarkEnd w:id="15"/>
    </w:p>
    <w:p w14:paraId="4C9CB9AF" w14:textId="3462E511" w:rsidR="008A4121" w:rsidRDefault="008A4121" w:rsidP="008A4121">
      <w:pPr>
        <w:spacing w:after="200" w:line="360" w:lineRule="auto"/>
      </w:pPr>
      <w:r>
        <w:t>This research contributes to knowledge and practice in several important ways. Academically, the study addresses a recognised gap in the literature by providing empirical evidence on AI and Digital Twin adoption in post-construction contexts, an area where existing research has predominantly focused on conceptual frameworks, simulation studies, and new-build applications. By examining practitioner perspectives and implementation experiences, the research extends understanding beyond technical capability to encompass the organisational, cultural, and structural factors shaping real-world deployment</w:t>
      </w:r>
      <w:r w:rsidR="008D6920">
        <w:t xml:space="preserve">, </w:t>
      </w:r>
      <w:r>
        <w:t>responding to calls for socio-technical approaches to building digitalisation (Boje et al., 2020).</w:t>
      </w:r>
    </w:p>
    <w:p w14:paraId="338C4F3C" w14:textId="527F47C1" w:rsidR="008A4121" w:rsidRDefault="008A4121" w:rsidP="008A4121">
      <w:pPr>
        <w:spacing w:after="200" w:line="360" w:lineRule="auto"/>
      </w:pPr>
      <w:r>
        <w:t xml:space="preserve">The focus on the Further Education sector provides insights into public-sector technology adoption that may transfer to comparable contexts including local authorities, NHS estates, and other </w:t>
      </w:r>
      <w:r w:rsidR="006A1981">
        <w:t>publicly funded</w:t>
      </w:r>
      <w:r>
        <w:t xml:space="preserve"> building portfolios operating </w:t>
      </w:r>
      <w:r>
        <w:lastRenderedPageBreak/>
        <w:t>under similar constraints. The mixed-methods approach, combining quantitative survey research (n=87) with qualitative interviews (n=6), generates both quantifiable patterns suitable for benchmarking and rich contextual understanding of how barriers manifest and might be addressed in practice (Creswell and Creswell, 2023; Bryman, 2021).</w:t>
      </w:r>
    </w:p>
    <w:p w14:paraId="28C8706A" w14:textId="1B3F3E61" w:rsidR="008A4121" w:rsidRDefault="008A4121" w:rsidP="008A4121">
      <w:pPr>
        <w:spacing w:after="200" w:line="360" w:lineRule="auto"/>
      </w:pPr>
      <w:r>
        <w:t xml:space="preserve">For practitioners, the findings offer evidence-based insights to inform digital transformation strategies, procurement decisions, and workforce development priorities. For policymakers, the research illuminates the gap between policy ambition and operational reality, highlighting </w:t>
      </w:r>
      <w:r w:rsidR="008F0056">
        <w:t>were</w:t>
      </w:r>
      <w:r>
        <w:t xml:space="preserve"> targeted interventions</w:t>
      </w:r>
      <w:r w:rsidR="008D6920">
        <w:t xml:space="preserve">, </w:t>
      </w:r>
      <w:r>
        <w:t>such as skills funding, interoperability standards, or procurement guidance</w:t>
      </w:r>
      <w:r w:rsidR="008D6920">
        <w:t xml:space="preserve">, </w:t>
      </w:r>
      <w:r>
        <w:t>might accelerate sustainable building technology adoption. The emphasis on API integration and interoperability addresses a critical but underreported technical dimension with direct practical implications for system specification and vendor selection.</w:t>
      </w:r>
    </w:p>
    <w:p w14:paraId="2C8D4E27" w14:textId="77777777" w:rsidR="008A4121" w:rsidRDefault="008A4121" w:rsidP="008A4121">
      <w:pPr>
        <w:pStyle w:val="Heading2"/>
      </w:pPr>
      <w:bookmarkStart w:id="16" w:name="_Toc220152167"/>
      <w:r>
        <w:t>1.8 Scope and Delimitations</w:t>
      </w:r>
      <w:bookmarkEnd w:id="16"/>
    </w:p>
    <w:p w14:paraId="43FBF81F" w14:textId="77777777" w:rsidR="008A4121" w:rsidRDefault="008A4121" w:rsidP="008A4121">
      <w:pPr>
        <w:spacing w:after="200" w:line="360" w:lineRule="auto"/>
      </w:pPr>
      <w:r>
        <w:t>The research scope encompasses AI and Digital Twin technologies applied to post-construction M&amp;E systems in existing buildings, with primary data collection focused on the Further Education sector and related built environment professionals in South Wales. The study examines perceptions, experiences, and readiness rather than conducting technical performance measurement of specific Digital Twin implementations.</w:t>
      </w:r>
    </w:p>
    <w:p w14:paraId="346AA1D1" w14:textId="77777777" w:rsidR="008A4121" w:rsidRDefault="008A4121" w:rsidP="008A4121">
      <w:pPr>
        <w:spacing w:after="200" w:line="360" w:lineRule="auto"/>
      </w:pPr>
      <w:r>
        <w:t>Several delimitations frame the investigation. The research focuses on operational-stage building management rather than design-phase or construction-phase applications of Digital Twin technology. While the literature review encompasses international sources, primary data collection targets UK practitioners with emphasis on the Welsh context. The study examines M&amp;E systems holistically rather than conducting detailed analysis of specific subsystems such as HVAC or lighting in isolation. These boundaries enable focused investigation of the research questions within the constraints of an MSc dissertation while generating findings with broader transferability.</w:t>
      </w:r>
    </w:p>
    <w:p w14:paraId="79CE9F9F" w14:textId="77777777" w:rsidR="008A4121" w:rsidRDefault="008A4121" w:rsidP="008A4121">
      <w:pPr>
        <w:pStyle w:val="Heading2"/>
      </w:pPr>
      <w:bookmarkStart w:id="17" w:name="_Toc220152168"/>
      <w:r>
        <w:t>1.9 Research Methodology Overview</w:t>
      </w:r>
      <w:bookmarkEnd w:id="17"/>
    </w:p>
    <w:p w14:paraId="06CE88A8" w14:textId="0A8D0177" w:rsidR="008A4121" w:rsidRDefault="008A4121" w:rsidP="008A4121">
      <w:pPr>
        <w:spacing w:after="200" w:line="360" w:lineRule="auto"/>
      </w:pPr>
      <w:r>
        <w:t xml:space="preserve">A convergent parallel mixed-methods approach was adopted, combining quantitative survey research with qualitative semi-structured interviews to address the research </w:t>
      </w:r>
      <w:r>
        <w:lastRenderedPageBreak/>
        <w:t xml:space="preserve">questions from complementary perspectives (Creswell and Creswell, 2023). This design reflects a pragmatist philosophical position that prioritises practical problem-solving and recognises that both quantitative measurement and qualitative interpretation contribute valuable knowledge (Saunders, </w:t>
      </w:r>
      <w:r w:rsidR="006A1981">
        <w:t>Lewis,</w:t>
      </w:r>
      <w:r>
        <w:t xml:space="preserve"> and Thornhill, 2023). The quantitative strand captured industry-wide patterns in technology familiarity, adoption status, perceived benefits and barriers, and organisational readiness through a structured questionnaire administered to 87 built environment professionals. The qualitative strand explored contextual factors, implementation experiences, and explanatory mechanisms through in-depth interviews with six purposively selected stakeholders from the FE sector in South Wales.</w:t>
      </w:r>
    </w:p>
    <w:p w14:paraId="3C5D4C1B" w14:textId="3F5DDBB4" w:rsidR="008A4121" w:rsidRDefault="008A4121" w:rsidP="008A4121">
      <w:pPr>
        <w:spacing w:after="200" w:line="360" w:lineRule="auto"/>
      </w:pPr>
      <w:r>
        <w:t>Data collection and analysis were guided by a three-domain conceptual framework addressing Technological Capability, Human and Organisational Readiness, and Policy and Governance Alignment. This framework, developed from the literature review, recognises that successful AI-Digital Twin implementation depends on the interaction of technical infrastructure, organisational factors, and policy environments</w:t>
      </w:r>
      <w:r w:rsidR="008D6920">
        <w:t xml:space="preserve">, </w:t>
      </w:r>
      <w:r>
        <w:t>reflecting socio-technical systems theory which posits that performance depends on joint optimisation of social and technical subsystems (Boje et al., 2020). Quantitative data were analysed using descriptive statistics and correlation analysis, while qualitative data underwent thematic analysis following Braun and Clarke's (2022) framework. Integration occurred at the interpretation stage through systematic triangulation identifying convergence, divergence, and complementarity between research strands. Full methodological details are presented in Chapter 3.</w:t>
      </w:r>
    </w:p>
    <w:p w14:paraId="623D6EB0" w14:textId="77777777" w:rsidR="008A4121" w:rsidRDefault="008A4121" w:rsidP="008A4121">
      <w:pPr>
        <w:pStyle w:val="Heading2"/>
      </w:pPr>
      <w:bookmarkStart w:id="18" w:name="_Toc220152169"/>
      <w:r>
        <w:t>1.10 Dissertation Structure</w:t>
      </w:r>
      <w:bookmarkEnd w:id="18"/>
    </w:p>
    <w:p w14:paraId="69CC4FB2" w14:textId="77777777" w:rsidR="008A4121" w:rsidRDefault="008A4121" w:rsidP="008A4121">
      <w:pPr>
        <w:spacing w:after="200" w:line="360" w:lineRule="auto"/>
      </w:pPr>
      <w:r>
        <w:t>The dissertation is organised into six chapters. Following this introduction, Chapter 2 presents a comprehensive literature review examining AI and Digital Twin technologies in building operations, sustainability drivers, implementation barriers, technology adoption theories, and the three-domain conceptual framework guiding the research. Chapter 3 details the research methodology, including philosophical positioning, research design, data collection instruments, sampling strategies, analytical procedures, and ethical considerations.</w:t>
      </w:r>
    </w:p>
    <w:p w14:paraId="5E1A3FDF" w14:textId="77777777" w:rsidR="008A4121" w:rsidRDefault="008A4121" w:rsidP="008A4121">
      <w:pPr>
        <w:spacing w:after="200" w:line="360" w:lineRule="auto"/>
      </w:pPr>
      <w:r>
        <w:t xml:space="preserve">Chapter 4 presents findings from both quantitative and qualitative research strands, integrating statistical analysis of survey data with thematic analysis of interview </w:t>
      </w:r>
      <w:r>
        <w:lastRenderedPageBreak/>
        <w:t>responses through systematic triangulation. Chapter 5 discusses the findings in relation to the literature and technology adoption frameworks, examining implications for theory, practice, and policy while acknowledging limitations and identifying directions for future research. Chapter 6 concludes the dissertation by summarising key findings, articulating contributions to knowledge and practice, and offering recommendations for stakeholders seeking to advance sustainable building operations through digital technologies.</w:t>
      </w:r>
    </w:p>
    <w:p w14:paraId="3A13F38E" w14:textId="77777777" w:rsidR="00DF23BB" w:rsidRDefault="00DF23BB" w:rsidP="008A4121">
      <w:pPr>
        <w:spacing w:after="200" w:line="360" w:lineRule="auto"/>
      </w:pPr>
    </w:p>
    <w:p w14:paraId="46C42D27" w14:textId="00F8818E" w:rsidR="007900BB" w:rsidRPr="007900BB" w:rsidRDefault="007900BB" w:rsidP="007900BB">
      <w:pPr>
        <w:pStyle w:val="Caption"/>
        <w:keepNext/>
        <w:rPr>
          <w:b/>
          <w:bCs/>
          <w:color w:val="auto"/>
          <w:sz w:val="20"/>
          <w:szCs w:val="20"/>
        </w:rPr>
      </w:pPr>
      <w:bookmarkStart w:id="19" w:name="_Toc220151981"/>
      <w:bookmarkStart w:id="20" w:name="_Toc223077212"/>
      <w:bookmarkStart w:id="21" w:name="_Toc223079108"/>
      <w:r w:rsidRPr="007900BB">
        <w:rPr>
          <w:b/>
          <w:bCs/>
          <w:color w:val="auto"/>
          <w:sz w:val="20"/>
          <w:szCs w:val="20"/>
        </w:rPr>
        <w:t xml:space="preserve">Table </w:t>
      </w:r>
      <w:r w:rsidR="00CD0E8E">
        <w:rPr>
          <w:b/>
          <w:bCs/>
          <w:color w:val="auto"/>
          <w:sz w:val="20"/>
          <w:szCs w:val="20"/>
        </w:rPr>
        <w:t>1</w:t>
      </w:r>
      <w:r w:rsidR="000520F8">
        <w:rPr>
          <w:b/>
          <w:bCs/>
          <w:color w:val="auto"/>
          <w:sz w:val="20"/>
          <w:szCs w:val="20"/>
        </w:rPr>
        <w:t>.</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2</w:t>
      </w:r>
      <w:r w:rsidR="00E10041">
        <w:rPr>
          <w:b/>
          <w:bCs/>
          <w:color w:val="auto"/>
          <w:sz w:val="20"/>
          <w:szCs w:val="20"/>
        </w:rPr>
        <w:fldChar w:fldCharType="end"/>
      </w:r>
      <w:r w:rsidRPr="007900BB">
        <w:rPr>
          <w:b/>
          <w:bCs/>
          <w:color w:val="auto"/>
          <w:sz w:val="20"/>
          <w:szCs w:val="20"/>
        </w:rPr>
        <w:t>: Dissertation Structure Overview</w:t>
      </w:r>
      <w:bookmarkEnd w:id="19"/>
      <w:bookmarkEnd w:id="20"/>
      <w:bookmarkEnd w:id="21"/>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177"/>
        <w:gridCol w:w="2139"/>
        <w:gridCol w:w="5708"/>
      </w:tblGrid>
      <w:tr w:rsidR="008A4121" w14:paraId="1E80247B" w14:textId="77777777" w:rsidTr="00BE29C7">
        <w:trPr>
          <w:tblHeader/>
        </w:trPr>
        <w:tc>
          <w:tcPr>
            <w:tcW w:w="1200" w:type="dxa"/>
            <w:tcBorders>
              <w:top w:val="single" w:sz="1" w:space="0" w:color="808080"/>
              <w:left w:val="single" w:sz="1" w:space="0" w:color="808080"/>
              <w:bottom w:val="single" w:sz="1" w:space="0" w:color="808080"/>
              <w:right w:val="single" w:sz="1" w:space="0" w:color="808080"/>
            </w:tcBorders>
            <w:shd w:val="clear" w:color="auto" w:fill="D9E2F3"/>
          </w:tcPr>
          <w:p w14:paraId="1E8018DE" w14:textId="77777777" w:rsidR="008A4121" w:rsidRDefault="008A4121" w:rsidP="00BE29C7">
            <w:pPr>
              <w:jc w:val="center"/>
            </w:pPr>
            <w:r>
              <w:rPr>
                <w:b/>
                <w:bCs/>
                <w:sz w:val="22"/>
                <w:szCs w:val="22"/>
              </w:rPr>
              <w:t>Chapter</w:t>
            </w:r>
          </w:p>
        </w:tc>
        <w:tc>
          <w:tcPr>
            <w:tcW w:w="2200" w:type="dxa"/>
            <w:tcBorders>
              <w:top w:val="single" w:sz="1" w:space="0" w:color="808080"/>
              <w:left w:val="single" w:sz="1" w:space="0" w:color="808080"/>
              <w:bottom w:val="single" w:sz="1" w:space="0" w:color="808080"/>
              <w:right w:val="single" w:sz="1" w:space="0" w:color="808080"/>
            </w:tcBorders>
            <w:shd w:val="clear" w:color="auto" w:fill="D9E2F3"/>
          </w:tcPr>
          <w:p w14:paraId="3346C45B" w14:textId="77777777" w:rsidR="008A4121" w:rsidRDefault="008A4121" w:rsidP="00BE29C7">
            <w:pPr>
              <w:jc w:val="center"/>
            </w:pPr>
            <w:r>
              <w:rPr>
                <w:b/>
                <w:bCs/>
                <w:sz w:val="22"/>
                <w:szCs w:val="22"/>
              </w:rPr>
              <w:t>Title</w:t>
            </w:r>
          </w:p>
        </w:tc>
        <w:tc>
          <w:tcPr>
            <w:tcW w:w="5960" w:type="dxa"/>
            <w:tcBorders>
              <w:top w:val="single" w:sz="1" w:space="0" w:color="808080"/>
              <w:left w:val="single" w:sz="1" w:space="0" w:color="808080"/>
              <w:bottom w:val="single" w:sz="1" w:space="0" w:color="808080"/>
              <w:right w:val="single" w:sz="1" w:space="0" w:color="808080"/>
            </w:tcBorders>
            <w:shd w:val="clear" w:color="auto" w:fill="D9E2F3"/>
          </w:tcPr>
          <w:p w14:paraId="3CE7AA61" w14:textId="77777777" w:rsidR="008A4121" w:rsidRDefault="008A4121" w:rsidP="00BE29C7">
            <w:pPr>
              <w:jc w:val="center"/>
            </w:pPr>
            <w:r>
              <w:rPr>
                <w:b/>
                <w:bCs/>
                <w:sz w:val="22"/>
                <w:szCs w:val="22"/>
              </w:rPr>
              <w:t>Content Focus</w:t>
            </w:r>
          </w:p>
        </w:tc>
      </w:tr>
      <w:tr w:rsidR="008A4121" w14:paraId="6D56E512" w14:textId="77777777" w:rsidTr="0077262C">
        <w:trPr>
          <w:trHeight w:val="685"/>
        </w:trPr>
        <w:tc>
          <w:tcPr>
            <w:tcW w:w="1200" w:type="dxa"/>
            <w:tcBorders>
              <w:top w:val="single" w:sz="1" w:space="0" w:color="808080"/>
              <w:left w:val="single" w:sz="1" w:space="0" w:color="808080"/>
              <w:bottom w:val="single" w:sz="1" w:space="0" w:color="808080"/>
              <w:right w:val="single" w:sz="1" w:space="0" w:color="808080"/>
            </w:tcBorders>
            <w:vAlign w:val="center"/>
          </w:tcPr>
          <w:p w14:paraId="350442F9" w14:textId="77777777" w:rsidR="008A4121" w:rsidRDefault="008A4121" w:rsidP="0025438A">
            <w:r>
              <w:rPr>
                <w:sz w:val="22"/>
                <w:szCs w:val="22"/>
              </w:rPr>
              <w:t>1</w:t>
            </w:r>
          </w:p>
        </w:tc>
        <w:tc>
          <w:tcPr>
            <w:tcW w:w="2200" w:type="dxa"/>
            <w:tcBorders>
              <w:top w:val="single" w:sz="1" w:space="0" w:color="808080"/>
              <w:left w:val="single" w:sz="1" w:space="0" w:color="808080"/>
              <w:bottom w:val="single" w:sz="1" w:space="0" w:color="808080"/>
              <w:right w:val="single" w:sz="1" w:space="0" w:color="808080"/>
            </w:tcBorders>
            <w:vAlign w:val="center"/>
          </w:tcPr>
          <w:p w14:paraId="7F8A1E73" w14:textId="77777777" w:rsidR="008A4121" w:rsidRDefault="008A4121" w:rsidP="0025438A">
            <w:r>
              <w:rPr>
                <w:sz w:val="22"/>
                <w:szCs w:val="22"/>
              </w:rPr>
              <w:t>Introduction</w:t>
            </w:r>
          </w:p>
        </w:tc>
        <w:tc>
          <w:tcPr>
            <w:tcW w:w="5960" w:type="dxa"/>
            <w:tcBorders>
              <w:top w:val="single" w:sz="1" w:space="0" w:color="808080"/>
              <w:left w:val="single" w:sz="1" w:space="0" w:color="808080"/>
              <w:bottom w:val="single" w:sz="1" w:space="0" w:color="808080"/>
              <w:right w:val="single" w:sz="1" w:space="0" w:color="808080"/>
            </w:tcBorders>
            <w:vAlign w:val="center"/>
          </w:tcPr>
          <w:p w14:paraId="70BF135E" w14:textId="77777777" w:rsidR="008A4121" w:rsidRDefault="008A4121" w:rsidP="0025438A">
            <w:r>
              <w:rPr>
                <w:sz w:val="22"/>
                <w:szCs w:val="22"/>
              </w:rPr>
              <w:t>Background, problem statement, aims, objectives, research questions, significance, methodology overview</w:t>
            </w:r>
          </w:p>
        </w:tc>
      </w:tr>
      <w:tr w:rsidR="008A4121" w14:paraId="3A8A81B7" w14:textId="77777777" w:rsidTr="00F576EB">
        <w:trPr>
          <w:trHeight w:val="713"/>
        </w:trPr>
        <w:tc>
          <w:tcPr>
            <w:tcW w:w="1200" w:type="dxa"/>
            <w:tcBorders>
              <w:top w:val="single" w:sz="1" w:space="0" w:color="808080"/>
              <w:left w:val="single" w:sz="1" w:space="0" w:color="808080"/>
              <w:bottom w:val="single" w:sz="1" w:space="0" w:color="808080"/>
              <w:right w:val="single" w:sz="1" w:space="0" w:color="808080"/>
            </w:tcBorders>
            <w:vAlign w:val="center"/>
          </w:tcPr>
          <w:p w14:paraId="399EE158" w14:textId="77777777" w:rsidR="008A4121" w:rsidRDefault="008A4121" w:rsidP="0025438A">
            <w:r>
              <w:rPr>
                <w:sz w:val="22"/>
                <w:szCs w:val="22"/>
              </w:rPr>
              <w:t>2</w:t>
            </w:r>
          </w:p>
        </w:tc>
        <w:tc>
          <w:tcPr>
            <w:tcW w:w="2200" w:type="dxa"/>
            <w:tcBorders>
              <w:top w:val="single" w:sz="1" w:space="0" w:color="808080"/>
              <w:left w:val="single" w:sz="1" w:space="0" w:color="808080"/>
              <w:bottom w:val="single" w:sz="1" w:space="0" w:color="808080"/>
              <w:right w:val="single" w:sz="1" w:space="0" w:color="808080"/>
            </w:tcBorders>
            <w:vAlign w:val="center"/>
          </w:tcPr>
          <w:p w14:paraId="1F37C5E9" w14:textId="77777777" w:rsidR="008A4121" w:rsidRDefault="008A4121" w:rsidP="0025438A">
            <w:r>
              <w:rPr>
                <w:sz w:val="22"/>
                <w:szCs w:val="22"/>
              </w:rPr>
              <w:t>Literature Review</w:t>
            </w:r>
          </w:p>
        </w:tc>
        <w:tc>
          <w:tcPr>
            <w:tcW w:w="5960" w:type="dxa"/>
            <w:tcBorders>
              <w:top w:val="single" w:sz="1" w:space="0" w:color="808080"/>
              <w:left w:val="single" w:sz="1" w:space="0" w:color="808080"/>
              <w:bottom w:val="single" w:sz="1" w:space="0" w:color="808080"/>
              <w:right w:val="single" w:sz="1" w:space="0" w:color="808080"/>
            </w:tcBorders>
            <w:vAlign w:val="center"/>
          </w:tcPr>
          <w:p w14:paraId="39B0466C" w14:textId="77777777" w:rsidR="008A4121" w:rsidRDefault="008A4121" w:rsidP="0025438A">
            <w:r>
              <w:rPr>
                <w:sz w:val="22"/>
                <w:szCs w:val="22"/>
              </w:rPr>
              <w:t>AI, Digital Twins, sustainability drivers, technology adoption theory, barriers, three-domain conceptual framework</w:t>
            </w:r>
          </w:p>
        </w:tc>
      </w:tr>
      <w:tr w:rsidR="008A4121" w14:paraId="0262807B" w14:textId="77777777" w:rsidTr="0077262C">
        <w:trPr>
          <w:trHeight w:val="790"/>
        </w:trPr>
        <w:tc>
          <w:tcPr>
            <w:tcW w:w="1200" w:type="dxa"/>
            <w:tcBorders>
              <w:top w:val="single" w:sz="1" w:space="0" w:color="808080"/>
              <w:left w:val="single" w:sz="1" w:space="0" w:color="808080"/>
              <w:bottom w:val="single" w:sz="1" w:space="0" w:color="808080"/>
              <w:right w:val="single" w:sz="1" w:space="0" w:color="808080"/>
            </w:tcBorders>
            <w:vAlign w:val="center"/>
          </w:tcPr>
          <w:p w14:paraId="6E9F1335" w14:textId="77777777" w:rsidR="008A4121" w:rsidRDefault="008A4121" w:rsidP="0025438A">
            <w:r>
              <w:rPr>
                <w:sz w:val="22"/>
                <w:szCs w:val="22"/>
              </w:rPr>
              <w:t>3</w:t>
            </w:r>
          </w:p>
        </w:tc>
        <w:tc>
          <w:tcPr>
            <w:tcW w:w="2200" w:type="dxa"/>
            <w:tcBorders>
              <w:top w:val="single" w:sz="1" w:space="0" w:color="808080"/>
              <w:left w:val="single" w:sz="1" w:space="0" w:color="808080"/>
              <w:bottom w:val="single" w:sz="1" w:space="0" w:color="808080"/>
              <w:right w:val="single" w:sz="1" w:space="0" w:color="808080"/>
            </w:tcBorders>
            <w:vAlign w:val="center"/>
          </w:tcPr>
          <w:p w14:paraId="67B0CE44" w14:textId="77777777" w:rsidR="008A4121" w:rsidRDefault="008A4121" w:rsidP="0025438A">
            <w:r>
              <w:rPr>
                <w:sz w:val="22"/>
                <w:szCs w:val="22"/>
              </w:rPr>
              <w:t>Methodology</w:t>
            </w:r>
          </w:p>
        </w:tc>
        <w:tc>
          <w:tcPr>
            <w:tcW w:w="5960" w:type="dxa"/>
            <w:tcBorders>
              <w:top w:val="single" w:sz="1" w:space="0" w:color="808080"/>
              <w:left w:val="single" w:sz="1" w:space="0" w:color="808080"/>
              <w:bottom w:val="single" w:sz="1" w:space="0" w:color="808080"/>
              <w:right w:val="single" w:sz="1" w:space="0" w:color="808080"/>
            </w:tcBorders>
            <w:vAlign w:val="center"/>
          </w:tcPr>
          <w:p w14:paraId="04E5E3D8" w14:textId="77777777" w:rsidR="008A4121" w:rsidRDefault="008A4121" w:rsidP="0025438A">
            <w:r>
              <w:rPr>
                <w:sz w:val="22"/>
                <w:szCs w:val="22"/>
              </w:rPr>
              <w:t>Philosophy, mixed-methods design, instruments, sampling, thematic analysis, triangulation, ethics</w:t>
            </w:r>
          </w:p>
        </w:tc>
      </w:tr>
      <w:tr w:rsidR="008A4121" w14:paraId="1592E1DF" w14:textId="77777777" w:rsidTr="0077262C">
        <w:trPr>
          <w:trHeight w:val="703"/>
        </w:trPr>
        <w:tc>
          <w:tcPr>
            <w:tcW w:w="1200" w:type="dxa"/>
            <w:tcBorders>
              <w:top w:val="single" w:sz="1" w:space="0" w:color="808080"/>
              <w:left w:val="single" w:sz="1" w:space="0" w:color="808080"/>
              <w:bottom w:val="single" w:sz="1" w:space="0" w:color="808080"/>
              <w:right w:val="single" w:sz="1" w:space="0" w:color="808080"/>
            </w:tcBorders>
            <w:vAlign w:val="center"/>
          </w:tcPr>
          <w:p w14:paraId="17E7AC34" w14:textId="77777777" w:rsidR="008A4121" w:rsidRDefault="008A4121" w:rsidP="0025438A">
            <w:r>
              <w:rPr>
                <w:sz w:val="22"/>
                <w:szCs w:val="22"/>
              </w:rPr>
              <w:t>4</w:t>
            </w:r>
          </w:p>
        </w:tc>
        <w:tc>
          <w:tcPr>
            <w:tcW w:w="2200" w:type="dxa"/>
            <w:tcBorders>
              <w:top w:val="single" w:sz="1" w:space="0" w:color="808080"/>
              <w:left w:val="single" w:sz="1" w:space="0" w:color="808080"/>
              <w:bottom w:val="single" w:sz="1" w:space="0" w:color="808080"/>
              <w:right w:val="single" w:sz="1" w:space="0" w:color="808080"/>
            </w:tcBorders>
            <w:vAlign w:val="center"/>
          </w:tcPr>
          <w:p w14:paraId="2DC5FF3E" w14:textId="77777777" w:rsidR="008A4121" w:rsidRDefault="008A4121" w:rsidP="0025438A">
            <w:r>
              <w:rPr>
                <w:sz w:val="22"/>
                <w:szCs w:val="22"/>
              </w:rPr>
              <w:t>Findings</w:t>
            </w:r>
          </w:p>
        </w:tc>
        <w:tc>
          <w:tcPr>
            <w:tcW w:w="5960" w:type="dxa"/>
            <w:tcBorders>
              <w:top w:val="single" w:sz="1" w:space="0" w:color="808080"/>
              <w:left w:val="single" w:sz="1" w:space="0" w:color="808080"/>
              <w:bottom w:val="single" w:sz="1" w:space="0" w:color="808080"/>
              <w:right w:val="single" w:sz="1" w:space="0" w:color="808080"/>
            </w:tcBorders>
            <w:vAlign w:val="center"/>
          </w:tcPr>
          <w:p w14:paraId="1FDDA86B" w14:textId="77777777" w:rsidR="008A4121" w:rsidRDefault="008A4121" w:rsidP="0025438A">
            <w:r>
              <w:rPr>
                <w:sz w:val="22"/>
                <w:szCs w:val="22"/>
              </w:rPr>
              <w:t>Quantitative results, qualitative themes, triangulated analysis across three domains</w:t>
            </w:r>
          </w:p>
        </w:tc>
      </w:tr>
      <w:tr w:rsidR="008A4121" w14:paraId="0D51E1BF" w14:textId="77777777" w:rsidTr="0077262C">
        <w:trPr>
          <w:trHeight w:val="713"/>
        </w:trPr>
        <w:tc>
          <w:tcPr>
            <w:tcW w:w="1200" w:type="dxa"/>
            <w:tcBorders>
              <w:top w:val="single" w:sz="1" w:space="0" w:color="808080"/>
              <w:left w:val="single" w:sz="1" w:space="0" w:color="808080"/>
              <w:bottom w:val="single" w:sz="1" w:space="0" w:color="808080"/>
              <w:right w:val="single" w:sz="1" w:space="0" w:color="808080"/>
            </w:tcBorders>
            <w:vAlign w:val="center"/>
          </w:tcPr>
          <w:p w14:paraId="3EEFE90D" w14:textId="77777777" w:rsidR="008A4121" w:rsidRDefault="008A4121" w:rsidP="0025438A">
            <w:r>
              <w:rPr>
                <w:sz w:val="22"/>
                <w:szCs w:val="22"/>
              </w:rPr>
              <w:t>5</w:t>
            </w:r>
          </w:p>
        </w:tc>
        <w:tc>
          <w:tcPr>
            <w:tcW w:w="2200" w:type="dxa"/>
            <w:tcBorders>
              <w:top w:val="single" w:sz="1" w:space="0" w:color="808080"/>
              <w:left w:val="single" w:sz="1" w:space="0" w:color="808080"/>
              <w:bottom w:val="single" w:sz="1" w:space="0" w:color="808080"/>
              <w:right w:val="single" w:sz="1" w:space="0" w:color="808080"/>
            </w:tcBorders>
            <w:vAlign w:val="center"/>
          </w:tcPr>
          <w:p w14:paraId="14CC64AD" w14:textId="77777777" w:rsidR="008A4121" w:rsidRDefault="008A4121" w:rsidP="0025438A">
            <w:r>
              <w:rPr>
                <w:sz w:val="22"/>
                <w:szCs w:val="22"/>
              </w:rPr>
              <w:t>Discussion</w:t>
            </w:r>
          </w:p>
        </w:tc>
        <w:tc>
          <w:tcPr>
            <w:tcW w:w="5960" w:type="dxa"/>
            <w:tcBorders>
              <w:top w:val="single" w:sz="1" w:space="0" w:color="808080"/>
              <w:left w:val="single" w:sz="1" w:space="0" w:color="808080"/>
              <w:bottom w:val="single" w:sz="1" w:space="0" w:color="808080"/>
              <w:right w:val="single" w:sz="1" w:space="0" w:color="808080"/>
            </w:tcBorders>
            <w:vAlign w:val="center"/>
          </w:tcPr>
          <w:p w14:paraId="003F093C" w14:textId="77777777" w:rsidR="008A4121" w:rsidRDefault="008A4121" w:rsidP="0025438A">
            <w:r>
              <w:rPr>
                <w:sz w:val="22"/>
                <w:szCs w:val="22"/>
              </w:rPr>
              <w:t>Interpretation through adoption frameworks, implications for theory/practice/policy, limitations</w:t>
            </w:r>
          </w:p>
        </w:tc>
      </w:tr>
      <w:tr w:rsidR="008A4121" w14:paraId="04F4FE8A" w14:textId="77777777" w:rsidTr="0077262C">
        <w:trPr>
          <w:trHeight w:val="709"/>
        </w:trPr>
        <w:tc>
          <w:tcPr>
            <w:tcW w:w="1200" w:type="dxa"/>
            <w:tcBorders>
              <w:top w:val="single" w:sz="1" w:space="0" w:color="808080"/>
              <w:left w:val="single" w:sz="1" w:space="0" w:color="808080"/>
              <w:bottom w:val="single" w:sz="1" w:space="0" w:color="808080"/>
              <w:right w:val="single" w:sz="1" w:space="0" w:color="808080"/>
            </w:tcBorders>
            <w:vAlign w:val="center"/>
          </w:tcPr>
          <w:p w14:paraId="194E108A" w14:textId="77777777" w:rsidR="008A4121" w:rsidRDefault="008A4121" w:rsidP="0025438A">
            <w:r>
              <w:rPr>
                <w:sz w:val="22"/>
                <w:szCs w:val="22"/>
              </w:rPr>
              <w:t>6</w:t>
            </w:r>
          </w:p>
        </w:tc>
        <w:tc>
          <w:tcPr>
            <w:tcW w:w="2200" w:type="dxa"/>
            <w:tcBorders>
              <w:top w:val="single" w:sz="1" w:space="0" w:color="808080"/>
              <w:left w:val="single" w:sz="1" w:space="0" w:color="808080"/>
              <w:bottom w:val="single" w:sz="1" w:space="0" w:color="808080"/>
              <w:right w:val="single" w:sz="1" w:space="0" w:color="808080"/>
            </w:tcBorders>
            <w:vAlign w:val="center"/>
          </w:tcPr>
          <w:p w14:paraId="62DD502B" w14:textId="77777777" w:rsidR="008A4121" w:rsidRDefault="008A4121" w:rsidP="0025438A">
            <w:r>
              <w:rPr>
                <w:sz w:val="22"/>
                <w:szCs w:val="22"/>
              </w:rPr>
              <w:t>Conclusion</w:t>
            </w:r>
          </w:p>
        </w:tc>
        <w:tc>
          <w:tcPr>
            <w:tcW w:w="5960" w:type="dxa"/>
            <w:tcBorders>
              <w:top w:val="single" w:sz="1" w:space="0" w:color="808080"/>
              <w:left w:val="single" w:sz="1" w:space="0" w:color="808080"/>
              <w:bottom w:val="single" w:sz="1" w:space="0" w:color="808080"/>
              <w:right w:val="single" w:sz="1" w:space="0" w:color="808080"/>
            </w:tcBorders>
            <w:vAlign w:val="center"/>
          </w:tcPr>
          <w:p w14:paraId="5F596E9A" w14:textId="77777777" w:rsidR="008A4121" w:rsidRDefault="008A4121" w:rsidP="0025438A">
            <w:r>
              <w:rPr>
                <w:sz w:val="22"/>
                <w:szCs w:val="22"/>
              </w:rPr>
              <w:t>Summary, contributions to knowledge, recommendations for stakeholders</w:t>
            </w:r>
          </w:p>
        </w:tc>
      </w:tr>
    </w:tbl>
    <w:p w14:paraId="77E8DE43" w14:textId="37EBC808" w:rsidR="008A4121" w:rsidRDefault="00037856">
      <w:r>
        <w:br w:type="page"/>
      </w:r>
    </w:p>
    <w:p w14:paraId="3FFAE090" w14:textId="77777777" w:rsidR="008A4121" w:rsidRDefault="008A4121" w:rsidP="008A4121">
      <w:pPr>
        <w:pStyle w:val="Heading1"/>
      </w:pPr>
      <w:bookmarkStart w:id="22" w:name="_Toc220152170"/>
      <w:r>
        <w:lastRenderedPageBreak/>
        <w:t>Chapter 2 – Literature Review</w:t>
      </w:r>
      <w:bookmarkEnd w:id="22"/>
    </w:p>
    <w:p w14:paraId="1685C22A" w14:textId="77777777" w:rsidR="008A4121" w:rsidRDefault="008A4121" w:rsidP="008A4121">
      <w:pPr>
        <w:pStyle w:val="Heading2"/>
      </w:pPr>
      <w:bookmarkStart w:id="23" w:name="_Toc220152171"/>
      <w:r>
        <w:t>2.1 Introduction</w:t>
      </w:r>
      <w:bookmarkEnd w:id="23"/>
    </w:p>
    <w:p w14:paraId="514342CA" w14:textId="35BFF80C" w:rsidR="000F19D9" w:rsidRPr="006957D2" w:rsidRDefault="00CF3069" w:rsidP="000F19D9">
      <w:pPr>
        <w:spacing w:after="200" w:line="360" w:lineRule="auto"/>
      </w:pPr>
      <w:bookmarkStart w:id="24" w:name="_Toc220152172"/>
      <w:r w:rsidRPr="00CF3069">
        <w:t>Theoretical and empirical foundations for investigating AI-enabled Digital Twins in post-construction building management are established through synthesis of literature across three interconnected domains</w:t>
      </w:r>
      <w:r w:rsidR="000F19D9" w:rsidRPr="006957D2">
        <w:t>: Technological Capability, encompassing Digital Twin architecture, AI integration, and API connectivity; Human and Organisational Readiness, addressing skills, change management, and stakeholder engagement; and Policy and Governance Alignment, examining regulatory frameworks, data standards, and cybersecurity. This three-domain conceptual framework provides the analytical lens through which primary research findings will subsequently be interpreted.</w:t>
      </w:r>
    </w:p>
    <w:p w14:paraId="1C66109C" w14:textId="77777777" w:rsidR="000F19D9" w:rsidRPr="006957D2" w:rsidRDefault="000F19D9" w:rsidP="000F19D9">
      <w:pPr>
        <w:spacing w:after="200" w:line="360" w:lineRule="auto"/>
      </w:pPr>
      <w:r w:rsidRPr="006957D2">
        <w:t>The chapter proceeds thematically, first examining the sustainability imperative driving Digital Twin adoption before analysing technological components, human factors, and policy considerations. The review culminates in identification of specific research gaps, particularly regarding API integration in Further Education sector buildings where implementation guidance remains notably absent. A systematic review conducted through the Elicit platform synthesises ten peer-reviewed studies published between 2022 and 2025 examining AI-enhanced Digital Twin applications in operational buildings.</w:t>
      </w:r>
    </w:p>
    <w:p w14:paraId="7E4B99EA" w14:textId="77777777" w:rsidR="008A4121" w:rsidRDefault="008A4121" w:rsidP="008A4121">
      <w:pPr>
        <w:pStyle w:val="Heading2"/>
      </w:pPr>
      <w:r>
        <w:t>2.2 Sustainable Post-Construction Management</w:t>
      </w:r>
      <w:bookmarkEnd w:id="24"/>
    </w:p>
    <w:p w14:paraId="355CB280" w14:textId="426C7B57" w:rsidR="008A4121" w:rsidRDefault="00E7125A" w:rsidP="008A4121">
      <w:pPr>
        <w:spacing w:after="200" w:line="360" w:lineRule="auto"/>
      </w:pPr>
      <w:r w:rsidRPr="00E7125A">
        <w:t xml:space="preserve">The operational phase of buildings represents the most significant opportunity for sustainability improvement, as buildings consume the majority of their lifetime energy during decades of occupation rather than during construction </w:t>
      </w:r>
      <w:r w:rsidR="008A4121">
        <w:t>(International Energy Agency, 2023). Röck et al. (2020) demonstrate that while embodied carbon receives increasing attention in new construction, operational carbon remains the dominant contributor to whole-life emissions in existing buildings, reinforcing the imperative for post-construction performance optimisation. This understanding has shifted sustainability discourse from construction-phase efficiency toward whole-life carbon assessment and operational optimisation, recognising that even energy-efficient new buildings contribute minimally to emission reductions if existing stock remains unaddressed.</w:t>
      </w:r>
    </w:p>
    <w:p w14:paraId="14807964" w14:textId="07F7A598" w:rsidR="00C81451" w:rsidRDefault="00C81451" w:rsidP="00C81451">
      <w:pPr>
        <w:spacing w:after="200" w:line="360" w:lineRule="auto"/>
      </w:pPr>
      <w:r>
        <w:lastRenderedPageBreak/>
        <w:t xml:space="preserve">Research consistently identifies a substantial gap between designed and actual building performance, though interpretations of its causes vary considerably. Menezes et al. (2012) documented buildings consuming two to five times their predicted energy, attributing this primarily to occupant behaviour and system degradation. </w:t>
      </w:r>
      <w:r w:rsidR="00C43D8E">
        <w:t>T</w:t>
      </w:r>
      <w:r>
        <w:t>his interpretation arguably underestimates the role of inadequate commissioning processes and poor operational handover</w:t>
      </w:r>
      <w:r w:rsidR="008D6920">
        <w:t xml:space="preserve">, </w:t>
      </w:r>
      <w:r>
        <w:t xml:space="preserve">factors that could be addressed through improved project delivery rather than post-occupancy intervention. De Wilde (2014) advanced understanding by developing a comprehensive framework identifying feedback mechanism failures, </w:t>
      </w:r>
      <w:r w:rsidR="009B7DA7" w:rsidRPr="009B7DA7">
        <w:t>yet this analysis arguably underemphasises the organisational factors that prevent facilities management teams from acting on available performance data, a limitation identifi</w:t>
      </w:r>
      <w:r w:rsidR="009B7DA7">
        <w:t>ed</w:t>
      </w:r>
      <w:r w:rsidR="009B7DA7" w:rsidRPr="009B7DA7">
        <w:t xml:space="preserve"> given the subsequent evidence from Boje et al. (2020) on socio-technical interdependencies</w:t>
      </w:r>
      <w:r>
        <w:t>. The persistence of this performance gap despite advances in building simulation raises a fundamental question: whether the gap reflects primarily technical limitations amenable to technological solutions, or systemic industry failures requiring structural rather than technological intervention. This tension between technological optimism and systemic critique runs throughout Digital Twin discourse and warrants critical examination.</w:t>
      </w:r>
    </w:p>
    <w:p w14:paraId="57B1A136" w14:textId="4B2840DE" w:rsidR="008A4121" w:rsidRDefault="008A4121" w:rsidP="008A4121">
      <w:pPr>
        <w:spacing w:after="200" w:line="360" w:lineRule="auto"/>
      </w:pPr>
      <w:r>
        <w:t>M&amp;E systems represent the primary energy consumers within commercial buildings, with HVAC, lighting, and power infrastructure accounting for 60</w:t>
      </w:r>
      <w:r w:rsidR="008D6920">
        <w:t>-</w:t>
      </w:r>
      <w:r>
        <w:t xml:space="preserve">70% of total consumption (International Energy Agency, 2023). The UK's Climate Change Committee emphasises that meeting Net Zero targets requires transforming existing building stock rather than focusing exclusively on new construction, as 80% of 2050's buildings already exist. Ibn-Mohammed et al. (2013) reinforce that for existing buildings where embodied carbon is already </w:t>
      </w:r>
      <w:r w:rsidR="00DF6AE9">
        <w:t>committed;</w:t>
      </w:r>
      <w:r>
        <w:t xml:space="preserve"> operational carbon reduction represents the primary available sustainability lever. This reality positions post-construction management as essential to national decarbonisation strategies, with </w:t>
      </w:r>
      <w:r w:rsidR="00DF6AE9">
        <w:t>relevance</w:t>
      </w:r>
      <w:r>
        <w:t xml:space="preserve"> for public sector buildings including Further Education colleges that combine substantial M&amp;E demands with constrained budgets for wholesale system replacement.</w:t>
      </w:r>
    </w:p>
    <w:p w14:paraId="548275CC" w14:textId="77777777" w:rsidR="008A4121" w:rsidRDefault="008A4121" w:rsidP="008A4121">
      <w:pPr>
        <w:spacing w:after="200" w:line="360" w:lineRule="auto"/>
      </w:pPr>
      <w:r>
        <w:t xml:space="preserve">The UK Green Building Council (2023) advocates for operational performance disclosure as a mechanism for driving improvement, yet current Energy Performance Certificates focus on theoretical rather than actual performance, creating </w:t>
      </w:r>
      <w:r>
        <w:lastRenderedPageBreak/>
        <w:t>misalignment between regulatory metrics and sustainability outcomes. The Carbon Trust (2019) identifies Further Education as a sector with significant potential for energy efficiency improvements, noting that colleges typically exhibit higher energy intensities than comparable commercial buildings due to extended operating hours, diverse space types, and legacy building stock. This sectoral context establishes the practical relevance of investigating Digital Twin applications for FE building sustainability.</w:t>
      </w:r>
    </w:p>
    <w:p w14:paraId="2BEE0381" w14:textId="77777777" w:rsidR="008A4121" w:rsidRDefault="008A4121" w:rsidP="008A4121">
      <w:pPr>
        <w:pStyle w:val="Heading2"/>
      </w:pPr>
      <w:bookmarkStart w:id="25" w:name="_Toc220152173"/>
      <w:r>
        <w:t>2.3 Building Information Modelling and Digital Twin Evolution</w:t>
      </w:r>
      <w:bookmarkEnd w:id="25"/>
    </w:p>
    <w:p w14:paraId="79AB62DE" w14:textId="54FEE60A" w:rsidR="000302F0" w:rsidRDefault="000302F0" w:rsidP="008A4121">
      <w:pPr>
        <w:spacing w:after="200" w:line="360" w:lineRule="auto"/>
      </w:pPr>
      <w:r w:rsidRPr="0062773A">
        <w:t xml:space="preserve">Digital Twin technology evolved from static Building Information Modelling toward dynamic, sensor-connected representations. Eastman et al. (2018) define BIM as </w:t>
      </w:r>
      <w:r w:rsidR="008D6920">
        <w:t>“</w:t>
      </w:r>
      <w:r w:rsidRPr="0062773A">
        <w:t>a modelling technology and associated set of processes to produce, communicate, and analyse building models.</w:t>
      </w:r>
      <w:r w:rsidR="008D6920">
        <w:t>”</w:t>
      </w:r>
      <w:r w:rsidRPr="0062773A">
        <w:t xml:space="preserve"> Succar (2009) conceptualised BIM maturity through staged progression from object-based modelling toward network-based integration</w:t>
      </w:r>
      <w:r w:rsidR="008D6920">
        <w:t xml:space="preserve">, </w:t>
      </w:r>
      <w:r w:rsidRPr="0062773A">
        <w:t>a framework that Digital Twin discourse extends.</w:t>
      </w:r>
    </w:p>
    <w:p w14:paraId="047A3B5E" w14:textId="282DC92D" w:rsidR="000302F0" w:rsidRDefault="000302F0" w:rsidP="008A4121">
      <w:pPr>
        <w:spacing w:after="200" w:line="360" w:lineRule="auto"/>
      </w:pPr>
      <w:r w:rsidRPr="0062773A">
        <w:t>Bolton et al. (2018) established the Gemini Principles, defining Digital Twins as requiring bidirectional data flow between physical and virtual representations</w:t>
      </w:r>
      <w:r w:rsidR="008D6920">
        <w:t xml:space="preserve">, </w:t>
      </w:r>
      <w:r w:rsidRPr="0062773A">
        <w:t xml:space="preserve">distinguishing them from passive BIM models that provide only geometric and specification data. Sepasgozar (2021) clarifies that many implementations claiming Digital Twin status </w:t>
      </w:r>
      <w:r w:rsidR="006A1981" w:rsidRPr="0062773A">
        <w:t>represent</w:t>
      </w:r>
      <w:r w:rsidRPr="0062773A">
        <w:t xml:space="preserve"> 'Digital Shadows' (one-way data flow) with limited predictive capability.</w:t>
      </w:r>
    </w:p>
    <w:p w14:paraId="23F40162" w14:textId="59DED259" w:rsidR="008A4121" w:rsidRDefault="008A4121" w:rsidP="008A4121">
      <w:pPr>
        <w:spacing w:after="200" w:line="360" w:lineRule="auto"/>
      </w:pPr>
      <w:r>
        <w:t xml:space="preserve">Implementation maturity varies substantially across the building sector. </w:t>
      </w:r>
      <w:r w:rsidR="00A04BE7">
        <w:t>Zhang</w:t>
      </w:r>
      <w:r>
        <w:t xml:space="preserve"> et al. (2024) identified strong correlation between Digital Twin maturity levels and measurable sustainability outcomes, noting that organisations achieving higher maturity demonstrate superior energy performance and maintenance efficiency. </w:t>
      </w:r>
      <w:r w:rsidR="00C43D8E">
        <w:t>T</w:t>
      </w:r>
      <w:r>
        <w:t xml:space="preserve">heir research also revealed that most existing buildings remain at early maturity stages, characterised by fragmented data systems and limited integration between BIM assets and operational technologies. Volk, </w:t>
      </w:r>
      <w:r w:rsidR="006A1981">
        <w:t>Stengel,</w:t>
      </w:r>
      <w:r>
        <w:t xml:space="preserve"> and Schultmann (2014) conducted a comprehensive review of BIM for existing buildings, identifying </w:t>
      </w:r>
      <w:r w:rsidR="006A1981">
        <w:t>challenges</w:t>
      </w:r>
      <w:r>
        <w:t xml:space="preserve"> including incomplete geometric documentation, heterogeneous system landscapes, and the cost-benefit uncertainty of retrospective model creation. These challenges prove particularly pronounced in older building stock where original construction predated digital documentation practices, creating a baseline deficit that implementations must overcome before achieving advanced capabilities.</w:t>
      </w:r>
    </w:p>
    <w:p w14:paraId="62E5C027" w14:textId="77777777" w:rsidR="008A4121" w:rsidRDefault="008A4121" w:rsidP="008A4121">
      <w:pPr>
        <w:spacing w:after="200" w:line="360" w:lineRule="auto"/>
      </w:pPr>
      <w:r>
        <w:lastRenderedPageBreak/>
        <w:t>The challenge of implementing Digital Twins in existing buildings differs fundamentally from new construction scenarios. Cespedes-Cubides and Jradi (2024) identified an 'interactivity gap' affecting buildings constructed before 2001, where absence of BIM models necessitates extensive retrofitting before Digital Twin deployment becomes feasible. Their systematic review noted that existing buildings frequently lack the digital infrastructure assumed by contemporary Digital Twin platforms, creating implementation barriers that research has insufficiently addressed. Deng, Menassa and Kamat (2021) trace the evolution from BIM to Digital Twins in the AEC-FM industry, noting that while conceptual frameworks abound, practical guidance for retrofit implementation remains underdeveloped. Buildings retaining original legacy systems require either wholesale replacement or complex middleware solutions to achieve sensor connectivity, significantly increasing implementation costs and complexity.</w:t>
      </w:r>
    </w:p>
    <w:p w14:paraId="230970CF" w14:textId="77777777" w:rsidR="008A4121" w:rsidRDefault="008A4121" w:rsidP="008A4121">
      <w:pPr>
        <w:pStyle w:val="Heading2"/>
      </w:pPr>
      <w:bookmarkStart w:id="26" w:name="_Toc220152174"/>
      <w:r>
        <w:t>2.4 M&amp;E Systems Optimisation and Predictive Maintenance</w:t>
      </w:r>
      <w:bookmarkEnd w:id="26"/>
    </w:p>
    <w:p w14:paraId="3C398A78" w14:textId="711D63C1" w:rsidR="008A4121" w:rsidRDefault="008A4121" w:rsidP="008A4121">
      <w:pPr>
        <w:spacing w:after="200" w:line="360" w:lineRule="auto"/>
      </w:pPr>
      <w:r>
        <w:t xml:space="preserve">Mechanical and Electrical systems present </w:t>
      </w:r>
      <w:r w:rsidR="006A1981">
        <w:t>opportunities</w:t>
      </w:r>
      <w:r>
        <w:t xml:space="preserve"> for AI-enhanced optimisation due to their continuous operation, measurable outputs, and significant energy consumption. Traditional reactive maintenance approaches address failures after occurrence, incurring both repair costs and associated productivity losses. Atkin and Brooks (2021) characterise facilities management evolution from reactive through planned to predictive paradigms, noting that each transition requires enhanced information systems enabling increasingly sophisticated analysis. Preventive maintenance improves upon reactive approaches through scheduled interventions but risks unnecessary servicing of adequately functioning equipment while potentially missing failures that occur between scheduled inspections. Predictive maintenance represents </w:t>
      </w:r>
      <w:r w:rsidR="006A1981">
        <w:t>a change in thinking</w:t>
      </w:r>
      <w:r>
        <w:t>, using sensor data and analytical models to forecast component failures before occurrence, enabling precisely timed interventions that maximise equipment lifespan while minimising unplanned downtime.</w:t>
      </w:r>
    </w:p>
    <w:p w14:paraId="0681EC33" w14:textId="5CB978A8" w:rsidR="008A4121" w:rsidRDefault="008A4121" w:rsidP="008A4121">
      <w:pPr>
        <w:spacing w:after="200" w:line="360" w:lineRule="auto"/>
      </w:pPr>
      <w:r>
        <w:t xml:space="preserve">The systematic review conducted through Elicit revealed consistent evidence for AI-enhanced Digital Twin effectiveness in M&amp;E optimisation. </w:t>
      </w:r>
      <w:r w:rsidR="00971BF6" w:rsidRPr="00971BF6">
        <w:t>Boukaf et al. (2024) confirm digital twins as effective tools for building energy consumption forecasting through machine learning integration</w:t>
      </w:r>
      <w:r>
        <w:t xml:space="preserve"> published between 2022 and 2025, implementations demonstrated energy efficiency improvements ranging from 10% to </w:t>
      </w:r>
      <w:r>
        <w:lastRenderedPageBreak/>
        <w:t xml:space="preserve">38%, with variation reflecting differences in building characteristics, system scope, and implementation maturity. This range aligns with broader literature on smart building performance; Minoli, Sohraby and Occhiogrosso (2017) report similar variation in IoT-enabled building optimisation outcomes, attributing differences to baseline efficiency, system integration depth, and operational commitment to </w:t>
      </w:r>
      <w:r w:rsidR="00911421">
        <w:t>using</w:t>
      </w:r>
      <w:r>
        <w:t xml:space="preserve"> generated insights.</w:t>
      </w:r>
      <w:r w:rsidR="00654EE4">
        <w:t xml:space="preserve"> </w:t>
      </w:r>
      <w:r w:rsidR="00654EE4" w:rsidRPr="00654EE4">
        <w:t>The systematic review protocol, including search strategy and inclusion criteria, is detailed in Appendix D.</w:t>
      </w:r>
    </w:p>
    <w:p w14:paraId="4829B365" w14:textId="5A0F4F81" w:rsidR="00DF23BB" w:rsidRDefault="008A4121" w:rsidP="008A4121">
      <w:pPr>
        <w:spacing w:after="200" w:line="360" w:lineRule="auto"/>
      </w:pPr>
      <w:r>
        <w:t>Hosamo et al. (2022) documented predictive maintenance frameworks achieving significant annual savings through early fault detection in air handling units, demonstrating the financial case for AI-enhanced monitoring alongside environmental benefits. Renganayagalu et al. (2024) reported 20% energy consumption reduction in a Norwegian office building constructed in 1947 but equipped with 62 IoT sensors providing comprehensive environmental monitoring across four floors over a ten-month validation period. This case proves particularly instructive for existing building contexts, demonstrating that substantial performance improvements remain achievable even in aged building stock when appropriate sensor infrastructure and analytical capabilities are deployed.</w:t>
      </w:r>
    </w:p>
    <w:p w14:paraId="356C69C3" w14:textId="7D50F4F8" w:rsidR="00E10041" w:rsidRPr="00E10041" w:rsidRDefault="00E10041" w:rsidP="00E10041">
      <w:pPr>
        <w:pStyle w:val="Caption"/>
        <w:keepNext/>
        <w:rPr>
          <w:b/>
          <w:bCs/>
          <w:color w:val="auto"/>
          <w:sz w:val="20"/>
          <w:szCs w:val="20"/>
        </w:rPr>
      </w:pPr>
      <w:bookmarkStart w:id="27" w:name="_Toc220151982"/>
      <w:bookmarkStart w:id="28" w:name="_Toc223077213"/>
      <w:bookmarkStart w:id="29" w:name="_Toc223079109"/>
      <w:r w:rsidRPr="00E10041">
        <w:rPr>
          <w:b/>
          <w:bCs/>
          <w:color w:val="auto"/>
          <w:sz w:val="20"/>
          <w:szCs w:val="20"/>
        </w:rPr>
        <w:t xml:space="preserve">Table </w:t>
      </w:r>
      <w:r w:rsidR="000520F8">
        <w:rPr>
          <w:b/>
          <w:bCs/>
          <w:color w:val="auto"/>
          <w:sz w:val="20"/>
          <w:szCs w:val="20"/>
        </w:rPr>
        <w:t>2</w:t>
      </w:r>
      <w:r w:rsidRPr="00E10041">
        <w:rPr>
          <w:b/>
          <w:bCs/>
          <w:color w:val="auto"/>
          <w:sz w:val="20"/>
          <w:szCs w:val="20"/>
        </w:rPr>
        <w:t>.</w:t>
      </w:r>
      <w:r w:rsidRPr="00E10041">
        <w:rPr>
          <w:b/>
          <w:bCs/>
          <w:color w:val="auto"/>
          <w:sz w:val="20"/>
          <w:szCs w:val="20"/>
        </w:rPr>
        <w:fldChar w:fldCharType="begin"/>
      </w:r>
      <w:r w:rsidRPr="00E10041">
        <w:rPr>
          <w:b/>
          <w:bCs/>
          <w:color w:val="auto"/>
          <w:sz w:val="20"/>
          <w:szCs w:val="20"/>
        </w:rPr>
        <w:instrText xml:space="preserve"> SEQ Table \* ARABIC \s 1 </w:instrText>
      </w:r>
      <w:r w:rsidRPr="00E10041">
        <w:rPr>
          <w:b/>
          <w:bCs/>
          <w:color w:val="auto"/>
          <w:sz w:val="20"/>
          <w:szCs w:val="20"/>
        </w:rPr>
        <w:fldChar w:fldCharType="separate"/>
      </w:r>
      <w:r w:rsidRPr="00E10041">
        <w:rPr>
          <w:b/>
          <w:bCs/>
          <w:noProof/>
          <w:color w:val="auto"/>
          <w:sz w:val="20"/>
          <w:szCs w:val="20"/>
        </w:rPr>
        <w:t>1</w:t>
      </w:r>
      <w:r w:rsidRPr="00E10041">
        <w:rPr>
          <w:b/>
          <w:bCs/>
          <w:color w:val="auto"/>
          <w:sz w:val="20"/>
          <w:szCs w:val="20"/>
        </w:rPr>
        <w:fldChar w:fldCharType="end"/>
      </w:r>
      <w:r w:rsidRPr="00E10041">
        <w:rPr>
          <w:b/>
          <w:bCs/>
          <w:color w:val="auto"/>
          <w:sz w:val="20"/>
          <w:szCs w:val="20"/>
        </w:rPr>
        <w:t>: Systematic Review – Quantified Outcomes from AI-Enhanced Digital Twin Studies (2022–2025)</w:t>
      </w:r>
      <w:bookmarkEnd w:id="27"/>
      <w:bookmarkEnd w:id="28"/>
      <w:bookmarkEnd w:id="29"/>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62"/>
        <w:gridCol w:w="1406"/>
        <w:gridCol w:w="1458"/>
        <w:gridCol w:w="1320"/>
        <w:gridCol w:w="1558"/>
        <w:gridCol w:w="1720"/>
      </w:tblGrid>
      <w:tr w:rsidR="00E10041" w14:paraId="356441C4" w14:textId="77777777" w:rsidTr="003845AC">
        <w:trPr>
          <w:tblHeader/>
        </w:trPr>
        <w:tc>
          <w:tcPr>
            <w:tcW w:w="1400" w:type="dxa"/>
            <w:tcBorders>
              <w:top w:val="single" w:sz="1" w:space="0" w:color="000000"/>
              <w:left w:val="single" w:sz="1" w:space="0" w:color="000000"/>
              <w:bottom w:val="single" w:sz="1" w:space="0" w:color="000000"/>
              <w:right w:val="single" w:sz="1" w:space="0" w:color="000000"/>
            </w:tcBorders>
            <w:shd w:val="clear" w:color="auto" w:fill="D9E2F3"/>
            <w:vAlign w:val="center"/>
          </w:tcPr>
          <w:p w14:paraId="1EB7CA4C" w14:textId="77777777" w:rsidR="00E10041" w:rsidRPr="00E10041" w:rsidRDefault="00E10041" w:rsidP="003845AC">
            <w:pPr>
              <w:jc w:val="center"/>
              <w:rPr>
                <w:sz w:val="22"/>
                <w:szCs w:val="22"/>
              </w:rPr>
            </w:pPr>
            <w:r w:rsidRPr="00E10041">
              <w:rPr>
                <w:b/>
                <w:bCs/>
                <w:sz w:val="22"/>
                <w:szCs w:val="22"/>
              </w:rPr>
              <w:t>Study</w:t>
            </w:r>
          </w:p>
        </w:tc>
        <w:tc>
          <w:tcPr>
            <w:tcW w:w="1600" w:type="dxa"/>
            <w:tcBorders>
              <w:top w:val="single" w:sz="1" w:space="0" w:color="000000"/>
              <w:left w:val="single" w:sz="1" w:space="0" w:color="000000"/>
              <w:bottom w:val="single" w:sz="1" w:space="0" w:color="000000"/>
              <w:right w:val="single" w:sz="1" w:space="0" w:color="000000"/>
            </w:tcBorders>
            <w:shd w:val="clear" w:color="auto" w:fill="D9E2F3"/>
            <w:vAlign w:val="center"/>
          </w:tcPr>
          <w:p w14:paraId="0BD87FFB" w14:textId="77777777" w:rsidR="00E10041" w:rsidRPr="00E10041" w:rsidRDefault="00E10041" w:rsidP="003845AC">
            <w:pPr>
              <w:jc w:val="center"/>
              <w:rPr>
                <w:sz w:val="22"/>
                <w:szCs w:val="22"/>
              </w:rPr>
            </w:pPr>
            <w:r w:rsidRPr="00E10041">
              <w:rPr>
                <w:b/>
                <w:bCs/>
                <w:sz w:val="22"/>
                <w:szCs w:val="22"/>
              </w:rPr>
              <w:t>Building Context</w:t>
            </w:r>
          </w:p>
        </w:tc>
        <w:tc>
          <w:tcPr>
            <w:tcW w:w="1600" w:type="dxa"/>
            <w:tcBorders>
              <w:top w:val="single" w:sz="1" w:space="0" w:color="000000"/>
              <w:left w:val="single" w:sz="1" w:space="0" w:color="000000"/>
              <w:bottom w:val="single" w:sz="1" w:space="0" w:color="000000"/>
              <w:right w:val="single" w:sz="1" w:space="0" w:color="000000"/>
            </w:tcBorders>
            <w:shd w:val="clear" w:color="auto" w:fill="D9E2F3"/>
            <w:vAlign w:val="center"/>
          </w:tcPr>
          <w:p w14:paraId="0BB286C5" w14:textId="77777777" w:rsidR="00E10041" w:rsidRPr="00E10041" w:rsidRDefault="00E10041" w:rsidP="003845AC">
            <w:pPr>
              <w:jc w:val="center"/>
              <w:rPr>
                <w:sz w:val="22"/>
                <w:szCs w:val="22"/>
              </w:rPr>
            </w:pPr>
            <w:r w:rsidRPr="00E10041">
              <w:rPr>
                <w:b/>
                <w:bCs/>
                <w:sz w:val="22"/>
                <w:szCs w:val="22"/>
              </w:rPr>
              <w:t>AI/ML Method</w:t>
            </w:r>
          </w:p>
        </w:tc>
        <w:tc>
          <w:tcPr>
            <w:tcW w:w="1400" w:type="dxa"/>
            <w:tcBorders>
              <w:top w:val="single" w:sz="1" w:space="0" w:color="000000"/>
              <w:left w:val="single" w:sz="1" w:space="0" w:color="000000"/>
              <w:bottom w:val="single" w:sz="1" w:space="0" w:color="000000"/>
              <w:right w:val="single" w:sz="1" w:space="0" w:color="000000"/>
            </w:tcBorders>
            <w:shd w:val="clear" w:color="auto" w:fill="D9E2F3"/>
            <w:vAlign w:val="center"/>
          </w:tcPr>
          <w:p w14:paraId="5AE8EB16" w14:textId="77777777" w:rsidR="00E10041" w:rsidRPr="00E10041" w:rsidRDefault="00E10041" w:rsidP="003845AC">
            <w:pPr>
              <w:jc w:val="center"/>
              <w:rPr>
                <w:sz w:val="22"/>
                <w:szCs w:val="22"/>
              </w:rPr>
            </w:pPr>
            <w:r w:rsidRPr="00E10041">
              <w:rPr>
                <w:b/>
                <w:bCs/>
                <w:sz w:val="22"/>
                <w:szCs w:val="22"/>
              </w:rPr>
              <w:t>Energy Outcome</w:t>
            </w:r>
          </w:p>
        </w:tc>
        <w:tc>
          <w:tcPr>
            <w:tcW w:w="1800" w:type="dxa"/>
            <w:tcBorders>
              <w:top w:val="single" w:sz="1" w:space="0" w:color="000000"/>
              <w:left w:val="single" w:sz="1" w:space="0" w:color="000000"/>
              <w:bottom w:val="single" w:sz="1" w:space="0" w:color="000000"/>
              <w:right w:val="single" w:sz="1" w:space="0" w:color="000000"/>
            </w:tcBorders>
            <w:shd w:val="clear" w:color="auto" w:fill="D9E2F3"/>
            <w:vAlign w:val="center"/>
          </w:tcPr>
          <w:p w14:paraId="348F9BAF" w14:textId="77777777" w:rsidR="00E10041" w:rsidRPr="00E10041" w:rsidRDefault="00E10041" w:rsidP="003845AC">
            <w:pPr>
              <w:jc w:val="center"/>
              <w:rPr>
                <w:sz w:val="22"/>
                <w:szCs w:val="22"/>
              </w:rPr>
            </w:pPr>
            <w:r w:rsidRPr="00E10041">
              <w:rPr>
                <w:b/>
                <w:bCs/>
                <w:sz w:val="22"/>
                <w:szCs w:val="22"/>
              </w:rPr>
              <w:t>Performance Metrics / IEQ</w:t>
            </w:r>
          </w:p>
        </w:tc>
        <w:tc>
          <w:tcPr>
            <w:tcW w:w="1560" w:type="dxa"/>
            <w:tcBorders>
              <w:top w:val="single" w:sz="1" w:space="0" w:color="000000"/>
              <w:left w:val="single" w:sz="1" w:space="0" w:color="000000"/>
              <w:bottom w:val="single" w:sz="1" w:space="0" w:color="000000"/>
              <w:right w:val="single" w:sz="1" w:space="0" w:color="000000"/>
            </w:tcBorders>
            <w:shd w:val="clear" w:color="auto" w:fill="D9E2F3"/>
            <w:vAlign w:val="center"/>
          </w:tcPr>
          <w:p w14:paraId="0454699C" w14:textId="77777777" w:rsidR="00E10041" w:rsidRPr="00E10041" w:rsidRDefault="00E10041" w:rsidP="003845AC">
            <w:pPr>
              <w:jc w:val="center"/>
              <w:rPr>
                <w:sz w:val="22"/>
                <w:szCs w:val="22"/>
              </w:rPr>
            </w:pPr>
            <w:r w:rsidRPr="00E10041">
              <w:rPr>
                <w:b/>
                <w:bCs/>
                <w:sz w:val="22"/>
                <w:szCs w:val="22"/>
              </w:rPr>
              <w:t>API / Integration Details</w:t>
            </w:r>
          </w:p>
        </w:tc>
      </w:tr>
      <w:tr w:rsidR="00E10041" w14:paraId="09D645AF" w14:textId="77777777" w:rsidTr="00E10041">
        <w:tc>
          <w:tcPr>
            <w:tcW w:w="1400" w:type="dxa"/>
            <w:tcBorders>
              <w:top w:val="single" w:sz="1" w:space="0" w:color="000000"/>
              <w:left w:val="single" w:sz="1" w:space="0" w:color="000000"/>
              <w:bottom w:val="single" w:sz="1" w:space="0" w:color="000000"/>
              <w:right w:val="single" w:sz="1" w:space="0" w:color="000000"/>
            </w:tcBorders>
            <w:vAlign w:val="center"/>
          </w:tcPr>
          <w:p w14:paraId="623BC99A" w14:textId="77777777" w:rsidR="00E10041" w:rsidRPr="00E10041" w:rsidRDefault="00E10041" w:rsidP="00E10041">
            <w:pPr>
              <w:spacing w:before="40" w:after="40"/>
              <w:rPr>
                <w:sz w:val="22"/>
                <w:szCs w:val="22"/>
              </w:rPr>
            </w:pPr>
            <w:r w:rsidRPr="00E10041">
              <w:rPr>
                <w:sz w:val="22"/>
                <w:szCs w:val="22"/>
              </w:rPr>
              <w:t>Amangeldy et al. (2025)</w:t>
            </w:r>
          </w:p>
        </w:tc>
        <w:tc>
          <w:tcPr>
            <w:tcW w:w="1600" w:type="dxa"/>
            <w:tcBorders>
              <w:top w:val="single" w:sz="1" w:space="0" w:color="000000"/>
              <w:left w:val="single" w:sz="1" w:space="0" w:color="000000"/>
              <w:bottom w:val="single" w:sz="1" w:space="0" w:color="000000"/>
              <w:right w:val="single" w:sz="1" w:space="0" w:color="000000"/>
            </w:tcBorders>
            <w:vAlign w:val="center"/>
          </w:tcPr>
          <w:p w14:paraId="2AB20B23" w14:textId="77777777" w:rsidR="00E10041" w:rsidRPr="00E10041" w:rsidRDefault="00E10041" w:rsidP="00E10041">
            <w:pPr>
              <w:spacing w:before="40" w:after="40"/>
              <w:rPr>
                <w:sz w:val="22"/>
                <w:szCs w:val="22"/>
              </w:rPr>
            </w:pPr>
            <w:r w:rsidRPr="00E10041">
              <w:rPr>
                <w:sz w:val="22"/>
                <w:szCs w:val="22"/>
              </w:rPr>
              <w:t>Not specified; HVAC/IEQ focus</w:t>
            </w:r>
          </w:p>
        </w:tc>
        <w:tc>
          <w:tcPr>
            <w:tcW w:w="1600" w:type="dxa"/>
            <w:tcBorders>
              <w:top w:val="single" w:sz="1" w:space="0" w:color="000000"/>
              <w:left w:val="single" w:sz="1" w:space="0" w:color="000000"/>
              <w:bottom w:val="single" w:sz="1" w:space="0" w:color="000000"/>
              <w:right w:val="single" w:sz="1" w:space="0" w:color="000000"/>
            </w:tcBorders>
            <w:vAlign w:val="center"/>
          </w:tcPr>
          <w:p w14:paraId="0B6210AA" w14:textId="77777777" w:rsidR="00E10041" w:rsidRPr="00E10041" w:rsidRDefault="00E10041" w:rsidP="00E10041">
            <w:pPr>
              <w:spacing w:before="40" w:after="40"/>
              <w:rPr>
                <w:sz w:val="22"/>
                <w:szCs w:val="22"/>
              </w:rPr>
            </w:pPr>
            <w:r w:rsidRPr="00E10041">
              <w:rPr>
                <w:sz w:val="22"/>
                <w:szCs w:val="22"/>
              </w:rPr>
              <w:t>Deep reinforcement learning; gradient boosting; neural networks</w:t>
            </w:r>
          </w:p>
        </w:tc>
        <w:tc>
          <w:tcPr>
            <w:tcW w:w="1400" w:type="dxa"/>
            <w:tcBorders>
              <w:top w:val="single" w:sz="1" w:space="0" w:color="000000"/>
              <w:left w:val="single" w:sz="1" w:space="0" w:color="000000"/>
              <w:bottom w:val="single" w:sz="1" w:space="0" w:color="000000"/>
              <w:right w:val="single" w:sz="1" w:space="0" w:color="000000"/>
            </w:tcBorders>
            <w:vAlign w:val="center"/>
          </w:tcPr>
          <w:p w14:paraId="4C260028" w14:textId="77777777" w:rsidR="00E10041" w:rsidRPr="00E10041" w:rsidRDefault="00E10041" w:rsidP="00E10041">
            <w:pPr>
              <w:spacing w:before="40" w:after="40"/>
              <w:rPr>
                <w:sz w:val="22"/>
                <w:szCs w:val="22"/>
              </w:rPr>
            </w:pPr>
            <w:r w:rsidRPr="00E10041">
              <w:rPr>
                <w:sz w:val="22"/>
                <w:szCs w:val="22"/>
              </w:rPr>
              <w:t>10–35% HVAC demand reduction</w:t>
            </w:r>
          </w:p>
        </w:tc>
        <w:tc>
          <w:tcPr>
            <w:tcW w:w="1800" w:type="dxa"/>
            <w:tcBorders>
              <w:top w:val="single" w:sz="1" w:space="0" w:color="000000"/>
              <w:left w:val="single" w:sz="1" w:space="0" w:color="000000"/>
              <w:bottom w:val="single" w:sz="1" w:space="0" w:color="000000"/>
              <w:right w:val="single" w:sz="1" w:space="0" w:color="000000"/>
            </w:tcBorders>
            <w:vAlign w:val="center"/>
          </w:tcPr>
          <w:p w14:paraId="68E0D36C" w14:textId="77777777" w:rsidR="00E10041" w:rsidRPr="00E10041" w:rsidRDefault="00E10041" w:rsidP="00E10041">
            <w:pPr>
              <w:spacing w:before="40" w:after="40"/>
              <w:rPr>
                <w:sz w:val="22"/>
                <w:szCs w:val="22"/>
              </w:rPr>
            </w:pPr>
            <w:r w:rsidRPr="00E10041">
              <w:rPr>
                <w:sz w:val="22"/>
                <w:szCs w:val="22"/>
              </w:rPr>
              <w:t>87–97% forecasting accuracy; 40% reduction in sick building complaints</w:t>
            </w:r>
          </w:p>
        </w:tc>
        <w:tc>
          <w:tcPr>
            <w:tcW w:w="1560" w:type="dxa"/>
            <w:tcBorders>
              <w:top w:val="single" w:sz="1" w:space="0" w:color="000000"/>
              <w:left w:val="single" w:sz="1" w:space="0" w:color="000000"/>
              <w:bottom w:val="single" w:sz="1" w:space="0" w:color="000000"/>
              <w:right w:val="single" w:sz="1" w:space="0" w:color="000000"/>
            </w:tcBorders>
            <w:vAlign w:val="center"/>
          </w:tcPr>
          <w:p w14:paraId="141BCEB9" w14:textId="77777777" w:rsidR="00E10041" w:rsidRPr="00E10041" w:rsidRDefault="00E10041" w:rsidP="00E10041">
            <w:pPr>
              <w:spacing w:before="40" w:after="40"/>
              <w:rPr>
                <w:sz w:val="22"/>
                <w:szCs w:val="22"/>
              </w:rPr>
            </w:pPr>
            <w:r w:rsidRPr="00E10041">
              <w:rPr>
                <w:sz w:val="22"/>
                <w:szCs w:val="22"/>
              </w:rPr>
              <w:t>Not reported; interoperability issues with legacy BAS noted</w:t>
            </w:r>
          </w:p>
        </w:tc>
      </w:tr>
      <w:tr w:rsidR="00E10041" w14:paraId="66AE62EC" w14:textId="77777777" w:rsidTr="00E10041">
        <w:tc>
          <w:tcPr>
            <w:tcW w:w="1400" w:type="dxa"/>
            <w:tcBorders>
              <w:top w:val="single" w:sz="1" w:space="0" w:color="000000"/>
              <w:left w:val="single" w:sz="1" w:space="0" w:color="000000"/>
              <w:bottom w:val="single" w:sz="1" w:space="0" w:color="000000"/>
              <w:right w:val="single" w:sz="1" w:space="0" w:color="000000"/>
            </w:tcBorders>
            <w:vAlign w:val="center"/>
          </w:tcPr>
          <w:p w14:paraId="7C3C0012" w14:textId="77777777" w:rsidR="00E10041" w:rsidRPr="00E10041" w:rsidRDefault="00E10041" w:rsidP="00E10041">
            <w:pPr>
              <w:spacing w:before="40" w:after="40"/>
              <w:rPr>
                <w:sz w:val="22"/>
                <w:szCs w:val="22"/>
              </w:rPr>
            </w:pPr>
            <w:r w:rsidRPr="00E10041">
              <w:rPr>
                <w:sz w:val="22"/>
                <w:szCs w:val="22"/>
              </w:rPr>
              <w:t>Renganayagalu et al. (2024)</w:t>
            </w:r>
          </w:p>
        </w:tc>
        <w:tc>
          <w:tcPr>
            <w:tcW w:w="1600" w:type="dxa"/>
            <w:tcBorders>
              <w:top w:val="single" w:sz="1" w:space="0" w:color="000000"/>
              <w:left w:val="single" w:sz="1" w:space="0" w:color="000000"/>
              <w:bottom w:val="single" w:sz="1" w:space="0" w:color="000000"/>
              <w:right w:val="single" w:sz="1" w:space="0" w:color="000000"/>
            </w:tcBorders>
            <w:vAlign w:val="center"/>
          </w:tcPr>
          <w:p w14:paraId="24DBA6E8" w14:textId="77777777" w:rsidR="00E10041" w:rsidRPr="00E10041" w:rsidRDefault="00E10041" w:rsidP="00E10041">
            <w:pPr>
              <w:spacing w:before="40" w:after="40"/>
              <w:rPr>
                <w:sz w:val="22"/>
                <w:szCs w:val="22"/>
              </w:rPr>
            </w:pPr>
            <w:r w:rsidRPr="00E10041">
              <w:rPr>
                <w:sz w:val="22"/>
                <w:szCs w:val="22"/>
              </w:rPr>
              <w:t>Office building (4 floors, built 1947); Halden, Norway; 62 IoT sensors; 10-month study</w:t>
            </w:r>
          </w:p>
        </w:tc>
        <w:tc>
          <w:tcPr>
            <w:tcW w:w="1600" w:type="dxa"/>
            <w:tcBorders>
              <w:top w:val="single" w:sz="1" w:space="0" w:color="000000"/>
              <w:left w:val="single" w:sz="1" w:space="0" w:color="000000"/>
              <w:bottom w:val="single" w:sz="1" w:space="0" w:color="000000"/>
              <w:right w:val="single" w:sz="1" w:space="0" w:color="000000"/>
            </w:tcBorders>
            <w:vAlign w:val="center"/>
          </w:tcPr>
          <w:p w14:paraId="199EC935" w14:textId="77777777" w:rsidR="00E10041" w:rsidRPr="00E10041" w:rsidRDefault="00E10041" w:rsidP="00E10041">
            <w:pPr>
              <w:spacing w:before="40" w:after="40"/>
              <w:rPr>
                <w:sz w:val="22"/>
                <w:szCs w:val="22"/>
              </w:rPr>
            </w:pPr>
            <w:r w:rsidRPr="00E10041">
              <w:rPr>
                <w:sz w:val="22"/>
                <w:szCs w:val="22"/>
              </w:rPr>
              <w:t>Fully connected neural network (3 hidden layers, ReLU activation)</w:t>
            </w:r>
          </w:p>
        </w:tc>
        <w:tc>
          <w:tcPr>
            <w:tcW w:w="1400" w:type="dxa"/>
            <w:tcBorders>
              <w:top w:val="single" w:sz="1" w:space="0" w:color="000000"/>
              <w:left w:val="single" w:sz="1" w:space="0" w:color="000000"/>
              <w:bottom w:val="single" w:sz="1" w:space="0" w:color="000000"/>
              <w:right w:val="single" w:sz="1" w:space="0" w:color="000000"/>
            </w:tcBorders>
            <w:vAlign w:val="center"/>
          </w:tcPr>
          <w:p w14:paraId="7B99AF32" w14:textId="77777777" w:rsidR="00E10041" w:rsidRPr="00E10041" w:rsidRDefault="00E10041" w:rsidP="00E10041">
            <w:pPr>
              <w:spacing w:before="40" w:after="40"/>
              <w:rPr>
                <w:sz w:val="22"/>
                <w:szCs w:val="22"/>
              </w:rPr>
            </w:pPr>
            <w:r w:rsidRPr="00E10041">
              <w:rPr>
                <w:sz w:val="22"/>
                <w:szCs w:val="22"/>
              </w:rPr>
              <w:t>20% energy consumption reduction</w:t>
            </w:r>
          </w:p>
        </w:tc>
        <w:tc>
          <w:tcPr>
            <w:tcW w:w="1800" w:type="dxa"/>
            <w:tcBorders>
              <w:top w:val="single" w:sz="1" w:space="0" w:color="000000"/>
              <w:left w:val="single" w:sz="1" w:space="0" w:color="000000"/>
              <w:bottom w:val="single" w:sz="1" w:space="0" w:color="000000"/>
              <w:right w:val="single" w:sz="1" w:space="0" w:color="000000"/>
            </w:tcBorders>
            <w:vAlign w:val="center"/>
          </w:tcPr>
          <w:p w14:paraId="51E3132A" w14:textId="77777777" w:rsidR="00E10041" w:rsidRPr="00E10041" w:rsidRDefault="00E10041" w:rsidP="00E10041">
            <w:pPr>
              <w:spacing w:before="40" w:after="40"/>
              <w:rPr>
                <w:sz w:val="22"/>
                <w:szCs w:val="22"/>
              </w:rPr>
            </w:pPr>
            <w:r w:rsidRPr="00E10041">
              <w:rPr>
                <w:sz w:val="22"/>
                <w:szCs w:val="22"/>
              </w:rPr>
              <w:t>RMSE 0.0028; minimal thermal comfort impact</w:t>
            </w:r>
          </w:p>
        </w:tc>
        <w:tc>
          <w:tcPr>
            <w:tcW w:w="1560" w:type="dxa"/>
            <w:tcBorders>
              <w:top w:val="single" w:sz="1" w:space="0" w:color="000000"/>
              <w:left w:val="single" w:sz="1" w:space="0" w:color="000000"/>
              <w:bottom w:val="single" w:sz="1" w:space="0" w:color="000000"/>
              <w:right w:val="single" w:sz="1" w:space="0" w:color="000000"/>
            </w:tcBorders>
            <w:vAlign w:val="center"/>
          </w:tcPr>
          <w:p w14:paraId="0F6311CB" w14:textId="77777777" w:rsidR="00E10041" w:rsidRPr="00E10041" w:rsidRDefault="00E10041" w:rsidP="00E10041">
            <w:pPr>
              <w:spacing w:before="40" w:after="40"/>
              <w:rPr>
                <w:sz w:val="22"/>
                <w:szCs w:val="22"/>
              </w:rPr>
            </w:pPr>
            <w:r w:rsidRPr="00E10041">
              <w:rPr>
                <w:sz w:val="22"/>
                <w:szCs w:val="22"/>
              </w:rPr>
              <w:t>REST/proprietary APIs; NGSI-LD standard; FIWARE stack; MongoDB</w:t>
            </w:r>
          </w:p>
        </w:tc>
      </w:tr>
      <w:tr w:rsidR="00E10041" w14:paraId="24CFB0C9" w14:textId="77777777" w:rsidTr="00E10041">
        <w:tc>
          <w:tcPr>
            <w:tcW w:w="1400" w:type="dxa"/>
            <w:tcBorders>
              <w:top w:val="single" w:sz="1" w:space="0" w:color="000000"/>
              <w:left w:val="single" w:sz="1" w:space="0" w:color="000000"/>
              <w:bottom w:val="single" w:sz="1" w:space="0" w:color="000000"/>
              <w:right w:val="single" w:sz="1" w:space="0" w:color="000000"/>
            </w:tcBorders>
            <w:vAlign w:val="center"/>
          </w:tcPr>
          <w:p w14:paraId="4B15F131" w14:textId="77777777" w:rsidR="00E10041" w:rsidRPr="00E10041" w:rsidRDefault="00E10041" w:rsidP="00E10041">
            <w:pPr>
              <w:spacing w:before="40" w:after="40"/>
              <w:rPr>
                <w:sz w:val="22"/>
                <w:szCs w:val="22"/>
              </w:rPr>
            </w:pPr>
            <w:r w:rsidRPr="00E10041">
              <w:rPr>
                <w:sz w:val="22"/>
                <w:szCs w:val="22"/>
              </w:rPr>
              <w:t>Cespedes-Cubides &amp; Jradi (2024)</w:t>
            </w:r>
          </w:p>
        </w:tc>
        <w:tc>
          <w:tcPr>
            <w:tcW w:w="1600" w:type="dxa"/>
            <w:tcBorders>
              <w:top w:val="single" w:sz="1" w:space="0" w:color="000000"/>
              <w:left w:val="single" w:sz="1" w:space="0" w:color="000000"/>
              <w:bottom w:val="single" w:sz="1" w:space="0" w:color="000000"/>
              <w:right w:val="single" w:sz="1" w:space="0" w:color="000000"/>
            </w:tcBorders>
            <w:vAlign w:val="center"/>
          </w:tcPr>
          <w:p w14:paraId="23D2CF80" w14:textId="77777777" w:rsidR="00E10041" w:rsidRPr="00E10041" w:rsidRDefault="00E10041" w:rsidP="00E10041">
            <w:pPr>
              <w:spacing w:before="40" w:after="40"/>
              <w:rPr>
                <w:sz w:val="22"/>
                <w:szCs w:val="22"/>
              </w:rPr>
            </w:pPr>
            <w:r w:rsidRPr="00E10041">
              <w:rPr>
                <w:sz w:val="22"/>
                <w:szCs w:val="22"/>
              </w:rPr>
              <w:t xml:space="preserve">Existing buildings (pre-2001); Europe; </w:t>
            </w:r>
            <w:r w:rsidRPr="00E10041">
              <w:rPr>
                <w:sz w:val="22"/>
                <w:szCs w:val="22"/>
              </w:rPr>
              <w:lastRenderedPageBreak/>
              <w:t>systematic review</w:t>
            </w:r>
          </w:p>
        </w:tc>
        <w:tc>
          <w:tcPr>
            <w:tcW w:w="1600" w:type="dxa"/>
            <w:tcBorders>
              <w:top w:val="single" w:sz="1" w:space="0" w:color="000000"/>
              <w:left w:val="single" w:sz="1" w:space="0" w:color="000000"/>
              <w:bottom w:val="single" w:sz="1" w:space="0" w:color="000000"/>
              <w:right w:val="single" w:sz="1" w:space="0" w:color="000000"/>
            </w:tcBorders>
            <w:vAlign w:val="center"/>
          </w:tcPr>
          <w:p w14:paraId="696F2E26" w14:textId="77777777" w:rsidR="00E10041" w:rsidRPr="00E10041" w:rsidRDefault="00E10041" w:rsidP="00E10041">
            <w:pPr>
              <w:spacing w:before="40" w:after="40"/>
              <w:rPr>
                <w:sz w:val="22"/>
                <w:szCs w:val="22"/>
              </w:rPr>
            </w:pPr>
            <w:r w:rsidRPr="00E10041">
              <w:rPr>
                <w:sz w:val="22"/>
                <w:szCs w:val="22"/>
              </w:rPr>
              <w:lastRenderedPageBreak/>
              <w:t xml:space="preserve">Machine learning (various); anomaly </w:t>
            </w:r>
            <w:r w:rsidRPr="00E10041">
              <w:rPr>
                <w:sz w:val="22"/>
                <w:szCs w:val="22"/>
              </w:rPr>
              <w:lastRenderedPageBreak/>
              <w:t>detection; optimisation</w:t>
            </w:r>
          </w:p>
        </w:tc>
        <w:tc>
          <w:tcPr>
            <w:tcW w:w="1400" w:type="dxa"/>
            <w:tcBorders>
              <w:top w:val="single" w:sz="1" w:space="0" w:color="000000"/>
              <w:left w:val="single" w:sz="1" w:space="0" w:color="000000"/>
              <w:bottom w:val="single" w:sz="1" w:space="0" w:color="000000"/>
              <w:right w:val="single" w:sz="1" w:space="0" w:color="000000"/>
            </w:tcBorders>
            <w:vAlign w:val="center"/>
          </w:tcPr>
          <w:p w14:paraId="694A6109" w14:textId="77777777" w:rsidR="00E10041" w:rsidRPr="00E10041" w:rsidRDefault="00E10041" w:rsidP="00E10041">
            <w:pPr>
              <w:spacing w:before="40" w:after="40"/>
              <w:rPr>
                <w:sz w:val="22"/>
                <w:szCs w:val="22"/>
              </w:rPr>
            </w:pPr>
            <w:r w:rsidRPr="00E10041">
              <w:rPr>
                <w:sz w:val="22"/>
                <w:szCs w:val="22"/>
              </w:rPr>
              <w:lastRenderedPageBreak/>
              <w:t>15% energy reduction; 38% cost savings</w:t>
            </w:r>
          </w:p>
        </w:tc>
        <w:tc>
          <w:tcPr>
            <w:tcW w:w="1800" w:type="dxa"/>
            <w:tcBorders>
              <w:top w:val="single" w:sz="1" w:space="0" w:color="000000"/>
              <w:left w:val="single" w:sz="1" w:space="0" w:color="000000"/>
              <w:bottom w:val="single" w:sz="1" w:space="0" w:color="000000"/>
              <w:right w:val="single" w:sz="1" w:space="0" w:color="000000"/>
            </w:tcBorders>
            <w:vAlign w:val="center"/>
          </w:tcPr>
          <w:p w14:paraId="6579926C" w14:textId="77777777" w:rsidR="00E10041" w:rsidRPr="00E10041" w:rsidRDefault="00E10041" w:rsidP="00E10041">
            <w:pPr>
              <w:spacing w:before="40" w:after="40"/>
              <w:rPr>
                <w:sz w:val="22"/>
                <w:szCs w:val="22"/>
              </w:rPr>
            </w:pPr>
            <w:r w:rsidRPr="00E10041">
              <w:rPr>
                <w:sz w:val="22"/>
                <w:szCs w:val="22"/>
              </w:rPr>
              <w:t>Only 3/10 studies reported API details</w:t>
            </w:r>
          </w:p>
        </w:tc>
        <w:tc>
          <w:tcPr>
            <w:tcW w:w="1560" w:type="dxa"/>
            <w:tcBorders>
              <w:top w:val="single" w:sz="1" w:space="0" w:color="000000"/>
              <w:left w:val="single" w:sz="1" w:space="0" w:color="000000"/>
              <w:bottom w:val="single" w:sz="1" w:space="0" w:color="000000"/>
              <w:right w:val="single" w:sz="1" w:space="0" w:color="000000"/>
            </w:tcBorders>
            <w:vAlign w:val="center"/>
          </w:tcPr>
          <w:p w14:paraId="03F3389E" w14:textId="77777777" w:rsidR="00E10041" w:rsidRPr="00E10041" w:rsidRDefault="00E10041" w:rsidP="00E10041">
            <w:pPr>
              <w:spacing w:before="40" w:after="40"/>
              <w:rPr>
                <w:sz w:val="22"/>
                <w:szCs w:val="22"/>
              </w:rPr>
            </w:pPr>
            <w:r w:rsidRPr="00E10041">
              <w:rPr>
                <w:sz w:val="22"/>
                <w:szCs w:val="22"/>
              </w:rPr>
              <w:t xml:space="preserve">Integration challenges with BMS and GIS; BIM reliance </w:t>
            </w:r>
            <w:r w:rsidRPr="00E10041">
              <w:rPr>
                <w:sz w:val="22"/>
                <w:szCs w:val="22"/>
              </w:rPr>
              <w:lastRenderedPageBreak/>
              <w:t>identified as barrier</w:t>
            </w:r>
          </w:p>
        </w:tc>
      </w:tr>
      <w:tr w:rsidR="00E10041" w14:paraId="1E6A8FB4" w14:textId="77777777" w:rsidTr="00E10041">
        <w:tc>
          <w:tcPr>
            <w:tcW w:w="1400" w:type="dxa"/>
            <w:tcBorders>
              <w:top w:val="single" w:sz="1" w:space="0" w:color="000000"/>
              <w:left w:val="single" w:sz="1" w:space="0" w:color="000000"/>
              <w:bottom w:val="single" w:sz="1" w:space="0" w:color="000000"/>
              <w:right w:val="single" w:sz="1" w:space="0" w:color="000000"/>
            </w:tcBorders>
            <w:vAlign w:val="center"/>
          </w:tcPr>
          <w:p w14:paraId="4EBDC903" w14:textId="3E8F5BC1" w:rsidR="00E10041" w:rsidRPr="00C12279" w:rsidRDefault="00C12279" w:rsidP="00E10041">
            <w:pPr>
              <w:spacing w:before="40" w:after="40"/>
              <w:rPr>
                <w:sz w:val="22"/>
                <w:szCs w:val="22"/>
              </w:rPr>
            </w:pPr>
            <w:r w:rsidRPr="00C12279">
              <w:rPr>
                <w:sz w:val="22"/>
                <w:szCs w:val="22"/>
              </w:rPr>
              <w:lastRenderedPageBreak/>
              <w:t>Boukaf, Fadli &amp; Meskin (2024)</w:t>
            </w:r>
          </w:p>
        </w:tc>
        <w:tc>
          <w:tcPr>
            <w:tcW w:w="1600" w:type="dxa"/>
            <w:tcBorders>
              <w:top w:val="single" w:sz="1" w:space="0" w:color="000000"/>
              <w:left w:val="single" w:sz="1" w:space="0" w:color="000000"/>
              <w:bottom w:val="single" w:sz="1" w:space="0" w:color="000000"/>
              <w:right w:val="single" w:sz="1" w:space="0" w:color="000000"/>
            </w:tcBorders>
            <w:vAlign w:val="center"/>
          </w:tcPr>
          <w:p w14:paraId="61D5688E" w14:textId="50A46663" w:rsidR="00E10041" w:rsidRPr="00C12279" w:rsidRDefault="00C12279" w:rsidP="00E10041">
            <w:pPr>
              <w:spacing w:before="40" w:after="40"/>
              <w:rPr>
                <w:sz w:val="22"/>
                <w:szCs w:val="22"/>
              </w:rPr>
            </w:pPr>
            <w:r w:rsidRPr="00C12279">
              <w:rPr>
                <w:sz w:val="22"/>
                <w:szCs w:val="22"/>
              </w:rPr>
              <w:t>Commercial, residential, mixed-use buildings; systematic review of 132 studies (2014–2024)</w:t>
            </w:r>
          </w:p>
        </w:tc>
        <w:tc>
          <w:tcPr>
            <w:tcW w:w="1600" w:type="dxa"/>
            <w:tcBorders>
              <w:top w:val="single" w:sz="1" w:space="0" w:color="000000"/>
              <w:left w:val="single" w:sz="1" w:space="0" w:color="000000"/>
              <w:bottom w:val="single" w:sz="1" w:space="0" w:color="000000"/>
              <w:right w:val="single" w:sz="1" w:space="0" w:color="000000"/>
            </w:tcBorders>
            <w:vAlign w:val="center"/>
          </w:tcPr>
          <w:p w14:paraId="53190213" w14:textId="36BF84EA" w:rsidR="00E10041" w:rsidRPr="00C12279" w:rsidRDefault="00C12279" w:rsidP="00E10041">
            <w:pPr>
              <w:spacing w:before="40" w:after="40"/>
              <w:rPr>
                <w:sz w:val="22"/>
                <w:szCs w:val="22"/>
              </w:rPr>
            </w:pPr>
            <w:r w:rsidRPr="00C12279">
              <w:rPr>
                <w:sz w:val="22"/>
                <w:szCs w:val="22"/>
              </w:rPr>
              <w:t>LSTM; CNN; ANN; Random Forest; hybrid physics-data models</w:t>
            </w:r>
          </w:p>
        </w:tc>
        <w:tc>
          <w:tcPr>
            <w:tcW w:w="1400" w:type="dxa"/>
            <w:tcBorders>
              <w:top w:val="single" w:sz="1" w:space="0" w:color="000000"/>
              <w:left w:val="single" w:sz="1" w:space="0" w:color="000000"/>
              <w:bottom w:val="single" w:sz="1" w:space="0" w:color="000000"/>
              <w:right w:val="single" w:sz="1" w:space="0" w:color="000000"/>
            </w:tcBorders>
            <w:vAlign w:val="center"/>
          </w:tcPr>
          <w:p w14:paraId="017181BA" w14:textId="25B0DEAA" w:rsidR="00E10041" w:rsidRPr="00C12279" w:rsidRDefault="00C12279" w:rsidP="00E10041">
            <w:pPr>
              <w:spacing w:before="40" w:after="40"/>
              <w:rPr>
                <w:sz w:val="22"/>
                <w:szCs w:val="22"/>
              </w:rPr>
            </w:pPr>
            <w:r w:rsidRPr="00C12279">
              <w:rPr>
                <w:sz w:val="22"/>
                <w:szCs w:val="22"/>
              </w:rPr>
              <w:t>Variable (review synthesis); optimised forecasting for HVAC and overall consumption</w:t>
            </w:r>
          </w:p>
        </w:tc>
        <w:tc>
          <w:tcPr>
            <w:tcW w:w="1800" w:type="dxa"/>
            <w:tcBorders>
              <w:top w:val="single" w:sz="1" w:space="0" w:color="000000"/>
              <w:left w:val="single" w:sz="1" w:space="0" w:color="000000"/>
              <w:bottom w:val="single" w:sz="1" w:space="0" w:color="000000"/>
              <w:right w:val="single" w:sz="1" w:space="0" w:color="000000"/>
            </w:tcBorders>
            <w:vAlign w:val="center"/>
          </w:tcPr>
          <w:p w14:paraId="7A8A627B" w14:textId="0E185FB3" w:rsidR="00E10041" w:rsidRPr="00C12279" w:rsidRDefault="00C12279" w:rsidP="00E10041">
            <w:pPr>
              <w:spacing w:before="40" w:after="40"/>
              <w:rPr>
                <w:sz w:val="22"/>
                <w:szCs w:val="22"/>
              </w:rPr>
            </w:pPr>
            <w:r w:rsidRPr="00C12279">
              <w:rPr>
                <w:sz w:val="22"/>
                <w:szCs w:val="22"/>
              </w:rPr>
              <w:t>48% of studies focused on overall energy forecasting; 14% HVAC; 19% thermal comfort</w:t>
            </w:r>
          </w:p>
        </w:tc>
        <w:tc>
          <w:tcPr>
            <w:tcW w:w="1560" w:type="dxa"/>
            <w:tcBorders>
              <w:top w:val="single" w:sz="1" w:space="0" w:color="000000"/>
              <w:left w:val="single" w:sz="1" w:space="0" w:color="000000"/>
              <w:bottom w:val="single" w:sz="1" w:space="0" w:color="000000"/>
              <w:right w:val="single" w:sz="1" w:space="0" w:color="000000"/>
            </w:tcBorders>
            <w:vAlign w:val="center"/>
          </w:tcPr>
          <w:p w14:paraId="29F10571" w14:textId="3ED5DE95" w:rsidR="00E10041" w:rsidRPr="00C12279" w:rsidRDefault="00C12279" w:rsidP="00E10041">
            <w:pPr>
              <w:spacing w:before="40" w:after="40"/>
              <w:rPr>
                <w:sz w:val="22"/>
                <w:szCs w:val="22"/>
              </w:rPr>
            </w:pPr>
            <w:r w:rsidRPr="00C12279">
              <w:rPr>
                <w:sz w:val="22"/>
                <w:szCs w:val="22"/>
              </w:rPr>
              <w:t>Identifies BIM-IoT-cloud integration challenges; data interoperability barriers; legacy BMS compatibility issues</w:t>
            </w:r>
          </w:p>
        </w:tc>
      </w:tr>
      <w:tr w:rsidR="00E10041" w14:paraId="5A7922EF" w14:textId="77777777" w:rsidTr="00E10041">
        <w:tc>
          <w:tcPr>
            <w:tcW w:w="1400" w:type="dxa"/>
            <w:tcBorders>
              <w:top w:val="single" w:sz="1" w:space="0" w:color="000000"/>
              <w:left w:val="single" w:sz="1" w:space="0" w:color="000000"/>
              <w:bottom w:val="single" w:sz="1" w:space="0" w:color="000000"/>
              <w:right w:val="single" w:sz="1" w:space="0" w:color="000000"/>
            </w:tcBorders>
            <w:vAlign w:val="center"/>
          </w:tcPr>
          <w:p w14:paraId="7917A316" w14:textId="77777777" w:rsidR="00E10041" w:rsidRPr="00E10041" w:rsidRDefault="00E10041" w:rsidP="00E10041">
            <w:pPr>
              <w:spacing w:before="40" w:after="40"/>
              <w:rPr>
                <w:sz w:val="22"/>
                <w:szCs w:val="22"/>
              </w:rPr>
            </w:pPr>
            <w:r w:rsidRPr="00E10041">
              <w:rPr>
                <w:sz w:val="22"/>
                <w:szCs w:val="22"/>
              </w:rPr>
              <w:t>Arsiwala et al. (2023)</w:t>
            </w:r>
          </w:p>
        </w:tc>
        <w:tc>
          <w:tcPr>
            <w:tcW w:w="1600" w:type="dxa"/>
            <w:tcBorders>
              <w:top w:val="single" w:sz="1" w:space="0" w:color="000000"/>
              <w:left w:val="single" w:sz="1" w:space="0" w:color="000000"/>
              <w:bottom w:val="single" w:sz="1" w:space="0" w:color="000000"/>
              <w:right w:val="single" w:sz="1" w:space="0" w:color="000000"/>
            </w:tcBorders>
            <w:vAlign w:val="center"/>
          </w:tcPr>
          <w:p w14:paraId="1AD873C3" w14:textId="77777777" w:rsidR="00E10041" w:rsidRPr="00E10041" w:rsidRDefault="00E10041" w:rsidP="00E10041">
            <w:pPr>
              <w:spacing w:before="40" w:after="40"/>
              <w:rPr>
                <w:sz w:val="22"/>
                <w:szCs w:val="22"/>
              </w:rPr>
            </w:pPr>
            <w:r w:rsidRPr="00E10041">
              <w:rPr>
                <w:sz w:val="22"/>
                <w:szCs w:val="22"/>
              </w:rPr>
              <w:t>Residential building; Belfast, UK; IoT sensors for IAQ</w:t>
            </w:r>
          </w:p>
        </w:tc>
        <w:tc>
          <w:tcPr>
            <w:tcW w:w="1600" w:type="dxa"/>
            <w:tcBorders>
              <w:top w:val="single" w:sz="1" w:space="0" w:color="000000"/>
              <w:left w:val="single" w:sz="1" w:space="0" w:color="000000"/>
              <w:bottom w:val="single" w:sz="1" w:space="0" w:color="000000"/>
              <w:right w:val="single" w:sz="1" w:space="0" w:color="000000"/>
            </w:tcBorders>
            <w:vAlign w:val="center"/>
          </w:tcPr>
          <w:p w14:paraId="7CDDC18C" w14:textId="77777777" w:rsidR="00E10041" w:rsidRPr="00E10041" w:rsidRDefault="00E10041" w:rsidP="00E10041">
            <w:pPr>
              <w:spacing w:before="40" w:after="40"/>
              <w:rPr>
                <w:sz w:val="22"/>
                <w:szCs w:val="22"/>
              </w:rPr>
            </w:pPr>
            <w:r w:rsidRPr="00E10041">
              <w:rPr>
                <w:sz w:val="22"/>
                <w:szCs w:val="22"/>
              </w:rPr>
              <w:t>Stochastic Gradient Descent (SGD)</w:t>
            </w:r>
          </w:p>
        </w:tc>
        <w:tc>
          <w:tcPr>
            <w:tcW w:w="1400" w:type="dxa"/>
            <w:tcBorders>
              <w:top w:val="single" w:sz="1" w:space="0" w:color="000000"/>
              <w:left w:val="single" w:sz="1" w:space="0" w:color="000000"/>
              <w:bottom w:val="single" w:sz="1" w:space="0" w:color="000000"/>
              <w:right w:val="single" w:sz="1" w:space="0" w:color="000000"/>
            </w:tcBorders>
            <w:vAlign w:val="center"/>
          </w:tcPr>
          <w:p w14:paraId="62572386" w14:textId="77777777" w:rsidR="00E10041" w:rsidRPr="00E10041" w:rsidRDefault="00E10041" w:rsidP="00E10041">
            <w:pPr>
              <w:spacing w:before="40" w:after="40"/>
              <w:rPr>
                <w:sz w:val="22"/>
                <w:szCs w:val="22"/>
              </w:rPr>
            </w:pPr>
            <w:r w:rsidRPr="00E10041">
              <w:rPr>
                <w:sz w:val="22"/>
                <w:szCs w:val="22"/>
              </w:rPr>
              <w:t>Carbon emission prediction for retrofitting</w:t>
            </w:r>
          </w:p>
        </w:tc>
        <w:tc>
          <w:tcPr>
            <w:tcW w:w="1800" w:type="dxa"/>
            <w:tcBorders>
              <w:top w:val="single" w:sz="1" w:space="0" w:color="000000"/>
              <w:left w:val="single" w:sz="1" w:space="0" w:color="000000"/>
              <w:bottom w:val="single" w:sz="1" w:space="0" w:color="000000"/>
              <w:right w:val="single" w:sz="1" w:space="0" w:color="000000"/>
            </w:tcBorders>
            <w:vAlign w:val="center"/>
          </w:tcPr>
          <w:p w14:paraId="43FABBB3" w14:textId="77777777" w:rsidR="00E10041" w:rsidRPr="00E10041" w:rsidRDefault="00E10041" w:rsidP="00E10041">
            <w:pPr>
              <w:spacing w:before="40" w:after="40"/>
              <w:rPr>
                <w:sz w:val="22"/>
                <w:szCs w:val="22"/>
              </w:rPr>
            </w:pPr>
            <w:r w:rsidRPr="00E10041">
              <w:rPr>
                <w:sz w:val="22"/>
                <w:szCs w:val="22"/>
              </w:rPr>
              <w:t>MSE reduced 43% (0.6 vs 1.049 baseline)</w:t>
            </w:r>
          </w:p>
        </w:tc>
        <w:tc>
          <w:tcPr>
            <w:tcW w:w="1560" w:type="dxa"/>
            <w:tcBorders>
              <w:top w:val="single" w:sz="1" w:space="0" w:color="000000"/>
              <w:left w:val="single" w:sz="1" w:space="0" w:color="000000"/>
              <w:bottom w:val="single" w:sz="1" w:space="0" w:color="000000"/>
              <w:right w:val="single" w:sz="1" w:space="0" w:color="000000"/>
            </w:tcBorders>
            <w:vAlign w:val="center"/>
          </w:tcPr>
          <w:p w14:paraId="04FF8AB6" w14:textId="77777777" w:rsidR="00E10041" w:rsidRPr="00E10041" w:rsidRDefault="00E10041" w:rsidP="00E10041">
            <w:pPr>
              <w:spacing w:before="40" w:after="40"/>
              <w:rPr>
                <w:sz w:val="22"/>
                <w:szCs w:val="22"/>
              </w:rPr>
            </w:pPr>
            <w:r w:rsidRPr="00E10041">
              <w:rPr>
                <w:sz w:val="22"/>
                <w:szCs w:val="22"/>
              </w:rPr>
              <w:t>REST API; Azure Digital Twin; Azure IoT Hub; DTDL/JSON syntax</w:t>
            </w:r>
          </w:p>
        </w:tc>
      </w:tr>
      <w:tr w:rsidR="00E10041" w14:paraId="0C0462B6" w14:textId="77777777" w:rsidTr="00E10041">
        <w:tc>
          <w:tcPr>
            <w:tcW w:w="1400" w:type="dxa"/>
            <w:tcBorders>
              <w:top w:val="single" w:sz="1" w:space="0" w:color="000000"/>
              <w:left w:val="single" w:sz="1" w:space="0" w:color="000000"/>
              <w:bottom w:val="single" w:sz="1" w:space="0" w:color="000000"/>
              <w:right w:val="single" w:sz="1" w:space="0" w:color="000000"/>
            </w:tcBorders>
            <w:vAlign w:val="center"/>
          </w:tcPr>
          <w:p w14:paraId="743E1B37" w14:textId="77777777" w:rsidR="00E10041" w:rsidRPr="00E10041" w:rsidRDefault="00E10041" w:rsidP="00E10041">
            <w:pPr>
              <w:spacing w:before="40" w:after="40"/>
              <w:rPr>
                <w:sz w:val="22"/>
                <w:szCs w:val="22"/>
              </w:rPr>
            </w:pPr>
            <w:r w:rsidRPr="00E10041">
              <w:rPr>
                <w:sz w:val="22"/>
                <w:szCs w:val="22"/>
              </w:rPr>
              <w:t>Hosamo et al. (2022)</w:t>
            </w:r>
          </w:p>
        </w:tc>
        <w:tc>
          <w:tcPr>
            <w:tcW w:w="1600" w:type="dxa"/>
            <w:tcBorders>
              <w:top w:val="single" w:sz="1" w:space="0" w:color="000000"/>
              <w:left w:val="single" w:sz="1" w:space="0" w:color="000000"/>
              <w:bottom w:val="single" w:sz="1" w:space="0" w:color="000000"/>
              <w:right w:val="single" w:sz="1" w:space="0" w:color="000000"/>
            </w:tcBorders>
            <w:vAlign w:val="center"/>
          </w:tcPr>
          <w:p w14:paraId="0DA6F882" w14:textId="77777777" w:rsidR="00E10041" w:rsidRPr="00E10041" w:rsidRDefault="00E10041" w:rsidP="00E10041">
            <w:pPr>
              <w:spacing w:before="40" w:after="40"/>
              <w:rPr>
                <w:sz w:val="22"/>
                <w:szCs w:val="22"/>
              </w:rPr>
            </w:pPr>
            <w:r w:rsidRPr="00E10041">
              <w:rPr>
                <w:sz w:val="22"/>
                <w:szCs w:val="22"/>
              </w:rPr>
              <w:t>Educational building; Norway; AHU systems focus</w:t>
            </w:r>
          </w:p>
        </w:tc>
        <w:tc>
          <w:tcPr>
            <w:tcW w:w="1600" w:type="dxa"/>
            <w:tcBorders>
              <w:top w:val="single" w:sz="1" w:space="0" w:color="000000"/>
              <w:left w:val="single" w:sz="1" w:space="0" w:color="000000"/>
              <w:bottom w:val="single" w:sz="1" w:space="0" w:color="000000"/>
              <w:right w:val="single" w:sz="1" w:space="0" w:color="000000"/>
            </w:tcBorders>
            <w:vAlign w:val="center"/>
          </w:tcPr>
          <w:p w14:paraId="59983984" w14:textId="77777777" w:rsidR="00E10041" w:rsidRPr="00E10041" w:rsidRDefault="00E10041" w:rsidP="00E10041">
            <w:pPr>
              <w:spacing w:before="40" w:after="40"/>
              <w:rPr>
                <w:sz w:val="22"/>
                <w:szCs w:val="22"/>
              </w:rPr>
            </w:pPr>
            <w:r w:rsidRPr="00E10041">
              <w:rPr>
                <w:sz w:val="22"/>
                <w:szCs w:val="22"/>
              </w:rPr>
              <w:t>ML for fault detection; predictive maintenance</w:t>
            </w:r>
          </w:p>
        </w:tc>
        <w:tc>
          <w:tcPr>
            <w:tcW w:w="1400" w:type="dxa"/>
            <w:tcBorders>
              <w:top w:val="single" w:sz="1" w:space="0" w:color="000000"/>
              <w:left w:val="single" w:sz="1" w:space="0" w:color="000000"/>
              <w:bottom w:val="single" w:sz="1" w:space="0" w:color="000000"/>
              <w:right w:val="single" w:sz="1" w:space="0" w:color="000000"/>
            </w:tcBorders>
            <w:vAlign w:val="center"/>
          </w:tcPr>
          <w:p w14:paraId="3FE34FD3" w14:textId="77777777" w:rsidR="00E10041" w:rsidRPr="00E10041" w:rsidRDefault="00E10041" w:rsidP="00E10041">
            <w:pPr>
              <w:spacing w:before="40" w:after="40"/>
              <w:rPr>
                <w:sz w:val="22"/>
                <w:szCs w:val="22"/>
              </w:rPr>
            </w:pPr>
            <w:r w:rsidRPr="00E10041">
              <w:rPr>
                <w:sz w:val="22"/>
                <w:szCs w:val="22"/>
              </w:rPr>
              <w:t>Significant annual savings (thousands of dollars)</w:t>
            </w:r>
          </w:p>
        </w:tc>
        <w:tc>
          <w:tcPr>
            <w:tcW w:w="1800" w:type="dxa"/>
            <w:tcBorders>
              <w:top w:val="single" w:sz="1" w:space="0" w:color="000000"/>
              <w:left w:val="single" w:sz="1" w:space="0" w:color="000000"/>
              <w:bottom w:val="single" w:sz="1" w:space="0" w:color="000000"/>
              <w:right w:val="single" w:sz="1" w:space="0" w:color="000000"/>
            </w:tcBorders>
            <w:vAlign w:val="center"/>
          </w:tcPr>
          <w:p w14:paraId="0E7A2773" w14:textId="77777777" w:rsidR="00E10041" w:rsidRPr="00E10041" w:rsidRDefault="00E10041" w:rsidP="00E10041">
            <w:pPr>
              <w:spacing w:before="40" w:after="40"/>
              <w:rPr>
                <w:sz w:val="22"/>
                <w:szCs w:val="22"/>
              </w:rPr>
            </w:pPr>
            <w:r w:rsidRPr="00E10041">
              <w:rPr>
                <w:sz w:val="22"/>
                <w:szCs w:val="22"/>
              </w:rPr>
              <w:t>Early fault identification; condition prediction</w:t>
            </w:r>
          </w:p>
        </w:tc>
        <w:tc>
          <w:tcPr>
            <w:tcW w:w="1560" w:type="dxa"/>
            <w:tcBorders>
              <w:top w:val="single" w:sz="1" w:space="0" w:color="000000"/>
              <w:left w:val="single" w:sz="1" w:space="0" w:color="000000"/>
              <w:bottom w:val="single" w:sz="1" w:space="0" w:color="000000"/>
              <w:right w:val="single" w:sz="1" w:space="0" w:color="000000"/>
            </w:tcBorders>
            <w:vAlign w:val="center"/>
          </w:tcPr>
          <w:p w14:paraId="7F48196D" w14:textId="77777777" w:rsidR="00E10041" w:rsidRPr="00E10041" w:rsidRDefault="00E10041" w:rsidP="00E10041">
            <w:pPr>
              <w:spacing w:before="40" w:after="40"/>
              <w:rPr>
                <w:sz w:val="22"/>
                <w:szCs w:val="22"/>
              </w:rPr>
            </w:pPr>
            <w:r w:rsidRPr="00E10041">
              <w:rPr>
                <w:sz w:val="22"/>
                <w:szCs w:val="22"/>
              </w:rPr>
              <w:t>Not reported; BIM-IoT-semantic technology integration noted</w:t>
            </w:r>
          </w:p>
        </w:tc>
      </w:tr>
      <w:tr w:rsidR="00E10041" w14:paraId="3F39FFAF" w14:textId="77777777" w:rsidTr="00E10041">
        <w:tc>
          <w:tcPr>
            <w:tcW w:w="1400" w:type="dxa"/>
            <w:tcBorders>
              <w:top w:val="single" w:sz="1" w:space="0" w:color="000000"/>
              <w:left w:val="single" w:sz="1" w:space="0" w:color="000000"/>
              <w:bottom w:val="single" w:sz="1" w:space="0" w:color="000000"/>
              <w:right w:val="single" w:sz="1" w:space="0" w:color="000000"/>
            </w:tcBorders>
            <w:vAlign w:val="center"/>
          </w:tcPr>
          <w:p w14:paraId="1F4B9A30" w14:textId="77777777" w:rsidR="00E10041" w:rsidRPr="00E10041" w:rsidRDefault="00E10041" w:rsidP="00E10041">
            <w:pPr>
              <w:spacing w:before="40" w:after="40"/>
              <w:rPr>
                <w:sz w:val="22"/>
                <w:szCs w:val="22"/>
              </w:rPr>
            </w:pPr>
            <w:r w:rsidRPr="00E10041">
              <w:rPr>
                <w:sz w:val="22"/>
                <w:szCs w:val="22"/>
              </w:rPr>
              <w:t>Yitmen et al. (2025)</w:t>
            </w:r>
          </w:p>
        </w:tc>
        <w:tc>
          <w:tcPr>
            <w:tcW w:w="1600" w:type="dxa"/>
            <w:tcBorders>
              <w:top w:val="single" w:sz="1" w:space="0" w:color="000000"/>
              <w:left w:val="single" w:sz="1" w:space="0" w:color="000000"/>
              <w:bottom w:val="single" w:sz="1" w:space="0" w:color="000000"/>
              <w:right w:val="single" w:sz="1" w:space="0" w:color="000000"/>
            </w:tcBorders>
            <w:vAlign w:val="center"/>
          </w:tcPr>
          <w:p w14:paraId="3266F483" w14:textId="77777777" w:rsidR="00E10041" w:rsidRPr="00E10041" w:rsidRDefault="00E10041" w:rsidP="00E10041">
            <w:pPr>
              <w:spacing w:before="40" w:after="40"/>
              <w:rPr>
                <w:sz w:val="22"/>
                <w:szCs w:val="22"/>
              </w:rPr>
            </w:pPr>
            <w:r w:rsidRPr="00E10041">
              <w:rPr>
                <w:sz w:val="22"/>
                <w:szCs w:val="22"/>
              </w:rPr>
              <w:t>Not specified; IEQ and energy efficiency focus</w:t>
            </w:r>
          </w:p>
        </w:tc>
        <w:tc>
          <w:tcPr>
            <w:tcW w:w="1600" w:type="dxa"/>
            <w:tcBorders>
              <w:top w:val="single" w:sz="1" w:space="0" w:color="000000"/>
              <w:left w:val="single" w:sz="1" w:space="0" w:color="000000"/>
              <w:bottom w:val="single" w:sz="1" w:space="0" w:color="000000"/>
              <w:right w:val="single" w:sz="1" w:space="0" w:color="000000"/>
            </w:tcBorders>
            <w:vAlign w:val="center"/>
          </w:tcPr>
          <w:p w14:paraId="32BF0D99" w14:textId="77777777" w:rsidR="00E10041" w:rsidRPr="00E10041" w:rsidRDefault="00E10041" w:rsidP="00E10041">
            <w:pPr>
              <w:spacing w:before="40" w:after="40"/>
              <w:rPr>
                <w:sz w:val="22"/>
                <w:szCs w:val="22"/>
              </w:rPr>
            </w:pPr>
            <w:r w:rsidRPr="00E10041">
              <w:rPr>
                <w:sz w:val="22"/>
                <w:szCs w:val="22"/>
              </w:rPr>
              <w:t>AI-driven DT for IEQ; fault detection; maintenance conditioning</w:t>
            </w:r>
          </w:p>
        </w:tc>
        <w:tc>
          <w:tcPr>
            <w:tcW w:w="1400" w:type="dxa"/>
            <w:tcBorders>
              <w:top w:val="single" w:sz="1" w:space="0" w:color="000000"/>
              <w:left w:val="single" w:sz="1" w:space="0" w:color="000000"/>
              <w:bottom w:val="single" w:sz="1" w:space="0" w:color="000000"/>
              <w:right w:val="single" w:sz="1" w:space="0" w:color="000000"/>
            </w:tcBorders>
            <w:vAlign w:val="center"/>
          </w:tcPr>
          <w:p w14:paraId="66796F69" w14:textId="77777777" w:rsidR="00E10041" w:rsidRPr="00E10041" w:rsidRDefault="00E10041" w:rsidP="00E10041">
            <w:pPr>
              <w:spacing w:before="40" w:after="40"/>
              <w:rPr>
                <w:sz w:val="22"/>
                <w:szCs w:val="22"/>
              </w:rPr>
            </w:pPr>
            <w:r w:rsidRPr="00E10041">
              <w:rPr>
                <w:sz w:val="22"/>
                <w:szCs w:val="22"/>
              </w:rPr>
              <w:t>Enhanced energy-efficiency performance</w:t>
            </w:r>
          </w:p>
        </w:tc>
        <w:tc>
          <w:tcPr>
            <w:tcW w:w="1800" w:type="dxa"/>
            <w:tcBorders>
              <w:top w:val="single" w:sz="1" w:space="0" w:color="000000"/>
              <w:left w:val="single" w:sz="1" w:space="0" w:color="000000"/>
              <w:bottom w:val="single" w:sz="1" w:space="0" w:color="000000"/>
              <w:right w:val="single" w:sz="1" w:space="0" w:color="000000"/>
            </w:tcBorders>
            <w:vAlign w:val="center"/>
          </w:tcPr>
          <w:p w14:paraId="5BB3FE43" w14:textId="77777777" w:rsidR="00E10041" w:rsidRPr="00E10041" w:rsidRDefault="00E10041" w:rsidP="00E10041">
            <w:pPr>
              <w:spacing w:before="40" w:after="40"/>
              <w:rPr>
                <w:sz w:val="22"/>
                <w:szCs w:val="22"/>
              </w:rPr>
            </w:pPr>
            <w:r w:rsidRPr="00E10041">
              <w:rPr>
                <w:sz w:val="22"/>
                <w:szCs w:val="22"/>
              </w:rPr>
              <w:t>Enhanced occupant comfort metrics</w:t>
            </w:r>
          </w:p>
        </w:tc>
        <w:tc>
          <w:tcPr>
            <w:tcW w:w="1560" w:type="dxa"/>
            <w:tcBorders>
              <w:top w:val="single" w:sz="1" w:space="0" w:color="000000"/>
              <w:left w:val="single" w:sz="1" w:space="0" w:color="000000"/>
              <w:bottom w:val="single" w:sz="1" w:space="0" w:color="000000"/>
              <w:right w:val="single" w:sz="1" w:space="0" w:color="000000"/>
            </w:tcBorders>
            <w:vAlign w:val="center"/>
          </w:tcPr>
          <w:p w14:paraId="232E387E" w14:textId="77777777" w:rsidR="00E10041" w:rsidRPr="00E10041" w:rsidRDefault="00E10041" w:rsidP="00E10041">
            <w:pPr>
              <w:spacing w:before="40" w:after="40"/>
              <w:rPr>
                <w:sz w:val="22"/>
                <w:szCs w:val="22"/>
              </w:rPr>
            </w:pPr>
            <w:r w:rsidRPr="00E10041">
              <w:rPr>
                <w:sz w:val="22"/>
                <w:szCs w:val="22"/>
              </w:rPr>
              <w:t>Not reported</w:t>
            </w:r>
          </w:p>
        </w:tc>
      </w:tr>
      <w:tr w:rsidR="00E10041" w14:paraId="71902F24" w14:textId="77777777" w:rsidTr="00E10041">
        <w:tc>
          <w:tcPr>
            <w:tcW w:w="1400" w:type="dxa"/>
            <w:tcBorders>
              <w:top w:val="single" w:sz="1" w:space="0" w:color="000000"/>
              <w:left w:val="single" w:sz="1" w:space="0" w:color="000000"/>
              <w:bottom w:val="single" w:sz="1" w:space="0" w:color="000000"/>
              <w:right w:val="single" w:sz="1" w:space="0" w:color="000000"/>
            </w:tcBorders>
            <w:vAlign w:val="center"/>
          </w:tcPr>
          <w:p w14:paraId="2F12A21C" w14:textId="77777777" w:rsidR="00E10041" w:rsidRPr="00E10041" w:rsidRDefault="00E10041" w:rsidP="00E10041">
            <w:pPr>
              <w:spacing w:before="40" w:after="40"/>
              <w:rPr>
                <w:sz w:val="22"/>
                <w:szCs w:val="22"/>
              </w:rPr>
            </w:pPr>
            <w:r w:rsidRPr="00E10041">
              <w:rPr>
                <w:sz w:val="22"/>
                <w:szCs w:val="22"/>
              </w:rPr>
              <w:t>Arowoiya et al. (2023)</w:t>
            </w:r>
          </w:p>
        </w:tc>
        <w:tc>
          <w:tcPr>
            <w:tcW w:w="1600" w:type="dxa"/>
            <w:tcBorders>
              <w:top w:val="single" w:sz="1" w:space="0" w:color="000000"/>
              <w:left w:val="single" w:sz="1" w:space="0" w:color="000000"/>
              <w:bottom w:val="single" w:sz="1" w:space="0" w:color="000000"/>
              <w:right w:val="single" w:sz="1" w:space="0" w:color="000000"/>
            </w:tcBorders>
            <w:vAlign w:val="center"/>
          </w:tcPr>
          <w:p w14:paraId="78E1D539" w14:textId="77777777" w:rsidR="00E10041" w:rsidRPr="00E10041" w:rsidRDefault="00E10041" w:rsidP="00E10041">
            <w:pPr>
              <w:spacing w:before="40" w:after="40"/>
              <w:rPr>
                <w:sz w:val="22"/>
                <w:szCs w:val="22"/>
              </w:rPr>
            </w:pPr>
            <w:r w:rsidRPr="00E10041">
              <w:rPr>
                <w:sz w:val="22"/>
                <w:szCs w:val="22"/>
              </w:rPr>
              <w:t>Existing buildings; thermal comfort focus</w:t>
            </w:r>
          </w:p>
        </w:tc>
        <w:tc>
          <w:tcPr>
            <w:tcW w:w="1600" w:type="dxa"/>
            <w:tcBorders>
              <w:top w:val="single" w:sz="1" w:space="0" w:color="000000"/>
              <w:left w:val="single" w:sz="1" w:space="0" w:color="000000"/>
              <w:bottom w:val="single" w:sz="1" w:space="0" w:color="000000"/>
              <w:right w:val="single" w:sz="1" w:space="0" w:color="000000"/>
            </w:tcBorders>
            <w:vAlign w:val="center"/>
          </w:tcPr>
          <w:p w14:paraId="0ABDEFBC" w14:textId="77777777" w:rsidR="00E10041" w:rsidRPr="00E10041" w:rsidRDefault="00E10041" w:rsidP="00E10041">
            <w:pPr>
              <w:spacing w:before="40" w:after="40"/>
              <w:rPr>
                <w:sz w:val="22"/>
                <w:szCs w:val="22"/>
              </w:rPr>
            </w:pPr>
            <w:r w:rsidRPr="00E10041">
              <w:rPr>
                <w:sz w:val="22"/>
                <w:szCs w:val="22"/>
              </w:rPr>
              <w:t>ANN; deep neural networks; YOLOv4</w:t>
            </w:r>
          </w:p>
        </w:tc>
        <w:tc>
          <w:tcPr>
            <w:tcW w:w="1400" w:type="dxa"/>
            <w:tcBorders>
              <w:top w:val="single" w:sz="1" w:space="0" w:color="000000"/>
              <w:left w:val="single" w:sz="1" w:space="0" w:color="000000"/>
              <w:bottom w:val="single" w:sz="1" w:space="0" w:color="000000"/>
              <w:right w:val="single" w:sz="1" w:space="0" w:color="000000"/>
            </w:tcBorders>
            <w:vAlign w:val="center"/>
          </w:tcPr>
          <w:p w14:paraId="33A2B4DF" w14:textId="77777777" w:rsidR="00E10041" w:rsidRPr="00E10041" w:rsidRDefault="00E10041" w:rsidP="00E10041">
            <w:pPr>
              <w:spacing w:before="40" w:after="40"/>
              <w:rPr>
                <w:sz w:val="22"/>
                <w:szCs w:val="22"/>
              </w:rPr>
            </w:pPr>
            <w:r w:rsidRPr="00E10041">
              <w:rPr>
                <w:sz w:val="22"/>
                <w:szCs w:val="22"/>
              </w:rPr>
              <w:t>Not quantified</w:t>
            </w:r>
          </w:p>
        </w:tc>
        <w:tc>
          <w:tcPr>
            <w:tcW w:w="1800" w:type="dxa"/>
            <w:tcBorders>
              <w:top w:val="single" w:sz="1" w:space="0" w:color="000000"/>
              <w:left w:val="single" w:sz="1" w:space="0" w:color="000000"/>
              <w:bottom w:val="single" w:sz="1" w:space="0" w:color="000000"/>
              <w:right w:val="single" w:sz="1" w:space="0" w:color="000000"/>
            </w:tcBorders>
            <w:vAlign w:val="center"/>
          </w:tcPr>
          <w:p w14:paraId="0401A3FC" w14:textId="77777777" w:rsidR="00E10041" w:rsidRPr="00E10041" w:rsidRDefault="00E10041" w:rsidP="00E10041">
            <w:pPr>
              <w:spacing w:before="40" w:after="40"/>
              <w:rPr>
                <w:sz w:val="22"/>
                <w:szCs w:val="22"/>
              </w:rPr>
            </w:pPr>
            <w:r w:rsidRPr="00E10041">
              <w:rPr>
                <w:sz w:val="22"/>
                <w:szCs w:val="22"/>
              </w:rPr>
              <w:t>Thermal comfort and energy consumption prediction</w:t>
            </w:r>
          </w:p>
        </w:tc>
        <w:tc>
          <w:tcPr>
            <w:tcW w:w="1560" w:type="dxa"/>
            <w:tcBorders>
              <w:top w:val="single" w:sz="1" w:space="0" w:color="000000"/>
              <w:left w:val="single" w:sz="1" w:space="0" w:color="000000"/>
              <w:bottom w:val="single" w:sz="1" w:space="0" w:color="000000"/>
              <w:right w:val="single" w:sz="1" w:space="0" w:color="000000"/>
            </w:tcBorders>
            <w:vAlign w:val="center"/>
          </w:tcPr>
          <w:p w14:paraId="4DFCAD46" w14:textId="77777777" w:rsidR="00E10041" w:rsidRPr="00E10041" w:rsidRDefault="00E10041" w:rsidP="00E10041">
            <w:pPr>
              <w:spacing w:before="40" w:after="40"/>
              <w:rPr>
                <w:sz w:val="22"/>
                <w:szCs w:val="22"/>
              </w:rPr>
            </w:pPr>
            <w:r w:rsidRPr="00E10041">
              <w:rPr>
                <w:sz w:val="22"/>
                <w:szCs w:val="22"/>
              </w:rPr>
              <w:t>Not reported; sensor adoption limitations noted</w:t>
            </w:r>
          </w:p>
        </w:tc>
      </w:tr>
      <w:tr w:rsidR="00E10041" w14:paraId="3BA48F34" w14:textId="77777777" w:rsidTr="00E10041">
        <w:tc>
          <w:tcPr>
            <w:tcW w:w="1400" w:type="dxa"/>
            <w:tcBorders>
              <w:top w:val="single" w:sz="1" w:space="0" w:color="000000"/>
              <w:left w:val="single" w:sz="1" w:space="0" w:color="000000"/>
              <w:bottom w:val="single" w:sz="1" w:space="0" w:color="000000"/>
              <w:right w:val="single" w:sz="1" w:space="0" w:color="000000"/>
            </w:tcBorders>
            <w:vAlign w:val="center"/>
          </w:tcPr>
          <w:p w14:paraId="436D7AAE" w14:textId="77777777" w:rsidR="00E10041" w:rsidRPr="00E10041" w:rsidRDefault="00E10041" w:rsidP="00E10041">
            <w:pPr>
              <w:spacing w:before="40" w:after="40"/>
              <w:rPr>
                <w:sz w:val="22"/>
                <w:szCs w:val="22"/>
              </w:rPr>
            </w:pPr>
            <w:r w:rsidRPr="00E10041">
              <w:rPr>
                <w:sz w:val="22"/>
                <w:szCs w:val="22"/>
              </w:rPr>
              <w:t>Baduge et al. (2022)</w:t>
            </w:r>
          </w:p>
        </w:tc>
        <w:tc>
          <w:tcPr>
            <w:tcW w:w="1600" w:type="dxa"/>
            <w:tcBorders>
              <w:top w:val="single" w:sz="1" w:space="0" w:color="000000"/>
              <w:left w:val="single" w:sz="1" w:space="0" w:color="000000"/>
              <w:bottom w:val="single" w:sz="1" w:space="0" w:color="000000"/>
              <w:right w:val="single" w:sz="1" w:space="0" w:color="000000"/>
            </w:tcBorders>
            <w:vAlign w:val="center"/>
          </w:tcPr>
          <w:p w14:paraId="5A082FC3" w14:textId="77777777" w:rsidR="00E10041" w:rsidRPr="00E10041" w:rsidRDefault="00E10041" w:rsidP="00E10041">
            <w:pPr>
              <w:spacing w:before="40" w:after="40"/>
              <w:rPr>
                <w:sz w:val="22"/>
                <w:szCs w:val="22"/>
              </w:rPr>
            </w:pPr>
            <w:r w:rsidRPr="00E10041">
              <w:rPr>
                <w:sz w:val="22"/>
                <w:szCs w:val="22"/>
              </w:rPr>
              <w:t>Not specified; AI/ML applications across building lifecycle</w:t>
            </w:r>
          </w:p>
        </w:tc>
        <w:tc>
          <w:tcPr>
            <w:tcW w:w="1600" w:type="dxa"/>
            <w:tcBorders>
              <w:top w:val="single" w:sz="1" w:space="0" w:color="000000"/>
              <w:left w:val="single" w:sz="1" w:space="0" w:color="000000"/>
              <w:bottom w:val="single" w:sz="1" w:space="0" w:color="000000"/>
              <w:right w:val="single" w:sz="1" w:space="0" w:color="000000"/>
            </w:tcBorders>
            <w:vAlign w:val="center"/>
          </w:tcPr>
          <w:p w14:paraId="071D41C8" w14:textId="77777777" w:rsidR="00E10041" w:rsidRPr="00E10041" w:rsidRDefault="00E10041" w:rsidP="00E10041">
            <w:pPr>
              <w:spacing w:before="40" w:after="40"/>
              <w:rPr>
                <w:sz w:val="22"/>
                <w:szCs w:val="22"/>
              </w:rPr>
            </w:pPr>
            <w:r w:rsidRPr="00E10041">
              <w:rPr>
                <w:sz w:val="22"/>
                <w:szCs w:val="22"/>
              </w:rPr>
              <w:t>Various AI/ML methods reviewed</w:t>
            </w:r>
          </w:p>
        </w:tc>
        <w:tc>
          <w:tcPr>
            <w:tcW w:w="1400" w:type="dxa"/>
            <w:tcBorders>
              <w:top w:val="single" w:sz="1" w:space="0" w:color="000000"/>
              <w:left w:val="single" w:sz="1" w:space="0" w:color="000000"/>
              <w:bottom w:val="single" w:sz="1" w:space="0" w:color="000000"/>
              <w:right w:val="single" w:sz="1" w:space="0" w:color="000000"/>
            </w:tcBorders>
            <w:vAlign w:val="center"/>
          </w:tcPr>
          <w:p w14:paraId="08714564" w14:textId="77777777" w:rsidR="00E10041" w:rsidRPr="00E10041" w:rsidRDefault="00E10041" w:rsidP="00E10041">
            <w:pPr>
              <w:spacing w:before="40" w:after="40"/>
              <w:rPr>
                <w:sz w:val="22"/>
                <w:szCs w:val="22"/>
              </w:rPr>
            </w:pPr>
            <w:r w:rsidRPr="00E10041">
              <w:rPr>
                <w:sz w:val="22"/>
                <w:szCs w:val="22"/>
              </w:rPr>
              <w:t>Not quantified</w:t>
            </w:r>
          </w:p>
        </w:tc>
        <w:tc>
          <w:tcPr>
            <w:tcW w:w="1800" w:type="dxa"/>
            <w:tcBorders>
              <w:top w:val="single" w:sz="1" w:space="0" w:color="000000"/>
              <w:left w:val="single" w:sz="1" w:space="0" w:color="000000"/>
              <w:bottom w:val="single" w:sz="1" w:space="0" w:color="000000"/>
              <w:right w:val="single" w:sz="1" w:space="0" w:color="000000"/>
            </w:tcBorders>
            <w:vAlign w:val="center"/>
          </w:tcPr>
          <w:p w14:paraId="7C7FB57D" w14:textId="77777777" w:rsidR="00E10041" w:rsidRPr="00E10041" w:rsidRDefault="00E10041" w:rsidP="00E10041">
            <w:pPr>
              <w:spacing w:before="40" w:after="40"/>
              <w:rPr>
                <w:sz w:val="22"/>
                <w:szCs w:val="22"/>
              </w:rPr>
            </w:pPr>
            <w:r w:rsidRPr="00E10041">
              <w:rPr>
                <w:sz w:val="22"/>
                <w:szCs w:val="22"/>
              </w:rPr>
              <w:t>Review of Construction 4.0 applications</w:t>
            </w:r>
          </w:p>
        </w:tc>
        <w:tc>
          <w:tcPr>
            <w:tcW w:w="1560" w:type="dxa"/>
            <w:tcBorders>
              <w:top w:val="single" w:sz="1" w:space="0" w:color="000000"/>
              <w:left w:val="single" w:sz="1" w:space="0" w:color="000000"/>
              <w:bottom w:val="single" w:sz="1" w:space="0" w:color="000000"/>
              <w:right w:val="single" w:sz="1" w:space="0" w:color="000000"/>
            </w:tcBorders>
            <w:vAlign w:val="center"/>
          </w:tcPr>
          <w:p w14:paraId="4A626409" w14:textId="77777777" w:rsidR="00E10041" w:rsidRPr="00E10041" w:rsidRDefault="00E10041" w:rsidP="00E10041">
            <w:pPr>
              <w:spacing w:before="40" w:after="40"/>
              <w:rPr>
                <w:sz w:val="22"/>
                <w:szCs w:val="22"/>
              </w:rPr>
            </w:pPr>
            <w:r w:rsidRPr="00E10041">
              <w:rPr>
                <w:sz w:val="22"/>
                <w:szCs w:val="22"/>
              </w:rPr>
              <w:t>Not reported; model development challenges noted</w:t>
            </w:r>
          </w:p>
        </w:tc>
      </w:tr>
      <w:tr w:rsidR="00E10041" w14:paraId="57F4E8AE" w14:textId="77777777" w:rsidTr="00E10041">
        <w:tc>
          <w:tcPr>
            <w:tcW w:w="1400" w:type="dxa"/>
            <w:tcBorders>
              <w:top w:val="single" w:sz="1" w:space="0" w:color="000000"/>
              <w:left w:val="single" w:sz="1" w:space="0" w:color="000000"/>
              <w:bottom w:val="single" w:sz="1" w:space="0" w:color="000000"/>
              <w:right w:val="single" w:sz="1" w:space="0" w:color="000000"/>
            </w:tcBorders>
            <w:vAlign w:val="center"/>
          </w:tcPr>
          <w:p w14:paraId="331680E1" w14:textId="77777777" w:rsidR="00E10041" w:rsidRPr="00E10041" w:rsidRDefault="00E10041" w:rsidP="00E10041">
            <w:pPr>
              <w:spacing w:before="40" w:after="40"/>
              <w:rPr>
                <w:sz w:val="22"/>
                <w:szCs w:val="22"/>
              </w:rPr>
            </w:pPr>
            <w:r w:rsidRPr="00E10041">
              <w:rPr>
                <w:sz w:val="22"/>
                <w:szCs w:val="22"/>
              </w:rPr>
              <w:t>Zhang et al. (2024)</w:t>
            </w:r>
          </w:p>
        </w:tc>
        <w:tc>
          <w:tcPr>
            <w:tcW w:w="1600" w:type="dxa"/>
            <w:tcBorders>
              <w:top w:val="single" w:sz="1" w:space="0" w:color="000000"/>
              <w:left w:val="single" w:sz="1" w:space="0" w:color="000000"/>
              <w:bottom w:val="single" w:sz="1" w:space="0" w:color="000000"/>
              <w:right w:val="single" w:sz="1" w:space="0" w:color="000000"/>
            </w:tcBorders>
            <w:vAlign w:val="center"/>
          </w:tcPr>
          <w:p w14:paraId="015AFA0E" w14:textId="77777777" w:rsidR="00E10041" w:rsidRPr="00E10041" w:rsidRDefault="00E10041" w:rsidP="00E10041">
            <w:pPr>
              <w:spacing w:before="40" w:after="40"/>
              <w:rPr>
                <w:sz w:val="22"/>
                <w:szCs w:val="22"/>
              </w:rPr>
            </w:pPr>
            <w:r w:rsidRPr="00E10041">
              <w:rPr>
                <w:sz w:val="22"/>
                <w:szCs w:val="22"/>
              </w:rPr>
              <w:t>Not specified; DTBA for sustainable development</w:t>
            </w:r>
          </w:p>
        </w:tc>
        <w:tc>
          <w:tcPr>
            <w:tcW w:w="1600" w:type="dxa"/>
            <w:tcBorders>
              <w:top w:val="single" w:sz="1" w:space="0" w:color="000000"/>
              <w:left w:val="single" w:sz="1" w:space="0" w:color="000000"/>
              <w:bottom w:val="single" w:sz="1" w:space="0" w:color="000000"/>
              <w:right w:val="single" w:sz="1" w:space="0" w:color="000000"/>
            </w:tcBorders>
            <w:vAlign w:val="center"/>
          </w:tcPr>
          <w:p w14:paraId="1A37950C" w14:textId="77777777" w:rsidR="00E10041" w:rsidRPr="00E10041" w:rsidRDefault="00E10041" w:rsidP="00E10041">
            <w:pPr>
              <w:spacing w:before="40" w:after="40"/>
              <w:rPr>
                <w:sz w:val="22"/>
                <w:szCs w:val="22"/>
              </w:rPr>
            </w:pPr>
            <w:r w:rsidRPr="00E10041">
              <w:rPr>
                <w:sz w:val="22"/>
                <w:szCs w:val="22"/>
              </w:rPr>
              <w:t>Predictive analytics (implied)</w:t>
            </w:r>
          </w:p>
        </w:tc>
        <w:tc>
          <w:tcPr>
            <w:tcW w:w="1400" w:type="dxa"/>
            <w:tcBorders>
              <w:top w:val="single" w:sz="1" w:space="0" w:color="000000"/>
              <w:left w:val="single" w:sz="1" w:space="0" w:color="000000"/>
              <w:bottom w:val="single" w:sz="1" w:space="0" w:color="000000"/>
              <w:right w:val="single" w:sz="1" w:space="0" w:color="000000"/>
            </w:tcBorders>
            <w:vAlign w:val="center"/>
          </w:tcPr>
          <w:p w14:paraId="615DBC68" w14:textId="77777777" w:rsidR="00E10041" w:rsidRPr="00E10041" w:rsidRDefault="00E10041" w:rsidP="00E10041">
            <w:pPr>
              <w:spacing w:before="40" w:after="40"/>
              <w:rPr>
                <w:sz w:val="22"/>
                <w:szCs w:val="22"/>
              </w:rPr>
            </w:pPr>
            <w:r w:rsidRPr="00E10041">
              <w:rPr>
                <w:sz w:val="22"/>
                <w:szCs w:val="22"/>
              </w:rPr>
              <w:t>Not quantified</w:t>
            </w:r>
          </w:p>
        </w:tc>
        <w:tc>
          <w:tcPr>
            <w:tcW w:w="1800" w:type="dxa"/>
            <w:tcBorders>
              <w:top w:val="single" w:sz="1" w:space="0" w:color="000000"/>
              <w:left w:val="single" w:sz="1" w:space="0" w:color="000000"/>
              <w:bottom w:val="single" w:sz="1" w:space="0" w:color="000000"/>
              <w:right w:val="single" w:sz="1" w:space="0" w:color="000000"/>
            </w:tcBorders>
            <w:vAlign w:val="center"/>
          </w:tcPr>
          <w:p w14:paraId="6411DF52" w14:textId="77777777" w:rsidR="00E10041" w:rsidRPr="00E10041" w:rsidRDefault="00E10041" w:rsidP="00E10041">
            <w:pPr>
              <w:spacing w:before="40" w:after="40"/>
              <w:rPr>
                <w:sz w:val="22"/>
                <w:szCs w:val="22"/>
              </w:rPr>
            </w:pPr>
            <w:r w:rsidRPr="00E10041">
              <w:rPr>
                <w:sz w:val="22"/>
                <w:szCs w:val="22"/>
              </w:rPr>
              <w:t>Energy and environmental management focus</w:t>
            </w:r>
          </w:p>
        </w:tc>
        <w:tc>
          <w:tcPr>
            <w:tcW w:w="1560" w:type="dxa"/>
            <w:tcBorders>
              <w:top w:val="single" w:sz="1" w:space="0" w:color="000000"/>
              <w:left w:val="single" w:sz="1" w:space="0" w:color="000000"/>
              <w:bottom w:val="single" w:sz="1" w:space="0" w:color="000000"/>
              <w:right w:val="single" w:sz="1" w:space="0" w:color="000000"/>
            </w:tcBorders>
            <w:vAlign w:val="center"/>
          </w:tcPr>
          <w:p w14:paraId="1CB146C6" w14:textId="77777777" w:rsidR="00E10041" w:rsidRPr="00E10041" w:rsidRDefault="00E10041" w:rsidP="00E10041">
            <w:pPr>
              <w:spacing w:before="40" w:after="40"/>
              <w:rPr>
                <w:sz w:val="22"/>
                <w:szCs w:val="22"/>
              </w:rPr>
            </w:pPr>
            <w:r w:rsidRPr="00E10041">
              <w:rPr>
                <w:sz w:val="22"/>
                <w:szCs w:val="22"/>
              </w:rPr>
              <w:t>Not reported; data interoperability innovations needed</w:t>
            </w:r>
          </w:p>
        </w:tc>
      </w:tr>
    </w:tbl>
    <w:p w14:paraId="0F800947" w14:textId="3DF0ABA1" w:rsidR="00591541" w:rsidRDefault="00E10041" w:rsidP="004B616E">
      <w:pPr>
        <w:spacing w:before="200"/>
        <w:rPr>
          <w:i/>
          <w:iCs/>
          <w:sz w:val="20"/>
          <w:szCs w:val="20"/>
        </w:rPr>
      </w:pPr>
      <w:r w:rsidRPr="00DF23BB">
        <w:rPr>
          <w:i/>
          <w:iCs/>
          <w:sz w:val="20"/>
          <w:szCs w:val="20"/>
        </w:rPr>
        <w:t>Source: Systematic review via Elicit (2025); n=10 studies.</w:t>
      </w:r>
    </w:p>
    <w:p w14:paraId="3C7C1A99" w14:textId="312FBD5B" w:rsidR="00C81451" w:rsidRDefault="00E10041" w:rsidP="004B616E">
      <w:pPr>
        <w:spacing w:before="200"/>
        <w:rPr>
          <w:i/>
          <w:iCs/>
          <w:sz w:val="20"/>
          <w:szCs w:val="20"/>
        </w:rPr>
      </w:pPr>
      <w:r w:rsidRPr="00DF23BB">
        <w:rPr>
          <w:i/>
          <w:iCs/>
          <w:sz w:val="20"/>
          <w:szCs w:val="20"/>
        </w:rPr>
        <w:t>Note: Only 3/10 studies (30%) provided technical API integration details, indicating significant underreporting in the field.</w:t>
      </w:r>
    </w:p>
    <w:p w14:paraId="6DECD18B" w14:textId="77777777" w:rsidR="00591541" w:rsidRPr="001E7B2F" w:rsidRDefault="00591541" w:rsidP="001E7B2F">
      <w:pPr>
        <w:spacing w:before="200"/>
        <w:rPr>
          <w:sz w:val="20"/>
          <w:szCs w:val="20"/>
        </w:rPr>
      </w:pPr>
    </w:p>
    <w:p w14:paraId="49F52E25" w14:textId="5CDA2605" w:rsidR="00C81451" w:rsidRDefault="00C43D8E" w:rsidP="00C81451">
      <w:pPr>
        <w:spacing w:after="200" w:line="360" w:lineRule="auto"/>
      </w:pPr>
      <w:r>
        <w:t>T</w:t>
      </w:r>
      <w:r w:rsidR="00C81451">
        <w:t xml:space="preserve">his systematic review evidence requires cautious interpretation. Several methodological limitations constrain generalisability: sample sizes were typically </w:t>
      </w:r>
      <w:r w:rsidR="00C81451">
        <w:lastRenderedPageBreak/>
        <w:t xml:space="preserve">small (fewer than five buildings per study), study durations varied substantially from three to twenty-four months, and baseline conditions differed markedly across implementations. Critically, only three of ten studies provided adequate API integration technical details, representing a significant reporting gap that limits practical replication by practitioners seeking to implement similar solutions. </w:t>
      </w:r>
      <w:r>
        <w:t>P</w:t>
      </w:r>
      <w:r w:rsidR="00C81451">
        <w:t>ublication bias likely inflates reported savings, as unsuccessful implementations rarely reach peer-reviewed literature</w:t>
      </w:r>
      <w:r w:rsidR="008D6920">
        <w:t xml:space="preserve">, </w:t>
      </w:r>
      <w:r w:rsidR="00C81451">
        <w:t>a limitation acknowledged in broader technology evaluation research but insufficiently addressed in Digital Twin studies. The reported 10</w:t>
      </w:r>
      <w:r w:rsidR="008D6920">
        <w:t>-</w:t>
      </w:r>
      <w:r w:rsidR="00C81451">
        <w:t>38% savings range should therefore be interpreted as representing optimistic rather than typical outcomes, with real-world implementations likely achieving results toward the lower end of this range, particularly in existing buildings with legacy infrastructure constraints.</w:t>
      </w:r>
    </w:p>
    <w:p w14:paraId="5D297A81" w14:textId="00153DEC" w:rsidR="008A4121" w:rsidRDefault="008A4121" w:rsidP="00C81451">
      <w:pPr>
        <w:spacing w:after="200" w:line="360" w:lineRule="auto"/>
      </w:pPr>
      <w:r>
        <w:t>Multi-objective optimisation emerges as essential for sustainable M&amp;E management, balancing energy efficiency against occupant comfort, equipment longevity, and operational costs. Amangeldy et al. (2025) demonstrated that deep reinforcement learning agents achieved 10–35% HVAC demand reductions while maintaining operative temperatures within ±0.5°C of setpoints and CO₂ levels below 800 ppm, aligning with ASHRAE Standards 55 and 62.1. This dual optimisation proves critical because energy savings achieved through comfort degradation represent false economies that increase occupant complaints and may affect productivity. The 40% reduction in sick building complaints documented in AI-enhanced buildings validates that properly configured systems improve rather than compromise occupant wellbeing.</w:t>
      </w:r>
    </w:p>
    <w:p w14:paraId="1B4DA126" w14:textId="77777777" w:rsidR="008A4121" w:rsidRDefault="008A4121" w:rsidP="008A4121">
      <w:pPr>
        <w:spacing w:after="200" w:line="360" w:lineRule="auto"/>
      </w:pPr>
      <w:r>
        <w:t>The distinction between simulation-based and field-deployed results warrants critical examination. The systematic review synthesis noted that simulation studies consistently report higher energy savings than real-world implementations, with the Norwegian case providing higher confidence in its 20% reduction figure due to ten-month real-world validation compared to purely simulated projections. This simulation-to-field gap likely reflects idealised conditions in digital models that may not fully account for occupant behaviour variability, maintenance degradation of physical systems, and organisational constraints on system optimisation. Organisations planning implementations should therefore apply appropriate discount factors to simulation-based projections when developing business cases.</w:t>
      </w:r>
    </w:p>
    <w:p w14:paraId="0C2BF311" w14:textId="77777777" w:rsidR="008A4121" w:rsidRDefault="008A4121" w:rsidP="008A4121">
      <w:pPr>
        <w:pStyle w:val="Heading2"/>
      </w:pPr>
      <w:bookmarkStart w:id="30" w:name="_Toc220152175"/>
      <w:r>
        <w:lastRenderedPageBreak/>
        <w:t>2.5 Artificial Intelligence and API Integration</w:t>
      </w:r>
      <w:bookmarkEnd w:id="30"/>
    </w:p>
    <w:p w14:paraId="0D1898DD" w14:textId="61BDDF00" w:rsidR="008A4121" w:rsidRDefault="008A4121" w:rsidP="008A4121">
      <w:pPr>
        <w:spacing w:after="200" w:line="360" w:lineRule="auto"/>
      </w:pPr>
      <w:r>
        <w:t>The integration of Artificial Intelligence within Digital Twin frameworks enables transition from descriptive analytics toward predictive and prescriptive capabilities. Machine learning algorithms process sensor data streams to identify patterns invisible to traditional monitoring approaches, detecting anomalies indicative of impending equipment failures, optimising setpoints based on occupancy patterns, and forecasting energy demand to enable proactive load management. The systematic review identified three predominant AI approaches: supervised learning for prediction tasks achieving 87</w:t>
      </w:r>
      <w:r w:rsidR="008D6920">
        <w:t>-</w:t>
      </w:r>
      <w:r>
        <w:t>97% accuracy, deep reinforcement learning for real-time optimisation reducing HVAC demand by 10</w:t>
      </w:r>
      <w:r w:rsidR="008D6920">
        <w:t>-</w:t>
      </w:r>
      <w:r>
        <w:t>35%, and unsupervised learning for anomaly detection without predefined failure signatures.</w:t>
      </w:r>
    </w:p>
    <w:p w14:paraId="03AD06EB" w14:textId="670727D0" w:rsidR="008A4121" w:rsidRDefault="008A4121" w:rsidP="008A4121">
      <w:pPr>
        <w:spacing w:after="200" w:line="360" w:lineRule="auto"/>
      </w:pPr>
      <w:r>
        <w:t xml:space="preserve">Algorithm selection involves trade-offs between accuracy, computational requirements, and interpretability that organisations must navigate based on their specific contexts. Tang et al. (2019) review the integration of BIM and IoT devices, noting that successful implementations require careful consideration of data processing architectures that balance analytical sophistication against practical deployment constraints. Deep reinforcement learning excels at real-time HVAC optimisation but requires substantial computational resources potentially impractical for buildings with limited IT infrastructure. Supervised learners achieve lower computational overhead suitable for edge deployment in resource-constrained environments, as demonstrated by </w:t>
      </w:r>
      <w:r w:rsidR="00346FAB" w:rsidRPr="00346FAB">
        <w:t>Renganayagalu et al. (2024) who</w:t>
      </w:r>
      <w:r w:rsidR="007066BC">
        <w:t>se</w:t>
      </w:r>
      <w:r w:rsidR="00346FAB" w:rsidRPr="00346FAB">
        <w:t xml:space="preserve"> fully connected neural network achieved RMSE of 0.0028 using only 10 months of training data from 62 sensors</w:t>
      </w:r>
      <w:r w:rsidR="00346FAB">
        <w:t>.</w:t>
      </w:r>
    </w:p>
    <w:p w14:paraId="1FEF146E" w14:textId="77777777" w:rsidR="008A4121" w:rsidRDefault="008A4121" w:rsidP="008A4121">
      <w:pPr>
        <w:spacing w:after="200" w:line="360" w:lineRule="auto"/>
      </w:pPr>
      <w:r>
        <w:t>Application Programming Interfaces provide the connectivity layer enabling data exchange between building systems, Digital Twin platforms, and AI analytics engines. Jia et al. (2019) examine IoT adoption for smart building development, emphasising that API design significantly influences system interoperability and scalability. APIs function as standardised communication protocols that allow disparate software systems to share data and functionality without requiring direct integration of their underlying codebases. In building contexts, APIs enable sensor networks to transmit data to cloud platforms, allow AI models to receive inputs and return predictions, and facilitate integration between legacy Building Management Systems and contemporary analytics tools.</w:t>
      </w:r>
    </w:p>
    <w:p w14:paraId="05186D6F" w14:textId="77777777" w:rsidR="001C693C" w:rsidRDefault="00D46AD1" w:rsidP="001C693C">
      <w:pPr>
        <w:keepNext/>
        <w:spacing w:after="200" w:line="360" w:lineRule="auto"/>
      </w:pPr>
      <w:r>
        <w:rPr>
          <w:noProof/>
        </w:rPr>
        <w:lastRenderedPageBreak/>
        <w:drawing>
          <wp:inline distT="0" distB="0" distL="0" distR="0" wp14:anchorId="0C95AE91" wp14:editId="6682481A">
            <wp:extent cx="5731510" cy="2914650"/>
            <wp:effectExtent l="0" t="0" r="2540" b="0"/>
            <wp:docPr id="2799376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937636" name="Picture 1"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2914650"/>
                    </a:xfrm>
                    <a:prstGeom prst="rect">
                      <a:avLst/>
                    </a:prstGeom>
                  </pic:spPr>
                </pic:pic>
              </a:graphicData>
            </a:graphic>
          </wp:inline>
        </w:drawing>
      </w:r>
    </w:p>
    <w:p w14:paraId="180C3CF0" w14:textId="77777777" w:rsidR="00AE4BD9" w:rsidRPr="00861778" w:rsidRDefault="00AE4BD9" w:rsidP="00AE4BD9">
      <w:pPr>
        <w:pStyle w:val="Caption"/>
        <w:jc w:val="center"/>
        <w:rPr>
          <w:b/>
          <w:bCs/>
          <w:color w:val="000000" w:themeColor="text1"/>
          <w:sz w:val="20"/>
          <w:szCs w:val="20"/>
        </w:rPr>
      </w:pPr>
      <w:bookmarkStart w:id="31" w:name="_Toc220152005"/>
      <w:bookmarkStart w:id="32" w:name="_Toc223079110"/>
      <w:r w:rsidRPr="00861778">
        <w:rPr>
          <w:b/>
          <w:bCs/>
          <w:color w:val="000000" w:themeColor="text1"/>
          <w:sz w:val="20"/>
          <w:szCs w:val="20"/>
        </w:rPr>
        <w:t>Figure 2.1: Digital Twin Data Flow Architecture for M&amp;E Systems</w:t>
      </w:r>
      <w:bookmarkEnd w:id="31"/>
      <w:bookmarkEnd w:id="32"/>
      <w:r w:rsidRPr="00861778">
        <w:rPr>
          <w:b/>
          <w:bCs/>
          <w:color w:val="000000" w:themeColor="text1"/>
          <w:sz w:val="20"/>
          <w:szCs w:val="20"/>
        </w:rPr>
        <w:t xml:space="preserve"> </w:t>
      </w:r>
    </w:p>
    <w:p w14:paraId="1939CA89" w14:textId="68AE2C3F" w:rsidR="00D46AD1" w:rsidRPr="003E2818" w:rsidRDefault="00D46AD1" w:rsidP="00D46AD1">
      <w:pPr>
        <w:jc w:val="center"/>
        <w:rPr>
          <w:i/>
          <w:iCs/>
          <w:color w:val="000000" w:themeColor="text1"/>
          <w:sz w:val="20"/>
          <w:szCs w:val="20"/>
        </w:rPr>
      </w:pPr>
      <w:r w:rsidRPr="003E2818">
        <w:rPr>
          <w:i/>
          <w:iCs/>
          <w:color w:val="000000" w:themeColor="text1"/>
          <w:sz w:val="20"/>
          <w:szCs w:val="20"/>
        </w:rPr>
        <w:t>Source: Author's compilation, 202</w:t>
      </w:r>
      <w:r w:rsidR="00854952">
        <w:rPr>
          <w:i/>
          <w:iCs/>
          <w:color w:val="000000" w:themeColor="text1"/>
          <w:sz w:val="20"/>
          <w:szCs w:val="20"/>
        </w:rPr>
        <w:t>5</w:t>
      </w:r>
    </w:p>
    <w:p w14:paraId="175D3E2B" w14:textId="77777777" w:rsidR="00D46AD1" w:rsidRPr="00D46AD1" w:rsidRDefault="00D46AD1" w:rsidP="00D46AD1"/>
    <w:p w14:paraId="31EF7623" w14:textId="79A7324E" w:rsidR="008A4121" w:rsidRDefault="009B7DA7" w:rsidP="008A4121">
      <w:pPr>
        <w:spacing w:after="200" w:line="360" w:lineRule="auto"/>
      </w:pPr>
      <w:r w:rsidRPr="009B7DA7">
        <w:t>As noted in Section 2.4, the systematic review revealed a significant documentation gap in API integration reporting</w:t>
      </w:r>
      <w:r w:rsidR="008A4121">
        <w:t>, with implementations employing REST APIs for system connectivity, NGSI-LD standards for data normalisation, and JSON formats for data exchange. Arsiwala et al. (2023) documented Azure Digital Twin deployment using REST API connectivity with DTDL language and JSON syntax for a residential building in Belfast, while Renganayagalu et al. (2024) demonstrated FIWARE technology stack implementation enabling standardised data exchange despite diverse sensor manufacturers. Metallidou, Psannis and Egyptiadou (2020) review IoT approaches to energy efficiency in smart buildings, confirming that interoperability challenges arising from proprietary protocols represent a primary barrier to scaling implementations beyond pilot projects.</w:t>
      </w:r>
    </w:p>
    <w:p w14:paraId="4A93DCB4" w14:textId="1E9DF959" w:rsidR="008A4121" w:rsidRDefault="008A4121" w:rsidP="008A4121">
      <w:pPr>
        <w:spacing w:after="200" w:line="360" w:lineRule="auto"/>
      </w:pPr>
      <w:r>
        <w:t xml:space="preserve">This underreporting of API-level integration details represents a critical knowledge gap with practical consequences. Without documented integration architectures, organisations attempting Digital Twin implementation lack guidance on connecting legacy Building Management Systems with modern IoT devices and cloud analytics platforms. </w:t>
      </w:r>
      <w:r w:rsidR="00744926" w:rsidRPr="00744926">
        <w:t xml:space="preserve">Boje et al. (2020) </w:t>
      </w:r>
      <w:r>
        <w:t xml:space="preserve">call for standardised Digital Twin frameworks that address interoperability challenges through open protocols and reference architectures, yet practical implementation guidance remains sparse. The research community's call for open high-fidelity benchmarks reflects recognition that </w:t>
      </w:r>
      <w:r>
        <w:lastRenderedPageBreak/>
        <w:t>comparing Digital Twin performance across buildings requires standardised metrics and datasets that current literature does not provide.</w:t>
      </w:r>
    </w:p>
    <w:p w14:paraId="2586C3E1" w14:textId="77777777" w:rsidR="008A4121" w:rsidRDefault="008A4121" w:rsidP="008A4121">
      <w:pPr>
        <w:pStyle w:val="Heading2"/>
      </w:pPr>
      <w:bookmarkStart w:id="33" w:name="_Toc220152176"/>
      <w:r>
        <w:t>2.6 Technology Adoption Perspectives</w:t>
      </w:r>
      <w:bookmarkEnd w:id="33"/>
    </w:p>
    <w:p w14:paraId="3E154416" w14:textId="0BD53259" w:rsidR="008A4121" w:rsidRDefault="008A4121" w:rsidP="008A4121">
      <w:pPr>
        <w:spacing w:after="200" w:line="360" w:lineRule="auto"/>
      </w:pPr>
      <w:r>
        <w:t xml:space="preserve">Understanding Digital Twin adoption requires theoretical frameworks explaining how organisations evaluate and implement </w:t>
      </w:r>
      <w:r w:rsidR="00911421">
        <w:t>modern technologies</w:t>
      </w:r>
      <w:r>
        <w:t xml:space="preserve">. Davis (1989) introduced the Technology Acceptance Model (TAM), proposing that perceived usefulness and perceived ease of use determine technology adoption intentions. While developed for individual technology use, TAM's core constructs translate to organisational contexts where decision-makers assess whether Digital Twin investments will deliver sufficient value to justify implementation effort. </w:t>
      </w:r>
      <w:r w:rsidR="00955C7A" w:rsidRPr="00955C7A">
        <w:t>The systematic review findings on energy savings (10</w:t>
      </w:r>
      <w:r w:rsidR="009B7E07">
        <w:t>-</w:t>
      </w:r>
      <w:r w:rsidR="00955C7A" w:rsidRPr="00955C7A">
        <w:t>38%) address perceived usefulness directly.</w:t>
      </w:r>
    </w:p>
    <w:p w14:paraId="50E1E66B" w14:textId="3AB3B8FA" w:rsidR="008A4121" w:rsidRDefault="008A4121" w:rsidP="008A4121">
      <w:pPr>
        <w:spacing w:after="200" w:line="360" w:lineRule="auto"/>
      </w:pPr>
      <w:r>
        <w:t>Venkatesh et al. (2003) extended TAM through the Unified Theory of Acceptance and Use of Technology (UTAUT), incorporating performance expectancy, effort expectancy, social influence, and facilitating conditions as determinants of adoption. For Digital Twin implementation in FE contexts, facilitating conditions</w:t>
      </w:r>
      <w:r w:rsidR="009B7E07">
        <w:t xml:space="preserve">, </w:t>
      </w:r>
      <w:r>
        <w:t>including organisational infrastructure, technical support, and resource availability</w:t>
      </w:r>
      <w:r w:rsidR="009B7E07">
        <w:t xml:space="preserve">, </w:t>
      </w:r>
      <w:r>
        <w:t>may prove particularly influential given documented constraints on public sector IT investment and specialist staffing. Social influence manifests through peer institution adoption, professional body advocacy, and policy mandates that collectively shape perceptions of Digital Twin legitimacy and urgency.</w:t>
      </w:r>
    </w:p>
    <w:p w14:paraId="05517C54" w14:textId="7E4356FC" w:rsidR="008A4121" w:rsidRDefault="008A4121" w:rsidP="008A4121">
      <w:pPr>
        <w:spacing w:after="200" w:line="360" w:lineRule="auto"/>
      </w:pPr>
      <w:r>
        <w:t>Rogers (2003) provides complementary perspective through Diffusion of Innovations theory, characterising adoption patterns through innovator, early adopter, early majority, late majority, and laggard categories. Current Digital Twin adoption in existing buildings appears concentrated among innovators and early adopters, with the systematic review documenting primarily pilot implementations rather than mainstream deployment. Rogers identifies relative advantage, compatibility, complexity, trialability, and observability as innovation characteristics influencing diffusion rates</w:t>
      </w:r>
      <w:r w:rsidR="009B7E07">
        <w:t xml:space="preserve">, </w:t>
      </w:r>
      <w:r>
        <w:t>each applicable to Digital Twin assessment. The documented energy savings establish relative advantage, while interoperability challenges with legacy systems constrain compatibility, and limited case study documentation reduces observability for prospective adopters.</w:t>
      </w:r>
    </w:p>
    <w:p w14:paraId="221B53BF" w14:textId="77777777" w:rsidR="008A4121" w:rsidRDefault="008A4121" w:rsidP="008A4121">
      <w:pPr>
        <w:pStyle w:val="Heading2"/>
      </w:pPr>
      <w:bookmarkStart w:id="34" w:name="_Toc220152177"/>
      <w:r>
        <w:lastRenderedPageBreak/>
        <w:t>2.7 Policy and Regulatory Context</w:t>
      </w:r>
      <w:bookmarkEnd w:id="34"/>
    </w:p>
    <w:p w14:paraId="0D6886D4" w14:textId="77777777" w:rsidR="008A4121" w:rsidRDefault="008A4121" w:rsidP="008A4121">
      <w:pPr>
        <w:spacing w:after="200" w:line="360" w:lineRule="auto"/>
      </w:pPr>
      <w:r>
        <w:t>UK policy frameworks increasingly mandate operational performance monitoring, creating regulatory drivers for Digital Twin adoption. The UK Net Zero Strategy (2021) requires public sector organisations to demonstrate measurable progress toward carbon reduction targets, with building operations representing a significant component of organisational emissions. The Infrastructure and Projects Authority (2021) Transforming Infrastructure Performance roadmap explicitly identifies Digital Twins as enabling technologies for infrastructure optimisation, though building-specific implementation guidance remains underdeveloped. The Energy Performance of Buildings Directive establishes minimum standards applicable to existing buildings during major renovation, while ISO 19650 provides information management standards for building lifecycle data that increasingly inform procurement requirements.</w:t>
      </w:r>
    </w:p>
    <w:p w14:paraId="7E092E95" w14:textId="65933F37" w:rsidR="008A4121" w:rsidRDefault="008A4121" w:rsidP="008A4121">
      <w:pPr>
        <w:spacing w:after="200" w:line="360" w:lineRule="auto"/>
      </w:pPr>
      <w:r>
        <w:t xml:space="preserve">The UK construction industry has historically struggled with innovation adoption, as documented in seminal policy reviews. Egan (1998) identified fragmentation, adversarial relationships, and insufficient investment in people and technology as systemic barriers to industry improvement. </w:t>
      </w:r>
      <w:r w:rsidR="007066BC" w:rsidRPr="007066BC">
        <w:t xml:space="preserve">Construction 2025 </w:t>
      </w:r>
      <w:r>
        <w:t>(HM Government, 2013) established ambitions for 50% faster delivery, 50% lower emissions, and 50% improvement in exports, with digital technologies positioned as enablers. However, Ghaffarianhoseini et al. (2017) note that BIM adoption</w:t>
      </w:r>
      <w:r w:rsidR="009B7E07">
        <w:t xml:space="preserve">, </w:t>
      </w:r>
      <w:r>
        <w:t>a prerequisite for Digital Twin implementation</w:t>
      </w:r>
      <w:r w:rsidR="009B7E07">
        <w:t xml:space="preserve">, </w:t>
      </w:r>
      <w:r>
        <w:t>remains uneven across the sector, with smaller organisations and existing building portfolios particularly underserved by available guidance and tools.</w:t>
      </w:r>
    </w:p>
    <w:p w14:paraId="414CF37A" w14:textId="77777777" w:rsidR="008A4121" w:rsidRDefault="008A4121" w:rsidP="008A4121">
      <w:pPr>
        <w:spacing w:after="200" w:line="360" w:lineRule="auto"/>
      </w:pPr>
      <w:r>
        <w:t xml:space="preserve">Further Education institutions occupy a particular position within this regulatory landscape, subject to public sector carbon reduction mandates while operating buildings of varied age, condition, and technological capability. Welsh Government (2021) commitment to net-zero public sector by 2030 creates urgency for FE colleges to identify scalable solutions applicable across diverse campus estates. The Salix Finance mechanism provides capital funding for energy efficiency improvements in public buildings, yet funding criteria may not align with Digital Twin implementation pathways that deliver benefits through operational optimisation rather than physical asset replacement. The Wellbeing of Future Generations (Wales) Act 2015 provides additional policy context, requiring public bodies to </w:t>
      </w:r>
      <w:r>
        <w:lastRenderedPageBreak/>
        <w:t>consider long-term sustainability implications, though translating these frameworks into practical Digital Twin guidance remains underdeveloped.</w:t>
      </w:r>
    </w:p>
    <w:p w14:paraId="40257825" w14:textId="77777777" w:rsidR="008A4121" w:rsidRDefault="008A4121" w:rsidP="008A4121">
      <w:pPr>
        <w:spacing w:after="200" w:line="360" w:lineRule="auto"/>
      </w:pPr>
      <w:r>
        <w:t>Cybersecurity considerations increasingly influence Digital Twin implementation decisions as connected building systems create attack surfaces previously absent from isolated M&amp;E infrastructure. The CIBSE (2023) guidance on embodied carbon calculation methodology acknowledges the growing importance of operational data management but provides limited direction on security architectures for building system connectivity. The systematic review identified cybersecurity as a significant adoption barrier, with legacy building automation systems demonstrating poor security postures due to original designs predating contemporary threat landscapes.</w:t>
      </w:r>
    </w:p>
    <w:p w14:paraId="787F01B3" w14:textId="77777777" w:rsidR="008A4121" w:rsidRDefault="008A4121" w:rsidP="008A4121">
      <w:pPr>
        <w:pStyle w:val="Heading2"/>
      </w:pPr>
      <w:bookmarkStart w:id="35" w:name="_Toc220152178"/>
      <w:r>
        <w:t>2.8 Human and Organisational Readiness</w:t>
      </w:r>
      <w:bookmarkEnd w:id="35"/>
    </w:p>
    <w:p w14:paraId="3B711D33" w14:textId="77777777" w:rsidR="008A4121" w:rsidRDefault="008A4121" w:rsidP="008A4121">
      <w:pPr>
        <w:spacing w:after="200" w:line="360" w:lineRule="auto"/>
      </w:pPr>
      <w:r>
        <w:t>Technological capability alone proves insufficient for successful Digital Twin implementation; organisational factors including skills availability, leadership commitment, and change management capacity significantly influence outcomes. Boje et al. (2020) emphasised that technological success depends equally on human factors, noting that staff engagement and digital readiness determine whether sophisticated systems achieve intended benefits or remain underutilised. Kotter (2012) provides an established framework for organisational change management, identifying eight stages from establishing urgency through anchoring changes in culture. Digital Twin implementation represents significant organisational change requiring attention to each stage, yet building sector literature rarely engages with change management theory.</w:t>
      </w:r>
    </w:p>
    <w:p w14:paraId="7D79FA07" w14:textId="79D13DE2" w:rsidR="008A4121" w:rsidRDefault="008A4121" w:rsidP="008A4121">
      <w:pPr>
        <w:spacing w:after="200" w:line="360" w:lineRule="auto"/>
      </w:pPr>
      <w:r>
        <w:t xml:space="preserve">The digital skills gap represents a persistent barrier across the construction and facilities management sectors. Pärn, </w:t>
      </w:r>
      <w:r w:rsidR="006A1981">
        <w:t>Edwards,</w:t>
      </w:r>
      <w:r>
        <w:t xml:space="preserve"> and Sing (2017) examine BIM trajectory in facilities management, identifying skills deficits as constraining adoption despite recognised benefits. Matarneh et al. (2019) confirm that FM organisations frequently lack personnel capable of interpreting BIM data for operational decision-making, a challenge that intensifies for AI-enhanced Digital Twins requiring additional data science competencies. Training requirements extend beyond technical competencies to encompass data literacy enabling non-specialist stakeholders to engage meaningfully with Digital Twin insights for decision-making purposes.</w:t>
      </w:r>
    </w:p>
    <w:p w14:paraId="4B79C9D7" w14:textId="6B90D4F9" w:rsidR="008A4121" w:rsidRDefault="008A4121" w:rsidP="008A4121">
      <w:pPr>
        <w:spacing w:after="200" w:line="360" w:lineRule="auto"/>
      </w:pPr>
      <w:r>
        <w:lastRenderedPageBreak/>
        <w:t>Professional development pathways for existing facilities management staff require consideration alongside recruitment strategies. Kensek (2015) documents BIM guidelines informing facilities management databases, noting the importance of sustained engagement rather than one-time training interventions.</w:t>
      </w:r>
      <w:r w:rsidR="00955C7A">
        <w:t xml:space="preserve"> </w:t>
      </w:r>
      <w:r>
        <w:t>Strategies addressing this talent challenge may include partnerships with universities and colleges for training programme development, use of managed service providers to supplement internal capabilities, and design of systems requiring minimal specialist intervention through automated operation and intuitive interfaces.</w:t>
      </w:r>
    </w:p>
    <w:p w14:paraId="1A411B25" w14:textId="77777777" w:rsidR="008A4121" w:rsidRDefault="008A4121" w:rsidP="008A4121">
      <w:pPr>
        <w:pStyle w:val="Heading2"/>
      </w:pPr>
      <w:bookmarkStart w:id="36" w:name="_Toc220152179"/>
      <w:r>
        <w:t>2.9 Conceptual Framework</w:t>
      </w:r>
      <w:bookmarkEnd w:id="36"/>
    </w:p>
    <w:p w14:paraId="0AD736B0" w14:textId="3789186C" w:rsidR="00025A4C" w:rsidRDefault="008A4121" w:rsidP="008A4121">
      <w:pPr>
        <w:spacing w:after="200" w:line="360" w:lineRule="auto"/>
      </w:pPr>
      <w:r>
        <w:t>The three-domain conceptual framework synthesises literature findings into an analytical structure for examining AI-enabled Digital Twin implementation in Further Education buildings. This framework draws on sociotechnical systems theory, which posits that organisational performance depends on joint optimisation of social and technical subsystems rather than independent optimisation of</w:t>
      </w:r>
      <w:r w:rsidR="00CF2F4B">
        <w:t xml:space="preserve"> either one</w:t>
      </w:r>
      <w:r>
        <w:t xml:space="preserve"> </w:t>
      </w:r>
      <w:r w:rsidR="00CF2F4B">
        <w:t>(</w:t>
      </w:r>
      <w:r>
        <w:t>Boje et al., 2020). Applying this perspective to Digital Twin implementation suggests that technological excellence without corresponding organisational capability yields suboptimal outcomes, while organisational readiness cannot compensate for inadequate technological infrastructure. The policy domain extends this dyadic relationship to include external environmental factors that shape the context within which sociotechnical systems operate.</w:t>
      </w:r>
    </w:p>
    <w:p w14:paraId="24FC1BAF" w14:textId="77777777" w:rsidR="001C693C" w:rsidRDefault="00025A4C" w:rsidP="001C693C">
      <w:pPr>
        <w:keepNext/>
        <w:spacing w:after="200" w:line="360" w:lineRule="auto"/>
        <w:jc w:val="center"/>
      </w:pPr>
      <w:r>
        <w:rPr>
          <w:noProof/>
        </w:rPr>
        <w:drawing>
          <wp:inline distT="0" distB="0" distL="0" distR="0" wp14:anchorId="6522E989" wp14:editId="285C6A4E">
            <wp:extent cx="5130631" cy="2814320"/>
            <wp:effectExtent l="0" t="0" r="0" b="5080"/>
            <wp:docPr id="957253984" name="Picture 4"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253984" name="Picture 4" descr="A diagram of a diagram&#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262321" cy="2886556"/>
                    </a:xfrm>
                    <a:prstGeom prst="rect">
                      <a:avLst/>
                    </a:prstGeom>
                  </pic:spPr>
                </pic:pic>
              </a:graphicData>
            </a:graphic>
          </wp:inline>
        </w:drawing>
      </w:r>
    </w:p>
    <w:p w14:paraId="62A98CEB" w14:textId="203A8FB3" w:rsidR="00AE4BD9" w:rsidRPr="00DB608F" w:rsidRDefault="00AE4BD9" w:rsidP="00AE4BD9">
      <w:pPr>
        <w:pStyle w:val="Caption"/>
        <w:jc w:val="center"/>
        <w:rPr>
          <w:b/>
          <w:bCs/>
          <w:color w:val="auto"/>
          <w:sz w:val="20"/>
          <w:szCs w:val="20"/>
        </w:rPr>
      </w:pPr>
      <w:bookmarkStart w:id="37" w:name="_Toc220152006"/>
      <w:bookmarkStart w:id="38" w:name="_Toc223075548"/>
      <w:bookmarkStart w:id="39" w:name="_Toc223079111"/>
      <w:r w:rsidRPr="00DB608F">
        <w:rPr>
          <w:b/>
          <w:bCs/>
          <w:color w:val="auto"/>
          <w:sz w:val="20"/>
          <w:szCs w:val="20"/>
        </w:rPr>
        <w:t xml:space="preserve">Figure </w:t>
      </w:r>
      <w:r>
        <w:rPr>
          <w:b/>
          <w:bCs/>
          <w:color w:val="auto"/>
          <w:sz w:val="20"/>
          <w:szCs w:val="20"/>
        </w:rPr>
        <w:t>2.</w:t>
      </w:r>
      <w:r w:rsidR="00FB6993">
        <w:rPr>
          <w:b/>
          <w:bCs/>
          <w:color w:val="auto"/>
          <w:sz w:val="20"/>
          <w:szCs w:val="20"/>
        </w:rPr>
        <w:t>2</w:t>
      </w:r>
      <w:r>
        <w:rPr>
          <w:b/>
          <w:bCs/>
          <w:color w:val="auto"/>
          <w:sz w:val="20"/>
          <w:szCs w:val="20"/>
        </w:rPr>
        <w:t>:</w:t>
      </w:r>
      <w:r w:rsidRPr="00DB608F">
        <w:rPr>
          <w:b/>
          <w:bCs/>
          <w:color w:val="auto"/>
          <w:sz w:val="20"/>
          <w:szCs w:val="20"/>
        </w:rPr>
        <w:t xml:space="preserve"> Three-Domain Conceptual Framework</w:t>
      </w:r>
      <w:bookmarkEnd w:id="37"/>
      <w:bookmarkEnd w:id="38"/>
      <w:bookmarkEnd w:id="39"/>
    </w:p>
    <w:p w14:paraId="182DABF2" w14:textId="39811D8E" w:rsidR="00DF23BB" w:rsidRDefault="00DF23BB" w:rsidP="00DF23BB">
      <w:pPr>
        <w:spacing w:after="120"/>
        <w:jc w:val="center"/>
      </w:pPr>
      <w:r>
        <w:rPr>
          <w:i/>
          <w:iCs/>
          <w:sz w:val="20"/>
          <w:szCs w:val="20"/>
        </w:rPr>
        <w:t>Source: Synthesis from literature review</w:t>
      </w:r>
      <w:r w:rsidR="00854952">
        <w:rPr>
          <w:i/>
          <w:iCs/>
          <w:sz w:val="20"/>
          <w:szCs w:val="20"/>
        </w:rPr>
        <w:t>,</w:t>
      </w:r>
      <w:r w:rsidR="003E2818">
        <w:rPr>
          <w:i/>
          <w:iCs/>
          <w:sz w:val="20"/>
          <w:szCs w:val="20"/>
        </w:rPr>
        <w:t xml:space="preserve"> 202</w:t>
      </w:r>
      <w:r w:rsidR="00854952">
        <w:rPr>
          <w:i/>
          <w:iCs/>
          <w:sz w:val="20"/>
          <w:szCs w:val="20"/>
        </w:rPr>
        <w:t>5</w:t>
      </w:r>
    </w:p>
    <w:p w14:paraId="0B49C0D9" w14:textId="77777777" w:rsidR="00CB0805" w:rsidRDefault="00CB0805" w:rsidP="008A4121">
      <w:pPr>
        <w:spacing w:after="200" w:line="360" w:lineRule="auto"/>
      </w:pPr>
    </w:p>
    <w:p w14:paraId="55F73059" w14:textId="0BEBA88E" w:rsidR="007900BB" w:rsidRPr="007900BB" w:rsidRDefault="007900BB" w:rsidP="007900BB">
      <w:pPr>
        <w:pStyle w:val="Caption"/>
        <w:keepNext/>
        <w:rPr>
          <w:b/>
          <w:bCs/>
          <w:color w:val="auto"/>
          <w:sz w:val="20"/>
          <w:szCs w:val="20"/>
        </w:rPr>
      </w:pPr>
      <w:bookmarkStart w:id="40" w:name="_Toc220151983"/>
      <w:bookmarkStart w:id="41" w:name="_Toc223077216"/>
      <w:bookmarkStart w:id="42" w:name="_Toc223079112"/>
      <w:r w:rsidRPr="007900BB">
        <w:rPr>
          <w:b/>
          <w:bCs/>
          <w:color w:val="auto"/>
          <w:sz w:val="20"/>
          <w:szCs w:val="20"/>
        </w:rPr>
        <w:t xml:space="preserve">Table </w:t>
      </w:r>
      <w:r w:rsidR="00CD0E8E">
        <w:rPr>
          <w:b/>
          <w:bCs/>
          <w:color w:val="auto"/>
          <w:sz w:val="20"/>
          <w:szCs w:val="20"/>
        </w:rPr>
        <w:t>2.</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2</w:t>
      </w:r>
      <w:r w:rsidR="00E10041">
        <w:rPr>
          <w:b/>
          <w:bCs/>
          <w:color w:val="auto"/>
          <w:sz w:val="20"/>
          <w:szCs w:val="20"/>
        </w:rPr>
        <w:fldChar w:fldCharType="end"/>
      </w:r>
      <w:r w:rsidRPr="007900BB">
        <w:rPr>
          <w:b/>
          <w:bCs/>
          <w:color w:val="auto"/>
          <w:sz w:val="20"/>
          <w:szCs w:val="20"/>
        </w:rPr>
        <w:t>: Three-Domain Conceptual Framework</w:t>
      </w:r>
      <w:bookmarkEnd w:id="40"/>
      <w:bookmarkEnd w:id="41"/>
      <w:bookmarkEnd w:id="42"/>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49"/>
        <w:gridCol w:w="3356"/>
        <w:gridCol w:w="3519"/>
      </w:tblGrid>
      <w:tr w:rsidR="008A4121" w14:paraId="4F16EE87" w14:textId="77777777" w:rsidTr="00BE29C7">
        <w:trPr>
          <w:tblHeader/>
        </w:trPr>
        <w:tc>
          <w:tcPr>
            <w:tcW w:w="2200" w:type="dxa"/>
            <w:tcBorders>
              <w:top w:val="single" w:sz="1" w:space="0" w:color="808080"/>
              <w:left w:val="single" w:sz="1" w:space="0" w:color="808080"/>
              <w:bottom w:val="single" w:sz="1" w:space="0" w:color="808080"/>
              <w:right w:val="single" w:sz="1" w:space="0" w:color="808080"/>
            </w:tcBorders>
            <w:shd w:val="clear" w:color="auto" w:fill="D9E2F3"/>
          </w:tcPr>
          <w:p w14:paraId="2D8749AF" w14:textId="77777777" w:rsidR="008A4121" w:rsidRDefault="008A4121" w:rsidP="00BE29C7">
            <w:pPr>
              <w:jc w:val="center"/>
            </w:pPr>
            <w:r>
              <w:rPr>
                <w:b/>
                <w:bCs/>
                <w:sz w:val="22"/>
                <w:szCs w:val="22"/>
              </w:rPr>
              <w:t>Domain</w:t>
            </w:r>
          </w:p>
        </w:tc>
        <w:tc>
          <w:tcPr>
            <w:tcW w:w="3500" w:type="dxa"/>
            <w:tcBorders>
              <w:top w:val="single" w:sz="1" w:space="0" w:color="808080"/>
              <w:left w:val="single" w:sz="1" w:space="0" w:color="808080"/>
              <w:bottom w:val="single" w:sz="1" w:space="0" w:color="808080"/>
              <w:right w:val="single" w:sz="1" w:space="0" w:color="808080"/>
            </w:tcBorders>
            <w:shd w:val="clear" w:color="auto" w:fill="D9E2F3"/>
          </w:tcPr>
          <w:p w14:paraId="3A2284EF" w14:textId="77777777" w:rsidR="008A4121" w:rsidRDefault="008A4121" w:rsidP="00BE29C7">
            <w:pPr>
              <w:jc w:val="center"/>
            </w:pPr>
            <w:r>
              <w:rPr>
                <w:b/>
                <w:bCs/>
                <w:sz w:val="22"/>
                <w:szCs w:val="22"/>
              </w:rPr>
              <w:t>Key Components</w:t>
            </w:r>
          </w:p>
        </w:tc>
        <w:tc>
          <w:tcPr>
            <w:tcW w:w="3660" w:type="dxa"/>
            <w:tcBorders>
              <w:top w:val="single" w:sz="1" w:space="0" w:color="808080"/>
              <w:left w:val="single" w:sz="1" w:space="0" w:color="808080"/>
              <w:bottom w:val="single" w:sz="1" w:space="0" w:color="808080"/>
              <w:right w:val="single" w:sz="1" w:space="0" w:color="808080"/>
            </w:tcBorders>
            <w:shd w:val="clear" w:color="auto" w:fill="D9E2F3"/>
          </w:tcPr>
          <w:p w14:paraId="59528DCE" w14:textId="77777777" w:rsidR="008A4121" w:rsidRDefault="008A4121" w:rsidP="00BE29C7">
            <w:pPr>
              <w:jc w:val="center"/>
            </w:pPr>
            <w:r>
              <w:rPr>
                <w:b/>
                <w:bCs/>
                <w:sz w:val="22"/>
                <w:szCs w:val="22"/>
              </w:rPr>
              <w:t>Success Factors from Literature</w:t>
            </w:r>
          </w:p>
        </w:tc>
      </w:tr>
      <w:tr w:rsidR="008A4121" w14:paraId="1B08E297" w14:textId="77777777" w:rsidTr="0025438A">
        <w:tc>
          <w:tcPr>
            <w:tcW w:w="2200" w:type="dxa"/>
            <w:tcBorders>
              <w:top w:val="single" w:sz="1" w:space="0" w:color="808080"/>
              <w:left w:val="single" w:sz="1" w:space="0" w:color="808080"/>
              <w:bottom w:val="single" w:sz="1" w:space="0" w:color="808080"/>
              <w:right w:val="single" w:sz="1" w:space="0" w:color="808080"/>
            </w:tcBorders>
            <w:vAlign w:val="center"/>
          </w:tcPr>
          <w:p w14:paraId="3DC990F4" w14:textId="77777777" w:rsidR="008A4121" w:rsidRDefault="008A4121" w:rsidP="0025438A">
            <w:r>
              <w:rPr>
                <w:sz w:val="22"/>
                <w:szCs w:val="22"/>
              </w:rPr>
              <w:t>Technological Capability</w:t>
            </w:r>
          </w:p>
        </w:tc>
        <w:tc>
          <w:tcPr>
            <w:tcW w:w="3500" w:type="dxa"/>
            <w:tcBorders>
              <w:top w:val="single" w:sz="1" w:space="0" w:color="808080"/>
              <w:left w:val="single" w:sz="1" w:space="0" w:color="808080"/>
              <w:bottom w:val="single" w:sz="1" w:space="0" w:color="808080"/>
              <w:right w:val="single" w:sz="1" w:space="0" w:color="808080"/>
            </w:tcBorders>
            <w:vAlign w:val="center"/>
          </w:tcPr>
          <w:p w14:paraId="78CAA74B" w14:textId="77777777" w:rsidR="008A4121" w:rsidRDefault="008A4121" w:rsidP="0025438A">
            <w:r>
              <w:rPr>
                <w:sz w:val="22"/>
                <w:szCs w:val="22"/>
              </w:rPr>
              <w:t>Digital Twin architecture; AI/ML algorithms; IoT sensor networks; API connectivity; Data infrastructure; Legacy system integration</w:t>
            </w:r>
          </w:p>
        </w:tc>
        <w:tc>
          <w:tcPr>
            <w:tcW w:w="3660" w:type="dxa"/>
            <w:tcBorders>
              <w:top w:val="single" w:sz="1" w:space="0" w:color="808080"/>
              <w:left w:val="single" w:sz="1" w:space="0" w:color="808080"/>
              <w:bottom w:val="single" w:sz="1" w:space="0" w:color="808080"/>
              <w:right w:val="single" w:sz="1" w:space="0" w:color="808080"/>
            </w:tcBorders>
            <w:vAlign w:val="center"/>
          </w:tcPr>
          <w:p w14:paraId="1180F377" w14:textId="77777777" w:rsidR="008A4121" w:rsidRDefault="008A4121" w:rsidP="0025438A">
            <w:r>
              <w:rPr>
                <w:sz w:val="22"/>
                <w:szCs w:val="22"/>
              </w:rPr>
              <w:t>Standardised protocols (NGSI-LD, REST); Hybrid edge-cloud architecture; Open APIs; Sufficient sensor density; Interoperability frameworks</w:t>
            </w:r>
          </w:p>
        </w:tc>
      </w:tr>
      <w:tr w:rsidR="008A4121" w14:paraId="0D8BB575" w14:textId="77777777" w:rsidTr="0025438A">
        <w:tc>
          <w:tcPr>
            <w:tcW w:w="2200" w:type="dxa"/>
            <w:tcBorders>
              <w:top w:val="single" w:sz="1" w:space="0" w:color="808080"/>
              <w:left w:val="single" w:sz="1" w:space="0" w:color="808080"/>
              <w:bottom w:val="single" w:sz="1" w:space="0" w:color="808080"/>
              <w:right w:val="single" w:sz="1" w:space="0" w:color="808080"/>
            </w:tcBorders>
            <w:vAlign w:val="center"/>
          </w:tcPr>
          <w:p w14:paraId="3EE983D6" w14:textId="77777777" w:rsidR="008A4121" w:rsidRDefault="008A4121" w:rsidP="0025438A">
            <w:r>
              <w:rPr>
                <w:sz w:val="22"/>
                <w:szCs w:val="22"/>
              </w:rPr>
              <w:t>Human &amp; Organisational Readiness</w:t>
            </w:r>
          </w:p>
        </w:tc>
        <w:tc>
          <w:tcPr>
            <w:tcW w:w="3500" w:type="dxa"/>
            <w:tcBorders>
              <w:top w:val="single" w:sz="1" w:space="0" w:color="808080"/>
              <w:left w:val="single" w:sz="1" w:space="0" w:color="808080"/>
              <w:bottom w:val="single" w:sz="1" w:space="0" w:color="808080"/>
              <w:right w:val="single" w:sz="1" w:space="0" w:color="808080"/>
            </w:tcBorders>
            <w:vAlign w:val="center"/>
          </w:tcPr>
          <w:p w14:paraId="1F737F70" w14:textId="77777777" w:rsidR="008A4121" w:rsidRDefault="008A4121" w:rsidP="0025438A">
            <w:r>
              <w:rPr>
                <w:sz w:val="22"/>
                <w:szCs w:val="22"/>
              </w:rPr>
              <w:t>Digital skills; Data literacy; Leadership commitment; Change management capacity; Cross-functional governance</w:t>
            </w:r>
          </w:p>
        </w:tc>
        <w:tc>
          <w:tcPr>
            <w:tcW w:w="3660" w:type="dxa"/>
            <w:tcBorders>
              <w:top w:val="single" w:sz="1" w:space="0" w:color="808080"/>
              <w:left w:val="single" w:sz="1" w:space="0" w:color="808080"/>
              <w:bottom w:val="single" w:sz="1" w:space="0" w:color="808080"/>
              <w:right w:val="single" w:sz="1" w:space="0" w:color="808080"/>
            </w:tcBorders>
            <w:vAlign w:val="center"/>
          </w:tcPr>
          <w:p w14:paraId="2CECA53C" w14:textId="77777777" w:rsidR="008A4121" w:rsidRDefault="008A4121" w:rsidP="0025438A">
            <w:r>
              <w:rPr>
                <w:sz w:val="22"/>
                <w:szCs w:val="22"/>
              </w:rPr>
              <w:t>Transparent communication; Inclusive design processes; Visible benefit demonstration; Sustained training programmes; Executive sponsorship</w:t>
            </w:r>
          </w:p>
        </w:tc>
      </w:tr>
      <w:tr w:rsidR="008A4121" w14:paraId="7A35524E" w14:textId="77777777" w:rsidTr="0025438A">
        <w:tc>
          <w:tcPr>
            <w:tcW w:w="2200" w:type="dxa"/>
            <w:tcBorders>
              <w:top w:val="single" w:sz="1" w:space="0" w:color="808080"/>
              <w:left w:val="single" w:sz="1" w:space="0" w:color="808080"/>
              <w:bottom w:val="single" w:sz="1" w:space="0" w:color="808080"/>
              <w:right w:val="single" w:sz="1" w:space="0" w:color="808080"/>
            </w:tcBorders>
            <w:vAlign w:val="center"/>
          </w:tcPr>
          <w:p w14:paraId="43BD07FF" w14:textId="77777777" w:rsidR="008A4121" w:rsidRDefault="008A4121" w:rsidP="0025438A">
            <w:r>
              <w:rPr>
                <w:sz w:val="22"/>
                <w:szCs w:val="22"/>
              </w:rPr>
              <w:t>Policy &amp; Governance Alignment</w:t>
            </w:r>
          </w:p>
        </w:tc>
        <w:tc>
          <w:tcPr>
            <w:tcW w:w="3500" w:type="dxa"/>
            <w:tcBorders>
              <w:top w:val="single" w:sz="1" w:space="0" w:color="808080"/>
              <w:left w:val="single" w:sz="1" w:space="0" w:color="808080"/>
              <w:bottom w:val="single" w:sz="1" w:space="0" w:color="808080"/>
              <w:right w:val="single" w:sz="1" w:space="0" w:color="808080"/>
            </w:tcBorders>
            <w:vAlign w:val="center"/>
          </w:tcPr>
          <w:p w14:paraId="45E887D8" w14:textId="77777777" w:rsidR="008A4121" w:rsidRDefault="008A4121" w:rsidP="0025438A">
            <w:r>
              <w:rPr>
                <w:sz w:val="22"/>
                <w:szCs w:val="22"/>
              </w:rPr>
              <w:t>Net Zero mandates; ISO 19650 compliance; Funding mechanisms; Cybersecurity frameworks; Procurement requirements</w:t>
            </w:r>
          </w:p>
        </w:tc>
        <w:tc>
          <w:tcPr>
            <w:tcW w:w="3660" w:type="dxa"/>
            <w:tcBorders>
              <w:top w:val="single" w:sz="1" w:space="0" w:color="808080"/>
              <w:left w:val="single" w:sz="1" w:space="0" w:color="808080"/>
              <w:bottom w:val="single" w:sz="1" w:space="0" w:color="808080"/>
              <w:right w:val="single" w:sz="1" w:space="0" w:color="808080"/>
            </w:tcBorders>
            <w:vAlign w:val="center"/>
          </w:tcPr>
          <w:p w14:paraId="04B04AE1" w14:textId="77777777" w:rsidR="008A4121" w:rsidRDefault="008A4121" w:rsidP="0025438A">
            <w:r>
              <w:rPr>
                <w:sz w:val="22"/>
                <w:szCs w:val="22"/>
              </w:rPr>
              <w:t>Sector-specific guidance; Aligned funding criteria; Security-by-design; Outcome-based procurement; Performance disclosure requirements</w:t>
            </w:r>
          </w:p>
        </w:tc>
      </w:tr>
    </w:tbl>
    <w:p w14:paraId="57360010" w14:textId="77777777" w:rsidR="00025A4C" w:rsidRDefault="00025A4C" w:rsidP="008A4121">
      <w:pPr>
        <w:spacing w:after="120"/>
        <w:rPr>
          <w:i/>
          <w:iCs/>
          <w:sz w:val="20"/>
          <w:szCs w:val="20"/>
        </w:rPr>
      </w:pPr>
    </w:p>
    <w:p w14:paraId="6AA37FDB" w14:textId="74E5072F" w:rsidR="008A4121" w:rsidRDefault="008A4121" w:rsidP="008A4121">
      <w:pPr>
        <w:spacing w:after="120"/>
      </w:pPr>
      <w:r>
        <w:rPr>
          <w:i/>
          <w:iCs/>
          <w:sz w:val="20"/>
          <w:szCs w:val="20"/>
        </w:rPr>
        <w:t xml:space="preserve">Source: </w:t>
      </w:r>
      <w:r w:rsidR="00025A4C">
        <w:rPr>
          <w:i/>
          <w:iCs/>
          <w:sz w:val="20"/>
          <w:szCs w:val="20"/>
        </w:rPr>
        <w:t>S</w:t>
      </w:r>
      <w:r>
        <w:rPr>
          <w:i/>
          <w:iCs/>
          <w:sz w:val="20"/>
          <w:szCs w:val="20"/>
        </w:rPr>
        <w:t>ynthesis from literature review</w:t>
      </w:r>
      <w:r w:rsidR="00854952">
        <w:rPr>
          <w:i/>
          <w:iCs/>
          <w:sz w:val="20"/>
          <w:szCs w:val="20"/>
        </w:rPr>
        <w:t>, 2025</w:t>
      </w:r>
    </w:p>
    <w:p w14:paraId="186203A6" w14:textId="77777777" w:rsidR="00037856" w:rsidRDefault="00037856" w:rsidP="008A4121">
      <w:pPr>
        <w:spacing w:after="200"/>
      </w:pPr>
    </w:p>
    <w:p w14:paraId="762AC333" w14:textId="77777777" w:rsidR="008A4121" w:rsidRDefault="008A4121" w:rsidP="008A4121">
      <w:pPr>
        <w:spacing w:after="200" w:line="360" w:lineRule="auto"/>
      </w:pPr>
      <w:r>
        <w:t>The framework acknowledges that implementation success requires alignment across all three domains simultaneously. Sophisticated technological solutions fail without organisational capacity to operate them; willing organisations struggle without appropriate technological infrastructure; and both technological and organisational readiness prove insufficient without supportive policy environments providing funding, standards, and accountability mechanisms. This interdependency explains why Digital Twin adoption remains uneven despite demonstrated benefits, as organisations must achieve threshold capability across multiple dimensions rather than excelling in isolation. The framework provides the analytical structure through which primary research findings will be interpreted, enabling systematic assessment of which domains present the most significant barriers in Further Education contexts.</w:t>
      </w:r>
    </w:p>
    <w:p w14:paraId="618F8279" w14:textId="77777777" w:rsidR="008A4121" w:rsidRDefault="008A4121" w:rsidP="008A4121">
      <w:pPr>
        <w:pStyle w:val="Heading2"/>
      </w:pPr>
      <w:bookmarkStart w:id="43" w:name="_Toc220152180"/>
      <w:r>
        <w:t>2.10 Research Gap and Chapter Summary</w:t>
      </w:r>
      <w:bookmarkEnd w:id="43"/>
    </w:p>
    <w:p w14:paraId="598D3B0A" w14:textId="23B98220" w:rsidR="008A4121" w:rsidRDefault="008A4121" w:rsidP="008A4121">
      <w:pPr>
        <w:spacing w:after="200" w:line="360" w:lineRule="auto"/>
      </w:pPr>
      <w:r>
        <w:t xml:space="preserve">The literature review identifies </w:t>
      </w:r>
      <w:r w:rsidR="00591541">
        <w:t xml:space="preserve">a </w:t>
      </w:r>
      <w:r w:rsidR="00E21564">
        <w:t>range of</w:t>
      </w:r>
      <w:r>
        <w:t xml:space="preserve"> interconnected gaps that this dissertation addresses. First, API integration details remain critically underreported, with only three of ten systematic review studies providing technical connectivity information despite APIs constituting the essential infrastructure enabling system interoperability. This documentation gap leaves practitioners without guidance on the specific protocols, standards, and architectural patterns required to connect building systems with AI analytics platforms. Second, existing building implementation receives </w:t>
      </w:r>
      <w:r>
        <w:lastRenderedPageBreak/>
        <w:t xml:space="preserve">insufficient attention relative to new construction, despite the climate imperative to transform existing stock and the </w:t>
      </w:r>
      <w:r w:rsidR="00911421">
        <w:t>challenges</w:t>
      </w:r>
      <w:r>
        <w:t xml:space="preserve"> older buildings present for Digital Twin deployment including absent BIM models, legacy equipment, and heterogeneous system landscapes.</w:t>
      </w:r>
    </w:p>
    <w:p w14:paraId="1A1EDBBB" w14:textId="7144CD39" w:rsidR="008A4121" w:rsidRDefault="008A4121" w:rsidP="008A4121">
      <w:pPr>
        <w:spacing w:after="200" w:line="360" w:lineRule="auto"/>
      </w:pPr>
      <w:r>
        <w:t>Third, sector-specific guidance for Further Education contexts is notably absent, leaving institutions without tailored implementation pathways addressing their distinctive combination of: diverse building portfolios spanning multiple construction eras; constrained budgets limiting wholesale system replacement; public sector accountability requirements demanding rigorous benefit justification; and educational mission priorities that may relegate facilities investment to secondary status. The variation in reported energy savings (10</w:t>
      </w:r>
      <w:r w:rsidR="009B7E07">
        <w:t>-</w:t>
      </w:r>
      <w:r>
        <w:t>38%) reflects factors warranting investigation: simulation studies report higher reductions than field deployments suggesting implementation complexity; whole-building implementations outperform component-specific approaches indicating integration benefits; and buildings with modern infrastructure achieve better results than those requiring extensive retrofitting.</w:t>
      </w:r>
    </w:p>
    <w:p w14:paraId="2CE05A65" w14:textId="4ED79641" w:rsidR="008A4121" w:rsidRDefault="008A4121" w:rsidP="008A4121">
      <w:pPr>
        <w:spacing w:after="200" w:line="360" w:lineRule="auto"/>
      </w:pPr>
      <w:r>
        <w:t>This dissertation addresses these gaps through mixed-methods investigation of South Wales Further Education institutions, examining technological readiness, organisational capacity, and stakeholder perceptions of AI-enabled Digital Twin implementation for M&amp;E system sustainability. The three-domain conceptual framework provides the analytical structure for integrating quantitative survey findings with qualitative interview insights, enabling comprehensive assessment of implementation feasibility and identification of priority interventions. The literature establishes both the opportunity and complexity of AI-enabled Digital Twin implementation: evidence of 10</w:t>
      </w:r>
      <w:r w:rsidR="009B7E07">
        <w:t>-</w:t>
      </w:r>
      <w:r>
        <w:t xml:space="preserve">38% energy efficiency improvements </w:t>
      </w:r>
      <w:r w:rsidR="006A1981">
        <w:t>provide</w:t>
      </w:r>
      <w:r>
        <w:t xml:space="preserve"> compelling rationale for adoption, while documented implementation barriers explain limited uptake particularly in existing building contexts.</w:t>
      </w:r>
    </w:p>
    <w:p w14:paraId="79A736C5" w14:textId="3C23CD6E" w:rsidR="00257E57" w:rsidRDefault="008A4121" w:rsidP="00705B4B">
      <w:pPr>
        <w:spacing w:after="200" w:line="360" w:lineRule="auto"/>
      </w:pPr>
      <w:r>
        <w:t xml:space="preserve">The Further Education sector represents a valuable research context combining public sector accountability requirements, diverse building portfolios, constrained resources, and potential for broader applicability to similar institutional settings. By investigating implementation readiness across technological, organisational, and policy dimensions, this research contributes both academic understanding of Digital Twin adoption barriers and practical guidance for institutions seeking to enhance </w:t>
      </w:r>
      <w:r>
        <w:lastRenderedPageBreak/>
        <w:t>sustainability through advanced building intelligence technologies. The following methodology chapter details the research design enabling rigorous investigation of these identified gaps.</w:t>
      </w:r>
      <w:r w:rsidR="00037856">
        <w:br w:type="page"/>
      </w:r>
    </w:p>
    <w:p w14:paraId="11AD85C6" w14:textId="77777777" w:rsidR="008A4121" w:rsidRDefault="008A4121" w:rsidP="008A4121">
      <w:pPr>
        <w:pStyle w:val="Heading1"/>
      </w:pPr>
      <w:bookmarkStart w:id="44" w:name="_Toc220152181"/>
      <w:r>
        <w:lastRenderedPageBreak/>
        <w:t>Chapter 3 – Research Methodology</w:t>
      </w:r>
      <w:bookmarkEnd w:id="44"/>
    </w:p>
    <w:p w14:paraId="48F1B2CE" w14:textId="61D7F375" w:rsidR="008A4121" w:rsidRDefault="008A4121" w:rsidP="008A4121">
      <w:pPr>
        <w:pStyle w:val="Heading2"/>
      </w:pPr>
      <w:bookmarkStart w:id="45" w:name="_Toc220152182"/>
      <w:r>
        <w:t>3.1 Introduction</w:t>
      </w:r>
      <w:bookmarkEnd w:id="45"/>
    </w:p>
    <w:p w14:paraId="414DD03A" w14:textId="77777777" w:rsidR="009B48E4" w:rsidRDefault="009B48E4" w:rsidP="000F19D9">
      <w:pPr>
        <w:spacing w:after="200" w:line="360" w:lineRule="auto"/>
      </w:pPr>
      <w:bookmarkStart w:id="46" w:name="_Toc220152183"/>
      <w:r w:rsidRPr="009B48E4">
        <w:t xml:space="preserve">A mixed-methods research design combining quantitative survey data (n=87) with qualitative interview insights (n=6) forms the methodological framework for investigating how API-driven AI and Digital Twin technologies can enhance sustainability in post-construction M&amp;E systems within the Further Education sector in South Wales (Creswell and Creswell, 2023). </w:t>
      </w:r>
    </w:p>
    <w:p w14:paraId="3CA600DD" w14:textId="41E9CC42" w:rsidR="000F19D9" w:rsidRPr="006957D2" w:rsidRDefault="000F19D9" w:rsidP="000F19D9">
      <w:pPr>
        <w:spacing w:after="200" w:line="360" w:lineRule="auto"/>
      </w:pPr>
      <w:r w:rsidRPr="006957D2">
        <w:t>The chapter proceeds through research philosophy and paradigmatic position, research design and strategy, quantitative and qualitative data collection methods, analysis procedures, quality assurance measures, ethical considerations, and methodological limitations. This structure ensures transparent justification of methodological choices while acknowledging their constraints.</w:t>
      </w:r>
    </w:p>
    <w:p w14:paraId="40BCF75C" w14:textId="61840C7E" w:rsidR="008A4121" w:rsidRDefault="008A4121" w:rsidP="0004354D">
      <w:pPr>
        <w:pStyle w:val="Heading2"/>
      </w:pPr>
      <w:r>
        <w:t>3.2 Research Philosophy and Paradigmatic Position</w:t>
      </w:r>
      <w:bookmarkEnd w:id="46"/>
    </w:p>
    <w:p w14:paraId="2C6A4C0E" w14:textId="1280FB91" w:rsidR="008A4121" w:rsidRDefault="008A4121" w:rsidP="008A4121">
      <w:pPr>
        <w:spacing w:after="200" w:line="360" w:lineRule="auto"/>
      </w:pPr>
      <w:r>
        <w:t xml:space="preserve">Research philosophy encompasses the fundamental beliefs and assumptions that guide the research process, shaping decisions about ontology (the nature of reality), epistemology (what constitutes valid knowledge), and methodology (the appropriate means of generating knowledge) (Saunders, </w:t>
      </w:r>
      <w:r w:rsidR="006A1981">
        <w:t>Lewis,</w:t>
      </w:r>
      <w:r>
        <w:t xml:space="preserve"> and Thornhill, 2023). These philosophical underpinnings are not merely abstract considerations; they have practical implications for how research questions are framed, what data is collected, and how findings are interpreted (Bryman, 2021).</w:t>
      </w:r>
    </w:p>
    <w:p w14:paraId="6DDB4DFE" w14:textId="08B984DF" w:rsidR="00B74435" w:rsidRPr="0062773A" w:rsidRDefault="00B74435" w:rsidP="00B74435">
      <w:pPr>
        <w:spacing w:after="200" w:line="360" w:lineRule="auto"/>
      </w:pPr>
      <w:r w:rsidRPr="0062773A">
        <w:t xml:space="preserve">This research adopts a pragmatist philosophical position, prioritising practical problem-solving over adherence to a single epistemological tradition (Creswell and Creswell, 2023). Pragmatism recognises that the reality of technology adoption comprises both objective elements (implementation status, measured outcomes) and subjective dimensions (perceived readiness, experienced barriers), necessitating methodological pluralism (Saunders, </w:t>
      </w:r>
      <w:r w:rsidR="006A1981" w:rsidRPr="0062773A">
        <w:t>Lewis,</w:t>
      </w:r>
      <w:r w:rsidRPr="0062773A">
        <w:t xml:space="preserve"> and Thornhill, 2023). A purely positivist approach would fail to capture organisational and cultural dimensions, while an exclusively interpretivist stance would limit capacity to establish generalisable patterns. Fellows and Liu (2021) emphasise that construction management research frequently requires such methodological flexibility.</w:t>
      </w:r>
    </w:p>
    <w:p w14:paraId="114BF074" w14:textId="22A52622" w:rsidR="00B74435" w:rsidRPr="0062773A" w:rsidRDefault="00B74435" w:rsidP="00B74435">
      <w:pPr>
        <w:spacing w:after="200" w:line="360" w:lineRule="auto"/>
      </w:pPr>
      <w:r w:rsidRPr="0062773A">
        <w:t xml:space="preserve">The pragmatist position is not without critique. </w:t>
      </w:r>
      <w:r w:rsidR="00787A2B" w:rsidRPr="00787A2B">
        <w:t>Purists argue that paradigm mixing</w:t>
      </w:r>
      <w:r w:rsidR="00787A2B">
        <w:t>,</w:t>
      </w:r>
      <w:r w:rsidR="00787A2B" w:rsidRPr="00787A2B">
        <w:t xml:space="preserve"> the combining of quantitative and qualitative approaches within a single study </w:t>
      </w:r>
      <w:r w:rsidR="00787A2B" w:rsidRPr="00787A2B">
        <w:lastRenderedPageBreak/>
        <w:t>creates epistemological incoherence, meaning fundamental contradictions in the underlying assumptions about what counts as valid knowledge (Bryman, 2021).</w:t>
      </w:r>
      <w:r w:rsidRPr="0062773A">
        <w:t>This study acknowledges this tension but contends that practical benefits</w:t>
      </w:r>
      <w:r w:rsidR="009B7E07">
        <w:t xml:space="preserve">, </w:t>
      </w:r>
      <w:r w:rsidRPr="0062773A">
        <w:t>enabling both pattern identification and contextual understanding</w:t>
      </w:r>
      <w:r w:rsidR="009B7E07">
        <w:t xml:space="preserve">, </w:t>
      </w:r>
      <w:r w:rsidRPr="0062773A">
        <w:t>outweigh abstract epistemological concerns in applied research contexts.</w:t>
      </w:r>
    </w:p>
    <w:p w14:paraId="5695360A" w14:textId="7A614580" w:rsidR="00C81451" w:rsidRDefault="00C81451" w:rsidP="008A4121">
      <w:pPr>
        <w:spacing w:after="200" w:line="360" w:lineRule="auto"/>
      </w:pPr>
      <w:r>
        <w:t>Nevertheless, the integration challenges inherent in convergent designs mean that findings from each strand should be weighted according to their respective methodological strengths: quantitative findings offer greater generalisability but less contextual depth, while qualitative findings provide richer explanation but more limited transferability.</w:t>
      </w:r>
    </w:p>
    <w:p w14:paraId="7486EAC4" w14:textId="77777777" w:rsidR="008A4121" w:rsidRDefault="008A4121" w:rsidP="008A4121">
      <w:pPr>
        <w:pStyle w:val="Heading2"/>
      </w:pPr>
      <w:bookmarkStart w:id="47" w:name="_Toc220152184"/>
      <w:r>
        <w:t>3.3 Research Design and Strategy</w:t>
      </w:r>
      <w:bookmarkEnd w:id="47"/>
    </w:p>
    <w:p w14:paraId="76E95E41" w14:textId="77777777" w:rsidR="008A4121" w:rsidRDefault="008A4121" w:rsidP="008A4121">
      <w:pPr>
        <w:pStyle w:val="Heading3"/>
      </w:pPr>
      <w:bookmarkStart w:id="48" w:name="_Toc220152185"/>
      <w:r>
        <w:t>3.3.1 Mixed-Methods Approach</w:t>
      </w:r>
      <w:bookmarkEnd w:id="48"/>
    </w:p>
    <w:p w14:paraId="71D1E9F5" w14:textId="54941208" w:rsidR="008A4121" w:rsidRDefault="008A4121" w:rsidP="008A4121">
      <w:pPr>
        <w:spacing w:after="200" w:line="360" w:lineRule="auto"/>
      </w:pPr>
      <w:r>
        <w:t xml:space="preserve">Research design constitutes </w:t>
      </w:r>
      <w:r w:rsidR="006A1981">
        <w:t>the plan</w:t>
      </w:r>
      <w:r>
        <w:t xml:space="preserve"> for connecting conceptual research questions to pertinent and achievable empirical research, providing a framework for the collection and analysis of data (Bryman, 2021). This research employed a convergent parallel mixed-methods design, collecting quantitative and qualitative data concurrently before integrating findings during the interpretation phase (Creswell and Creswell, 2023). This design was selected for three principal reasons.</w:t>
      </w:r>
    </w:p>
    <w:p w14:paraId="1D095012" w14:textId="2C4492CF" w:rsidR="008A4121" w:rsidRDefault="008A4121" w:rsidP="008A4121">
      <w:pPr>
        <w:spacing w:after="200" w:line="360" w:lineRule="auto"/>
      </w:pPr>
      <w:r>
        <w:t xml:space="preserve">First, the research questions required both breadth of understanding (how widespread are </w:t>
      </w:r>
      <w:r w:rsidR="006A1981">
        <w:t>adoption</w:t>
      </w:r>
      <w:r>
        <w:t xml:space="preserve"> patterns and barrier perceptions?) and depth of explanation (why do these patterns exist and how do contextual factors shape them?). Second, the limited existing literature on post-construction Digital Twin deployment in educational buildings meant that neither purely deductive hypothesis testing nor purely inductive exploration would adequately address the research gap. Third, methodological triangulation enhances validity by enabling convergent findings to strengthen confidence in conclusions while divergent findings reveal important nuances requiring further analysis (Bryman, 2021).</w:t>
      </w:r>
    </w:p>
    <w:p w14:paraId="351DA02F" w14:textId="448CD3E5" w:rsidR="003B5D08" w:rsidRDefault="008A4121" w:rsidP="008A4121">
      <w:pPr>
        <w:spacing w:after="200" w:line="360" w:lineRule="auto"/>
      </w:pPr>
      <w:r>
        <w:t xml:space="preserve">The convergent design differs from sequential approaches in that neither strand takes methodological priority; instead, </w:t>
      </w:r>
      <w:r w:rsidR="006A1981">
        <w:t>quantitative,</w:t>
      </w:r>
      <w:r>
        <w:t xml:space="preserve"> and qualitative components carry equal weight and are integrated at the interpretation stage rather than one informing the design of the other. Robson and McCartan (2016) advocate for mixed methods in real-world research contexts where complex phenomena cannot be adequately </w:t>
      </w:r>
      <w:r>
        <w:lastRenderedPageBreak/>
        <w:t>captured through single methodological approaches. This approach is particularly appropriate for applied research where practical timelines constrain the feasibility of sequential data collection phases.</w:t>
      </w:r>
    </w:p>
    <w:p w14:paraId="4F6DB1C8" w14:textId="77777777" w:rsidR="001C693C" w:rsidRDefault="003B5D08" w:rsidP="001C693C">
      <w:pPr>
        <w:keepNext/>
        <w:spacing w:after="200" w:line="360" w:lineRule="auto"/>
        <w:jc w:val="center"/>
      </w:pPr>
      <w:r>
        <w:rPr>
          <w:noProof/>
        </w:rPr>
        <w:drawing>
          <wp:inline distT="0" distB="0" distL="0" distR="0" wp14:anchorId="2144F7FD" wp14:editId="7AEA4EB8">
            <wp:extent cx="5753735" cy="5674992"/>
            <wp:effectExtent l="0" t="0" r="0" b="2540"/>
            <wp:docPr id="308407798" name="Picture 3"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407798" name="Picture 3" descr="A diagram of a company&#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98785" cy="5719426"/>
                    </a:xfrm>
                    <a:prstGeom prst="rect">
                      <a:avLst/>
                    </a:prstGeom>
                  </pic:spPr>
                </pic:pic>
              </a:graphicData>
            </a:graphic>
          </wp:inline>
        </w:drawing>
      </w:r>
    </w:p>
    <w:p w14:paraId="3AA7E772" w14:textId="159EA57B" w:rsidR="00AE4BD9" w:rsidRPr="001E7B2F" w:rsidRDefault="00AE4BD9" w:rsidP="00AE4BD9">
      <w:pPr>
        <w:pStyle w:val="Caption"/>
        <w:jc w:val="center"/>
        <w:rPr>
          <w:b/>
          <w:bCs/>
          <w:color w:val="auto"/>
          <w:sz w:val="20"/>
          <w:szCs w:val="20"/>
        </w:rPr>
      </w:pPr>
      <w:bookmarkStart w:id="49" w:name="_Toc220152007"/>
      <w:bookmarkStart w:id="50" w:name="_Toc223075549"/>
      <w:bookmarkStart w:id="51" w:name="_Toc223079113"/>
      <w:r w:rsidRPr="00E669E8">
        <w:rPr>
          <w:b/>
          <w:bCs/>
          <w:color w:val="auto"/>
          <w:sz w:val="20"/>
          <w:szCs w:val="20"/>
        </w:rPr>
        <w:t>Figure 3.</w:t>
      </w:r>
      <w:r w:rsidR="00FB6993">
        <w:rPr>
          <w:b/>
          <w:bCs/>
          <w:color w:val="auto"/>
          <w:sz w:val="20"/>
          <w:szCs w:val="20"/>
        </w:rPr>
        <w:t>1</w:t>
      </w:r>
      <w:r>
        <w:rPr>
          <w:b/>
          <w:bCs/>
          <w:color w:val="auto"/>
          <w:sz w:val="20"/>
          <w:szCs w:val="20"/>
        </w:rPr>
        <w:t>:</w:t>
      </w:r>
      <w:r w:rsidRPr="00E669E8">
        <w:rPr>
          <w:b/>
          <w:bCs/>
          <w:color w:val="auto"/>
          <w:sz w:val="20"/>
          <w:szCs w:val="20"/>
        </w:rPr>
        <w:t xml:space="preserve"> Research Design: Mixed Methods Approach</w:t>
      </w:r>
      <w:bookmarkEnd w:id="49"/>
      <w:bookmarkEnd w:id="50"/>
      <w:bookmarkEnd w:id="51"/>
    </w:p>
    <w:p w14:paraId="6D3ED0A3" w14:textId="2BECBD95" w:rsidR="003B5D08" w:rsidRPr="003B5D08" w:rsidRDefault="003B5D08" w:rsidP="003B5D08">
      <w:pPr>
        <w:pStyle w:val="Caption"/>
        <w:keepNext/>
        <w:jc w:val="center"/>
        <w:rPr>
          <w:color w:val="auto"/>
          <w:sz w:val="20"/>
          <w:szCs w:val="20"/>
        </w:rPr>
      </w:pPr>
      <w:bookmarkStart w:id="52" w:name="_Toc223079114"/>
      <w:r w:rsidRPr="003B5D08">
        <w:rPr>
          <w:color w:val="auto"/>
          <w:sz w:val="20"/>
          <w:szCs w:val="20"/>
        </w:rPr>
        <w:t xml:space="preserve">Source: </w:t>
      </w:r>
      <w:r>
        <w:rPr>
          <w:color w:val="auto"/>
          <w:sz w:val="20"/>
          <w:szCs w:val="20"/>
        </w:rPr>
        <w:t>A</w:t>
      </w:r>
      <w:r w:rsidRPr="003B5D08">
        <w:rPr>
          <w:color w:val="auto"/>
          <w:sz w:val="20"/>
          <w:szCs w:val="20"/>
        </w:rPr>
        <w:t>dapted from Creswell and Creswell, 2023</w:t>
      </w:r>
      <w:bookmarkEnd w:id="52"/>
    </w:p>
    <w:p w14:paraId="110AF579" w14:textId="77777777" w:rsidR="003B5D08" w:rsidRDefault="003B5D08" w:rsidP="007900BB">
      <w:pPr>
        <w:pStyle w:val="Caption"/>
        <w:keepNext/>
        <w:rPr>
          <w:b/>
          <w:bCs/>
          <w:color w:val="auto"/>
          <w:sz w:val="20"/>
          <w:szCs w:val="20"/>
        </w:rPr>
      </w:pPr>
    </w:p>
    <w:p w14:paraId="72BE0B8E" w14:textId="77777777" w:rsidR="003B5D08" w:rsidRDefault="003B5D08" w:rsidP="003B5D08"/>
    <w:p w14:paraId="23BB9062" w14:textId="77777777" w:rsidR="003B5D08" w:rsidRDefault="003B5D08" w:rsidP="003B5D08"/>
    <w:p w14:paraId="7C26597C" w14:textId="77777777" w:rsidR="003B5D08" w:rsidRDefault="003B5D08" w:rsidP="003B5D08"/>
    <w:p w14:paraId="581C585F" w14:textId="77777777" w:rsidR="003B5D08" w:rsidRDefault="003B5D08" w:rsidP="003B5D08"/>
    <w:p w14:paraId="1CF0B82A" w14:textId="77777777" w:rsidR="001E7B2F" w:rsidRDefault="001E7B2F" w:rsidP="003B5D08"/>
    <w:p w14:paraId="46B229BD" w14:textId="77777777" w:rsidR="003B5D08" w:rsidRPr="003B5D08" w:rsidRDefault="003B5D08" w:rsidP="003B5D08"/>
    <w:p w14:paraId="5345CE95" w14:textId="2F4D2B57" w:rsidR="007900BB" w:rsidRPr="007900BB" w:rsidRDefault="007900BB" w:rsidP="007900BB">
      <w:pPr>
        <w:pStyle w:val="Caption"/>
        <w:keepNext/>
        <w:rPr>
          <w:b/>
          <w:bCs/>
          <w:color w:val="auto"/>
          <w:sz w:val="20"/>
          <w:szCs w:val="20"/>
        </w:rPr>
      </w:pPr>
      <w:bookmarkStart w:id="53" w:name="_Toc220151984"/>
      <w:bookmarkStart w:id="54" w:name="_Toc223077219"/>
      <w:bookmarkStart w:id="55" w:name="_Toc223079115"/>
      <w:r w:rsidRPr="007900BB">
        <w:rPr>
          <w:b/>
          <w:bCs/>
          <w:color w:val="auto"/>
          <w:sz w:val="20"/>
          <w:szCs w:val="20"/>
        </w:rPr>
        <w:lastRenderedPageBreak/>
        <w:t xml:space="preserve">Table </w:t>
      </w:r>
      <w:r w:rsidR="00CD0E8E">
        <w:rPr>
          <w:b/>
          <w:bCs/>
          <w:color w:val="auto"/>
          <w:sz w:val="20"/>
          <w:szCs w:val="20"/>
        </w:rPr>
        <w:t>3.</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1</w:t>
      </w:r>
      <w:r w:rsidR="00E10041">
        <w:rPr>
          <w:b/>
          <w:bCs/>
          <w:color w:val="auto"/>
          <w:sz w:val="20"/>
          <w:szCs w:val="20"/>
        </w:rPr>
        <w:fldChar w:fldCharType="end"/>
      </w:r>
      <w:r w:rsidRPr="007900BB">
        <w:rPr>
          <w:b/>
          <w:bCs/>
          <w:color w:val="auto"/>
          <w:sz w:val="20"/>
          <w:szCs w:val="20"/>
        </w:rPr>
        <w:t>: Research Design Overview</w:t>
      </w:r>
      <w:bookmarkEnd w:id="53"/>
      <w:bookmarkEnd w:id="54"/>
      <w:bookmarkEnd w:id="55"/>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66"/>
        <w:gridCol w:w="3383"/>
        <w:gridCol w:w="3375"/>
      </w:tblGrid>
      <w:tr w:rsidR="008A4121" w14:paraId="2575C34F" w14:textId="77777777" w:rsidTr="00BE29C7">
        <w:trPr>
          <w:tblHeader/>
        </w:trPr>
        <w:tc>
          <w:tcPr>
            <w:tcW w:w="2340" w:type="dxa"/>
            <w:tcBorders>
              <w:top w:val="single" w:sz="1" w:space="0" w:color="808080"/>
              <w:left w:val="single" w:sz="1" w:space="0" w:color="808080"/>
              <w:bottom w:val="single" w:sz="1" w:space="0" w:color="808080"/>
              <w:right w:val="single" w:sz="1" w:space="0" w:color="808080"/>
            </w:tcBorders>
            <w:shd w:val="clear" w:color="auto" w:fill="D9E2F3"/>
          </w:tcPr>
          <w:p w14:paraId="0B1019AE" w14:textId="77777777" w:rsidR="008A4121" w:rsidRDefault="008A4121" w:rsidP="00BE29C7">
            <w:pPr>
              <w:jc w:val="center"/>
            </w:pPr>
            <w:r>
              <w:rPr>
                <w:b/>
                <w:bCs/>
                <w:sz w:val="22"/>
                <w:szCs w:val="22"/>
              </w:rPr>
              <w:t>Component</w:t>
            </w:r>
          </w:p>
        </w:tc>
        <w:tc>
          <w:tcPr>
            <w:tcW w:w="3510" w:type="dxa"/>
            <w:tcBorders>
              <w:top w:val="single" w:sz="1" w:space="0" w:color="808080"/>
              <w:left w:val="single" w:sz="1" w:space="0" w:color="808080"/>
              <w:bottom w:val="single" w:sz="1" w:space="0" w:color="808080"/>
              <w:right w:val="single" w:sz="1" w:space="0" w:color="808080"/>
            </w:tcBorders>
            <w:shd w:val="clear" w:color="auto" w:fill="D9E2F3"/>
          </w:tcPr>
          <w:p w14:paraId="03B5EF66" w14:textId="77777777" w:rsidR="008A4121" w:rsidRDefault="008A4121" w:rsidP="00BE29C7">
            <w:pPr>
              <w:jc w:val="center"/>
            </w:pPr>
            <w:r>
              <w:rPr>
                <w:b/>
                <w:bCs/>
                <w:sz w:val="22"/>
                <w:szCs w:val="22"/>
              </w:rPr>
              <w:t>Quantitative Strand</w:t>
            </w:r>
          </w:p>
        </w:tc>
        <w:tc>
          <w:tcPr>
            <w:tcW w:w="3510" w:type="dxa"/>
            <w:tcBorders>
              <w:top w:val="single" w:sz="1" w:space="0" w:color="808080"/>
              <w:left w:val="single" w:sz="1" w:space="0" w:color="808080"/>
              <w:bottom w:val="single" w:sz="1" w:space="0" w:color="808080"/>
              <w:right w:val="single" w:sz="1" w:space="0" w:color="808080"/>
            </w:tcBorders>
            <w:shd w:val="clear" w:color="auto" w:fill="D9E2F3"/>
          </w:tcPr>
          <w:p w14:paraId="75ADBE98" w14:textId="77777777" w:rsidR="008A4121" w:rsidRDefault="008A4121" w:rsidP="00BE29C7">
            <w:pPr>
              <w:jc w:val="center"/>
            </w:pPr>
            <w:r>
              <w:rPr>
                <w:b/>
                <w:bCs/>
                <w:sz w:val="22"/>
                <w:szCs w:val="22"/>
              </w:rPr>
              <w:t>Qualitative Strand</w:t>
            </w:r>
          </w:p>
        </w:tc>
      </w:tr>
      <w:tr w:rsidR="008A4121" w14:paraId="1FD5E522" w14:textId="77777777" w:rsidTr="001C4993">
        <w:tc>
          <w:tcPr>
            <w:tcW w:w="2340" w:type="dxa"/>
            <w:tcBorders>
              <w:top w:val="single" w:sz="1" w:space="0" w:color="808080"/>
              <w:left w:val="single" w:sz="1" w:space="0" w:color="808080"/>
              <w:bottom w:val="single" w:sz="1" w:space="0" w:color="808080"/>
              <w:right w:val="single" w:sz="1" w:space="0" w:color="808080"/>
            </w:tcBorders>
            <w:vAlign w:val="center"/>
          </w:tcPr>
          <w:p w14:paraId="31D26B5E" w14:textId="77777777" w:rsidR="008A4121" w:rsidRDefault="008A4121" w:rsidP="001C4993">
            <w:pPr>
              <w:jc w:val="center"/>
            </w:pPr>
            <w:r>
              <w:rPr>
                <w:sz w:val="22"/>
                <w:szCs w:val="22"/>
              </w:rPr>
              <w:t>Purpose</w:t>
            </w:r>
          </w:p>
        </w:tc>
        <w:tc>
          <w:tcPr>
            <w:tcW w:w="3510" w:type="dxa"/>
            <w:tcBorders>
              <w:top w:val="single" w:sz="1" w:space="0" w:color="808080"/>
              <w:left w:val="single" w:sz="1" w:space="0" w:color="808080"/>
              <w:bottom w:val="single" w:sz="1" w:space="0" w:color="808080"/>
              <w:right w:val="single" w:sz="1" w:space="0" w:color="808080"/>
            </w:tcBorders>
            <w:vAlign w:val="center"/>
          </w:tcPr>
          <w:p w14:paraId="706DBB6E" w14:textId="77777777" w:rsidR="008A4121" w:rsidRDefault="008A4121" w:rsidP="0025438A">
            <w:r>
              <w:rPr>
                <w:sz w:val="22"/>
                <w:szCs w:val="22"/>
              </w:rPr>
              <w:t>Establish patterns of adoption, familiarity, perceived benefits, barriers, and readiness across built environment professionals</w:t>
            </w:r>
          </w:p>
        </w:tc>
        <w:tc>
          <w:tcPr>
            <w:tcW w:w="3510" w:type="dxa"/>
            <w:tcBorders>
              <w:top w:val="single" w:sz="1" w:space="0" w:color="808080"/>
              <w:left w:val="single" w:sz="1" w:space="0" w:color="808080"/>
              <w:bottom w:val="single" w:sz="1" w:space="0" w:color="808080"/>
              <w:right w:val="single" w:sz="1" w:space="0" w:color="808080"/>
            </w:tcBorders>
            <w:vAlign w:val="center"/>
          </w:tcPr>
          <w:p w14:paraId="3CBC5356" w14:textId="77777777" w:rsidR="008A4121" w:rsidRDefault="008A4121" w:rsidP="0025438A">
            <w:r>
              <w:rPr>
                <w:sz w:val="22"/>
                <w:szCs w:val="22"/>
              </w:rPr>
              <w:t>Explore contextual factors, implementation experiences, and stakeholder perspectives within FE sector</w:t>
            </w:r>
          </w:p>
        </w:tc>
      </w:tr>
      <w:tr w:rsidR="008A4121" w14:paraId="0EA69DE2" w14:textId="77777777" w:rsidTr="0077262C">
        <w:trPr>
          <w:trHeight w:val="1002"/>
        </w:trPr>
        <w:tc>
          <w:tcPr>
            <w:tcW w:w="2340" w:type="dxa"/>
            <w:tcBorders>
              <w:top w:val="single" w:sz="1" w:space="0" w:color="808080"/>
              <w:left w:val="single" w:sz="1" w:space="0" w:color="808080"/>
              <w:bottom w:val="single" w:sz="1" w:space="0" w:color="808080"/>
              <w:right w:val="single" w:sz="1" w:space="0" w:color="808080"/>
            </w:tcBorders>
            <w:vAlign w:val="center"/>
          </w:tcPr>
          <w:p w14:paraId="6BC4097D" w14:textId="77777777" w:rsidR="008A4121" w:rsidRDefault="008A4121" w:rsidP="001C4993">
            <w:pPr>
              <w:jc w:val="center"/>
            </w:pPr>
            <w:r>
              <w:rPr>
                <w:sz w:val="22"/>
                <w:szCs w:val="22"/>
              </w:rPr>
              <w:t>Method</w:t>
            </w:r>
          </w:p>
        </w:tc>
        <w:tc>
          <w:tcPr>
            <w:tcW w:w="3510" w:type="dxa"/>
            <w:tcBorders>
              <w:top w:val="single" w:sz="1" w:space="0" w:color="808080"/>
              <w:left w:val="single" w:sz="1" w:space="0" w:color="808080"/>
              <w:bottom w:val="single" w:sz="1" w:space="0" w:color="808080"/>
              <w:right w:val="single" w:sz="1" w:space="0" w:color="808080"/>
            </w:tcBorders>
            <w:vAlign w:val="center"/>
          </w:tcPr>
          <w:p w14:paraId="5AACECD5" w14:textId="77777777" w:rsidR="008A4121" w:rsidRDefault="008A4121" w:rsidP="0025438A">
            <w:r>
              <w:rPr>
                <w:sz w:val="22"/>
                <w:szCs w:val="22"/>
              </w:rPr>
              <w:t>Structured online survey with Likert scales and categorical items</w:t>
            </w:r>
          </w:p>
        </w:tc>
        <w:tc>
          <w:tcPr>
            <w:tcW w:w="3510" w:type="dxa"/>
            <w:tcBorders>
              <w:top w:val="single" w:sz="1" w:space="0" w:color="808080"/>
              <w:left w:val="single" w:sz="1" w:space="0" w:color="808080"/>
              <w:bottom w:val="single" w:sz="1" w:space="0" w:color="808080"/>
              <w:right w:val="single" w:sz="1" w:space="0" w:color="808080"/>
            </w:tcBorders>
            <w:vAlign w:val="center"/>
          </w:tcPr>
          <w:p w14:paraId="37067AED" w14:textId="77777777" w:rsidR="008A4121" w:rsidRDefault="008A4121" w:rsidP="0025438A">
            <w:r>
              <w:rPr>
                <w:sz w:val="22"/>
                <w:szCs w:val="22"/>
              </w:rPr>
              <w:t>Semi-structured email questionnaires with open-ended questions</w:t>
            </w:r>
          </w:p>
        </w:tc>
      </w:tr>
      <w:tr w:rsidR="008A4121" w14:paraId="5FC8C1B5" w14:textId="77777777" w:rsidTr="0077262C">
        <w:trPr>
          <w:trHeight w:val="989"/>
        </w:trPr>
        <w:tc>
          <w:tcPr>
            <w:tcW w:w="2340" w:type="dxa"/>
            <w:tcBorders>
              <w:top w:val="single" w:sz="1" w:space="0" w:color="808080"/>
              <w:left w:val="single" w:sz="1" w:space="0" w:color="808080"/>
              <w:bottom w:val="single" w:sz="1" w:space="0" w:color="808080"/>
              <w:right w:val="single" w:sz="1" w:space="0" w:color="808080"/>
            </w:tcBorders>
            <w:vAlign w:val="center"/>
          </w:tcPr>
          <w:p w14:paraId="29039B07" w14:textId="77777777" w:rsidR="008A4121" w:rsidRDefault="008A4121" w:rsidP="001C4993">
            <w:pPr>
              <w:jc w:val="center"/>
            </w:pPr>
            <w:r>
              <w:rPr>
                <w:sz w:val="22"/>
                <w:szCs w:val="22"/>
              </w:rPr>
              <w:t>Sample</w:t>
            </w:r>
          </w:p>
        </w:tc>
        <w:tc>
          <w:tcPr>
            <w:tcW w:w="3510" w:type="dxa"/>
            <w:tcBorders>
              <w:top w:val="single" w:sz="1" w:space="0" w:color="808080"/>
              <w:left w:val="single" w:sz="1" w:space="0" w:color="808080"/>
              <w:bottom w:val="single" w:sz="1" w:space="0" w:color="808080"/>
              <w:right w:val="single" w:sz="1" w:space="0" w:color="808080"/>
            </w:tcBorders>
            <w:vAlign w:val="center"/>
          </w:tcPr>
          <w:p w14:paraId="0A5F30AA" w14:textId="77777777" w:rsidR="008A4121" w:rsidRDefault="008A4121" w:rsidP="0025438A">
            <w:r>
              <w:rPr>
                <w:sz w:val="22"/>
                <w:szCs w:val="22"/>
              </w:rPr>
              <w:t>n=87 built environment professionals via professional networks</w:t>
            </w:r>
          </w:p>
        </w:tc>
        <w:tc>
          <w:tcPr>
            <w:tcW w:w="3510" w:type="dxa"/>
            <w:tcBorders>
              <w:top w:val="single" w:sz="1" w:space="0" w:color="808080"/>
              <w:left w:val="single" w:sz="1" w:space="0" w:color="808080"/>
              <w:bottom w:val="single" w:sz="1" w:space="0" w:color="808080"/>
              <w:right w:val="single" w:sz="1" w:space="0" w:color="808080"/>
            </w:tcBorders>
            <w:vAlign w:val="center"/>
          </w:tcPr>
          <w:p w14:paraId="00DAAA6D" w14:textId="77777777" w:rsidR="008A4121" w:rsidRDefault="008A4121" w:rsidP="0025438A">
            <w:r>
              <w:rPr>
                <w:sz w:val="22"/>
                <w:szCs w:val="22"/>
              </w:rPr>
              <w:t>n=6 purposively selected FE sector stakeholders from South Wales</w:t>
            </w:r>
          </w:p>
        </w:tc>
      </w:tr>
      <w:tr w:rsidR="008A4121" w14:paraId="7C62DE5A" w14:textId="77777777" w:rsidTr="0077262C">
        <w:trPr>
          <w:trHeight w:val="989"/>
        </w:trPr>
        <w:tc>
          <w:tcPr>
            <w:tcW w:w="2340" w:type="dxa"/>
            <w:tcBorders>
              <w:top w:val="single" w:sz="1" w:space="0" w:color="808080"/>
              <w:left w:val="single" w:sz="1" w:space="0" w:color="808080"/>
              <w:bottom w:val="single" w:sz="1" w:space="0" w:color="808080"/>
              <w:right w:val="single" w:sz="1" w:space="0" w:color="808080"/>
            </w:tcBorders>
            <w:vAlign w:val="center"/>
          </w:tcPr>
          <w:p w14:paraId="33BC19BE" w14:textId="77777777" w:rsidR="008A4121" w:rsidRDefault="008A4121" w:rsidP="001C4993">
            <w:pPr>
              <w:jc w:val="center"/>
            </w:pPr>
            <w:r>
              <w:rPr>
                <w:sz w:val="22"/>
                <w:szCs w:val="22"/>
              </w:rPr>
              <w:t>Analysis</w:t>
            </w:r>
          </w:p>
        </w:tc>
        <w:tc>
          <w:tcPr>
            <w:tcW w:w="3510" w:type="dxa"/>
            <w:tcBorders>
              <w:top w:val="single" w:sz="1" w:space="0" w:color="808080"/>
              <w:left w:val="single" w:sz="1" w:space="0" w:color="808080"/>
              <w:bottom w:val="single" w:sz="1" w:space="0" w:color="808080"/>
              <w:right w:val="single" w:sz="1" w:space="0" w:color="808080"/>
            </w:tcBorders>
            <w:vAlign w:val="center"/>
          </w:tcPr>
          <w:p w14:paraId="52345CEC" w14:textId="77777777" w:rsidR="008A4121" w:rsidRDefault="008A4121" w:rsidP="0025438A">
            <w:r>
              <w:rPr>
                <w:sz w:val="22"/>
                <w:szCs w:val="22"/>
              </w:rPr>
              <w:t>Descriptive statistics, correlation analysis, composite indices</w:t>
            </w:r>
          </w:p>
        </w:tc>
        <w:tc>
          <w:tcPr>
            <w:tcW w:w="3510" w:type="dxa"/>
            <w:tcBorders>
              <w:top w:val="single" w:sz="1" w:space="0" w:color="808080"/>
              <w:left w:val="single" w:sz="1" w:space="0" w:color="808080"/>
              <w:bottom w:val="single" w:sz="1" w:space="0" w:color="808080"/>
              <w:right w:val="single" w:sz="1" w:space="0" w:color="808080"/>
            </w:tcBorders>
            <w:vAlign w:val="center"/>
          </w:tcPr>
          <w:p w14:paraId="3DDDADD7" w14:textId="77777777" w:rsidR="008A4121" w:rsidRDefault="008A4121" w:rsidP="0025438A">
            <w:r>
              <w:rPr>
                <w:sz w:val="22"/>
                <w:szCs w:val="22"/>
              </w:rPr>
              <w:t>Deductive thematic analysis aligned with conceptual framework</w:t>
            </w:r>
          </w:p>
        </w:tc>
      </w:tr>
      <w:tr w:rsidR="008A4121" w14:paraId="03DFD9EF" w14:textId="77777777" w:rsidTr="0077262C">
        <w:trPr>
          <w:trHeight w:val="988"/>
        </w:trPr>
        <w:tc>
          <w:tcPr>
            <w:tcW w:w="2340" w:type="dxa"/>
            <w:tcBorders>
              <w:top w:val="single" w:sz="1" w:space="0" w:color="808080"/>
              <w:left w:val="single" w:sz="1" w:space="0" w:color="808080"/>
              <w:bottom w:val="single" w:sz="1" w:space="0" w:color="808080"/>
              <w:right w:val="single" w:sz="1" w:space="0" w:color="808080"/>
            </w:tcBorders>
            <w:vAlign w:val="center"/>
          </w:tcPr>
          <w:p w14:paraId="77F92D4F" w14:textId="77777777" w:rsidR="008A4121" w:rsidRDefault="008A4121" w:rsidP="001C4993">
            <w:pPr>
              <w:jc w:val="center"/>
            </w:pPr>
            <w:r>
              <w:rPr>
                <w:sz w:val="22"/>
                <w:szCs w:val="22"/>
              </w:rPr>
              <w:t>Integration</w:t>
            </w:r>
          </w:p>
        </w:tc>
        <w:tc>
          <w:tcPr>
            <w:tcW w:w="3510" w:type="dxa"/>
            <w:tcBorders>
              <w:top w:val="single" w:sz="1" w:space="0" w:color="808080"/>
              <w:left w:val="single" w:sz="1" w:space="0" w:color="808080"/>
              <w:bottom w:val="single" w:sz="1" w:space="0" w:color="808080"/>
              <w:right w:val="single" w:sz="1" w:space="0" w:color="808080"/>
            </w:tcBorders>
            <w:vAlign w:val="center"/>
          </w:tcPr>
          <w:p w14:paraId="2D4C3167" w14:textId="77777777" w:rsidR="008A4121" w:rsidRDefault="008A4121" w:rsidP="0025438A">
            <w:r>
              <w:rPr>
                <w:sz w:val="22"/>
                <w:szCs w:val="22"/>
              </w:rPr>
              <w:t>Findings triangulated in Chapter 4 to identify convergence, divergence, and complementarity</w:t>
            </w:r>
          </w:p>
        </w:tc>
        <w:tc>
          <w:tcPr>
            <w:tcW w:w="3510" w:type="dxa"/>
            <w:tcBorders>
              <w:top w:val="single" w:sz="1" w:space="0" w:color="808080"/>
              <w:left w:val="single" w:sz="1" w:space="0" w:color="808080"/>
              <w:bottom w:val="single" w:sz="1" w:space="0" w:color="808080"/>
              <w:right w:val="single" w:sz="1" w:space="0" w:color="808080"/>
            </w:tcBorders>
            <w:vAlign w:val="center"/>
          </w:tcPr>
          <w:p w14:paraId="5F100014" w14:textId="77777777" w:rsidR="008A4121" w:rsidRDefault="008A4121" w:rsidP="0025438A">
            <w:r>
              <w:rPr>
                <w:sz w:val="22"/>
                <w:szCs w:val="22"/>
              </w:rPr>
              <w:t>Qualitative findings contextualise and explain quantitative patterns</w:t>
            </w:r>
          </w:p>
        </w:tc>
      </w:tr>
    </w:tbl>
    <w:p w14:paraId="3DB8510F" w14:textId="77777777" w:rsidR="008A4121" w:rsidRDefault="008A4121" w:rsidP="008A4121">
      <w:pPr>
        <w:spacing w:after="200"/>
      </w:pPr>
    </w:p>
    <w:p w14:paraId="630A7EDE" w14:textId="77777777" w:rsidR="008A4121" w:rsidRDefault="008A4121" w:rsidP="008A4121">
      <w:pPr>
        <w:pStyle w:val="Heading3"/>
      </w:pPr>
      <w:bookmarkStart w:id="56" w:name="_Toc220152186"/>
      <w:r>
        <w:t>3.3.2 Conceptual Framework Alignment</w:t>
      </w:r>
      <w:bookmarkEnd w:id="56"/>
    </w:p>
    <w:p w14:paraId="24B2035C" w14:textId="77777777" w:rsidR="008A4121" w:rsidRDefault="008A4121" w:rsidP="008A4121">
      <w:pPr>
        <w:spacing w:after="200" w:line="360" w:lineRule="auto"/>
      </w:pPr>
      <w:r>
        <w:t>Data collection and analysis were guided by a three-domain conceptual framework developed from the literature review findings. This framework recognises that successful AI-Digital Twin implementation depends on the interaction of three interconnected domains:</w:t>
      </w:r>
    </w:p>
    <w:p w14:paraId="5C37ABCC" w14:textId="77777777" w:rsidR="008A4121" w:rsidRDefault="008A4121" w:rsidP="008A4121">
      <w:pPr>
        <w:pStyle w:val="ListParagraph"/>
        <w:numPr>
          <w:ilvl w:val="0"/>
          <w:numId w:val="3"/>
        </w:numPr>
        <w:contextualSpacing w:val="0"/>
      </w:pPr>
      <w:r>
        <w:t>Technological Capability: technical infrastructure, system interoperability, API integration, data quality, and sensor networks</w:t>
      </w:r>
    </w:p>
    <w:p w14:paraId="5EC6A6F8" w14:textId="2DF79F19" w:rsidR="008A4121" w:rsidRDefault="008A4121" w:rsidP="008A4121">
      <w:pPr>
        <w:pStyle w:val="ListParagraph"/>
        <w:numPr>
          <w:ilvl w:val="0"/>
          <w:numId w:val="3"/>
        </w:numPr>
        <w:contextualSpacing w:val="0"/>
      </w:pPr>
      <w:r>
        <w:t xml:space="preserve">Human and Organisational Readiness: digital skills, training provision, organisational culture, leadership support, and change management </w:t>
      </w:r>
      <w:r w:rsidR="00591541">
        <w:t>capacity.</w:t>
      </w:r>
    </w:p>
    <w:p w14:paraId="06006D96" w14:textId="77777777" w:rsidR="008A4121" w:rsidRDefault="008A4121" w:rsidP="008A4121">
      <w:pPr>
        <w:pStyle w:val="ListParagraph"/>
        <w:numPr>
          <w:ilvl w:val="0"/>
          <w:numId w:val="3"/>
        </w:numPr>
        <w:contextualSpacing w:val="0"/>
      </w:pPr>
      <w:r>
        <w:t>Policy and Governance Alignment: regulatory drivers, data governance protocols, cybersecurity frameworks, procurement practices, and funding mechanisms</w:t>
      </w:r>
    </w:p>
    <w:p w14:paraId="5978BFC6" w14:textId="49E3DB6A" w:rsidR="008A4121" w:rsidRDefault="008A4121" w:rsidP="008A4121">
      <w:pPr>
        <w:spacing w:before="200" w:after="200" w:line="360" w:lineRule="auto"/>
      </w:pPr>
      <w:r>
        <w:t xml:space="preserve">The survey instrument and interview schedule were designed to capture data across all three domains, enabling integrated analysis of how these factors interact in the FE sector context. This framework-driven approach ensures coherent data collection that facilitates meaningful synthesis during analysis (Saunders, </w:t>
      </w:r>
      <w:r w:rsidR="006A1981">
        <w:t>Lewis,</w:t>
      </w:r>
      <w:r>
        <w:t xml:space="preserve"> and Thornhill, 2023). The research also incorporates elements of case study methodology, focusing specifically on the Further Education sector in South Wales as a bounded system (Yin, 2018), purposively selected due to the sector's significant building stock, sustainability pressures under Welsh Government decarbonisation targets, and the researcher's professional access to institutional stakeholders.</w:t>
      </w:r>
    </w:p>
    <w:p w14:paraId="0861F62F" w14:textId="77777777" w:rsidR="008A4121" w:rsidRDefault="008A4121" w:rsidP="008A4121">
      <w:pPr>
        <w:pStyle w:val="Heading2"/>
      </w:pPr>
      <w:bookmarkStart w:id="57" w:name="_Toc220152187"/>
      <w:r>
        <w:lastRenderedPageBreak/>
        <w:t>3.4 Quantitative Data Collection: Industry Survey</w:t>
      </w:r>
      <w:bookmarkEnd w:id="57"/>
    </w:p>
    <w:p w14:paraId="312E2817" w14:textId="77777777" w:rsidR="008A4121" w:rsidRDefault="008A4121" w:rsidP="008A4121">
      <w:pPr>
        <w:pStyle w:val="Heading3"/>
      </w:pPr>
      <w:bookmarkStart w:id="58" w:name="_Toc220152188"/>
      <w:r>
        <w:t>3.4.1 Survey Instrument Design</w:t>
      </w:r>
      <w:bookmarkEnd w:id="58"/>
    </w:p>
    <w:p w14:paraId="52C4CAFA" w14:textId="0388F1E6" w:rsidR="008A4121" w:rsidRDefault="008A4121" w:rsidP="008A4121">
      <w:pPr>
        <w:spacing w:after="200" w:line="360" w:lineRule="auto"/>
      </w:pPr>
      <w:r>
        <w:t>A structured online questionnaire was developed to capture industry perspectives on AI, Digital Twin, and API-driven technologies within post-construction M&amp;E systems. Following recommendations from Naoum (2019) for construction management surveys, the instrument comprised 12 items organised across six sections: Professional Context, Familiarity and Adoption, Perceived Benefits, Barriers and Readiness, Sustainability and Policy Alignment, and Demographics. This structure aligned with the three-domain conceptual framework while maintaining respondent engagement through logical sequencing and manageable completion time (estimated 8</w:t>
      </w:r>
      <w:r w:rsidR="009B7E07">
        <w:t>-</w:t>
      </w:r>
      <w:r>
        <w:t>10 minutes).</w:t>
      </w:r>
      <w:r w:rsidR="00654EE4">
        <w:t xml:space="preserve"> </w:t>
      </w:r>
      <w:r w:rsidR="00654EE4" w:rsidRPr="00654EE4">
        <w:t>The complete survey instrument is provided in Appendix A.</w:t>
      </w:r>
    </w:p>
    <w:p w14:paraId="0A9835C2" w14:textId="39F6C0CB" w:rsidR="00DF23BB" w:rsidRDefault="008A4121" w:rsidP="008A4121">
      <w:pPr>
        <w:spacing w:after="200" w:line="360" w:lineRule="auto"/>
      </w:pPr>
      <w:r>
        <w:t>Likert scales are widely used in built environment research to capture degrees of agreement and perceived importance, enabling subsequent parametric statistical analysis when assumptions are met (Bryman, 2021). Categorical items captured professional role, experience level, organisation type, geographic region, and adoption status.</w:t>
      </w:r>
    </w:p>
    <w:p w14:paraId="37F47C37" w14:textId="251E14A4" w:rsidR="007900BB" w:rsidRPr="007900BB" w:rsidRDefault="007900BB" w:rsidP="007900BB">
      <w:pPr>
        <w:pStyle w:val="Caption"/>
        <w:keepNext/>
        <w:rPr>
          <w:b/>
          <w:bCs/>
          <w:color w:val="auto"/>
          <w:sz w:val="20"/>
          <w:szCs w:val="20"/>
        </w:rPr>
      </w:pPr>
      <w:bookmarkStart w:id="59" w:name="_Toc220151985"/>
      <w:bookmarkStart w:id="60" w:name="_Toc223077220"/>
      <w:bookmarkStart w:id="61" w:name="_Toc223079116"/>
      <w:r w:rsidRPr="007900BB">
        <w:rPr>
          <w:b/>
          <w:bCs/>
          <w:color w:val="auto"/>
          <w:sz w:val="20"/>
          <w:szCs w:val="20"/>
        </w:rPr>
        <w:t xml:space="preserve">Table </w:t>
      </w:r>
      <w:r w:rsidR="00CD0E8E">
        <w:rPr>
          <w:b/>
          <w:bCs/>
          <w:color w:val="auto"/>
          <w:sz w:val="20"/>
          <w:szCs w:val="20"/>
        </w:rPr>
        <w:t>3.</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2</w:t>
      </w:r>
      <w:r w:rsidR="00E10041">
        <w:rPr>
          <w:b/>
          <w:bCs/>
          <w:color w:val="auto"/>
          <w:sz w:val="20"/>
          <w:szCs w:val="20"/>
        </w:rPr>
        <w:fldChar w:fldCharType="end"/>
      </w:r>
      <w:r w:rsidRPr="007900BB">
        <w:rPr>
          <w:b/>
          <w:bCs/>
          <w:color w:val="auto"/>
          <w:sz w:val="20"/>
          <w:szCs w:val="20"/>
        </w:rPr>
        <w:t>: Survey Construct Operationalisation</w:t>
      </w:r>
      <w:bookmarkEnd w:id="59"/>
      <w:bookmarkEnd w:id="60"/>
      <w:bookmarkEnd w:id="61"/>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24"/>
        <w:gridCol w:w="2656"/>
        <w:gridCol w:w="1724"/>
        <w:gridCol w:w="2520"/>
      </w:tblGrid>
      <w:tr w:rsidR="008A4121" w14:paraId="6F553E2A" w14:textId="77777777" w:rsidTr="00BE29C7">
        <w:trPr>
          <w:tblHeader/>
        </w:trPr>
        <w:tc>
          <w:tcPr>
            <w:tcW w:w="2200" w:type="dxa"/>
            <w:tcBorders>
              <w:top w:val="single" w:sz="1" w:space="0" w:color="808080"/>
              <w:left w:val="single" w:sz="1" w:space="0" w:color="808080"/>
              <w:bottom w:val="single" w:sz="1" w:space="0" w:color="808080"/>
              <w:right w:val="single" w:sz="1" w:space="0" w:color="808080"/>
            </w:tcBorders>
            <w:shd w:val="clear" w:color="auto" w:fill="D9E2F3"/>
          </w:tcPr>
          <w:p w14:paraId="6157E7A2" w14:textId="77777777" w:rsidR="008A4121" w:rsidRDefault="008A4121" w:rsidP="00BE29C7">
            <w:pPr>
              <w:jc w:val="center"/>
            </w:pPr>
            <w:r>
              <w:rPr>
                <w:b/>
                <w:bCs/>
                <w:sz w:val="22"/>
                <w:szCs w:val="22"/>
              </w:rPr>
              <w:t>Construct</w:t>
            </w:r>
          </w:p>
        </w:tc>
        <w:tc>
          <w:tcPr>
            <w:tcW w:w="2800" w:type="dxa"/>
            <w:tcBorders>
              <w:top w:val="single" w:sz="1" w:space="0" w:color="808080"/>
              <w:left w:val="single" w:sz="1" w:space="0" w:color="808080"/>
              <w:bottom w:val="single" w:sz="1" w:space="0" w:color="808080"/>
              <w:right w:val="single" w:sz="1" w:space="0" w:color="808080"/>
            </w:tcBorders>
            <w:shd w:val="clear" w:color="auto" w:fill="D9E2F3"/>
          </w:tcPr>
          <w:p w14:paraId="045E2F36" w14:textId="77777777" w:rsidR="008A4121" w:rsidRDefault="008A4121" w:rsidP="00BE29C7">
            <w:pPr>
              <w:jc w:val="center"/>
            </w:pPr>
            <w:r>
              <w:rPr>
                <w:b/>
                <w:bCs/>
                <w:sz w:val="22"/>
                <w:szCs w:val="22"/>
              </w:rPr>
              <w:t>Items</w:t>
            </w:r>
          </w:p>
        </w:tc>
        <w:tc>
          <w:tcPr>
            <w:tcW w:w="1800" w:type="dxa"/>
            <w:tcBorders>
              <w:top w:val="single" w:sz="1" w:space="0" w:color="808080"/>
              <w:left w:val="single" w:sz="1" w:space="0" w:color="808080"/>
              <w:bottom w:val="single" w:sz="1" w:space="0" w:color="808080"/>
              <w:right w:val="single" w:sz="1" w:space="0" w:color="808080"/>
            </w:tcBorders>
            <w:shd w:val="clear" w:color="auto" w:fill="D9E2F3"/>
          </w:tcPr>
          <w:p w14:paraId="2C45D9AC" w14:textId="77777777" w:rsidR="008A4121" w:rsidRDefault="008A4121" w:rsidP="00BE29C7">
            <w:pPr>
              <w:jc w:val="center"/>
            </w:pPr>
            <w:r>
              <w:rPr>
                <w:b/>
                <w:bCs/>
                <w:sz w:val="22"/>
                <w:szCs w:val="22"/>
              </w:rPr>
              <w:t>Scale</w:t>
            </w:r>
          </w:p>
        </w:tc>
        <w:tc>
          <w:tcPr>
            <w:tcW w:w="2560" w:type="dxa"/>
            <w:tcBorders>
              <w:top w:val="single" w:sz="1" w:space="0" w:color="808080"/>
              <w:left w:val="single" w:sz="1" w:space="0" w:color="808080"/>
              <w:bottom w:val="single" w:sz="1" w:space="0" w:color="808080"/>
              <w:right w:val="single" w:sz="1" w:space="0" w:color="808080"/>
            </w:tcBorders>
            <w:shd w:val="clear" w:color="auto" w:fill="D9E2F3"/>
          </w:tcPr>
          <w:p w14:paraId="0EBC7806" w14:textId="77777777" w:rsidR="008A4121" w:rsidRDefault="008A4121" w:rsidP="00BE29C7">
            <w:pPr>
              <w:jc w:val="center"/>
            </w:pPr>
            <w:r>
              <w:rPr>
                <w:b/>
                <w:bCs/>
                <w:sz w:val="22"/>
                <w:szCs w:val="22"/>
              </w:rPr>
              <w:t>Framework Domain</w:t>
            </w:r>
          </w:p>
        </w:tc>
      </w:tr>
      <w:tr w:rsidR="008A4121" w14:paraId="25E4431E" w14:textId="77777777" w:rsidTr="0077262C">
        <w:trPr>
          <w:trHeight w:val="653"/>
        </w:trPr>
        <w:tc>
          <w:tcPr>
            <w:tcW w:w="2200" w:type="dxa"/>
            <w:tcBorders>
              <w:top w:val="single" w:sz="1" w:space="0" w:color="808080"/>
              <w:left w:val="single" w:sz="1" w:space="0" w:color="808080"/>
              <w:bottom w:val="single" w:sz="1" w:space="0" w:color="808080"/>
              <w:right w:val="single" w:sz="1" w:space="0" w:color="808080"/>
            </w:tcBorders>
            <w:vAlign w:val="center"/>
          </w:tcPr>
          <w:p w14:paraId="343ED61B" w14:textId="77777777" w:rsidR="008A4121" w:rsidRDefault="008A4121" w:rsidP="001C4993">
            <w:pPr>
              <w:jc w:val="center"/>
            </w:pPr>
            <w:r>
              <w:rPr>
                <w:sz w:val="22"/>
                <w:szCs w:val="22"/>
              </w:rPr>
              <w:t>Technology Familiarity</w:t>
            </w:r>
          </w:p>
        </w:tc>
        <w:tc>
          <w:tcPr>
            <w:tcW w:w="2800" w:type="dxa"/>
            <w:tcBorders>
              <w:top w:val="single" w:sz="1" w:space="0" w:color="808080"/>
              <w:left w:val="single" w:sz="1" w:space="0" w:color="808080"/>
              <w:bottom w:val="single" w:sz="1" w:space="0" w:color="808080"/>
              <w:right w:val="single" w:sz="1" w:space="0" w:color="808080"/>
            </w:tcBorders>
            <w:vAlign w:val="center"/>
          </w:tcPr>
          <w:p w14:paraId="69A8A598" w14:textId="77777777" w:rsidR="008A4121" w:rsidRDefault="008A4121" w:rsidP="001C4993">
            <w:pPr>
              <w:jc w:val="center"/>
            </w:pPr>
            <w:r>
              <w:rPr>
                <w:sz w:val="22"/>
                <w:szCs w:val="22"/>
              </w:rPr>
              <w:t>AI, Digital Twins, APIs (3 items)</w:t>
            </w:r>
          </w:p>
        </w:tc>
        <w:tc>
          <w:tcPr>
            <w:tcW w:w="1800" w:type="dxa"/>
            <w:tcBorders>
              <w:top w:val="single" w:sz="1" w:space="0" w:color="808080"/>
              <w:left w:val="single" w:sz="1" w:space="0" w:color="808080"/>
              <w:bottom w:val="single" w:sz="1" w:space="0" w:color="808080"/>
              <w:right w:val="single" w:sz="1" w:space="0" w:color="808080"/>
            </w:tcBorders>
            <w:vAlign w:val="center"/>
          </w:tcPr>
          <w:p w14:paraId="05E5A59E" w14:textId="77777777" w:rsidR="008A4121" w:rsidRDefault="008A4121" w:rsidP="001C4993">
            <w:pPr>
              <w:jc w:val="center"/>
            </w:pPr>
            <w:r>
              <w:rPr>
                <w:sz w:val="22"/>
                <w:szCs w:val="22"/>
              </w:rPr>
              <w:t>5-point Likert</w:t>
            </w:r>
          </w:p>
        </w:tc>
        <w:tc>
          <w:tcPr>
            <w:tcW w:w="2560" w:type="dxa"/>
            <w:tcBorders>
              <w:top w:val="single" w:sz="1" w:space="0" w:color="808080"/>
              <w:left w:val="single" w:sz="1" w:space="0" w:color="808080"/>
              <w:bottom w:val="single" w:sz="1" w:space="0" w:color="808080"/>
              <w:right w:val="single" w:sz="1" w:space="0" w:color="808080"/>
            </w:tcBorders>
            <w:vAlign w:val="center"/>
          </w:tcPr>
          <w:p w14:paraId="560F595E" w14:textId="77777777" w:rsidR="008A4121" w:rsidRDefault="008A4121" w:rsidP="001C4993">
            <w:pPr>
              <w:jc w:val="center"/>
            </w:pPr>
            <w:r>
              <w:rPr>
                <w:sz w:val="22"/>
                <w:szCs w:val="22"/>
              </w:rPr>
              <w:t>Technological Capability</w:t>
            </w:r>
          </w:p>
        </w:tc>
      </w:tr>
      <w:tr w:rsidR="008A4121" w14:paraId="23531691" w14:textId="77777777" w:rsidTr="0077262C">
        <w:trPr>
          <w:trHeight w:val="563"/>
        </w:trPr>
        <w:tc>
          <w:tcPr>
            <w:tcW w:w="2200" w:type="dxa"/>
            <w:tcBorders>
              <w:top w:val="single" w:sz="1" w:space="0" w:color="808080"/>
              <w:left w:val="single" w:sz="1" w:space="0" w:color="808080"/>
              <w:bottom w:val="single" w:sz="1" w:space="0" w:color="808080"/>
              <w:right w:val="single" w:sz="1" w:space="0" w:color="808080"/>
            </w:tcBorders>
            <w:vAlign w:val="center"/>
          </w:tcPr>
          <w:p w14:paraId="40EF92D1" w14:textId="77777777" w:rsidR="008A4121" w:rsidRDefault="008A4121" w:rsidP="001C4993">
            <w:pPr>
              <w:jc w:val="center"/>
            </w:pPr>
            <w:r>
              <w:rPr>
                <w:sz w:val="22"/>
                <w:szCs w:val="22"/>
              </w:rPr>
              <w:t>Adoption Status</w:t>
            </w:r>
          </w:p>
        </w:tc>
        <w:tc>
          <w:tcPr>
            <w:tcW w:w="2800" w:type="dxa"/>
            <w:tcBorders>
              <w:top w:val="single" w:sz="1" w:space="0" w:color="808080"/>
              <w:left w:val="single" w:sz="1" w:space="0" w:color="808080"/>
              <w:bottom w:val="single" w:sz="1" w:space="0" w:color="808080"/>
              <w:right w:val="single" w:sz="1" w:space="0" w:color="808080"/>
            </w:tcBorders>
            <w:vAlign w:val="center"/>
          </w:tcPr>
          <w:p w14:paraId="41E02941" w14:textId="77777777" w:rsidR="008A4121" w:rsidRDefault="008A4121" w:rsidP="001C4993">
            <w:pPr>
              <w:jc w:val="center"/>
            </w:pPr>
            <w:r>
              <w:rPr>
                <w:sz w:val="22"/>
                <w:szCs w:val="22"/>
              </w:rPr>
              <w:t>Implementation level (1 item)</w:t>
            </w:r>
          </w:p>
        </w:tc>
        <w:tc>
          <w:tcPr>
            <w:tcW w:w="1800" w:type="dxa"/>
            <w:tcBorders>
              <w:top w:val="single" w:sz="1" w:space="0" w:color="808080"/>
              <w:left w:val="single" w:sz="1" w:space="0" w:color="808080"/>
              <w:bottom w:val="single" w:sz="1" w:space="0" w:color="808080"/>
              <w:right w:val="single" w:sz="1" w:space="0" w:color="808080"/>
            </w:tcBorders>
            <w:vAlign w:val="center"/>
          </w:tcPr>
          <w:p w14:paraId="4F9B6779" w14:textId="77777777" w:rsidR="008A4121" w:rsidRDefault="008A4121" w:rsidP="001C4993">
            <w:pPr>
              <w:jc w:val="center"/>
            </w:pPr>
            <w:r>
              <w:rPr>
                <w:sz w:val="22"/>
                <w:szCs w:val="22"/>
              </w:rPr>
              <w:t>4-category nominal</w:t>
            </w:r>
          </w:p>
        </w:tc>
        <w:tc>
          <w:tcPr>
            <w:tcW w:w="2560" w:type="dxa"/>
            <w:tcBorders>
              <w:top w:val="single" w:sz="1" w:space="0" w:color="808080"/>
              <w:left w:val="single" w:sz="1" w:space="0" w:color="808080"/>
              <w:bottom w:val="single" w:sz="1" w:space="0" w:color="808080"/>
              <w:right w:val="single" w:sz="1" w:space="0" w:color="808080"/>
            </w:tcBorders>
            <w:vAlign w:val="center"/>
          </w:tcPr>
          <w:p w14:paraId="17DD6407" w14:textId="77777777" w:rsidR="008A4121" w:rsidRDefault="008A4121" w:rsidP="001C4993">
            <w:pPr>
              <w:jc w:val="center"/>
            </w:pPr>
            <w:r>
              <w:rPr>
                <w:sz w:val="22"/>
                <w:szCs w:val="22"/>
              </w:rPr>
              <w:t>Technological Capability</w:t>
            </w:r>
          </w:p>
        </w:tc>
      </w:tr>
      <w:tr w:rsidR="008A4121" w14:paraId="11F40C75" w14:textId="77777777" w:rsidTr="001C4993">
        <w:tc>
          <w:tcPr>
            <w:tcW w:w="2200" w:type="dxa"/>
            <w:tcBorders>
              <w:top w:val="single" w:sz="1" w:space="0" w:color="808080"/>
              <w:left w:val="single" w:sz="1" w:space="0" w:color="808080"/>
              <w:bottom w:val="single" w:sz="1" w:space="0" w:color="808080"/>
              <w:right w:val="single" w:sz="1" w:space="0" w:color="808080"/>
            </w:tcBorders>
            <w:vAlign w:val="center"/>
          </w:tcPr>
          <w:p w14:paraId="45959117" w14:textId="77777777" w:rsidR="008A4121" w:rsidRDefault="008A4121" w:rsidP="001C4993">
            <w:pPr>
              <w:jc w:val="center"/>
            </w:pPr>
            <w:r>
              <w:rPr>
                <w:sz w:val="22"/>
                <w:szCs w:val="22"/>
              </w:rPr>
              <w:t>Perceived Benefits</w:t>
            </w:r>
          </w:p>
        </w:tc>
        <w:tc>
          <w:tcPr>
            <w:tcW w:w="2800" w:type="dxa"/>
            <w:tcBorders>
              <w:top w:val="single" w:sz="1" w:space="0" w:color="808080"/>
              <w:left w:val="single" w:sz="1" w:space="0" w:color="808080"/>
              <w:bottom w:val="single" w:sz="1" w:space="0" w:color="808080"/>
              <w:right w:val="single" w:sz="1" w:space="0" w:color="808080"/>
            </w:tcBorders>
            <w:vAlign w:val="center"/>
          </w:tcPr>
          <w:p w14:paraId="15EC0616" w14:textId="77777777" w:rsidR="008A4121" w:rsidRDefault="008A4121" w:rsidP="001C4993">
            <w:pPr>
              <w:jc w:val="center"/>
            </w:pPr>
            <w:r>
              <w:rPr>
                <w:sz w:val="22"/>
                <w:szCs w:val="22"/>
              </w:rPr>
              <w:t>Energy efficiency, predictive maintenance, API integration, sustainability (4 items)</w:t>
            </w:r>
          </w:p>
        </w:tc>
        <w:tc>
          <w:tcPr>
            <w:tcW w:w="1800" w:type="dxa"/>
            <w:tcBorders>
              <w:top w:val="single" w:sz="1" w:space="0" w:color="808080"/>
              <w:left w:val="single" w:sz="1" w:space="0" w:color="808080"/>
              <w:bottom w:val="single" w:sz="1" w:space="0" w:color="808080"/>
              <w:right w:val="single" w:sz="1" w:space="0" w:color="808080"/>
            </w:tcBorders>
            <w:vAlign w:val="center"/>
          </w:tcPr>
          <w:p w14:paraId="1AB22E98" w14:textId="77777777" w:rsidR="008A4121" w:rsidRDefault="008A4121" w:rsidP="001C4993">
            <w:pPr>
              <w:jc w:val="center"/>
            </w:pPr>
            <w:r>
              <w:rPr>
                <w:sz w:val="22"/>
                <w:szCs w:val="22"/>
              </w:rPr>
              <w:t>5-point Likert</w:t>
            </w:r>
          </w:p>
        </w:tc>
        <w:tc>
          <w:tcPr>
            <w:tcW w:w="2560" w:type="dxa"/>
            <w:tcBorders>
              <w:top w:val="single" w:sz="1" w:space="0" w:color="808080"/>
              <w:left w:val="single" w:sz="1" w:space="0" w:color="808080"/>
              <w:bottom w:val="single" w:sz="1" w:space="0" w:color="808080"/>
              <w:right w:val="single" w:sz="1" w:space="0" w:color="808080"/>
            </w:tcBorders>
            <w:vAlign w:val="center"/>
          </w:tcPr>
          <w:p w14:paraId="40B24453" w14:textId="77777777" w:rsidR="008A4121" w:rsidRDefault="008A4121" w:rsidP="001C4993">
            <w:pPr>
              <w:jc w:val="center"/>
            </w:pPr>
            <w:r>
              <w:rPr>
                <w:sz w:val="22"/>
                <w:szCs w:val="22"/>
              </w:rPr>
              <w:t>Technological Capability / Policy Alignment</w:t>
            </w:r>
          </w:p>
        </w:tc>
      </w:tr>
      <w:tr w:rsidR="008A4121" w14:paraId="60811218" w14:textId="77777777" w:rsidTr="001C4993">
        <w:tc>
          <w:tcPr>
            <w:tcW w:w="2200" w:type="dxa"/>
            <w:tcBorders>
              <w:top w:val="single" w:sz="1" w:space="0" w:color="808080"/>
              <w:left w:val="single" w:sz="1" w:space="0" w:color="808080"/>
              <w:bottom w:val="single" w:sz="1" w:space="0" w:color="808080"/>
              <w:right w:val="single" w:sz="1" w:space="0" w:color="808080"/>
            </w:tcBorders>
            <w:vAlign w:val="center"/>
          </w:tcPr>
          <w:p w14:paraId="5A8E91FC" w14:textId="77777777" w:rsidR="008A4121" w:rsidRDefault="008A4121" w:rsidP="001C4993">
            <w:pPr>
              <w:jc w:val="center"/>
            </w:pPr>
            <w:r>
              <w:rPr>
                <w:sz w:val="22"/>
                <w:szCs w:val="22"/>
              </w:rPr>
              <w:t>Implementation Barriers</w:t>
            </w:r>
          </w:p>
        </w:tc>
        <w:tc>
          <w:tcPr>
            <w:tcW w:w="2800" w:type="dxa"/>
            <w:tcBorders>
              <w:top w:val="single" w:sz="1" w:space="0" w:color="808080"/>
              <w:left w:val="single" w:sz="1" w:space="0" w:color="808080"/>
              <w:bottom w:val="single" w:sz="1" w:space="0" w:color="808080"/>
              <w:right w:val="single" w:sz="1" w:space="0" w:color="808080"/>
            </w:tcBorders>
            <w:vAlign w:val="center"/>
          </w:tcPr>
          <w:p w14:paraId="2A835434" w14:textId="77777777" w:rsidR="008A4121" w:rsidRDefault="008A4121" w:rsidP="001C4993">
            <w:pPr>
              <w:jc w:val="center"/>
            </w:pPr>
            <w:r>
              <w:rPr>
                <w:sz w:val="22"/>
                <w:szCs w:val="22"/>
              </w:rPr>
              <w:t>Cost, skills, legacy systems, cybersecurity, API standards, data ownership (6 items)</w:t>
            </w:r>
          </w:p>
        </w:tc>
        <w:tc>
          <w:tcPr>
            <w:tcW w:w="1800" w:type="dxa"/>
            <w:tcBorders>
              <w:top w:val="single" w:sz="1" w:space="0" w:color="808080"/>
              <w:left w:val="single" w:sz="1" w:space="0" w:color="808080"/>
              <w:bottom w:val="single" w:sz="1" w:space="0" w:color="808080"/>
              <w:right w:val="single" w:sz="1" w:space="0" w:color="808080"/>
            </w:tcBorders>
            <w:vAlign w:val="center"/>
          </w:tcPr>
          <w:p w14:paraId="0B4218B3" w14:textId="77777777" w:rsidR="008A4121" w:rsidRDefault="008A4121" w:rsidP="001C4993">
            <w:pPr>
              <w:jc w:val="center"/>
            </w:pPr>
            <w:r>
              <w:rPr>
                <w:sz w:val="22"/>
                <w:szCs w:val="22"/>
              </w:rPr>
              <w:t>5-point Likert</w:t>
            </w:r>
          </w:p>
        </w:tc>
        <w:tc>
          <w:tcPr>
            <w:tcW w:w="2560" w:type="dxa"/>
            <w:tcBorders>
              <w:top w:val="single" w:sz="1" w:space="0" w:color="808080"/>
              <w:left w:val="single" w:sz="1" w:space="0" w:color="808080"/>
              <w:bottom w:val="single" w:sz="1" w:space="0" w:color="808080"/>
              <w:right w:val="single" w:sz="1" w:space="0" w:color="808080"/>
            </w:tcBorders>
            <w:vAlign w:val="center"/>
          </w:tcPr>
          <w:p w14:paraId="01BA3B49" w14:textId="77777777" w:rsidR="008A4121" w:rsidRDefault="008A4121" w:rsidP="001C4993">
            <w:pPr>
              <w:jc w:val="center"/>
            </w:pPr>
            <w:r>
              <w:rPr>
                <w:sz w:val="22"/>
                <w:szCs w:val="22"/>
              </w:rPr>
              <w:t>All three domains</w:t>
            </w:r>
          </w:p>
        </w:tc>
      </w:tr>
      <w:tr w:rsidR="008A4121" w14:paraId="36D8DA74" w14:textId="77777777" w:rsidTr="0077262C">
        <w:trPr>
          <w:trHeight w:val="657"/>
        </w:trPr>
        <w:tc>
          <w:tcPr>
            <w:tcW w:w="2200" w:type="dxa"/>
            <w:tcBorders>
              <w:top w:val="single" w:sz="1" w:space="0" w:color="808080"/>
              <w:left w:val="single" w:sz="1" w:space="0" w:color="808080"/>
              <w:bottom w:val="single" w:sz="1" w:space="0" w:color="808080"/>
              <w:right w:val="single" w:sz="1" w:space="0" w:color="808080"/>
            </w:tcBorders>
            <w:vAlign w:val="center"/>
          </w:tcPr>
          <w:p w14:paraId="52A013DD" w14:textId="77777777" w:rsidR="008A4121" w:rsidRDefault="008A4121" w:rsidP="001C4993">
            <w:pPr>
              <w:jc w:val="center"/>
            </w:pPr>
            <w:r>
              <w:rPr>
                <w:sz w:val="22"/>
                <w:szCs w:val="22"/>
              </w:rPr>
              <w:t>Organisational Readiness</w:t>
            </w:r>
          </w:p>
        </w:tc>
        <w:tc>
          <w:tcPr>
            <w:tcW w:w="2800" w:type="dxa"/>
            <w:tcBorders>
              <w:top w:val="single" w:sz="1" w:space="0" w:color="808080"/>
              <w:left w:val="single" w:sz="1" w:space="0" w:color="808080"/>
              <w:bottom w:val="single" w:sz="1" w:space="0" w:color="808080"/>
              <w:right w:val="single" w:sz="1" w:space="0" w:color="808080"/>
            </w:tcBorders>
            <w:vAlign w:val="center"/>
          </w:tcPr>
          <w:p w14:paraId="6226DA67" w14:textId="77777777" w:rsidR="008A4121" w:rsidRDefault="008A4121" w:rsidP="001C4993">
            <w:pPr>
              <w:jc w:val="center"/>
            </w:pPr>
            <w:r>
              <w:rPr>
                <w:sz w:val="22"/>
                <w:szCs w:val="22"/>
              </w:rPr>
              <w:t>Overall readiness assessment (1 item)</w:t>
            </w:r>
          </w:p>
        </w:tc>
        <w:tc>
          <w:tcPr>
            <w:tcW w:w="1800" w:type="dxa"/>
            <w:tcBorders>
              <w:top w:val="single" w:sz="1" w:space="0" w:color="808080"/>
              <w:left w:val="single" w:sz="1" w:space="0" w:color="808080"/>
              <w:bottom w:val="single" w:sz="1" w:space="0" w:color="808080"/>
              <w:right w:val="single" w:sz="1" w:space="0" w:color="808080"/>
            </w:tcBorders>
            <w:vAlign w:val="center"/>
          </w:tcPr>
          <w:p w14:paraId="07958873" w14:textId="77777777" w:rsidR="008A4121" w:rsidRDefault="008A4121" w:rsidP="001C4993">
            <w:pPr>
              <w:jc w:val="center"/>
            </w:pPr>
            <w:r>
              <w:rPr>
                <w:sz w:val="22"/>
                <w:szCs w:val="22"/>
              </w:rPr>
              <w:t>5-point Likert</w:t>
            </w:r>
          </w:p>
        </w:tc>
        <w:tc>
          <w:tcPr>
            <w:tcW w:w="2560" w:type="dxa"/>
            <w:tcBorders>
              <w:top w:val="single" w:sz="1" w:space="0" w:color="808080"/>
              <w:left w:val="single" w:sz="1" w:space="0" w:color="808080"/>
              <w:bottom w:val="single" w:sz="1" w:space="0" w:color="808080"/>
              <w:right w:val="single" w:sz="1" w:space="0" w:color="808080"/>
            </w:tcBorders>
            <w:vAlign w:val="center"/>
          </w:tcPr>
          <w:p w14:paraId="0EA04DE4" w14:textId="77777777" w:rsidR="008A4121" w:rsidRDefault="008A4121" w:rsidP="001C4993">
            <w:pPr>
              <w:jc w:val="center"/>
            </w:pPr>
            <w:r>
              <w:rPr>
                <w:sz w:val="22"/>
                <w:szCs w:val="22"/>
              </w:rPr>
              <w:t>Human/Organisational Readiness</w:t>
            </w:r>
          </w:p>
        </w:tc>
      </w:tr>
      <w:tr w:rsidR="008A4121" w14:paraId="68038A5C" w14:textId="77777777" w:rsidTr="0077262C">
        <w:trPr>
          <w:trHeight w:val="709"/>
        </w:trPr>
        <w:tc>
          <w:tcPr>
            <w:tcW w:w="2200" w:type="dxa"/>
            <w:tcBorders>
              <w:top w:val="single" w:sz="1" w:space="0" w:color="808080"/>
              <w:left w:val="single" w:sz="1" w:space="0" w:color="808080"/>
              <w:bottom w:val="single" w:sz="1" w:space="0" w:color="808080"/>
              <w:right w:val="single" w:sz="1" w:space="0" w:color="808080"/>
            </w:tcBorders>
            <w:vAlign w:val="center"/>
          </w:tcPr>
          <w:p w14:paraId="38415794" w14:textId="77777777" w:rsidR="008A4121" w:rsidRDefault="008A4121" w:rsidP="001C4993">
            <w:pPr>
              <w:jc w:val="center"/>
            </w:pPr>
            <w:r>
              <w:rPr>
                <w:sz w:val="22"/>
                <w:szCs w:val="22"/>
              </w:rPr>
              <w:t>Sustainability Practice</w:t>
            </w:r>
          </w:p>
        </w:tc>
        <w:tc>
          <w:tcPr>
            <w:tcW w:w="2800" w:type="dxa"/>
            <w:tcBorders>
              <w:top w:val="single" w:sz="1" w:space="0" w:color="808080"/>
              <w:left w:val="single" w:sz="1" w:space="0" w:color="808080"/>
              <w:bottom w:val="single" w:sz="1" w:space="0" w:color="808080"/>
              <w:right w:val="single" w:sz="1" w:space="0" w:color="808080"/>
            </w:tcBorders>
            <w:vAlign w:val="center"/>
          </w:tcPr>
          <w:p w14:paraId="3DC98E86" w14:textId="77777777" w:rsidR="008A4121" w:rsidRDefault="008A4121" w:rsidP="001C4993">
            <w:pPr>
              <w:jc w:val="center"/>
            </w:pPr>
            <w:r>
              <w:rPr>
                <w:sz w:val="22"/>
                <w:szCs w:val="22"/>
              </w:rPr>
              <w:t>Carbon/EUI measurement, policy framework (2 items)</w:t>
            </w:r>
          </w:p>
        </w:tc>
        <w:tc>
          <w:tcPr>
            <w:tcW w:w="1800" w:type="dxa"/>
            <w:tcBorders>
              <w:top w:val="single" w:sz="1" w:space="0" w:color="808080"/>
              <w:left w:val="single" w:sz="1" w:space="0" w:color="808080"/>
              <w:bottom w:val="single" w:sz="1" w:space="0" w:color="808080"/>
              <w:right w:val="single" w:sz="1" w:space="0" w:color="808080"/>
            </w:tcBorders>
            <w:vAlign w:val="center"/>
          </w:tcPr>
          <w:p w14:paraId="786D88A3" w14:textId="77777777" w:rsidR="008A4121" w:rsidRDefault="008A4121" w:rsidP="001C4993">
            <w:pPr>
              <w:jc w:val="center"/>
            </w:pPr>
            <w:r>
              <w:rPr>
                <w:sz w:val="22"/>
                <w:szCs w:val="22"/>
              </w:rPr>
              <w:t>Categorical</w:t>
            </w:r>
          </w:p>
        </w:tc>
        <w:tc>
          <w:tcPr>
            <w:tcW w:w="2560" w:type="dxa"/>
            <w:tcBorders>
              <w:top w:val="single" w:sz="1" w:space="0" w:color="808080"/>
              <w:left w:val="single" w:sz="1" w:space="0" w:color="808080"/>
              <w:bottom w:val="single" w:sz="1" w:space="0" w:color="808080"/>
              <w:right w:val="single" w:sz="1" w:space="0" w:color="808080"/>
            </w:tcBorders>
            <w:vAlign w:val="center"/>
          </w:tcPr>
          <w:p w14:paraId="1D1FCCE1" w14:textId="77777777" w:rsidR="008A4121" w:rsidRDefault="008A4121" w:rsidP="001C4993">
            <w:pPr>
              <w:jc w:val="center"/>
            </w:pPr>
            <w:r>
              <w:rPr>
                <w:sz w:val="22"/>
                <w:szCs w:val="22"/>
              </w:rPr>
              <w:t>Policy/Governance Alignment</w:t>
            </w:r>
          </w:p>
        </w:tc>
      </w:tr>
    </w:tbl>
    <w:p w14:paraId="6ADFD538" w14:textId="77777777" w:rsidR="008A4121" w:rsidRDefault="008A4121" w:rsidP="008A4121">
      <w:pPr>
        <w:spacing w:after="200"/>
      </w:pPr>
    </w:p>
    <w:p w14:paraId="1908EB4F" w14:textId="77777777" w:rsidR="00267E3F" w:rsidRDefault="00267E3F" w:rsidP="008A4121">
      <w:pPr>
        <w:spacing w:after="200"/>
      </w:pPr>
    </w:p>
    <w:p w14:paraId="2803B178" w14:textId="77777777" w:rsidR="008A4121" w:rsidRDefault="008A4121" w:rsidP="008A4121">
      <w:pPr>
        <w:pStyle w:val="Heading3"/>
      </w:pPr>
      <w:bookmarkStart w:id="62" w:name="_Toc220152189"/>
      <w:r>
        <w:lastRenderedPageBreak/>
        <w:t>3.4.2 Pilot Testing and Refinement</w:t>
      </w:r>
      <w:bookmarkEnd w:id="62"/>
    </w:p>
    <w:p w14:paraId="30BC0044" w14:textId="2BA2F577" w:rsidR="008A4121" w:rsidRDefault="008A4121" w:rsidP="008A4121">
      <w:pPr>
        <w:spacing w:after="200" w:line="360" w:lineRule="auto"/>
      </w:pPr>
      <w:r>
        <w:t>The survey instrument underwent pilot testing with three built environment professionals prior to full deployment, following recommendations for pre-testing in construction management research (Naoum, 2019). Pilot participants were asked to complete the survey while noting any ambiguous wording, unclear instructions, or technical difficulties. Feedback resulted in minor refinements to item phrasing, particularly clarifying the distinction between 'partial integration' and 'planning to implement' in the adoption status question. The pilot also confirmed the estimated completion time of 8</w:t>
      </w:r>
      <w:r w:rsidR="009B7E07">
        <w:t>-</w:t>
      </w:r>
      <w:r>
        <w:t>10 minutes was accurate, supporting respondent engagement.</w:t>
      </w:r>
    </w:p>
    <w:p w14:paraId="376308F8" w14:textId="77777777" w:rsidR="008A4121" w:rsidRDefault="008A4121" w:rsidP="008A4121">
      <w:pPr>
        <w:pStyle w:val="Heading3"/>
      </w:pPr>
      <w:bookmarkStart w:id="63" w:name="_Toc220152190"/>
      <w:r>
        <w:t>3.4.3 Sampling Strategy and Distribution</w:t>
      </w:r>
      <w:bookmarkEnd w:id="63"/>
    </w:p>
    <w:p w14:paraId="6D5BEAE2" w14:textId="77777777" w:rsidR="008A4121" w:rsidRDefault="008A4121" w:rsidP="008A4121">
      <w:pPr>
        <w:spacing w:after="200" w:line="360" w:lineRule="auto"/>
      </w:pPr>
      <w:r>
        <w:t>The survey employed non-probability purposive sampling through professional networks, targeting individuals with direct involvement in building operations, M&amp;E systems, facilities management, or sustainability roles (Bryman, 2021). Target participants included facilities managers, M&amp;E engineers, BIM coordinators, sustainability officers, and consultants working with commercial and institutional buildings. This professional focus ensured respondents possessed requisite knowledge to provide informed perspectives on M&amp;E system management and digital technology applications.</w:t>
      </w:r>
    </w:p>
    <w:p w14:paraId="7A4EC34E" w14:textId="1CEBFBD7" w:rsidR="008A4121" w:rsidRDefault="008A4121" w:rsidP="008A4121">
      <w:pPr>
        <w:spacing w:after="200" w:line="360" w:lineRule="auto"/>
      </w:pPr>
      <w:r>
        <w:t xml:space="preserve">Distribution channels included LinkedIn professional networks, direct email contacts within the built environment sector, and professional association networks including CIBSE and BSRIA connections. This practitioner-focused sampling strategy was selected to capture perspectives under-represented in academic literature, particularly those relating to operational constraints, legacy systems, and API-driven system integration in existing buildings. The survey remained open for six weeks during </w:t>
      </w:r>
      <w:r w:rsidR="00591541">
        <w:t>November</w:t>
      </w:r>
      <w:r w:rsidR="009B7E07">
        <w:t xml:space="preserve"> - </w:t>
      </w:r>
      <w:r w:rsidR="00591541">
        <w:t>December</w:t>
      </w:r>
      <w:r>
        <w:t xml:space="preserve"> 2025, with two reminder communications sent to enhance response rates.</w:t>
      </w:r>
    </w:p>
    <w:p w14:paraId="3AA7740F" w14:textId="50B5341B" w:rsidR="008A4121" w:rsidRDefault="008A4121" w:rsidP="008A4121">
      <w:pPr>
        <w:spacing w:after="200" w:line="360" w:lineRule="auto"/>
      </w:pPr>
      <w:r>
        <w:t xml:space="preserve">A total of 87 valid responses were received, exceeding the minimum threshold of 50 responses typically considered adequate for exploratory survey research in specialist professional domains (Naoum, 2019; Saunders, </w:t>
      </w:r>
      <w:r w:rsidR="006A1981">
        <w:t>Lewis,</w:t>
      </w:r>
      <w:r>
        <w:t xml:space="preserve"> and Thornhill, 2023). The sample included respondents from diverse professional roles (M&amp;E Engineers: 25%; Facility Managers: 23%; Building Consultants: 20%; Sustainability Officers: 11%), organisation types (Private: 43%; Public: 23%; Education: 23%), experience levels, and geographic regions, as detailed in Chapter 4.</w:t>
      </w:r>
    </w:p>
    <w:p w14:paraId="451C2C81" w14:textId="77777777" w:rsidR="008A4121" w:rsidRDefault="008A4121" w:rsidP="008A4121">
      <w:pPr>
        <w:pStyle w:val="Heading2"/>
      </w:pPr>
      <w:bookmarkStart w:id="64" w:name="_Toc220152191"/>
      <w:r>
        <w:lastRenderedPageBreak/>
        <w:t>3.5 Qualitative Data Collection: Semi-Structured Interviews</w:t>
      </w:r>
      <w:bookmarkEnd w:id="64"/>
    </w:p>
    <w:p w14:paraId="64E42E86" w14:textId="77777777" w:rsidR="008A4121" w:rsidRDefault="008A4121" w:rsidP="008A4121">
      <w:pPr>
        <w:pStyle w:val="Heading3"/>
      </w:pPr>
      <w:bookmarkStart w:id="65" w:name="_Toc220152192"/>
      <w:r>
        <w:t>3.5.1 Interview Protocol Design</w:t>
      </w:r>
      <w:bookmarkEnd w:id="65"/>
    </w:p>
    <w:p w14:paraId="20D9A678" w14:textId="58A00403" w:rsidR="008A4121" w:rsidRDefault="008A4121" w:rsidP="008A4121">
      <w:pPr>
        <w:spacing w:after="200" w:line="360" w:lineRule="auto"/>
      </w:pPr>
      <w:r>
        <w:t>Qualitative data were collected using semi-structured email questionnaires comprising eight open-ended questions organised across five thematic sections: Suitability and Context, Adoption and Integration, Governance Skills and Culture, Sustainability and Value, and Barriers and Future Outlook. The semi-structured format was selected as it provides flexibility to pursue emergent themes whilst maintaining sufficient structure for cross-case comparison (Bryman, 2021).</w:t>
      </w:r>
      <w:r w:rsidR="00654EE4">
        <w:t xml:space="preserve"> </w:t>
      </w:r>
      <w:r w:rsidR="00654EE4" w:rsidRPr="00654EE4">
        <w:t>The full interview schedule is presented in Appendix B.</w:t>
      </w:r>
    </w:p>
    <w:p w14:paraId="58D410A0" w14:textId="77777777" w:rsidR="008A4121" w:rsidRDefault="008A4121" w:rsidP="008A4121">
      <w:pPr>
        <w:spacing w:after="200" w:line="360" w:lineRule="auto"/>
      </w:pPr>
      <w:r>
        <w:t>This method was selected to allow participants adequate time to reflect on technical and organisational issues while avoiding scheduling difficulties associated with synchronous interviews in demanding operational environments. The interview schedule was designed to explore themes insufficiently detailed within existing literature, including digital maturity trajectories in operational buildings, practical integration challenges with legacy building automation systems, data governance and cybersecurity responsibility allocation, skills development and cultural readiness, and measured sustainability outcomes. Questions were phrased to elicit detailed experiential accounts rather than simple affirmative responses, using prompts such as 'Can you describe...' and 'What challenges have emerged...' to encourage rich narrative data (Robson and McCartan, 2016).</w:t>
      </w:r>
    </w:p>
    <w:p w14:paraId="3F1DB093" w14:textId="77777777" w:rsidR="00DF23BB" w:rsidRDefault="00DF23BB" w:rsidP="008A4121">
      <w:pPr>
        <w:spacing w:after="200" w:line="360" w:lineRule="auto"/>
      </w:pPr>
    </w:p>
    <w:p w14:paraId="116F2932" w14:textId="65271E19" w:rsidR="007900BB" w:rsidRPr="007900BB" w:rsidRDefault="007900BB" w:rsidP="007900BB">
      <w:pPr>
        <w:pStyle w:val="Caption"/>
        <w:keepNext/>
        <w:rPr>
          <w:b/>
          <w:bCs/>
          <w:color w:val="auto"/>
          <w:sz w:val="20"/>
          <w:szCs w:val="20"/>
        </w:rPr>
      </w:pPr>
      <w:bookmarkStart w:id="66" w:name="_Toc220151986"/>
      <w:bookmarkStart w:id="67" w:name="_Toc223077221"/>
      <w:bookmarkStart w:id="68" w:name="_Toc223079117"/>
      <w:r w:rsidRPr="007900BB">
        <w:rPr>
          <w:b/>
          <w:bCs/>
          <w:color w:val="auto"/>
          <w:sz w:val="20"/>
          <w:szCs w:val="20"/>
        </w:rPr>
        <w:t xml:space="preserve">Table </w:t>
      </w:r>
      <w:r w:rsidR="00CD0E8E">
        <w:rPr>
          <w:b/>
          <w:bCs/>
          <w:color w:val="auto"/>
          <w:sz w:val="20"/>
          <w:szCs w:val="20"/>
        </w:rPr>
        <w:t>3.</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3</w:t>
      </w:r>
      <w:r w:rsidR="00E10041">
        <w:rPr>
          <w:b/>
          <w:bCs/>
          <w:color w:val="auto"/>
          <w:sz w:val="20"/>
          <w:szCs w:val="20"/>
        </w:rPr>
        <w:fldChar w:fldCharType="end"/>
      </w:r>
      <w:r w:rsidRPr="007900BB">
        <w:rPr>
          <w:b/>
          <w:bCs/>
          <w:color w:val="auto"/>
          <w:sz w:val="20"/>
          <w:szCs w:val="20"/>
        </w:rPr>
        <w:t>: Interview Schedule Structure and Alignment</w:t>
      </w:r>
      <w:bookmarkEnd w:id="66"/>
      <w:bookmarkEnd w:id="67"/>
      <w:bookmarkEnd w:id="68"/>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60"/>
        <w:gridCol w:w="4734"/>
        <w:gridCol w:w="2530"/>
      </w:tblGrid>
      <w:tr w:rsidR="008A4121" w14:paraId="2BF4AD40" w14:textId="77777777" w:rsidTr="00BE29C7">
        <w:trPr>
          <w:tblHeader/>
        </w:trPr>
        <w:tc>
          <w:tcPr>
            <w:tcW w:w="1800" w:type="dxa"/>
            <w:tcBorders>
              <w:top w:val="single" w:sz="1" w:space="0" w:color="808080"/>
              <w:left w:val="single" w:sz="1" w:space="0" w:color="808080"/>
              <w:bottom w:val="single" w:sz="1" w:space="0" w:color="808080"/>
              <w:right w:val="single" w:sz="1" w:space="0" w:color="808080"/>
            </w:tcBorders>
            <w:shd w:val="clear" w:color="auto" w:fill="D9E2F3"/>
          </w:tcPr>
          <w:p w14:paraId="2E547F79" w14:textId="77777777" w:rsidR="008A4121" w:rsidRDefault="008A4121" w:rsidP="00BE29C7">
            <w:pPr>
              <w:jc w:val="center"/>
            </w:pPr>
            <w:r>
              <w:rPr>
                <w:b/>
                <w:bCs/>
                <w:sz w:val="22"/>
                <w:szCs w:val="22"/>
              </w:rPr>
              <w:t>Section</w:t>
            </w:r>
          </w:p>
        </w:tc>
        <w:tc>
          <w:tcPr>
            <w:tcW w:w="5000" w:type="dxa"/>
            <w:tcBorders>
              <w:top w:val="single" w:sz="1" w:space="0" w:color="808080"/>
              <w:left w:val="single" w:sz="1" w:space="0" w:color="808080"/>
              <w:bottom w:val="single" w:sz="1" w:space="0" w:color="808080"/>
              <w:right w:val="single" w:sz="1" w:space="0" w:color="808080"/>
            </w:tcBorders>
            <w:shd w:val="clear" w:color="auto" w:fill="D9E2F3"/>
          </w:tcPr>
          <w:p w14:paraId="7AAB01DF" w14:textId="77777777" w:rsidR="008A4121" w:rsidRDefault="008A4121" w:rsidP="00BE29C7">
            <w:pPr>
              <w:jc w:val="center"/>
            </w:pPr>
            <w:r>
              <w:rPr>
                <w:b/>
                <w:bCs/>
                <w:sz w:val="22"/>
                <w:szCs w:val="22"/>
              </w:rPr>
              <w:t>Focus Questions</w:t>
            </w:r>
          </w:p>
        </w:tc>
        <w:tc>
          <w:tcPr>
            <w:tcW w:w="2560" w:type="dxa"/>
            <w:tcBorders>
              <w:top w:val="single" w:sz="1" w:space="0" w:color="808080"/>
              <w:left w:val="single" w:sz="1" w:space="0" w:color="808080"/>
              <w:bottom w:val="single" w:sz="1" w:space="0" w:color="808080"/>
              <w:right w:val="single" w:sz="1" w:space="0" w:color="808080"/>
            </w:tcBorders>
            <w:shd w:val="clear" w:color="auto" w:fill="D9E2F3"/>
          </w:tcPr>
          <w:p w14:paraId="0D73BBB4" w14:textId="77777777" w:rsidR="008A4121" w:rsidRDefault="008A4121" w:rsidP="00BE29C7">
            <w:pPr>
              <w:jc w:val="center"/>
            </w:pPr>
            <w:r>
              <w:rPr>
                <w:b/>
                <w:bCs/>
                <w:sz w:val="22"/>
                <w:szCs w:val="22"/>
              </w:rPr>
              <w:t>Framework Domain</w:t>
            </w:r>
          </w:p>
        </w:tc>
      </w:tr>
      <w:tr w:rsidR="008A4121" w14:paraId="2A410E8D" w14:textId="77777777" w:rsidTr="0025438A">
        <w:tc>
          <w:tcPr>
            <w:tcW w:w="1800" w:type="dxa"/>
            <w:tcBorders>
              <w:top w:val="single" w:sz="1" w:space="0" w:color="808080"/>
              <w:left w:val="single" w:sz="1" w:space="0" w:color="808080"/>
              <w:bottom w:val="single" w:sz="1" w:space="0" w:color="808080"/>
              <w:right w:val="single" w:sz="1" w:space="0" w:color="808080"/>
            </w:tcBorders>
            <w:vAlign w:val="center"/>
          </w:tcPr>
          <w:p w14:paraId="64A74751" w14:textId="77777777" w:rsidR="008A4121" w:rsidRDefault="008A4121" w:rsidP="0025438A">
            <w:r>
              <w:rPr>
                <w:sz w:val="22"/>
                <w:szCs w:val="22"/>
              </w:rPr>
              <w:t>A: Context</w:t>
            </w:r>
          </w:p>
        </w:tc>
        <w:tc>
          <w:tcPr>
            <w:tcW w:w="5000" w:type="dxa"/>
            <w:tcBorders>
              <w:top w:val="single" w:sz="1" w:space="0" w:color="808080"/>
              <w:left w:val="single" w:sz="1" w:space="0" w:color="808080"/>
              <w:bottom w:val="single" w:sz="1" w:space="0" w:color="808080"/>
              <w:right w:val="single" w:sz="1" w:space="0" w:color="808080"/>
            </w:tcBorders>
            <w:vAlign w:val="center"/>
          </w:tcPr>
          <w:p w14:paraId="0067CAD1" w14:textId="77777777" w:rsidR="008A4121" w:rsidRDefault="008A4121" w:rsidP="0025438A">
            <w:r>
              <w:rPr>
                <w:sz w:val="22"/>
                <w:szCs w:val="22"/>
              </w:rPr>
              <w:t>Q1: Role and M&amp;E involvement; Q2: Organisational digital approach</w:t>
            </w:r>
          </w:p>
        </w:tc>
        <w:tc>
          <w:tcPr>
            <w:tcW w:w="2560" w:type="dxa"/>
            <w:tcBorders>
              <w:top w:val="single" w:sz="1" w:space="0" w:color="808080"/>
              <w:left w:val="single" w:sz="1" w:space="0" w:color="808080"/>
              <w:bottom w:val="single" w:sz="1" w:space="0" w:color="808080"/>
              <w:right w:val="single" w:sz="1" w:space="0" w:color="808080"/>
            </w:tcBorders>
            <w:vAlign w:val="center"/>
          </w:tcPr>
          <w:p w14:paraId="28DC65FB" w14:textId="77777777" w:rsidR="008A4121" w:rsidRDefault="008A4121" w:rsidP="0025438A">
            <w:r>
              <w:rPr>
                <w:sz w:val="22"/>
                <w:szCs w:val="22"/>
              </w:rPr>
              <w:t>Human/Organisational Readiness</w:t>
            </w:r>
          </w:p>
        </w:tc>
      </w:tr>
      <w:tr w:rsidR="008A4121" w14:paraId="15FE8312" w14:textId="77777777" w:rsidTr="0025438A">
        <w:tc>
          <w:tcPr>
            <w:tcW w:w="1800" w:type="dxa"/>
            <w:tcBorders>
              <w:top w:val="single" w:sz="1" w:space="0" w:color="808080"/>
              <w:left w:val="single" w:sz="1" w:space="0" w:color="808080"/>
              <w:bottom w:val="single" w:sz="1" w:space="0" w:color="808080"/>
              <w:right w:val="single" w:sz="1" w:space="0" w:color="808080"/>
            </w:tcBorders>
            <w:vAlign w:val="center"/>
          </w:tcPr>
          <w:p w14:paraId="1CD7FA36" w14:textId="77777777" w:rsidR="008A4121" w:rsidRDefault="008A4121" w:rsidP="0025438A">
            <w:r>
              <w:rPr>
                <w:sz w:val="22"/>
                <w:szCs w:val="22"/>
              </w:rPr>
              <w:t>B: Adoption</w:t>
            </w:r>
          </w:p>
        </w:tc>
        <w:tc>
          <w:tcPr>
            <w:tcW w:w="5000" w:type="dxa"/>
            <w:tcBorders>
              <w:top w:val="single" w:sz="1" w:space="0" w:color="808080"/>
              <w:left w:val="single" w:sz="1" w:space="0" w:color="808080"/>
              <w:bottom w:val="single" w:sz="1" w:space="0" w:color="808080"/>
              <w:right w:val="single" w:sz="1" w:space="0" w:color="808080"/>
            </w:tcBorders>
            <w:vAlign w:val="center"/>
          </w:tcPr>
          <w:p w14:paraId="24A6ABEE" w14:textId="77777777" w:rsidR="008A4121" w:rsidRDefault="008A4121" w:rsidP="0025438A">
            <w:r>
              <w:rPr>
                <w:sz w:val="22"/>
                <w:szCs w:val="22"/>
              </w:rPr>
              <w:t>Q3: Implementation experiences; Q4: Interoperability and API challenges</w:t>
            </w:r>
          </w:p>
        </w:tc>
        <w:tc>
          <w:tcPr>
            <w:tcW w:w="2560" w:type="dxa"/>
            <w:tcBorders>
              <w:top w:val="single" w:sz="1" w:space="0" w:color="808080"/>
              <w:left w:val="single" w:sz="1" w:space="0" w:color="808080"/>
              <w:bottom w:val="single" w:sz="1" w:space="0" w:color="808080"/>
              <w:right w:val="single" w:sz="1" w:space="0" w:color="808080"/>
            </w:tcBorders>
            <w:vAlign w:val="center"/>
          </w:tcPr>
          <w:p w14:paraId="291E99C9" w14:textId="77777777" w:rsidR="008A4121" w:rsidRDefault="008A4121" w:rsidP="0025438A">
            <w:r>
              <w:rPr>
                <w:sz w:val="22"/>
                <w:szCs w:val="22"/>
              </w:rPr>
              <w:t>Technological Capability</w:t>
            </w:r>
          </w:p>
        </w:tc>
      </w:tr>
      <w:tr w:rsidR="008A4121" w14:paraId="0F407E2D" w14:textId="77777777" w:rsidTr="0025438A">
        <w:tc>
          <w:tcPr>
            <w:tcW w:w="1800" w:type="dxa"/>
            <w:tcBorders>
              <w:top w:val="single" w:sz="1" w:space="0" w:color="808080"/>
              <w:left w:val="single" w:sz="1" w:space="0" w:color="808080"/>
              <w:bottom w:val="single" w:sz="1" w:space="0" w:color="808080"/>
              <w:right w:val="single" w:sz="1" w:space="0" w:color="808080"/>
            </w:tcBorders>
            <w:vAlign w:val="center"/>
          </w:tcPr>
          <w:p w14:paraId="5FF71537" w14:textId="77777777" w:rsidR="008A4121" w:rsidRDefault="008A4121" w:rsidP="0025438A">
            <w:r>
              <w:rPr>
                <w:sz w:val="22"/>
                <w:szCs w:val="22"/>
              </w:rPr>
              <w:t>C: Governance</w:t>
            </w:r>
          </w:p>
        </w:tc>
        <w:tc>
          <w:tcPr>
            <w:tcW w:w="5000" w:type="dxa"/>
            <w:tcBorders>
              <w:top w:val="single" w:sz="1" w:space="0" w:color="808080"/>
              <w:left w:val="single" w:sz="1" w:space="0" w:color="808080"/>
              <w:bottom w:val="single" w:sz="1" w:space="0" w:color="808080"/>
              <w:right w:val="single" w:sz="1" w:space="0" w:color="808080"/>
            </w:tcBorders>
            <w:vAlign w:val="center"/>
          </w:tcPr>
          <w:p w14:paraId="24F5CA5B" w14:textId="77777777" w:rsidR="008A4121" w:rsidRDefault="008A4121" w:rsidP="0025438A">
            <w:r>
              <w:rPr>
                <w:sz w:val="22"/>
                <w:szCs w:val="22"/>
              </w:rPr>
              <w:t>Q5: Cybersecurity/data governance; Q6: Skills and training</w:t>
            </w:r>
          </w:p>
        </w:tc>
        <w:tc>
          <w:tcPr>
            <w:tcW w:w="2560" w:type="dxa"/>
            <w:tcBorders>
              <w:top w:val="single" w:sz="1" w:space="0" w:color="808080"/>
              <w:left w:val="single" w:sz="1" w:space="0" w:color="808080"/>
              <w:bottom w:val="single" w:sz="1" w:space="0" w:color="808080"/>
              <w:right w:val="single" w:sz="1" w:space="0" w:color="808080"/>
            </w:tcBorders>
            <w:vAlign w:val="center"/>
          </w:tcPr>
          <w:p w14:paraId="0460C3B4" w14:textId="77777777" w:rsidR="008A4121" w:rsidRDefault="008A4121" w:rsidP="0025438A">
            <w:r>
              <w:rPr>
                <w:sz w:val="22"/>
                <w:szCs w:val="22"/>
              </w:rPr>
              <w:t>Policy/Governance; Human/Organisational</w:t>
            </w:r>
          </w:p>
        </w:tc>
      </w:tr>
      <w:tr w:rsidR="008A4121" w14:paraId="4C0E58E5" w14:textId="77777777" w:rsidTr="0077262C">
        <w:trPr>
          <w:trHeight w:val="531"/>
        </w:trPr>
        <w:tc>
          <w:tcPr>
            <w:tcW w:w="1800" w:type="dxa"/>
            <w:tcBorders>
              <w:top w:val="single" w:sz="1" w:space="0" w:color="808080"/>
              <w:left w:val="single" w:sz="1" w:space="0" w:color="808080"/>
              <w:bottom w:val="single" w:sz="1" w:space="0" w:color="808080"/>
              <w:right w:val="single" w:sz="1" w:space="0" w:color="808080"/>
            </w:tcBorders>
            <w:vAlign w:val="center"/>
          </w:tcPr>
          <w:p w14:paraId="38353726" w14:textId="77777777" w:rsidR="008A4121" w:rsidRDefault="008A4121" w:rsidP="0025438A">
            <w:r>
              <w:rPr>
                <w:sz w:val="22"/>
                <w:szCs w:val="22"/>
              </w:rPr>
              <w:t>D: Sustainability</w:t>
            </w:r>
          </w:p>
        </w:tc>
        <w:tc>
          <w:tcPr>
            <w:tcW w:w="5000" w:type="dxa"/>
            <w:tcBorders>
              <w:top w:val="single" w:sz="1" w:space="0" w:color="808080"/>
              <w:left w:val="single" w:sz="1" w:space="0" w:color="808080"/>
              <w:bottom w:val="single" w:sz="1" w:space="0" w:color="808080"/>
              <w:right w:val="single" w:sz="1" w:space="0" w:color="808080"/>
            </w:tcBorders>
            <w:vAlign w:val="center"/>
          </w:tcPr>
          <w:p w14:paraId="6C918C7C" w14:textId="77777777" w:rsidR="008A4121" w:rsidRDefault="008A4121" w:rsidP="0025438A">
            <w:r>
              <w:rPr>
                <w:sz w:val="22"/>
                <w:szCs w:val="22"/>
              </w:rPr>
              <w:t>Q7: Measured benefits (energy, cost, carbon)</w:t>
            </w:r>
          </w:p>
        </w:tc>
        <w:tc>
          <w:tcPr>
            <w:tcW w:w="2560" w:type="dxa"/>
            <w:tcBorders>
              <w:top w:val="single" w:sz="1" w:space="0" w:color="808080"/>
              <w:left w:val="single" w:sz="1" w:space="0" w:color="808080"/>
              <w:bottom w:val="single" w:sz="1" w:space="0" w:color="808080"/>
              <w:right w:val="single" w:sz="1" w:space="0" w:color="808080"/>
            </w:tcBorders>
            <w:vAlign w:val="center"/>
          </w:tcPr>
          <w:p w14:paraId="26C76F87" w14:textId="77777777" w:rsidR="008A4121" w:rsidRDefault="008A4121" w:rsidP="0025438A">
            <w:r>
              <w:rPr>
                <w:sz w:val="22"/>
                <w:szCs w:val="22"/>
              </w:rPr>
              <w:t>All three domains</w:t>
            </w:r>
          </w:p>
        </w:tc>
      </w:tr>
      <w:tr w:rsidR="008A4121" w14:paraId="737ACA67" w14:textId="77777777" w:rsidTr="0077262C">
        <w:trPr>
          <w:trHeight w:val="553"/>
        </w:trPr>
        <w:tc>
          <w:tcPr>
            <w:tcW w:w="1800" w:type="dxa"/>
            <w:tcBorders>
              <w:top w:val="single" w:sz="1" w:space="0" w:color="808080"/>
              <w:left w:val="single" w:sz="1" w:space="0" w:color="808080"/>
              <w:bottom w:val="single" w:sz="1" w:space="0" w:color="808080"/>
              <w:right w:val="single" w:sz="1" w:space="0" w:color="808080"/>
            </w:tcBorders>
            <w:vAlign w:val="center"/>
          </w:tcPr>
          <w:p w14:paraId="5D7534A3" w14:textId="77777777" w:rsidR="008A4121" w:rsidRDefault="008A4121" w:rsidP="0025438A">
            <w:r>
              <w:rPr>
                <w:sz w:val="22"/>
                <w:szCs w:val="22"/>
              </w:rPr>
              <w:t>E: Future</w:t>
            </w:r>
          </w:p>
        </w:tc>
        <w:tc>
          <w:tcPr>
            <w:tcW w:w="5000" w:type="dxa"/>
            <w:tcBorders>
              <w:top w:val="single" w:sz="1" w:space="0" w:color="808080"/>
              <w:left w:val="single" w:sz="1" w:space="0" w:color="808080"/>
              <w:bottom w:val="single" w:sz="1" w:space="0" w:color="808080"/>
              <w:right w:val="single" w:sz="1" w:space="0" w:color="808080"/>
            </w:tcBorders>
            <w:vAlign w:val="center"/>
          </w:tcPr>
          <w:p w14:paraId="74713D2F" w14:textId="77777777" w:rsidR="008A4121" w:rsidRDefault="008A4121" w:rsidP="0025438A">
            <w:r>
              <w:rPr>
                <w:sz w:val="22"/>
                <w:szCs w:val="22"/>
              </w:rPr>
              <w:t>Q8: Biggest barrier and advice for adoption</w:t>
            </w:r>
          </w:p>
        </w:tc>
        <w:tc>
          <w:tcPr>
            <w:tcW w:w="2560" w:type="dxa"/>
            <w:tcBorders>
              <w:top w:val="single" w:sz="1" w:space="0" w:color="808080"/>
              <w:left w:val="single" w:sz="1" w:space="0" w:color="808080"/>
              <w:bottom w:val="single" w:sz="1" w:space="0" w:color="808080"/>
              <w:right w:val="single" w:sz="1" w:space="0" w:color="808080"/>
            </w:tcBorders>
            <w:vAlign w:val="center"/>
          </w:tcPr>
          <w:p w14:paraId="37452A76" w14:textId="77777777" w:rsidR="008A4121" w:rsidRDefault="008A4121" w:rsidP="0025438A">
            <w:r>
              <w:rPr>
                <w:sz w:val="22"/>
                <w:szCs w:val="22"/>
              </w:rPr>
              <w:t>All three domains</w:t>
            </w:r>
          </w:p>
        </w:tc>
      </w:tr>
    </w:tbl>
    <w:p w14:paraId="48B3D3F1" w14:textId="77777777" w:rsidR="008A4121" w:rsidRDefault="008A4121" w:rsidP="008A4121">
      <w:pPr>
        <w:spacing w:after="200"/>
      </w:pPr>
    </w:p>
    <w:p w14:paraId="35D6AE93" w14:textId="77777777" w:rsidR="008A4121" w:rsidRDefault="008A4121" w:rsidP="008A4121">
      <w:pPr>
        <w:pStyle w:val="Heading3"/>
      </w:pPr>
      <w:bookmarkStart w:id="69" w:name="_Toc220152193"/>
      <w:r>
        <w:lastRenderedPageBreak/>
        <w:t>3.5.2 Participant Selection and Recruitment</w:t>
      </w:r>
      <w:bookmarkEnd w:id="69"/>
    </w:p>
    <w:p w14:paraId="07F41812" w14:textId="5EA8639E" w:rsidR="008A4121" w:rsidRDefault="008A4121" w:rsidP="008A4121">
      <w:pPr>
        <w:spacing w:after="200" w:line="360" w:lineRule="auto"/>
      </w:pPr>
      <w:r>
        <w:t xml:space="preserve">Interview participants were selected using purposive sampling, targeting professionals with direct responsibility for or substantial experience of M&amp;E systems in operational buildings within the Further Education sector and related contexts in South Wales (Yin, 2018). Selection criteria included: current or recent role involving building operations, estates management, facilities management, or M&amp;E consultancy; experience with existing (rather than </w:t>
      </w:r>
      <w:r w:rsidR="006A1981">
        <w:t>new build</w:t>
      </w:r>
      <w:r>
        <w:t>) buildings; and willingness to provide detailed written responses to open-ended questions.</w:t>
      </w:r>
    </w:p>
    <w:p w14:paraId="424CB378" w14:textId="086BC6A2" w:rsidR="008A4121" w:rsidRPr="002F4F2A" w:rsidRDefault="008A4121" w:rsidP="002F4F2A">
      <w:pPr>
        <w:spacing w:after="200" w:line="360" w:lineRule="auto"/>
      </w:pPr>
      <w:r>
        <w:t xml:space="preserve">Six completed interview responses were received from participants representing diverse organisational positions and experience levels within the target sector. While modest in absolute terms, this sample size achieved thematic saturation, with later interviews confirming and elaborating patterns identified in earlier responses rather than introducing fundamentally new themes. Guest, </w:t>
      </w:r>
      <w:r w:rsidR="006A1981">
        <w:t>Bunce,</w:t>
      </w:r>
      <w:r>
        <w:t xml:space="preserve"> and Johnson (2006) suggest that thematic saturation in relatively homogeneous samples typically occurs within 6</w:t>
      </w:r>
      <w:r w:rsidR="009B7E07">
        <w:t>-</w:t>
      </w:r>
      <w:r>
        <w:t>12 interviews, and the consistency of themes across the six respondents</w:t>
      </w:r>
      <w:r w:rsidR="009B7E07">
        <w:t xml:space="preserve">, </w:t>
      </w:r>
      <w:r>
        <w:t>despite their different organisational positions</w:t>
      </w:r>
      <w:r w:rsidR="009B7E07">
        <w:t xml:space="preserve">, </w:t>
      </w:r>
      <w:r>
        <w:t>supports the adequacy of this sample for the exploratory purposes of this MSc research.</w:t>
      </w:r>
      <w:r w:rsidR="002F4F2A">
        <w:t xml:space="preserve"> (Table 4.2 Chapter 4)</w:t>
      </w:r>
    </w:p>
    <w:p w14:paraId="138DD71E" w14:textId="77777777" w:rsidR="008A4121" w:rsidRDefault="008A4121" w:rsidP="008A4121">
      <w:pPr>
        <w:pStyle w:val="Heading2"/>
      </w:pPr>
      <w:bookmarkStart w:id="70" w:name="_Toc220152194"/>
      <w:r>
        <w:t>3.6 Data Analysis Methods</w:t>
      </w:r>
      <w:bookmarkEnd w:id="70"/>
    </w:p>
    <w:p w14:paraId="4382492E" w14:textId="77777777" w:rsidR="008A4121" w:rsidRDefault="008A4121" w:rsidP="008A4121">
      <w:pPr>
        <w:pStyle w:val="Heading3"/>
      </w:pPr>
      <w:bookmarkStart w:id="71" w:name="_Toc220152195"/>
      <w:r>
        <w:t>3.6.1 Quantitative Analysis Procedures</w:t>
      </w:r>
      <w:bookmarkEnd w:id="71"/>
    </w:p>
    <w:p w14:paraId="783E34C9" w14:textId="2B085D2F" w:rsidR="008A4121" w:rsidRDefault="008A4121" w:rsidP="008A4121">
      <w:pPr>
        <w:spacing w:after="200" w:line="360" w:lineRule="auto"/>
      </w:pPr>
      <w:r>
        <w:t xml:space="preserve">Survey data were exported from the online platform to Microsoft Excel for cleaning, coding, and preliminary analysis, with subsequent statistical procedures conducted using Excel's Analysis ToolPak. Given the exploratory nature of the research, analysis focused on descriptive statistics and exploratory correlation analysis to identify patterns and relationships within the dataset (Saunders, </w:t>
      </w:r>
      <w:r w:rsidR="006A1981">
        <w:t>Lewis,</w:t>
      </w:r>
      <w:r>
        <w:t xml:space="preserve"> and Thornhill, 2023).</w:t>
      </w:r>
    </w:p>
    <w:p w14:paraId="057C0360" w14:textId="645B5433" w:rsidR="008A4121" w:rsidRDefault="008A4121" w:rsidP="008A4121">
      <w:pPr>
        <w:spacing w:after="200" w:line="360" w:lineRule="auto"/>
      </w:pPr>
      <w:r>
        <w:t xml:space="preserve">Descriptive analysis included frequency distributions and percentages for categorical </w:t>
      </w:r>
      <w:r w:rsidR="006A1981">
        <w:t>variables and</w:t>
      </w:r>
      <w:r>
        <w:t xml:space="preserve"> means with standard deviations for Likert-scale items. Composite indices were calculated by averaging responses across related items to create summary measures for Technology Familiarity (3 items), Perceived Benefits (4 items), and Implementation Barriers (6 items). These composite scores facilitated correlation analysis examining relationships between constructs.</w:t>
      </w:r>
    </w:p>
    <w:p w14:paraId="019A3333" w14:textId="77777777" w:rsidR="008A4121" w:rsidRDefault="008A4121" w:rsidP="008A4121">
      <w:pPr>
        <w:spacing w:after="200" w:line="360" w:lineRule="auto"/>
      </w:pPr>
      <w:r>
        <w:lastRenderedPageBreak/>
        <w:t>Pearson correlation coefficients were calculated to explore bivariate relationships between key variables, including Familiarity-Barriers, Benefits-Readiness, Barriers-Readiness, and Familiarity-Benefits associations. Cross-tabulation analysis examined differences in readiness scores across adoption status categories. All findings are reported with appropriate measures of central tendency and dispersion to enable reader assessment of pattern strength and consistency (Bryman, 2021).</w:t>
      </w:r>
    </w:p>
    <w:p w14:paraId="13AADD48" w14:textId="77777777" w:rsidR="008A4121" w:rsidRDefault="008A4121" w:rsidP="008A4121">
      <w:pPr>
        <w:pStyle w:val="Heading3"/>
      </w:pPr>
      <w:bookmarkStart w:id="72" w:name="_Toc220152196"/>
      <w:r>
        <w:t>3.6.2 Qualitative Analysis Procedures</w:t>
      </w:r>
      <w:bookmarkEnd w:id="72"/>
    </w:p>
    <w:p w14:paraId="1CF7DE03" w14:textId="77777777" w:rsidR="008A4121" w:rsidRDefault="008A4121" w:rsidP="008A4121">
      <w:pPr>
        <w:spacing w:after="200" w:line="360" w:lineRule="auto"/>
      </w:pPr>
      <w:r>
        <w:t>Interview responses were analysed using thematic analysis following the six-phase framework articulated by Braun and Clarke (2022). This approach was selected for its theoretical flexibility and systematic procedure, appropriate for applied research seeking to identify patterns across participant accounts. A deductive orientation was adopted, with initial codes derived from the research objectives, survey constructs, and three-domain conceptual framework, enabling systematic integration with quantitative findings for triangulation purposes.</w:t>
      </w:r>
    </w:p>
    <w:p w14:paraId="6C0CE9AC" w14:textId="77777777" w:rsidR="008A4121" w:rsidRDefault="008A4121" w:rsidP="008A4121">
      <w:pPr>
        <w:spacing w:after="200" w:line="360" w:lineRule="auto"/>
      </w:pPr>
      <w:r>
        <w:t>The analysis proceeded through six phases: familiarisation with the data through repeated reading; generating initial codes aligned with the conceptual framework; searching for themes by clustering related codes; reviewing themes against the coded extracts and full dataset; defining and naming themes with clear scope and boundaries; and producing the analytical narrative presented in Chapter 4 (Braun and Clarke, 2022). A thematic analysis matrix was developed documenting theme names, constituent codes, illustrative quotes with participant attribution, and interpretive notes linking themes to the literature.</w:t>
      </w:r>
    </w:p>
    <w:p w14:paraId="1A5D2213" w14:textId="77777777" w:rsidR="00DF23BB" w:rsidRDefault="00DF23BB" w:rsidP="008A4121">
      <w:pPr>
        <w:spacing w:after="200" w:line="360" w:lineRule="auto"/>
      </w:pPr>
    </w:p>
    <w:p w14:paraId="100DCA2F" w14:textId="51BAD23A" w:rsidR="00F34AAE" w:rsidRPr="00F34AAE" w:rsidRDefault="00F34AAE" w:rsidP="00F34AAE">
      <w:pPr>
        <w:pStyle w:val="Caption"/>
        <w:keepNext/>
        <w:rPr>
          <w:b/>
          <w:bCs/>
          <w:color w:val="auto"/>
          <w:sz w:val="20"/>
          <w:szCs w:val="20"/>
        </w:rPr>
      </w:pPr>
      <w:bookmarkStart w:id="73" w:name="_Toc220151987"/>
      <w:bookmarkStart w:id="74" w:name="_Toc223077222"/>
      <w:bookmarkStart w:id="75" w:name="_Toc223079118"/>
      <w:r w:rsidRPr="00F34AAE">
        <w:rPr>
          <w:b/>
          <w:bCs/>
          <w:color w:val="auto"/>
          <w:sz w:val="20"/>
          <w:szCs w:val="20"/>
        </w:rPr>
        <w:t xml:space="preserve">Table </w:t>
      </w:r>
      <w:r w:rsidR="00CD0E8E">
        <w:rPr>
          <w:b/>
          <w:bCs/>
          <w:color w:val="auto"/>
          <w:sz w:val="20"/>
          <w:szCs w:val="20"/>
        </w:rPr>
        <w:t>3.</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4</w:t>
      </w:r>
      <w:r w:rsidR="00E10041">
        <w:rPr>
          <w:b/>
          <w:bCs/>
          <w:color w:val="auto"/>
          <w:sz w:val="20"/>
          <w:szCs w:val="20"/>
        </w:rPr>
        <w:fldChar w:fldCharType="end"/>
      </w:r>
      <w:r w:rsidRPr="00F34AAE">
        <w:rPr>
          <w:b/>
          <w:bCs/>
          <w:color w:val="auto"/>
          <w:sz w:val="20"/>
          <w:szCs w:val="20"/>
        </w:rPr>
        <w:t>: Deductive Thematic Framework</w:t>
      </w:r>
      <w:bookmarkEnd w:id="73"/>
      <w:bookmarkEnd w:id="74"/>
      <w:bookmarkEnd w:id="75"/>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09"/>
        <w:gridCol w:w="3645"/>
        <w:gridCol w:w="2670"/>
      </w:tblGrid>
      <w:tr w:rsidR="008A4121" w14:paraId="4B269471" w14:textId="77777777" w:rsidTr="00BE29C7">
        <w:trPr>
          <w:tblHeader/>
        </w:trPr>
        <w:tc>
          <w:tcPr>
            <w:tcW w:w="2800" w:type="dxa"/>
            <w:tcBorders>
              <w:top w:val="single" w:sz="1" w:space="0" w:color="808080"/>
              <w:left w:val="single" w:sz="1" w:space="0" w:color="808080"/>
              <w:bottom w:val="single" w:sz="1" w:space="0" w:color="808080"/>
              <w:right w:val="single" w:sz="1" w:space="0" w:color="808080"/>
            </w:tcBorders>
            <w:shd w:val="clear" w:color="auto" w:fill="D9E2F3"/>
          </w:tcPr>
          <w:p w14:paraId="6DF2EA5B" w14:textId="77777777" w:rsidR="008A4121" w:rsidRDefault="008A4121" w:rsidP="00BE29C7">
            <w:pPr>
              <w:jc w:val="center"/>
            </w:pPr>
            <w:r>
              <w:rPr>
                <w:b/>
                <w:bCs/>
                <w:sz w:val="22"/>
                <w:szCs w:val="22"/>
              </w:rPr>
              <w:t>Theme</w:t>
            </w:r>
          </w:p>
        </w:tc>
        <w:tc>
          <w:tcPr>
            <w:tcW w:w="3800" w:type="dxa"/>
            <w:tcBorders>
              <w:top w:val="single" w:sz="1" w:space="0" w:color="808080"/>
              <w:left w:val="single" w:sz="1" w:space="0" w:color="808080"/>
              <w:bottom w:val="single" w:sz="1" w:space="0" w:color="808080"/>
              <w:right w:val="single" w:sz="1" w:space="0" w:color="808080"/>
            </w:tcBorders>
            <w:shd w:val="clear" w:color="auto" w:fill="D9E2F3"/>
          </w:tcPr>
          <w:p w14:paraId="1B158904" w14:textId="77777777" w:rsidR="008A4121" w:rsidRDefault="008A4121" w:rsidP="00BE29C7">
            <w:pPr>
              <w:jc w:val="center"/>
            </w:pPr>
            <w:r>
              <w:rPr>
                <w:b/>
                <w:bCs/>
                <w:sz w:val="22"/>
                <w:szCs w:val="22"/>
              </w:rPr>
              <w:t>Description</w:t>
            </w:r>
          </w:p>
        </w:tc>
        <w:tc>
          <w:tcPr>
            <w:tcW w:w="2760" w:type="dxa"/>
            <w:tcBorders>
              <w:top w:val="single" w:sz="1" w:space="0" w:color="808080"/>
              <w:left w:val="single" w:sz="1" w:space="0" w:color="808080"/>
              <w:bottom w:val="single" w:sz="1" w:space="0" w:color="808080"/>
              <w:right w:val="single" w:sz="1" w:space="0" w:color="808080"/>
            </w:tcBorders>
            <w:shd w:val="clear" w:color="auto" w:fill="D9E2F3"/>
          </w:tcPr>
          <w:p w14:paraId="24361DEB" w14:textId="77777777" w:rsidR="008A4121" w:rsidRDefault="008A4121" w:rsidP="00BE29C7">
            <w:pPr>
              <w:jc w:val="center"/>
            </w:pPr>
            <w:r>
              <w:rPr>
                <w:b/>
                <w:bCs/>
                <w:sz w:val="22"/>
                <w:szCs w:val="22"/>
              </w:rPr>
              <w:t>Survey Construct Alignment</w:t>
            </w:r>
          </w:p>
        </w:tc>
      </w:tr>
      <w:tr w:rsidR="008A4121" w14:paraId="7643275E" w14:textId="77777777" w:rsidTr="0077262C">
        <w:trPr>
          <w:trHeight w:val="653"/>
        </w:trPr>
        <w:tc>
          <w:tcPr>
            <w:tcW w:w="2800" w:type="dxa"/>
            <w:tcBorders>
              <w:top w:val="single" w:sz="1" w:space="0" w:color="808080"/>
              <w:left w:val="single" w:sz="1" w:space="0" w:color="808080"/>
              <w:bottom w:val="single" w:sz="1" w:space="0" w:color="808080"/>
              <w:right w:val="single" w:sz="1" w:space="0" w:color="808080"/>
            </w:tcBorders>
            <w:vAlign w:val="center"/>
          </w:tcPr>
          <w:p w14:paraId="22198540" w14:textId="77777777" w:rsidR="008A4121" w:rsidRDefault="008A4121" w:rsidP="0025438A">
            <w:r>
              <w:rPr>
                <w:sz w:val="22"/>
                <w:szCs w:val="22"/>
              </w:rPr>
              <w:t>1. Digital Maturity</w:t>
            </w:r>
          </w:p>
        </w:tc>
        <w:tc>
          <w:tcPr>
            <w:tcW w:w="3800" w:type="dxa"/>
            <w:tcBorders>
              <w:top w:val="single" w:sz="1" w:space="0" w:color="808080"/>
              <w:left w:val="single" w:sz="1" w:space="0" w:color="808080"/>
              <w:bottom w:val="single" w:sz="1" w:space="0" w:color="808080"/>
              <w:right w:val="single" w:sz="1" w:space="0" w:color="808080"/>
            </w:tcBorders>
            <w:vAlign w:val="center"/>
          </w:tcPr>
          <w:p w14:paraId="4819A5B1" w14:textId="77777777" w:rsidR="008A4121" w:rsidRDefault="008A4121" w:rsidP="0025438A">
            <w:r>
              <w:rPr>
                <w:sz w:val="22"/>
                <w:szCs w:val="22"/>
              </w:rPr>
              <w:t>Current state of digital technology adoption and progression</w:t>
            </w:r>
          </w:p>
        </w:tc>
        <w:tc>
          <w:tcPr>
            <w:tcW w:w="2760" w:type="dxa"/>
            <w:tcBorders>
              <w:top w:val="single" w:sz="1" w:space="0" w:color="808080"/>
              <w:left w:val="single" w:sz="1" w:space="0" w:color="808080"/>
              <w:bottom w:val="single" w:sz="1" w:space="0" w:color="808080"/>
              <w:right w:val="single" w:sz="1" w:space="0" w:color="808080"/>
            </w:tcBorders>
            <w:vAlign w:val="center"/>
          </w:tcPr>
          <w:p w14:paraId="1AF64F0B" w14:textId="77777777" w:rsidR="008A4121" w:rsidRDefault="008A4121" w:rsidP="0025438A">
            <w:r>
              <w:rPr>
                <w:sz w:val="22"/>
                <w:szCs w:val="22"/>
              </w:rPr>
              <w:t>Adoption Status, Technology Familiarity</w:t>
            </w:r>
          </w:p>
        </w:tc>
      </w:tr>
      <w:tr w:rsidR="008A4121" w14:paraId="048A9BD9" w14:textId="77777777" w:rsidTr="0077262C">
        <w:trPr>
          <w:trHeight w:val="705"/>
        </w:trPr>
        <w:tc>
          <w:tcPr>
            <w:tcW w:w="2800" w:type="dxa"/>
            <w:tcBorders>
              <w:top w:val="single" w:sz="1" w:space="0" w:color="808080"/>
              <w:left w:val="single" w:sz="1" w:space="0" w:color="808080"/>
              <w:bottom w:val="single" w:sz="1" w:space="0" w:color="808080"/>
              <w:right w:val="single" w:sz="1" w:space="0" w:color="808080"/>
            </w:tcBorders>
            <w:vAlign w:val="center"/>
          </w:tcPr>
          <w:p w14:paraId="094A4134" w14:textId="77777777" w:rsidR="008A4121" w:rsidRDefault="008A4121" w:rsidP="0025438A">
            <w:r>
              <w:rPr>
                <w:sz w:val="22"/>
                <w:szCs w:val="22"/>
              </w:rPr>
              <w:t>2. Interoperability Challenges</w:t>
            </w:r>
          </w:p>
        </w:tc>
        <w:tc>
          <w:tcPr>
            <w:tcW w:w="3800" w:type="dxa"/>
            <w:tcBorders>
              <w:top w:val="single" w:sz="1" w:space="0" w:color="808080"/>
              <w:left w:val="single" w:sz="1" w:space="0" w:color="808080"/>
              <w:bottom w:val="single" w:sz="1" w:space="0" w:color="808080"/>
              <w:right w:val="single" w:sz="1" w:space="0" w:color="808080"/>
            </w:tcBorders>
            <w:vAlign w:val="center"/>
          </w:tcPr>
          <w:p w14:paraId="00B42BB4" w14:textId="77777777" w:rsidR="008A4121" w:rsidRDefault="008A4121" w:rsidP="0025438A">
            <w:r>
              <w:rPr>
                <w:sz w:val="22"/>
                <w:szCs w:val="22"/>
              </w:rPr>
              <w:t>Technical barriers relating to system integration, APIs, legacy systems</w:t>
            </w:r>
          </w:p>
        </w:tc>
        <w:tc>
          <w:tcPr>
            <w:tcW w:w="2760" w:type="dxa"/>
            <w:tcBorders>
              <w:top w:val="single" w:sz="1" w:space="0" w:color="808080"/>
              <w:left w:val="single" w:sz="1" w:space="0" w:color="808080"/>
              <w:bottom w:val="single" w:sz="1" w:space="0" w:color="808080"/>
              <w:right w:val="single" w:sz="1" w:space="0" w:color="808080"/>
            </w:tcBorders>
            <w:vAlign w:val="center"/>
          </w:tcPr>
          <w:p w14:paraId="1AFD5AA1" w14:textId="77777777" w:rsidR="008A4121" w:rsidRDefault="008A4121" w:rsidP="0025438A">
            <w:r>
              <w:rPr>
                <w:sz w:val="22"/>
                <w:szCs w:val="22"/>
              </w:rPr>
              <w:t>Legacy Systems Barrier, API Standards Barrier</w:t>
            </w:r>
          </w:p>
        </w:tc>
      </w:tr>
      <w:tr w:rsidR="008A4121" w14:paraId="3D6B3D28" w14:textId="77777777" w:rsidTr="0025438A">
        <w:tc>
          <w:tcPr>
            <w:tcW w:w="2800" w:type="dxa"/>
            <w:tcBorders>
              <w:top w:val="single" w:sz="1" w:space="0" w:color="808080"/>
              <w:left w:val="single" w:sz="1" w:space="0" w:color="808080"/>
              <w:bottom w:val="single" w:sz="1" w:space="0" w:color="808080"/>
              <w:right w:val="single" w:sz="1" w:space="0" w:color="808080"/>
            </w:tcBorders>
            <w:vAlign w:val="center"/>
          </w:tcPr>
          <w:p w14:paraId="54898C24" w14:textId="77777777" w:rsidR="008A4121" w:rsidRDefault="008A4121" w:rsidP="0025438A">
            <w:r>
              <w:rPr>
                <w:sz w:val="22"/>
                <w:szCs w:val="22"/>
              </w:rPr>
              <w:t>3. Governance and Cybersecurity</w:t>
            </w:r>
          </w:p>
        </w:tc>
        <w:tc>
          <w:tcPr>
            <w:tcW w:w="3800" w:type="dxa"/>
            <w:tcBorders>
              <w:top w:val="single" w:sz="1" w:space="0" w:color="808080"/>
              <w:left w:val="single" w:sz="1" w:space="0" w:color="808080"/>
              <w:bottom w:val="single" w:sz="1" w:space="0" w:color="808080"/>
              <w:right w:val="single" w:sz="1" w:space="0" w:color="808080"/>
            </w:tcBorders>
            <w:vAlign w:val="center"/>
          </w:tcPr>
          <w:p w14:paraId="3BD21B08" w14:textId="77777777" w:rsidR="008A4121" w:rsidRDefault="008A4121" w:rsidP="0025438A">
            <w:r>
              <w:rPr>
                <w:sz w:val="22"/>
                <w:szCs w:val="22"/>
              </w:rPr>
              <w:t>Data protection, security responsibilities, regulatory compliance</w:t>
            </w:r>
          </w:p>
        </w:tc>
        <w:tc>
          <w:tcPr>
            <w:tcW w:w="2760" w:type="dxa"/>
            <w:tcBorders>
              <w:top w:val="single" w:sz="1" w:space="0" w:color="808080"/>
              <w:left w:val="single" w:sz="1" w:space="0" w:color="808080"/>
              <w:bottom w:val="single" w:sz="1" w:space="0" w:color="808080"/>
              <w:right w:val="single" w:sz="1" w:space="0" w:color="808080"/>
            </w:tcBorders>
            <w:vAlign w:val="center"/>
          </w:tcPr>
          <w:p w14:paraId="0663CAE4" w14:textId="77777777" w:rsidR="008A4121" w:rsidRDefault="008A4121" w:rsidP="0025438A">
            <w:r>
              <w:rPr>
                <w:sz w:val="22"/>
                <w:szCs w:val="22"/>
              </w:rPr>
              <w:t>Cybersecurity Barrier, Data Ownership Barrier</w:t>
            </w:r>
          </w:p>
        </w:tc>
      </w:tr>
      <w:tr w:rsidR="008A4121" w14:paraId="561FDAE1" w14:textId="77777777" w:rsidTr="0025438A">
        <w:tc>
          <w:tcPr>
            <w:tcW w:w="2800" w:type="dxa"/>
            <w:tcBorders>
              <w:top w:val="single" w:sz="1" w:space="0" w:color="808080"/>
              <w:left w:val="single" w:sz="1" w:space="0" w:color="808080"/>
              <w:bottom w:val="single" w:sz="1" w:space="0" w:color="808080"/>
              <w:right w:val="single" w:sz="1" w:space="0" w:color="808080"/>
            </w:tcBorders>
            <w:vAlign w:val="center"/>
          </w:tcPr>
          <w:p w14:paraId="56160770" w14:textId="77777777" w:rsidR="008A4121" w:rsidRDefault="008A4121" w:rsidP="0025438A">
            <w:r>
              <w:rPr>
                <w:sz w:val="22"/>
                <w:szCs w:val="22"/>
              </w:rPr>
              <w:t>4. Skills and Culture</w:t>
            </w:r>
          </w:p>
        </w:tc>
        <w:tc>
          <w:tcPr>
            <w:tcW w:w="3800" w:type="dxa"/>
            <w:tcBorders>
              <w:top w:val="single" w:sz="1" w:space="0" w:color="808080"/>
              <w:left w:val="single" w:sz="1" w:space="0" w:color="808080"/>
              <w:bottom w:val="single" w:sz="1" w:space="0" w:color="808080"/>
              <w:right w:val="single" w:sz="1" w:space="0" w:color="808080"/>
            </w:tcBorders>
            <w:vAlign w:val="center"/>
          </w:tcPr>
          <w:p w14:paraId="262840B6" w14:textId="77777777" w:rsidR="008A4121" w:rsidRDefault="008A4121" w:rsidP="00DF4910">
            <w:pPr>
              <w:spacing w:line="276" w:lineRule="auto"/>
            </w:pPr>
            <w:r>
              <w:rPr>
                <w:sz w:val="22"/>
                <w:szCs w:val="22"/>
              </w:rPr>
              <w:t>Workforce capabilities, training needs, organisational attitudes</w:t>
            </w:r>
          </w:p>
        </w:tc>
        <w:tc>
          <w:tcPr>
            <w:tcW w:w="2760" w:type="dxa"/>
            <w:tcBorders>
              <w:top w:val="single" w:sz="1" w:space="0" w:color="808080"/>
              <w:left w:val="single" w:sz="1" w:space="0" w:color="808080"/>
              <w:bottom w:val="single" w:sz="1" w:space="0" w:color="808080"/>
              <w:right w:val="single" w:sz="1" w:space="0" w:color="808080"/>
            </w:tcBorders>
            <w:vAlign w:val="center"/>
          </w:tcPr>
          <w:p w14:paraId="7147449B" w14:textId="77777777" w:rsidR="008A4121" w:rsidRDefault="008A4121" w:rsidP="0025438A">
            <w:r>
              <w:rPr>
                <w:sz w:val="22"/>
                <w:szCs w:val="22"/>
              </w:rPr>
              <w:t>Skills Gap Barrier, Organisational Readiness</w:t>
            </w:r>
          </w:p>
        </w:tc>
      </w:tr>
      <w:tr w:rsidR="008A4121" w14:paraId="5DECA22C" w14:textId="77777777" w:rsidTr="0077262C">
        <w:trPr>
          <w:trHeight w:val="613"/>
        </w:trPr>
        <w:tc>
          <w:tcPr>
            <w:tcW w:w="2800" w:type="dxa"/>
            <w:tcBorders>
              <w:top w:val="single" w:sz="1" w:space="0" w:color="808080"/>
              <w:left w:val="single" w:sz="1" w:space="0" w:color="808080"/>
              <w:bottom w:val="single" w:sz="1" w:space="0" w:color="808080"/>
              <w:right w:val="single" w:sz="1" w:space="0" w:color="808080"/>
            </w:tcBorders>
            <w:vAlign w:val="center"/>
          </w:tcPr>
          <w:p w14:paraId="1F1CCB39" w14:textId="77777777" w:rsidR="008A4121" w:rsidRDefault="008A4121" w:rsidP="0025438A">
            <w:r>
              <w:rPr>
                <w:sz w:val="22"/>
                <w:szCs w:val="22"/>
              </w:rPr>
              <w:lastRenderedPageBreak/>
              <w:t>5. Sustainability Outcomes</w:t>
            </w:r>
          </w:p>
        </w:tc>
        <w:tc>
          <w:tcPr>
            <w:tcW w:w="3800" w:type="dxa"/>
            <w:tcBorders>
              <w:top w:val="single" w:sz="1" w:space="0" w:color="808080"/>
              <w:left w:val="single" w:sz="1" w:space="0" w:color="808080"/>
              <w:bottom w:val="single" w:sz="1" w:space="0" w:color="808080"/>
              <w:right w:val="single" w:sz="1" w:space="0" w:color="808080"/>
            </w:tcBorders>
            <w:vAlign w:val="center"/>
          </w:tcPr>
          <w:p w14:paraId="2EAD093F" w14:textId="77777777" w:rsidR="008A4121" w:rsidRDefault="008A4121" w:rsidP="0025438A">
            <w:r>
              <w:rPr>
                <w:sz w:val="22"/>
                <w:szCs w:val="22"/>
              </w:rPr>
              <w:t>Measured benefits in energy, carbon, cost, and compliance</w:t>
            </w:r>
          </w:p>
        </w:tc>
        <w:tc>
          <w:tcPr>
            <w:tcW w:w="2760" w:type="dxa"/>
            <w:tcBorders>
              <w:top w:val="single" w:sz="1" w:space="0" w:color="808080"/>
              <w:left w:val="single" w:sz="1" w:space="0" w:color="808080"/>
              <w:bottom w:val="single" w:sz="1" w:space="0" w:color="808080"/>
              <w:right w:val="single" w:sz="1" w:space="0" w:color="808080"/>
            </w:tcBorders>
            <w:vAlign w:val="center"/>
          </w:tcPr>
          <w:p w14:paraId="3F4890ED" w14:textId="77777777" w:rsidR="008A4121" w:rsidRDefault="008A4121" w:rsidP="0025438A">
            <w:r>
              <w:rPr>
                <w:sz w:val="22"/>
                <w:szCs w:val="22"/>
              </w:rPr>
              <w:t>Perceived Benefits, Carbon Measurement</w:t>
            </w:r>
          </w:p>
        </w:tc>
      </w:tr>
      <w:tr w:rsidR="008A4121" w14:paraId="2DE5CAB4" w14:textId="77777777" w:rsidTr="0025438A">
        <w:tc>
          <w:tcPr>
            <w:tcW w:w="2800" w:type="dxa"/>
            <w:tcBorders>
              <w:top w:val="single" w:sz="1" w:space="0" w:color="808080"/>
              <w:left w:val="single" w:sz="1" w:space="0" w:color="808080"/>
              <w:bottom w:val="single" w:sz="1" w:space="0" w:color="808080"/>
              <w:right w:val="single" w:sz="1" w:space="0" w:color="808080"/>
            </w:tcBorders>
            <w:vAlign w:val="center"/>
          </w:tcPr>
          <w:p w14:paraId="5A16562A" w14:textId="77777777" w:rsidR="008A4121" w:rsidRDefault="008A4121" w:rsidP="0025438A">
            <w:r>
              <w:rPr>
                <w:sz w:val="22"/>
                <w:szCs w:val="22"/>
              </w:rPr>
              <w:t>6. Structural Barriers</w:t>
            </w:r>
          </w:p>
        </w:tc>
        <w:tc>
          <w:tcPr>
            <w:tcW w:w="3800" w:type="dxa"/>
            <w:tcBorders>
              <w:top w:val="single" w:sz="1" w:space="0" w:color="808080"/>
              <w:left w:val="single" w:sz="1" w:space="0" w:color="808080"/>
              <w:bottom w:val="single" w:sz="1" w:space="0" w:color="808080"/>
              <w:right w:val="single" w:sz="1" w:space="0" w:color="808080"/>
            </w:tcBorders>
            <w:vAlign w:val="center"/>
          </w:tcPr>
          <w:p w14:paraId="25F45D7B" w14:textId="77777777" w:rsidR="008A4121" w:rsidRDefault="008A4121" w:rsidP="0025438A">
            <w:r>
              <w:rPr>
                <w:sz w:val="22"/>
                <w:szCs w:val="22"/>
              </w:rPr>
              <w:t>Systemic obstacles including funding, procurement, planning horizons</w:t>
            </w:r>
          </w:p>
        </w:tc>
        <w:tc>
          <w:tcPr>
            <w:tcW w:w="2760" w:type="dxa"/>
            <w:tcBorders>
              <w:top w:val="single" w:sz="1" w:space="0" w:color="808080"/>
              <w:left w:val="single" w:sz="1" w:space="0" w:color="808080"/>
              <w:bottom w:val="single" w:sz="1" w:space="0" w:color="808080"/>
              <w:right w:val="single" w:sz="1" w:space="0" w:color="808080"/>
            </w:tcBorders>
            <w:vAlign w:val="center"/>
          </w:tcPr>
          <w:p w14:paraId="2AB2F174" w14:textId="77777777" w:rsidR="008A4121" w:rsidRDefault="008A4121" w:rsidP="0025438A">
            <w:r>
              <w:rPr>
                <w:sz w:val="22"/>
                <w:szCs w:val="22"/>
              </w:rPr>
              <w:t>Cost Barrier, Organisational Readiness</w:t>
            </w:r>
          </w:p>
        </w:tc>
      </w:tr>
    </w:tbl>
    <w:p w14:paraId="186655FF" w14:textId="77777777" w:rsidR="00267E3F" w:rsidRDefault="00267E3F" w:rsidP="008A4121">
      <w:pPr>
        <w:spacing w:after="200"/>
      </w:pPr>
    </w:p>
    <w:p w14:paraId="47392C6F" w14:textId="77777777" w:rsidR="008A4121" w:rsidRDefault="008A4121" w:rsidP="008A4121">
      <w:pPr>
        <w:pStyle w:val="Heading3"/>
      </w:pPr>
      <w:bookmarkStart w:id="76" w:name="_Toc220152197"/>
      <w:r>
        <w:t>3.6.3 Mixed-Methods Integration Strategy</w:t>
      </w:r>
      <w:bookmarkEnd w:id="76"/>
    </w:p>
    <w:p w14:paraId="776A752A" w14:textId="77777777" w:rsidR="008A4121" w:rsidRDefault="008A4121" w:rsidP="008A4121">
      <w:pPr>
        <w:spacing w:after="200" w:line="360" w:lineRule="auto"/>
      </w:pPr>
      <w:r>
        <w:t>Integration of quantitative and qualitative findings occurred at the interpretation stage through a systematic triangulation protocol (Creswell and Creswell, 2023). For each major finding domain, quantitative results (statistical patterns, means, correlations) were presented first, followed by qualitative findings (thematic analysis, illustrative quotes), and then a triangulation assessment identifying convergence, divergence, or complementarity between strands.</w:t>
      </w:r>
    </w:p>
    <w:p w14:paraId="4A1DBA1A" w14:textId="666647E8" w:rsidR="008A4121" w:rsidRDefault="008A4121" w:rsidP="008A4121">
      <w:pPr>
        <w:spacing w:after="200" w:line="360" w:lineRule="auto"/>
      </w:pPr>
      <w:r>
        <w:t>Convergent findings</w:t>
      </w:r>
      <w:r w:rsidR="000F6BAF">
        <w:t xml:space="preserve">, </w:t>
      </w:r>
      <w:r>
        <w:t>where both strands pointed to similar conclusions</w:t>
      </w:r>
      <w:r w:rsidR="000F6BAF">
        <w:t xml:space="preserve">, </w:t>
      </w:r>
      <w:r>
        <w:t>strengthened confidence in the validity of those conclusions. Divergent findings</w:t>
      </w:r>
      <w:r w:rsidR="000F6BAF">
        <w:t xml:space="preserve">, </w:t>
      </w:r>
      <w:r>
        <w:t>where quantitative and qualitative data suggested different patterns</w:t>
      </w:r>
      <w:r w:rsidR="000F6BAF">
        <w:t xml:space="preserve">, </w:t>
      </w:r>
      <w:r>
        <w:t>prompted deeper analysis to understand contextual factors explaining the divergence. Complementary findings</w:t>
      </w:r>
      <w:r w:rsidR="000F6BAF">
        <w:t xml:space="preserve">, </w:t>
      </w:r>
      <w:r>
        <w:t>where one strand provided depth or nuance not captured by the other</w:t>
      </w:r>
      <w:r w:rsidR="000F6BAF">
        <w:t xml:space="preserve">, </w:t>
      </w:r>
      <w:r>
        <w:t>enriched overall understanding of the phenomenon. This integration strategy, structured around the three-domain conceptual framework, is detailed in Chapter 4 and synthesised in Chapter 5 (Fellows and Liu, 2021).</w:t>
      </w:r>
    </w:p>
    <w:p w14:paraId="71795C5F" w14:textId="77777777" w:rsidR="008A4121" w:rsidRDefault="008A4121" w:rsidP="008A4121">
      <w:pPr>
        <w:pStyle w:val="Heading2"/>
      </w:pPr>
      <w:bookmarkStart w:id="77" w:name="_Toc220152198"/>
      <w:r>
        <w:t>3.7 Quality Assurance and Rigour</w:t>
      </w:r>
      <w:bookmarkEnd w:id="77"/>
    </w:p>
    <w:p w14:paraId="57D99C0D" w14:textId="77777777" w:rsidR="008A4121" w:rsidRDefault="008A4121" w:rsidP="008A4121">
      <w:pPr>
        <w:pStyle w:val="Heading3"/>
      </w:pPr>
      <w:bookmarkStart w:id="78" w:name="_Toc220152199"/>
      <w:r>
        <w:t>3.7.1 Validity and Reliability Considerations</w:t>
      </w:r>
      <w:bookmarkEnd w:id="78"/>
    </w:p>
    <w:p w14:paraId="52447C28" w14:textId="77777777" w:rsidR="008A4121" w:rsidRDefault="008A4121" w:rsidP="008A4121">
      <w:pPr>
        <w:spacing w:after="200" w:line="360" w:lineRule="auto"/>
      </w:pPr>
      <w:r>
        <w:t>Ensuring research quality requires attention to validity (whether the research measures what it claims to measure) and reliability (consistency and replicability of findings) (Bryman, 2021). In mixed-methods research, quality considerations apply distinctly to quantitative and qualitative components whilst also addressing the integrity of their integration (Creswell and Creswell, 2023).</w:t>
      </w:r>
    </w:p>
    <w:p w14:paraId="285BF7C7" w14:textId="0B705F6F" w:rsidR="008A4121" w:rsidRDefault="00E21564" w:rsidP="008A4121">
      <w:pPr>
        <w:spacing w:after="200" w:line="360" w:lineRule="auto"/>
      </w:pPr>
      <w:r>
        <w:t>Various</w:t>
      </w:r>
      <w:r w:rsidR="008A4121">
        <w:t xml:space="preserve"> measures were implemented to enhance research quality. Content validity of the survey instrument was addressed through alignment with established constructs from technology adoption literature and review by the dissertation supervisor. Face validity was assessed through pilot testing with practitioners who confirmed item clarity and relevance. Construct validity was supported by the systematic </w:t>
      </w:r>
      <w:r w:rsidR="008A4121">
        <w:lastRenderedPageBreak/>
        <w:t xml:space="preserve">operationalisation of theoretical constructs derived from the literature review (Saunders, </w:t>
      </w:r>
      <w:r w:rsidR="006A1981">
        <w:t>Lewis,</w:t>
      </w:r>
      <w:r w:rsidR="008A4121">
        <w:t xml:space="preserve"> and Thornhill, 2023).</w:t>
      </w:r>
    </w:p>
    <w:p w14:paraId="6B3D60B0" w14:textId="77777777" w:rsidR="008A4121" w:rsidRDefault="008A4121" w:rsidP="008A4121">
      <w:pPr>
        <w:spacing w:after="200" w:line="360" w:lineRule="auto"/>
      </w:pPr>
      <w:r>
        <w:t>For qualitative components, trustworthiness was enhanced through strategies aligned with Lincoln and Guba's criteria (Robson and McCartan, 2016). Credibility was supported by purposive selection of information-rich participants with direct relevant experience and prolonged engagement with data. Dependability was addressed through transparent documentation of analytical procedures and the thematic analysis matrix. Confirmability was supported by grounding interpretations in direct participant quotations with clear attribution. Transferability is supported by thick description of the research context enabling readers to assess applicability to other settings.</w:t>
      </w:r>
    </w:p>
    <w:p w14:paraId="2CB32026" w14:textId="77777777" w:rsidR="008A4121" w:rsidRDefault="008A4121" w:rsidP="008A4121">
      <w:pPr>
        <w:pStyle w:val="Heading3"/>
      </w:pPr>
      <w:bookmarkStart w:id="79" w:name="_Toc220152200"/>
      <w:r>
        <w:t>3.7.2 Triangulation</w:t>
      </w:r>
      <w:bookmarkEnd w:id="79"/>
    </w:p>
    <w:p w14:paraId="6EE50DF8" w14:textId="270B208A" w:rsidR="008A4121" w:rsidRDefault="008A4121" w:rsidP="008A4121">
      <w:pPr>
        <w:spacing w:after="200" w:line="360" w:lineRule="auto"/>
      </w:pPr>
      <w:r>
        <w:t>Methodological triangulation</w:t>
      </w:r>
      <w:r w:rsidR="000F6BAF">
        <w:t xml:space="preserve">, </w:t>
      </w:r>
      <w:r>
        <w:t>the use of multiple methods to investigate the same phenomenon</w:t>
      </w:r>
      <w:r w:rsidR="000F6BAF">
        <w:t xml:space="preserve">, </w:t>
      </w:r>
      <w:r>
        <w:t>was the primary strategy for enhancing validity in this mixed-methods design (Creswell and Creswell, 2023). The convergent parallel design enabled systematic comparison of quantitative patterns with qualitative explanations, with agreement between strands strengthening confidence in findings. Where methods yield divergent findings, this divergence itself becomes analytically significant, prompting deeper investigation of contextual factors that might explain variation (Bryman, 2021). Additionally, findings were triangulated with the systematic review literature from Chapter 2, enabling assessment of consistency between primary data and existing research evidence.</w:t>
      </w:r>
    </w:p>
    <w:p w14:paraId="6455DDD3" w14:textId="77777777" w:rsidR="008A4121" w:rsidRDefault="008A4121" w:rsidP="008A4121">
      <w:pPr>
        <w:pStyle w:val="Heading2"/>
      </w:pPr>
      <w:bookmarkStart w:id="80" w:name="_Toc220152201"/>
      <w:r>
        <w:t>3.8 Ethical Considerations</w:t>
      </w:r>
      <w:bookmarkEnd w:id="80"/>
    </w:p>
    <w:p w14:paraId="4D2BD5DF" w14:textId="77777777" w:rsidR="008A4121" w:rsidRDefault="008A4121" w:rsidP="008A4121">
      <w:pPr>
        <w:spacing w:after="200" w:line="360" w:lineRule="auto"/>
      </w:pPr>
      <w:r>
        <w:t>Ethical conduct is fundamental to credible research, encompassing respect for participants, integrity in data handling, and responsibility in reporting findings (Bryman, 2021). The research was conducted in accordance with UWTSD ethical guidelines and the principles of the UK Research Integrity Office. Ethical approval was obtained through the university's standard procedures prior to data collection (PG2 form approved 23 June 2025).</w:t>
      </w:r>
    </w:p>
    <w:p w14:paraId="25B8AD45" w14:textId="41AA22CF" w:rsidR="008A4121" w:rsidRDefault="008A4121" w:rsidP="008A4121">
      <w:pPr>
        <w:spacing w:after="200" w:line="360" w:lineRule="auto"/>
      </w:pPr>
      <w:r>
        <w:t xml:space="preserve">Informed consent was obtained from all participants prior to data collection. Survey respondents were provided with an information statement at the commencement of the questionnaire explaining the research purpose, data use, and their rights as </w:t>
      </w:r>
      <w:r>
        <w:lastRenderedPageBreak/>
        <w:t>participants; completion of the survey constituted implied consent. Interview participants received detailed information sheets and provided explicit written consent before participating, including specific agreement for recording where applicable (Robson and McCartan, 2016).</w:t>
      </w:r>
      <w:r w:rsidR="00654EE4">
        <w:t xml:space="preserve"> </w:t>
      </w:r>
      <w:r w:rsidR="00654EE4" w:rsidRPr="00654EE4">
        <w:t>Participant information sheets and consent documentation are provided in Appendix C.</w:t>
      </w:r>
    </w:p>
    <w:p w14:paraId="38DC0111" w14:textId="187295E8" w:rsidR="008A4121" w:rsidRDefault="008A4121" w:rsidP="008A4121">
      <w:pPr>
        <w:spacing w:after="200" w:line="360" w:lineRule="auto"/>
      </w:pPr>
      <w:r>
        <w:t xml:space="preserve">Anonymity and confidentiality were maintained throughout. Survey responses were collected anonymously with no personally identifiable information recorded. Interview participants were assigned alphanumeric codes (e.g., FM1, ED1) and organisational affiliations are reported only at a level of generality that prevents individual identification while preserving contextually relevant information. All data were stored securely in password-protected files on university systems in compliance with UK GDPR requirements, with access restricted to the researcher and supervisor (Saunders, </w:t>
      </w:r>
      <w:r w:rsidR="006A1981">
        <w:t>Lewis,</w:t>
      </w:r>
      <w:r>
        <w:t xml:space="preserve"> and Thornhill, 2023).</w:t>
      </w:r>
      <w:r w:rsidR="00654EE4">
        <w:t xml:space="preserve"> </w:t>
      </w:r>
      <w:r w:rsidR="00654EE4" w:rsidRPr="00654EE4">
        <w:t>Ethics approval documentation is included in Appendix F.</w:t>
      </w:r>
    </w:p>
    <w:p w14:paraId="6B21AA36" w14:textId="77777777" w:rsidR="008A4121" w:rsidRDefault="008A4121" w:rsidP="008A4121">
      <w:pPr>
        <w:pStyle w:val="Heading2"/>
      </w:pPr>
      <w:bookmarkStart w:id="81" w:name="_Toc220152202"/>
      <w:r>
        <w:t>3.9 Methodological Limitations</w:t>
      </w:r>
      <w:bookmarkEnd w:id="81"/>
    </w:p>
    <w:p w14:paraId="058BCCF0" w14:textId="77777777" w:rsidR="008A4121" w:rsidRDefault="008A4121" w:rsidP="008A4121">
      <w:pPr>
        <w:spacing w:after="200" w:line="360" w:lineRule="auto"/>
      </w:pPr>
      <w:r>
        <w:t>Transparency regarding methodological limitations is essential for appropriate interpretation of findings (Yin, 2018). Several limitations should be acknowledged when interpreting findings from this research.</w:t>
      </w:r>
    </w:p>
    <w:p w14:paraId="5F41B547" w14:textId="77777777" w:rsidR="008A4121" w:rsidRDefault="008A4121" w:rsidP="008A4121">
      <w:pPr>
        <w:spacing w:after="200" w:line="360" w:lineRule="auto"/>
      </w:pPr>
      <w:r>
        <w:t>First, the non-probability sampling approach limits statistical generalisability; findings should be understood as indicative patterns within the sample rather than representative of broader populations (Naoum, 2019). Second, the cross-sectional design captures perceptions at a single point in time and cannot establish causal relationships or track changes over time. Third, self-report measures are subject to social desirability bias and may not fully reflect actual behaviours or capabilities.</w:t>
      </w:r>
    </w:p>
    <w:p w14:paraId="76D4576E" w14:textId="5344D98C" w:rsidR="008A4121" w:rsidRDefault="00E440E8" w:rsidP="008A4121">
      <w:pPr>
        <w:spacing w:after="200" w:line="360" w:lineRule="auto"/>
      </w:pPr>
      <w:r w:rsidRPr="00E440E8">
        <w:t>Fourth, the qualitative sample, while achieving thematic saturation, was geographically concentrated in South Wales.</w:t>
      </w:r>
      <w:r w:rsidRPr="00E440E8">
        <w:rPr>
          <w:sz w:val="22"/>
          <w:szCs w:val="22"/>
        </w:rPr>
        <w:t xml:space="preserve"> </w:t>
      </w:r>
      <w:r w:rsidR="008A4121">
        <w:t>Fifth, the use of email questionnaires rather than face-to-face interviews may have limited the depth of responses and opportunities for probing follow-up questions. Sixth, access constraints meant that direct observation of Digital Twin implementations in operation was not possible; findings thus rely on reported experiences rather than first-hand verification of system performance.</w:t>
      </w:r>
    </w:p>
    <w:p w14:paraId="4B2B13B7" w14:textId="439FF629" w:rsidR="008A4121" w:rsidRDefault="008A4121" w:rsidP="008A4121">
      <w:pPr>
        <w:spacing w:after="200" w:line="360" w:lineRule="auto"/>
      </w:pPr>
      <w:r>
        <w:lastRenderedPageBreak/>
        <w:t xml:space="preserve">These limitations are acknowledged </w:t>
      </w:r>
      <w:r w:rsidR="006A1981">
        <w:t>transparently,</w:t>
      </w:r>
      <w:r>
        <w:t xml:space="preserve"> and analytical interpretations are appropriately qualified. Despite these constraints, the mixed-methods design provides valuable exploratory insights into an under-researched area, generating findings that can inform both practice and future research with more extensive sampling frameworks (Robson and McCartan, 2016). The researcher's professional background in the built environment sector provided valuable contextual understanding but also required reflexive awareness of potential biases. Familiarity with industry terminology and practices facilitated rapport with participants and interpretation of technical responses, while systematic adherence to the analytical framework and transparent documentation of interpretive decisions mitigated risks of imposing preconceptions on the data. Regular supervision meetings provided external perspective on emerging interpretations.</w:t>
      </w:r>
    </w:p>
    <w:p w14:paraId="4EA03DF4" w14:textId="77777777" w:rsidR="008A4121" w:rsidRDefault="008A4121" w:rsidP="008A4121">
      <w:pPr>
        <w:pStyle w:val="Heading2"/>
      </w:pPr>
      <w:bookmarkStart w:id="82" w:name="_Toc220152203"/>
      <w:r>
        <w:t>3.10 Chapter Summary</w:t>
      </w:r>
      <w:bookmarkEnd w:id="82"/>
    </w:p>
    <w:p w14:paraId="747597BF" w14:textId="5FB3480E" w:rsidR="008A4121" w:rsidRDefault="00231D4F" w:rsidP="008A4121">
      <w:pPr>
        <w:spacing w:after="200" w:line="360" w:lineRule="auto"/>
      </w:pPr>
      <w:r w:rsidRPr="00231D4F">
        <w:t>A pragmatist philosophy underpins the convergent parallel mixed-methods design developed for this investigation into AI and Digital Twin adoption for sustainable post-construction M&amp;E management in the Further Education sector.</w:t>
      </w:r>
      <w:r>
        <w:t xml:space="preserve"> </w:t>
      </w:r>
    </w:p>
    <w:p w14:paraId="5E4B7FFB" w14:textId="77777777" w:rsidR="008A4121" w:rsidRDefault="008A4121" w:rsidP="008A4121">
      <w:pPr>
        <w:spacing w:after="200" w:line="360" w:lineRule="auto"/>
      </w:pPr>
      <w:r>
        <w:t>Data collection instruments were aligned with a three-domain conceptual framework addressing Technological Capability, Human and Organisational Readiness, and Policy and Governance Alignment. Quantitative analysis employed descriptive statistics and correlation analysis to identify patterns in technology familiarity, adoption status, perceived benefits and barriers, and organisational readiness. Qualitative analysis used thematic analysis following Braun and Clarke's (2022) six-phase framework to explore contextual factors and implementation experiences across six pre-defined themes.</w:t>
      </w:r>
    </w:p>
    <w:p w14:paraId="1179BB4B" w14:textId="77777777" w:rsidR="008A4121" w:rsidRDefault="008A4121" w:rsidP="008A4121">
      <w:pPr>
        <w:spacing w:after="200" w:line="360" w:lineRule="auto"/>
      </w:pPr>
      <w:r>
        <w:t>Integration occurred at the interpretation stage through systematic triangulation identifying convergence, divergence, and complementarity between strands (Creswell and Creswell, 2023). Quality assurance measures addressed validity, reliability, and trustworthiness, while ethical considerations ensured participant protection throughout the research process. Acknowledged limitations include sampling constraints, cross-sectional design, and self-report measures, factors that appropriately circumscribe the generalisability of findings whilst not undermining the contribution to understanding AI-enhanced Digital Twin implementation in post-construction building management.</w:t>
      </w:r>
    </w:p>
    <w:p w14:paraId="75836A08" w14:textId="773264CF" w:rsidR="008A4121" w:rsidRDefault="008A4121" w:rsidP="00257E57">
      <w:pPr>
        <w:spacing w:after="200" w:line="360" w:lineRule="auto"/>
      </w:pPr>
      <w:r>
        <w:lastRenderedPageBreak/>
        <w:t>The following chapter presents findings from both research strands, demonstrating how the methodological approach enabled rich understanding of the research questions.</w:t>
      </w:r>
      <w:r w:rsidR="00037856">
        <w:br w:type="page"/>
      </w:r>
    </w:p>
    <w:p w14:paraId="61DA0B80" w14:textId="77777777" w:rsidR="008A4121" w:rsidRDefault="008A4121" w:rsidP="008A4121">
      <w:pPr>
        <w:pStyle w:val="Heading1"/>
      </w:pPr>
      <w:bookmarkStart w:id="83" w:name="_Toc220152204"/>
      <w:r>
        <w:lastRenderedPageBreak/>
        <w:t>Chapter 4 – Findings and Analysis</w:t>
      </w:r>
      <w:bookmarkEnd w:id="83"/>
    </w:p>
    <w:p w14:paraId="04F82610" w14:textId="77777777" w:rsidR="008A4121" w:rsidRDefault="008A4121" w:rsidP="008A4121">
      <w:pPr>
        <w:pStyle w:val="Heading2"/>
      </w:pPr>
      <w:bookmarkStart w:id="84" w:name="_Toc220152205"/>
      <w:r>
        <w:t>4.1 Introduction</w:t>
      </w:r>
      <w:bookmarkEnd w:id="84"/>
    </w:p>
    <w:p w14:paraId="3ED8F141" w14:textId="07E338A9" w:rsidR="008A4121" w:rsidRDefault="00231D4F" w:rsidP="008A4121">
      <w:pPr>
        <w:spacing w:after="200" w:line="360" w:lineRule="auto"/>
      </w:pPr>
      <w:r w:rsidRPr="00231D4F">
        <w:t>Quantitative survey data (n=87) and qualitative insights from six semi-structured interviews are integrated here to present the mixed-methods findings.</w:t>
      </w:r>
      <w:r>
        <w:t xml:space="preserve"> </w:t>
      </w:r>
      <w:r w:rsidR="008A4121">
        <w:t>The analysis examines current adoption patterns, perceived benefits and barriers, organisational readiness, and sustainability outcomes related to AI-enabled Digital Twins and API integration for post-construction M&amp;E systems. The findings are presented within the three-domain conceptual framework established in Chapter 2: Technological Capability, Human and Organisational Readiness, and Policy and Governance Alignment.</w:t>
      </w:r>
    </w:p>
    <w:p w14:paraId="23AC225B" w14:textId="77777777" w:rsidR="008A4121" w:rsidRDefault="008A4121" w:rsidP="008A4121">
      <w:pPr>
        <w:spacing w:after="200" w:line="360" w:lineRule="auto"/>
      </w:pPr>
      <w:r>
        <w:t>Quantitative findings are presented first to establish sector-wide patterns, followed by qualitative data that provides explanatory depth and contextual understanding. Where appropriate, findings are triangulated to strengthen validity and illuminate convergent or divergent perspectives, following the convergent parallel mixed-methods design detailed in Chapter 3 (Creswell and Creswell, 2023). This systematic integration enables assessment of how technological, organisational, and policy factors interact to shape AI-Digital Twin adoption in existing building contexts.</w:t>
      </w:r>
    </w:p>
    <w:p w14:paraId="1DAECB70" w14:textId="77777777" w:rsidR="008A4121" w:rsidRDefault="008A4121" w:rsidP="008A4121">
      <w:pPr>
        <w:pStyle w:val="Heading2"/>
      </w:pPr>
      <w:bookmarkStart w:id="85" w:name="_Toc220152206"/>
      <w:r>
        <w:t>4.2 Survey Respondent Profile</w:t>
      </w:r>
      <w:bookmarkEnd w:id="85"/>
    </w:p>
    <w:p w14:paraId="55BF3B03" w14:textId="5CB0CDAA" w:rsidR="008A4121" w:rsidRDefault="008A4121" w:rsidP="008A4121">
      <w:pPr>
        <w:spacing w:after="200" w:line="360" w:lineRule="auto"/>
      </w:pPr>
      <w:r>
        <w:t xml:space="preserve">The survey achieved 87 valid responses from professionals engaged in building operations, M&amp;E management, and sustainable construction. The sample comprised practitioners from diverse professional roles, organisational contexts, and experience levels, providing a robust foundation for examining sector-wide perspectives on AI and Digital Twin adoption. This sample size exceeds the minimum threshold typically considered adequate for exploratory survey research in specialist professional domains (Naoum, 2019; Saunders, </w:t>
      </w:r>
      <w:r w:rsidR="006A1981">
        <w:t>Lewis,</w:t>
      </w:r>
      <w:r>
        <w:t xml:space="preserve"> and Thornhill, 2023).</w:t>
      </w:r>
      <w:r w:rsidR="00654EE4">
        <w:t xml:space="preserve"> </w:t>
      </w:r>
      <w:r w:rsidR="00654EE4" w:rsidRPr="00654EE4">
        <w:t>A comprehensive summary of survey responses and the thematic coding framework is presented in Appendix G.</w:t>
      </w:r>
    </w:p>
    <w:p w14:paraId="5F05DC40" w14:textId="77777777" w:rsidR="001C693C" w:rsidRDefault="000413A7" w:rsidP="001C693C">
      <w:pPr>
        <w:keepNext/>
        <w:jc w:val="center"/>
      </w:pPr>
      <w:r>
        <w:rPr>
          <w:noProof/>
        </w:rPr>
        <w:lastRenderedPageBreak/>
        <w:drawing>
          <wp:inline distT="0" distB="0" distL="0" distR="0" wp14:anchorId="1E6D89FA" wp14:editId="040C35A6">
            <wp:extent cx="5731510" cy="4277801"/>
            <wp:effectExtent l="0" t="0" r="2540" b="8890"/>
            <wp:docPr id="1209102804" name="Picture 2" descr="A pie chart with different colore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102804" name="Picture 2" descr="A pie chart with different colored number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8676" cy="4283150"/>
                    </a:xfrm>
                    <a:prstGeom prst="rect">
                      <a:avLst/>
                    </a:prstGeom>
                  </pic:spPr>
                </pic:pic>
              </a:graphicData>
            </a:graphic>
          </wp:inline>
        </w:drawing>
      </w:r>
    </w:p>
    <w:p w14:paraId="437399EA" w14:textId="494D6361" w:rsidR="00AE4BD9" w:rsidRDefault="00AE4BD9" w:rsidP="00AE4BD9">
      <w:pPr>
        <w:pStyle w:val="Caption"/>
        <w:jc w:val="center"/>
        <w:rPr>
          <w:b/>
          <w:bCs/>
          <w:color w:val="auto"/>
          <w:sz w:val="20"/>
          <w:szCs w:val="20"/>
        </w:rPr>
      </w:pPr>
      <w:bookmarkStart w:id="86" w:name="_Toc220152008"/>
      <w:bookmarkStart w:id="87" w:name="_Toc223075550"/>
      <w:bookmarkStart w:id="88" w:name="_Toc223079119"/>
      <w:r w:rsidRPr="009673C1">
        <w:rPr>
          <w:b/>
          <w:bCs/>
          <w:color w:val="auto"/>
          <w:sz w:val="20"/>
          <w:szCs w:val="20"/>
        </w:rPr>
        <w:t>Figure 4.</w:t>
      </w:r>
      <w:r w:rsidR="00FB6993">
        <w:rPr>
          <w:b/>
          <w:bCs/>
          <w:color w:val="auto"/>
          <w:sz w:val="20"/>
          <w:szCs w:val="20"/>
        </w:rPr>
        <w:t>1</w:t>
      </w:r>
      <w:r w:rsidRPr="009673C1">
        <w:rPr>
          <w:b/>
          <w:bCs/>
          <w:color w:val="auto"/>
          <w:sz w:val="20"/>
          <w:szCs w:val="20"/>
        </w:rPr>
        <w:t>: Survey Respondents by Professional Role (n=87)</w:t>
      </w:r>
      <w:bookmarkEnd w:id="86"/>
      <w:bookmarkEnd w:id="87"/>
      <w:bookmarkEnd w:id="88"/>
    </w:p>
    <w:p w14:paraId="5274BD63" w14:textId="77777777" w:rsidR="00CB0805" w:rsidRDefault="00CB0805" w:rsidP="009673C1">
      <w:pPr>
        <w:keepNext/>
        <w:jc w:val="center"/>
      </w:pPr>
    </w:p>
    <w:p w14:paraId="453D66A4" w14:textId="77777777" w:rsidR="00CB0805" w:rsidRPr="00CB0805" w:rsidRDefault="00CB0805" w:rsidP="00CB0805"/>
    <w:p w14:paraId="46CA43C5" w14:textId="77777777" w:rsidR="002F4F2A" w:rsidRDefault="002F4F2A" w:rsidP="002F4F2A">
      <w:pPr>
        <w:spacing w:after="200" w:line="360" w:lineRule="auto"/>
      </w:pPr>
      <w:r w:rsidRPr="0062773A">
        <w:t>M&amp;E Engineers (25.3%) and Facility Managers (23.0%) formed the largest cohorts, with Building Consultants (19.5%) and Sustainability Officers (11.5%) contributing strategic perspectives. This composition aligns with the research focus on operational M&amp;E systems.</w:t>
      </w:r>
    </w:p>
    <w:p w14:paraId="00A19BA3" w14:textId="77777777" w:rsidR="00267E3F" w:rsidRDefault="00267E3F" w:rsidP="002F4F2A">
      <w:pPr>
        <w:spacing w:after="200" w:line="360" w:lineRule="auto"/>
      </w:pPr>
    </w:p>
    <w:p w14:paraId="05C81517" w14:textId="4A875C14" w:rsidR="00F34AAE" w:rsidRPr="00F34AAE" w:rsidRDefault="00F34AAE" w:rsidP="00F34AAE">
      <w:pPr>
        <w:pStyle w:val="Caption"/>
        <w:keepNext/>
        <w:rPr>
          <w:b/>
          <w:bCs/>
          <w:color w:val="auto"/>
          <w:sz w:val="20"/>
          <w:szCs w:val="20"/>
        </w:rPr>
      </w:pPr>
      <w:bookmarkStart w:id="89" w:name="_Toc220151988"/>
      <w:bookmarkStart w:id="90" w:name="_Toc223077224"/>
      <w:bookmarkStart w:id="91" w:name="_Toc223079120"/>
      <w:r w:rsidRPr="00F34AAE">
        <w:rPr>
          <w:b/>
          <w:bCs/>
          <w:color w:val="auto"/>
          <w:sz w:val="20"/>
          <w:szCs w:val="20"/>
        </w:rPr>
        <w:t xml:space="preserve">Table </w:t>
      </w:r>
      <w:r w:rsidR="00CD0E8E">
        <w:rPr>
          <w:b/>
          <w:bCs/>
          <w:color w:val="auto"/>
          <w:sz w:val="20"/>
          <w:szCs w:val="20"/>
        </w:rPr>
        <w:t>4.</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1</w:t>
      </w:r>
      <w:r w:rsidR="00E10041">
        <w:rPr>
          <w:b/>
          <w:bCs/>
          <w:color w:val="auto"/>
          <w:sz w:val="20"/>
          <w:szCs w:val="20"/>
        </w:rPr>
        <w:fldChar w:fldCharType="end"/>
      </w:r>
      <w:r w:rsidRPr="00F34AAE">
        <w:rPr>
          <w:b/>
          <w:bCs/>
          <w:color w:val="auto"/>
          <w:sz w:val="20"/>
          <w:szCs w:val="20"/>
        </w:rPr>
        <w:t>: Survey Respondent Demographics (n=87)</w:t>
      </w:r>
      <w:bookmarkEnd w:id="89"/>
      <w:bookmarkEnd w:id="90"/>
      <w:bookmarkEnd w:id="91"/>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900"/>
        <w:gridCol w:w="900"/>
        <w:gridCol w:w="2400"/>
        <w:gridCol w:w="900"/>
        <w:gridCol w:w="860"/>
      </w:tblGrid>
      <w:tr w:rsidR="008A4121" w14:paraId="74D572D0" w14:textId="77777777" w:rsidTr="00BE29C7">
        <w:trPr>
          <w:tblHeader/>
        </w:trPr>
        <w:tc>
          <w:tcPr>
            <w:tcW w:w="2400" w:type="dxa"/>
            <w:tcBorders>
              <w:top w:val="single" w:sz="1" w:space="0" w:color="808080"/>
              <w:left w:val="single" w:sz="1" w:space="0" w:color="808080"/>
              <w:bottom w:val="single" w:sz="1" w:space="0" w:color="808080"/>
              <w:right w:val="single" w:sz="1" w:space="0" w:color="808080"/>
            </w:tcBorders>
            <w:shd w:val="clear" w:color="auto" w:fill="D9E2F3"/>
          </w:tcPr>
          <w:p w14:paraId="7E9DCCD0" w14:textId="77777777" w:rsidR="008A4121" w:rsidRDefault="008A4121" w:rsidP="00BE29C7">
            <w:pPr>
              <w:jc w:val="center"/>
            </w:pPr>
            <w:r>
              <w:rPr>
                <w:b/>
                <w:bCs/>
                <w:sz w:val="22"/>
                <w:szCs w:val="22"/>
              </w:rPr>
              <w:t>Professional Role</w:t>
            </w:r>
          </w:p>
        </w:tc>
        <w:tc>
          <w:tcPr>
            <w:tcW w:w="900" w:type="dxa"/>
            <w:tcBorders>
              <w:top w:val="single" w:sz="1" w:space="0" w:color="808080"/>
              <w:left w:val="single" w:sz="1" w:space="0" w:color="808080"/>
              <w:bottom w:val="single" w:sz="1" w:space="0" w:color="808080"/>
              <w:right w:val="single" w:sz="1" w:space="0" w:color="808080"/>
            </w:tcBorders>
            <w:shd w:val="clear" w:color="auto" w:fill="D9E2F3"/>
          </w:tcPr>
          <w:p w14:paraId="06C742F9" w14:textId="77777777" w:rsidR="008A4121" w:rsidRDefault="008A4121" w:rsidP="00BE29C7">
            <w:pPr>
              <w:jc w:val="center"/>
            </w:pPr>
            <w:r>
              <w:rPr>
                <w:b/>
                <w:bCs/>
                <w:sz w:val="22"/>
                <w:szCs w:val="22"/>
              </w:rPr>
              <w:t>n</w:t>
            </w:r>
          </w:p>
        </w:tc>
        <w:tc>
          <w:tcPr>
            <w:tcW w:w="900" w:type="dxa"/>
            <w:tcBorders>
              <w:top w:val="single" w:sz="1" w:space="0" w:color="808080"/>
              <w:left w:val="single" w:sz="1" w:space="0" w:color="808080"/>
              <w:bottom w:val="single" w:sz="1" w:space="0" w:color="808080"/>
              <w:right w:val="single" w:sz="1" w:space="0" w:color="808080"/>
            </w:tcBorders>
            <w:shd w:val="clear" w:color="auto" w:fill="D9E2F3"/>
          </w:tcPr>
          <w:p w14:paraId="2561043B" w14:textId="77777777" w:rsidR="008A4121" w:rsidRDefault="008A4121" w:rsidP="00BE29C7">
            <w:pPr>
              <w:jc w:val="center"/>
            </w:pPr>
            <w:r>
              <w:rPr>
                <w:b/>
                <w:bCs/>
                <w:sz w:val="22"/>
                <w:szCs w:val="22"/>
              </w:rPr>
              <w:t>%</w:t>
            </w:r>
          </w:p>
        </w:tc>
        <w:tc>
          <w:tcPr>
            <w:tcW w:w="2400" w:type="dxa"/>
            <w:tcBorders>
              <w:top w:val="single" w:sz="1" w:space="0" w:color="808080"/>
              <w:left w:val="single" w:sz="1" w:space="0" w:color="808080"/>
              <w:bottom w:val="single" w:sz="1" w:space="0" w:color="808080"/>
              <w:right w:val="single" w:sz="1" w:space="0" w:color="808080"/>
            </w:tcBorders>
            <w:shd w:val="clear" w:color="auto" w:fill="D9E2F3"/>
          </w:tcPr>
          <w:p w14:paraId="15EC00A3" w14:textId="77777777" w:rsidR="008A4121" w:rsidRDefault="008A4121" w:rsidP="00BE29C7">
            <w:pPr>
              <w:jc w:val="center"/>
            </w:pPr>
            <w:r>
              <w:rPr>
                <w:b/>
                <w:bCs/>
                <w:sz w:val="22"/>
                <w:szCs w:val="22"/>
              </w:rPr>
              <w:t>Organisation Type</w:t>
            </w:r>
          </w:p>
        </w:tc>
        <w:tc>
          <w:tcPr>
            <w:tcW w:w="900" w:type="dxa"/>
            <w:tcBorders>
              <w:top w:val="single" w:sz="1" w:space="0" w:color="808080"/>
              <w:left w:val="single" w:sz="1" w:space="0" w:color="808080"/>
              <w:bottom w:val="single" w:sz="1" w:space="0" w:color="808080"/>
              <w:right w:val="single" w:sz="1" w:space="0" w:color="808080"/>
            </w:tcBorders>
            <w:shd w:val="clear" w:color="auto" w:fill="D9E2F3"/>
          </w:tcPr>
          <w:p w14:paraId="19E11F58" w14:textId="77777777" w:rsidR="008A4121" w:rsidRDefault="008A4121" w:rsidP="00BE29C7">
            <w:pPr>
              <w:jc w:val="center"/>
            </w:pPr>
            <w:r>
              <w:rPr>
                <w:b/>
                <w:bCs/>
                <w:sz w:val="22"/>
                <w:szCs w:val="22"/>
              </w:rPr>
              <w:t>n</w:t>
            </w:r>
          </w:p>
        </w:tc>
        <w:tc>
          <w:tcPr>
            <w:tcW w:w="860" w:type="dxa"/>
            <w:tcBorders>
              <w:top w:val="single" w:sz="1" w:space="0" w:color="808080"/>
              <w:left w:val="single" w:sz="1" w:space="0" w:color="808080"/>
              <w:bottom w:val="single" w:sz="1" w:space="0" w:color="808080"/>
              <w:right w:val="single" w:sz="1" w:space="0" w:color="808080"/>
            </w:tcBorders>
            <w:shd w:val="clear" w:color="auto" w:fill="D9E2F3"/>
          </w:tcPr>
          <w:p w14:paraId="6C7C3A4C" w14:textId="77777777" w:rsidR="008A4121" w:rsidRDefault="008A4121" w:rsidP="00BE29C7">
            <w:pPr>
              <w:jc w:val="center"/>
            </w:pPr>
            <w:r>
              <w:rPr>
                <w:b/>
                <w:bCs/>
                <w:sz w:val="22"/>
                <w:szCs w:val="22"/>
              </w:rPr>
              <w:t>%</w:t>
            </w:r>
          </w:p>
        </w:tc>
      </w:tr>
      <w:tr w:rsidR="008A4121" w14:paraId="0FD6059C" w14:textId="77777777" w:rsidTr="00DF4910">
        <w:trPr>
          <w:trHeight w:val="308"/>
        </w:trPr>
        <w:tc>
          <w:tcPr>
            <w:tcW w:w="2400" w:type="dxa"/>
            <w:tcBorders>
              <w:top w:val="single" w:sz="1" w:space="0" w:color="808080"/>
              <w:left w:val="single" w:sz="1" w:space="0" w:color="808080"/>
              <w:bottom w:val="single" w:sz="1" w:space="0" w:color="808080"/>
              <w:right w:val="single" w:sz="1" w:space="0" w:color="808080"/>
            </w:tcBorders>
            <w:vAlign w:val="center"/>
          </w:tcPr>
          <w:p w14:paraId="3BA2837C" w14:textId="77777777" w:rsidR="008A4121" w:rsidRDefault="008A4121" w:rsidP="00DF4910">
            <w:r>
              <w:rPr>
                <w:sz w:val="22"/>
                <w:szCs w:val="22"/>
              </w:rPr>
              <w:t>M&amp;E Engineer</w:t>
            </w:r>
          </w:p>
        </w:tc>
        <w:tc>
          <w:tcPr>
            <w:tcW w:w="900" w:type="dxa"/>
            <w:tcBorders>
              <w:top w:val="single" w:sz="1" w:space="0" w:color="808080"/>
              <w:left w:val="single" w:sz="1" w:space="0" w:color="808080"/>
              <w:bottom w:val="single" w:sz="1" w:space="0" w:color="808080"/>
              <w:right w:val="single" w:sz="1" w:space="0" w:color="808080"/>
            </w:tcBorders>
            <w:vAlign w:val="center"/>
          </w:tcPr>
          <w:p w14:paraId="649AF181" w14:textId="77777777" w:rsidR="008A4121" w:rsidRDefault="008A4121" w:rsidP="00DF4910">
            <w:pPr>
              <w:jc w:val="center"/>
            </w:pPr>
            <w:r>
              <w:rPr>
                <w:sz w:val="22"/>
                <w:szCs w:val="22"/>
              </w:rPr>
              <w:t>22</w:t>
            </w:r>
          </w:p>
        </w:tc>
        <w:tc>
          <w:tcPr>
            <w:tcW w:w="900" w:type="dxa"/>
            <w:tcBorders>
              <w:top w:val="single" w:sz="1" w:space="0" w:color="808080"/>
              <w:left w:val="single" w:sz="1" w:space="0" w:color="808080"/>
              <w:bottom w:val="single" w:sz="1" w:space="0" w:color="808080"/>
              <w:right w:val="single" w:sz="1" w:space="0" w:color="808080"/>
            </w:tcBorders>
            <w:vAlign w:val="center"/>
          </w:tcPr>
          <w:p w14:paraId="272FCA51" w14:textId="77777777" w:rsidR="008A4121" w:rsidRDefault="008A4121" w:rsidP="00DF4910">
            <w:pPr>
              <w:jc w:val="center"/>
            </w:pPr>
            <w:r>
              <w:rPr>
                <w:sz w:val="22"/>
                <w:szCs w:val="22"/>
              </w:rPr>
              <w:t>25.3</w:t>
            </w:r>
          </w:p>
        </w:tc>
        <w:tc>
          <w:tcPr>
            <w:tcW w:w="2400" w:type="dxa"/>
            <w:tcBorders>
              <w:top w:val="single" w:sz="1" w:space="0" w:color="808080"/>
              <w:left w:val="single" w:sz="1" w:space="0" w:color="808080"/>
              <w:bottom w:val="single" w:sz="1" w:space="0" w:color="808080"/>
              <w:right w:val="single" w:sz="1" w:space="0" w:color="808080"/>
            </w:tcBorders>
            <w:vAlign w:val="center"/>
          </w:tcPr>
          <w:p w14:paraId="6F7140D7" w14:textId="77777777" w:rsidR="008A4121" w:rsidRDefault="008A4121" w:rsidP="00DF4910">
            <w:r>
              <w:rPr>
                <w:sz w:val="22"/>
                <w:szCs w:val="22"/>
              </w:rPr>
              <w:t>Private Sector</w:t>
            </w:r>
          </w:p>
        </w:tc>
        <w:tc>
          <w:tcPr>
            <w:tcW w:w="900" w:type="dxa"/>
            <w:tcBorders>
              <w:top w:val="single" w:sz="1" w:space="0" w:color="808080"/>
              <w:left w:val="single" w:sz="1" w:space="0" w:color="808080"/>
              <w:bottom w:val="single" w:sz="1" w:space="0" w:color="808080"/>
              <w:right w:val="single" w:sz="1" w:space="0" w:color="808080"/>
            </w:tcBorders>
            <w:vAlign w:val="center"/>
          </w:tcPr>
          <w:p w14:paraId="66D179E1" w14:textId="77777777" w:rsidR="008A4121" w:rsidRDefault="008A4121" w:rsidP="00DF4910">
            <w:pPr>
              <w:jc w:val="center"/>
            </w:pPr>
            <w:r>
              <w:rPr>
                <w:sz w:val="22"/>
                <w:szCs w:val="22"/>
              </w:rPr>
              <w:t>37</w:t>
            </w:r>
          </w:p>
        </w:tc>
        <w:tc>
          <w:tcPr>
            <w:tcW w:w="860" w:type="dxa"/>
            <w:tcBorders>
              <w:top w:val="single" w:sz="1" w:space="0" w:color="808080"/>
              <w:left w:val="single" w:sz="1" w:space="0" w:color="808080"/>
              <w:bottom w:val="single" w:sz="1" w:space="0" w:color="808080"/>
              <w:right w:val="single" w:sz="1" w:space="0" w:color="808080"/>
            </w:tcBorders>
            <w:vAlign w:val="center"/>
          </w:tcPr>
          <w:p w14:paraId="0D3D9DA9" w14:textId="77777777" w:rsidR="008A4121" w:rsidRDefault="008A4121" w:rsidP="00DF4910">
            <w:pPr>
              <w:jc w:val="center"/>
            </w:pPr>
            <w:r>
              <w:rPr>
                <w:sz w:val="22"/>
                <w:szCs w:val="22"/>
              </w:rPr>
              <w:t>42.5</w:t>
            </w:r>
          </w:p>
        </w:tc>
      </w:tr>
      <w:tr w:rsidR="008A4121" w14:paraId="33D3D12E" w14:textId="77777777" w:rsidTr="00DF4910">
        <w:trPr>
          <w:trHeight w:val="283"/>
        </w:trPr>
        <w:tc>
          <w:tcPr>
            <w:tcW w:w="2400" w:type="dxa"/>
            <w:tcBorders>
              <w:top w:val="single" w:sz="1" w:space="0" w:color="808080"/>
              <w:left w:val="single" w:sz="1" w:space="0" w:color="808080"/>
              <w:bottom w:val="single" w:sz="1" w:space="0" w:color="808080"/>
              <w:right w:val="single" w:sz="1" w:space="0" w:color="808080"/>
            </w:tcBorders>
            <w:vAlign w:val="center"/>
          </w:tcPr>
          <w:p w14:paraId="20A1E167" w14:textId="77777777" w:rsidR="008A4121" w:rsidRDefault="008A4121" w:rsidP="00DF4910">
            <w:r>
              <w:rPr>
                <w:sz w:val="22"/>
                <w:szCs w:val="22"/>
              </w:rPr>
              <w:t>Facility Manager</w:t>
            </w:r>
          </w:p>
        </w:tc>
        <w:tc>
          <w:tcPr>
            <w:tcW w:w="900" w:type="dxa"/>
            <w:tcBorders>
              <w:top w:val="single" w:sz="1" w:space="0" w:color="808080"/>
              <w:left w:val="single" w:sz="1" w:space="0" w:color="808080"/>
              <w:bottom w:val="single" w:sz="1" w:space="0" w:color="808080"/>
              <w:right w:val="single" w:sz="1" w:space="0" w:color="808080"/>
            </w:tcBorders>
            <w:vAlign w:val="center"/>
          </w:tcPr>
          <w:p w14:paraId="7D50FAF0" w14:textId="77777777" w:rsidR="008A4121" w:rsidRDefault="008A4121" w:rsidP="00DF4910">
            <w:pPr>
              <w:jc w:val="center"/>
            </w:pPr>
            <w:r>
              <w:rPr>
                <w:sz w:val="22"/>
                <w:szCs w:val="22"/>
              </w:rPr>
              <w:t>20</w:t>
            </w:r>
          </w:p>
        </w:tc>
        <w:tc>
          <w:tcPr>
            <w:tcW w:w="900" w:type="dxa"/>
            <w:tcBorders>
              <w:top w:val="single" w:sz="1" w:space="0" w:color="808080"/>
              <w:left w:val="single" w:sz="1" w:space="0" w:color="808080"/>
              <w:bottom w:val="single" w:sz="1" w:space="0" w:color="808080"/>
              <w:right w:val="single" w:sz="1" w:space="0" w:color="808080"/>
            </w:tcBorders>
            <w:vAlign w:val="center"/>
          </w:tcPr>
          <w:p w14:paraId="26B7D72E" w14:textId="77777777" w:rsidR="008A4121" w:rsidRDefault="008A4121" w:rsidP="00DF4910">
            <w:pPr>
              <w:jc w:val="center"/>
            </w:pPr>
            <w:r>
              <w:rPr>
                <w:sz w:val="22"/>
                <w:szCs w:val="22"/>
              </w:rPr>
              <w:t>23.0</w:t>
            </w:r>
          </w:p>
        </w:tc>
        <w:tc>
          <w:tcPr>
            <w:tcW w:w="2400" w:type="dxa"/>
            <w:tcBorders>
              <w:top w:val="single" w:sz="1" w:space="0" w:color="808080"/>
              <w:left w:val="single" w:sz="1" w:space="0" w:color="808080"/>
              <w:bottom w:val="single" w:sz="1" w:space="0" w:color="808080"/>
              <w:right w:val="single" w:sz="1" w:space="0" w:color="808080"/>
            </w:tcBorders>
            <w:vAlign w:val="center"/>
          </w:tcPr>
          <w:p w14:paraId="75C6BB47" w14:textId="77777777" w:rsidR="008A4121" w:rsidRDefault="008A4121" w:rsidP="00DF4910">
            <w:r>
              <w:rPr>
                <w:sz w:val="22"/>
                <w:szCs w:val="22"/>
              </w:rPr>
              <w:t>Public Sector</w:t>
            </w:r>
          </w:p>
        </w:tc>
        <w:tc>
          <w:tcPr>
            <w:tcW w:w="900" w:type="dxa"/>
            <w:tcBorders>
              <w:top w:val="single" w:sz="1" w:space="0" w:color="808080"/>
              <w:left w:val="single" w:sz="1" w:space="0" w:color="808080"/>
              <w:bottom w:val="single" w:sz="1" w:space="0" w:color="808080"/>
              <w:right w:val="single" w:sz="1" w:space="0" w:color="808080"/>
            </w:tcBorders>
            <w:vAlign w:val="center"/>
          </w:tcPr>
          <w:p w14:paraId="640B7C24" w14:textId="77777777" w:rsidR="008A4121" w:rsidRDefault="008A4121" w:rsidP="00DF4910">
            <w:pPr>
              <w:jc w:val="center"/>
            </w:pPr>
            <w:r>
              <w:rPr>
                <w:sz w:val="22"/>
                <w:szCs w:val="22"/>
              </w:rPr>
              <w:t>20</w:t>
            </w:r>
          </w:p>
        </w:tc>
        <w:tc>
          <w:tcPr>
            <w:tcW w:w="860" w:type="dxa"/>
            <w:tcBorders>
              <w:top w:val="single" w:sz="1" w:space="0" w:color="808080"/>
              <w:left w:val="single" w:sz="1" w:space="0" w:color="808080"/>
              <w:bottom w:val="single" w:sz="1" w:space="0" w:color="808080"/>
              <w:right w:val="single" w:sz="1" w:space="0" w:color="808080"/>
            </w:tcBorders>
            <w:vAlign w:val="center"/>
          </w:tcPr>
          <w:p w14:paraId="27A659E8" w14:textId="77777777" w:rsidR="008A4121" w:rsidRDefault="008A4121" w:rsidP="00DF4910">
            <w:pPr>
              <w:jc w:val="center"/>
            </w:pPr>
            <w:r>
              <w:rPr>
                <w:sz w:val="22"/>
                <w:szCs w:val="22"/>
              </w:rPr>
              <w:t>23.0</w:t>
            </w:r>
          </w:p>
        </w:tc>
      </w:tr>
      <w:tr w:rsidR="008A4121" w14:paraId="12A98592" w14:textId="77777777" w:rsidTr="00DF4910">
        <w:trPr>
          <w:trHeight w:val="274"/>
        </w:trPr>
        <w:tc>
          <w:tcPr>
            <w:tcW w:w="2400" w:type="dxa"/>
            <w:tcBorders>
              <w:top w:val="single" w:sz="1" w:space="0" w:color="808080"/>
              <w:left w:val="single" w:sz="1" w:space="0" w:color="808080"/>
              <w:bottom w:val="single" w:sz="1" w:space="0" w:color="808080"/>
              <w:right w:val="single" w:sz="1" w:space="0" w:color="808080"/>
            </w:tcBorders>
            <w:vAlign w:val="center"/>
          </w:tcPr>
          <w:p w14:paraId="600C9884" w14:textId="77777777" w:rsidR="008A4121" w:rsidRDefault="008A4121" w:rsidP="00DF4910">
            <w:r>
              <w:rPr>
                <w:sz w:val="22"/>
                <w:szCs w:val="22"/>
              </w:rPr>
              <w:t>Building Consultant</w:t>
            </w:r>
          </w:p>
        </w:tc>
        <w:tc>
          <w:tcPr>
            <w:tcW w:w="900" w:type="dxa"/>
            <w:tcBorders>
              <w:top w:val="single" w:sz="1" w:space="0" w:color="808080"/>
              <w:left w:val="single" w:sz="1" w:space="0" w:color="808080"/>
              <w:bottom w:val="single" w:sz="1" w:space="0" w:color="808080"/>
              <w:right w:val="single" w:sz="1" w:space="0" w:color="808080"/>
            </w:tcBorders>
            <w:vAlign w:val="center"/>
          </w:tcPr>
          <w:p w14:paraId="5E43F2BE" w14:textId="77777777" w:rsidR="008A4121" w:rsidRDefault="008A4121" w:rsidP="00DF4910">
            <w:pPr>
              <w:jc w:val="center"/>
            </w:pPr>
            <w:r>
              <w:rPr>
                <w:sz w:val="22"/>
                <w:szCs w:val="22"/>
              </w:rPr>
              <w:t>17</w:t>
            </w:r>
          </w:p>
        </w:tc>
        <w:tc>
          <w:tcPr>
            <w:tcW w:w="900" w:type="dxa"/>
            <w:tcBorders>
              <w:top w:val="single" w:sz="1" w:space="0" w:color="808080"/>
              <w:left w:val="single" w:sz="1" w:space="0" w:color="808080"/>
              <w:bottom w:val="single" w:sz="1" w:space="0" w:color="808080"/>
              <w:right w:val="single" w:sz="1" w:space="0" w:color="808080"/>
            </w:tcBorders>
            <w:vAlign w:val="center"/>
          </w:tcPr>
          <w:p w14:paraId="6FC4475A" w14:textId="77777777" w:rsidR="008A4121" w:rsidRDefault="008A4121" w:rsidP="00DF4910">
            <w:pPr>
              <w:jc w:val="center"/>
            </w:pPr>
            <w:r>
              <w:rPr>
                <w:sz w:val="22"/>
                <w:szCs w:val="22"/>
              </w:rPr>
              <w:t>19.5</w:t>
            </w:r>
          </w:p>
        </w:tc>
        <w:tc>
          <w:tcPr>
            <w:tcW w:w="2400" w:type="dxa"/>
            <w:tcBorders>
              <w:top w:val="single" w:sz="1" w:space="0" w:color="808080"/>
              <w:left w:val="single" w:sz="1" w:space="0" w:color="808080"/>
              <w:bottom w:val="single" w:sz="1" w:space="0" w:color="808080"/>
              <w:right w:val="single" w:sz="1" w:space="0" w:color="808080"/>
            </w:tcBorders>
            <w:vAlign w:val="center"/>
          </w:tcPr>
          <w:p w14:paraId="57F229DA" w14:textId="77777777" w:rsidR="008A4121" w:rsidRDefault="008A4121" w:rsidP="00DF4910">
            <w:r>
              <w:rPr>
                <w:sz w:val="22"/>
                <w:szCs w:val="22"/>
              </w:rPr>
              <w:t>Education</w:t>
            </w:r>
          </w:p>
        </w:tc>
        <w:tc>
          <w:tcPr>
            <w:tcW w:w="900" w:type="dxa"/>
            <w:tcBorders>
              <w:top w:val="single" w:sz="1" w:space="0" w:color="808080"/>
              <w:left w:val="single" w:sz="1" w:space="0" w:color="808080"/>
              <w:bottom w:val="single" w:sz="1" w:space="0" w:color="808080"/>
              <w:right w:val="single" w:sz="1" w:space="0" w:color="808080"/>
            </w:tcBorders>
            <w:vAlign w:val="center"/>
          </w:tcPr>
          <w:p w14:paraId="003C683E" w14:textId="77777777" w:rsidR="008A4121" w:rsidRDefault="008A4121" w:rsidP="00DF4910">
            <w:pPr>
              <w:jc w:val="center"/>
            </w:pPr>
            <w:r>
              <w:rPr>
                <w:sz w:val="22"/>
                <w:szCs w:val="22"/>
              </w:rPr>
              <w:t>20</w:t>
            </w:r>
          </w:p>
        </w:tc>
        <w:tc>
          <w:tcPr>
            <w:tcW w:w="860" w:type="dxa"/>
            <w:tcBorders>
              <w:top w:val="single" w:sz="1" w:space="0" w:color="808080"/>
              <w:left w:val="single" w:sz="1" w:space="0" w:color="808080"/>
              <w:bottom w:val="single" w:sz="1" w:space="0" w:color="808080"/>
              <w:right w:val="single" w:sz="1" w:space="0" w:color="808080"/>
            </w:tcBorders>
            <w:vAlign w:val="center"/>
          </w:tcPr>
          <w:p w14:paraId="2877B00C" w14:textId="77777777" w:rsidR="008A4121" w:rsidRDefault="008A4121" w:rsidP="00DF4910">
            <w:pPr>
              <w:jc w:val="center"/>
            </w:pPr>
            <w:r>
              <w:rPr>
                <w:sz w:val="22"/>
                <w:szCs w:val="22"/>
              </w:rPr>
              <w:t>23.0</w:t>
            </w:r>
          </w:p>
        </w:tc>
      </w:tr>
      <w:tr w:rsidR="008A4121" w14:paraId="33AB6551" w14:textId="77777777" w:rsidTr="00DF4910">
        <w:trPr>
          <w:trHeight w:val="277"/>
        </w:trPr>
        <w:tc>
          <w:tcPr>
            <w:tcW w:w="2400" w:type="dxa"/>
            <w:tcBorders>
              <w:top w:val="single" w:sz="1" w:space="0" w:color="808080"/>
              <w:left w:val="single" w:sz="1" w:space="0" w:color="808080"/>
              <w:bottom w:val="single" w:sz="1" w:space="0" w:color="808080"/>
              <w:right w:val="single" w:sz="1" w:space="0" w:color="808080"/>
            </w:tcBorders>
            <w:vAlign w:val="center"/>
          </w:tcPr>
          <w:p w14:paraId="0C75DF4D" w14:textId="77777777" w:rsidR="008A4121" w:rsidRDefault="008A4121" w:rsidP="00DF4910">
            <w:r>
              <w:rPr>
                <w:sz w:val="22"/>
                <w:szCs w:val="22"/>
              </w:rPr>
              <w:t>Sustainability Officer</w:t>
            </w:r>
          </w:p>
        </w:tc>
        <w:tc>
          <w:tcPr>
            <w:tcW w:w="900" w:type="dxa"/>
            <w:tcBorders>
              <w:top w:val="single" w:sz="1" w:space="0" w:color="808080"/>
              <w:left w:val="single" w:sz="1" w:space="0" w:color="808080"/>
              <w:bottom w:val="single" w:sz="1" w:space="0" w:color="808080"/>
              <w:right w:val="single" w:sz="1" w:space="0" w:color="808080"/>
            </w:tcBorders>
            <w:vAlign w:val="center"/>
          </w:tcPr>
          <w:p w14:paraId="2104355C" w14:textId="77777777" w:rsidR="008A4121" w:rsidRDefault="008A4121" w:rsidP="00DF4910">
            <w:pPr>
              <w:jc w:val="center"/>
            </w:pPr>
            <w:r>
              <w:rPr>
                <w:sz w:val="22"/>
                <w:szCs w:val="22"/>
              </w:rPr>
              <w:t>10</w:t>
            </w:r>
          </w:p>
        </w:tc>
        <w:tc>
          <w:tcPr>
            <w:tcW w:w="900" w:type="dxa"/>
            <w:tcBorders>
              <w:top w:val="single" w:sz="1" w:space="0" w:color="808080"/>
              <w:left w:val="single" w:sz="1" w:space="0" w:color="808080"/>
              <w:bottom w:val="single" w:sz="1" w:space="0" w:color="808080"/>
              <w:right w:val="single" w:sz="1" w:space="0" w:color="808080"/>
            </w:tcBorders>
            <w:vAlign w:val="center"/>
          </w:tcPr>
          <w:p w14:paraId="397FE097" w14:textId="77777777" w:rsidR="008A4121" w:rsidRDefault="008A4121" w:rsidP="00DF4910">
            <w:pPr>
              <w:jc w:val="center"/>
            </w:pPr>
            <w:r>
              <w:rPr>
                <w:sz w:val="22"/>
                <w:szCs w:val="22"/>
              </w:rPr>
              <w:t>11.5</w:t>
            </w:r>
          </w:p>
        </w:tc>
        <w:tc>
          <w:tcPr>
            <w:tcW w:w="2400" w:type="dxa"/>
            <w:tcBorders>
              <w:top w:val="single" w:sz="1" w:space="0" w:color="808080"/>
              <w:left w:val="single" w:sz="1" w:space="0" w:color="808080"/>
              <w:bottom w:val="single" w:sz="1" w:space="0" w:color="808080"/>
              <w:right w:val="single" w:sz="1" w:space="0" w:color="808080"/>
            </w:tcBorders>
            <w:vAlign w:val="center"/>
          </w:tcPr>
          <w:p w14:paraId="79D7D658" w14:textId="77777777" w:rsidR="008A4121" w:rsidRDefault="008A4121" w:rsidP="00DF4910">
            <w:r>
              <w:rPr>
                <w:sz w:val="22"/>
                <w:szCs w:val="22"/>
              </w:rPr>
              <w:t>Healthcare</w:t>
            </w:r>
          </w:p>
        </w:tc>
        <w:tc>
          <w:tcPr>
            <w:tcW w:w="900" w:type="dxa"/>
            <w:tcBorders>
              <w:top w:val="single" w:sz="1" w:space="0" w:color="808080"/>
              <w:left w:val="single" w:sz="1" w:space="0" w:color="808080"/>
              <w:bottom w:val="single" w:sz="1" w:space="0" w:color="808080"/>
              <w:right w:val="single" w:sz="1" w:space="0" w:color="808080"/>
            </w:tcBorders>
            <w:vAlign w:val="center"/>
          </w:tcPr>
          <w:p w14:paraId="6846F7D6" w14:textId="77777777" w:rsidR="008A4121" w:rsidRDefault="008A4121" w:rsidP="00DF4910">
            <w:pPr>
              <w:jc w:val="center"/>
            </w:pPr>
            <w:r>
              <w:rPr>
                <w:sz w:val="22"/>
                <w:szCs w:val="22"/>
              </w:rPr>
              <w:t>7</w:t>
            </w:r>
          </w:p>
        </w:tc>
        <w:tc>
          <w:tcPr>
            <w:tcW w:w="860" w:type="dxa"/>
            <w:tcBorders>
              <w:top w:val="single" w:sz="1" w:space="0" w:color="808080"/>
              <w:left w:val="single" w:sz="1" w:space="0" w:color="808080"/>
              <w:bottom w:val="single" w:sz="1" w:space="0" w:color="808080"/>
              <w:right w:val="single" w:sz="1" w:space="0" w:color="808080"/>
            </w:tcBorders>
            <w:vAlign w:val="center"/>
          </w:tcPr>
          <w:p w14:paraId="059EAEFA" w14:textId="77777777" w:rsidR="008A4121" w:rsidRDefault="008A4121" w:rsidP="00DF4910">
            <w:pPr>
              <w:jc w:val="center"/>
            </w:pPr>
            <w:r>
              <w:rPr>
                <w:sz w:val="22"/>
                <w:szCs w:val="22"/>
              </w:rPr>
              <w:t>8.0</w:t>
            </w:r>
          </w:p>
        </w:tc>
      </w:tr>
      <w:tr w:rsidR="008A4121" w14:paraId="70D0C97C" w14:textId="77777777" w:rsidTr="00DF4910">
        <w:trPr>
          <w:trHeight w:val="296"/>
        </w:trPr>
        <w:tc>
          <w:tcPr>
            <w:tcW w:w="2400" w:type="dxa"/>
            <w:tcBorders>
              <w:top w:val="single" w:sz="1" w:space="0" w:color="808080"/>
              <w:left w:val="single" w:sz="1" w:space="0" w:color="808080"/>
              <w:bottom w:val="single" w:sz="1" w:space="0" w:color="808080"/>
              <w:right w:val="single" w:sz="1" w:space="0" w:color="808080"/>
            </w:tcBorders>
            <w:vAlign w:val="center"/>
          </w:tcPr>
          <w:p w14:paraId="515AAC9E" w14:textId="77777777" w:rsidR="008A4121" w:rsidRDefault="008A4121" w:rsidP="00DF4910">
            <w:r>
              <w:rPr>
                <w:sz w:val="22"/>
                <w:szCs w:val="22"/>
              </w:rPr>
              <w:t>Academic/Researcher</w:t>
            </w:r>
          </w:p>
        </w:tc>
        <w:tc>
          <w:tcPr>
            <w:tcW w:w="900" w:type="dxa"/>
            <w:tcBorders>
              <w:top w:val="single" w:sz="1" w:space="0" w:color="808080"/>
              <w:left w:val="single" w:sz="1" w:space="0" w:color="808080"/>
              <w:bottom w:val="single" w:sz="1" w:space="0" w:color="808080"/>
              <w:right w:val="single" w:sz="1" w:space="0" w:color="808080"/>
            </w:tcBorders>
            <w:vAlign w:val="center"/>
          </w:tcPr>
          <w:p w14:paraId="1E9CFB39" w14:textId="77777777" w:rsidR="008A4121" w:rsidRDefault="008A4121" w:rsidP="00DF4910">
            <w:pPr>
              <w:jc w:val="center"/>
            </w:pPr>
            <w:r>
              <w:rPr>
                <w:sz w:val="22"/>
                <w:szCs w:val="22"/>
              </w:rPr>
              <w:t>7</w:t>
            </w:r>
          </w:p>
        </w:tc>
        <w:tc>
          <w:tcPr>
            <w:tcW w:w="900" w:type="dxa"/>
            <w:tcBorders>
              <w:top w:val="single" w:sz="1" w:space="0" w:color="808080"/>
              <w:left w:val="single" w:sz="1" w:space="0" w:color="808080"/>
              <w:bottom w:val="single" w:sz="1" w:space="0" w:color="808080"/>
              <w:right w:val="single" w:sz="1" w:space="0" w:color="808080"/>
            </w:tcBorders>
            <w:vAlign w:val="center"/>
          </w:tcPr>
          <w:p w14:paraId="075E7AAC" w14:textId="77777777" w:rsidR="008A4121" w:rsidRDefault="008A4121" w:rsidP="00DF4910">
            <w:pPr>
              <w:jc w:val="center"/>
            </w:pPr>
            <w:r>
              <w:rPr>
                <w:sz w:val="22"/>
                <w:szCs w:val="22"/>
              </w:rPr>
              <w:t>8.0</w:t>
            </w:r>
          </w:p>
        </w:tc>
        <w:tc>
          <w:tcPr>
            <w:tcW w:w="2400" w:type="dxa"/>
            <w:tcBorders>
              <w:top w:val="single" w:sz="1" w:space="0" w:color="808080"/>
              <w:left w:val="single" w:sz="1" w:space="0" w:color="808080"/>
              <w:bottom w:val="single" w:sz="1" w:space="0" w:color="808080"/>
              <w:right w:val="single" w:sz="1" w:space="0" w:color="808080"/>
            </w:tcBorders>
            <w:vAlign w:val="center"/>
          </w:tcPr>
          <w:p w14:paraId="4E94DE78" w14:textId="77777777" w:rsidR="008A4121" w:rsidRDefault="008A4121" w:rsidP="00DF4910">
            <w:r>
              <w:rPr>
                <w:sz w:val="22"/>
                <w:szCs w:val="22"/>
              </w:rPr>
              <w:t>Other</w:t>
            </w:r>
          </w:p>
        </w:tc>
        <w:tc>
          <w:tcPr>
            <w:tcW w:w="900" w:type="dxa"/>
            <w:tcBorders>
              <w:top w:val="single" w:sz="1" w:space="0" w:color="808080"/>
              <w:left w:val="single" w:sz="1" w:space="0" w:color="808080"/>
              <w:bottom w:val="single" w:sz="1" w:space="0" w:color="808080"/>
              <w:right w:val="single" w:sz="1" w:space="0" w:color="808080"/>
            </w:tcBorders>
            <w:vAlign w:val="center"/>
          </w:tcPr>
          <w:p w14:paraId="40276E19" w14:textId="77777777" w:rsidR="008A4121" w:rsidRDefault="008A4121" w:rsidP="00DF4910">
            <w:pPr>
              <w:jc w:val="center"/>
            </w:pPr>
            <w:r>
              <w:rPr>
                <w:sz w:val="22"/>
                <w:szCs w:val="22"/>
              </w:rPr>
              <w:t>3</w:t>
            </w:r>
          </w:p>
        </w:tc>
        <w:tc>
          <w:tcPr>
            <w:tcW w:w="860" w:type="dxa"/>
            <w:tcBorders>
              <w:top w:val="single" w:sz="1" w:space="0" w:color="808080"/>
              <w:left w:val="single" w:sz="1" w:space="0" w:color="808080"/>
              <w:bottom w:val="single" w:sz="1" w:space="0" w:color="808080"/>
              <w:right w:val="single" w:sz="1" w:space="0" w:color="808080"/>
            </w:tcBorders>
            <w:vAlign w:val="center"/>
          </w:tcPr>
          <w:p w14:paraId="43B77A04" w14:textId="77777777" w:rsidR="008A4121" w:rsidRDefault="008A4121" w:rsidP="00DF4910">
            <w:pPr>
              <w:jc w:val="center"/>
            </w:pPr>
            <w:r>
              <w:rPr>
                <w:sz w:val="22"/>
                <w:szCs w:val="22"/>
              </w:rPr>
              <w:t>3.4</w:t>
            </w:r>
          </w:p>
        </w:tc>
      </w:tr>
      <w:tr w:rsidR="008A4121" w14:paraId="1AF344F5" w14:textId="77777777" w:rsidTr="00DF4910">
        <w:tc>
          <w:tcPr>
            <w:tcW w:w="2400" w:type="dxa"/>
            <w:tcBorders>
              <w:top w:val="single" w:sz="1" w:space="0" w:color="808080"/>
              <w:left w:val="single" w:sz="1" w:space="0" w:color="808080"/>
              <w:bottom w:val="single" w:sz="1" w:space="0" w:color="808080"/>
              <w:right w:val="single" w:sz="1" w:space="0" w:color="808080"/>
            </w:tcBorders>
            <w:vAlign w:val="center"/>
          </w:tcPr>
          <w:p w14:paraId="14CE98AE" w14:textId="77777777" w:rsidR="008A4121" w:rsidRDefault="008A4121" w:rsidP="00DF4910">
            <w:r>
              <w:rPr>
                <w:sz w:val="22"/>
                <w:szCs w:val="22"/>
              </w:rPr>
              <w:t>BIM Coordinator</w:t>
            </w:r>
          </w:p>
        </w:tc>
        <w:tc>
          <w:tcPr>
            <w:tcW w:w="900" w:type="dxa"/>
            <w:tcBorders>
              <w:top w:val="single" w:sz="1" w:space="0" w:color="808080"/>
              <w:left w:val="single" w:sz="1" w:space="0" w:color="808080"/>
              <w:bottom w:val="single" w:sz="1" w:space="0" w:color="808080"/>
              <w:right w:val="single" w:sz="1" w:space="0" w:color="808080"/>
            </w:tcBorders>
            <w:vAlign w:val="center"/>
          </w:tcPr>
          <w:p w14:paraId="54C3FDC9" w14:textId="77777777" w:rsidR="008A4121" w:rsidRDefault="008A4121" w:rsidP="00DF4910">
            <w:pPr>
              <w:jc w:val="center"/>
            </w:pPr>
            <w:r>
              <w:rPr>
                <w:sz w:val="22"/>
                <w:szCs w:val="22"/>
              </w:rPr>
              <w:t>6</w:t>
            </w:r>
          </w:p>
        </w:tc>
        <w:tc>
          <w:tcPr>
            <w:tcW w:w="900" w:type="dxa"/>
            <w:tcBorders>
              <w:top w:val="single" w:sz="1" w:space="0" w:color="808080"/>
              <w:left w:val="single" w:sz="1" w:space="0" w:color="808080"/>
              <w:bottom w:val="single" w:sz="1" w:space="0" w:color="808080"/>
              <w:right w:val="single" w:sz="1" w:space="0" w:color="808080"/>
            </w:tcBorders>
            <w:vAlign w:val="center"/>
          </w:tcPr>
          <w:p w14:paraId="7DEBF928" w14:textId="77777777" w:rsidR="008A4121" w:rsidRDefault="008A4121" w:rsidP="00DF4910">
            <w:pPr>
              <w:jc w:val="center"/>
            </w:pPr>
            <w:r>
              <w:rPr>
                <w:sz w:val="22"/>
                <w:szCs w:val="22"/>
              </w:rPr>
              <w:t>6.9</w:t>
            </w:r>
          </w:p>
        </w:tc>
        <w:tc>
          <w:tcPr>
            <w:tcW w:w="2400" w:type="dxa"/>
            <w:tcBorders>
              <w:top w:val="single" w:sz="1" w:space="0" w:color="808080"/>
              <w:left w:val="single" w:sz="1" w:space="0" w:color="808080"/>
              <w:bottom w:val="single" w:sz="1" w:space="0" w:color="808080"/>
              <w:right w:val="single" w:sz="1" w:space="0" w:color="808080"/>
            </w:tcBorders>
            <w:vAlign w:val="center"/>
          </w:tcPr>
          <w:p w14:paraId="60C27E5F" w14:textId="77777777" w:rsidR="008A4121" w:rsidRDefault="008A4121" w:rsidP="00DF4910"/>
        </w:tc>
        <w:tc>
          <w:tcPr>
            <w:tcW w:w="900" w:type="dxa"/>
            <w:tcBorders>
              <w:top w:val="single" w:sz="1" w:space="0" w:color="808080"/>
              <w:left w:val="single" w:sz="1" w:space="0" w:color="808080"/>
              <w:bottom w:val="single" w:sz="1" w:space="0" w:color="808080"/>
              <w:right w:val="single" w:sz="1" w:space="0" w:color="808080"/>
            </w:tcBorders>
            <w:vAlign w:val="center"/>
          </w:tcPr>
          <w:p w14:paraId="2076F2AE" w14:textId="77777777" w:rsidR="008A4121" w:rsidRDefault="008A4121" w:rsidP="00DF4910">
            <w:pPr>
              <w:jc w:val="center"/>
            </w:pPr>
          </w:p>
        </w:tc>
        <w:tc>
          <w:tcPr>
            <w:tcW w:w="860" w:type="dxa"/>
            <w:tcBorders>
              <w:top w:val="single" w:sz="1" w:space="0" w:color="808080"/>
              <w:left w:val="single" w:sz="1" w:space="0" w:color="808080"/>
              <w:bottom w:val="single" w:sz="1" w:space="0" w:color="808080"/>
              <w:right w:val="single" w:sz="1" w:space="0" w:color="808080"/>
            </w:tcBorders>
            <w:vAlign w:val="center"/>
          </w:tcPr>
          <w:p w14:paraId="0E48D3D5" w14:textId="77777777" w:rsidR="008A4121" w:rsidRDefault="008A4121" w:rsidP="00DF4910">
            <w:pPr>
              <w:jc w:val="center"/>
            </w:pPr>
          </w:p>
        </w:tc>
      </w:tr>
      <w:tr w:rsidR="008A4121" w14:paraId="16D35152" w14:textId="77777777" w:rsidTr="00DF4910">
        <w:trPr>
          <w:trHeight w:val="276"/>
        </w:trPr>
        <w:tc>
          <w:tcPr>
            <w:tcW w:w="2400" w:type="dxa"/>
            <w:tcBorders>
              <w:top w:val="single" w:sz="1" w:space="0" w:color="808080"/>
              <w:left w:val="single" w:sz="1" w:space="0" w:color="808080"/>
              <w:bottom w:val="single" w:sz="1" w:space="0" w:color="808080"/>
              <w:right w:val="single" w:sz="1" w:space="0" w:color="808080"/>
            </w:tcBorders>
            <w:vAlign w:val="center"/>
          </w:tcPr>
          <w:p w14:paraId="01A935C9" w14:textId="77777777" w:rsidR="008A4121" w:rsidRDefault="008A4121" w:rsidP="00DF4910">
            <w:r>
              <w:rPr>
                <w:sz w:val="22"/>
                <w:szCs w:val="22"/>
              </w:rPr>
              <w:t>Other</w:t>
            </w:r>
          </w:p>
        </w:tc>
        <w:tc>
          <w:tcPr>
            <w:tcW w:w="900" w:type="dxa"/>
            <w:tcBorders>
              <w:top w:val="single" w:sz="1" w:space="0" w:color="808080"/>
              <w:left w:val="single" w:sz="1" w:space="0" w:color="808080"/>
              <w:bottom w:val="single" w:sz="1" w:space="0" w:color="808080"/>
              <w:right w:val="single" w:sz="1" w:space="0" w:color="808080"/>
            </w:tcBorders>
            <w:vAlign w:val="center"/>
          </w:tcPr>
          <w:p w14:paraId="53811E22" w14:textId="77777777" w:rsidR="008A4121" w:rsidRDefault="008A4121" w:rsidP="00DF4910">
            <w:pPr>
              <w:jc w:val="center"/>
            </w:pPr>
            <w:r>
              <w:rPr>
                <w:sz w:val="22"/>
                <w:szCs w:val="22"/>
              </w:rPr>
              <w:t>5</w:t>
            </w:r>
          </w:p>
        </w:tc>
        <w:tc>
          <w:tcPr>
            <w:tcW w:w="900" w:type="dxa"/>
            <w:tcBorders>
              <w:top w:val="single" w:sz="1" w:space="0" w:color="808080"/>
              <w:left w:val="single" w:sz="1" w:space="0" w:color="808080"/>
              <w:bottom w:val="single" w:sz="1" w:space="0" w:color="808080"/>
              <w:right w:val="single" w:sz="1" w:space="0" w:color="808080"/>
            </w:tcBorders>
            <w:vAlign w:val="center"/>
          </w:tcPr>
          <w:p w14:paraId="1B6DEE73" w14:textId="77777777" w:rsidR="008A4121" w:rsidRDefault="008A4121" w:rsidP="00DF4910">
            <w:pPr>
              <w:jc w:val="center"/>
            </w:pPr>
            <w:r>
              <w:rPr>
                <w:sz w:val="22"/>
                <w:szCs w:val="22"/>
              </w:rPr>
              <w:t>5.7</w:t>
            </w:r>
          </w:p>
        </w:tc>
        <w:tc>
          <w:tcPr>
            <w:tcW w:w="2400" w:type="dxa"/>
            <w:tcBorders>
              <w:top w:val="single" w:sz="1" w:space="0" w:color="808080"/>
              <w:left w:val="single" w:sz="1" w:space="0" w:color="808080"/>
              <w:bottom w:val="single" w:sz="1" w:space="0" w:color="808080"/>
              <w:right w:val="single" w:sz="1" w:space="0" w:color="808080"/>
            </w:tcBorders>
            <w:vAlign w:val="center"/>
          </w:tcPr>
          <w:p w14:paraId="63616686" w14:textId="77777777" w:rsidR="008A4121" w:rsidRDefault="008A4121" w:rsidP="00DF4910">
            <w:r>
              <w:rPr>
                <w:sz w:val="22"/>
                <w:szCs w:val="22"/>
              </w:rPr>
              <w:t>Total</w:t>
            </w:r>
          </w:p>
        </w:tc>
        <w:tc>
          <w:tcPr>
            <w:tcW w:w="900" w:type="dxa"/>
            <w:tcBorders>
              <w:top w:val="single" w:sz="1" w:space="0" w:color="808080"/>
              <w:left w:val="single" w:sz="1" w:space="0" w:color="808080"/>
              <w:bottom w:val="single" w:sz="1" w:space="0" w:color="808080"/>
              <w:right w:val="single" w:sz="1" w:space="0" w:color="808080"/>
            </w:tcBorders>
            <w:vAlign w:val="center"/>
          </w:tcPr>
          <w:p w14:paraId="2AA71E17" w14:textId="77777777" w:rsidR="008A4121" w:rsidRDefault="008A4121" w:rsidP="00DF4910">
            <w:pPr>
              <w:jc w:val="center"/>
            </w:pPr>
            <w:r>
              <w:rPr>
                <w:sz w:val="22"/>
                <w:szCs w:val="22"/>
              </w:rPr>
              <w:t>87</w:t>
            </w:r>
          </w:p>
        </w:tc>
        <w:tc>
          <w:tcPr>
            <w:tcW w:w="860" w:type="dxa"/>
            <w:tcBorders>
              <w:top w:val="single" w:sz="1" w:space="0" w:color="808080"/>
              <w:left w:val="single" w:sz="1" w:space="0" w:color="808080"/>
              <w:bottom w:val="single" w:sz="1" w:space="0" w:color="808080"/>
              <w:right w:val="single" w:sz="1" w:space="0" w:color="808080"/>
            </w:tcBorders>
            <w:vAlign w:val="center"/>
          </w:tcPr>
          <w:p w14:paraId="683A120C" w14:textId="77777777" w:rsidR="008A4121" w:rsidRDefault="008A4121" w:rsidP="00DF4910">
            <w:pPr>
              <w:jc w:val="center"/>
            </w:pPr>
            <w:r>
              <w:rPr>
                <w:sz w:val="22"/>
                <w:szCs w:val="22"/>
              </w:rPr>
              <w:t>100</w:t>
            </w:r>
          </w:p>
        </w:tc>
      </w:tr>
    </w:tbl>
    <w:p w14:paraId="43E36D0A" w14:textId="77777777" w:rsidR="008A4121" w:rsidRDefault="008A4121" w:rsidP="008A4121">
      <w:pPr>
        <w:spacing w:after="200"/>
      </w:pPr>
    </w:p>
    <w:p w14:paraId="24FF8EFB" w14:textId="77777777" w:rsidR="001C693C" w:rsidRDefault="000413A7" w:rsidP="001C693C">
      <w:pPr>
        <w:keepNext/>
        <w:jc w:val="center"/>
      </w:pPr>
      <w:r>
        <w:rPr>
          <w:noProof/>
        </w:rPr>
        <w:lastRenderedPageBreak/>
        <w:drawing>
          <wp:inline distT="0" distB="0" distL="0" distR="0" wp14:anchorId="275AA78F" wp14:editId="5F6045E3">
            <wp:extent cx="5731359" cy="3045349"/>
            <wp:effectExtent l="0" t="0" r="3175" b="3175"/>
            <wp:docPr id="251074326" name="Picture 3"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074326" name="Picture 3" descr="A graph with blue bar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9163" cy="3049496"/>
                    </a:xfrm>
                    <a:prstGeom prst="rect">
                      <a:avLst/>
                    </a:prstGeom>
                  </pic:spPr>
                </pic:pic>
              </a:graphicData>
            </a:graphic>
          </wp:inline>
        </w:drawing>
      </w:r>
    </w:p>
    <w:p w14:paraId="0C43226E" w14:textId="0F820182" w:rsidR="00AE4BD9" w:rsidRPr="009673C1" w:rsidRDefault="00AE4BD9" w:rsidP="00AE4BD9">
      <w:pPr>
        <w:pStyle w:val="Caption"/>
        <w:jc w:val="center"/>
        <w:rPr>
          <w:b/>
          <w:bCs/>
          <w:color w:val="auto"/>
          <w:sz w:val="20"/>
          <w:szCs w:val="20"/>
        </w:rPr>
      </w:pPr>
      <w:bookmarkStart w:id="92" w:name="_Toc220152009"/>
      <w:bookmarkStart w:id="93" w:name="_Toc223075551"/>
      <w:bookmarkStart w:id="94" w:name="_Toc223079121"/>
      <w:r w:rsidRPr="009673C1">
        <w:rPr>
          <w:b/>
          <w:bCs/>
          <w:color w:val="auto"/>
          <w:sz w:val="20"/>
          <w:szCs w:val="20"/>
        </w:rPr>
        <w:t>Figure 4</w:t>
      </w:r>
      <w:r>
        <w:rPr>
          <w:b/>
          <w:bCs/>
          <w:color w:val="auto"/>
          <w:sz w:val="20"/>
          <w:szCs w:val="20"/>
        </w:rPr>
        <w:t>.</w:t>
      </w:r>
      <w:r w:rsidR="00FB6993">
        <w:rPr>
          <w:b/>
          <w:bCs/>
          <w:color w:val="auto"/>
          <w:sz w:val="20"/>
          <w:szCs w:val="20"/>
        </w:rPr>
        <w:t>2</w:t>
      </w:r>
      <w:r w:rsidRPr="009673C1">
        <w:rPr>
          <w:b/>
          <w:bCs/>
          <w:color w:val="auto"/>
          <w:sz w:val="20"/>
          <w:szCs w:val="20"/>
        </w:rPr>
        <w:t>: Survey Respondents by Organisation Type (n=87)</w:t>
      </w:r>
      <w:bookmarkEnd w:id="92"/>
      <w:bookmarkEnd w:id="93"/>
      <w:bookmarkEnd w:id="94"/>
    </w:p>
    <w:p w14:paraId="277BDBCB" w14:textId="77777777" w:rsidR="009C7098" w:rsidRDefault="009C7098" w:rsidP="009673C1">
      <w:pPr>
        <w:keepNext/>
        <w:jc w:val="center"/>
      </w:pPr>
    </w:p>
    <w:p w14:paraId="14B7066F" w14:textId="77777777" w:rsidR="008A4121" w:rsidRDefault="008A4121" w:rsidP="008A4121">
      <w:pPr>
        <w:spacing w:after="200" w:line="360" w:lineRule="auto"/>
      </w:pPr>
      <w:r>
        <w:t>The organisational mix spans private sector (42.5%), public sector (23.0%), and education (23.0%), enabling comparison across contexts with differing procurement cultures and investment horizons. Geographic distribution concentrated in the United Kingdom (47.1%, n=41), with additional representation from EU member states (21.8%), North America (6.9%), and emerging markets including India (6.9%) and Africa (5.7%). This geographic spread, while UK-focused, provides international perspective on adoption patterns.</w:t>
      </w:r>
    </w:p>
    <w:p w14:paraId="6C40208C" w14:textId="77777777" w:rsidR="001C693C" w:rsidRDefault="000413A7" w:rsidP="001C693C">
      <w:pPr>
        <w:keepNext/>
        <w:jc w:val="center"/>
      </w:pPr>
      <w:r>
        <w:rPr>
          <w:noProof/>
        </w:rPr>
        <w:drawing>
          <wp:inline distT="0" distB="0" distL="0" distR="0" wp14:anchorId="38A7B271" wp14:editId="55EB533B">
            <wp:extent cx="5730875" cy="3108960"/>
            <wp:effectExtent l="0" t="0" r="3175" b="0"/>
            <wp:docPr id="534974761" name="Picture 4" descr="A graph of different colored colum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974761" name="Picture 4" descr="A graph of different colored column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44557" cy="3116382"/>
                    </a:xfrm>
                    <a:prstGeom prst="rect">
                      <a:avLst/>
                    </a:prstGeom>
                  </pic:spPr>
                </pic:pic>
              </a:graphicData>
            </a:graphic>
          </wp:inline>
        </w:drawing>
      </w:r>
    </w:p>
    <w:p w14:paraId="5ACEA4D9" w14:textId="2503387A" w:rsidR="00AE4BD9" w:rsidRPr="009673C1" w:rsidRDefault="00AE4BD9" w:rsidP="00AE4BD9">
      <w:pPr>
        <w:pStyle w:val="Caption"/>
        <w:jc w:val="center"/>
        <w:rPr>
          <w:b/>
          <w:bCs/>
          <w:color w:val="auto"/>
          <w:sz w:val="20"/>
          <w:szCs w:val="20"/>
        </w:rPr>
      </w:pPr>
      <w:bookmarkStart w:id="95" w:name="_Toc220152010"/>
      <w:bookmarkStart w:id="96" w:name="_Toc223075552"/>
      <w:bookmarkStart w:id="97" w:name="_Toc223079122"/>
      <w:r w:rsidRPr="009673C1">
        <w:rPr>
          <w:b/>
          <w:bCs/>
          <w:color w:val="auto"/>
          <w:sz w:val="20"/>
          <w:szCs w:val="20"/>
        </w:rPr>
        <w:t xml:space="preserve">Figure </w:t>
      </w:r>
      <w:r>
        <w:rPr>
          <w:b/>
          <w:bCs/>
          <w:color w:val="auto"/>
          <w:sz w:val="20"/>
          <w:szCs w:val="20"/>
        </w:rPr>
        <w:t>4.</w:t>
      </w:r>
      <w:r w:rsidR="00FB6993">
        <w:rPr>
          <w:b/>
          <w:bCs/>
          <w:color w:val="auto"/>
          <w:sz w:val="20"/>
          <w:szCs w:val="20"/>
        </w:rPr>
        <w:t>3</w:t>
      </w:r>
      <w:r w:rsidRPr="009673C1">
        <w:rPr>
          <w:b/>
          <w:bCs/>
          <w:color w:val="auto"/>
          <w:sz w:val="20"/>
          <w:szCs w:val="20"/>
        </w:rPr>
        <w:t>: Survey Respondents by Experience Level (n=87)</w:t>
      </w:r>
      <w:bookmarkEnd w:id="95"/>
      <w:bookmarkEnd w:id="96"/>
      <w:bookmarkEnd w:id="97"/>
    </w:p>
    <w:p w14:paraId="587B5E30" w14:textId="77777777" w:rsidR="009C7098" w:rsidRDefault="009C7098" w:rsidP="009673C1">
      <w:pPr>
        <w:keepNext/>
        <w:jc w:val="center"/>
      </w:pPr>
    </w:p>
    <w:p w14:paraId="42B36E9A" w14:textId="77777777" w:rsidR="008A4121" w:rsidRDefault="008A4121" w:rsidP="008A4121">
      <w:pPr>
        <w:spacing w:after="200" w:line="360" w:lineRule="auto"/>
      </w:pPr>
      <w:r>
        <w:t>Experience levels were well-distributed, with the majority (58.6%) possessing over ten years in building operations or M&amp;E management, indicating a sample with substantial practical knowledge of the challenges and opportunities associated with building performance optimisation. This experience profile strengthens confidence that responses reflect informed professional judgement rather than speculative assessment.</w:t>
      </w:r>
    </w:p>
    <w:p w14:paraId="78A6DF23" w14:textId="77777777" w:rsidR="008A4121" w:rsidRDefault="008A4121" w:rsidP="008A4121">
      <w:pPr>
        <w:pStyle w:val="Heading2"/>
      </w:pPr>
      <w:bookmarkStart w:id="98" w:name="_Toc220152207"/>
      <w:r>
        <w:t>4.3 Interview Participant Profile</w:t>
      </w:r>
      <w:bookmarkEnd w:id="98"/>
    </w:p>
    <w:p w14:paraId="34CB2FB6" w14:textId="77777777" w:rsidR="008A4121" w:rsidRDefault="008A4121" w:rsidP="008A4121">
      <w:pPr>
        <w:spacing w:after="200" w:line="360" w:lineRule="auto"/>
      </w:pPr>
      <w:r>
        <w:t>Six semi-structured interviews were conducted with professionals representing complementary perspectives across the South Wales Further Education sector and associated supply chain. Participants were purposively selected to capture operational, strategic, and consultancy viewpoints on AI and Digital Twin adoption in existing building stock, following the sampling strategy detailed in Chapter 3.</w:t>
      </w:r>
    </w:p>
    <w:p w14:paraId="053D8D0A" w14:textId="77777777" w:rsidR="00DF23BB" w:rsidRDefault="00DF23BB" w:rsidP="008A4121">
      <w:pPr>
        <w:spacing w:after="200" w:line="360" w:lineRule="auto"/>
      </w:pPr>
    </w:p>
    <w:p w14:paraId="0C543F0F" w14:textId="44211CF1" w:rsidR="00F34AAE" w:rsidRPr="00F34AAE" w:rsidRDefault="00F34AAE" w:rsidP="00F34AAE">
      <w:pPr>
        <w:pStyle w:val="Caption"/>
        <w:keepNext/>
        <w:rPr>
          <w:b/>
          <w:bCs/>
          <w:color w:val="auto"/>
          <w:sz w:val="20"/>
          <w:szCs w:val="20"/>
        </w:rPr>
      </w:pPr>
      <w:bookmarkStart w:id="99" w:name="_Toc220151989"/>
      <w:bookmarkStart w:id="100" w:name="_Toc223077227"/>
      <w:bookmarkStart w:id="101" w:name="_Toc223079123"/>
      <w:r w:rsidRPr="00F34AAE">
        <w:rPr>
          <w:b/>
          <w:bCs/>
          <w:color w:val="auto"/>
          <w:sz w:val="20"/>
          <w:szCs w:val="20"/>
        </w:rPr>
        <w:t xml:space="preserve">Table </w:t>
      </w:r>
      <w:r w:rsidR="004D4AE1">
        <w:rPr>
          <w:b/>
          <w:bCs/>
          <w:color w:val="auto"/>
          <w:sz w:val="20"/>
          <w:szCs w:val="20"/>
        </w:rPr>
        <w:t>4</w:t>
      </w:r>
      <w:r w:rsidR="00CD0E8E">
        <w:rPr>
          <w:b/>
          <w:bCs/>
          <w:color w:val="auto"/>
          <w:sz w:val="20"/>
          <w:szCs w:val="20"/>
        </w:rPr>
        <w:t>.</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2</w:t>
      </w:r>
      <w:r w:rsidR="00E10041">
        <w:rPr>
          <w:b/>
          <w:bCs/>
          <w:color w:val="auto"/>
          <w:sz w:val="20"/>
          <w:szCs w:val="20"/>
        </w:rPr>
        <w:fldChar w:fldCharType="end"/>
      </w:r>
      <w:r w:rsidRPr="00F34AAE">
        <w:rPr>
          <w:b/>
          <w:bCs/>
          <w:color w:val="auto"/>
          <w:sz w:val="20"/>
          <w:szCs w:val="20"/>
        </w:rPr>
        <w:t>: Interview Participant Profiles</w:t>
      </w:r>
      <w:bookmarkEnd w:id="99"/>
      <w:bookmarkEnd w:id="100"/>
      <w:bookmarkEnd w:id="10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172"/>
        <w:gridCol w:w="2491"/>
        <w:gridCol w:w="2715"/>
        <w:gridCol w:w="2646"/>
      </w:tblGrid>
      <w:tr w:rsidR="008A4121" w14:paraId="1C7F0D1C" w14:textId="77777777" w:rsidTr="005D0832">
        <w:trPr>
          <w:tblHeader/>
        </w:trPr>
        <w:tc>
          <w:tcPr>
            <w:tcW w:w="1172" w:type="dxa"/>
            <w:tcBorders>
              <w:top w:val="single" w:sz="1" w:space="0" w:color="808080"/>
              <w:left w:val="single" w:sz="1" w:space="0" w:color="808080"/>
              <w:bottom w:val="single" w:sz="1" w:space="0" w:color="808080"/>
              <w:right w:val="single" w:sz="1" w:space="0" w:color="808080"/>
            </w:tcBorders>
            <w:shd w:val="clear" w:color="auto" w:fill="D9E2F3"/>
          </w:tcPr>
          <w:p w14:paraId="719449F4" w14:textId="77777777" w:rsidR="008A4121" w:rsidRDefault="008A4121" w:rsidP="00BE29C7">
            <w:pPr>
              <w:jc w:val="center"/>
            </w:pPr>
            <w:r>
              <w:rPr>
                <w:b/>
                <w:bCs/>
                <w:sz w:val="22"/>
                <w:szCs w:val="22"/>
              </w:rPr>
              <w:t>Code</w:t>
            </w:r>
          </w:p>
        </w:tc>
        <w:tc>
          <w:tcPr>
            <w:tcW w:w="2491" w:type="dxa"/>
            <w:tcBorders>
              <w:top w:val="single" w:sz="1" w:space="0" w:color="808080"/>
              <w:left w:val="single" w:sz="1" w:space="0" w:color="808080"/>
              <w:bottom w:val="single" w:sz="1" w:space="0" w:color="808080"/>
              <w:right w:val="single" w:sz="1" w:space="0" w:color="808080"/>
            </w:tcBorders>
            <w:shd w:val="clear" w:color="auto" w:fill="D9E2F3"/>
          </w:tcPr>
          <w:p w14:paraId="60E5FC11" w14:textId="77777777" w:rsidR="008A4121" w:rsidRDefault="008A4121" w:rsidP="00BE29C7">
            <w:pPr>
              <w:jc w:val="center"/>
            </w:pPr>
            <w:r>
              <w:rPr>
                <w:b/>
                <w:bCs/>
                <w:sz w:val="22"/>
                <w:szCs w:val="22"/>
              </w:rPr>
              <w:t>Role</w:t>
            </w:r>
          </w:p>
        </w:tc>
        <w:tc>
          <w:tcPr>
            <w:tcW w:w="2715" w:type="dxa"/>
            <w:tcBorders>
              <w:top w:val="single" w:sz="1" w:space="0" w:color="808080"/>
              <w:left w:val="single" w:sz="1" w:space="0" w:color="808080"/>
              <w:bottom w:val="single" w:sz="1" w:space="0" w:color="808080"/>
              <w:right w:val="single" w:sz="1" w:space="0" w:color="808080"/>
            </w:tcBorders>
            <w:shd w:val="clear" w:color="auto" w:fill="D9E2F3"/>
          </w:tcPr>
          <w:p w14:paraId="7203FDB3" w14:textId="77777777" w:rsidR="008A4121" w:rsidRDefault="008A4121" w:rsidP="00BE29C7">
            <w:pPr>
              <w:jc w:val="center"/>
            </w:pPr>
            <w:r>
              <w:rPr>
                <w:b/>
                <w:bCs/>
                <w:sz w:val="22"/>
                <w:szCs w:val="22"/>
              </w:rPr>
              <w:t>Organisation</w:t>
            </w:r>
          </w:p>
        </w:tc>
        <w:tc>
          <w:tcPr>
            <w:tcW w:w="2646" w:type="dxa"/>
            <w:tcBorders>
              <w:top w:val="single" w:sz="1" w:space="0" w:color="808080"/>
              <w:left w:val="single" w:sz="1" w:space="0" w:color="808080"/>
              <w:bottom w:val="single" w:sz="1" w:space="0" w:color="808080"/>
              <w:right w:val="single" w:sz="1" w:space="0" w:color="808080"/>
            </w:tcBorders>
            <w:shd w:val="clear" w:color="auto" w:fill="D9E2F3"/>
          </w:tcPr>
          <w:p w14:paraId="1E28C0F4" w14:textId="77777777" w:rsidR="008A4121" w:rsidRDefault="008A4121" w:rsidP="00BE29C7">
            <w:pPr>
              <w:jc w:val="center"/>
            </w:pPr>
            <w:r>
              <w:rPr>
                <w:b/>
                <w:bCs/>
                <w:sz w:val="22"/>
                <w:szCs w:val="22"/>
              </w:rPr>
              <w:t>Experience</w:t>
            </w:r>
          </w:p>
        </w:tc>
      </w:tr>
      <w:tr w:rsidR="00EE4960" w14:paraId="604C29A0" w14:textId="77777777" w:rsidTr="005D0832">
        <w:trPr>
          <w:trHeight w:val="366"/>
        </w:trPr>
        <w:tc>
          <w:tcPr>
            <w:tcW w:w="1172" w:type="dxa"/>
            <w:tcBorders>
              <w:top w:val="single" w:sz="1" w:space="0" w:color="808080"/>
              <w:left w:val="single" w:sz="1" w:space="0" w:color="808080"/>
              <w:bottom w:val="single" w:sz="1" w:space="0" w:color="808080"/>
              <w:right w:val="single" w:sz="1" w:space="0" w:color="808080"/>
            </w:tcBorders>
            <w:vAlign w:val="center"/>
          </w:tcPr>
          <w:p w14:paraId="5126B50D" w14:textId="77777777" w:rsidR="00EE4960" w:rsidRDefault="00EE4960" w:rsidP="00EE4960">
            <w:r>
              <w:rPr>
                <w:sz w:val="22"/>
                <w:szCs w:val="22"/>
              </w:rPr>
              <w:t>FM1</w:t>
            </w:r>
          </w:p>
        </w:tc>
        <w:tc>
          <w:tcPr>
            <w:tcW w:w="2491" w:type="dxa"/>
            <w:tcBorders>
              <w:top w:val="single" w:sz="1" w:space="0" w:color="808080"/>
              <w:left w:val="single" w:sz="1" w:space="0" w:color="808080"/>
              <w:bottom w:val="single" w:sz="1" w:space="0" w:color="808080"/>
              <w:right w:val="single" w:sz="1" w:space="0" w:color="808080"/>
            </w:tcBorders>
            <w:vAlign w:val="center"/>
          </w:tcPr>
          <w:p w14:paraId="54FC914F" w14:textId="77777777" w:rsidR="00EE4960" w:rsidRDefault="00EE4960" w:rsidP="00EE4960">
            <w:r>
              <w:rPr>
                <w:sz w:val="22"/>
                <w:szCs w:val="22"/>
              </w:rPr>
              <w:t>Facilities Manager</w:t>
            </w:r>
          </w:p>
        </w:tc>
        <w:tc>
          <w:tcPr>
            <w:tcW w:w="2715" w:type="dxa"/>
            <w:tcBorders>
              <w:top w:val="single" w:sz="1" w:space="0" w:color="808080"/>
              <w:left w:val="single" w:sz="1" w:space="0" w:color="808080"/>
              <w:bottom w:val="single" w:sz="1" w:space="0" w:color="808080"/>
              <w:right w:val="single" w:sz="1" w:space="0" w:color="808080"/>
            </w:tcBorders>
            <w:vAlign w:val="center"/>
          </w:tcPr>
          <w:p w14:paraId="785F5884" w14:textId="388214EC" w:rsidR="00EE4960" w:rsidRDefault="00EE4960" w:rsidP="00EE4960">
            <w:r w:rsidRPr="00DF0287">
              <w:rPr>
                <w:sz w:val="22"/>
                <w:szCs w:val="22"/>
              </w:rPr>
              <w:t>FE College</w:t>
            </w:r>
            <w:r>
              <w:rPr>
                <w:sz w:val="22"/>
                <w:szCs w:val="22"/>
              </w:rPr>
              <w:t xml:space="preserve"> A</w:t>
            </w:r>
          </w:p>
        </w:tc>
        <w:tc>
          <w:tcPr>
            <w:tcW w:w="2646" w:type="dxa"/>
            <w:tcBorders>
              <w:top w:val="single" w:sz="1" w:space="0" w:color="808080"/>
              <w:left w:val="single" w:sz="1" w:space="0" w:color="808080"/>
              <w:bottom w:val="single" w:sz="1" w:space="0" w:color="808080"/>
              <w:right w:val="single" w:sz="1" w:space="0" w:color="808080"/>
            </w:tcBorders>
            <w:vAlign w:val="center"/>
          </w:tcPr>
          <w:p w14:paraId="7CD3B177" w14:textId="77777777" w:rsidR="00EE4960" w:rsidRDefault="00EE4960" w:rsidP="00EE4960">
            <w:r>
              <w:rPr>
                <w:sz w:val="22"/>
                <w:szCs w:val="22"/>
              </w:rPr>
              <w:t>5 years in role</w:t>
            </w:r>
          </w:p>
        </w:tc>
      </w:tr>
      <w:tr w:rsidR="00EE4960" w14:paraId="308D4828" w14:textId="77777777" w:rsidTr="005D0832">
        <w:trPr>
          <w:trHeight w:val="427"/>
        </w:trPr>
        <w:tc>
          <w:tcPr>
            <w:tcW w:w="1172" w:type="dxa"/>
            <w:tcBorders>
              <w:top w:val="single" w:sz="1" w:space="0" w:color="808080"/>
              <w:left w:val="single" w:sz="1" w:space="0" w:color="808080"/>
              <w:bottom w:val="single" w:sz="1" w:space="0" w:color="808080"/>
              <w:right w:val="single" w:sz="1" w:space="0" w:color="808080"/>
            </w:tcBorders>
            <w:vAlign w:val="center"/>
          </w:tcPr>
          <w:p w14:paraId="64E5C1A7" w14:textId="77777777" w:rsidR="00EE4960" w:rsidRDefault="00EE4960" w:rsidP="00EE4960">
            <w:r>
              <w:rPr>
                <w:sz w:val="22"/>
                <w:szCs w:val="22"/>
              </w:rPr>
              <w:t>ENG1</w:t>
            </w:r>
          </w:p>
        </w:tc>
        <w:tc>
          <w:tcPr>
            <w:tcW w:w="2491" w:type="dxa"/>
            <w:tcBorders>
              <w:top w:val="single" w:sz="1" w:space="0" w:color="808080"/>
              <w:left w:val="single" w:sz="1" w:space="0" w:color="808080"/>
              <w:bottom w:val="single" w:sz="1" w:space="0" w:color="808080"/>
              <w:right w:val="single" w:sz="1" w:space="0" w:color="808080"/>
            </w:tcBorders>
            <w:vAlign w:val="center"/>
          </w:tcPr>
          <w:p w14:paraId="5D431E66" w14:textId="77777777" w:rsidR="00EE4960" w:rsidRDefault="00EE4960" w:rsidP="00EE4960">
            <w:r>
              <w:rPr>
                <w:sz w:val="22"/>
                <w:szCs w:val="22"/>
              </w:rPr>
              <w:t>BMS Engineer</w:t>
            </w:r>
          </w:p>
        </w:tc>
        <w:tc>
          <w:tcPr>
            <w:tcW w:w="2715" w:type="dxa"/>
            <w:tcBorders>
              <w:top w:val="single" w:sz="1" w:space="0" w:color="808080"/>
              <w:left w:val="single" w:sz="1" w:space="0" w:color="808080"/>
              <w:bottom w:val="single" w:sz="1" w:space="0" w:color="808080"/>
              <w:right w:val="single" w:sz="1" w:space="0" w:color="808080"/>
            </w:tcBorders>
            <w:vAlign w:val="center"/>
          </w:tcPr>
          <w:p w14:paraId="72F21D1F" w14:textId="4995145C" w:rsidR="00EE4960" w:rsidRDefault="00EE4960" w:rsidP="00EE4960">
            <w:r w:rsidRPr="00DF0287">
              <w:rPr>
                <w:sz w:val="22"/>
                <w:szCs w:val="22"/>
              </w:rPr>
              <w:t>BMS Vendor</w:t>
            </w:r>
          </w:p>
        </w:tc>
        <w:tc>
          <w:tcPr>
            <w:tcW w:w="2646" w:type="dxa"/>
            <w:tcBorders>
              <w:top w:val="single" w:sz="1" w:space="0" w:color="808080"/>
              <w:left w:val="single" w:sz="1" w:space="0" w:color="808080"/>
              <w:bottom w:val="single" w:sz="1" w:space="0" w:color="808080"/>
              <w:right w:val="single" w:sz="1" w:space="0" w:color="808080"/>
            </w:tcBorders>
            <w:vAlign w:val="center"/>
          </w:tcPr>
          <w:p w14:paraId="4D5427F2" w14:textId="77777777" w:rsidR="00EE4960" w:rsidRDefault="00EE4960" w:rsidP="00EE4960">
            <w:r>
              <w:rPr>
                <w:sz w:val="22"/>
                <w:szCs w:val="22"/>
              </w:rPr>
              <w:t>8 years in sector</w:t>
            </w:r>
          </w:p>
        </w:tc>
      </w:tr>
      <w:tr w:rsidR="00EE4960" w14:paraId="4291F46E" w14:textId="77777777" w:rsidTr="005D0832">
        <w:trPr>
          <w:trHeight w:val="419"/>
        </w:trPr>
        <w:tc>
          <w:tcPr>
            <w:tcW w:w="1172" w:type="dxa"/>
            <w:tcBorders>
              <w:top w:val="single" w:sz="1" w:space="0" w:color="808080"/>
              <w:left w:val="single" w:sz="1" w:space="0" w:color="808080"/>
              <w:bottom w:val="single" w:sz="1" w:space="0" w:color="808080"/>
              <w:right w:val="single" w:sz="1" w:space="0" w:color="808080"/>
            </w:tcBorders>
            <w:vAlign w:val="center"/>
          </w:tcPr>
          <w:p w14:paraId="3715E6D2" w14:textId="77777777" w:rsidR="00EE4960" w:rsidRDefault="00EE4960" w:rsidP="00EE4960">
            <w:r>
              <w:rPr>
                <w:sz w:val="22"/>
                <w:szCs w:val="22"/>
              </w:rPr>
              <w:t>ED1</w:t>
            </w:r>
          </w:p>
        </w:tc>
        <w:tc>
          <w:tcPr>
            <w:tcW w:w="2491" w:type="dxa"/>
            <w:tcBorders>
              <w:top w:val="single" w:sz="1" w:space="0" w:color="808080"/>
              <w:left w:val="single" w:sz="1" w:space="0" w:color="808080"/>
              <w:bottom w:val="single" w:sz="1" w:space="0" w:color="808080"/>
              <w:right w:val="single" w:sz="1" w:space="0" w:color="808080"/>
            </w:tcBorders>
            <w:vAlign w:val="center"/>
          </w:tcPr>
          <w:p w14:paraId="5E44DA48" w14:textId="77777777" w:rsidR="00EE4960" w:rsidRDefault="00EE4960" w:rsidP="00EE4960">
            <w:r>
              <w:rPr>
                <w:sz w:val="22"/>
                <w:szCs w:val="22"/>
              </w:rPr>
              <w:t>Estates Director</w:t>
            </w:r>
          </w:p>
        </w:tc>
        <w:tc>
          <w:tcPr>
            <w:tcW w:w="2715" w:type="dxa"/>
            <w:tcBorders>
              <w:top w:val="single" w:sz="1" w:space="0" w:color="808080"/>
              <w:left w:val="single" w:sz="1" w:space="0" w:color="808080"/>
              <w:bottom w:val="single" w:sz="1" w:space="0" w:color="808080"/>
              <w:right w:val="single" w:sz="1" w:space="0" w:color="808080"/>
            </w:tcBorders>
            <w:vAlign w:val="center"/>
          </w:tcPr>
          <w:p w14:paraId="1276EDC0" w14:textId="76FBFF42" w:rsidR="00EE4960" w:rsidRDefault="00EE4960" w:rsidP="00EE4960">
            <w:r w:rsidRPr="00DF0287">
              <w:rPr>
                <w:sz w:val="22"/>
                <w:szCs w:val="22"/>
              </w:rPr>
              <w:t>FE College</w:t>
            </w:r>
            <w:r>
              <w:rPr>
                <w:sz w:val="22"/>
                <w:szCs w:val="22"/>
              </w:rPr>
              <w:t xml:space="preserve"> B</w:t>
            </w:r>
          </w:p>
        </w:tc>
        <w:tc>
          <w:tcPr>
            <w:tcW w:w="2646" w:type="dxa"/>
            <w:tcBorders>
              <w:top w:val="single" w:sz="1" w:space="0" w:color="808080"/>
              <w:left w:val="single" w:sz="1" w:space="0" w:color="808080"/>
              <w:bottom w:val="single" w:sz="1" w:space="0" w:color="808080"/>
              <w:right w:val="single" w:sz="1" w:space="0" w:color="808080"/>
            </w:tcBorders>
            <w:vAlign w:val="center"/>
          </w:tcPr>
          <w:p w14:paraId="778BA04F" w14:textId="77777777" w:rsidR="00EE4960" w:rsidRDefault="00EE4960" w:rsidP="00EE4960">
            <w:r>
              <w:rPr>
                <w:sz w:val="22"/>
                <w:szCs w:val="22"/>
              </w:rPr>
              <w:t>12 years in role</w:t>
            </w:r>
          </w:p>
        </w:tc>
      </w:tr>
      <w:tr w:rsidR="00EE4960" w14:paraId="3C710F9E" w14:textId="77777777" w:rsidTr="005D0832">
        <w:trPr>
          <w:trHeight w:val="425"/>
        </w:trPr>
        <w:tc>
          <w:tcPr>
            <w:tcW w:w="1172" w:type="dxa"/>
            <w:tcBorders>
              <w:top w:val="single" w:sz="1" w:space="0" w:color="808080"/>
              <w:left w:val="single" w:sz="1" w:space="0" w:color="808080"/>
              <w:bottom w:val="single" w:sz="1" w:space="0" w:color="808080"/>
              <w:right w:val="single" w:sz="1" w:space="0" w:color="808080"/>
            </w:tcBorders>
            <w:vAlign w:val="center"/>
          </w:tcPr>
          <w:p w14:paraId="745AF201" w14:textId="77777777" w:rsidR="00EE4960" w:rsidRDefault="00EE4960" w:rsidP="00EE4960">
            <w:r>
              <w:rPr>
                <w:sz w:val="22"/>
                <w:szCs w:val="22"/>
              </w:rPr>
              <w:t>EM1</w:t>
            </w:r>
          </w:p>
        </w:tc>
        <w:tc>
          <w:tcPr>
            <w:tcW w:w="2491" w:type="dxa"/>
            <w:tcBorders>
              <w:top w:val="single" w:sz="1" w:space="0" w:color="808080"/>
              <w:left w:val="single" w:sz="1" w:space="0" w:color="808080"/>
              <w:bottom w:val="single" w:sz="1" w:space="0" w:color="808080"/>
              <w:right w:val="single" w:sz="1" w:space="0" w:color="808080"/>
            </w:tcBorders>
            <w:vAlign w:val="center"/>
          </w:tcPr>
          <w:p w14:paraId="60030C98" w14:textId="77777777" w:rsidR="00EE4960" w:rsidRDefault="00EE4960" w:rsidP="00EE4960">
            <w:r>
              <w:rPr>
                <w:sz w:val="22"/>
                <w:szCs w:val="22"/>
              </w:rPr>
              <w:t>Estates Manager</w:t>
            </w:r>
          </w:p>
        </w:tc>
        <w:tc>
          <w:tcPr>
            <w:tcW w:w="2715" w:type="dxa"/>
            <w:tcBorders>
              <w:top w:val="single" w:sz="1" w:space="0" w:color="808080"/>
              <w:left w:val="single" w:sz="1" w:space="0" w:color="808080"/>
              <w:bottom w:val="single" w:sz="1" w:space="0" w:color="808080"/>
              <w:right w:val="single" w:sz="1" w:space="0" w:color="808080"/>
            </w:tcBorders>
            <w:vAlign w:val="center"/>
          </w:tcPr>
          <w:p w14:paraId="70070359" w14:textId="48DC88FE" w:rsidR="00EE4960" w:rsidRDefault="00EE4960" w:rsidP="00EE4960">
            <w:r w:rsidRPr="00DF0287">
              <w:rPr>
                <w:sz w:val="22"/>
                <w:szCs w:val="22"/>
              </w:rPr>
              <w:t>FE College</w:t>
            </w:r>
            <w:r>
              <w:rPr>
                <w:sz w:val="22"/>
                <w:szCs w:val="22"/>
              </w:rPr>
              <w:t xml:space="preserve"> C</w:t>
            </w:r>
          </w:p>
        </w:tc>
        <w:tc>
          <w:tcPr>
            <w:tcW w:w="2646" w:type="dxa"/>
            <w:tcBorders>
              <w:top w:val="single" w:sz="1" w:space="0" w:color="808080"/>
              <w:left w:val="single" w:sz="1" w:space="0" w:color="808080"/>
              <w:bottom w:val="single" w:sz="1" w:space="0" w:color="808080"/>
              <w:right w:val="single" w:sz="1" w:space="0" w:color="808080"/>
            </w:tcBorders>
            <w:vAlign w:val="center"/>
          </w:tcPr>
          <w:p w14:paraId="58186F42" w14:textId="77777777" w:rsidR="00EE4960" w:rsidRDefault="00EE4960" w:rsidP="00EE4960">
            <w:r>
              <w:rPr>
                <w:sz w:val="22"/>
                <w:szCs w:val="22"/>
              </w:rPr>
              <w:t>20 years in sector</w:t>
            </w:r>
          </w:p>
        </w:tc>
      </w:tr>
      <w:tr w:rsidR="00EE4960" w14:paraId="530BDF74" w14:textId="77777777" w:rsidTr="005D0832">
        <w:trPr>
          <w:trHeight w:val="418"/>
        </w:trPr>
        <w:tc>
          <w:tcPr>
            <w:tcW w:w="1172" w:type="dxa"/>
            <w:tcBorders>
              <w:top w:val="single" w:sz="1" w:space="0" w:color="808080"/>
              <w:left w:val="single" w:sz="1" w:space="0" w:color="808080"/>
              <w:bottom w:val="single" w:sz="1" w:space="0" w:color="808080"/>
              <w:right w:val="single" w:sz="1" w:space="0" w:color="808080"/>
            </w:tcBorders>
            <w:vAlign w:val="center"/>
          </w:tcPr>
          <w:p w14:paraId="5870F5AA" w14:textId="77777777" w:rsidR="00EE4960" w:rsidRDefault="00EE4960" w:rsidP="00EE4960">
            <w:r>
              <w:rPr>
                <w:sz w:val="22"/>
                <w:szCs w:val="22"/>
              </w:rPr>
              <w:t>FM5</w:t>
            </w:r>
          </w:p>
        </w:tc>
        <w:tc>
          <w:tcPr>
            <w:tcW w:w="2491" w:type="dxa"/>
            <w:tcBorders>
              <w:top w:val="single" w:sz="1" w:space="0" w:color="808080"/>
              <w:left w:val="single" w:sz="1" w:space="0" w:color="808080"/>
              <w:bottom w:val="single" w:sz="1" w:space="0" w:color="808080"/>
              <w:right w:val="single" w:sz="1" w:space="0" w:color="808080"/>
            </w:tcBorders>
            <w:vAlign w:val="center"/>
          </w:tcPr>
          <w:p w14:paraId="008D6FBA" w14:textId="77777777" w:rsidR="00EE4960" w:rsidRDefault="00EE4960" w:rsidP="00EE4960">
            <w:r>
              <w:rPr>
                <w:sz w:val="22"/>
                <w:szCs w:val="22"/>
              </w:rPr>
              <w:t>FM Contracts Manager</w:t>
            </w:r>
          </w:p>
        </w:tc>
        <w:tc>
          <w:tcPr>
            <w:tcW w:w="2715" w:type="dxa"/>
            <w:tcBorders>
              <w:top w:val="single" w:sz="1" w:space="0" w:color="808080"/>
              <w:left w:val="single" w:sz="1" w:space="0" w:color="808080"/>
              <w:bottom w:val="single" w:sz="1" w:space="0" w:color="808080"/>
              <w:right w:val="single" w:sz="1" w:space="0" w:color="808080"/>
            </w:tcBorders>
            <w:vAlign w:val="center"/>
          </w:tcPr>
          <w:p w14:paraId="4D03D470" w14:textId="44F58404" w:rsidR="00EE4960" w:rsidRDefault="00EE4960" w:rsidP="00EE4960">
            <w:r w:rsidRPr="00DF0287">
              <w:rPr>
                <w:sz w:val="22"/>
                <w:szCs w:val="22"/>
              </w:rPr>
              <w:t>FM Contractor</w:t>
            </w:r>
          </w:p>
        </w:tc>
        <w:tc>
          <w:tcPr>
            <w:tcW w:w="2646" w:type="dxa"/>
            <w:tcBorders>
              <w:top w:val="single" w:sz="1" w:space="0" w:color="808080"/>
              <w:left w:val="single" w:sz="1" w:space="0" w:color="808080"/>
              <w:bottom w:val="single" w:sz="1" w:space="0" w:color="808080"/>
              <w:right w:val="single" w:sz="1" w:space="0" w:color="808080"/>
            </w:tcBorders>
            <w:vAlign w:val="center"/>
          </w:tcPr>
          <w:p w14:paraId="26F9AA6D" w14:textId="77777777" w:rsidR="00EE4960" w:rsidRDefault="00EE4960" w:rsidP="00EE4960">
            <w:r>
              <w:rPr>
                <w:sz w:val="22"/>
                <w:szCs w:val="22"/>
              </w:rPr>
              <w:t>15 years in trade</w:t>
            </w:r>
          </w:p>
        </w:tc>
      </w:tr>
      <w:tr w:rsidR="00EE4960" w14:paraId="2EFA0039" w14:textId="77777777" w:rsidTr="005D0832">
        <w:tc>
          <w:tcPr>
            <w:tcW w:w="1172" w:type="dxa"/>
            <w:tcBorders>
              <w:top w:val="single" w:sz="1" w:space="0" w:color="808080"/>
              <w:left w:val="single" w:sz="1" w:space="0" w:color="808080"/>
              <w:bottom w:val="single" w:sz="1" w:space="0" w:color="808080"/>
              <w:right w:val="single" w:sz="1" w:space="0" w:color="808080"/>
            </w:tcBorders>
            <w:vAlign w:val="center"/>
          </w:tcPr>
          <w:p w14:paraId="09884667" w14:textId="77777777" w:rsidR="00EE4960" w:rsidRDefault="00EE4960" w:rsidP="00EE4960">
            <w:r>
              <w:rPr>
                <w:sz w:val="22"/>
                <w:szCs w:val="22"/>
              </w:rPr>
              <w:t>CONS1</w:t>
            </w:r>
          </w:p>
        </w:tc>
        <w:tc>
          <w:tcPr>
            <w:tcW w:w="2491" w:type="dxa"/>
            <w:tcBorders>
              <w:top w:val="single" w:sz="1" w:space="0" w:color="808080"/>
              <w:left w:val="single" w:sz="1" w:space="0" w:color="808080"/>
              <w:bottom w:val="single" w:sz="1" w:space="0" w:color="808080"/>
              <w:right w:val="single" w:sz="1" w:space="0" w:color="808080"/>
            </w:tcBorders>
            <w:vAlign w:val="center"/>
          </w:tcPr>
          <w:p w14:paraId="4C01880D" w14:textId="77777777" w:rsidR="00EE4960" w:rsidRDefault="00EE4960" w:rsidP="00EE4960">
            <w:r>
              <w:rPr>
                <w:sz w:val="22"/>
                <w:szCs w:val="22"/>
              </w:rPr>
              <w:t>Senior M&amp;E Design Engineer</w:t>
            </w:r>
          </w:p>
        </w:tc>
        <w:tc>
          <w:tcPr>
            <w:tcW w:w="2715" w:type="dxa"/>
            <w:tcBorders>
              <w:top w:val="single" w:sz="1" w:space="0" w:color="808080"/>
              <w:left w:val="single" w:sz="1" w:space="0" w:color="808080"/>
              <w:bottom w:val="single" w:sz="1" w:space="0" w:color="808080"/>
              <w:right w:val="single" w:sz="1" w:space="0" w:color="808080"/>
            </w:tcBorders>
            <w:vAlign w:val="center"/>
          </w:tcPr>
          <w:p w14:paraId="71CD421F" w14:textId="0F6E7E4C" w:rsidR="00EE4960" w:rsidRDefault="00EE4960" w:rsidP="00EE4960">
            <w:r w:rsidRPr="00DF0287">
              <w:rPr>
                <w:sz w:val="22"/>
                <w:szCs w:val="22"/>
              </w:rPr>
              <w:t>M&amp;E Consultant</w:t>
            </w:r>
          </w:p>
        </w:tc>
        <w:tc>
          <w:tcPr>
            <w:tcW w:w="2646" w:type="dxa"/>
            <w:tcBorders>
              <w:top w:val="single" w:sz="1" w:space="0" w:color="808080"/>
              <w:left w:val="single" w:sz="1" w:space="0" w:color="808080"/>
              <w:bottom w:val="single" w:sz="1" w:space="0" w:color="808080"/>
              <w:right w:val="single" w:sz="1" w:space="0" w:color="808080"/>
            </w:tcBorders>
            <w:vAlign w:val="center"/>
          </w:tcPr>
          <w:p w14:paraId="6A6E9293" w14:textId="77777777" w:rsidR="00EE4960" w:rsidRDefault="00EE4960" w:rsidP="00EE4960">
            <w:r>
              <w:rPr>
                <w:sz w:val="22"/>
                <w:szCs w:val="22"/>
              </w:rPr>
              <w:t>18 years (chartered)</w:t>
            </w:r>
          </w:p>
        </w:tc>
      </w:tr>
    </w:tbl>
    <w:p w14:paraId="47E756FC" w14:textId="77777777" w:rsidR="008A4121" w:rsidRDefault="008A4121" w:rsidP="008A4121">
      <w:pPr>
        <w:spacing w:after="200"/>
      </w:pPr>
    </w:p>
    <w:p w14:paraId="1100D7F1" w14:textId="245E2F22" w:rsidR="008A4121" w:rsidRDefault="008A4121" w:rsidP="008A4121">
      <w:pPr>
        <w:spacing w:after="200" w:line="360" w:lineRule="auto"/>
      </w:pPr>
      <w:r>
        <w:t xml:space="preserve">The interview sample provides depth across the building lifecycle, from strategic estates leadership (ED1, EM1) through operational facilities management (FM1, FM5) to technical engineering and consultancy perspectives (ENG1, CONS1). Cumulative experience exceeds 78 years, with participants managing estates ranging from single-site colleges to multi-campus portfolios. This sample achieved thematic saturation, with later interviews confirming patterns identified in earlier responses (Guest, </w:t>
      </w:r>
      <w:r w:rsidR="006A1981">
        <w:t>Bunce,</w:t>
      </w:r>
      <w:r>
        <w:t xml:space="preserve"> and Johnson, 2006).</w:t>
      </w:r>
      <w:r w:rsidR="00654EE4">
        <w:t xml:space="preserve"> </w:t>
      </w:r>
      <w:r w:rsidR="00654EE4" w:rsidRPr="00654EE4">
        <w:t>Sample interview transcript extracts are provided in Appendix E.</w:t>
      </w:r>
    </w:p>
    <w:p w14:paraId="6868FC95" w14:textId="77777777" w:rsidR="008A4121" w:rsidRDefault="008A4121" w:rsidP="008A4121">
      <w:pPr>
        <w:pStyle w:val="Heading2"/>
      </w:pPr>
      <w:bookmarkStart w:id="102" w:name="_Toc220152208"/>
      <w:r>
        <w:lastRenderedPageBreak/>
        <w:t>4.4 Current Adoption Status and Digital Maturity</w:t>
      </w:r>
      <w:bookmarkEnd w:id="102"/>
    </w:p>
    <w:p w14:paraId="1EAEDDA3" w14:textId="77777777" w:rsidR="008A4121" w:rsidRDefault="008A4121" w:rsidP="008A4121">
      <w:pPr>
        <w:pStyle w:val="Heading3"/>
      </w:pPr>
      <w:bookmarkStart w:id="103" w:name="_Toc220152209"/>
      <w:r>
        <w:t>4.4.1 Quantitative Findings: Technology Implementation</w:t>
      </w:r>
      <w:bookmarkEnd w:id="103"/>
    </w:p>
    <w:p w14:paraId="4A1E7D88" w14:textId="2D581072" w:rsidR="00CB0805" w:rsidRDefault="008A4121" w:rsidP="008A4121">
      <w:pPr>
        <w:spacing w:after="200" w:line="360" w:lineRule="auto"/>
      </w:pPr>
      <w:r>
        <w:t>Survey respondents reported varying levels of AI and Digital Twin implementation, with full integration remaining exceptional across the sample. The distribution reveals a sector predominantly in early or transitional stages of digital adoption, consistent with Rogers's (2003) characterisation of technology diffusion where early adopters precede mainstream uptake.</w:t>
      </w:r>
    </w:p>
    <w:p w14:paraId="28E43DF1" w14:textId="77777777" w:rsidR="001C693C" w:rsidRDefault="000413A7" w:rsidP="001C693C">
      <w:pPr>
        <w:keepNext/>
        <w:jc w:val="center"/>
      </w:pPr>
      <w:r>
        <w:rPr>
          <w:noProof/>
        </w:rPr>
        <w:drawing>
          <wp:inline distT="0" distB="0" distL="0" distR="0" wp14:anchorId="782C7819" wp14:editId="07C86951">
            <wp:extent cx="5731510" cy="3164619"/>
            <wp:effectExtent l="0" t="0" r="2540" b="0"/>
            <wp:docPr id="1395422316" name="Picture 5" descr="A graph with a number of pati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422316" name="Picture 5" descr="A graph with a number of patient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44987" cy="3172060"/>
                    </a:xfrm>
                    <a:prstGeom prst="rect">
                      <a:avLst/>
                    </a:prstGeom>
                  </pic:spPr>
                </pic:pic>
              </a:graphicData>
            </a:graphic>
          </wp:inline>
        </w:drawing>
      </w:r>
    </w:p>
    <w:p w14:paraId="6DB7A45A" w14:textId="48BB31B1" w:rsidR="00AE4BD9" w:rsidRDefault="00AE4BD9" w:rsidP="00AE4BD9">
      <w:pPr>
        <w:pStyle w:val="Caption"/>
        <w:jc w:val="center"/>
        <w:rPr>
          <w:b/>
          <w:bCs/>
          <w:color w:val="auto"/>
          <w:sz w:val="20"/>
          <w:szCs w:val="20"/>
        </w:rPr>
      </w:pPr>
      <w:bookmarkStart w:id="104" w:name="_Toc220152011"/>
      <w:bookmarkStart w:id="105" w:name="_Toc223075553"/>
      <w:bookmarkStart w:id="106" w:name="_Toc223079124"/>
      <w:r w:rsidRPr="009673C1">
        <w:rPr>
          <w:b/>
          <w:bCs/>
          <w:color w:val="auto"/>
          <w:sz w:val="20"/>
          <w:szCs w:val="20"/>
        </w:rPr>
        <w:t xml:space="preserve">Figure </w:t>
      </w:r>
      <w:r>
        <w:rPr>
          <w:b/>
          <w:bCs/>
          <w:color w:val="auto"/>
          <w:sz w:val="20"/>
          <w:szCs w:val="20"/>
        </w:rPr>
        <w:t>4.</w:t>
      </w:r>
      <w:r w:rsidR="00FB6993">
        <w:rPr>
          <w:b/>
          <w:bCs/>
          <w:color w:val="auto"/>
          <w:sz w:val="20"/>
          <w:szCs w:val="20"/>
        </w:rPr>
        <w:t>4</w:t>
      </w:r>
      <w:r w:rsidRPr="009673C1">
        <w:rPr>
          <w:b/>
          <w:bCs/>
          <w:color w:val="auto"/>
          <w:sz w:val="20"/>
          <w:szCs w:val="20"/>
        </w:rPr>
        <w:t>: Current AI/Digital Twin Adoption Status (n=87)</w:t>
      </w:r>
      <w:bookmarkEnd w:id="104"/>
      <w:bookmarkEnd w:id="105"/>
      <w:bookmarkEnd w:id="106"/>
    </w:p>
    <w:p w14:paraId="733E011E" w14:textId="77777777" w:rsidR="00CB0805" w:rsidRDefault="00CB0805" w:rsidP="009673C1">
      <w:pPr>
        <w:keepNext/>
        <w:jc w:val="center"/>
      </w:pPr>
    </w:p>
    <w:p w14:paraId="0B124784" w14:textId="77777777" w:rsidR="00CB0805" w:rsidRPr="00CB0805" w:rsidRDefault="00CB0805" w:rsidP="00CB0805"/>
    <w:p w14:paraId="3CC718EF" w14:textId="77777777" w:rsidR="00DF23BB" w:rsidRDefault="00DF23BB" w:rsidP="00F34AAE">
      <w:pPr>
        <w:pStyle w:val="Caption"/>
        <w:keepNext/>
        <w:rPr>
          <w:b/>
          <w:bCs/>
          <w:color w:val="auto"/>
          <w:sz w:val="20"/>
          <w:szCs w:val="20"/>
        </w:rPr>
      </w:pPr>
    </w:p>
    <w:p w14:paraId="5701ACE6" w14:textId="327E9280" w:rsidR="00F34AAE" w:rsidRPr="00F34AAE" w:rsidRDefault="00F34AAE" w:rsidP="00F34AAE">
      <w:pPr>
        <w:pStyle w:val="Caption"/>
        <w:keepNext/>
        <w:rPr>
          <w:b/>
          <w:bCs/>
          <w:color w:val="auto"/>
          <w:sz w:val="20"/>
          <w:szCs w:val="20"/>
        </w:rPr>
      </w:pPr>
      <w:bookmarkStart w:id="107" w:name="_Toc220151990"/>
      <w:bookmarkStart w:id="108" w:name="_Toc223077229"/>
      <w:bookmarkStart w:id="109" w:name="_Toc223079125"/>
      <w:r w:rsidRPr="00F34AAE">
        <w:rPr>
          <w:b/>
          <w:bCs/>
          <w:color w:val="auto"/>
          <w:sz w:val="20"/>
          <w:szCs w:val="20"/>
        </w:rPr>
        <w:t xml:space="preserve">Table </w:t>
      </w:r>
      <w:r w:rsidR="004D4AE1">
        <w:rPr>
          <w:b/>
          <w:bCs/>
          <w:color w:val="auto"/>
          <w:sz w:val="20"/>
          <w:szCs w:val="20"/>
        </w:rPr>
        <w:t>4</w:t>
      </w:r>
      <w:r w:rsidR="00CD0E8E">
        <w:rPr>
          <w:b/>
          <w:bCs/>
          <w:color w:val="auto"/>
          <w:sz w:val="20"/>
          <w:szCs w:val="20"/>
        </w:rPr>
        <w:t>.</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3</w:t>
      </w:r>
      <w:r w:rsidR="00E10041">
        <w:rPr>
          <w:b/>
          <w:bCs/>
          <w:color w:val="auto"/>
          <w:sz w:val="20"/>
          <w:szCs w:val="20"/>
        </w:rPr>
        <w:fldChar w:fldCharType="end"/>
      </w:r>
      <w:r w:rsidRPr="00F34AAE">
        <w:rPr>
          <w:b/>
          <w:bCs/>
          <w:color w:val="auto"/>
          <w:sz w:val="20"/>
          <w:szCs w:val="20"/>
        </w:rPr>
        <w:t>: Current AI/Digital Twin Adoption Status (n=87)</w:t>
      </w:r>
      <w:bookmarkEnd w:id="107"/>
      <w:bookmarkEnd w:id="108"/>
      <w:bookmarkEnd w:id="109"/>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315"/>
        <w:gridCol w:w="1726"/>
        <w:gridCol w:w="1983"/>
      </w:tblGrid>
      <w:tr w:rsidR="008A4121" w14:paraId="2616915D" w14:textId="77777777" w:rsidTr="00BE29C7">
        <w:trPr>
          <w:tblHeader/>
        </w:trPr>
        <w:tc>
          <w:tcPr>
            <w:tcW w:w="5500" w:type="dxa"/>
            <w:tcBorders>
              <w:top w:val="single" w:sz="1" w:space="0" w:color="808080"/>
              <w:left w:val="single" w:sz="1" w:space="0" w:color="808080"/>
              <w:bottom w:val="single" w:sz="1" w:space="0" w:color="808080"/>
              <w:right w:val="single" w:sz="1" w:space="0" w:color="808080"/>
            </w:tcBorders>
            <w:shd w:val="clear" w:color="auto" w:fill="D9E2F3"/>
          </w:tcPr>
          <w:p w14:paraId="1264A724" w14:textId="77777777" w:rsidR="008A4121" w:rsidRDefault="008A4121" w:rsidP="00BE29C7">
            <w:pPr>
              <w:jc w:val="center"/>
            </w:pPr>
            <w:r>
              <w:rPr>
                <w:b/>
                <w:bCs/>
                <w:sz w:val="22"/>
                <w:szCs w:val="22"/>
              </w:rPr>
              <w:t>Implementation Status</w:t>
            </w:r>
          </w:p>
        </w:tc>
        <w:tc>
          <w:tcPr>
            <w:tcW w:w="1800" w:type="dxa"/>
            <w:tcBorders>
              <w:top w:val="single" w:sz="1" w:space="0" w:color="808080"/>
              <w:left w:val="single" w:sz="1" w:space="0" w:color="808080"/>
              <w:bottom w:val="single" w:sz="1" w:space="0" w:color="808080"/>
              <w:right w:val="single" w:sz="1" w:space="0" w:color="808080"/>
            </w:tcBorders>
            <w:shd w:val="clear" w:color="auto" w:fill="D9E2F3"/>
          </w:tcPr>
          <w:p w14:paraId="3A6CDADB" w14:textId="77777777" w:rsidR="008A4121" w:rsidRDefault="008A4121" w:rsidP="00BE29C7">
            <w:pPr>
              <w:jc w:val="center"/>
            </w:pPr>
            <w:r>
              <w:rPr>
                <w:b/>
                <w:bCs/>
                <w:sz w:val="22"/>
                <w:szCs w:val="22"/>
              </w:rPr>
              <w:t>n</w:t>
            </w:r>
          </w:p>
        </w:tc>
        <w:tc>
          <w:tcPr>
            <w:tcW w:w="2060" w:type="dxa"/>
            <w:tcBorders>
              <w:top w:val="single" w:sz="1" w:space="0" w:color="808080"/>
              <w:left w:val="single" w:sz="1" w:space="0" w:color="808080"/>
              <w:bottom w:val="single" w:sz="1" w:space="0" w:color="808080"/>
              <w:right w:val="single" w:sz="1" w:space="0" w:color="808080"/>
            </w:tcBorders>
            <w:shd w:val="clear" w:color="auto" w:fill="D9E2F3"/>
          </w:tcPr>
          <w:p w14:paraId="7D14E809" w14:textId="77777777" w:rsidR="008A4121" w:rsidRDefault="008A4121" w:rsidP="00BE29C7">
            <w:pPr>
              <w:jc w:val="center"/>
            </w:pPr>
            <w:r>
              <w:rPr>
                <w:b/>
                <w:bCs/>
                <w:sz w:val="22"/>
                <w:szCs w:val="22"/>
              </w:rPr>
              <w:t>%</w:t>
            </w:r>
          </w:p>
        </w:tc>
      </w:tr>
      <w:tr w:rsidR="008A4121" w14:paraId="0650F127" w14:textId="77777777" w:rsidTr="00DF4910">
        <w:tc>
          <w:tcPr>
            <w:tcW w:w="5500" w:type="dxa"/>
            <w:tcBorders>
              <w:top w:val="single" w:sz="1" w:space="0" w:color="808080"/>
              <w:left w:val="single" w:sz="1" w:space="0" w:color="808080"/>
              <w:bottom w:val="single" w:sz="1" w:space="0" w:color="808080"/>
              <w:right w:val="single" w:sz="1" w:space="0" w:color="808080"/>
            </w:tcBorders>
          </w:tcPr>
          <w:p w14:paraId="4AD36C6F" w14:textId="77777777" w:rsidR="008A4121" w:rsidRDefault="008A4121" w:rsidP="00DF4910">
            <w:pPr>
              <w:spacing w:line="276" w:lineRule="auto"/>
            </w:pPr>
            <w:r>
              <w:rPr>
                <w:sz w:val="22"/>
                <w:szCs w:val="22"/>
              </w:rPr>
              <w:t>Partially integrated</w:t>
            </w:r>
          </w:p>
        </w:tc>
        <w:tc>
          <w:tcPr>
            <w:tcW w:w="1800" w:type="dxa"/>
            <w:tcBorders>
              <w:top w:val="single" w:sz="1" w:space="0" w:color="808080"/>
              <w:left w:val="single" w:sz="1" w:space="0" w:color="808080"/>
              <w:bottom w:val="single" w:sz="1" w:space="0" w:color="808080"/>
              <w:right w:val="single" w:sz="1" w:space="0" w:color="808080"/>
            </w:tcBorders>
            <w:vAlign w:val="center"/>
          </w:tcPr>
          <w:p w14:paraId="2BF3BB63" w14:textId="77777777" w:rsidR="008A4121" w:rsidRDefault="008A4121" w:rsidP="00DF4910">
            <w:pPr>
              <w:jc w:val="center"/>
            </w:pPr>
            <w:r>
              <w:rPr>
                <w:sz w:val="22"/>
                <w:szCs w:val="22"/>
              </w:rPr>
              <w:t>35</w:t>
            </w:r>
          </w:p>
        </w:tc>
        <w:tc>
          <w:tcPr>
            <w:tcW w:w="2060" w:type="dxa"/>
            <w:tcBorders>
              <w:top w:val="single" w:sz="1" w:space="0" w:color="808080"/>
              <w:left w:val="single" w:sz="1" w:space="0" w:color="808080"/>
              <w:bottom w:val="single" w:sz="1" w:space="0" w:color="808080"/>
              <w:right w:val="single" w:sz="1" w:space="0" w:color="808080"/>
            </w:tcBorders>
            <w:vAlign w:val="center"/>
          </w:tcPr>
          <w:p w14:paraId="40688F5E" w14:textId="77777777" w:rsidR="008A4121" w:rsidRDefault="008A4121" w:rsidP="00DF4910">
            <w:pPr>
              <w:jc w:val="center"/>
            </w:pPr>
            <w:r>
              <w:rPr>
                <w:sz w:val="22"/>
                <w:szCs w:val="22"/>
              </w:rPr>
              <w:t>40.2</w:t>
            </w:r>
          </w:p>
        </w:tc>
      </w:tr>
      <w:tr w:rsidR="008A4121" w14:paraId="4E906AFD" w14:textId="77777777" w:rsidTr="00DF4910">
        <w:tc>
          <w:tcPr>
            <w:tcW w:w="5500" w:type="dxa"/>
            <w:tcBorders>
              <w:top w:val="single" w:sz="1" w:space="0" w:color="808080"/>
              <w:left w:val="single" w:sz="1" w:space="0" w:color="808080"/>
              <w:bottom w:val="single" w:sz="1" w:space="0" w:color="808080"/>
              <w:right w:val="single" w:sz="1" w:space="0" w:color="808080"/>
            </w:tcBorders>
          </w:tcPr>
          <w:p w14:paraId="6A401D23" w14:textId="77777777" w:rsidR="008A4121" w:rsidRDefault="008A4121" w:rsidP="00DF4910">
            <w:pPr>
              <w:spacing w:line="276" w:lineRule="auto"/>
            </w:pPr>
            <w:r>
              <w:rPr>
                <w:sz w:val="22"/>
                <w:szCs w:val="22"/>
              </w:rPr>
              <w:t>Planning to implement within 12 months</w:t>
            </w:r>
          </w:p>
        </w:tc>
        <w:tc>
          <w:tcPr>
            <w:tcW w:w="1800" w:type="dxa"/>
            <w:tcBorders>
              <w:top w:val="single" w:sz="1" w:space="0" w:color="808080"/>
              <w:left w:val="single" w:sz="1" w:space="0" w:color="808080"/>
              <w:bottom w:val="single" w:sz="1" w:space="0" w:color="808080"/>
              <w:right w:val="single" w:sz="1" w:space="0" w:color="808080"/>
            </w:tcBorders>
            <w:vAlign w:val="center"/>
          </w:tcPr>
          <w:p w14:paraId="38AABBDB" w14:textId="77777777" w:rsidR="008A4121" w:rsidRDefault="008A4121" w:rsidP="00DF4910">
            <w:pPr>
              <w:jc w:val="center"/>
            </w:pPr>
            <w:r>
              <w:rPr>
                <w:sz w:val="22"/>
                <w:szCs w:val="22"/>
              </w:rPr>
              <w:t>24</w:t>
            </w:r>
          </w:p>
        </w:tc>
        <w:tc>
          <w:tcPr>
            <w:tcW w:w="2060" w:type="dxa"/>
            <w:tcBorders>
              <w:top w:val="single" w:sz="1" w:space="0" w:color="808080"/>
              <w:left w:val="single" w:sz="1" w:space="0" w:color="808080"/>
              <w:bottom w:val="single" w:sz="1" w:space="0" w:color="808080"/>
              <w:right w:val="single" w:sz="1" w:space="0" w:color="808080"/>
            </w:tcBorders>
            <w:vAlign w:val="center"/>
          </w:tcPr>
          <w:p w14:paraId="08F588DE" w14:textId="77777777" w:rsidR="008A4121" w:rsidRDefault="008A4121" w:rsidP="00DF4910">
            <w:pPr>
              <w:jc w:val="center"/>
            </w:pPr>
            <w:r>
              <w:rPr>
                <w:sz w:val="22"/>
                <w:szCs w:val="22"/>
              </w:rPr>
              <w:t>27.6</w:t>
            </w:r>
          </w:p>
        </w:tc>
      </w:tr>
      <w:tr w:rsidR="008A4121" w14:paraId="2FF9A554" w14:textId="77777777" w:rsidTr="00DF4910">
        <w:tc>
          <w:tcPr>
            <w:tcW w:w="5500" w:type="dxa"/>
            <w:tcBorders>
              <w:top w:val="single" w:sz="1" w:space="0" w:color="808080"/>
              <w:left w:val="single" w:sz="1" w:space="0" w:color="808080"/>
              <w:bottom w:val="single" w:sz="1" w:space="0" w:color="808080"/>
              <w:right w:val="single" w:sz="1" w:space="0" w:color="808080"/>
            </w:tcBorders>
          </w:tcPr>
          <w:p w14:paraId="15654A8C" w14:textId="77777777" w:rsidR="008A4121" w:rsidRDefault="008A4121" w:rsidP="00DF4910">
            <w:pPr>
              <w:spacing w:line="276" w:lineRule="auto"/>
            </w:pPr>
            <w:r>
              <w:rPr>
                <w:sz w:val="22"/>
                <w:szCs w:val="22"/>
              </w:rPr>
              <w:t>No current implementation</w:t>
            </w:r>
          </w:p>
        </w:tc>
        <w:tc>
          <w:tcPr>
            <w:tcW w:w="1800" w:type="dxa"/>
            <w:tcBorders>
              <w:top w:val="single" w:sz="1" w:space="0" w:color="808080"/>
              <w:left w:val="single" w:sz="1" w:space="0" w:color="808080"/>
              <w:bottom w:val="single" w:sz="1" w:space="0" w:color="808080"/>
              <w:right w:val="single" w:sz="1" w:space="0" w:color="808080"/>
            </w:tcBorders>
            <w:vAlign w:val="center"/>
          </w:tcPr>
          <w:p w14:paraId="69E9A025" w14:textId="77777777" w:rsidR="008A4121" w:rsidRDefault="008A4121" w:rsidP="00DF4910">
            <w:pPr>
              <w:jc w:val="center"/>
            </w:pPr>
            <w:r>
              <w:rPr>
                <w:sz w:val="22"/>
                <w:szCs w:val="22"/>
              </w:rPr>
              <w:t>22</w:t>
            </w:r>
          </w:p>
        </w:tc>
        <w:tc>
          <w:tcPr>
            <w:tcW w:w="2060" w:type="dxa"/>
            <w:tcBorders>
              <w:top w:val="single" w:sz="1" w:space="0" w:color="808080"/>
              <w:left w:val="single" w:sz="1" w:space="0" w:color="808080"/>
              <w:bottom w:val="single" w:sz="1" w:space="0" w:color="808080"/>
              <w:right w:val="single" w:sz="1" w:space="0" w:color="808080"/>
            </w:tcBorders>
            <w:vAlign w:val="center"/>
          </w:tcPr>
          <w:p w14:paraId="42B189A0" w14:textId="77777777" w:rsidR="008A4121" w:rsidRDefault="008A4121" w:rsidP="00DF4910">
            <w:pPr>
              <w:jc w:val="center"/>
            </w:pPr>
            <w:r>
              <w:rPr>
                <w:sz w:val="22"/>
                <w:szCs w:val="22"/>
              </w:rPr>
              <w:t>25.3</w:t>
            </w:r>
          </w:p>
        </w:tc>
      </w:tr>
      <w:tr w:rsidR="008A4121" w14:paraId="3FB0613C" w14:textId="77777777" w:rsidTr="00DF4910">
        <w:tc>
          <w:tcPr>
            <w:tcW w:w="5500" w:type="dxa"/>
            <w:tcBorders>
              <w:top w:val="single" w:sz="1" w:space="0" w:color="808080"/>
              <w:left w:val="single" w:sz="1" w:space="0" w:color="808080"/>
              <w:bottom w:val="single" w:sz="1" w:space="0" w:color="808080"/>
              <w:right w:val="single" w:sz="1" w:space="0" w:color="808080"/>
            </w:tcBorders>
          </w:tcPr>
          <w:p w14:paraId="17485811" w14:textId="77777777" w:rsidR="008A4121" w:rsidRDefault="008A4121" w:rsidP="00DF4910">
            <w:pPr>
              <w:spacing w:line="276" w:lineRule="auto"/>
            </w:pPr>
            <w:r>
              <w:rPr>
                <w:sz w:val="22"/>
                <w:szCs w:val="22"/>
              </w:rPr>
              <w:t>Yes – Fully integrated</w:t>
            </w:r>
          </w:p>
        </w:tc>
        <w:tc>
          <w:tcPr>
            <w:tcW w:w="1800" w:type="dxa"/>
            <w:tcBorders>
              <w:top w:val="single" w:sz="1" w:space="0" w:color="808080"/>
              <w:left w:val="single" w:sz="1" w:space="0" w:color="808080"/>
              <w:bottom w:val="single" w:sz="1" w:space="0" w:color="808080"/>
              <w:right w:val="single" w:sz="1" w:space="0" w:color="808080"/>
            </w:tcBorders>
            <w:vAlign w:val="center"/>
          </w:tcPr>
          <w:p w14:paraId="4D6741C4" w14:textId="77777777" w:rsidR="008A4121" w:rsidRDefault="008A4121" w:rsidP="00DF4910">
            <w:pPr>
              <w:jc w:val="center"/>
            </w:pPr>
            <w:r>
              <w:rPr>
                <w:sz w:val="22"/>
                <w:szCs w:val="22"/>
              </w:rPr>
              <w:t>6</w:t>
            </w:r>
          </w:p>
        </w:tc>
        <w:tc>
          <w:tcPr>
            <w:tcW w:w="2060" w:type="dxa"/>
            <w:tcBorders>
              <w:top w:val="single" w:sz="1" w:space="0" w:color="808080"/>
              <w:left w:val="single" w:sz="1" w:space="0" w:color="808080"/>
              <w:bottom w:val="single" w:sz="1" w:space="0" w:color="808080"/>
              <w:right w:val="single" w:sz="1" w:space="0" w:color="808080"/>
            </w:tcBorders>
            <w:vAlign w:val="center"/>
          </w:tcPr>
          <w:p w14:paraId="0D52E1E2" w14:textId="77777777" w:rsidR="008A4121" w:rsidRDefault="008A4121" w:rsidP="00DF4910">
            <w:pPr>
              <w:jc w:val="center"/>
            </w:pPr>
            <w:r>
              <w:rPr>
                <w:sz w:val="22"/>
                <w:szCs w:val="22"/>
              </w:rPr>
              <w:t>6.9</w:t>
            </w:r>
          </w:p>
        </w:tc>
      </w:tr>
    </w:tbl>
    <w:p w14:paraId="6C8F153C" w14:textId="77777777" w:rsidR="008A4121" w:rsidRDefault="008A4121" w:rsidP="008A4121">
      <w:pPr>
        <w:spacing w:after="200"/>
      </w:pPr>
    </w:p>
    <w:p w14:paraId="482E81DA" w14:textId="77777777" w:rsidR="008A4121" w:rsidRDefault="008A4121" w:rsidP="008A4121">
      <w:pPr>
        <w:spacing w:after="200" w:line="360" w:lineRule="auto"/>
      </w:pPr>
      <w:r>
        <w:t xml:space="preserve">The findings indicate that only 6.9% of respondents reported full AI/Digital Twin integration, while the largest proportion (40.2%) described partial implementation. Notably, over a quarter (25.3%) reported no current implementation, though a further 27.6% indicated plans to implement within twelve months. This distribution suggests </w:t>
      </w:r>
      <w:r>
        <w:lastRenderedPageBreak/>
        <w:t>the sector is approaching a potential inflection point, with substantial latent demand constrained by barriers examined in subsequent sections.</w:t>
      </w:r>
    </w:p>
    <w:p w14:paraId="2878F20F" w14:textId="77777777" w:rsidR="001C693C" w:rsidRDefault="000413A7" w:rsidP="001C693C">
      <w:pPr>
        <w:keepNext/>
        <w:jc w:val="center"/>
      </w:pPr>
      <w:r>
        <w:rPr>
          <w:noProof/>
        </w:rPr>
        <w:drawing>
          <wp:inline distT="0" distB="0" distL="0" distR="0" wp14:anchorId="70084FAF" wp14:editId="20AD0D32">
            <wp:extent cx="5731510" cy="3394710"/>
            <wp:effectExtent l="0" t="0" r="2540" b="0"/>
            <wp:docPr id="907775210" name="Picture 6" descr="A graph of a number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775210" name="Picture 6" descr="A graph of a number of blue bar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3394710"/>
                    </a:xfrm>
                    <a:prstGeom prst="rect">
                      <a:avLst/>
                    </a:prstGeom>
                  </pic:spPr>
                </pic:pic>
              </a:graphicData>
            </a:graphic>
          </wp:inline>
        </w:drawing>
      </w:r>
    </w:p>
    <w:p w14:paraId="76690582" w14:textId="2EA105EC" w:rsidR="00AE4BD9" w:rsidRDefault="00AE4BD9" w:rsidP="00AE4BD9">
      <w:pPr>
        <w:pStyle w:val="Caption"/>
        <w:jc w:val="center"/>
        <w:rPr>
          <w:b/>
          <w:bCs/>
          <w:color w:val="auto"/>
          <w:sz w:val="20"/>
          <w:szCs w:val="20"/>
        </w:rPr>
      </w:pPr>
      <w:bookmarkStart w:id="110" w:name="_Toc220152012"/>
      <w:bookmarkStart w:id="111" w:name="_Toc223075554"/>
      <w:bookmarkStart w:id="112" w:name="_Toc223079126"/>
      <w:r w:rsidRPr="009673C1">
        <w:rPr>
          <w:b/>
          <w:bCs/>
          <w:color w:val="auto"/>
          <w:sz w:val="20"/>
          <w:szCs w:val="20"/>
        </w:rPr>
        <w:t xml:space="preserve">Figure </w:t>
      </w:r>
      <w:r>
        <w:rPr>
          <w:b/>
          <w:bCs/>
          <w:color w:val="auto"/>
          <w:sz w:val="20"/>
          <w:szCs w:val="20"/>
        </w:rPr>
        <w:t>4.</w:t>
      </w:r>
      <w:r w:rsidR="00FB6993">
        <w:rPr>
          <w:b/>
          <w:bCs/>
          <w:color w:val="auto"/>
          <w:sz w:val="20"/>
          <w:szCs w:val="20"/>
        </w:rPr>
        <w:t>5</w:t>
      </w:r>
      <w:r w:rsidRPr="009673C1">
        <w:rPr>
          <w:b/>
          <w:bCs/>
          <w:color w:val="auto"/>
          <w:sz w:val="20"/>
          <w:szCs w:val="20"/>
        </w:rPr>
        <w:t>: Technology Familiarity Ratings (n=87)</w:t>
      </w:r>
      <w:bookmarkEnd w:id="110"/>
      <w:bookmarkEnd w:id="111"/>
      <w:bookmarkEnd w:id="112"/>
    </w:p>
    <w:p w14:paraId="4E24CFB3" w14:textId="77777777" w:rsidR="009C7098" w:rsidRDefault="009C7098" w:rsidP="009673C1">
      <w:pPr>
        <w:keepNext/>
        <w:jc w:val="center"/>
      </w:pPr>
    </w:p>
    <w:p w14:paraId="50C9948F" w14:textId="77777777" w:rsidR="00DF23BB" w:rsidRDefault="00DF23BB" w:rsidP="00F34AAE">
      <w:pPr>
        <w:pStyle w:val="Caption"/>
        <w:keepNext/>
        <w:rPr>
          <w:b/>
          <w:bCs/>
          <w:color w:val="auto"/>
          <w:sz w:val="20"/>
          <w:szCs w:val="20"/>
        </w:rPr>
      </w:pPr>
    </w:p>
    <w:p w14:paraId="3861C541" w14:textId="3D1459E6" w:rsidR="00F34AAE" w:rsidRPr="00F34AAE" w:rsidRDefault="00F34AAE" w:rsidP="00F34AAE">
      <w:pPr>
        <w:pStyle w:val="Caption"/>
        <w:keepNext/>
        <w:rPr>
          <w:b/>
          <w:bCs/>
          <w:color w:val="auto"/>
          <w:sz w:val="20"/>
          <w:szCs w:val="20"/>
        </w:rPr>
      </w:pPr>
      <w:bookmarkStart w:id="113" w:name="_Toc220151991"/>
      <w:bookmarkStart w:id="114" w:name="_Toc223077231"/>
      <w:bookmarkStart w:id="115" w:name="_Toc223079127"/>
      <w:r w:rsidRPr="00F34AAE">
        <w:rPr>
          <w:b/>
          <w:bCs/>
          <w:color w:val="auto"/>
          <w:sz w:val="20"/>
          <w:szCs w:val="20"/>
        </w:rPr>
        <w:t xml:space="preserve">Table </w:t>
      </w:r>
      <w:r w:rsidR="004D4AE1">
        <w:rPr>
          <w:b/>
          <w:bCs/>
          <w:color w:val="auto"/>
          <w:sz w:val="20"/>
          <w:szCs w:val="20"/>
        </w:rPr>
        <w:t>4</w:t>
      </w:r>
      <w:r w:rsidR="00CD0E8E">
        <w:rPr>
          <w:b/>
          <w:bCs/>
          <w:color w:val="auto"/>
          <w:sz w:val="20"/>
          <w:szCs w:val="20"/>
        </w:rPr>
        <w:t>.</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4</w:t>
      </w:r>
      <w:r w:rsidR="00E10041">
        <w:rPr>
          <w:b/>
          <w:bCs/>
          <w:color w:val="auto"/>
          <w:sz w:val="20"/>
          <w:szCs w:val="20"/>
        </w:rPr>
        <w:fldChar w:fldCharType="end"/>
      </w:r>
      <w:r w:rsidRPr="00F34AAE">
        <w:rPr>
          <w:b/>
          <w:bCs/>
          <w:color w:val="auto"/>
          <w:sz w:val="20"/>
          <w:szCs w:val="20"/>
        </w:rPr>
        <w:t>: Technology Familiarity Ratings (1=Not familiar, 5=Very familiar)</w:t>
      </w:r>
      <w:bookmarkEnd w:id="113"/>
      <w:bookmarkEnd w:id="114"/>
      <w:bookmarkEnd w:id="115"/>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858"/>
        <w:gridCol w:w="1735"/>
        <w:gridCol w:w="1728"/>
        <w:gridCol w:w="1703"/>
      </w:tblGrid>
      <w:tr w:rsidR="008A4121" w14:paraId="081BC54A" w14:textId="77777777" w:rsidTr="00BE29C7">
        <w:trPr>
          <w:tblHeader/>
        </w:trPr>
        <w:tc>
          <w:tcPr>
            <w:tcW w:w="4000" w:type="dxa"/>
            <w:tcBorders>
              <w:top w:val="single" w:sz="1" w:space="0" w:color="808080"/>
              <w:left w:val="single" w:sz="1" w:space="0" w:color="808080"/>
              <w:bottom w:val="single" w:sz="1" w:space="0" w:color="808080"/>
              <w:right w:val="single" w:sz="1" w:space="0" w:color="808080"/>
            </w:tcBorders>
            <w:shd w:val="clear" w:color="auto" w:fill="D9E2F3"/>
          </w:tcPr>
          <w:p w14:paraId="248E7BA4" w14:textId="77777777" w:rsidR="008A4121" w:rsidRDefault="008A4121" w:rsidP="00BE29C7">
            <w:pPr>
              <w:jc w:val="center"/>
            </w:pPr>
            <w:r>
              <w:rPr>
                <w:b/>
                <w:bCs/>
                <w:sz w:val="22"/>
                <w:szCs w:val="22"/>
              </w:rPr>
              <w:t>Technology</w:t>
            </w:r>
          </w:p>
        </w:tc>
        <w:tc>
          <w:tcPr>
            <w:tcW w:w="1800" w:type="dxa"/>
            <w:tcBorders>
              <w:top w:val="single" w:sz="1" w:space="0" w:color="808080"/>
              <w:left w:val="single" w:sz="1" w:space="0" w:color="808080"/>
              <w:bottom w:val="single" w:sz="1" w:space="0" w:color="808080"/>
              <w:right w:val="single" w:sz="1" w:space="0" w:color="808080"/>
            </w:tcBorders>
            <w:shd w:val="clear" w:color="auto" w:fill="D9E2F3"/>
          </w:tcPr>
          <w:p w14:paraId="092A0C03" w14:textId="77777777" w:rsidR="008A4121" w:rsidRDefault="008A4121" w:rsidP="00BE29C7">
            <w:pPr>
              <w:jc w:val="center"/>
            </w:pPr>
            <w:r>
              <w:rPr>
                <w:b/>
                <w:bCs/>
                <w:sz w:val="22"/>
                <w:szCs w:val="22"/>
              </w:rPr>
              <w:t>Mean</w:t>
            </w:r>
          </w:p>
        </w:tc>
        <w:tc>
          <w:tcPr>
            <w:tcW w:w="1800" w:type="dxa"/>
            <w:tcBorders>
              <w:top w:val="single" w:sz="1" w:space="0" w:color="808080"/>
              <w:left w:val="single" w:sz="1" w:space="0" w:color="808080"/>
              <w:bottom w:val="single" w:sz="1" w:space="0" w:color="808080"/>
              <w:right w:val="single" w:sz="1" w:space="0" w:color="808080"/>
            </w:tcBorders>
            <w:shd w:val="clear" w:color="auto" w:fill="D9E2F3"/>
          </w:tcPr>
          <w:p w14:paraId="2D1B82DE" w14:textId="77777777" w:rsidR="008A4121" w:rsidRDefault="008A4121" w:rsidP="00BE29C7">
            <w:pPr>
              <w:jc w:val="center"/>
            </w:pPr>
            <w:r>
              <w:rPr>
                <w:b/>
                <w:bCs/>
                <w:sz w:val="22"/>
                <w:szCs w:val="22"/>
              </w:rPr>
              <w:t>SD</w:t>
            </w:r>
          </w:p>
        </w:tc>
        <w:tc>
          <w:tcPr>
            <w:tcW w:w="1760" w:type="dxa"/>
            <w:tcBorders>
              <w:top w:val="single" w:sz="1" w:space="0" w:color="808080"/>
              <w:left w:val="single" w:sz="1" w:space="0" w:color="808080"/>
              <w:bottom w:val="single" w:sz="1" w:space="0" w:color="808080"/>
              <w:right w:val="single" w:sz="1" w:space="0" w:color="808080"/>
            </w:tcBorders>
            <w:shd w:val="clear" w:color="auto" w:fill="D9E2F3"/>
          </w:tcPr>
          <w:p w14:paraId="137845D5" w14:textId="77777777" w:rsidR="008A4121" w:rsidRDefault="008A4121" w:rsidP="00BE29C7">
            <w:pPr>
              <w:jc w:val="center"/>
            </w:pPr>
            <w:r>
              <w:rPr>
                <w:b/>
                <w:bCs/>
                <w:sz w:val="22"/>
                <w:szCs w:val="22"/>
              </w:rPr>
              <w:t>Range</w:t>
            </w:r>
          </w:p>
        </w:tc>
      </w:tr>
      <w:tr w:rsidR="008A4121" w14:paraId="383B55FE" w14:textId="77777777" w:rsidTr="00BE29C7">
        <w:tc>
          <w:tcPr>
            <w:tcW w:w="4000" w:type="dxa"/>
            <w:tcBorders>
              <w:top w:val="single" w:sz="1" w:space="0" w:color="808080"/>
              <w:left w:val="single" w:sz="1" w:space="0" w:color="808080"/>
              <w:bottom w:val="single" w:sz="1" w:space="0" w:color="808080"/>
              <w:right w:val="single" w:sz="1" w:space="0" w:color="808080"/>
            </w:tcBorders>
          </w:tcPr>
          <w:p w14:paraId="2C6C513F" w14:textId="77777777" w:rsidR="008A4121" w:rsidRDefault="008A4121" w:rsidP="00BE29C7">
            <w:r>
              <w:rPr>
                <w:sz w:val="22"/>
                <w:szCs w:val="22"/>
              </w:rPr>
              <w:t>Artificial Intelligence (AI)</w:t>
            </w:r>
          </w:p>
        </w:tc>
        <w:tc>
          <w:tcPr>
            <w:tcW w:w="1800" w:type="dxa"/>
            <w:tcBorders>
              <w:top w:val="single" w:sz="1" w:space="0" w:color="808080"/>
              <w:left w:val="single" w:sz="1" w:space="0" w:color="808080"/>
              <w:bottom w:val="single" w:sz="1" w:space="0" w:color="808080"/>
              <w:right w:val="single" w:sz="1" w:space="0" w:color="808080"/>
            </w:tcBorders>
          </w:tcPr>
          <w:p w14:paraId="52759B8D" w14:textId="77777777" w:rsidR="008A4121" w:rsidRDefault="008A4121" w:rsidP="00BE29C7">
            <w:pPr>
              <w:jc w:val="center"/>
            </w:pPr>
            <w:r>
              <w:rPr>
                <w:sz w:val="22"/>
                <w:szCs w:val="22"/>
              </w:rPr>
              <w:t>3.40</w:t>
            </w:r>
          </w:p>
        </w:tc>
        <w:tc>
          <w:tcPr>
            <w:tcW w:w="1800" w:type="dxa"/>
            <w:tcBorders>
              <w:top w:val="single" w:sz="1" w:space="0" w:color="808080"/>
              <w:left w:val="single" w:sz="1" w:space="0" w:color="808080"/>
              <w:bottom w:val="single" w:sz="1" w:space="0" w:color="808080"/>
              <w:right w:val="single" w:sz="1" w:space="0" w:color="808080"/>
            </w:tcBorders>
          </w:tcPr>
          <w:p w14:paraId="04DD5CDF" w14:textId="77777777" w:rsidR="008A4121" w:rsidRDefault="008A4121" w:rsidP="00BE29C7">
            <w:pPr>
              <w:jc w:val="center"/>
            </w:pPr>
            <w:r>
              <w:rPr>
                <w:sz w:val="22"/>
                <w:szCs w:val="22"/>
              </w:rPr>
              <w:t>0.83</w:t>
            </w:r>
          </w:p>
        </w:tc>
        <w:tc>
          <w:tcPr>
            <w:tcW w:w="1760" w:type="dxa"/>
            <w:tcBorders>
              <w:top w:val="single" w:sz="1" w:space="0" w:color="808080"/>
              <w:left w:val="single" w:sz="1" w:space="0" w:color="808080"/>
              <w:bottom w:val="single" w:sz="1" w:space="0" w:color="808080"/>
              <w:right w:val="single" w:sz="1" w:space="0" w:color="808080"/>
            </w:tcBorders>
          </w:tcPr>
          <w:p w14:paraId="3B409906" w14:textId="77777777" w:rsidR="008A4121" w:rsidRDefault="008A4121" w:rsidP="00BE29C7">
            <w:pPr>
              <w:jc w:val="center"/>
            </w:pPr>
            <w:r>
              <w:rPr>
                <w:sz w:val="22"/>
                <w:szCs w:val="22"/>
              </w:rPr>
              <w:t>2–5</w:t>
            </w:r>
          </w:p>
        </w:tc>
      </w:tr>
      <w:tr w:rsidR="008A4121" w14:paraId="3A539C4A" w14:textId="77777777" w:rsidTr="00BE29C7">
        <w:tc>
          <w:tcPr>
            <w:tcW w:w="4000" w:type="dxa"/>
            <w:tcBorders>
              <w:top w:val="single" w:sz="1" w:space="0" w:color="808080"/>
              <w:left w:val="single" w:sz="1" w:space="0" w:color="808080"/>
              <w:bottom w:val="single" w:sz="1" w:space="0" w:color="808080"/>
              <w:right w:val="single" w:sz="1" w:space="0" w:color="808080"/>
            </w:tcBorders>
          </w:tcPr>
          <w:p w14:paraId="575ED0CE" w14:textId="77777777" w:rsidR="008A4121" w:rsidRDefault="008A4121" w:rsidP="00BE29C7">
            <w:r>
              <w:rPr>
                <w:sz w:val="22"/>
                <w:szCs w:val="22"/>
              </w:rPr>
              <w:t>Digital Twins (DT)</w:t>
            </w:r>
          </w:p>
        </w:tc>
        <w:tc>
          <w:tcPr>
            <w:tcW w:w="1800" w:type="dxa"/>
            <w:tcBorders>
              <w:top w:val="single" w:sz="1" w:space="0" w:color="808080"/>
              <w:left w:val="single" w:sz="1" w:space="0" w:color="808080"/>
              <w:bottom w:val="single" w:sz="1" w:space="0" w:color="808080"/>
              <w:right w:val="single" w:sz="1" w:space="0" w:color="808080"/>
            </w:tcBorders>
          </w:tcPr>
          <w:p w14:paraId="6B7D5F60" w14:textId="77777777" w:rsidR="008A4121" w:rsidRDefault="008A4121" w:rsidP="00BE29C7">
            <w:pPr>
              <w:jc w:val="center"/>
            </w:pPr>
            <w:r>
              <w:rPr>
                <w:sz w:val="22"/>
                <w:szCs w:val="22"/>
              </w:rPr>
              <w:t>3.14</w:t>
            </w:r>
          </w:p>
        </w:tc>
        <w:tc>
          <w:tcPr>
            <w:tcW w:w="1800" w:type="dxa"/>
            <w:tcBorders>
              <w:top w:val="single" w:sz="1" w:space="0" w:color="808080"/>
              <w:left w:val="single" w:sz="1" w:space="0" w:color="808080"/>
              <w:bottom w:val="single" w:sz="1" w:space="0" w:color="808080"/>
              <w:right w:val="single" w:sz="1" w:space="0" w:color="808080"/>
            </w:tcBorders>
          </w:tcPr>
          <w:p w14:paraId="43C0DF55" w14:textId="77777777" w:rsidR="008A4121" w:rsidRDefault="008A4121" w:rsidP="00BE29C7">
            <w:pPr>
              <w:jc w:val="center"/>
            </w:pPr>
            <w:r>
              <w:rPr>
                <w:sz w:val="22"/>
                <w:szCs w:val="22"/>
              </w:rPr>
              <w:t>1.30</w:t>
            </w:r>
          </w:p>
        </w:tc>
        <w:tc>
          <w:tcPr>
            <w:tcW w:w="1760" w:type="dxa"/>
            <w:tcBorders>
              <w:top w:val="single" w:sz="1" w:space="0" w:color="808080"/>
              <w:left w:val="single" w:sz="1" w:space="0" w:color="808080"/>
              <w:bottom w:val="single" w:sz="1" w:space="0" w:color="808080"/>
              <w:right w:val="single" w:sz="1" w:space="0" w:color="808080"/>
            </w:tcBorders>
          </w:tcPr>
          <w:p w14:paraId="5944AAA7" w14:textId="77777777" w:rsidR="008A4121" w:rsidRDefault="008A4121" w:rsidP="00BE29C7">
            <w:pPr>
              <w:jc w:val="center"/>
            </w:pPr>
            <w:r>
              <w:rPr>
                <w:sz w:val="22"/>
                <w:szCs w:val="22"/>
              </w:rPr>
              <w:t>1–5</w:t>
            </w:r>
          </w:p>
        </w:tc>
      </w:tr>
      <w:tr w:rsidR="008A4121" w14:paraId="45552E1F" w14:textId="77777777" w:rsidTr="00BE29C7">
        <w:tc>
          <w:tcPr>
            <w:tcW w:w="4000" w:type="dxa"/>
            <w:tcBorders>
              <w:top w:val="single" w:sz="1" w:space="0" w:color="808080"/>
              <w:left w:val="single" w:sz="1" w:space="0" w:color="808080"/>
              <w:bottom w:val="single" w:sz="1" w:space="0" w:color="808080"/>
              <w:right w:val="single" w:sz="1" w:space="0" w:color="808080"/>
            </w:tcBorders>
          </w:tcPr>
          <w:p w14:paraId="349F91A2" w14:textId="77777777" w:rsidR="008A4121" w:rsidRDefault="008A4121" w:rsidP="00BE29C7">
            <w:r>
              <w:rPr>
                <w:sz w:val="22"/>
                <w:szCs w:val="22"/>
              </w:rPr>
              <w:t>Application Programming Interfaces (APIs)</w:t>
            </w:r>
          </w:p>
        </w:tc>
        <w:tc>
          <w:tcPr>
            <w:tcW w:w="1800" w:type="dxa"/>
            <w:tcBorders>
              <w:top w:val="single" w:sz="1" w:space="0" w:color="808080"/>
              <w:left w:val="single" w:sz="1" w:space="0" w:color="808080"/>
              <w:bottom w:val="single" w:sz="1" w:space="0" w:color="808080"/>
              <w:right w:val="single" w:sz="1" w:space="0" w:color="808080"/>
            </w:tcBorders>
          </w:tcPr>
          <w:p w14:paraId="68A2CA04" w14:textId="77777777" w:rsidR="008A4121" w:rsidRDefault="008A4121" w:rsidP="00BE29C7">
            <w:pPr>
              <w:jc w:val="center"/>
            </w:pPr>
            <w:r>
              <w:rPr>
                <w:sz w:val="22"/>
                <w:szCs w:val="22"/>
              </w:rPr>
              <w:t>2.95</w:t>
            </w:r>
          </w:p>
        </w:tc>
        <w:tc>
          <w:tcPr>
            <w:tcW w:w="1800" w:type="dxa"/>
            <w:tcBorders>
              <w:top w:val="single" w:sz="1" w:space="0" w:color="808080"/>
              <w:left w:val="single" w:sz="1" w:space="0" w:color="808080"/>
              <w:bottom w:val="single" w:sz="1" w:space="0" w:color="808080"/>
              <w:right w:val="single" w:sz="1" w:space="0" w:color="808080"/>
            </w:tcBorders>
          </w:tcPr>
          <w:p w14:paraId="482CF74F" w14:textId="77777777" w:rsidR="008A4121" w:rsidRDefault="008A4121" w:rsidP="00BE29C7">
            <w:pPr>
              <w:jc w:val="center"/>
            </w:pPr>
            <w:r>
              <w:rPr>
                <w:sz w:val="22"/>
                <w:szCs w:val="22"/>
              </w:rPr>
              <w:t>1.14</w:t>
            </w:r>
          </w:p>
        </w:tc>
        <w:tc>
          <w:tcPr>
            <w:tcW w:w="1760" w:type="dxa"/>
            <w:tcBorders>
              <w:top w:val="single" w:sz="1" w:space="0" w:color="808080"/>
              <w:left w:val="single" w:sz="1" w:space="0" w:color="808080"/>
              <w:bottom w:val="single" w:sz="1" w:space="0" w:color="808080"/>
              <w:right w:val="single" w:sz="1" w:space="0" w:color="808080"/>
            </w:tcBorders>
          </w:tcPr>
          <w:p w14:paraId="00187535" w14:textId="77777777" w:rsidR="008A4121" w:rsidRDefault="008A4121" w:rsidP="00BE29C7">
            <w:pPr>
              <w:jc w:val="center"/>
            </w:pPr>
            <w:r>
              <w:rPr>
                <w:sz w:val="22"/>
                <w:szCs w:val="22"/>
              </w:rPr>
              <w:t>1–5</w:t>
            </w:r>
          </w:p>
        </w:tc>
      </w:tr>
      <w:tr w:rsidR="008A4121" w14:paraId="2843EB71" w14:textId="77777777" w:rsidTr="00BE29C7">
        <w:tc>
          <w:tcPr>
            <w:tcW w:w="4000" w:type="dxa"/>
            <w:tcBorders>
              <w:top w:val="single" w:sz="1" w:space="0" w:color="808080"/>
              <w:left w:val="single" w:sz="1" w:space="0" w:color="808080"/>
              <w:bottom w:val="single" w:sz="1" w:space="0" w:color="808080"/>
              <w:right w:val="single" w:sz="1" w:space="0" w:color="808080"/>
            </w:tcBorders>
          </w:tcPr>
          <w:p w14:paraId="6FD73A1F" w14:textId="77777777" w:rsidR="008A4121" w:rsidRDefault="008A4121" w:rsidP="00BE29C7">
            <w:r>
              <w:rPr>
                <w:sz w:val="22"/>
                <w:szCs w:val="22"/>
              </w:rPr>
              <w:t>Composite Familiarity Index</w:t>
            </w:r>
          </w:p>
        </w:tc>
        <w:tc>
          <w:tcPr>
            <w:tcW w:w="1800" w:type="dxa"/>
            <w:tcBorders>
              <w:top w:val="single" w:sz="1" w:space="0" w:color="808080"/>
              <w:left w:val="single" w:sz="1" w:space="0" w:color="808080"/>
              <w:bottom w:val="single" w:sz="1" w:space="0" w:color="808080"/>
              <w:right w:val="single" w:sz="1" w:space="0" w:color="808080"/>
            </w:tcBorders>
          </w:tcPr>
          <w:p w14:paraId="2EDD9D17" w14:textId="77777777" w:rsidR="008A4121" w:rsidRDefault="008A4121" w:rsidP="00BE29C7">
            <w:pPr>
              <w:jc w:val="center"/>
            </w:pPr>
            <w:r>
              <w:rPr>
                <w:sz w:val="22"/>
                <w:szCs w:val="22"/>
              </w:rPr>
              <w:t>3.16</w:t>
            </w:r>
          </w:p>
        </w:tc>
        <w:tc>
          <w:tcPr>
            <w:tcW w:w="1800" w:type="dxa"/>
            <w:tcBorders>
              <w:top w:val="single" w:sz="1" w:space="0" w:color="808080"/>
              <w:left w:val="single" w:sz="1" w:space="0" w:color="808080"/>
              <w:bottom w:val="single" w:sz="1" w:space="0" w:color="808080"/>
              <w:right w:val="single" w:sz="1" w:space="0" w:color="808080"/>
            </w:tcBorders>
          </w:tcPr>
          <w:p w14:paraId="06E04F81" w14:textId="77777777" w:rsidR="008A4121" w:rsidRDefault="008A4121" w:rsidP="00BE29C7">
            <w:pPr>
              <w:jc w:val="center"/>
            </w:pPr>
            <w:r>
              <w:rPr>
                <w:sz w:val="22"/>
                <w:szCs w:val="22"/>
              </w:rPr>
              <w:t>0.89</w:t>
            </w:r>
          </w:p>
        </w:tc>
        <w:tc>
          <w:tcPr>
            <w:tcW w:w="1760" w:type="dxa"/>
            <w:tcBorders>
              <w:top w:val="single" w:sz="1" w:space="0" w:color="808080"/>
              <w:left w:val="single" w:sz="1" w:space="0" w:color="808080"/>
              <w:bottom w:val="single" w:sz="1" w:space="0" w:color="808080"/>
              <w:right w:val="single" w:sz="1" w:space="0" w:color="808080"/>
            </w:tcBorders>
          </w:tcPr>
          <w:p w14:paraId="6656BAAA" w14:textId="77777777" w:rsidR="008A4121" w:rsidRDefault="008A4121" w:rsidP="00BE29C7">
            <w:pPr>
              <w:jc w:val="center"/>
            </w:pPr>
            <w:r>
              <w:rPr>
                <w:sz w:val="22"/>
                <w:szCs w:val="22"/>
              </w:rPr>
              <w:t>1.3–5</w:t>
            </w:r>
          </w:p>
        </w:tc>
      </w:tr>
    </w:tbl>
    <w:p w14:paraId="50AC262A" w14:textId="77777777" w:rsidR="008A4121" w:rsidRDefault="008A4121" w:rsidP="008A4121">
      <w:pPr>
        <w:spacing w:after="200"/>
      </w:pPr>
    </w:p>
    <w:p w14:paraId="77410A79" w14:textId="77777777" w:rsidR="008A4121" w:rsidRDefault="008A4121" w:rsidP="008A4121">
      <w:pPr>
        <w:spacing w:after="200" w:line="360" w:lineRule="auto"/>
      </w:pPr>
      <w:r>
        <w:t>Familiarity ratings across the three core technologies revealed moderate awareness but with notable variation. API familiarity recorded the lowest mean score (M=2.95, SD=1.14), suggesting that data integration mechanisms remain less understood than the AI and Digital Twin concepts they enable. This finding is significant given that APIs constitute the essential connectivity layer for Digital Twin functionality (Jia et al., 2019), and lower familiarity may constrain perceived ease of use as characterised by Davis's (1989) Technology Acceptance Model.</w:t>
      </w:r>
    </w:p>
    <w:p w14:paraId="153BAF68" w14:textId="77777777" w:rsidR="008A4121" w:rsidRDefault="008A4121" w:rsidP="008A4121">
      <w:pPr>
        <w:pStyle w:val="Heading3"/>
      </w:pPr>
      <w:bookmarkStart w:id="116" w:name="_Toc220152210"/>
      <w:r>
        <w:t>4.4.2 Qualitative Findings: Digital Maturity Context</w:t>
      </w:r>
      <w:bookmarkEnd w:id="116"/>
    </w:p>
    <w:p w14:paraId="2DC4EE8A" w14:textId="77777777" w:rsidR="008A4121" w:rsidRDefault="008A4121" w:rsidP="008A4121">
      <w:pPr>
        <w:spacing w:after="200" w:line="360" w:lineRule="auto"/>
      </w:pPr>
      <w:r>
        <w:t xml:space="preserve">Interview participants consistently characterised their organisations as operating at early or transitional stages of digital maturity, corroborating the survey findings. </w:t>
      </w:r>
      <w:r>
        <w:lastRenderedPageBreak/>
        <w:t>Building Management Systems (BMS) were described as the predominant digital infrastructure, serving as precursors to more sophisticated AI or Digital Twin implementations rather than representing advanced integration.</w:t>
      </w:r>
    </w:p>
    <w:p w14:paraId="77000217" w14:textId="589C78C7" w:rsidR="008A4121" w:rsidRDefault="008A4121" w:rsidP="008A4121">
      <w:pPr>
        <w:spacing w:after="120" w:line="360" w:lineRule="auto"/>
        <w:ind w:left="720"/>
      </w:pPr>
      <w:r>
        <w:rPr>
          <w:i/>
          <w:iCs/>
        </w:rPr>
        <w:t xml:space="preserve">"We have BMS on some newer </w:t>
      </w:r>
      <w:r w:rsidR="006A1981">
        <w:rPr>
          <w:i/>
          <w:iCs/>
        </w:rPr>
        <w:t>buildings,</w:t>
      </w:r>
      <w:r>
        <w:rPr>
          <w:i/>
          <w:iCs/>
        </w:rPr>
        <w:t xml:space="preserve"> but older sites still rely on manual monitoring and reactive maintenance." (FM1)</w:t>
      </w:r>
    </w:p>
    <w:p w14:paraId="565D2404" w14:textId="77777777" w:rsidR="008A4121" w:rsidRDefault="008A4121" w:rsidP="008A4121">
      <w:pPr>
        <w:spacing w:after="120" w:line="360" w:lineRule="auto"/>
        <w:ind w:left="720"/>
      </w:pPr>
      <w:r>
        <w:rPr>
          <w:i/>
          <w:iCs/>
        </w:rPr>
        <w:t>"We've upgraded BMS on two campuses... but true AI or Digital Twin capability isn't something we've implemented." (ED1)</w:t>
      </w:r>
    </w:p>
    <w:p w14:paraId="4E3B8A70" w14:textId="7160FD6E" w:rsidR="008A4121" w:rsidRDefault="008A4121" w:rsidP="008A4121">
      <w:pPr>
        <w:spacing w:after="200" w:line="360" w:lineRule="auto"/>
        <w:ind w:left="720"/>
      </w:pPr>
      <w:r>
        <w:rPr>
          <w:i/>
          <w:iCs/>
        </w:rPr>
        <w:t xml:space="preserve">"It's not full AI but it's </w:t>
      </w:r>
      <w:r w:rsidR="006A1981">
        <w:rPr>
          <w:i/>
          <w:iCs/>
        </w:rPr>
        <w:t>data driven</w:t>
      </w:r>
      <w:r>
        <w:rPr>
          <w:i/>
          <w:iCs/>
        </w:rPr>
        <w:t>. What works is the reduction in emergency callouts." (FM5)</w:t>
      </w:r>
    </w:p>
    <w:p w14:paraId="5D3AD47C" w14:textId="53CC780E" w:rsidR="008A4121" w:rsidRDefault="008A4121" w:rsidP="008A4121">
      <w:pPr>
        <w:spacing w:after="200" w:line="360" w:lineRule="auto"/>
      </w:pPr>
      <w:r>
        <w:t xml:space="preserve">These accounts align with </w:t>
      </w:r>
      <w:r w:rsidR="005B0B61">
        <w:t>Zhang</w:t>
      </w:r>
      <w:r>
        <w:t xml:space="preserve"> et al.'s (2024) finding that most existing buildings remain at early maturity stages characterised by fragmented data </w:t>
      </w:r>
      <w:r w:rsidR="006A1981">
        <w:t>systems and</w:t>
      </w:r>
      <w:r>
        <w:t xml:space="preserve"> confirm Cespedes-Cubides and Jradi's (2024) identification of an 'interactivity gap' affecting buildings constructed before comprehensive digital infrastructure became standard.</w:t>
      </w:r>
    </w:p>
    <w:p w14:paraId="34F6852B" w14:textId="77777777" w:rsidR="008A4121" w:rsidRDefault="008A4121" w:rsidP="008A4121">
      <w:pPr>
        <w:pStyle w:val="Heading2"/>
      </w:pPr>
      <w:bookmarkStart w:id="117" w:name="_Toc220152211"/>
      <w:r>
        <w:t>4.5 Perceived Benefits of AI and Digital Twin Technologies</w:t>
      </w:r>
      <w:bookmarkEnd w:id="117"/>
    </w:p>
    <w:p w14:paraId="705FA094" w14:textId="77777777" w:rsidR="008A4121" w:rsidRDefault="008A4121" w:rsidP="008A4121">
      <w:pPr>
        <w:pStyle w:val="Heading3"/>
      </w:pPr>
      <w:bookmarkStart w:id="118" w:name="_Toc220152212"/>
      <w:r>
        <w:t>4.5.1 Quantitative Findings: Benefits Perception</w:t>
      </w:r>
      <w:bookmarkEnd w:id="118"/>
    </w:p>
    <w:p w14:paraId="1FA0456E" w14:textId="77777777" w:rsidR="008A4121" w:rsidRDefault="008A4121" w:rsidP="008A4121">
      <w:pPr>
        <w:spacing w:after="200" w:line="360" w:lineRule="auto"/>
      </w:pPr>
      <w:r>
        <w:t>Respondents expressed strong agreement with proposed benefits of AI and Digital Twin technologies, with predictive maintenance capabilities receiving the highest endorsement. These findings address the perceived usefulness dimension of technology adoption frameworks (Davis, 1989; Venkatesh et al., 2003).</w:t>
      </w:r>
    </w:p>
    <w:p w14:paraId="3073D368" w14:textId="77777777" w:rsidR="001C693C" w:rsidRDefault="000413A7" w:rsidP="001C693C">
      <w:pPr>
        <w:keepNext/>
        <w:jc w:val="center"/>
      </w:pPr>
      <w:r>
        <w:rPr>
          <w:noProof/>
        </w:rPr>
        <w:lastRenderedPageBreak/>
        <w:drawing>
          <wp:inline distT="0" distB="0" distL="0" distR="0" wp14:anchorId="3F063E9F" wp14:editId="6F1C38F4">
            <wp:extent cx="5731510" cy="3196425"/>
            <wp:effectExtent l="0" t="0" r="2540" b="4445"/>
            <wp:docPr id="561306975" name="Picture 7" descr="A graph with blue and grey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306975" name="Picture 7" descr="A graph with blue and grey bars&#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42071" cy="3202315"/>
                    </a:xfrm>
                    <a:prstGeom prst="rect">
                      <a:avLst/>
                    </a:prstGeom>
                  </pic:spPr>
                </pic:pic>
              </a:graphicData>
            </a:graphic>
          </wp:inline>
        </w:drawing>
      </w:r>
    </w:p>
    <w:p w14:paraId="056E7CFC" w14:textId="6D3CB82E" w:rsidR="00AE4BD9" w:rsidRPr="009673C1" w:rsidRDefault="00AE4BD9" w:rsidP="00AE4BD9">
      <w:pPr>
        <w:pStyle w:val="Caption"/>
        <w:jc w:val="center"/>
        <w:rPr>
          <w:b/>
          <w:bCs/>
          <w:color w:val="auto"/>
          <w:sz w:val="20"/>
          <w:szCs w:val="20"/>
        </w:rPr>
      </w:pPr>
      <w:bookmarkStart w:id="119" w:name="_Toc220152013"/>
      <w:bookmarkStart w:id="120" w:name="_Toc223075555"/>
      <w:bookmarkStart w:id="121" w:name="_Toc223079128"/>
      <w:r w:rsidRPr="009673C1">
        <w:rPr>
          <w:b/>
          <w:bCs/>
          <w:color w:val="auto"/>
          <w:sz w:val="20"/>
          <w:szCs w:val="20"/>
        </w:rPr>
        <w:t xml:space="preserve">Figure </w:t>
      </w:r>
      <w:r>
        <w:rPr>
          <w:b/>
          <w:bCs/>
          <w:color w:val="auto"/>
          <w:sz w:val="20"/>
          <w:szCs w:val="20"/>
        </w:rPr>
        <w:t>4.</w:t>
      </w:r>
      <w:r w:rsidR="0010076A">
        <w:rPr>
          <w:b/>
          <w:bCs/>
          <w:color w:val="auto"/>
          <w:sz w:val="20"/>
          <w:szCs w:val="20"/>
        </w:rPr>
        <w:t>6</w:t>
      </w:r>
      <w:r w:rsidRPr="009673C1">
        <w:rPr>
          <w:b/>
          <w:bCs/>
          <w:color w:val="auto"/>
          <w:sz w:val="20"/>
          <w:szCs w:val="20"/>
        </w:rPr>
        <w:t>: Perceived Benefits of AI/Digital Twin Technologies (n=87)</w:t>
      </w:r>
      <w:bookmarkEnd w:id="119"/>
      <w:bookmarkEnd w:id="120"/>
      <w:bookmarkEnd w:id="121"/>
    </w:p>
    <w:p w14:paraId="505D8ACC" w14:textId="77777777" w:rsidR="009C7098" w:rsidRDefault="009C7098" w:rsidP="009673C1">
      <w:pPr>
        <w:keepNext/>
        <w:jc w:val="center"/>
      </w:pPr>
    </w:p>
    <w:p w14:paraId="3CE55133" w14:textId="77777777" w:rsidR="00DF23BB" w:rsidRDefault="00DF23BB" w:rsidP="00F34AAE">
      <w:pPr>
        <w:pStyle w:val="Caption"/>
        <w:keepNext/>
        <w:rPr>
          <w:b/>
          <w:bCs/>
          <w:color w:val="auto"/>
          <w:sz w:val="20"/>
          <w:szCs w:val="20"/>
        </w:rPr>
      </w:pPr>
    </w:p>
    <w:p w14:paraId="58F547AB" w14:textId="60552124" w:rsidR="00F34AAE" w:rsidRPr="00F34AAE" w:rsidRDefault="00F34AAE" w:rsidP="00F34AAE">
      <w:pPr>
        <w:pStyle w:val="Caption"/>
        <w:keepNext/>
        <w:rPr>
          <w:b/>
          <w:bCs/>
          <w:color w:val="auto"/>
          <w:sz w:val="20"/>
          <w:szCs w:val="20"/>
        </w:rPr>
      </w:pPr>
      <w:bookmarkStart w:id="122" w:name="_Toc220151992"/>
      <w:bookmarkStart w:id="123" w:name="_Toc223077233"/>
      <w:bookmarkStart w:id="124" w:name="_Toc223079129"/>
      <w:r w:rsidRPr="00F34AAE">
        <w:rPr>
          <w:b/>
          <w:bCs/>
          <w:color w:val="auto"/>
          <w:sz w:val="20"/>
          <w:szCs w:val="20"/>
        </w:rPr>
        <w:t xml:space="preserve">Table </w:t>
      </w:r>
      <w:r w:rsidR="004D4AE1">
        <w:rPr>
          <w:b/>
          <w:bCs/>
          <w:color w:val="auto"/>
          <w:sz w:val="20"/>
          <w:szCs w:val="20"/>
        </w:rPr>
        <w:t>4</w:t>
      </w:r>
      <w:r w:rsidR="00CD0E8E">
        <w:rPr>
          <w:b/>
          <w:bCs/>
          <w:color w:val="auto"/>
          <w:sz w:val="20"/>
          <w:szCs w:val="20"/>
        </w:rPr>
        <w:t>.</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5</w:t>
      </w:r>
      <w:r w:rsidR="00E10041">
        <w:rPr>
          <w:b/>
          <w:bCs/>
          <w:color w:val="auto"/>
          <w:sz w:val="20"/>
          <w:szCs w:val="20"/>
        </w:rPr>
        <w:fldChar w:fldCharType="end"/>
      </w:r>
      <w:r w:rsidRPr="00F34AAE">
        <w:rPr>
          <w:b/>
          <w:bCs/>
          <w:color w:val="auto"/>
          <w:sz w:val="20"/>
          <w:szCs w:val="20"/>
        </w:rPr>
        <w:t>: Perceived Benefits of AI/Digital Twin Technologies (n=87)</w:t>
      </w:r>
      <w:bookmarkEnd w:id="122"/>
      <w:bookmarkEnd w:id="123"/>
      <w:bookmarkEnd w:id="124"/>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301"/>
        <w:gridCol w:w="1162"/>
        <w:gridCol w:w="1154"/>
        <w:gridCol w:w="2407"/>
      </w:tblGrid>
      <w:tr w:rsidR="008A4121" w14:paraId="0BBC1084" w14:textId="77777777" w:rsidTr="00BE29C7">
        <w:trPr>
          <w:tblHeader/>
        </w:trPr>
        <w:tc>
          <w:tcPr>
            <w:tcW w:w="4500" w:type="dxa"/>
            <w:tcBorders>
              <w:top w:val="single" w:sz="1" w:space="0" w:color="808080"/>
              <w:left w:val="single" w:sz="1" w:space="0" w:color="808080"/>
              <w:bottom w:val="single" w:sz="1" w:space="0" w:color="808080"/>
              <w:right w:val="single" w:sz="1" w:space="0" w:color="808080"/>
            </w:tcBorders>
            <w:shd w:val="clear" w:color="auto" w:fill="D9E2F3"/>
          </w:tcPr>
          <w:p w14:paraId="7C3F2660" w14:textId="77777777" w:rsidR="008A4121" w:rsidRDefault="008A4121" w:rsidP="00BE29C7">
            <w:pPr>
              <w:jc w:val="center"/>
            </w:pPr>
            <w:r>
              <w:rPr>
                <w:b/>
                <w:bCs/>
                <w:sz w:val="22"/>
                <w:szCs w:val="22"/>
              </w:rPr>
              <w:t>Benefit Statement</w:t>
            </w:r>
          </w:p>
        </w:tc>
        <w:tc>
          <w:tcPr>
            <w:tcW w:w="1200" w:type="dxa"/>
            <w:tcBorders>
              <w:top w:val="single" w:sz="1" w:space="0" w:color="808080"/>
              <w:left w:val="single" w:sz="1" w:space="0" w:color="808080"/>
              <w:bottom w:val="single" w:sz="1" w:space="0" w:color="808080"/>
              <w:right w:val="single" w:sz="1" w:space="0" w:color="808080"/>
            </w:tcBorders>
            <w:shd w:val="clear" w:color="auto" w:fill="D9E2F3"/>
          </w:tcPr>
          <w:p w14:paraId="1DB02F82" w14:textId="77777777" w:rsidR="008A4121" w:rsidRDefault="008A4121" w:rsidP="00BE29C7">
            <w:pPr>
              <w:jc w:val="center"/>
            </w:pPr>
            <w:r>
              <w:rPr>
                <w:b/>
                <w:bCs/>
                <w:sz w:val="22"/>
                <w:szCs w:val="22"/>
              </w:rPr>
              <w:t>Mean</w:t>
            </w:r>
          </w:p>
        </w:tc>
        <w:tc>
          <w:tcPr>
            <w:tcW w:w="1200" w:type="dxa"/>
            <w:tcBorders>
              <w:top w:val="single" w:sz="1" w:space="0" w:color="808080"/>
              <w:left w:val="single" w:sz="1" w:space="0" w:color="808080"/>
              <w:bottom w:val="single" w:sz="1" w:space="0" w:color="808080"/>
              <w:right w:val="single" w:sz="1" w:space="0" w:color="808080"/>
            </w:tcBorders>
            <w:shd w:val="clear" w:color="auto" w:fill="D9E2F3"/>
          </w:tcPr>
          <w:p w14:paraId="0B1B40CF" w14:textId="77777777" w:rsidR="008A4121" w:rsidRDefault="008A4121" w:rsidP="00BE29C7">
            <w:pPr>
              <w:jc w:val="center"/>
            </w:pPr>
            <w:r>
              <w:rPr>
                <w:b/>
                <w:bCs/>
                <w:sz w:val="22"/>
                <w:szCs w:val="22"/>
              </w:rPr>
              <w:t>SD</w:t>
            </w:r>
          </w:p>
        </w:tc>
        <w:tc>
          <w:tcPr>
            <w:tcW w:w="2460" w:type="dxa"/>
            <w:tcBorders>
              <w:top w:val="single" w:sz="1" w:space="0" w:color="808080"/>
              <w:left w:val="single" w:sz="1" w:space="0" w:color="808080"/>
              <w:bottom w:val="single" w:sz="1" w:space="0" w:color="808080"/>
              <w:right w:val="single" w:sz="1" w:space="0" w:color="808080"/>
            </w:tcBorders>
            <w:shd w:val="clear" w:color="auto" w:fill="D9E2F3"/>
          </w:tcPr>
          <w:p w14:paraId="2F91E99E" w14:textId="77777777" w:rsidR="008A4121" w:rsidRDefault="008A4121" w:rsidP="00BE29C7">
            <w:pPr>
              <w:jc w:val="center"/>
            </w:pPr>
            <w:r>
              <w:rPr>
                <w:b/>
                <w:bCs/>
                <w:sz w:val="22"/>
                <w:szCs w:val="22"/>
              </w:rPr>
              <w:t>% Agree/Strongly</w:t>
            </w:r>
          </w:p>
        </w:tc>
      </w:tr>
      <w:tr w:rsidR="008A4121" w14:paraId="55B70218" w14:textId="77777777" w:rsidTr="0025438A">
        <w:tc>
          <w:tcPr>
            <w:tcW w:w="4500" w:type="dxa"/>
            <w:tcBorders>
              <w:top w:val="single" w:sz="1" w:space="0" w:color="808080"/>
              <w:left w:val="single" w:sz="1" w:space="0" w:color="808080"/>
              <w:bottom w:val="single" w:sz="1" w:space="0" w:color="808080"/>
              <w:right w:val="single" w:sz="1" w:space="0" w:color="808080"/>
            </w:tcBorders>
          </w:tcPr>
          <w:p w14:paraId="48D261AF" w14:textId="77777777" w:rsidR="008A4121" w:rsidRDefault="008A4121" w:rsidP="00BE29C7">
            <w:r>
              <w:rPr>
                <w:sz w:val="22"/>
                <w:szCs w:val="22"/>
              </w:rPr>
              <w:t>Predictive maintenance reduces downtime and costs</w:t>
            </w:r>
          </w:p>
        </w:tc>
        <w:tc>
          <w:tcPr>
            <w:tcW w:w="1200" w:type="dxa"/>
            <w:tcBorders>
              <w:top w:val="single" w:sz="1" w:space="0" w:color="808080"/>
              <w:left w:val="single" w:sz="1" w:space="0" w:color="808080"/>
              <w:bottom w:val="single" w:sz="1" w:space="0" w:color="808080"/>
              <w:right w:val="single" w:sz="1" w:space="0" w:color="808080"/>
            </w:tcBorders>
            <w:vAlign w:val="center"/>
          </w:tcPr>
          <w:p w14:paraId="49FA4639" w14:textId="77777777" w:rsidR="008A4121" w:rsidRDefault="008A4121" w:rsidP="0025438A">
            <w:pPr>
              <w:jc w:val="center"/>
            </w:pPr>
            <w:r>
              <w:rPr>
                <w:sz w:val="22"/>
                <w:szCs w:val="22"/>
              </w:rPr>
              <w:t>4.40</w:t>
            </w:r>
          </w:p>
        </w:tc>
        <w:tc>
          <w:tcPr>
            <w:tcW w:w="1200" w:type="dxa"/>
            <w:tcBorders>
              <w:top w:val="single" w:sz="1" w:space="0" w:color="808080"/>
              <w:left w:val="single" w:sz="1" w:space="0" w:color="808080"/>
              <w:bottom w:val="single" w:sz="1" w:space="0" w:color="808080"/>
              <w:right w:val="single" w:sz="1" w:space="0" w:color="808080"/>
            </w:tcBorders>
            <w:vAlign w:val="center"/>
          </w:tcPr>
          <w:p w14:paraId="2164D5C5" w14:textId="2207CEDB" w:rsidR="008A4121" w:rsidRDefault="008A4121" w:rsidP="0025438A">
            <w:pPr>
              <w:jc w:val="center"/>
            </w:pPr>
            <w:r>
              <w:rPr>
                <w:sz w:val="22"/>
                <w:szCs w:val="22"/>
              </w:rPr>
              <w:t>0.</w:t>
            </w:r>
            <w:r w:rsidR="00BA42FA">
              <w:rPr>
                <w:sz w:val="22"/>
                <w:szCs w:val="22"/>
              </w:rPr>
              <w:t>93</w:t>
            </w:r>
          </w:p>
        </w:tc>
        <w:tc>
          <w:tcPr>
            <w:tcW w:w="2460" w:type="dxa"/>
            <w:tcBorders>
              <w:top w:val="single" w:sz="1" w:space="0" w:color="808080"/>
              <w:left w:val="single" w:sz="1" w:space="0" w:color="808080"/>
              <w:bottom w:val="single" w:sz="1" w:space="0" w:color="808080"/>
              <w:right w:val="single" w:sz="1" w:space="0" w:color="808080"/>
            </w:tcBorders>
            <w:vAlign w:val="center"/>
          </w:tcPr>
          <w:p w14:paraId="3469B0F9" w14:textId="77777777" w:rsidR="008A4121" w:rsidRDefault="008A4121" w:rsidP="0025438A">
            <w:pPr>
              <w:jc w:val="center"/>
            </w:pPr>
            <w:r>
              <w:rPr>
                <w:sz w:val="22"/>
                <w:szCs w:val="22"/>
              </w:rPr>
              <w:t>94.3</w:t>
            </w:r>
          </w:p>
        </w:tc>
      </w:tr>
      <w:tr w:rsidR="008A4121" w14:paraId="01D0B296" w14:textId="77777777" w:rsidTr="00DF4910">
        <w:trPr>
          <w:trHeight w:val="285"/>
        </w:trPr>
        <w:tc>
          <w:tcPr>
            <w:tcW w:w="4500" w:type="dxa"/>
            <w:tcBorders>
              <w:top w:val="single" w:sz="1" w:space="0" w:color="808080"/>
              <w:left w:val="single" w:sz="1" w:space="0" w:color="808080"/>
              <w:bottom w:val="single" w:sz="1" w:space="0" w:color="808080"/>
              <w:right w:val="single" w:sz="1" w:space="0" w:color="808080"/>
            </w:tcBorders>
          </w:tcPr>
          <w:p w14:paraId="68D8310D" w14:textId="77777777" w:rsidR="008A4121" w:rsidRDefault="008A4121" w:rsidP="00BE29C7">
            <w:r>
              <w:rPr>
                <w:sz w:val="22"/>
                <w:szCs w:val="22"/>
              </w:rPr>
              <w:t>AI/DT systems improve energy efficiency</w:t>
            </w:r>
          </w:p>
        </w:tc>
        <w:tc>
          <w:tcPr>
            <w:tcW w:w="1200" w:type="dxa"/>
            <w:tcBorders>
              <w:top w:val="single" w:sz="1" w:space="0" w:color="808080"/>
              <w:left w:val="single" w:sz="1" w:space="0" w:color="808080"/>
              <w:bottom w:val="single" w:sz="1" w:space="0" w:color="808080"/>
              <w:right w:val="single" w:sz="1" w:space="0" w:color="808080"/>
            </w:tcBorders>
            <w:vAlign w:val="center"/>
          </w:tcPr>
          <w:p w14:paraId="48DEB3DC" w14:textId="77777777" w:rsidR="008A4121" w:rsidRDefault="008A4121" w:rsidP="0025438A">
            <w:pPr>
              <w:jc w:val="center"/>
            </w:pPr>
            <w:r>
              <w:rPr>
                <w:sz w:val="22"/>
                <w:szCs w:val="22"/>
              </w:rPr>
              <w:t>3.82</w:t>
            </w:r>
          </w:p>
        </w:tc>
        <w:tc>
          <w:tcPr>
            <w:tcW w:w="1200" w:type="dxa"/>
            <w:tcBorders>
              <w:top w:val="single" w:sz="1" w:space="0" w:color="808080"/>
              <w:left w:val="single" w:sz="1" w:space="0" w:color="808080"/>
              <w:bottom w:val="single" w:sz="1" w:space="0" w:color="808080"/>
              <w:right w:val="single" w:sz="1" w:space="0" w:color="808080"/>
            </w:tcBorders>
            <w:vAlign w:val="center"/>
          </w:tcPr>
          <w:p w14:paraId="22A6ED98" w14:textId="77777777" w:rsidR="008A4121" w:rsidRDefault="008A4121" w:rsidP="0025438A">
            <w:pPr>
              <w:jc w:val="center"/>
            </w:pPr>
            <w:r>
              <w:rPr>
                <w:sz w:val="22"/>
                <w:szCs w:val="22"/>
              </w:rPr>
              <w:t>0.78</w:t>
            </w:r>
          </w:p>
        </w:tc>
        <w:tc>
          <w:tcPr>
            <w:tcW w:w="2460" w:type="dxa"/>
            <w:tcBorders>
              <w:top w:val="single" w:sz="1" w:space="0" w:color="808080"/>
              <w:left w:val="single" w:sz="1" w:space="0" w:color="808080"/>
              <w:bottom w:val="single" w:sz="1" w:space="0" w:color="808080"/>
              <w:right w:val="single" w:sz="1" w:space="0" w:color="808080"/>
            </w:tcBorders>
            <w:vAlign w:val="center"/>
          </w:tcPr>
          <w:p w14:paraId="78F59E8E" w14:textId="77777777" w:rsidR="008A4121" w:rsidRDefault="008A4121" w:rsidP="0025438A">
            <w:pPr>
              <w:jc w:val="center"/>
            </w:pPr>
            <w:r>
              <w:rPr>
                <w:sz w:val="22"/>
                <w:szCs w:val="22"/>
              </w:rPr>
              <w:t>67.8</w:t>
            </w:r>
          </w:p>
        </w:tc>
      </w:tr>
      <w:tr w:rsidR="008A4121" w14:paraId="131BCD37" w14:textId="77777777" w:rsidTr="0025438A">
        <w:tc>
          <w:tcPr>
            <w:tcW w:w="4500" w:type="dxa"/>
            <w:tcBorders>
              <w:top w:val="single" w:sz="1" w:space="0" w:color="808080"/>
              <w:left w:val="single" w:sz="1" w:space="0" w:color="808080"/>
              <w:bottom w:val="single" w:sz="1" w:space="0" w:color="808080"/>
              <w:right w:val="single" w:sz="1" w:space="0" w:color="808080"/>
            </w:tcBorders>
          </w:tcPr>
          <w:p w14:paraId="3E5FE7DA" w14:textId="77777777" w:rsidR="008A4121" w:rsidRDefault="008A4121" w:rsidP="00BE29C7">
            <w:r>
              <w:rPr>
                <w:sz w:val="22"/>
                <w:szCs w:val="22"/>
              </w:rPr>
              <w:t>API integration enables real-time optimisation</w:t>
            </w:r>
          </w:p>
        </w:tc>
        <w:tc>
          <w:tcPr>
            <w:tcW w:w="1200" w:type="dxa"/>
            <w:tcBorders>
              <w:top w:val="single" w:sz="1" w:space="0" w:color="808080"/>
              <w:left w:val="single" w:sz="1" w:space="0" w:color="808080"/>
              <w:bottom w:val="single" w:sz="1" w:space="0" w:color="808080"/>
              <w:right w:val="single" w:sz="1" w:space="0" w:color="808080"/>
            </w:tcBorders>
            <w:vAlign w:val="center"/>
          </w:tcPr>
          <w:p w14:paraId="004E7B5B" w14:textId="77777777" w:rsidR="008A4121" w:rsidRDefault="008A4121" w:rsidP="0025438A">
            <w:pPr>
              <w:jc w:val="center"/>
            </w:pPr>
            <w:r>
              <w:rPr>
                <w:sz w:val="22"/>
                <w:szCs w:val="22"/>
              </w:rPr>
              <w:t>3.76</w:t>
            </w:r>
          </w:p>
        </w:tc>
        <w:tc>
          <w:tcPr>
            <w:tcW w:w="1200" w:type="dxa"/>
            <w:tcBorders>
              <w:top w:val="single" w:sz="1" w:space="0" w:color="808080"/>
              <w:left w:val="single" w:sz="1" w:space="0" w:color="808080"/>
              <w:bottom w:val="single" w:sz="1" w:space="0" w:color="808080"/>
              <w:right w:val="single" w:sz="1" w:space="0" w:color="808080"/>
            </w:tcBorders>
            <w:vAlign w:val="center"/>
          </w:tcPr>
          <w:p w14:paraId="5DDEFE6A" w14:textId="17492AC6" w:rsidR="008A4121" w:rsidRDefault="008A4121" w:rsidP="0025438A">
            <w:pPr>
              <w:jc w:val="center"/>
            </w:pPr>
            <w:r>
              <w:rPr>
                <w:sz w:val="22"/>
                <w:szCs w:val="22"/>
              </w:rPr>
              <w:t>0.8</w:t>
            </w:r>
            <w:r w:rsidR="00057D40">
              <w:rPr>
                <w:sz w:val="22"/>
                <w:szCs w:val="22"/>
              </w:rPr>
              <w:t>5</w:t>
            </w:r>
          </w:p>
        </w:tc>
        <w:tc>
          <w:tcPr>
            <w:tcW w:w="2460" w:type="dxa"/>
            <w:tcBorders>
              <w:top w:val="single" w:sz="1" w:space="0" w:color="808080"/>
              <w:left w:val="single" w:sz="1" w:space="0" w:color="808080"/>
              <w:bottom w:val="single" w:sz="1" w:space="0" w:color="808080"/>
              <w:right w:val="single" w:sz="1" w:space="0" w:color="808080"/>
            </w:tcBorders>
            <w:vAlign w:val="center"/>
          </w:tcPr>
          <w:p w14:paraId="4ED316BA" w14:textId="0A0DA67B" w:rsidR="008A4121" w:rsidRDefault="00057D40" w:rsidP="0025438A">
            <w:pPr>
              <w:jc w:val="center"/>
            </w:pPr>
            <w:r>
              <w:rPr>
                <w:sz w:val="22"/>
                <w:szCs w:val="22"/>
              </w:rPr>
              <w:t>74.7</w:t>
            </w:r>
          </w:p>
        </w:tc>
      </w:tr>
      <w:tr w:rsidR="008A4121" w14:paraId="0751EAFD" w14:textId="77777777" w:rsidTr="0025438A">
        <w:tc>
          <w:tcPr>
            <w:tcW w:w="4500" w:type="dxa"/>
            <w:tcBorders>
              <w:top w:val="single" w:sz="1" w:space="0" w:color="808080"/>
              <w:left w:val="single" w:sz="1" w:space="0" w:color="808080"/>
              <w:bottom w:val="single" w:sz="1" w:space="0" w:color="808080"/>
              <w:right w:val="single" w:sz="1" w:space="0" w:color="808080"/>
            </w:tcBorders>
          </w:tcPr>
          <w:p w14:paraId="2C9C832F" w14:textId="77777777" w:rsidR="008A4121" w:rsidRDefault="008A4121" w:rsidP="00BE29C7">
            <w:r>
              <w:rPr>
                <w:sz w:val="22"/>
                <w:szCs w:val="22"/>
              </w:rPr>
              <w:t>AI/DT supports sustainability targets</w:t>
            </w:r>
          </w:p>
        </w:tc>
        <w:tc>
          <w:tcPr>
            <w:tcW w:w="1200" w:type="dxa"/>
            <w:tcBorders>
              <w:top w:val="single" w:sz="1" w:space="0" w:color="808080"/>
              <w:left w:val="single" w:sz="1" w:space="0" w:color="808080"/>
              <w:bottom w:val="single" w:sz="1" w:space="0" w:color="808080"/>
              <w:right w:val="single" w:sz="1" w:space="0" w:color="808080"/>
            </w:tcBorders>
            <w:vAlign w:val="center"/>
          </w:tcPr>
          <w:p w14:paraId="0B617180" w14:textId="5A38D299" w:rsidR="008A4121" w:rsidRDefault="008A4121" w:rsidP="0025438A">
            <w:pPr>
              <w:jc w:val="center"/>
            </w:pPr>
            <w:r>
              <w:rPr>
                <w:sz w:val="22"/>
                <w:szCs w:val="22"/>
              </w:rPr>
              <w:t>3.</w:t>
            </w:r>
            <w:r w:rsidR="00057D40">
              <w:rPr>
                <w:sz w:val="22"/>
                <w:szCs w:val="22"/>
              </w:rPr>
              <w:t>56</w:t>
            </w:r>
          </w:p>
        </w:tc>
        <w:tc>
          <w:tcPr>
            <w:tcW w:w="1200" w:type="dxa"/>
            <w:tcBorders>
              <w:top w:val="single" w:sz="1" w:space="0" w:color="808080"/>
              <w:left w:val="single" w:sz="1" w:space="0" w:color="808080"/>
              <w:bottom w:val="single" w:sz="1" w:space="0" w:color="808080"/>
              <w:right w:val="single" w:sz="1" w:space="0" w:color="808080"/>
            </w:tcBorders>
            <w:vAlign w:val="center"/>
          </w:tcPr>
          <w:p w14:paraId="344C03A8" w14:textId="6DC587DE" w:rsidR="008A4121" w:rsidRDefault="00057D40" w:rsidP="0025438A">
            <w:pPr>
              <w:jc w:val="center"/>
            </w:pPr>
            <w:r>
              <w:rPr>
                <w:sz w:val="22"/>
                <w:szCs w:val="22"/>
              </w:rPr>
              <w:t>1</w:t>
            </w:r>
            <w:r w:rsidR="008A4121">
              <w:rPr>
                <w:sz w:val="22"/>
                <w:szCs w:val="22"/>
              </w:rPr>
              <w:t>.</w:t>
            </w:r>
            <w:r>
              <w:rPr>
                <w:sz w:val="22"/>
                <w:szCs w:val="22"/>
              </w:rPr>
              <w:t>5</w:t>
            </w:r>
            <w:r w:rsidR="008A4121">
              <w:rPr>
                <w:sz w:val="22"/>
                <w:szCs w:val="22"/>
              </w:rPr>
              <w:t>1</w:t>
            </w:r>
          </w:p>
        </w:tc>
        <w:tc>
          <w:tcPr>
            <w:tcW w:w="2460" w:type="dxa"/>
            <w:tcBorders>
              <w:top w:val="single" w:sz="1" w:space="0" w:color="808080"/>
              <w:left w:val="single" w:sz="1" w:space="0" w:color="808080"/>
              <w:bottom w:val="single" w:sz="1" w:space="0" w:color="808080"/>
              <w:right w:val="single" w:sz="1" w:space="0" w:color="808080"/>
            </w:tcBorders>
            <w:vAlign w:val="center"/>
          </w:tcPr>
          <w:p w14:paraId="63351ACC" w14:textId="77777777" w:rsidR="008A4121" w:rsidRDefault="008A4121" w:rsidP="0025438A">
            <w:pPr>
              <w:jc w:val="center"/>
            </w:pPr>
            <w:r>
              <w:rPr>
                <w:sz w:val="22"/>
                <w:szCs w:val="22"/>
              </w:rPr>
              <w:t>73.6</w:t>
            </w:r>
          </w:p>
        </w:tc>
      </w:tr>
    </w:tbl>
    <w:p w14:paraId="6CB0AE72" w14:textId="77777777" w:rsidR="008A4121" w:rsidRDefault="008A4121" w:rsidP="008A4121">
      <w:pPr>
        <w:spacing w:after="200"/>
      </w:pPr>
    </w:p>
    <w:p w14:paraId="512130A4" w14:textId="6C6B35C7" w:rsidR="008A4121" w:rsidRDefault="008A4121" w:rsidP="008A4121">
      <w:pPr>
        <w:spacing w:after="200" w:line="360" w:lineRule="auto"/>
      </w:pPr>
      <w:r>
        <w:t>Predictive maintenance received overwhelming support (M=4.40, SD=0.</w:t>
      </w:r>
      <w:r w:rsidR="00BA42FA">
        <w:t>93</w:t>
      </w:r>
      <w:r>
        <w:t>), with 94.3% of respondents agreeing or strongly agreeing that it reduces downtime and operational costs. This represents the strongest consensus across all benefit statements, suggesting that fault anticipation and prevention capabilities represent the most immediately compelling value proposition for practitioners. The finding aligns with Hosamo et al.'s (2022) documentation of substantial savings through AI-enabled predictive maintenance in air handling units.</w:t>
      </w:r>
    </w:p>
    <w:p w14:paraId="0153ECB5" w14:textId="77777777" w:rsidR="008A4121" w:rsidRDefault="008A4121" w:rsidP="008A4121">
      <w:pPr>
        <w:pStyle w:val="Heading3"/>
      </w:pPr>
      <w:bookmarkStart w:id="125" w:name="_Toc220152213"/>
      <w:r>
        <w:t>4.5.2 Qualitative Findings: Demonstrated Value</w:t>
      </w:r>
      <w:bookmarkEnd w:id="125"/>
    </w:p>
    <w:p w14:paraId="0BAC892A" w14:textId="77777777" w:rsidR="008A4121" w:rsidRDefault="008A4121" w:rsidP="008A4121">
      <w:pPr>
        <w:spacing w:after="200" w:line="360" w:lineRule="auto"/>
      </w:pPr>
      <w:r>
        <w:t>Interview participants who had implemented digital monitoring tools reported measurable benefits, particularly in energy performance and maintenance efficiency. Where measurement and verification processes were in place, respondents could articulate specific outcomes:</w:t>
      </w:r>
    </w:p>
    <w:p w14:paraId="7516C694" w14:textId="28C5DF88" w:rsidR="008A4121" w:rsidRPr="00815B76" w:rsidRDefault="008A4121" w:rsidP="00815B76">
      <w:pPr>
        <w:spacing w:after="120" w:line="360" w:lineRule="auto"/>
        <w:ind w:left="720"/>
        <w:rPr>
          <w:i/>
          <w:iCs/>
        </w:rPr>
      </w:pPr>
      <w:r>
        <w:rPr>
          <w:i/>
          <w:iCs/>
        </w:rPr>
        <w:lastRenderedPageBreak/>
        <w:t>"A verified 18</w:t>
      </w:r>
      <w:r w:rsidR="00815B76">
        <w:rPr>
          <w:i/>
          <w:iCs/>
        </w:rPr>
        <w:t>%</w:t>
      </w:r>
      <w:r>
        <w:rPr>
          <w:i/>
          <w:iCs/>
        </w:rPr>
        <w:t xml:space="preserve"> reduction in gas consumption helped secure further Salix funding." (ED1)</w:t>
      </w:r>
    </w:p>
    <w:p w14:paraId="05CD1B8F" w14:textId="77777777" w:rsidR="008A4121" w:rsidRDefault="008A4121" w:rsidP="008A4121">
      <w:pPr>
        <w:spacing w:after="120" w:line="360" w:lineRule="auto"/>
        <w:ind w:left="720"/>
      </w:pPr>
      <w:r>
        <w:rPr>
          <w:i/>
          <w:iCs/>
        </w:rPr>
        <w:t>"We identified heating schedules running outside occupied hours... which reduced gas consumption noticeably." (FM1)</w:t>
      </w:r>
    </w:p>
    <w:p w14:paraId="28A6FB84" w14:textId="77777777" w:rsidR="008A4121" w:rsidRDefault="008A4121" w:rsidP="008A4121">
      <w:pPr>
        <w:spacing w:after="200" w:line="360" w:lineRule="auto"/>
        <w:ind w:left="720"/>
      </w:pPr>
      <w:r>
        <w:rPr>
          <w:i/>
          <w:iCs/>
        </w:rPr>
        <w:t>"Without granular data, you're guessing at interventions." (CONS1)</w:t>
      </w:r>
    </w:p>
    <w:p w14:paraId="290BC422" w14:textId="2BEC2DFB" w:rsidR="008A4121" w:rsidRDefault="008A4121" w:rsidP="008A4121">
      <w:pPr>
        <w:spacing w:after="200" w:line="360" w:lineRule="auto"/>
      </w:pPr>
      <w:r>
        <w:t>The 18% gas reduction reported by ED1 falls within the 10</w:t>
      </w:r>
      <w:r w:rsidR="000F6BAF">
        <w:t>-</w:t>
      </w:r>
      <w:r>
        <w:t>38% energy savings range documented in the systematic review literature (Cespedes-Cubides and Jradi, 2024; Renganayagalu et al., 2024), providing field validation of benefits achievable in FE building contexts.</w:t>
      </w:r>
    </w:p>
    <w:p w14:paraId="43700346" w14:textId="77777777" w:rsidR="008A4121" w:rsidRDefault="008A4121" w:rsidP="008A4121">
      <w:pPr>
        <w:pStyle w:val="Heading2"/>
      </w:pPr>
      <w:bookmarkStart w:id="126" w:name="_Toc220152214"/>
      <w:r>
        <w:t>4.6 Perceived Barriers to Adoption</w:t>
      </w:r>
      <w:bookmarkEnd w:id="126"/>
    </w:p>
    <w:p w14:paraId="3B3A73BD" w14:textId="77777777" w:rsidR="008A4121" w:rsidRDefault="008A4121" w:rsidP="008A4121">
      <w:pPr>
        <w:pStyle w:val="Heading3"/>
      </w:pPr>
      <w:bookmarkStart w:id="127" w:name="_Toc220152215"/>
      <w:r>
        <w:t>4.6.1 Quantitative Findings: Barrier Ratings</w:t>
      </w:r>
      <w:bookmarkEnd w:id="127"/>
    </w:p>
    <w:p w14:paraId="4C76F54C" w14:textId="77777777" w:rsidR="008A4121" w:rsidRDefault="008A4121" w:rsidP="008A4121">
      <w:pPr>
        <w:spacing w:after="200" w:line="360" w:lineRule="auto"/>
      </w:pPr>
      <w:r>
        <w:t>Respondents identified multiple barriers to AI and Digital Twin adoption, with cost/budget constraints, cybersecurity concerns, legacy system incompatibility, and skills gaps emerging as the most significant obstacles. These barriers span all three conceptual framework domains, indicating that adoption challenges are multidimensional rather than purely technical.</w:t>
      </w:r>
    </w:p>
    <w:p w14:paraId="7D4C1CB5" w14:textId="29B55DBE" w:rsidR="001C693C" w:rsidRDefault="00EE1F36" w:rsidP="001C693C">
      <w:pPr>
        <w:keepNext/>
        <w:jc w:val="center"/>
      </w:pPr>
      <w:r>
        <w:rPr>
          <w:noProof/>
        </w:rPr>
        <w:drawing>
          <wp:inline distT="0" distB="0" distL="0" distR="0" wp14:anchorId="2DDA077C" wp14:editId="4BC71117">
            <wp:extent cx="5676697" cy="3482036"/>
            <wp:effectExtent l="0" t="0" r="635" b="4445"/>
            <wp:docPr id="594220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220220" name="Picture 59422022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13447" cy="3504578"/>
                    </a:xfrm>
                    <a:prstGeom prst="rect">
                      <a:avLst/>
                    </a:prstGeom>
                  </pic:spPr>
                </pic:pic>
              </a:graphicData>
            </a:graphic>
          </wp:inline>
        </w:drawing>
      </w:r>
    </w:p>
    <w:p w14:paraId="51F7D973" w14:textId="77777777" w:rsidR="00EE1F36" w:rsidRDefault="00EE1F36" w:rsidP="001C693C">
      <w:pPr>
        <w:keepNext/>
        <w:jc w:val="center"/>
      </w:pPr>
    </w:p>
    <w:p w14:paraId="51B7819A" w14:textId="43116DFF" w:rsidR="00AE4BD9" w:rsidRDefault="00AE4BD9" w:rsidP="00AE4BD9">
      <w:pPr>
        <w:pStyle w:val="Caption"/>
        <w:jc w:val="center"/>
        <w:rPr>
          <w:b/>
          <w:bCs/>
          <w:color w:val="auto"/>
          <w:sz w:val="20"/>
          <w:szCs w:val="20"/>
        </w:rPr>
      </w:pPr>
      <w:bookmarkStart w:id="128" w:name="_Toc220152014"/>
      <w:bookmarkStart w:id="129" w:name="_Toc223075556"/>
      <w:bookmarkStart w:id="130" w:name="_Toc223079130"/>
      <w:r w:rsidRPr="009673C1">
        <w:rPr>
          <w:b/>
          <w:bCs/>
          <w:color w:val="auto"/>
          <w:sz w:val="20"/>
          <w:szCs w:val="20"/>
        </w:rPr>
        <w:t xml:space="preserve">Figure </w:t>
      </w:r>
      <w:r>
        <w:rPr>
          <w:b/>
          <w:bCs/>
          <w:color w:val="auto"/>
          <w:sz w:val="20"/>
          <w:szCs w:val="20"/>
        </w:rPr>
        <w:t>4.</w:t>
      </w:r>
      <w:r w:rsidR="0010076A">
        <w:rPr>
          <w:b/>
          <w:bCs/>
          <w:color w:val="auto"/>
          <w:sz w:val="20"/>
          <w:szCs w:val="20"/>
        </w:rPr>
        <w:t>7</w:t>
      </w:r>
      <w:r w:rsidRPr="009673C1">
        <w:rPr>
          <w:b/>
          <w:bCs/>
          <w:color w:val="auto"/>
          <w:sz w:val="20"/>
          <w:szCs w:val="20"/>
        </w:rPr>
        <w:t>: Perceived Barriers to AI/Digital Twin Adoption (n=87)</w:t>
      </w:r>
      <w:bookmarkEnd w:id="128"/>
      <w:bookmarkEnd w:id="129"/>
      <w:bookmarkEnd w:id="130"/>
    </w:p>
    <w:p w14:paraId="2428EC98" w14:textId="77777777" w:rsidR="009C7098" w:rsidRPr="009C7098" w:rsidRDefault="009C7098" w:rsidP="009C7098"/>
    <w:p w14:paraId="797E1E1A" w14:textId="05A111F3" w:rsidR="00F34AAE" w:rsidRPr="00F34AAE" w:rsidRDefault="00F34AAE" w:rsidP="00F34AAE">
      <w:pPr>
        <w:pStyle w:val="Caption"/>
        <w:keepNext/>
        <w:rPr>
          <w:b/>
          <w:bCs/>
          <w:color w:val="auto"/>
          <w:sz w:val="20"/>
          <w:szCs w:val="20"/>
        </w:rPr>
      </w:pPr>
      <w:bookmarkStart w:id="131" w:name="_Toc220151993"/>
      <w:bookmarkStart w:id="132" w:name="_Toc223077235"/>
      <w:bookmarkStart w:id="133" w:name="_Toc223079131"/>
      <w:r w:rsidRPr="00F34AAE">
        <w:rPr>
          <w:b/>
          <w:bCs/>
          <w:color w:val="auto"/>
          <w:sz w:val="20"/>
          <w:szCs w:val="20"/>
        </w:rPr>
        <w:lastRenderedPageBreak/>
        <w:t xml:space="preserve">Table </w:t>
      </w:r>
      <w:r w:rsidR="004D4AE1">
        <w:rPr>
          <w:b/>
          <w:bCs/>
          <w:color w:val="auto"/>
          <w:sz w:val="20"/>
          <w:szCs w:val="20"/>
        </w:rPr>
        <w:t>4</w:t>
      </w:r>
      <w:r w:rsidR="00CD0E8E">
        <w:rPr>
          <w:b/>
          <w:bCs/>
          <w:color w:val="auto"/>
          <w:sz w:val="20"/>
          <w:szCs w:val="20"/>
        </w:rPr>
        <w:t>.</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6</w:t>
      </w:r>
      <w:r w:rsidR="00E10041">
        <w:rPr>
          <w:b/>
          <w:bCs/>
          <w:color w:val="auto"/>
          <w:sz w:val="20"/>
          <w:szCs w:val="20"/>
        </w:rPr>
        <w:fldChar w:fldCharType="end"/>
      </w:r>
      <w:r w:rsidRPr="00F34AAE">
        <w:rPr>
          <w:b/>
          <w:bCs/>
          <w:color w:val="auto"/>
          <w:sz w:val="20"/>
          <w:szCs w:val="20"/>
        </w:rPr>
        <w:t>: Perceived Barriers to AI/Digital Twin Adoption (n=87)</w:t>
      </w:r>
      <w:bookmarkEnd w:id="131"/>
      <w:bookmarkEnd w:id="132"/>
      <w:bookmarkEnd w:id="133"/>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343"/>
        <w:gridCol w:w="1165"/>
        <w:gridCol w:w="1157"/>
        <w:gridCol w:w="2359"/>
      </w:tblGrid>
      <w:tr w:rsidR="008A4121" w14:paraId="52837312" w14:textId="77777777" w:rsidTr="00BE29C7">
        <w:trPr>
          <w:tblHeader/>
        </w:trPr>
        <w:tc>
          <w:tcPr>
            <w:tcW w:w="4500" w:type="dxa"/>
            <w:tcBorders>
              <w:top w:val="single" w:sz="1" w:space="0" w:color="808080"/>
              <w:left w:val="single" w:sz="1" w:space="0" w:color="808080"/>
              <w:bottom w:val="single" w:sz="1" w:space="0" w:color="808080"/>
              <w:right w:val="single" w:sz="1" w:space="0" w:color="808080"/>
            </w:tcBorders>
            <w:shd w:val="clear" w:color="auto" w:fill="D9E2F3"/>
          </w:tcPr>
          <w:p w14:paraId="387DCB0E" w14:textId="77777777" w:rsidR="008A4121" w:rsidRDefault="008A4121" w:rsidP="00BE29C7">
            <w:pPr>
              <w:jc w:val="center"/>
            </w:pPr>
            <w:r>
              <w:rPr>
                <w:b/>
                <w:bCs/>
                <w:sz w:val="22"/>
                <w:szCs w:val="22"/>
              </w:rPr>
              <w:t>Barrier</w:t>
            </w:r>
          </w:p>
        </w:tc>
        <w:tc>
          <w:tcPr>
            <w:tcW w:w="1200" w:type="dxa"/>
            <w:tcBorders>
              <w:top w:val="single" w:sz="1" w:space="0" w:color="808080"/>
              <w:left w:val="single" w:sz="1" w:space="0" w:color="808080"/>
              <w:bottom w:val="single" w:sz="1" w:space="0" w:color="808080"/>
              <w:right w:val="single" w:sz="1" w:space="0" w:color="808080"/>
            </w:tcBorders>
            <w:shd w:val="clear" w:color="auto" w:fill="D9E2F3"/>
          </w:tcPr>
          <w:p w14:paraId="4CE3A842" w14:textId="77777777" w:rsidR="008A4121" w:rsidRDefault="008A4121" w:rsidP="00BE29C7">
            <w:pPr>
              <w:jc w:val="center"/>
            </w:pPr>
            <w:r>
              <w:rPr>
                <w:b/>
                <w:bCs/>
                <w:sz w:val="22"/>
                <w:szCs w:val="22"/>
              </w:rPr>
              <w:t>Mean</w:t>
            </w:r>
          </w:p>
        </w:tc>
        <w:tc>
          <w:tcPr>
            <w:tcW w:w="1200" w:type="dxa"/>
            <w:tcBorders>
              <w:top w:val="single" w:sz="1" w:space="0" w:color="808080"/>
              <w:left w:val="single" w:sz="1" w:space="0" w:color="808080"/>
              <w:bottom w:val="single" w:sz="1" w:space="0" w:color="808080"/>
              <w:right w:val="single" w:sz="1" w:space="0" w:color="808080"/>
            </w:tcBorders>
            <w:shd w:val="clear" w:color="auto" w:fill="D9E2F3"/>
          </w:tcPr>
          <w:p w14:paraId="54BAD374" w14:textId="77777777" w:rsidR="008A4121" w:rsidRDefault="008A4121" w:rsidP="00BE29C7">
            <w:pPr>
              <w:jc w:val="center"/>
            </w:pPr>
            <w:r>
              <w:rPr>
                <w:b/>
                <w:bCs/>
                <w:sz w:val="22"/>
                <w:szCs w:val="22"/>
              </w:rPr>
              <w:t>SD</w:t>
            </w:r>
          </w:p>
        </w:tc>
        <w:tc>
          <w:tcPr>
            <w:tcW w:w="2460" w:type="dxa"/>
            <w:tcBorders>
              <w:top w:val="single" w:sz="1" w:space="0" w:color="808080"/>
              <w:left w:val="single" w:sz="1" w:space="0" w:color="808080"/>
              <w:bottom w:val="single" w:sz="1" w:space="0" w:color="808080"/>
              <w:right w:val="single" w:sz="1" w:space="0" w:color="808080"/>
            </w:tcBorders>
            <w:shd w:val="clear" w:color="auto" w:fill="D9E2F3"/>
          </w:tcPr>
          <w:p w14:paraId="1E4EDD10" w14:textId="4889F15C" w:rsidR="008A4121" w:rsidRDefault="008A4121" w:rsidP="00BE29C7">
            <w:pPr>
              <w:jc w:val="center"/>
            </w:pPr>
            <w:r>
              <w:rPr>
                <w:b/>
                <w:bCs/>
                <w:sz w:val="22"/>
                <w:szCs w:val="22"/>
              </w:rPr>
              <w:t xml:space="preserve">% </w:t>
            </w:r>
            <w:r w:rsidR="00726697">
              <w:rPr>
                <w:b/>
                <w:bCs/>
                <w:sz w:val="22"/>
                <w:szCs w:val="22"/>
              </w:rPr>
              <w:t>Mod+</w:t>
            </w:r>
          </w:p>
        </w:tc>
      </w:tr>
      <w:tr w:rsidR="008A4121" w14:paraId="2EF2D6A2" w14:textId="77777777" w:rsidTr="00BE29C7">
        <w:tc>
          <w:tcPr>
            <w:tcW w:w="4500" w:type="dxa"/>
            <w:tcBorders>
              <w:top w:val="single" w:sz="1" w:space="0" w:color="808080"/>
              <w:left w:val="single" w:sz="1" w:space="0" w:color="808080"/>
              <w:bottom w:val="single" w:sz="1" w:space="0" w:color="808080"/>
              <w:right w:val="single" w:sz="1" w:space="0" w:color="808080"/>
            </w:tcBorders>
          </w:tcPr>
          <w:p w14:paraId="17E26597" w14:textId="77777777" w:rsidR="008A4121" w:rsidRDefault="008A4121" w:rsidP="00BE29C7">
            <w:r>
              <w:rPr>
                <w:sz w:val="22"/>
                <w:szCs w:val="22"/>
              </w:rPr>
              <w:t>Cost/budget constraints</w:t>
            </w:r>
          </w:p>
        </w:tc>
        <w:tc>
          <w:tcPr>
            <w:tcW w:w="1200" w:type="dxa"/>
            <w:tcBorders>
              <w:top w:val="single" w:sz="1" w:space="0" w:color="808080"/>
              <w:left w:val="single" w:sz="1" w:space="0" w:color="808080"/>
              <w:bottom w:val="single" w:sz="1" w:space="0" w:color="808080"/>
              <w:right w:val="single" w:sz="1" w:space="0" w:color="808080"/>
            </w:tcBorders>
          </w:tcPr>
          <w:p w14:paraId="6360027B" w14:textId="567A5E95" w:rsidR="008A4121" w:rsidRDefault="008A4121" w:rsidP="00BE29C7">
            <w:pPr>
              <w:jc w:val="center"/>
            </w:pPr>
            <w:r>
              <w:rPr>
                <w:sz w:val="22"/>
                <w:szCs w:val="22"/>
              </w:rPr>
              <w:t>3.</w:t>
            </w:r>
            <w:r w:rsidR="00D26E7E">
              <w:rPr>
                <w:sz w:val="22"/>
                <w:szCs w:val="22"/>
              </w:rPr>
              <w:t>17</w:t>
            </w:r>
          </w:p>
        </w:tc>
        <w:tc>
          <w:tcPr>
            <w:tcW w:w="1200" w:type="dxa"/>
            <w:tcBorders>
              <w:top w:val="single" w:sz="1" w:space="0" w:color="808080"/>
              <w:left w:val="single" w:sz="1" w:space="0" w:color="808080"/>
              <w:bottom w:val="single" w:sz="1" w:space="0" w:color="808080"/>
              <w:right w:val="single" w:sz="1" w:space="0" w:color="808080"/>
            </w:tcBorders>
          </w:tcPr>
          <w:p w14:paraId="754C2476" w14:textId="42A814D7" w:rsidR="008A4121" w:rsidRDefault="008A4121" w:rsidP="00BE29C7">
            <w:pPr>
              <w:jc w:val="center"/>
            </w:pPr>
            <w:r>
              <w:rPr>
                <w:sz w:val="22"/>
                <w:szCs w:val="22"/>
              </w:rPr>
              <w:t>0.7</w:t>
            </w:r>
            <w:r w:rsidR="006476D2">
              <w:rPr>
                <w:sz w:val="22"/>
                <w:szCs w:val="22"/>
              </w:rPr>
              <w:t>3</w:t>
            </w:r>
          </w:p>
        </w:tc>
        <w:tc>
          <w:tcPr>
            <w:tcW w:w="2460" w:type="dxa"/>
            <w:tcBorders>
              <w:top w:val="single" w:sz="1" w:space="0" w:color="808080"/>
              <w:left w:val="single" w:sz="1" w:space="0" w:color="808080"/>
              <w:bottom w:val="single" w:sz="1" w:space="0" w:color="808080"/>
              <w:right w:val="single" w:sz="1" w:space="0" w:color="808080"/>
            </w:tcBorders>
          </w:tcPr>
          <w:p w14:paraId="051FC5C5" w14:textId="2F33601B" w:rsidR="008A4121" w:rsidRDefault="008A4121" w:rsidP="00BE29C7">
            <w:pPr>
              <w:jc w:val="center"/>
            </w:pPr>
            <w:r>
              <w:rPr>
                <w:sz w:val="22"/>
                <w:szCs w:val="22"/>
              </w:rPr>
              <w:t>92.0</w:t>
            </w:r>
            <w:r w:rsidR="00D26E7E">
              <w:rPr>
                <w:sz w:val="22"/>
                <w:szCs w:val="22"/>
              </w:rPr>
              <w:t>%</w:t>
            </w:r>
          </w:p>
        </w:tc>
      </w:tr>
      <w:tr w:rsidR="008A4121" w14:paraId="4216FD78" w14:textId="77777777" w:rsidTr="00BE29C7">
        <w:tc>
          <w:tcPr>
            <w:tcW w:w="4500" w:type="dxa"/>
            <w:tcBorders>
              <w:top w:val="single" w:sz="1" w:space="0" w:color="808080"/>
              <w:left w:val="single" w:sz="1" w:space="0" w:color="808080"/>
              <w:bottom w:val="single" w:sz="1" w:space="0" w:color="808080"/>
              <w:right w:val="single" w:sz="1" w:space="0" w:color="808080"/>
            </w:tcBorders>
          </w:tcPr>
          <w:p w14:paraId="3520C3F1" w14:textId="77777777" w:rsidR="008A4121" w:rsidRDefault="008A4121" w:rsidP="00BE29C7">
            <w:r>
              <w:rPr>
                <w:sz w:val="22"/>
                <w:szCs w:val="22"/>
              </w:rPr>
              <w:t>Cybersecurity concerns</w:t>
            </w:r>
          </w:p>
        </w:tc>
        <w:tc>
          <w:tcPr>
            <w:tcW w:w="1200" w:type="dxa"/>
            <w:tcBorders>
              <w:top w:val="single" w:sz="1" w:space="0" w:color="808080"/>
              <w:left w:val="single" w:sz="1" w:space="0" w:color="808080"/>
              <w:bottom w:val="single" w:sz="1" w:space="0" w:color="808080"/>
              <w:right w:val="single" w:sz="1" w:space="0" w:color="808080"/>
            </w:tcBorders>
          </w:tcPr>
          <w:p w14:paraId="4509CC24" w14:textId="77777777" w:rsidR="008A4121" w:rsidRDefault="008A4121" w:rsidP="00BE29C7">
            <w:pPr>
              <w:jc w:val="center"/>
            </w:pPr>
            <w:r>
              <w:rPr>
                <w:sz w:val="22"/>
                <w:szCs w:val="22"/>
              </w:rPr>
              <w:t>3.67</w:t>
            </w:r>
          </w:p>
        </w:tc>
        <w:tc>
          <w:tcPr>
            <w:tcW w:w="1200" w:type="dxa"/>
            <w:tcBorders>
              <w:top w:val="single" w:sz="1" w:space="0" w:color="808080"/>
              <w:left w:val="single" w:sz="1" w:space="0" w:color="808080"/>
              <w:bottom w:val="single" w:sz="1" w:space="0" w:color="808080"/>
              <w:right w:val="single" w:sz="1" w:space="0" w:color="808080"/>
            </w:tcBorders>
          </w:tcPr>
          <w:p w14:paraId="23E967E2" w14:textId="058503A3" w:rsidR="008A4121" w:rsidRDefault="008A4121" w:rsidP="00BE29C7">
            <w:pPr>
              <w:jc w:val="center"/>
            </w:pPr>
            <w:r>
              <w:rPr>
                <w:sz w:val="22"/>
                <w:szCs w:val="22"/>
              </w:rPr>
              <w:t>0.8</w:t>
            </w:r>
            <w:r w:rsidR="006476D2">
              <w:rPr>
                <w:sz w:val="22"/>
                <w:szCs w:val="22"/>
              </w:rPr>
              <w:t>8</w:t>
            </w:r>
          </w:p>
        </w:tc>
        <w:tc>
          <w:tcPr>
            <w:tcW w:w="2460" w:type="dxa"/>
            <w:tcBorders>
              <w:top w:val="single" w:sz="1" w:space="0" w:color="808080"/>
              <w:left w:val="single" w:sz="1" w:space="0" w:color="808080"/>
              <w:bottom w:val="single" w:sz="1" w:space="0" w:color="808080"/>
              <w:right w:val="single" w:sz="1" w:space="0" w:color="808080"/>
            </w:tcBorders>
          </w:tcPr>
          <w:p w14:paraId="4C4304AB" w14:textId="60FAC8A5" w:rsidR="008A4121" w:rsidRDefault="00726697" w:rsidP="00BE29C7">
            <w:pPr>
              <w:jc w:val="center"/>
            </w:pPr>
            <w:r>
              <w:t>94.3</w:t>
            </w:r>
            <w:r w:rsidR="00D26E7E">
              <w:t>%</w:t>
            </w:r>
          </w:p>
        </w:tc>
      </w:tr>
      <w:tr w:rsidR="008A4121" w14:paraId="213B0362" w14:textId="77777777" w:rsidTr="00BE29C7">
        <w:tc>
          <w:tcPr>
            <w:tcW w:w="4500" w:type="dxa"/>
            <w:tcBorders>
              <w:top w:val="single" w:sz="1" w:space="0" w:color="808080"/>
              <w:left w:val="single" w:sz="1" w:space="0" w:color="808080"/>
              <w:bottom w:val="single" w:sz="1" w:space="0" w:color="808080"/>
              <w:right w:val="single" w:sz="1" w:space="0" w:color="808080"/>
            </w:tcBorders>
          </w:tcPr>
          <w:p w14:paraId="0706CD46" w14:textId="77777777" w:rsidR="008A4121" w:rsidRDefault="008A4121" w:rsidP="00BE29C7">
            <w:r>
              <w:rPr>
                <w:sz w:val="22"/>
                <w:szCs w:val="22"/>
              </w:rPr>
              <w:t>Incompatible legacy systems</w:t>
            </w:r>
          </w:p>
        </w:tc>
        <w:tc>
          <w:tcPr>
            <w:tcW w:w="1200" w:type="dxa"/>
            <w:tcBorders>
              <w:top w:val="single" w:sz="1" w:space="0" w:color="808080"/>
              <w:left w:val="single" w:sz="1" w:space="0" w:color="808080"/>
              <w:bottom w:val="single" w:sz="1" w:space="0" w:color="808080"/>
              <w:right w:val="single" w:sz="1" w:space="0" w:color="808080"/>
            </w:tcBorders>
          </w:tcPr>
          <w:p w14:paraId="2AFDA064" w14:textId="77777777" w:rsidR="008A4121" w:rsidRDefault="008A4121" w:rsidP="00BE29C7">
            <w:pPr>
              <w:jc w:val="center"/>
            </w:pPr>
            <w:r>
              <w:rPr>
                <w:sz w:val="22"/>
                <w:szCs w:val="22"/>
              </w:rPr>
              <w:t>3.56</w:t>
            </w:r>
          </w:p>
        </w:tc>
        <w:tc>
          <w:tcPr>
            <w:tcW w:w="1200" w:type="dxa"/>
            <w:tcBorders>
              <w:top w:val="single" w:sz="1" w:space="0" w:color="808080"/>
              <w:left w:val="single" w:sz="1" w:space="0" w:color="808080"/>
              <w:bottom w:val="single" w:sz="1" w:space="0" w:color="808080"/>
              <w:right w:val="single" w:sz="1" w:space="0" w:color="808080"/>
            </w:tcBorders>
          </w:tcPr>
          <w:p w14:paraId="5EFEEB60" w14:textId="7C8B6511" w:rsidR="008A4121" w:rsidRDefault="008A4121" w:rsidP="00BE29C7">
            <w:pPr>
              <w:jc w:val="center"/>
            </w:pPr>
            <w:r>
              <w:rPr>
                <w:sz w:val="22"/>
                <w:szCs w:val="22"/>
              </w:rPr>
              <w:t>0.</w:t>
            </w:r>
            <w:r w:rsidR="006476D2">
              <w:rPr>
                <w:sz w:val="22"/>
                <w:szCs w:val="22"/>
              </w:rPr>
              <w:t>94</w:t>
            </w:r>
          </w:p>
        </w:tc>
        <w:tc>
          <w:tcPr>
            <w:tcW w:w="2460" w:type="dxa"/>
            <w:tcBorders>
              <w:top w:val="single" w:sz="1" w:space="0" w:color="808080"/>
              <w:left w:val="single" w:sz="1" w:space="0" w:color="808080"/>
              <w:bottom w:val="single" w:sz="1" w:space="0" w:color="808080"/>
              <w:right w:val="single" w:sz="1" w:space="0" w:color="808080"/>
            </w:tcBorders>
          </w:tcPr>
          <w:p w14:paraId="7498B3EA" w14:textId="0FF03DCF" w:rsidR="008A4121" w:rsidRDefault="00726697" w:rsidP="00BE29C7">
            <w:pPr>
              <w:jc w:val="center"/>
            </w:pPr>
            <w:r>
              <w:t>93.1</w:t>
            </w:r>
            <w:r w:rsidR="00D26E7E">
              <w:t>%</w:t>
            </w:r>
          </w:p>
        </w:tc>
      </w:tr>
      <w:tr w:rsidR="008A4121" w14:paraId="19241653" w14:textId="77777777" w:rsidTr="00BE29C7">
        <w:tc>
          <w:tcPr>
            <w:tcW w:w="4500" w:type="dxa"/>
            <w:tcBorders>
              <w:top w:val="single" w:sz="1" w:space="0" w:color="808080"/>
              <w:left w:val="single" w:sz="1" w:space="0" w:color="808080"/>
              <w:bottom w:val="single" w:sz="1" w:space="0" w:color="808080"/>
              <w:right w:val="single" w:sz="1" w:space="0" w:color="808080"/>
            </w:tcBorders>
          </w:tcPr>
          <w:p w14:paraId="6FFD8550" w14:textId="77777777" w:rsidR="008A4121" w:rsidRDefault="008A4121" w:rsidP="00BE29C7">
            <w:r>
              <w:rPr>
                <w:sz w:val="22"/>
                <w:szCs w:val="22"/>
              </w:rPr>
              <w:t>Lack of staff training/skills</w:t>
            </w:r>
          </w:p>
        </w:tc>
        <w:tc>
          <w:tcPr>
            <w:tcW w:w="1200" w:type="dxa"/>
            <w:tcBorders>
              <w:top w:val="single" w:sz="1" w:space="0" w:color="808080"/>
              <w:left w:val="single" w:sz="1" w:space="0" w:color="808080"/>
              <w:bottom w:val="single" w:sz="1" w:space="0" w:color="808080"/>
              <w:right w:val="single" w:sz="1" w:space="0" w:color="808080"/>
            </w:tcBorders>
          </w:tcPr>
          <w:p w14:paraId="6BF04F89" w14:textId="77777777" w:rsidR="008A4121" w:rsidRDefault="008A4121" w:rsidP="00BE29C7">
            <w:pPr>
              <w:jc w:val="center"/>
            </w:pPr>
            <w:r>
              <w:rPr>
                <w:sz w:val="22"/>
                <w:szCs w:val="22"/>
              </w:rPr>
              <w:t>3.55</w:t>
            </w:r>
          </w:p>
        </w:tc>
        <w:tc>
          <w:tcPr>
            <w:tcW w:w="1200" w:type="dxa"/>
            <w:tcBorders>
              <w:top w:val="single" w:sz="1" w:space="0" w:color="808080"/>
              <w:left w:val="single" w:sz="1" w:space="0" w:color="808080"/>
              <w:bottom w:val="single" w:sz="1" w:space="0" w:color="808080"/>
              <w:right w:val="single" w:sz="1" w:space="0" w:color="808080"/>
            </w:tcBorders>
          </w:tcPr>
          <w:p w14:paraId="7D28362C" w14:textId="30D3E498" w:rsidR="008A4121" w:rsidRDefault="006476D2" w:rsidP="00BE29C7">
            <w:pPr>
              <w:jc w:val="center"/>
            </w:pPr>
            <w:r>
              <w:rPr>
                <w:sz w:val="22"/>
                <w:szCs w:val="22"/>
              </w:rPr>
              <w:t>1</w:t>
            </w:r>
            <w:r w:rsidR="008A4121">
              <w:rPr>
                <w:sz w:val="22"/>
                <w:szCs w:val="22"/>
              </w:rPr>
              <w:t>.</w:t>
            </w:r>
            <w:r>
              <w:rPr>
                <w:sz w:val="22"/>
                <w:szCs w:val="22"/>
              </w:rPr>
              <w:t>29</w:t>
            </w:r>
          </w:p>
        </w:tc>
        <w:tc>
          <w:tcPr>
            <w:tcW w:w="2460" w:type="dxa"/>
            <w:tcBorders>
              <w:top w:val="single" w:sz="1" w:space="0" w:color="808080"/>
              <w:left w:val="single" w:sz="1" w:space="0" w:color="808080"/>
              <w:bottom w:val="single" w:sz="1" w:space="0" w:color="808080"/>
              <w:right w:val="single" w:sz="1" w:space="0" w:color="808080"/>
            </w:tcBorders>
          </w:tcPr>
          <w:p w14:paraId="0AB33C7C" w14:textId="0E7FD5D7" w:rsidR="008A4121" w:rsidRDefault="006476D2" w:rsidP="00BE29C7">
            <w:pPr>
              <w:jc w:val="center"/>
            </w:pPr>
            <w:r>
              <w:rPr>
                <w:sz w:val="22"/>
                <w:szCs w:val="22"/>
              </w:rPr>
              <w:t>8</w:t>
            </w:r>
            <w:r w:rsidR="00726697">
              <w:rPr>
                <w:sz w:val="22"/>
                <w:szCs w:val="22"/>
              </w:rPr>
              <w:t>2.8</w:t>
            </w:r>
            <w:r w:rsidR="00D26E7E">
              <w:rPr>
                <w:sz w:val="22"/>
                <w:szCs w:val="22"/>
              </w:rPr>
              <w:t>%</w:t>
            </w:r>
          </w:p>
        </w:tc>
      </w:tr>
      <w:tr w:rsidR="008A4121" w14:paraId="657FA2D0" w14:textId="77777777" w:rsidTr="00BE29C7">
        <w:tc>
          <w:tcPr>
            <w:tcW w:w="4500" w:type="dxa"/>
            <w:tcBorders>
              <w:top w:val="single" w:sz="1" w:space="0" w:color="808080"/>
              <w:left w:val="single" w:sz="1" w:space="0" w:color="808080"/>
              <w:bottom w:val="single" w:sz="1" w:space="0" w:color="808080"/>
              <w:right w:val="single" w:sz="1" w:space="0" w:color="808080"/>
            </w:tcBorders>
          </w:tcPr>
          <w:p w14:paraId="18792740" w14:textId="77777777" w:rsidR="008A4121" w:rsidRDefault="008A4121" w:rsidP="00BE29C7">
            <w:r>
              <w:rPr>
                <w:sz w:val="22"/>
                <w:szCs w:val="22"/>
              </w:rPr>
              <w:t>Data ownership/privacy concerns</w:t>
            </w:r>
          </w:p>
        </w:tc>
        <w:tc>
          <w:tcPr>
            <w:tcW w:w="1200" w:type="dxa"/>
            <w:tcBorders>
              <w:top w:val="single" w:sz="1" w:space="0" w:color="808080"/>
              <w:left w:val="single" w:sz="1" w:space="0" w:color="808080"/>
              <w:bottom w:val="single" w:sz="1" w:space="0" w:color="808080"/>
              <w:right w:val="single" w:sz="1" w:space="0" w:color="808080"/>
            </w:tcBorders>
          </w:tcPr>
          <w:p w14:paraId="7AE38575" w14:textId="193AF210" w:rsidR="008A4121" w:rsidRDefault="008A4121" w:rsidP="00BE29C7">
            <w:pPr>
              <w:jc w:val="center"/>
            </w:pPr>
            <w:r>
              <w:rPr>
                <w:sz w:val="22"/>
                <w:szCs w:val="22"/>
              </w:rPr>
              <w:t>3.</w:t>
            </w:r>
            <w:r w:rsidR="00D26E7E">
              <w:rPr>
                <w:sz w:val="22"/>
                <w:szCs w:val="22"/>
              </w:rPr>
              <w:t>54</w:t>
            </w:r>
          </w:p>
        </w:tc>
        <w:tc>
          <w:tcPr>
            <w:tcW w:w="1200" w:type="dxa"/>
            <w:tcBorders>
              <w:top w:val="single" w:sz="1" w:space="0" w:color="808080"/>
              <w:left w:val="single" w:sz="1" w:space="0" w:color="808080"/>
              <w:bottom w:val="single" w:sz="1" w:space="0" w:color="808080"/>
              <w:right w:val="single" w:sz="1" w:space="0" w:color="808080"/>
            </w:tcBorders>
          </w:tcPr>
          <w:p w14:paraId="0583D716" w14:textId="47DC10DC" w:rsidR="008A4121" w:rsidRDefault="008A4121" w:rsidP="00BE29C7">
            <w:pPr>
              <w:jc w:val="center"/>
            </w:pPr>
            <w:r>
              <w:rPr>
                <w:sz w:val="22"/>
                <w:szCs w:val="22"/>
              </w:rPr>
              <w:t>0.</w:t>
            </w:r>
            <w:r w:rsidR="006476D2">
              <w:rPr>
                <w:sz w:val="22"/>
                <w:szCs w:val="22"/>
              </w:rPr>
              <w:t>74</w:t>
            </w:r>
          </w:p>
        </w:tc>
        <w:tc>
          <w:tcPr>
            <w:tcW w:w="2460" w:type="dxa"/>
            <w:tcBorders>
              <w:top w:val="single" w:sz="1" w:space="0" w:color="808080"/>
              <w:left w:val="single" w:sz="1" w:space="0" w:color="808080"/>
              <w:bottom w:val="single" w:sz="1" w:space="0" w:color="808080"/>
              <w:right w:val="single" w:sz="1" w:space="0" w:color="808080"/>
            </w:tcBorders>
          </w:tcPr>
          <w:p w14:paraId="2DDF2AF4" w14:textId="593B4FF4" w:rsidR="008A4121" w:rsidRDefault="00726697" w:rsidP="00BE29C7">
            <w:pPr>
              <w:jc w:val="center"/>
            </w:pPr>
            <w:r>
              <w:rPr>
                <w:sz w:val="22"/>
                <w:szCs w:val="22"/>
              </w:rPr>
              <w:t>97</w:t>
            </w:r>
            <w:r w:rsidR="008A4121">
              <w:rPr>
                <w:sz w:val="22"/>
                <w:szCs w:val="22"/>
              </w:rPr>
              <w:t>.7</w:t>
            </w:r>
            <w:r w:rsidR="00D26E7E">
              <w:rPr>
                <w:sz w:val="22"/>
                <w:szCs w:val="22"/>
              </w:rPr>
              <w:t>%</w:t>
            </w:r>
          </w:p>
        </w:tc>
      </w:tr>
      <w:tr w:rsidR="008A4121" w14:paraId="124B3FF3" w14:textId="77777777" w:rsidTr="00BE29C7">
        <w:tc>
          <w:tcPr>
            <w:tcW w:w="4500" w:type="dxa"/>
            <w:tcBorders>
              <w:top w:val="single" w:sz="1" w:space="0" w:color="808080"/>
              <w:left w:val="single" w:sz="1" w:space="0" w:color="808080"/>
              <w:bottom w:val="single" w:sz="1" w:space="0" w:color="808080"/>
              <w:right w:val="single" w:sz="1" w:space="0" w:color="808080"/>
            </w:tcBorders>
          </w:tcPr>
          <w:p w14:paraId="6C95ED09" w14:textId="77777777" w:rsidR="008A4121" w:rsidRDefault="008A4121" w:rsidP="00BE29C7">
            <w:r>
              <w:rPr>
                <w:sz w:val="22"/>
                <w:szCs w:val="22"/>
              </w:rPr>
              <w:t>Lack of standardised APIs</w:t>
            </w:r>
          </w:p>
        </w:tc>
        <w:tc>
          <w:tcPr>
            <w:tcW w:w="1200" w:type="dxa"/>
            <w:tcBorders>
              <w:top w:val="single" w:sz="1" w:space="0" w:color="808080"/>
              <w:left w:val="single" w:sz="1" w:space="0" w:color="808080"/>
              <w:bottom w:val="single" w:sz="1" w:space="0" w:color="808080"/>
              <w:right w:val="single" w:sz="1" w:space="0" w:color="808080"/>
            </w:tcBorders>
          </w:tcPr>
          <w:p w14:paraId="4EB36C8D" w14:textId="193D03D4" w:rsidR="008A4121" w:rsidRDefault="008A4121" w:rsidP="00BE29C7">
            <w:pPr>
              <w:jc w:val="center"/>
            </w:pPr>
            <w:r>
              <w:rPr>
                <w:sz w:val="22"/>
                <w:szCs w:val="22"/>
              </w:rPr>
              <w:t>3.3</w:t>
            </w:r>
            <w:r w:rsidR="00D26E7E">
              <w:rPr>
                <w:sz w:val="22"/>
                <w:szCs w:val="22"/>
              </w:rPr>
              <w:t>4</w:t>
            </w:r>
          </w:p>
        </w:tc>
        <w:tc>
          <w:tcPr>
            <w:tcW w:w="1200" w:type="dxa"/>
            <w:tcBorders>
              <w:top w:val="single" w:sz="1" w:space="0" w:color="808080"/>
              <w:left w:val="single" w:sz="1" w:space="0" w:color="808080"/>
              <w:bottom w:val="single" w:sz="1" w:space="0" w:color="808080"/>
              <w:right w:val="single" w:sz="1" w:space="0" w:color="808080"/>
            </w:tcBorders>
          </w:tcPr>
          <w:p w14:paraId="545847D8" w14:textId="75D6A4F1" w:rsidR="008A4121" w:rsidRDefault="008A4121" w:rsidP="00BE29C7">
            <w:pPr>
              <w:jc w:val="center"/>
            </w:pPr>
            <w:r>
              <w:rPr>
                <w:sz w:val="22"/>
                <w:szCs w:val="22"/>
              </w:rPr>
              <w:t>0.</w:t>
            </w:r>
            <w:r w:rsidR="006476D2">
              <w:rPr>
                <w:sz w:val="22"/>
                <w:szCs w:val="22"/>
              </w:rPr>
              <w:t>61</w:t>
            </w:r>
          </w:p>
        </w:tc>
        <w:tc>
          <w:tcPr>
            <w:tcW w:w="2460" w:type="dxa"/>
            <w:tcBorders>
              <w:top w:val="single" w:sz="1" w:space="0" w:color="808080"/>
              <w:left w:val="single" w:sz="1" w:space="0" w:color="808080"/>
              <w:bottom w:val="single" w:sz="1" w:space="0" w:color="808080"/>
              <w:right w:val="single" w:sz="1" w:space="0" w:color="808080"/>
            </w:tcBorders>
          </w:tcPr>
          <w:p w14:paraId="59C91584" w14:textId="53771BFB" w:rsidR="008A4121" w:rsidRDefault="00726697" w:rsidP="00BE29C7">
            <w:pPr>
              <w:jc w:val="center"/>
            </w:pPr>
            <w:r>
              <w:t>98.9</w:t>
            </w:r>
            <w:r w:rsidR="00D26E7E">
              <w:t>%</w:t>
            </w:r>
          </w:p>
        </w:tc>
      </w:tr>
    </w:tbl>
    <w:p w14:paraId="40FB31EE" w14:textId="77777777" w:rsidR="009C7098" w:rsidRDefault="009C7098" w:rsidP="008A4121">
      <w:pPr>
        <w:spacing w:after="200"/>
      </w:pPr>
    </w:p>
    <w:p w14:paraId="3E0CB5F7" w14:textId="77777777" w:rsidR="009C7098" w:rsidRDefault="009C7098" w:rsidP="008A4121">
      <w:pPr>
        <w:spacing w:after="200"/>
      </w:pPr>
    </w:p>
    <w:p w14:paraId="313D256B" w14:textId="77777777" w:rsidR="008A4121" w:rsidRDefault="008A4121" w:rsidP="008A4121">
      <w:pPr>
        <w:pStyle w:val="Heading3"/>
      </w:pPr>
      <w:bookmarkStart w:id="134" w:name="_Toc220152216"/>
      <w:r>
        <w:t>4.6.2 Qualitative Findings: Interoperability and Legacy Challenges</w:t>
      </w:r>
      <w:bookmarkEnd w:id="134"/>
    </w:p>
    <w:p w14:paraId="11D139F0" w14:textId="77777777" w:rsidR="008A4121" w:rsidRDefault="008A4121" w:rsidP="008A4121">
      <w:pPr>
        <w:spacing w:after="200" w:line="360" w:lineRule="auto"/>
      </w:pPr>
      <w:r>
        <w:t>Interview participants identified interoperability as the most persistent technical barrier, with legacy infrastructure and vendor-specific platforms creating significant integration challenges. The qualitative data provides explanatory depth for the survey findings on system incompatibility:</w:t>
      </w:r>
    </w:p>
    <w:p w14:paraId="22A86B47" w14:textId="77777777" w:rsidR="008A4121" w:rsidRDefault="008A4121" w:rsidP="008A4121">
      <w:pPr>
        <w:spacing w:after="120" w:line="360" w:lineRule="auto"/>
        <w:ind w:left="720"/>
      </w:pPr>
      <w:r>
        <w:rPr>
          <w:i/>
          <w:iCs/>
        </w:rPr>
        <w:t>"Each campus has different BMS vendors... we often end up with siloed data that requires manual consolidation." (FM1)</w:t>
      </w:r>
    </w:p>
    <w:p w14:paraId="32285A63" w14:textId="77777777" w:rsidR="008A4121" w:rsidRDefault="008A4121" w:rsidP="008A4121">
      <w:pPr>
        <w:spacing w:after="120" w:line="360" w:lineRule="auto"/>
        <w:ind w:left="720"/>
      </w:pPr>
      <w:r>
        <w:rPr>
          <w:i/>
          <w:iCs/>
        </w:rPr>
        <w:t>"Getting a 1990s outstation to feed data into a modern dashboard often requires middleware." (ENG1)</w:t>
      </w:r>
    </w:p>
    <w:p w14:paraId="51204867" w14:textId="77777777" w:rsidR="008A4121" w:rsidRDefault="008A4121" w:rsidP="008A4121">
      <w:pPr>
        <w:spacing w:after="200" w:line="360" w:lineRule="auto"/>
        <w:ind w:left="720"/>
      </w:pPr>
      <w:r>
        <w:rPr>
          <w:i/>
          <w:iCs/>
        </w:rPr>
        <w:t>"The worst cases require complete controls replacement to achieve interoperability." (CONS1)</w:t>
      </w:r>
    </w:p>
    <w:p w14:paraId="5E867959" w14:textId="6287F7F5" w:rsidR="008A4121" w:rsidRDefault="008A4121" w:rsidP="008A4121">
      <w:pPr>
        <w:spacing w:after="200" w:line="360" w:lineRule="auto"/>
      </w:pPr>
      <w:r>
        <w:t xml:space="preserve">These findings confirm Volk, Stengel and Schultmann's (2014) identification of heterogeneous system landscapes as a primary barrier in existing </w:t>
      </w:r>
      <w:r w:rsidR="000F6BAF">
        <w:t>buildings and</w:t>
      </w:r>
      <w:r>
        <w:t xml:space="preserve"> align with the systematic review finding that only three of ten studies provided technical API integration details despite APIs constituting essential connectivity infrastructure (Cespedes-Cubides and Jradi, 2024).</w:t>
      </w:r>
    </w:p>
    <w:p w14:paraId="67EA34AE" w14:textId="77777777" w:rsidR="008A4121" w:rsidRDefault="008A4121" w:rsidP="008A4121">
      <w:pPr>
        <w:pStyle w:val="Heading2"/>
      </w:pPr>
      <w:bookmarkStart w:id="135" w:name="_Toc220152217"/>
      <w:r>
        <w:t>4.7 Organisational Readiness</w:t>
      </w:r>
      <w:bookmarkEnd w:id="135"/>
    </w:p>
    <w:p w14:paraId="1EF3DFE3" w14:textId="25239855" w:rsidR="008A4121" w:rsidRDefault="008A4121" w:rsidP="008A4121">
      <w:pPr>
        <w:spacing w:after="200" w:line="360" w:lineRule="auto"/>
      </w:pPr>
      <w:r>
        <w:t>Self-reported organisational readiness to adopt AI and Digital Twin technologies revealed moderate confidence (M=3.08, SD=1.07) on the five-point scale. This construct addresses Venkatesh et al.'s (2003) facilitating conditions</w:t>
      </w:r>
      <w:r w:rsidR="000F6BAF">
        <w:t xml:space="preserve">, </w:t>
      </w:r>
      <w:r>
        <w:t>the organisational infrastructure, resources, and support enabling technology adoption.</w:t>
      </w:r>
    </w:p>
    <w:p w14:paraId="49CC8BD2" w14:textId="77777777" w:rsidR="001C693C" w:rsidRDefault="000413A7" w:rsidP="001C693C">
      <w:pPr>
        <w:keepNext/>
        <w:jc w:val="center"/>
      </w:pPr>
      <w:r>
        <w:rPr>
          <w:noProof/>
        </w:rPr>
        <w:lastRenderedPageBreak/>
        <w:drawing>
          <wp:inline distT="0" distB="0" distL="0" distR="0" wp14:anchorId="590ED174" wp14:editId="10B81B7A">
            <wp:extent cx="5730714" cy="3562185"/>
            <wp:effectExtent l="0" t="0" r="3810" b="635"/>
            <wp:docPr id="486356404" name="Picture 9" descr="A graph of a number of blue and grey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356404" name="Picture 9" descr="A graph of a number of blue and grey bars&#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47507" cy="3572623"/>
                    </a:xfrm>
                    <a:prstGeom prst="rect">
                      <a:avLst/>
                    </a:prstGeom>
                  </pic:spPr>
                </pic:pic>
              </a:graphicData>
            </a:graphic>
          </wp:inline>
        </w:drawing>
      </w:r>
    </w:p>
    <w:p w14:paraId="31F8ED30" w14:textId="6B950F15" w:rsidR="00AE4BD9" w:rsidRDefault="00AE4BD9" w:rsidP="00AE4BD9">
      <w:pPr>
        <w:pStyle w:val="Caption"/>
        <w:jc w:val="center"/>
        <w:rPr>
          <w:b/>
          <w:bCs/>
          <w:color w:val="auto"/>
          <w:sz w:val="20"/>
          <w:szCs w:val="20"/>
        </w:rPr>
      </w:pPr>
      <w:bookmarkStart w:id="136" w:name="_Toc220152015"/>
      <w:bookmarkStart w:id="137" w:name="_Toc223075557"/>
      <w:bookmarkStart w:id="138" w:name="_Toc223079132"/>
      <w:r w:rsidRPr="009673C1">
        <w:rPr>
          <w:b/>
          <w:bCs/>
          <w:color w:val="auto"/>
          <w:sz w:val="20"/>
          <w:szCs w:val="20"/>
        </w:rPr>
        <w:t xml:space="preserve">Figure </w:t>
      </w:r>
      <w:r>
        <w:rPr>
          <w:b/>
          <w:bCs/>
          <w:color w:val="auto"/>
          <w:sz w:val="20"/>
          <w:szCs w:val="20"/>
        </w:rPr>
        <w:t>4.</w:t>
      </w:r>
      <w:r w:rsidR="0010076A">
        <w:rPr>
          <w:b/>
          <w:bCs/>
          <w:color w:val="auto"/>
          <w:sz w:val="20"/>
          <w:szCs w:val="20"/>
        </w:rPr>
        <w:t>8</w:t>
      </w:r>
      <w:r w:rsidRPr="009673C1">
        <w:rPr>
          <w:b/>
          <w:bCs/>
          <w:color w:val="auto"/>
          <w:sz w:val="20"/>
          <w:szCs w:val="20"/>
        </w:rPr>
        <w:t>: Self-Reported Organisational Readiness (n=87)</w:t>
      </w:r>
      <w:bookmarkEnd w:id="136"/>
      <w:bookmarkEnd w:id="137"/>
      <w:bookmarkEnd w:id="138"/>
    </w:p>
    <w:p w14:paraId="0EEA7340" w14:textId="77777777" w:rsidR="009C7098" w:rsidRDefault="009C7098" w:rsidP="009673C1">
      <w:pPr>
        <w:keepNext/>
        <w:jc w:val="center"/>
      </w:pPr>
    </w:p>
    <w:p w14:paraId="047F9056" w14:textId="77777777" w:rsidR="00DF23BB" w:rsidRDefault="00DF23BB" w:rsidP="00F34AAE">
      <w:pPr>
        <w:pStyle w:val="Caption"/>
        <w:keepNext/>
        <w:rPr>
          <w:b/>
          <w:bCs/>
          <w:color w:val="auto"/>
          <w:sz w:val="20"/>
          <w:szCs w:val="20"/>
        </w:rPr>
      </w:pPr>
    </w:p>
    <w:p w14:paraId="2C0C070D" w14:textId="4468D350" w:rsidR="00F34AAE" w:rsidRPr="00F34AAE" w:rsidRDefault="00F34AAE" w:rsidP="00F34AAE">
      <w:pPr>
        <w:pStyle w:val="Caption"/>
        <w:keepNext/>
        <w:rPr>
          <w:b/>
          <w:bCs/>
          <w:color w:val="auto"/>
          <w:sz w:val="20"/>
          <w:szCs w:val="20"/>
        </w:rPr>
      </w:pPr>
      <w:bookmarkStart w:id="139" w:name="_Toc220151994"/>
      <w:bookmarkStart w:id="140" w:name="_Toc223077237"/>
      <w:bookmarkStart w:id="141" w:name="_Toc223079133"/>
      <w:r w:rsidRPr="00F34AAE">
        <w:rPr>
          <w:b/>
          <w:bCs/>
          <w:color w:val="auto"/>
          <w:sz w:val="20"/>
          <w:szCs w:val="20"/>
        </w:rPr>
        <w:t xml:space="preserve">Table </w:t>
      </w:r>
      <w:r w:rsidR="004D4AE1">
        <w:rPr>
          <w:b/>
          <w:bCs/>
          <w:color w:val="auto"/>
          <w:sz w:val="20"/>
          <w:szCs w:val="20"/>
        </w:rPr>
        <w:t>4</w:t>
      </w:r>
      <w:r w:rsidR="00CD0E8E">
        <w:rPr>
          <w:b/>
          <w:bCs/>
          <w:color w:val="auto"/>
          <w:sz w:val="20"/>
          <w:szCs w:val="20"/>
        </w:rPr>
        <w:t>.</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7</w:t>
      </w:r>
      <w:r w:rsidR="00E10041">
        <w:rPr>
          <w:b/>
          <w:bCs/>
          <w:color w:val="auto"/>
          <w:sz w:val="20"/>
          <w:szCs w:val="20"/>
        </w:rPr>
        <w:fldChar w:fldCharType="end"/>
      </w:r>
      <w:r w:rsidRPr="00F34AAE">
        <w:rPr>
          <w:b/>
          <w:bCs/>
          <w:color w:val="auto"/>
          <w:sz w:val="20"/>
          <w:szCs w:val="20"/>
        </w:rPr>
        <w:t>: Organisational Readiness by Current Adoption Status</w:t>
      </w:r>
      <w:bookmarkEnd w:id="139"/>
      <w:bookmarkEnd w:id="140"/>
      <w:bookmarkEnd w:id="141"/>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861"/>
        <w:gridCol w:w="1431"/>
        <w:gridCol w:w="1951"/>
        <w:gridCol w:w="1781"/>
      </w:tblGrid>
      <w:tr w:rsidR="008A4121" w14:paraId="3625D184" w14:textId="77777777" w:rsidTr="00BE29C7">
        <w:trPr>
          <w:tblHeader/>
        </w:trPr>
        <w:tc>
          <w:tcPr>
            <w:tcW w:w="4000" w:type="dxa"/>
            <w:tcBorders>
              <w:top w:val="single" w:sz="1" w:space="0" w:color="808080"/>
              <w:left w:val="single" w:sz="1" w:space="0" w:color="808080"/>
              <w:bottom w:val="single" w:sz="1" w:space="0" w:color="808080"/>
              <w:right w:val="single" w:sz="1" w:space="0" w:color="808080"/>
            </w:tcBorders>
            <w:shd w:val="clear" w:color="auto" w:fill="D9E2F3"/>
          </w:tcPr>
          <w:p w14:paraId="7F04C85E" w14:textId="77777777" w:rsidR="008A4121" w:rsidRDefault="008A4121" w:rsidP="00BE29C7">
            <w:pPr>
              <w:jc w:val="center"/>
            </w:pPr>
            <w:r>
              <w:rPr>
                <w:b/>
                <w:bCs/>
                <w:sz w:val="22"/>
                <w:szCs w:val="22"/>
              </w:rPr>
              <w:t>Adoption Status</w:t>
            </w:r>
          </w:p>
        </w:tc>
        <w:tc>
          <w:tcPr>
            <w:tcW w:w="1500" w:type="dxa"/>
            <w:tcBorders>
              <w:top w:val="single" w:sz="1" w:space="0" w:color="808080"/>
              <w:left w:val="single" w:sz="1" w:space="0" w:color="808080"/>
              <w:bottom w:val="single" w:sz="1" w:space="0" w:color="808080"/>
              <w:right w:val="single" w:sz="1" w:space="0" w:color="808080"/>
            </w:tcBorders>
            <w:shd w:val="clear" w:color="auto" w:fill="D9E2F3"/>
          </w:tcPr>
          <w:p w14:paraId="7587C983" w14:textId="77777777" w:rsidR="008A4121" w:rsidRDefault="008A4121" w:rsidP="00BE29C7">
            <w:pPr>
              <w:jc w:val="center"/>
            </w:pPr>
            <w:r>
              <w:rPr>
                <w:b/>
                <w:bCs/>
                <w:sz w:val="22"/>
                <w:szCs w:val="22"/>
              </w:rPr>
              <w:t>n</w:t>
            </w:r>
          </w:p>
        </w:tc>
        <w:tc>
          <w:tcPr>
            <w:tcW w:w="2000" w:type="dxa"/>
            <w:tcBorders>
              <w:top w:val="single" w:sz="1" w:space="0" w:color="808080"/>
              <w:left w:val="single" w:sz="1" w:space="0" w:color="808080"/>
              <w:bottom w:val="single" w:sz="1" w:space="0" w:color="808080"/>
              <w:right w:val="single" w:sz="1" w:space="0" w:color="808080"/>
            </w:tcBorders>
            <w:shd w:val="clear" w:color="auto" w:fill="D9E2F3"/>
          </w:tcPr>
          <w:p w14:paraId="754AA118" w14:textId="77777777" w:rsidR="008A4121" w:rsidRDefault="008A4121" w:rsidP="00BE29C7">
            <w:pPr>
              <w:jc w:val="center"/>
            </w:pPr>
            <w:r>
              <w:rPr>
                <w:b/>
                <w:bCs/>
                <w:sz w:val="22"/>
                <w:szCs w:val="22"/>
              </w:rPr>
              <w:t>Mean Readiness</w:t>
            </w:r>
          </w:p>
        </w:tc>
        <w:tc>
          <w:tcPr>
            <w:tcW w:w="1860" w:type="dxa"/>
            <w:tcBorders>
              <w:top w:val="single" w:sz="1" w:space="0" w:color="808080"/>
              <w:left w:val="single" w:sz="1" w:space="0" w:color="808080"/>
              <w:bottom w:val="single" w:sz="1" w:space="0" w:color="808080"/>
              <w:right w:val="single" w:sz="1" w:space="0" w:color="808080"/>
            </w:tcBorders>
            <w:shd w:val="clear" w:color="auto" w:fill="D9E2F3"/>
          </w:tcPr>
          <w:p w14:paraId="4B131552" w14:textId="77777777" w:rsidR="008A4121" w:rsidRDefault="008A4121" w:rsidP="00BE29C7">
            <w:pPr>
              <w:jc w:val="center"/>
            </w:pPr>
            <w:r>
              <w:rPr>
                <w:b/>
                <w:bCs/>
                <w:sz w:val="22"/>
                <w:szCs w:val="22"/>
              </w:rPr>
              <w:t>SD</w:t>
            </w:r>
          </w:p>
        </w:tc>
      </w:tr>
      <w:tr w:rsidR="008A4121" w14:paraId="65DC2DF6" w14:textId="77777777" w:rsidTr="00BE29C7">
        <w:tc>
          <w:tcPr>
            <w:tcW w:w="4000" w:type="dxa"/>
            <w:tcBorders>
              <w:top w:val="single" w:sz="1" w:space="0" w:color="808080"/>
              <w:left w:val="single" w:sz="1" w:space="0" w:color="808080"/>
              <w:bottom w:val="single" w:sz="1" w:space="0" w:color="808080"/>
              <w:right w:val="single" w:sz="1" w:space="0" w:color="808080"/>
            </w:tcBorders>
          </w:tcPr>
          <w:p w14:paraId="63E38FEA" w14:textId="77777777" w:rsidR="008A4121" w:rsidRDefault="008A4121" w:rsidP="00BE29C7">
            <w:r>
              <w:rPr>
                <w:sz w:val="22"/>
                <w:szCs w:val="22"/>
              </w:rPr>
              <w:t>Yes – Full integration</w:t>
            </w:r>
          </w:p>
        </w:tc>
        <w:tc>
          <w:tcPr>
            <w:tcW w:w="1500" w:type="dxa"/>
            <w:tcBorders>
              <w:top w:val="single" w:sz="1" w:space="0" w:color="808080"/>
              <w:left w:val="single" w:sz="1" w:space="0" w:color="808080"/>
              <w:bottom w:val="single" w:sz="1" w:space="0" w:color="808080"/>
              <w:right w:val="single" w:sz="1" w:space="0" w:color="808080"/>
            </w:tcBorders>
          </w:tcPr>
          <w:p w14:paraId="2C14F17B" w14:textId="77777777" w:rsidR="008A4121" w:rsidRDefault="008A4121" w:rsidP="00BE29C7">
            <w:pPr>
              <w:jc w:val="center"/>
            </w:pPr>
            <w:r>
              <w:rPr>
                <w:sz w:val="22"/>
                <w:szCs w:val="22"/>
              </w:rPr>
              <w:t>6</w:t>
            </w:r>
          </w:p>
        </w:tc>
        <w:tc>
          <w:tcPr>
            <w:tcW w:w="2000" w:type="dxa"/>
            <w:tcBorders>
              <w:top w:val="single" w:sz="1" w:space="0" w:color="808080"/>
              <w:left w:val="single" w:sz="1" w:space="0" w:color="808080"/>
              <w:bottom w:val="single" w:sz="1" w:space="0" w:color="808080"/>
              <w:right w:val="single" w:sz="1" w:space="0" w:color="808080"/>
            </w:tcBorders>
          </w:tcPr>
          <w:p w14:paraId="3A80BD9F" w14:textId="77777777" w:rsidR="008A4121" w:rsidRDefault="008A4121" w:rsidP="00BE29C7">
            <w:pPr>
              <w:jc w:val="center"/>
            </w:pPr>
            <w:r>
              <w:rPr>
                <w:sz w:val="22"/>
                <w:szCs w:val="22"/>
              </w:rPr>
              <w:t>3.67</w:t>
            </w:r>
          </w:p>
        </w:tc>
        <w:tc>
          <w:tcPr>
            <w:tcW w:w="1860" w:type="dxa"/>
            <w:tcBorders>
              <w:top w:val="single" w:sz="1" w:space="0" w:color="808080"/>
              <w:left w:val="single" w:sz="1" w:space="0" w:color="808080"/>
              <w:bottom w:val="single" w:sz="1" w:space="0" w:color="808080"/>
              <w:right w:val="single" w:sz="1" w:space="0" w:color="808080"/>
            </w:tcBorders>
          </w:tcPr>
          <w:p w14:paraId="77F7509A" w14:textId="77777777" w:rsidR="008A4121" w:rsidRDefault="008A4121" w:rsidP="00BE29C7">
            <w:pPr>
              <w:jc w:val="center"/>
            </w:pPr>
            <w:r>
              <w:rPr>
                <w:sz w:val="22"/>
                <w:szCs w:val="22"/>
              </w:rPr>
              <w:t>1.21</w:t>
            </w:r>
          </w:p>
        </w:tc>
      </w:tr>
      <w:tr w:rsidR="008A4121" w14:paraId="26221F9D" w14:textId="77777777" w:rsidTr="00BE29C7">
        <w:tc>
          <w:tcPr>
            <w:tcW w:w="4000" w:type="dxa"/>
            <w:tcBorders>
              <w:top w:val="single" w:sz="1" w:space="0" w:color="808080"/>
              <w:left w:val="single" w:sz="1" w:space="0" w:color="808080"/>
              <w:bottom w:val="single" w:sz="1" w:space="0" w:color="808080"/>
              <w:right w:val="single" w:sz="1" w:space="0" w:color="808080"/>
            </w:tcBorders>
          </w:tcPr>
          <w:p w14:paraId="4ADC26AF" w14:textId="77777777" w:rsidR="008A4121" w:rsidRDefault="008A4121" w:rsidP="00BE29C7">
            <w:r>
              <w:rPr>
                <w:sz w:val="22"/>
                <w:szCs w:val="22"/>
              </w:rPr>
              <w:t>No implementation</w:t>
            </w:r>
          </w:p>
        </w:tc>
        <w:tc>
          <w:tcPr>
            <w:tcW w:w="1500" w:type="dxa"/>
            <w:tcBorders>
              <w:top w:val="single" w:sz="1" w:space="0" w:color="808080"/>
              <w:left w:val="single" w:sz="1" w:space="0" w:color="808080"/>
              <w:bottom w:val="single" w:sz="1" w:space="0" w:color="808080"/>
              <w:right w:val="single" w:sz="1" w:space="0" w:color="808080"/>
            </w:tcBorders>
          </w:tcPr>
          <w:p w14:paraId="7AC4EC20" w14:textId="77777777" w:rsidR="008A4121" w:rsidRDefault="008A4121" w:rsidP="00BE29C7">
            <w:pPr>
              <w:jc w:val="center"/>
            </w:pPr>
            <w:r>
              <w:rPr>
                <w:sz w:val="22"/>
                <w:szCs w:val="22"/>
              </w:rPr>
              <w:t>22</w:t>
            </w:r>
          </w:p>
        </w:tc>
        <w:tc>
          <w:tcPr>
            <w:tcW w:w="2000" w:type="dxa"/>
            <w:tcBorders>
              <w:top w:val="single" w:sz="1" w:space="0" w:color="808080"/>
              <w:left w:val="single" w:sz="1" w:space="0" w:color="808080"/>
              <w:bottom w:val="single" w:sz="1" w:space="0" w:color="808080"/>
              <w:right w:val="single" w:sz="1" w:space="0" w:color="808080"/>
            </w:tcBorders>
          </w:tcPr>
          <w:p w14:paraId="6FA37EAF" w14:textId="77777777" w:rsidR="008A4121" w:rsidRDefault="008A4121" w:rsidP="00BE29C7">
            <w:pPr>
              <w:jc w:val="center"/>
            </w:pPr>
            <w:r>
              <w:rPr>
                <w:sz w:val="22"/>
                <w:szCs w:val="22"/>
              </w:rPr>
              <w:t>3.36</w:t>
            </w:r>
          </w:p>
        </w:tc>
        <w:tc>
          <w:tcPr>
            <w:tcW w:w="1860" w:type="dxa"/>
            <w:tcBorders>
              <w:top w:val="single" w:sz="1" w:space="0" w:color="808080"/>
              <w:left w:val="single" w:sz="1" w:space="0" w:color="808080"/>
              <w:bottom w:val="single" w:sz="1" w:space="0" w:color="808080"/>
              <w:right w:val="single" w:sz="1" w:space="0" w:color="808080"/>
            </w:tcBorders>
          </w:tcPr>
          <w:p w14:paraId="6E3FF18A" w14:textId="77777777" w:rsidR="008A4121" w:rsidRDefault="008A4121" w:rsidP="00BE29C7">
            <w:pPr>
              <w:jc w:val="center"/>
            </w:pPr>
            <w:r>
              <w:rPr>
                <w:sz w:val="22"/>
                <w:szCs w:val="22"/>
              </w:rPr>
              <w:t>1.18</w:t>
            </w:r>
          </w:p>
        </w:tc>
      </w:tr>
      <w:tr w:rsidR="008A4121" w14:paraId="5BE82FC2" w14:textId="77777777" w:rsidTr="00BE29C7">
        <w:tc>
          <w:tcPr>
            <w:tcW w:w="4000" w:type="dxa"/>
            <w:tcBorders>
              <w:top w:val="single" w:sz="1" w:space="0" w:color="808080"/>
              <w:left w:val="single" w:sz="1" w:space="0" w:color="808080"/>
              <w:bottom w:val="single" w:sz="1" w:space="0" w:color="808080"/>
              <w:right w:val="single" w:sz="1" w:space="0" w:color="808080"/>
            </w:tcBorders>
          </w:tcPr>
          <w:p w14:paraId="062393D8" w14:textId="77777777" w:rsidR="008A4121" w:rsidRDefault="008A4121" w:rsidP="00BE29C7">
            <w:r>
              <w:rPr>
                <w:sz w:val="22"/>
                <w:szCs w:val="22"/>
              </w:rPr>
              <w:t>Partially integrated</w:t>
            </w:r>
          </w:p>
        </w:tc>
        <w:tc>
          <w:tcPr>
            <w:tcW w:w="1500" w:type="dxa"/>
            <w:tcBorders>
              <w:top w:val="single" w:sz="1" w:space="0" w:color="808080"/>
              <w:left w:val="single" w:sz="1" w:space="0" w:color="808080"/>
              <w:bottom w:val="single" w:sz="1" w:space="0" w:color="808080"/>
              <w:right w:val="single" w:sz="1" w:space="0" w:color="808080"/>
            </w:tcBorders>
          </w:tcPr>
          <w:p w14:paraId="1DEB75BA" w14:textId="77777777" w:rsidR="008A4121" w:rsidRDefault="008A4121" w:rsidP="00BE29C7">
            <w:pPr>
              <w:jc w:val="center"/>
            </w:pPr>
            <w:r>
              <w:rPr>
                <w:sz w:val="22"/>
                <w:szCs w:val="22"/>
              </w:rPr>
              <w:t>35</w:t>
            </w:r>
          </w:p>
        </w:tc>
        <w:tc>
          <w:tcPr>
            <w:tcW w:w="2000" w:type="dxa"/>
            <w:tcBorders>
              <w:top w:val="single" w:sz="1" w:space="0" w:color="808080"/>
              <w:left w:val="single" w:sz="1" w:space="0" w:color="808080"/>
              <w:bottom w:val="single" w:sz="1" w:space="0" w:color="808080"/>
              <w:right w:val="single" w:sz="1" w:space="0" w:color="808080"/>
            </w:tcBorders>
          </w:tcPr>
          <w:p w14:paraId="6D101325" w14:textId="77777777" w:rsidR="008A4121" w:rsidRDefault="008A4121" w:rsidP="00BE29C7">
            <w:pPr>
              <w:jc w:val="center"/>
            </w:pPr>
            <w:r>
              <w:rPr>
                <w:sz w:val="22"/>
                <w:szCs w:val="22"/>
              </w:rPr>
              <w:t>3.00</w:t>
            </w:r>
          </w:p>
        </w:tc>
        <w:tc>
          <w:tcPr>
            <w:tcW w:w="1860" w:type="dxa"/>
            <w:tcBorders>
              <w:top w:val="single" w:sz="1" w:space="0" w:color="808080"/>
              <w:left w:val="single" w:sz="1" w:space="0" w:color="808080"/>
              <w:bottom w:val="single" w:sz="1" w:space="0" w:color="808080"/>
              <w:right w:val="single" w:sz="1" w:space="0" w:color="808080"/>
            </w:tcBorders>
          </w:tcPr>
          <w:p w14:paraId="1CBB6396" w14:textId="77777777" w:rsidR="008A4121" w:rsidRDefault="008A4121" w:rsidP="00BE29C7">
            <w:pPr>
              <w:jc w:val="center"/>
            </w:pPr>
            <w:r>
              <w:rPr>
                <w:sz w:val="22"/>
                <w:szCs w:val="22"/>
              </w:rPr>
              <w:t>0.97</w:t>
            </w:r>
          </w:p>
        </w:tc>
      </w:tr>
      <w:tr w:rsidR="008A4121" w14:paraId="2EC85B05" w14:textId="77777777" w:rsidTr="00BE29C7">
        <w:tc>
          <w:tcPr>
            <w:tcW w:w="4000" w:type="dxa"/>
            <w:tcBorders>
              <w:top w:val="single" w:sz="1" w:space="0" w:color="808080"/>
              <w:left w:val="single" w:sz="1" w:space="0" w:color="808080"/>
              <w:bottom w:val="single" w:sz="1" w:space="0" w:color="808080"/>
              <w:right w:val="single" w:sz="1" w:space="0" w:color="808080"/>
            </w:tcBorders>
          </w:tcPr>
          <w:p w14:paraId="757CFD24" w14:textId="77777777" w:rsidR="008A4121" w:rsidRDefault="008A4121" w:rsidP="00BE29C7">
            <w:r>
              <w:rPr>
                <w:sz w:val="22"/>
                <w:szCs w:val="22"/>
              </w:rPr>
              <w:t>Planning to implement</w:t>
            </w:r>
          </w:p>
        </w:tc>
        <w:tc>
          <w:tcPr>
            <w:tcW w:w="1500" w:type="dxa"/>
            <w:tcBorders>
              <w:top w:val="single" w:sz="1" w:space="0" w:color="808080"/>
              <w:left w:val="single" w:sz="1" w:space="0" w:color="808080"/>
              <w:bottom w:val="single" w:sz="1" w:space="0" w:color="808080"/>
              <w:right w:val="single" w:sz="1" w:space="0" w:color="808080"/>
            </w:tcBorders>
          </w:tcPr>
          <w:p w14:paraId="57083BD9" w14:textId="77777777" w:rsidR="008A4121" w:rsidRDefault="008A4121" w:rsidP="00BE29C7">
            <w:pPr>
              <w:jc w:val="center"/>
            </w:pPr>
            <w:r>
              <w:rPr>
                <w:sz w:val="22"/>
                <w:szCs w:val="22"/>
              </w:rPr>
              <w:t>24</w:t>
            </w:r>
          </w:p>
        </w:tc>
        <w:tc>
          <w:tcPr>
            <w:tcW w:w="2000" w:type="dxa"/>
            <w:tcBorders>
              <w:top w:val="single" w:sz="1" w:space="0" w:color="808080"/>
              <w:left w:val="single" w:sz="1" w:space="0" w:color="808080"/>
              <w:bottom w:val="single" w:sz="1" w:space="0" w:color="808080"/>
              <w:right w:val="single" w:sz="1" w:space="0" w:color="808080"/>
            </w:tcBorders>
          </w:tcPr>
          <w:p w14:paraId="71ECD1B7" w14:textId="77777777" w:rsidR="008A4121" w:rsidRDefault="008A4121" w:rsidP="00BE29C7">
            <w:pPr>
              <w:jc w:val="center"/>
            </w:pPr>
            <w:r>
              <w:rPr>
                <w:sz w:val="22"/>
                <w:szCs w:val="22"/>
              </w:rPr>
              <w:t>2.79</w:t>
            </w:r>
          </w:p>
        </w:tc>
        <w:tc>
          <w:tcPr>
            <w:tcW w:w="1860" w:type="dxa"/>
            <w:tcBorders>
              <w:top w:val="single" w:sz="1" w:space="0" w:color="808080"/>
              <w:left w:val="single" w:sz="1" w:space="0" w:color="808080"/>
              <w:bottom w:val="single" w:sz="1" w:space="0" w:color="808080"/>
              <w:right w:val="single" w:sz="1" w:space="0" w:color="808080"/>
            </w:tcBorders>
          </w:tcPr>
          <w:p w14:paraId="25364A2D" w14:textId="77777777" w:rsidR="008A4121" w:rsidRDefault="008A4121" w:rsidP="00BE29C7">
            <w:pPr>
              <w:jc w:val="center"/>
            </w:pPr>
            <w:r>
              <w:rPr>
                <w:sz w:val="22"/>
                <w:szCs w:val="22"/>
              </w:rPr>
              <w:t>0.93</w:t>
            </w:r>
          </w:p>
        </w:tc>
      </w:tr>
    </w:tbl>
    <w:p w14:paraId="57588AE8" w14:textId="77777777" w:rsidR="008A4121" w:rsidRDefault="008A4121" w:rsidP="008A4121">
      <w:pPr>
        <w:spacing w:after="200"/>
      </w:pPr>
    </w:p>
    <w:p w14:paraId="7AD5DA0B" w14:textId="77777777" w:rsidR="008A4121" w:rsidRDefault="008A4121" w:rsidP="008A4121">
      <w:pPr>
        <w:spacing w:after="200" w:line="360" w:lineRule="auto"/>
      </w:pPr>
      <w:r>
        <w:t>Counter-intuitively, respondents with no current implementation reported higher readiness (M=3.36) than those with partial integration (M=3.00) or active planning (M=2.79). This pattern may indicate that organisations actively engaged in implementation develop more realistic assessments of organisational capability through direct experience with implementation challenges, while those without direct experience maintain more optimistic self-perceptions. This interpretation aligns with the correlation finding discussed below.</w:t>
      </w:r>
    </w:p>
    <w:p w14:paraId="791ACA2F" w14:textId="77777777" w:rsidR="008A4121" w:rsidRDefault="008A4121" w:rsidP="008A4121">
      <w:pPr>
        <w:pStyle w:val="Heading2"/>
      </w:pPr>
      <w:bookmarkStart w:id="142" w:name="_Toc220152218"/>
      <w:r>
        <w:t>4.8 Correlation Analysis</w:t>
      </w:r>
      <w:bookmarkEnd w:id="142"/>
    </w:p>
    <w:p w14:paraId="13CB6663" w14:textId="77777777" w:rsidR="008A4121" w:rsidRDefault="008A4121" w:rsidP="008A4121">
      <w:pPr>
        <w:spacing w:after="200" w:line="360" w:lineRule="auto"/>
      </w:pPr>
      <w:r>
        <w:t>Bivariate correlation analysis examined relationships between composite measures of familiarity, benefits perception, barrier perception, and organisational readiness. The correlation matrix reveals patterns with implications for understanding adoption dynamics.</w:t>
      </w:r>
    </w:p>
    <w:p w14:paraId="5975E0E0" w14:textId="77777777" w:rsidR="001C693C" w:rsidRDefault="000413A7" w:rsidP="001C693C">
      <w:pPr>
        <w:keepNext/>
        <w:jc w:val="center"/>
      </w:pPr>
      <w:r>
        <w:rPr>
          <w:noProof/>
        </w:rPr>
        <w:lastRenderedPageBreak/>
        <w:drawing>
          <wp:inline distT="0" distB="0" distL="0" distR="0" wp14:anchorId="6890DDC3" wp14:editId="3E563D52">
            <wp:extent cx="5716988" cy="3164840"/>
            <wp:effectExtent l="0" t="0" r="0" b="0"/>
            <wp:docPr id="802720670" name="Picture 10" descr="A blue squar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720670" name="Picture 10" descr="A blue squares with white tex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76055" cy="3197539"/>
                    </a:xfrm>
                    <a:prstGeom prst="rect">
                      <a:avLst/>
                    </a:prstGeom>
                  </pic:spPr>
                </pic:pic>
              </a:graphicData>
            </a:graphic>
          </wp:inline>
        </w:drawing>
      </w:r>
    </w:p>
    <w:p w14:paraId="67E4B359" w14:textId="5ABB5DEA" w:rsidR="00DF23BB" w:rsidRDefault="00AE4BD9" w:rsidP="003D617D">
      <w:pPr>
        <w:pStyle w:val="Caption"/>
        <w:jc w:val="center"/>
        <w:rPr>
          <w:b/>
          <w:bCs/>
          <w:color w:val="auto"/>
          <w:sz w:val="20"/>
          <w:szCs w:val="20"/>
        </w:rPr>
      </w:pPr>
      <w:bookmarkStart w:id="143" w:name="_Toc220152016"/>
      <w:bookmarkStart w:id="144" w:name="_Toc223075558"/>
      <w:bookmarkStart w:id="145" w:name="_Toc223079134"/>
      <w:r w:rsidRPr="009673C1">
        <w:rPr>
          <w:b/>
          <w:bCs/>
          <w:color w:val="auto"/>
          <w:sz w:val="20"/>
          <w:szCs w:val="20"/>
        </w:rPr>
        <w:t xml:space="preserve">Figure </w:t>
      </w:r>
      <w:r>
        <w:rPr>
          <w:b/>
          <w:bCs/>
          <w:color w:val="auto"/>
          <w:sz w:val="20"/>
          <w:szCs w:val="20"/>
        </w:rPr>
        <w:t>4.</w:t>
      </w:r>
      <w:r w:rsidR="0010076A">
        <w:rPr>
          <w:b/>
          <w:bCs/>
          <w:color w:val="auto"/>
          <w:sz w:val="20"/>
          <w:szCs w:val="20"/>
        </w:rPr>
        <w:t>9</w:t>
      </w:r>
      <w:r w:rsidRPr="009673C1">
        <w:rPr>
          <w:b/>
          <w:bCs/>
          <w:color w:val="auto"/>
          <w:sz w:val="20"/>
          <w:szCs w:val="20"/>
        </w:rPr>
        <w:t>: Correlation Matrix – Key Variables</w:t>
      </w:r>
      <w:bookmarkEnd w:id="143"/>
      <w:bookmarkEnd w:id="144"/>
      <w:bookmarkEnd w:id="145"/>
    </w:p>
    <w:p w14:paraId="6921C7BB" w14:textId="1366E12C" w:rsidR="00F34AAE" w:rsidRPr="00F34AAE" w:rsidRDefault="00F34AAE" w:rsidP="00F34AAE">
      <w:pPr>
        <w:pStyle w:val="Caption"/>
        <w:keepNext/>
        <w:rPr>
          <w:b/>
          <w:bCs/>
          <w:color w:val="auto"/>
          <w:sz w:val="20"/>
          <w:szCs w:val="20"/>
        </w:rPr>
      </w:pPr>
      <w:bookmarkStart w:id="146" w:name="_Toc220151995"/>
      <w:bookmarkStart w:id="147" w:name="_Toc223077239"/>
      <w:bookmarkStart w:id="148" w:name="_Toc223079135"/>
      <w:r w:rsidRPr="00F34AAE">
        <w:rPr>
          <w:b/>
          <w:bCs/>
          <w:color w:val="auto"/>
          <w:sz w:val="20"/>
          <w:szCs w:val="20"/>
        </w:rPr>
        <w:t xml:space="preserve">Table </w:t>
      </w:r>
      <w:r w:rsidR="004D4AE1">
        <w:rPr>
          <w:b/>
          <w:bCs/>
          <w:color w:val="auto"/>
          <w:sz w:val="20"/>
          <w:szCs w:val="20"/>
        </w:rPr>
        <w:t>4</w:t>
      </w:r>
      <w:r w:rsidR="00CD0E8E">
        <w:rPr>
          <w:b/>
          <w:bCs/>
          <w:color w:val="auto"/>
          <w:sz w:val="20"/>
          <w:szCs w:val="20"/>
        </w:rPr>
        <w:t>.</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8</w:t>
      </w:r>
      <w:r w:rsidR="00E10041">
        <w:rPr>
          <w:b/>
          <w:bCs/>
          <w:color w:val="auto"/>
          <w:sz w:val="20"/>
          <w:szCs w:val="20"/>
        </w:rPr>
        <w:fldChar w:fldCharType="end"/>
      </w:r>
      <w:r w:rsidRPr="00F34AAE">
        <w:rPr>
          <w:b/>
          <w:bCs/>
          <w:color w:val="auto"/>
          <w:sz w:val="20"/>
          <w:szCs w:val="20"/>
        </w:rPr>
        <w:t>: Correlation Matrix (Pearson's r)</w:t>
      </w:r>
      <w:bookmarkEnd w:id="146"/>
      <w:bookmarkEnd w:id="147"/>
      <w:bookmarkEnd w:id="148"/>
      <w:r w:rsidR="00CF3069">
        <w:rPr>
          <w:b/>
          <w:bCs/>
          <w:color w:val="auto"/>
          <w:sz w:val="20"/>
          <w:szCs w:val="20"/>
        </w:rPr>
        <w:t xml:space="preserve"> with Significance Levels</w:t>
      </w:r>
    </w:p>
    <w:tbl>
      <w:tblPr>
        <w:tblW w:w="9211" w:type="dxa"/>
        <w:tblBorders>
          <w:top w:val="single" w:sz="2" w:space="0" w:color="808080"/>
          <w:left w:val="single" w:sz="2" w:space="0" w:color="808080"/>
          <w:bottom w:val="single" w:sz="2" w:space="0" w:color="808080"/>
          <w:right w:val="single" w:sz="2" w:space="0" w:color="808080"/>
          <w:insideH w:val="single" w:sz="2" w:space="0" w:color="808080"/>
          <w:insideV w:val="single" w:sz="2" w:space="0" w:color="808080"/>
        </w:tblBorders>
        <w:tblCellMar>
          <w:left w:w="10" w:type="dxa"/>
          <w:right w:w="10" w:type="dxa"/>
        </w:tblCellMar>
        <w:tblLook w:val="04A0" w:firstRow="1" w:lastRow="0" w:firstColumn="1" w:lastColumn="0" w:noHBand="0" w:noVBand="1"/>
      </w:tblPr>
      <w:tblGrid>
        <w:gridCol w:w="2290"/>
        <w:gridCol w:w="1655"/>
        <w:gridCol w:w="1722"/>
        <w:gridCol w:w="1843"/>
        <w:gridCol w:w="1701"/>
      </w:tblGrid>
      <w:tr w:rsidR="008A4121" w14:paraId="432AC2B6" w14:textId="77777777" w:rsidTr="00875E74">
        <w:trPr>
          <w:tblHeader/>
        </w:trPr>
        <w:tc>
          <w:tcPr>
            <w:tcW w:w="2290" w:type="dxa"/>
            <w:shd w:val="clear" w:color="auto" w:fill="D9E2F3"/>
          </w:tcPr>
          <w:p w14:paraId="3844C0A9" w14:textId="77777777" w:rsidR="008A4121" w:rsidRDefault="008A4121" w:rsidP="00BE29C7">
            <w:pPr>
              <w:jc w:val="center"/>
            </w:pPr>
            <w:r>
              <w:rPr>
                <w:b/>
                <w:bCs/>
                <w:sz w:val="22"/>
                <w:szCs w:val="22"/>
              </w:rPr>
              <w:t>Variable</w:t>
            </w:r>
          </w:p>
        </w:tc>
        <w:tc>
          <w:tcPr>
            <w:tcW w:w="1655" w:type="dxa"/>
            <w:tcBorders>
              <w:bottom w:val="single" w:sz="2" w:space="0" w:color="808080"/>
            </w:tcBorders>
            <w:shd w:val="clear" w:color="auto" w:fill="D9E2F3"/>
          </w:tcPr>
          <w:p w14:paraId="409FE37E" w14:textId="77777777" w:rsidR="008A4121" w:rsidRDefault="008A4121" w:rsidP="00BE29C7">
            <w:pPr>
              <w:jc w:val="center"/>
            </w:pPr>
            <w:r>
              <w:rPr>
                <w:b/>
                <w:bCs/>
                <w:sz w:val="22"/>
                <w:szCs w:val="22"/>
              </w:rPr>
              <w:t>Familiarity</w:t>
            </w:r>
          </w:p>
        </w:tc>
        <w:tc>
          <w:tcPr>
            <w:tcW w:w="1722" w:type="dxa"/>
            <w:shd w:val="clear" w:color="auto" w:fill="D9E2F3"/>
          </w:tcPr>
          <w:p w14:paraId="50E73948" w14:textId="77777777" w:rsidR="008A4121" w:rsidRDefault="008A4121" w:rsidP="00BE29C7">
            <w:pPr>
              <w:jc w:val="center"/>
            </w:pPr>
            <w:r>
              <w:rPr>
                <w:b/>
                <w:bCs/>
                <w:sz w:val="22"/>
                <w:szCs w:val="22"/>
              </w:rPr>
              <w:t>Benefits</w:t>
            </w:r>
          </w:p>
        </w:tc>
        <w:tc>
          <w:tcPr>
            <w:tcW w:w="1843" w:type="dxa"/>
            <w:shd w:val="clear" w:color="auto" w:fill="D9E2F3"/>
          </w:tcPr>
          <w:p w14:paraId="518D5732" w14:textId="77777777" w:rsidR="008A4121" w:rsidRDefault="008A4121" w:rsidP="00BE29C7">
            <w:pPr>
              <w:jc w:val="center"/>
            </w:pPr>
            <w:r>
              <w:rPr>
                <w:b/>
                <w:bCs/>
                <w:sz w:val="22"/>
                <w:szCs w:val="22"/>
              </w:rPr>
              <w:t>Barriers</w:t>
            </w:r>
          </w:p>
        </w:tc>
        <w:tc>
          <w:tcPr>
            <w:tcW w:w="1701" w:type="dxa"/>
            <w:shd w:val="clear" w:color="auto" w:fill="D9E2F3"/>
          </w:tcPr>
          <w:p w14:paraId="3657036A" w14:textId="77777777" w:rsidR="008A4121" w:rsidRDefault="008A4121" w:rsidP="00BE29C7">
            <w:pPr>
              <w:jc w:val="center"/>
            </w:pPr>
            <w:r>
              <w:rPr>
                <w:b/>
                <w:bCs/>
                <w:sz w:val="22"/>
                <w:szCs w:val="22"/>
              </w:rPr>
              <w:t>Readiness</w:t>
            </w:r>
          </w:p>
        </w:tc>
      </w:tr>
      <w:tr w:rsidR="008A4121" w14:paraId="60852D6D" w14:textId="77777777" w:rsidTr="00875E74">
        <w:tc>
          <w:tcPr>
            <w:tcW w:w="2290" w:type="dxa"/>
          </w:tcPr>
          <w:p w14:paraId="5A7CABB7" w14:textId="77777777" w:rsidR="008A4121" w:rsidRPr="006B7BA3" w:rsidRDefault="008A4121" w:rsidP="00BE29C7">
            <w:pPr>
              <w:rPr>
                <w:sz w:val="20"/>
                <w:szCs w:val="20"/>
              </w:rPr>
            </w:pPr>
            <w:r w:rsidRPr="006B7BA3">
              <w:rPr>
                <w:sz w:val="20"/>
                <w:szCs w:val="20"/>
              </w:rPr>
              <w:t>Familiarity</w:t>
            </w:r>
          </w:p>
        </w:tc>
        <w:tc>
          <w:tcPr>
            <w:tcW w:w="1655" w:type="dxa"/>
            <w:shd w:val="clear" w:color="auto" w:fill="0F4761" w:themeFill="accent1" w:themeFillShade="BF"/>
          </w:tcPr>
          <w:p w14:paraId="7BD45F06" w14:textId="77777777" w:rsidR="008A4121" w:rsidRPr="006B7BA3" w:rsidRDefault="008A4121" w:rsidP="00BE29C7">
            <w:pPr>
              <w:jc w:val="center"/>
              <w:rPr>
                <w:sz w:val="20"/>
                <w:szCs w:val="20"/>
              </w:rPr>
            </w:pPr>
            <w:r w:rsidRPr="006B7BA3">
              <w:rPr>
                <w:sz w:val="20"/>
                <w:szCs w:val="20"/>
              </w:rPr>
              <w:t>1.00</w:t>
            </w:r>
          </w:p>
        </w:tc>
        <w:tc>
          <w:tcPr>
            <w:tcW w:w="1722" w:type="dxa"/>
            <w:tcBorders>
              <w:bottom w:val="single" w:sz="2" w:space="0" w:color="808080"/>
            </w:tcBorders>
          </w:tcPr>
          <w:p w14:paraId="1D4E5754" w14:textId="3106FF61" w:rsidR="008A4121" w:rsidRPr="006B7BA3" w:rsidRDefault="008A4121" w:rsidP="00BE29C7">
            <w:pPr>
              <w:jc w:val="center"/>
              <w:rPr>
                <w:sz w:val="20"/>
                <w:szCs w:val="20"/>
              </w:rPr>
            </w:pPr>
            <w:r w:rsidRPr="006B7BA3">
              <w:rPr>
                <w:sz w:val="20"/>
                <w:szCs w:val="20"/>
              </w:rPr>
              <w:t>0.32</w:t>
            </w:r>
          </w:p>
        </w:tc>
        <w:tc>
          <w:tcPr>
            <w:tcW w:w="1843" w:type="dxa"/>
          </w:tcPr>
          <w:p w14:paraId="6178E597" w14:textId="1DB12C8E" w:rsidR="008A4121" w:rsidRPr="006B7BA3" w:rsidRDefault="008A4121" w:rsidP="00BE29C7">
            <w:pPr>
              <w:jc w:val="center"/>
              <w:rPr>
                <w:sz w:val="20"/>
                <w:szCs w:val="20"/>
              </w:rPr>
            </w:pPr>
            <w:r w:rsidRPr="006B7BA3">
              <w:rPr>
                <w:sz w:val="20"/>
                <w:szCs w:val="20"/>
              </w:rPr>
              <w:t>0.60</w:t>
            </w:r>
          </w:p>
        </w:tc>
        <w:tc>
          <w:tcPr>
            <w:tcW w:w="1701" w:type="dxa"/>
          </w:tcPr>
          <w:p w14:paraId="760CB4E8" w14:textId="77777777" w:rsidR="008A4121" w:rsidRPr="006B7BA3" w:rsidRDefault="008A4121" w:rsidP="00BE29C7">
            <w:pPr>
              <w:jc w:val="center"/>
              <w:rPr>
                <w:sz w:val="20"/>
                <w:szCs w:val="20"/>
              </w:rPr>
            </w:pPr>
            <w:r w:rsidRPr="006B7BA3">
              <w:rPr>
                <w:sz w:val="20"/>
                <w:szCs w:val="20"/>
              </w:rPr>
              <w:t>0.21</w:t>
            </w:r>
          </w:p>
        </w:tc>
      </w:tr>
      <w:tr w:rsidR="008A4121" w14:paraId="142AF359" w14:textId="77777777" w:rsidTr="00875E74">
        <w:tc>
          <w:tcPr>
            <w:tcW w:w="2290" w:type="dxa"/>
          </w:tcPr>
          <w:p w14:paraId="702CA641" w14:textId="77777777" w:rsidR="008A4121" w:rsidRPr="006B7BA3" w:rsidRDefault="008A4121" w:rsidP="00BE29C7">
            <w:pPr>
              <w:rPr>
                <w:sz w:val="20"/>
                <w:szCs w:val="20"/>
              </w:rPr>
            </w:pPr>
            <w:r w:rsidRPr="006B7BA3">
              <w:rPr>
                <w:sz w:val="20"/>
                <w:szCs w:val="20"/>
              </w:rPr>
              <w:t>Benefits</w:t>
            </w:r>
          </w:p>
        </w:tc>
        <w:tc>
          <w:tcPr>
            <w:tcW w:w="1655" w:type="dxa"/>
          </w:tcPr>
          <w:p w14:paraId="7BF30EE2" w14:textId="74800420" w:rsidR="008A4121" w:rsidRPr="006B7BA3" w:rsidRDefault="008A4121" w:rsidP="00BE29C7">
            <w:pPr>
              <w:jc w:val="center"/>
              <w:rPr>
                <w:sz w:val="20"/>
                <w:szCs w:val="20"/>
              </w:rPr>
            </w:pPr>
            <w:r w:rsidRPr="006B7BA3">
              <w:rPr>
                <w:sz w:val="20"/>
                <w:szCs w:val="20"/>
              </w:rPr>
              <w:t>0.32</w:t>
            </w:r>
          </w:p>
        </w:tc>
        <w:tc>
          <w:tcPr>
            <w:tcW w:w="1722" w:type="dxa"/>
            <w:shd w:val="clear" w:color="auto" w:fill="0F4761" w:themeFill="accent1" w:themeFillShade="BF"/>
          </w:tcPr>
          <w:p w14:paraId="368EFD4C" w14:textId="77777777" w:rsidR="008A4121" w:rsidRPr="006B7BA3" w:rsidRDefault="008A4121" w:rsidP="00BE29C7">
            <w:pPr>
              <w:jc w:val="center"/>
              <w:rPr>
                <w:sz w:val="20"/>
                <w:szCs w:val="20"/>
              </w:rPr>
            </w:pPr>
            <w:r w:rsidRPr="006B7BA3">
              <w:rPr>
                <w:sz w:val="20"/>
                <w:szCs w:val="20"/>
              </w:rPr>
              <w:t>1.00</w:t>
            </w:r>
          </w:p>
        </w:tc>
        <w:tc>
          <w:tcPr>
            <w:tcW w:w="1843" w:type="dxa"/>
            <w:tcBorders>
              <w:bottom w:val="single" w:sz="2" w:space="0" w:color="808080"/>
            </w:tcBorders>
          </w:tcPr>
          <w:p w14:paraId="26981691" w14:textId="77777777" w:rsidR="008A4121" w:rsidRPr="006B7BA3" w:rsidRDefault="008A4121" w:rsidP="00BE29C7">
            <w:pPr>
              <w:jc w:val="center"/>
              <w:rPr>
                <w:sz w:val="20"/>
                <w:szCs w:val="20"/>
              </w:rPr>
            </w:pPr>
            <w:r w:rsidRPr="006B7BA3">
              <w:rPr>
                <w:sz w:val="20"/>
                <w:szCs w:val="20"/>
              </w:rPr>
              <w:t>0.03</w:t>
            </w:r>
          </w:p>
        </w:tc>
        <w:tc>
          <w:tcPr>
            <w:tcW w:w="1701" w:type="dxa"/>
          </w:tcPr>
          <w:p w14:paraId="33A676DE" w14:textId="647DF19F" w:rsidR="008A4121" w:rsidRPr="006B7BA3" w:rsidRDefault="008A4121" w:rsidP="00BE29C7">
            <w:pPr>
              <w:jc w:val="center"/>
              <w:rPr>
                <w:sz w:val="20"/>
                <w:szCs w:val="20"/>
              </w:rPr>
            </w:pPr>
            <w:r w:rsidRPr="006B7BA3">
              <w:rPr>
                <w:sz w:val="20"/>
                <w:szCs w:val="20"/>
              </w:rPr>
              <w:t>0.32</w:t>
            </w:r>
          </w:p>
        </w:tc>
      </w:tr>
      <w:tr w:rsidR="008A4121" w14:paraId="3238AD9C" w14:textId="77777777" w:rsidTr="00875E74">
        <w:tc>
          <w:tcPr>
            <w:tcW w:w="2290" w:type="dxa"/>
          </w:tcPr>
          <w:p w14:paraId="4EC668DC" w14:textId="77777777" w:rsidR="008A4121" w:rsidRPr="006B7BA3" w:rsidRDefault="008A4121" w:rsidP="00BE29C7">
            <w:pPr>
              <w:rPr>
                <w:sz w:val="20"/>
                <w:szCs w:val="20"/>
              </w:rPr>
            </w:pPr>
            <w:r w:rsidRPr="006B7BA3">
              <w:rPr>
                <w:sz w:val="20"/>
                <w:szCs w:val="20"/>
              </w:rPr>
              <w:t>Barriers</w:t>
            </w:r>
          </w:p>
        </w:tc>
        <w:tc>
          <w:tcPr>
            <w:tcW w:w="1655" w:type="dxa"/>
          </w:tcPr>
          <w:p w14:paraId="2CB19D5C" w14:textId="0C9B556C" w:rsidR="008A4121" w:rsidRPr="006B7BA3" w:rsidRDefault="008A4121" w:rsidP="00BE29C7">
            <w:pPr>
              <w:jc w:val="center"/>
              <w:rPr>
                <w:sz w:val="20"/>
                <w:szCs w:val="20"/>
              </w:rPr>
            </w:pPr>
            <w:r w:rsidRPr="006B7BA3">
              <w:rPr>
                <w:sz w:val="20"/>
                <w:szCs w:val="20"/>
              </w:rPr>
              <w:t>0.60</w:t>
            </w:r>
          </w:p>
        </w:tc>
        <w:tc>
          <w:tcPr>
            <w:tcW w:w="1722" w:type="dxa"/>
          </w:tcPr>
          <w:p w14:paraId="34EE994E" w14:textId="77777777" w:rsidR="008A4121" w:rsidRPr="006B7BA3" w:rsidRDefault="008A4121" w:rsidP="00BE29C7">
            <w:pPr>
              <w:jc w:val="center"/>
              <w:rPr>
                <w:sz w:val="20"/>
                <w:szCs w:val="20"/>
              </w:rPr>
            </w:pPr>
            <w:r w:rsidRPr="006B7BA3">
              <w:rPr>
                <w:sz w:val="20"/>
                <w:szCs w:val="20"/>
              </w:rPr>
              <w:t>0.03</w:t>
            </w:r>
          </w:p>
        </w:tc>
        <w:tc>
          <w:tcPr>
            <w:tcW w:w="1843" w:type="dxa"/>
            <w:shd w:val="clear" w:color="auto" w:fill="0F4761" w:themeFill="accent1" w:themeFillShade="BF"/>
          </w:tcPr>
          <w:p w14:paraId="407C18BB" w14:textId="77777777" w:rsidR="008A4121" w:rsidRPr="006B7BA3" w:rsidRDefault="008A4121" w:rsidP="00BE29C7">
            <w:pPr>
              <w:jc w:val="center"/>
              <w:rPr>
                <w:sz w:val="20"/>
                <w:szCs w:val="20"/>
              </w:rPr>
            </w:pPr>
            <w:r w:rsidRPr="006B7BA3">
              <w:rPr>
                <w:sz w:val="20"/>
                <w:szCs w:val="20"/>
              </w:rPr>
              <w:t>1.00</w:t>
            </w:r>
          </w:p>
        </w:tc>
        <w:tc>
          <w:tcPr>
            <w:tcW w:w="1701" w:type="dxa"/>
            <w:tcBorders>
              <w:bottom w:val="single" w:sz="2" w:space="0" w:color="808080"/>
            </w:tcBorders>
          </w:tcPr>
          <w:p w14:paraId="73CD9E24" w14:textId="247EDABD" w:rsidR="008A4121" w:rsidRPr="006B7BA3" w:rsidRDefault="008A4121" w:rsidP="00BE29C7">
            <w:pPr>
              <w:jc w:val="center"/>
              <w:rPr>
                <w:sz w:val="20"/>
                <w:szCs w:val="20"/>
              </w:rPr>
            </w:pPr>
            <w:r w:rsidRPr="006B7BA3">
              <w:rPr>
                <w:sz w:val="20"/>
                <w:szCs w:val="20"/>
              </w:rPr>
              <w:t>0.</w:t>
            </w:r>
            <w:r w:rsidR="004B5EFE">
              <w:rPr>
                <w:sz w:val="20"/>
                <w:szCs w:val="20"/>
              </w:rPr>
              <w:t>22</w:t>
            </w:r>
          </w:p>
        </w:tc>
      </w:tr>
      <w:tr w:rsidR="008A4121" w14:paraId="193E6805" w14:textId="77777777" w:rsidTr="00875E74">
        <w:tc>
          <w:tcPr>
            <w:tcW w:w="2290" w:type="dxa"/>
          </w:tcPr>
          <w:p w14:paraId="43690E1E" w14:textId="77777777" w:rsidR="008A4121" w:rsidRPr="006B7BA3" w:rsidRDefault="008A4121" w:rsidP="00BE29C7">
            <w:pPr>
              <w:rPr>
                <w:sz w:val="20"/>
                <w:szCs w:val="20"/>
              </w:rPr>
            </w:pPr>
            <w:r w:rsidRPr="006B7BA3">
              <w:rPr>
                <w:sz w:val="20"/>
                <w:szCs w:val="20"/>
              </w:rPr>
              <w:t>Readiness</w:t>
            </w:r>
          </w:p>
        </w:tc>
        <w:tc>
          <w:tcPr>
            <w:tcW w:w="1655" w:type="dxa"/>
          </w:tcPr>
          <w:p w14:paraId="304F6393" w14:textId="77777777" w:rsidR="008A4121" w:rsidRPr="006B7BA3" w:rsidRDefault="008A4121" w:rsidP="00BE29C7">
            <w:pPr>
              <w:jc w:val="center"/>
              <w:rPr>
                <w:sz w:val="20"/>
                <w:szCs w:val="20"/>
              </w:rPr>
            </w:pPr>
            <w:r w:rsidRPr="006B7BA3">
              <w:rPr>
                <w:sz w:val="20"/>
                <w:szCs w:val="20"/>
              </w:rPr>
              <w:t>0.21</w:t>
            </w:r>
          </w:p>
        </w:tc>
        <w:tc>
          <w:tcPr>
            <w:tcW w:w="1722" w:type="dxa"/>
          </w:tcPr>
          <w:p w14:paraId="70ABCD99" w14:textId="3E28D4CB" w:rsidR="008A4121" w:rsidRPr="006B7BA3" w:rsidRDefault="008A4121" w:rsidP="00BE29C7">
            <w:pPr>
              <w:jc w:val="center"/>
              <w:rPr>
                <w:sz w:val="20"/>
                <w:szCs w:val="20"/>
              </w:rPr>
            </w:pPr>
            <w:r w:rsidRPr="006B7BA3">
              <w:rPr>
                <w:sz w:val="20"/>
                <w:szCs w:val="20"/>
              </w:rPr>
              <w:t>0.32</w:t>
            </w:r>
          </w:p>
        </w:tc>
        <w:tc>
          <w:tcPr>
            <w:tcW w:w="1843" w:type="dxa"/>
          </w:tcPr>
          <w:p w14:paraId="09FB6690" w14:textId="0E2BCC81" w:rsidR="008A4121" w:rsidRPr="006B7BA3" w:rsidRDefault="008A4121" w:rsidP="00BE29C7">
            <w:pPr>
              <w:jc w:val="center"/>
              <w:rPr>
                <w:sz w:val="20"/>
                <w:szCs w:val="20"/>
              </w:rPr>
            </w:pPr>
            <w:r w:rsidRPr="006B7BA3">
              <w:rPr>
                <w:sz w:val="20"/>
                <w:szCs w:val="20"/>
              </w:rPr>
              <w:t>0.</w:t>
            </w:r>
            <w:r w:rsidR="004B5EFE">
              <w:rPr>
                <w:sz w:val="20"/>
                <w:szCs w:val="20"/>
              </w:rPr>
              <w:t>22</w:t>
            </w:r>
          </w:p>
        </w:tc>
        <w:tc>
          <w:tcPr>
            <w:tcW w:w="1701" w:type="dxa"/>
            <w:shd w:val="clear" w:color="auto" w:fill="0F4761" w:themeFill="accent1" w:themeFillShade="BF"/>
          </w:tcPr>
          <w:p w14:paraId="0C9A5F15" w14:textId="77777777" w:rsidR="008A4121" w:rsidRPr="006B7BA3" w:rsidRDefault="008A4121" w:rsidP="00BE29C7">
            <w:pPr>
              <w:jc w:val="center"/>
              <w:rPr>
                <w:sz w:val="20"/>
                <w:szCs w:val="20"/>
              </w:rPr>
            </w:pPr>
            <w:r w:rsidRPr="006B7BA3">
              <w:rPr>
                <w:sz w:val="20"/>
                <w:szCs w:val="20"/>
              </w:rPr>
              <w:t>1.00</w:t>
            </w:r>
          </w:p>
        </w:tc>
      </w:tr>
    </w:tbl>
    <w:p w14:paraId="0A2954EC" w14:textId="5FF56704" w:rsidR="008A4121" w:rsidRDefault="008A4121" w:rsidP="008A4121">
      <w:pPr>
        <w:spacing w:after="200"/>
        <w:rPr>
          <w:i/>
          <w:iCs/>
          <w:sz w:val="20"/>
          <w:szCs w:val="20"/>
        </w:rPr>
      </w:pPr>
    </w:p>
    <w:tbl>
      <w:tblPr>
        <w:tblW w:w="9219" w:type="dxa"/>
        <w:tblInd w:w="-5" w:type="dxa"/>
        <w:tblBorders>
          <w:top w:val="single" w:sz="4" w:space="0" w:color="3A3A3A" w:themeColor="background2" w:themeShade="40"/>
          <w:left w:val="single" w:sz="4" w:space="0" w:color="3A3A3A" w:themeColor="background2" w:themeShade="40"/>
          <w:bottom w:val="single" w:sz="4" w:space="0" w:color="3A3A3A" w:themeColor="background2" w:themeShade="40"/>
          <w:right w:val="single" w:sz="4" w:space="0" w:color="3A3A3A" w:themeColor="background2" w:themeShade="40"/>
          <w:insideH w:val="single" w:sz="4" w:space="0" w:color="3A3A3A" w:themeColor="background2" w:themeShade="40"/>
          <w:insideV w:val="single" w:sz="4" w:space="0" w:color="3A3A3A" w:themeColor="background2" w:themeShade="40"/>
        </w:tblBorders>
        <w:tblLook w:val="04A0" w:firstRow="1" w:lastRow="0" w:firstColumn="1" w:lastColumn="0" w:noHBand="0" w:noVBand="1"/>
      </w:tblPr>
      <w:tblGrid>
        <w:gridCol w:w="2440"/>
        <w:gridCol w:w="1085"/>
        <w:gridCol w:w="1647"/>
        <w:gridCol w:w="1512"/>
        <w:gridCol w:w="2535"/>
      </w:tblGrid>
      <w:tr w:rsidR="006B7BA3" w:rsidRPr="003D617D" w14:paraId="226BC551" w14:textId="77777777" w:rsidTr="00875E74">
        <w:trPr>
          <w:trHeight w:val="649"/>
        </w:trPr>
        <w:tc>
          <w:tcPr>
            <w:tcW w:w="2440" w:type="dxa"/>
            <w:shd w:val="clear" w:color="000000" w:fill="D9E2F3"/>
            <w:vAlign w:val="center"/>
            <w:hideMark/>
          </w:tcPr>
          <w:p w14:paraId="2A0C8CC4" w14:textId="77777777" w:rsidR="003D617D" w:rsidRPr="003D617D" w:rsidRDefault="003D617D" w:rsidP="003D617D">
            <w:pPr>
              <w:jc w:val="center"/>
              <w:rPr>
                <w:rFonts w:eastAsia="Times New Roman"/>
                <w:b/>
                <w:bCs/>
                <w:sz w:val="22"/>
                <w:szCs w:val="22"/>
              </w:rPr>
            </w:pPr>
            <w:r w:rsidRPr="003D617D">
              <w:rPr>
                <w:rFonts w:eastAsia="Times New Roman"/>
                <w:b/>
                <w:bCs/>
                <w:sz w:val="22"/>
                <w:szCs w:val="22"/>
              </w:rPr>
              <w:t>Variable Pair</w:t>
            </w:r>
          </w:p>
        </w:tc>
        <w:tc>
          <w:tcPr>
            <w:tcW w:w="1085" w:type="dxa"/>
            <w:shd w:val="clear" w:color="000000" w:fill="D9E2F3"/>
            <w:vAlign w:val="center"/>
            <w:hideMark/>
          </w:tcPr>
          <w:p w14:paraId="3E8111BF" w14:textId="35F3CD18" w:rsidR="003D617D" w:rsidRPr="003D617D" w:rsidRDefault="003D617D" w:rsidP="003D617D">
            <w:pPr>
              <w:jc w:val="center"/>
              <w:rPr>
                <w:rFonts w:eastAsia="Times New Roman"/>
                <w:b/>
                <w:bCs/>
                <w:sz w:val="22"/>
                <w:szCs w:val="22"/>
              </w:rPr>
            </w:pPr>
            <w:r w:rsidRPr="003D617D">
              <w:rPr>
                <w:rFonts w:eastAsia="Times New Roman"/>
                <w:b/>
                <w:bCs/>
                <w:sz w:val="22"/>
                <w:szCs w:val="22"/>
              </w:rPr>
              <w:t>Pearson r</w:t>
            </w:r>
            <w:r w:rsidR="006B7BA3">
              <w:rPr>
                <w:rFonts w:eastAsia="Times New Roman"/>
                <w:b/>
                <w:bCs/>
                <w:sz w:val="22"/>
                <w:szCs w:val="22"/>
              </w:rPr>
              <w:t xml:space="preserve"> =</w:t>
            </w:r>
          </w:p>
        </w:tc>
        <w:tc>
          <w:tcPr>
            <w:tcW w:w="1647" w:type="dxa"/>
            <w:shd w:val="clear" w:color="000000" w:fill="D9E2F3"/>
            <w:vAlign w:val="center"/>
            <w:hideMark/>
          </w:tcPr>
          <w:p w14:paraId="78929E5B" w14:textId="77777777" w:rsidR="003D617D" w:rsidRPr="003D617D" w:rsidRDefault="003D617D" w:rsidP="003D617D">
            <w:pPr>
              <w:jc w:val="center"/>
              <w:rPr>
                <w:rFonts w:eastAsia="Times New Roman"/>
                <w:b/>
                <w:bCs/>
                <w:sz w:val="22"/>
                <w:szCs w:val="22"/>
              </w:rPr>
            </w:pPr>
            <w:r w:rsidRPr="003D617D">
              <w:rPr>
                <w:rFonts w:eastAsia="Times New Roman"/>
                <w:b/>
                <w:bCs/>
                <w:sz w:val="22"/>
                <w:szCs w:val="22"/>
              </w:rPr>
              <w:t>Cohen (1988) Classification</w:t>
            </w:r>
          </w:p>
        </w:tc>
        <w:tc>
          <w:tcPr>
            <w:tcW w:w="1512" w:type="dxa"/>
            <w:shd w:val="clear" w:color="000000" w:fill="D9E2F3"/>
            <w:vAlign w:val="center"/>
            <w:hideMark/>
          </w:tcPr>
          <w:p w14:paraId="2BD1FE53" w14:textId="18E33FB7" w:rsidR="003D617D" w:rsidRPr="003D617D" w:rsidRDefault="003D617D" w:rsidP="003D617D">
            <w:pPr>
              <w:jc w:val="center"/>
              <w:rPr>
                <w:rFonts w:eastAsia="Times New Roman"/>
                <w:b/>
                <w:bCs/>
                <w:sz w:val="22"/>
                <w:szCs w:val="22"/>
              </w:rPr>
            </w:pPr>
            <w:r w:rsidRPr="003D617D">
              <w:rPr>
                <w:rFonts w:eastAsia="Times New Roman"/>
                <w:b/>
                <w:bCs/>
                <w:sz w:val="22"/>
                <w:szCs w:val="22"/>
              </w:rPr>
              <w:t xml:space="preserve">Significance </w:t>
            </w:r>
          </w:p>
        </w:tc>
        <w:tc>
          <w:tcPr>
            <w:tcW w:w="2535" w:type="dxa"/>
            <w:shd w:val="clear" w:color="000000" w:fill="D9E2F3"/>
            <w:vAlign w:val="center"/>
            <w:hideMark/>
          </w:tcPr>
          <w:p w14:paraId="321673F8" w14:textId="77777777" w:rsidR="003D617D" w:rsidRPr="003D617D" w:rsidRDefault="003D617D" w:rsidP="003D617D">
            <w:pPr>
              <w:jc w:val="center"/>
              <w:rPr>
                <w:rFonts w:eastAsia="Times New Roman"/>
                <w:b/>
                <w:bCs/>
                <w:sz w:val="22"/>
                <w:szCs w:val="22"/>
              </w:rPr>
            </w:pPr>
            <w:r w:rsidRPr="003D617D">
              <w:rPr>
                <w:rFonts w:eastAsia="Times New Roman"/>
                <w:b/>
                <w:bCs/>
                <w:sz w:val="22"/>
                <w:szCs w:val="22"/>
              </w:rPr>
              <w:t>Interpretation</w:t>
            </w:r>
          </w:p>
        </w:tc>
      </w:tr>
      <w:tr w:rsidR="004B5EFE" w:rsidRPr="003D617D" w14:paraId="7052BE00" w14:textId="77777777" w:rsidTr="008177D6">
        <w:trPr>
          <w:trHeight w:val="300"/>
        </w:trPr>
        <w:tc>
          <w:tcPr>
            <w:tcW w:w="2440" w:type="dxa"/>
            <w:noWrap/>
            <w:vAlign w:val="center"/>
            <w:hideMark/>
          </w:tcPr>
          <w:p w14:paraId="1B7D6E33" w14:textId="77777777" w:rsidR="003D617D" w:rsidRPr="003D617D" w:rsidRDefault="003D617D" w:rsidP="008177D6">
            <w:pPr>
              <w:rPr>
                <w:rFonts w:eastAsia="Times New Roman"/>
                <w:color w:val="000000"/>
                <w:sz w:val="20"/>
                <w:szCs w:val="20"/>
              </w:rPr>
            </w:pPr>
            <w:r w:rsidRPr="003D617D">
              <w:rPr>
                <w:rFonts w:eastAsia="Times New Roman"/>
                <w:color w:val="000000"/>
                <w:sz w:val="20"/>
                <w:szCs w:val="20"/>
              </w:rPr>
              <w:t>Familiarity ↔ Barriers</w:t>
            </w:r>
          </w:p>
        </w:tc>
        <w:tc>
          <w:tcPr>
            <w:tcW w:w="1085" w:type="dxa"/>
            <w:noWrap/>
            <w:vAlign w:val="center"/>
            <w:hideMark/>
          </w:tcPr>
          <w:p w14:paraId="35F94FBA" w14:textId="7A880B48" w:rsidR="003D617D" w:rsidRPr="003D617D" w:rsidRDefault="003D617D" w:rsidP="004B5EFE">
            <w:pPr>
              <w:jc w:val="center"/>
              <w:rPr>
                <w:rFonts w:eastAsia="Times New Roman"/>
                <w:sz w:val="20"/>
                <w:szCs w:val="20"/>
              </w:rPr>
            </w:pPr>
            <w:r w:rsidRPr="003D617D">
              <w:rPr>
                <w:rFonts w:eastAsia="Times New Roman"/>
                <w:sz w:val="20"/>
                <w:szCs w:val="20"/>
              </w:rPr>
              <w:t>0.</w:t>
            </w:r>
            <w:r w:rsidR="004B5EFE">
              <w:rPr>
                <w:rFonts w:eastAsia="Times New Roman"/>
                <w:sz w:val="20"/>
                <w:szCs w:val="20"/>
              </w:rPr>
              <w:t>60</w:t>
            </w:r>
          </w:p>
        </w:tc>
        <w:tc>
          <w:tcPr>
            <w:tcW w:w="1647" w:type="dxa"/>
            <w:noWrap/>
            <w:vAlign w:val="center"/>
            <w:hideMark/>
          </w:tcPr>
          <w:p w14:paraId="38746B10" w14:textId="77777777" w:rsidR="003D617D" w:rsidRPr="003D617D" w:rsidRDefault="003D617D" w:rsidP="004B5EFE">
            <w:pPr>
              <w:jc w:val="center"/>
              <w:rPr>
                <w:rFonts w:eastAsia="Times New Roman"/>
                <w:color w:val="000000"/>
                <w:sz w:val="20"/>
                <w:szCs w:val="20"/>
              </w:rPr>
            </w:pPr>
            <w:r w:rsidRPr="003D617D">
              <w:rPr>
                <w:rFonts w:eastAsia="Times New Roman"/>
                <w:color w:val="000000"/>
                <w:sz w:val="20"/>
                <w:szCs w:val="20"/>
              </w:rPr>
              <w:t>Strong</w:t>
            </w:r>
          </w:p>
        </w:tc>
        <w:tc>
          <w:tcPr>
            <w:tcW w:w="1512" w:type="dxa"/>
            <w:noWrap/>
            <w:vAlign w:val="center"/>
            <w:hideMark/>
          </w:tcPr>
          <w:p w14:paraId="653C0C24" w14:textId="74847757" w:rsidR="003D617D" w:rsidRPr="003D617D" w:rsidRDefault="003D617D" w:rsidP="004B5EFE">
            <w:pPr>
              <w:jc w:val="center"/>
              <w:rPr>
                <w:rFonts w:eastAsia="Times New Roman"/>
                <w:color w:val="000000"/>
                <w:sz w:val="20"/>
                <w:szCs w:val="20"/>
              </w:rPr>
            </w:pPr>
            <w:r w:rsidRPr="003D617D">
              <w:rPr>
                <w:rFonts w:eastAsia="Times New Roman"/>
                <w:color w:val="000000"/>
                <w:sz w:val="20"/>
                <w:szCs w:val="20"/>
              </w:rPr>
              <w:t>p &lt; 0.01</w:t>
            </w:r>
          </w:p>
        </w:tc>
        <w:tc>
          <w:tcPr>
            <w:tcW w:w="2535" w:type="dxa"/>
            <w:noWrap/>
            <w:vAlign w:val="center"/>
            <w:hideMark/>
          </w:tcPr>
          <w:p w14:paraId="4BAABE48" w14:textId="142134DB" w:rsidR="003D617D" w:rsidRPr="003D617D" w:rsidRDefault="003D617D" w:rsidP="008177D6">
            <w:pPr>
              <w:ind w:left="160" w:hanging="142"/>
              <w:rPr>
                <w:rFonts w:eastAsia="Times New Roman"/>
                <w:color w:val="000000"/>
                <w:sz w:val="20"/>
                <w:szCs w:val="20"/>
              </w:rPr>
            </w:pPr>
            <w:r w:rsidRPr="003D617D">
              <w:rPr>
                <w:rFonts w:eastAsia="Times New Roman"/>
                <w:color w:val="000000"/>
                <w:sz w:val="20"/>
                <w:szCs w:val="20"/>
              </w:rPr>
              <w:t>0.</w:t>
            </w:r>
            <w:r w:rsidR="00875E74">
              <w:rPr>
                <w:rFonts w:eastAsia="Times New Roman"/>
                <w:color w:val="000000"/>
                <w:sz w:val="20"/>
                <w:szCs w:val="20"/>
              </w:rPr>
              <w:t>60</w:t>
            </w:r>
            <w:r w:rsidR="006B7BA3" w:rsidRPr="006B7BA3">
              <w:rPr>
                <w:rFonts w:eastAsia="Times New Roman"/>
                <w:color w:val="000000"/>
                <w:sz w:val="20"/>
                <w:szCs w:val="20"/>
              </w:rPr>
              <w:t xml:space="preserve"> - </w:t>
            </w:r>
            <w:r w:rsidRPr="003D617D">
              <w:rPr>
                <w:rFonts w:eastAsia="Times New Roman"/>
                <w:color w:val="000000"/>
                <w:sz w:val="20"/>
                <w:szCs w:val="20"/>
              </w:rPr>
              <w:t>Strong positive</w:t>
            </w:r>
          </w:p>
        </w:tc>
      </w:tr>
      <w:tr w:rsidR="004B5EFE" w:rsidRPr="003D617D" w14:paraId="38C512C2" w14:textId="77777777" w:rsidTr="008177D6">
        <w:trPr>
          <w:trHeight w:val="300"/>
        </w:trPr>
        <w:tc>
          <w:tcPr>
            <w:tcW w:w="2440" w:type="dxa"/>
            <w:noWrap/>
            <w:vAlign w:val="center"/>
            <w:hideMark/>
          </w:tcPr>
          <w:p w14:paraId="314FEAC8" w14:textId="77777777" w:rsidR="003D617D" w:rsidRPr="003D617D" w:rsidRDefault="003D617D" w:rsidP="008177D6">
            <w:pPr>
              <w:rPr>
                <w:rFonts w:eastAsia="Times New Roman"/>
                <w:color w:val="000000"/>
                <w:sz w:val="20"/>
                <w:szCs w:val="20"/>
              </w:rPr>
            </w:pPr>
            <w:r w:rsidRPr="003D617D">
              <w:rPr>
                <w:rFonts w:eastAsia="Times New Roman"/>
                <w:color w:val="000000"/>
                <w:sz w:val="20"/>
                <w:szCs w:val="20"/>
              </w:rPr>
              <w:t>Familiarity ↔ Benefits</w:t>
            </w:r>
          </w:p>
        </w:tc>
        <w:tc>
          <w:tcPr>
            <w:tcW w:w="1085" w:type="dxa"/>
            <w:noWrap/>
            <w:vAlign w:val="center"/>
            <w:hideMark/>
          </w:tcPr>
          <w:p w14:paraId="61EEB9F8" w14:textId="5025B281" w:rsidR="003D617D" w:rsidRPr="003D617D" w:rsidRDefault="003D617D" w:rsidP="004B5EFE">
            <w:pPr>
              <w:jc w:val="center"/>
              <w:rPr>
                <w:rFonts w:eastAsia="Times New Roman"/>
                <w:sz w:val="20"/>
                <w:szCs w:val="20"/>
              </w:rPr>
            </w:pPr>
            <w:r w:rsidRPr="003D617D">
              <w:rPr>
                <w:rFonts w:eastAsia="Times New Roman"/>
                <w:sz w:val="20"/>
                <w:szCs w:val="20"/>
              </w:rPr>
              <w:t>0.32</w:t>
            </w:r>
          </w:p>
        </w:tc>
        <w:tc>
          <w:tcPr>
            <w:tcW w:w="1647" w:type="dxa"/>
            <w:noWrap/>
            <w:vAlign w:val="center"/>
            <w:hideMark/>
          </w:tcPr>
          <w:p w14:paraId="1E614B98" w14:textId="77777777" w:rsidR="003D617D" w:rsidRPr="003D617D" w:rsidRDefault="003D617D" w:rsidP="004B5EFE">
            <w:pPr>
              <w:jc w:val="center"/>
              <w:rPr>
                <w:rFonts w:eastAsia="Times New Roman"/>
                <w:color w:val="000000"/>
                <w:sz w:val="20"/>
                <w:szCs w:val="20"/>
              </w:rPr>
            </w:pPr>
            <w:r w:rsidRPr="003D617D">
              <w:rPr>
                <w:rFonts w:eastAsia="Times New Roman"/>
                <w:color w:val="000000"/>
                <w:sz w:val="20"/>
                <w:szCs w:val="20"/>
              </w:rPr>
              <w:t>Moderate</w:t>
            </w:r>
          </w:p>
        </w:tc>
        <w:tc>
          <w:tcPr>
            <w:tcW w:w="1512" w:type="dxa"/>
            <w:noWrap/>
            <w:vAlign w:val="center"/>
            <w:hideMark/>
          </w:tcPr>
          <w:p w14:paraId="159DBA4C" w14:textId="14997782" w:rsidR="003D617D" w:rsidRPr="003D617D" w:rsidRDefault="003D617D" w:rsidP="004B5EFE">
            <w:pPr>
              <w:jc w:val="center"/>
              <w:rPr>
                <w:rFonts w:eastAsia="Times New Roman"/>
                <w:color w:val="000000"/>
                <w:sz w:val="20"/>
                <w:szCs w:val="20"/>
              </w:rPr>
            </w:pPr>
            <w:r w:rsidRPr="003D617D">
              <w:rPr>
                <w:rFonts w:eastAsia="Times New Roman"/>
                <w:color w:val="000000"/>
                <w:sz w:val="20"/>
                <w:szCs w:val="20"/>
              </w:rPr>
              <w:t>p &lt; 0.01</w:t>
            </w:r>
          </w:p>
        </w:tc>
        <w:tc>
          <w:tcPr>
            <w:tcW w:w="2535" w:type="dxa"/>
            <w:noWrap/>
            <w:vAlign w:val="center"/>
            <w:hideMark/>
          </w:tcPr>
          <w:p w14:paraId="5F00B24D" w14:textId="5A7A03AC" w:rsidR="003D617D" w:rsidRPr="003D617D" w:rsidRDefault="003D617D" w:rsidP="008177D6">
            <w:pPr>
              <w:ind w:left="160" w:hanging="142"/>
              <w:rPr>
                <w:rFonts w:eastAsia="Times New Roman"/>
                <w:color w:val="000000"/>
                <w:sz w:val="20"/>
                <w:szCs w:val="20"/>
              </w:rPr>
            </w:pPr>
            <w:r w:rsidRPr="003D617D">
              <w:rPr>
                <w:rFonts w:eastAsia="Times New Roman"/>
                <w:color w:val="000000"/>
                <w:sz w:val="20"/>
                <w:szCs w:val="20"/>
              </w:rPr>
              <w:t xml:space="preserve">0.32 </w:t>
            </w:r>
            <w:r w:rsidR="006B7BA3" w:rsidRPr="006B7BA3">
              <w:rPr>
                <w:rFonts w:eastAsia="Times New Roman"/>
                <w:color w:val="000000"/>
                <w:sz w:val="20"/>
                <w:szCs w:val="20"/>
              </w:rPr>
              <w:t>-</w:t>
            </w:r>
            <w:r w:rsidRPr="003D617D">
              <w:rPr>
                <w:rFonts w:eastAsia="Times New Roman"/>
                <w:color w:val="000000"/>
                <w:sz w:val="20"/>
                <w:szCs w:val="20"/>
              </w:rPr>
              <w:t xml:space="preserve"> Moderate positive</w:t>
            </w:r>
          </w:p>
        </w:tc>
      </w:tr>
      <w:tr w:rsidR="004B5EFE" w:rsidRPr="003D617D" w14:paraId="7E003BF4" w14:textId="77777777" w:rsidTr="008177D6">
        <w:trPr>
          <w:trHeight w:val="300"/>
        </w:trPr>
        <w:tc>
          <w:tcPr>
            <w:tcW w:w="2440" w:type="dxa"/>
            <w:noWrap/>
            <w:vAlign w:val="center"/>
            <w:hideMark/>
          </w:tcPr>
          <w:p w14:paraId="7B6D6DB2" w14:textId="77777777" w:rsidR="003D617D" w:rsidRPr="003D617D" w:rsidRDefault="003D617D" w:rsidP="008177D6">
            <w:pPr>
              <w:rPr>
                <w:rFonts w:eastAsia="Times New Roman"/>
                <w:color w:val="000000"/>
                <w:sz w:val="20"/>
                <w:szCs w:val="20"/>
              </w:rPr>
            </w:pPr>
            <w:r w:rsidRPr="003D617D">
              <w:rPr>
                <w:rFonts w:eastAsia="Times New Roman"/>
                <w:color w:val="000000"/>
                <w:sz w:val="20"/>
                <w:szCs w:val="20"/>
              </w:rPr>
              <w:t>Familiarity ↔ Readiness</w:t>
            </w:r>
          </w:p>
        </w:tc>
        <w:tc>
          <w:tcPr>
            <w:tcW w:w="1085" w:type="dxa"/>
            <w:noWrap/>
            <w:vAlign w:val="center"/>
            <w:hideMark/>
          </w:tcPr>
          <w:p w14:paraId="301641F9" w14:textId="513DE7B0" w:rsidR="003D617D" w:rsidRPr="003D617D" w:rsidRDefault="003D617D" w:rsidP="004B5EFE">
            <w:pPr>
              <w:jc w:val="center"/>
              <w:rPr>
                <w:rFonts w:eastAsia="Times New Roman"/>
                <w:sz w:val="20"/>
                <w:szCs w:val="20"/>
              </w:rPr>
            </w:pPr>
            <w:r w:rsidRPr="003D617D">
              <w:rPr>
                <w:rFonts w:eastAsia="Times New Roman"/>
                <w:sz w:val="20"/>
                <w:szCs w:val="20"/>
              </w:rPr>
              <w:t>0.21</w:t>
            </w:r>
          </w:p>
        </w:tc>
        <w:tc>
          <w:tcPr>
            <w:tcW w:w="1647" w:type="dxa"/>
            <w:noWrap/>
            <w:vAlign w:val="center"/>
            <w:hideMark/>
          </w:tcPr>
          <w:p w14:paraId="60EDAE1E" w14:textId="77777777" w:rsidR="003D617D" w:rsidRPr="003D617D" w:rsidRDefault="003D617D" w:rsidP="004B5EFE">
            <w:pPr>
              <w:jc w:val="center"/>
              <w:rPr>
                <w:rFonts w:eastAsia="Times New Roman"/>
                <w:color w:val="000000"/>
                <w:sz w:val="20"/>
                <w:szCs w:val="20"/>
              </w:rPr>
            </w:pPr>
            <w:r w:rsidRPr="003D617D">
              <w:rPr>
                <w:rFonts w:eastAsia="Times New Roman"/>
                <w:color w:val="000000"/>
                <w:sz w:val="20"/>
                <w:szCs w:val="20"/>
              </w:rPr>
              <w:t>Small</w:t>
            </w:r>
          </w:p>
        </w:tc>
        <w:tc>
          <w:tcPr>
            <w:tcW w:w="1512" w:type="dxa"/>
            <w:noWrap/>
            <w:vAlign w:val="center"/>
            <w:hideMark/>
          </w:tcPr>
          <w:p w14:paraId="193DABBD" w14:textId="77777777" w:rsidR="003D617D" w:rsidRPr="003D617D" w:rsidRDefault="003D617D" w:rsidP="004B5EFE">
            <w:pPr>
              <w:jc w:val="center"/>
              <w:rPr>
                <w:rFonts w:eastAsia="Times New Roman"/>
                <w:color w:val="000000"/>
                <w:sz w:val="20"/>
                <w:szCs w:val="20"/>
              </w:rPr>
            </w:pPr>
            <w:r w:rsidRPr="003D617D">
              <w:rPr>
                <w:rFonts w:eastAsia="Times New Roman"/>
                <w:color w:val="000000"/>
                <w:sz w:val="20"/>
                <w:szCs w:val="20"/>
              </w:rPr>
              <w:t>Not significant</w:t>
            </w:r>
          </w:p>
        </w:tc>
        <w:tc>
          <w:tcPr>
            <w:tcW w:w="2535" w:type="dxa"/>
            <w:noWrap/>
            <w:vAlign w:val="center"/>
            <w:hideMark/>
          </w:tcPr>
          <w:p w14:paraId="6DF22848" w14:textId="58F580B6" w:rsidR="003D617D" w:rsidRPr="003D617D" w:rsidRDefault="003D617D" w:rsidP="008177D6">
            <w:pPr>
              <w:ind w:left="160" w:hanging="142"/>
              <w:rPr>
                <w:rFonts w:eastAsia="Times New Roman"/>
                <w:color w:val="000000"/>
                <w:sz w:val="20"/>
                <w:szCs w:val="20"/>
              </w:rPr>
            </w:pPr>
            <w:r w:rsidRPr="003D617D">
              <w:rPr>
                <w:rFonts w:eastAsia="Times New Roman"/>
                <w:color w:val="000000"/>
                <w:sz w:val="20"/>
                <w:szCs w:val="20"/>
              </w:rPr>
              <w:t xml:space="preserve">0.21 </w:t>
            </w:r>
            <w:r w:rsidR="006B7BA3" w:rsidRPr="006B7BA3">
              <w:rPr>
                <w:rFonts w:eastAsia="Times New Roman"/>
                <w:color w:val="000000"/>
                <w:sz w:val="20"/>
                <w:szCs w:val="20"/>
              </w:rPr>
              <w:t>-</w:t>
            </w:r>
            <w:r w:rsidRPr="003D617D">
              <w:rPr>
                <w:rFonts w:eastAsia="Times New Roman"/>
                <w:color w:val="000000"/>
                <w:sz w:val="20"/>
                <w:szCs w:val="20"/>
              </w:rPr>
              <w:t xml:space="preserve"> Small positive</w:t>
            </w:r>
          </w:p>
        </w:tc>
      </w:tr>
      <w:tr w:rsidR="004B5EFE" w:rsidRPr="003D617D" w14:paraId="78831032" w14:textId="77777777" w:rsidTr="008177D6">
        <w:trPr>
          <w:trHeight w:val="300"/>
        </w:trPr>
        <w:tc>
          <w:tcPr>
            <w:tcW w:w="2440" w:type="dxa"/>
            <w:noWrap/>
            <w:vAlign w:val="center"/>
            <w:hideMark/>
          </w:tcPr>
          <w:p w14:paraId="6A08EBC3" w14:textId="77777777" w:rsidR="003D617D" w:rsidRPr="003D617D" w:rsidRDefault="003D617D" w:rsidP="008177D6">
            <w:pPr>
              <w:rPr>
                <w:rFonts w:eastAsia="Times New Roman"/>
                <w:color w:val="000000"/>
                <w:sz w:val="20"/>
                <w:szCs w:val="20"/>
              </w:rPr>
            </w:pPr>
            <w:r w:rsidRPr="003D617D">
              <w:rPr>
                <w:rFonts w:eastAsia="Times New Roman"/>
                <w:color w:val="000000"/>
                <w:sz w:val="20"/>
                <w:szCs w:val="20"/>
              </w:rPr>
              <w:t>Benefits ↔ Readiness</w:t>
            </w:r>
          </w:p>
        </w:tc>
        <w:tc>
          <w:tcPr>
            <w:tcW w:w="1085" w:type="dxa"/>
            <w:noWrap/>
            <w:vAlign w:val="center"/>
            <w:hideMark/>
          </w:tcPr>
          <w:p w14:paraId="734975DF" w14:textId="5DA9BFAB" w:rsidR="003D617D" w:rsidRPr="003D617D" w:rsidRDefault="003D617D" w:rsidP="004B5EFE">
            <w:pPr>
              <w:jc w:val="center"/>
              <w:rPr>
                <w:rFonts w:eastAsia="Times New Roman"/>
                <w:sz w:val="20"/>
                <w:szCs w:val="20"/>
              </w:rPr>
            </w:pPr>
            <w:r w:rsidRPr="003D617D">
              <w:rPr>
                <w:rFonts w:eastAsia="Times New Roman"/>
                <w:sz w:val="20"/>
                <w:szCs w:val="20"/>
              </w:rPr>
              <w:t>0.3</w:t>
            </w:r>
            <w:r w:rsidR="004B5EFE">
              <w:rPr>
                <w:rFonts w:eastAsia="Times New Roman"/>
                <w:sz w:val="20"/>
                <w:szCs w:val="20"/>
              </w:rPr>
              <w:t>2</w:t>
            </w:r>
          </w:p>
        </w:tc>
        <w:tc>
          <w:tcPr>
            <w:tcW w:w="1647" w:type="dxa"/>
            <w:noWrap/>
            <w:vAlign w:val="center"/>
            <w:hideMark/>
          </w:tcPr>
          <w:p w14:paraId="643BEAA3" w14:textId="77777777" w:rsidR="003D617D" w:rsidRPr="003D617D" w:rsidRDefault="003D617D" w:rsidP="004B5EFE">
            <w:pPr>
              <w:jc w:val="center"/>
              <w:rPr>
                <w:rFonts w:eastAsia="Times New Roman"/>
                <w:color w:val="000000"/>
                <w:sz w:val="20"/>
                <w:szCs w:val="20"/>
              </w:rPr>
            </w:pPr>
            <w:r w:rsidRPr="003D617D">
              <w:rPr>
                <w:rFonts w:eastAsia="Times New Roman"/>
                <w:color w:val="000000"/>
                <w:sz w:val="20"/>
                <w:szCs w:val="20"/>
              </w:rPr>
              <w:t>Moderate</w:t>
            </w:r>
          </w:p>
        </w:tc>
        <w:tc>
          <w:tcPr>
            <w:tcW w:w="1512" w:type="dxa"/>
            <w:noWrap/>
            <w:vAlign w:val="center"/>
            <w:hideMark/>
          </w:tcPr>
          <w:p w14:paraId="69A56E84" w14:textId="537C9BD0" w:rsidR="003D617D" w:rsidRPr="003D617D" w:rsidRDefault="003D617D" w:rsidP="004B5EFE">
            <w:pPr>
              <w:jc w:val="center"/>
              <w:rPr>
                <w:rFonts w:eastAsia="Times New Roman"/>
                <w:color w:val="000000"/>
                <w:sz w:val="20"/>
                <w:szCs w:val="20"/>
              </w:rPr>
            </w:pPr>
            <w:r w:rsidRPr="003D617D">
              <w:rPr>
                <w:rFonts w:eastAsia="Times New Roman"/>
                <w:color w:val="000000"/>
                <w:sz w:val="20"/>
                <w:szCs w:val="20"/>
              </w:rPr>
              <w:t>p &lt; 0.01</w:t>
            </w:r>
          </w:p>
        </w:tc>
        <w:tc>
          <w:tcPr>
            <w:tcW w:w="2535" w:type="dxa"/>
            <w:noWrap/>
            <w:vAlign w:val="center"/>
            <w:hideMark/>
          </w:tcPr>
          <w:p w14:paraId="0A8DAF19" w14:textId="5DA550D9" w:rsidR="003D617D" w:rsidRPr="003D617D" w:rsidRDefault="003D617D" w:rsidP="008177D6">
            <w:pPr>
              <w:ind w:left="160" w:hanging="142"/>
              <w:rPr>
                <w:rFonts w:eastAsia="Times New Roman"/>
                <w:color w:val="000000"/>
                <w:sz w:val="20"/>
                <w:szCs w:val="20"/>
              </w:rPr>
            </w:pPr>
            <w:r w:rsidRPr="003D617D">
              <w:rPr>
                <w:rFonts w:eastAsia="Times New Roman"/>
                <w:color w:val="000000"/>
                <w:sz w:val="20"/>
                <w:szCs w:val="20"/>
              </w:rPr>
              <w:t>0.3</w:t>
            </w:r>
            <w:r w:rsidR="00875E74">
              <w:rPr>
                <w:rFonts w:eastAsia="Times New Roman"/>
                <w:color w:val="000000"/>
                <w:sz w:val="20"/>
                <w:szCs w:val="20"/>
              </w:rPr>
              <w:t>2</w:t>
            </w:r>
            <w:r w:rsidRPr="003D617D">
              <w:rPr>
                <w:rFonts w:eastAsia="Times New Roman"/>
                <w:color w:val="000000"/>
                <w:sz w:val="20"/>
                <w:szCs w:val="20"/>
              </w:rPr>
              <w:t xml:space="preserve"> </w:t>
            </w:r>
            <w:r w:rsidR="006B7BA3" w:rsidRPr="006B7BA3">
              <w:rPr>
                <w:rFonts w:eastAsia="Times New Roman"/>
                <w:color w:val="000000"/>
                <w:sz w:val="20"/>
                <w:szCs w:val="20"/>
              </w:rPr>
              <w:t>-</w:t>
            </w:r>
            <w:r w:rsidRPr="003D617D">
              <w:rPr>
                <w:rFonts w:eastAsia="Times New Roman"/>
                <w:color w:val="000000"/>
                <w:sz w:val="20"/>
                <w:szCs w:val="20"/>
              </w:rPr>
              <w:t xml:space="preserve"> Moderate positive</w:t>
            </w:r>
          </w:p>
        </w:tc>
      </w:tr>
      <w:tr w:rsidR="004B5EFE" w:rsidRPr="003D617D" w14:paraId="01F05926" w14:textId="77777777" w:rsidTr="008177D6">
        <w:trPr>
          <w:trHeight w:val="300"/>
        </w:trPr>
        <w:tc>
          <w:tcPr>
            <w:tcW w:w="2440" w:type="dxa"/>
            <w:noWrap/>
            <w:vAlign w:val="center"/>
            <w:hideMark/>
          </w:tcPr>
          <w:p w14:paraId="57113E41" w14:textId="77777777" w:rsidR="003D617D" w:rsidRPr="003D617D" w:rsidRDefault="003D617D" w:rsidP="008177D6">
            <w:pPr>
              <w:rPr>
                <w:rFonts w:eastAsia="Times New Roman"/>
                <w:color w:val="000000"/>
                <w:sz w:val="20"/>
                <w:szCs w:val="20"/>
              </w:rPr>
            </w:pPr>
            <w:r w:rsidRPr="003D617D">
              <w:rPr>
                <w:rFonts w:eastAsia="Times New Roman"/>
                <w:color w:val="000000"/>
                <w:sz w:val="20"/>
                <w:szCs w:val="20"/>
              </w:rPr>
              <w:t>Benefits ↔ Barriers</w:t>
            </w:r>
          </w:p>
        </w:tc>
        <w:tc>
          <w:tcPr>
            <w:tcW w:w="1085" w:type="dxa"/>
            <w:noWrap/>
            <w:vAlign w:val="center"/>
            <w:hideMark/>
          </w:tcPr>
          <w:p w14:paraId="4B8E39A0" w14:textId="542AE773" w:rsidR="003D617D" w:rsidRPr="003D617D" w:rsidRDefault="003D617D" w:rsidP="004B5EFE">
            <w:pPr>
              <w:jc w:val="center"/>
              <w:rPr>
                <w:rFonts w:eastAsia="Times New Roman"/>
                <w:sz w:val="20"/>
                <w:szCs w:val="20"/>
              </w:rPr>
            </w:pPr>
            <w:r w:rsidRPr="003D617D">
              <w:rPr>
                <w:rFonts w:eastAsia="Times New Roman"/>
                <w:sz w:val="20"/>
                <w:szCs w:val="20"/>
              </w:rPr>
              <w:t>0.03</w:t>
            </w:r>
          </w:p>
        </w:tc>
        <w:tc>
          <w:tcPr>
            <w:tcW w:w="1647" w:type="dxa"/>
            <w:noWrap/>
            <w:vAlign w:val="center"/>
            <w:hideMark/>
          </w:tcPr>
          <w:p w14:paraId="2A458C30" w14:textId="77777777" w:rsidR="003D617D" w:rsidRPr="003D617D" w:rsidRDefault="003D617D" w:rsidP="004B5EFE">
            <w:pPr>
              <w:jc w:val="center"/>
              <w:rPr>
                <w:rFonts w:eastAsia="Times New Roman"/>
                <w:color w:val="000000"/>
                <w:sz w:val="20"/>
                <w:szCs w:val="20"/>
              </w:rPr>
            </w:pPr>
            <w:r w:rsidRPr="003D617D">
              <w:rPr>
                <w:rFonts w:eastAsia="Times New Roman"/>
                <w:color w:val="000000"/>
                <w:sz w:val="20"/>
                <w:szCs w:val="20"/>
              </w:rPr>
              <w:t>Negligible</w:t>
            </w:r>
          </w:p>
        </w:tc>
        <w:tc>
          <w:tcPr>
            <w:tcW w:w="1512" w:type="dxa"/>
            <w:noWrap/>
            <w:vAlign w:val="center"/>
            <w:hideMark/>
          </w:tcPr>
          <w:p w14:paraId="491FD7D7" w14:textId="77777777" w:rsidR="003D617D" w:rsidRPr="003D617D" w:rsidRDefault="003D617D" w:rsidP="004B5EFE">
            <w:pPr>
              <w:jc w:val="center"/>
              <w:rPr>
                <w:rFonts w:eastAsia="Times New Roman"/>
                <w:color w:val="000000"/>
                <w:sz w:val="20"/>
                <w:szCs w:val="20"/>
              </w:rPr>
            </w:pPr>
            <w:r w:rsidRPr="003D617D">
              <w:rPr>
                <w:rFonts w:eastAsia="Times New Roman"/>
                <w:color w:val="000000"/>
                <w:sz w:val="20"/>
                <w:szCs w:val="20"/>
              </w:rPr>
              <w:t>Not significant</w:t>
            </w:r>
          </w:p>
        </w:tc>
        <w:tc>
          <w:tcPr>
            <w:tcW w:w="2535" w:type="dxa"/>
            <w:noWrap/>
            <w:vAlign w:val="center"/>
            <w:hideMark/>
          </w:tcPr>
          <w:p w14:paraId="65A83B1B" w14:textId="28C3EE8C" w:rsidR="003D617D" w:rsidRPr="003D617D" w:rsidRDefault="003D617D" w:rsidP="008177D6">
            <w:pPr>
              <w:ind w:left="160" w:hanging="142"/>
              <w:rPr>
                <w:rFonts w:eastAsia="Times New Roman"/>
                <w:color w:val="000000"/>
                <w:sz w:val="20"/>
                <w:szCs w:val="20"/>
              </w:rPr>
            </w:pPr>
            <w:r w:rsidRPr="003D617D">
              <w:rPr>
                <w:rFonts w:eastAsia="Times New Roman"/>
                <w:color w:val="000000"/>
                <w:sz w:val="20"/>
                <w:szCs w:val="20"/>
              </w:rPr>
              <w:t xml:space="preserve">0.03 </w:t>
            </w:r>
            <w:r w:rsidR="006B7BA3" w:rsidRPr="006B7BA3">
              <w:rPr>
                <w:rFonts w:eastAsia="Times New Roman"/>
                <w:color w:val="000000"/>
                <w:sz w:val="20"/>
                <w:szCs w:val="20"/>
              </w:rPr>
              <w:t>-</w:t>
            </w:r>
            <w:r w:rsidRPr="003D617D">
              <w:rPr>
                <w:rFonts w:eastAsia="Times New Roman"/>
                <w:color w:val="000000"/>
                <w:sz w:val="20"/>
                <w:szCs w:val="20"/>
              </w:rPr>
              <w:t xml:space="preserve"> Negligible</w:t>
            </w:r>
          </w:p>
        </w:tc>
      </w:tr>
      <w:tr w:rsidR="006B7BA3" w:rsidRPr="003D617D" w14:paraId="30B723CA" w14:textId="77777777" w:rsidTr="008177D6">
        <w:trPr>
          <w:trHeight w:val="300"/>
        </w:trPr>
        <w:tc>
          <w:tcPr>
            <w:tcW w:w="2440" w:type="dxa"/>
            <w:noWrap/>
            <w:vAlign w:val="center"/>
            <w:hideMark/>
          </w:tcPr>
          <w:p w14:paraId="7C98AE37" w14:textId="77777777" w:rsidR="003D617D" w:rsidRPr="003D617D" w:rsidRDefault="003D617D" w:rsidP="008177D6">
            <w:pPr>
              <w:rPr>
                <w:rFonts w:eastAsia="Times New Roman"/>
                <w:color w:val="000000"/>
                <w:sz w:val="20"/>
                <w:szCs w:val="20"/>
              </w:rPr>
            </w:pPr>
            <w:r w:rsidRPr="003D617D">
              <w:rPr>
                <w:rFonts w:eastAsia="Times New Roman"/>
                <w:color w:val="000000"/>
                <w:sz w:val="20"/>
                <w:szCs w:val="20"/>
              </w:rPr>
              <w:t>Readiness ↔ Barriers</w:t>
            </w:r>
          </w:p>
        </w:tc>
        <w:tc>
          <w:tcPr>
            <w:tcW w:w="1085" w:type="dxa"/>
            <w:noWrap/>
            <w:vAlign w:val="center"/>
            <w:hideMark/>
          </w:tcPr>
          <w:p w14:paraId="086062A8" w14:textId="0CFE08F0" w:rsidR="003D617D" w:rsidRPr="003D617D" w:rsidRDefault="003D617D" w:rsidP="004B5EFE">
            <w:pPr>
              <w:jc w:val="center"/>
              <w:rPr>
                <w:rFonts w:eastAsia="Times New Roman"/>
                <w:sz w:val="20"/>
                <w:szCs w:val="20"/>
              </w:rPr>
            </w:pPr>
            <w:r w:rsidRPr="003D617D">
              <w:rPr>
                <w:rFonts w:eastAsia="Times New Roman"/>
                <w:sz w:val="20"/>
                <w:szCs w:val="20"/>
              </w:rPr>
              <w:t>0.22</w:t>
            </w:r>
          </w:p>
        </w:tc>
        <w:tc>
          <w:tcPr>
            <w:tcW w:w="1647" w:type="dxa"/>
            <w:noWrap/>
            <w:vAlign w:val="center"/>
            <w:hideMark/>
          </w:tcPr>
          <w:p w14:paraId="74B57602" w14:textId="77777777" w:rsidR="003D617D" w:rsidRPr="003D617D" w:rsidRDefault="003D617D" w:rsidP="004B5EFE">
            <w:pPr>
              <w:jc w:val="center"/>
              <w:rPr>
                <w:rFonts w:eastAsia="Times New Roman"/>
                <w:color w:val="000000"/>
                <w:sz w:val="20"/>
                <w:szCs w:val="20"/>
              </w:rPr>
            </w:pPr>
            <w:r w:rsidRPr="003D617D">
              <w:rPr>
                <w:rFonts w:eastAsia="Times New Roman"/>
                <w:color w:val="000000"/>
                <w:sz w:val="20"/>
                <w:szCs w:val="20"/>
              </w:rPr>
              <w:t>Small</w:t>
            </w:r>
          </w:p>
        </w:tc>
        <w:tc>
          <w:tcPr>
            <w:tcW w:w="1512" w:type="dxa"/>
            <w:noWrap/>
            <w:vAlign w:val="center"/>
            <w:hideMark/>
          </w:tcPr>
          <w:p w14:paraId="707D26A8" w14:textId="52430728" w:rsidR="003D617D" w:rsidRPr="003D617D" w:rsidRDefault="003D617D" w:rsidP="004B5EFE">
            <w:pPr>
              <w:jc w:val="center"/>
              <w:rPr>
                <w:rFonts w:eastAsia="Times New Roman"/>
                <w:color w:val="000000"/>
                <w:sz w:val="20"/>
                <w:szCs w:val="20"/>
              </w:rPr>
            </w:pPr>
            <w:r w:rsidRPr="003D617D">
              <w:rPr>
                <w:rFonts w:eastAsia="Times New Roman"/>
                <w:color w:val="000000"/>
                <w:sz w:val="20"/>
                <w:szCs w:val="20"/>
              </w:rPr>
              <w:t xml:space="preserve">p &lt; 0.05 </w:t>
            </w:r>
          </w:p>
        </w:tc>
        <w:tc>
          <w:tcPr>
            <w:tcW w:w="2535" w:type="dxa"/>
            <w:noWrap/>
            <w:vAlign w:val="center"/>
            <w:hideMark/>
          </w:tcPr>
          <w:p w14:paraId="0C40E5A8" w14:textId="7D0964C5" w:rsidR="003D617D" w:rsidRPr="003D617D" w:rsidRDefault="003D617D" w:rsidP="008177D6">
            <w:pPr>
              <w:ind w:left="160" w:hanging="142"/>
              <w:rPr>
                <w:rFonts w:eastAsia="Times New Roman"/>
                <w:color w:val="000000"/>
                <w:sz w:val="20"/>
                <w:szCs w:val="20"/>
              </w:rPr>
            </w:pPr>
            <w:r w:rsidRPr="003D617D">
              <w:rPr>
                <w:rFonts w:eastAsia="Times New Roman"/>
                <w:color w:val="000000"/>
                <w:sz w:val="20"/>
                <w:szCs w:val="20"/>
              </w:rPr>
              <w:t xml:space="preserve">0.22 </w:t>
            </w:r>
            <w:r w:rsidR="006B7BA3" w:rsidRPr="006B7BA3">
              <w:rPr>
                <w:rFonts w:eastAsia="Times New Roman"/>
                <w:color w:val="000000"/>
                <w:sz w:val="20"/>
                <w:szCs w:val="20"/>
              </w:rPr>
              <w:t>-</w:t>
            </w:r>
            <w:r w:rsidRPr="003D617D">
              <w:rPr>
                <w:rFonts w:eastAsia="Times New Roman"/>
                <w:color w:val="000000"/>
                <w:sz w:val="20"/>
                <w:szCs w:val="20"/>
              </w:rPr>
              <w:t xml:space="preserve"> Small positive</w:t>
            </w:r>
          </w:p>
        </w:tc>
      </w:tr>
    </w:tbl>
    <w:p w14:paraId="0F8E958C" w14:textId="77777777" w:rsidR="003D617D" w:rsidRDefault="003D617D" w:rsidP="008A4121">
      <w:pPr>
        <w:spacing w:after="200"/>
        <w:rPr>
          <w:i/>
          <w:iCs/>
          <w:sz w:val="20"/>
          <w:szCs w:val="20"/>
        </w:rPr>
      </w:pPr>
    </w:p>
    <w:p w14:paraId="27871586" w14:textId="23144711" w:rsidR="0052395C" w:rsidRDefault="008A4121" w:rsidP="008A4121">
      <w:pPr>
        <w:spacing w:after="200" w:line="360" w:lineRule="auto"/>
      </w:pPr>
      <w:r>
        <w:t>The moderate</w:t>
      </w:r>
      <w:r w:rsidR="009950F7">
        <w:t>-strong</w:t>
      </w:r>
      <w:r>
        <w:t xml:space="preserve"> positive correlation between familiarity and barrier perception (r=0.60, p&lt;0.01) represents the strongest relationship in the matrix. This finding suggests that increased understanding of AI, Digital Twins, and APIs is associated with greater recognition of implementation challenges</w:t>
      </w:r>
      <w:r w:rsidR="000F6BAF">
        <w:t xml:space="preserve">, </w:t>
      </w:r>
      <w:r>
        <w:t>a pattern consistent with the readiness findings above and suggesting that knowledge development leads to more realistic rather than more optimistic assessment. The weak correlation between benefits perception and barrier perception (r=0.03) indicates that these constructs operate relatively independently; practitioners can simultaneously recognise both value potential and implementation difficulty.</w:t>
      </w:r>
    </w:p>
    <w:p w14:paraId="4700F05E" w14:textId="77777777" w:rsidR="008A4121" w:rsidRDefault="008A4121" w:rsidP="008A4121">
      <w:pPr>
        <w:pStyle w:val="Heading2"/>
      </w:pPr>
      <w:bookmarkStart w:id="149" w:name="_Toc220152219"/>
      <w:r>
        <w:lastRenderedPageBreak/>
        <w:t>4.9 Sustainability Outcomes and Policy Alignment</w:t>
      </w:r>
      <w:bookmarkEnd w:id="149"/>
    </w:p>
    <w:p w14:paraId="0A12217D" w14:textId="4D514F73" w:rsidR="008A4121" w:rsidRDefault="008A4121" w:rsidP="008A4121">
      <w:pPr>
        <w:spacing w:after="200" w:line="360" w:lineRule="auto"/>
      </w:pPr>
      <w:r>
        <w:t xml:space="preserve">Survey responses indicated that </w:t>
      </w:r>
      <w:r w:rsidR="006A1981">
        <w:t>most</w:t>
      </w:r>
      <w:r>
        <w:t xml:space="preserve"> organisations (58.6%) regularly measure building carbon emissions or Energy Use Intensity (EUI), with an additional 11.5% planning implementation within twelve months. This represents a substantial foundation for data-driven sustainability management, though nearly a third (29.9%) reported no current measurement capability.</w:t>
      </w:r>
    </w:p>
    <w:p w14:paraId="685C1923" w14:textId="77777777" w:rsidR="001C693C" w:rsidRDefault="000413A7" w:rsidP="001C693C">
      <w:pPr>
        <w:keepNext/>
        <w:jc w:val="center"/>
      </w:pPr>
      <w:r>
        <w:rPr>
          <w:noProof/>
        </w:rPr>
        <w:drawing>
          <wp:inline distT="0" distB="0" distL="0" distR="0" wp14:anchorId="5A8C820C" wp14:editId="3DC9F882">
            <wp:extent cx="5731510" cy="3753015"/>
            <wp:effectExtent l="0" t="0" r="2540" b="0"/>
            <wp:docPr id="1178486514" name="Picture 11" descr="A pie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486514" name="Picture 11" descr="A pie chart with text on it&#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6918" cy="3756556"/>
                    </a:xfrm>
                    <a:prstGeom prst="rect">
                      <a:avLst/>
                    </a:prstGeom>
                  </pic:spPr>
                </pic:pic>
              </a:graphicData>
            </a:graphic>
          </wp:inline>
        </w:drawing>
      </w:r>
    </w:p>
    <w:p w14:paraId="247017F5" w14:textId="77777777" w:rsidR="00AE4BD9" w:rsidRDefault="00AE4BD9" w:rsidP="00AE4BD9">
      <w:pPr>
        <w:pStyle w:val="Caption"/>
        <w:jc w:val="center"/>
        <w:rPr>
          <w:b/>
          <w:bCs/>
          <w:color w:val="auto"/>
          <w:sz w:val="20"/>
          <w:szCs w:val="20"/>
        </w:rPr>
      </w:pPr>
      <w:bookmarkStart w:id="150" w:name="_Toc223079136"/>
      <w:r w:rsidRPr="009673C1">
        <w:rPr>
          <w:b/>
          <w:bCs/>
          <w:color w:val="auto"/>
          <w:sz w:val="20"/>
          <w:szCs w:val="20"/>
        </w:rPr>
        <w:t xml:space="preserve">Figure </w:t>
      </w:r>
      <w:r>
        <w:rPr>
          <w:b/>
          <w:bCs/>
          <w:color w:val="auto"/>
          <w:sz w:val="20"/>
          <w:szCs w:val="20"/>
        </w:rPr>
        <w:t>4.10</w:t>
      </w:r>
      <w:r w:rsidRPr="009673C1">
        <w:rPr>
          <w:b/>
          <w:bCs/>
          <w:color w:val="auto"/>
          <w:sz w:val="20"/>
          <w:szCs w:val="20"/>
        </w:rPr>
        <w:t>: Carbon/EUI Measurement Status (n=87)</w:t>
      </w:r>
      <w:bookmarkEnd w:id="150"/>
    </w:p>
    <w:p w14:paraId="66971F32" w14:textId="77777777" w:rsidR="009C7098" w:rsidRDefault="009C7098" w:rsidP="009673C1">
      <w:pPr>
        <w:keepNext/>
        <w:jc w:val="center"/>
      </w:pPr>
    </w:p>
    <w:p w14:paraId="774279A5" w14:textId="77777777" w:rsidR="009C7098" w:rsidRPr="009C7098" w:rsidRDefault="009C7098" w:rsidP="009C7098"/>
    <w:p w14:paraId="1A869113" w14:textId="5826BEBB" w:rsidR="00F34AAE" w:rsidRPr="00F34AAE" w:rsidRDefault="00F34AAE" w:rsidP="00F34AAE">
      <w:pPr>
        <w:pStyle w:val="Caption"/>
        <w:keepNext/>
        <w:rPr>
          <w:b/>
          <w:bCs/>
          <w:color w:val="auto"/>
          <w:sz w:val="20"/>
          <w:szCs w:val="20"/>
        </w:rPr>
      </w:pPr>
      <w:bookmarkStart w:id="151" w:name="_Toc220151996"/>
      <w:bookmarkStart w:id="152" w:name="_Toc223077241"/>
      <w:bookmarkStart w:id="153" w:name="_Toc223079137"/>
      <w:r w:rsidRPr="00F34AAE">
        <w:rPr>
          <w:b/>
          <w:bCs/>
          <w:color w:val="auto"/>
          <w:sz w:val="20"/>
          <w:szCs w:val="20"/>
        </w:rPr>
        <w:t xml:space="preserve">Table </w:t>
      </w:r>
      <w:r w:rsidR="004D4AE1">
        <w:rPr>
          <w:b/>
          <w:bCs/>
          <w:color w:val="auto"/>
          <w:sz w:val="20"/>
          <w:szCs w:val="20"/>
        </w:rPr>
        <w:t>4</w:t>
      </w:r>
      <w:r w:rsidR="00CD0E8E">
        <w:rPr>
          <w:b/>
          <w:bCs/>
          <w:color w:val="auto"/>
          <w:sz w:val="20"/>
          <w:szCs w:val="20"/>
        </w:rPr>
        <w:t>.</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9</w:t>
      </w:r>
      <w:r w:rsidR="00E10041">
        <w:rPr>
          <w:b/>
          <w:bCs/>
          <w:color w:val="auto"/>
          <w:sz w:val="20"/>
          <w:szCs w:val="20"/>
        </w:rPr>
        <w:fldChar w:fldCharType="end"/>
      </w:r>
      <w:r w:rsidRPr="00F34AAE">
        <w:rPr>
          <w:b/>
          <w:bCs/>
          <w:color w:val="auto"/>
          <w:sz w:val="20"/>
          <w:szCs w:val="20"/>
        </w:rPr>
        <w:t>: Carbon/EUI Measurement Status (n=87)</w:t>
      </w:r>
      <w:bookmarkEnd w:id="151"/>
      <w:bookmarkEnd w:id="152"/>
      <w:bookmarkEnd w:id="153"/>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311"/>
        <w:gridCol w:w="1728"/>
        <w:gridCol w:w="1985"/>
      </w:tblGrid>
      <w:tr w:rsidR="008A4121" w14:paraId="2CA639FE" w14:textId="77777777" w:rsidTr="00BE29C7">
        <w:trPr>
          <w:tblHeader/>
        </w:trPr>
        <w:tc>
          <w:tcPr>
            <w:tcW w:w="5500" w:type="dxa"/>
            <w:tcBorders>
              <w:top w:val="single" w:sz="1" w:space="0" w:color="808080"/>
              <w:left w:val="single" w:sz="1" w:space="0" w:color="808080"/>
              <w:bottom w:val="single" w:sz="1" w:space="0" w:color="808080"/>
              <w:right w:val="single" w:sz="1" w:space="0" w:color="808080"/>
            </w:tcBorders>
            <w:shd w:val="clear" w:color="auto" w:fill="D9E2F3"/>
          </w:tcPr>
          <w:p w14:paraId="5EB2EA7F" w14:textId="77777777" w:rsidR="008A4121" w:rsidRDefault="008A4121" w:rsidP="00BE29C7">
            <w:pPr>
              <w:jc w:val="center"/>
            </w:pPr>
            <w:r>
              <w:rPr>
                <w:b/>
                <w:bCs/>
                <w:sz w:val="22"/>
                <w:szCs w:val="22"/>
              </w:rPr>
              <w:t>Measurement Status</w:t>
            </w:r>
          </w:p>
        </w:tc>
        <w:tc>
          <w:tcPr>
            <w:tcW w:w="1800" w:type="dxa"/>
            <w:tcBorders>
              <w:top w:val="single" w:sz="1" w:space="0" w:color="808080"/>
              <w:left w:val="single" w:sz="1" w:space="0" w:color="808080"/>
              <w:bottom w:val="single" w:sz="1" w:space="0" w:color="808080"/>
              <w:right w:val="single" w:sz="1" w:space="0" w:color="808080"/>
            </w:tcBorders>
            <w:shd w:val="clear" w:color="auto" w:fill="D9E2F3"/>
          </w:tcPr>
          <w:p w14:paraId="10DB0240" w14:textId="77777777" w:rsidR="008A4121" w:rsidRDefault="008A4121" w:rsidP="00BE29C7">
            <w:pPr>
              <w:jc w:val="center"/>
            </w:pPr>
            <w:r>
              <w:rPr>
                <w:b/>
                <w:bCs/>
                <w:sz w:val="22"/>
                <w:szCs w:val="22"/>
              </w:rPr>
              <w:t>n</w:t>
            </w:r>
          </w:p>
        </w:tc>
        <w:tc>
          <w:tcPr>
            <w:tcW w:w="2060" w:type="dxa"/>
            <w:tcBorders>
              <w:top w:val="single" w:sz="1" w:space="0" w:color="808080"/>
              <w:left w:val="single" w:sz="1" w:space="0" w:color="808080"/>
              <w:bottom w:val="single" w:sz="1" w:space="0" w:color="808080"/>
              <w:right w:val="single" w:sz="1" w:space="0" w:color="808080"/>
            </w:tcBorders>
            <w:shd w:val="clear" w:color="auto" w:fill="D9E2F3"/>
          </w:tcPr>
          <w:p w14:paraId="3CF20B3F" w14:textId="77777777" w:rsidR="008A4121" w:rsidRDefault="008A4121" w:rsidP="00BE29C7">
            <w:pPr>
              <w:jc w:val="center"/>
            </w:pPr>
            <w:r>
              <w:rPr>
                <w:b/>
                <w:bCs/>
                <w:sz w:val="22"/>
                <w:szCs w:val="22"/>
              </w:rPr>
              <w:t>%</w:t>
            </w:r>
          </w:p>
        </w:tc>
      </w:tr>
      <w:tr w:rsidR="008A4121" w14:paraId="100FB7B3" w14:textId="77777777" w:rsidTr="00BE29C7">
        <w:tc>
          <w:tcPr>
            <w:tcW w:w="5500" w:type="dxa"/>
            <w:tcBorders>
              <w:top w:val="single" w:sz="1" w:space="0" w:color="808080"/>
              <w:left w:val="single" w:sz="1" w:space="0" w:color="808080"/>
              <w:bottom w:val="single" w:sz="1" w:space="0" w:color="808080"/>
              <w:right w:val="single" w:sz="1" w:space="0" w:color="808080"/>
            </w:tcBorders>
          </w:tcPr>
          <w:p w14:paraId="000B9168" w14:textId="77777777" w:rsidR="008A4121" w:rsidRDefault="008A4121" w:rsidP="00BE29C7">
            <w:r>
              <w:rPr>
                <w:sz w:val="22"/>
                <w:szCs w:val="22"/>
              </w:rPr>
              <w:t>Yes – Regular measurement</w:t>
            </w:r>
          </w:p>
        </w:tc>
        <w:tc>
          <w:tcPr>
            <w:tcW w:w="1800" w:type="dxa"/>
            <w:tcBorders>
              <w:top w:val="single" w:sz="1" w:space="0" w:color="808080"/>
              <w:left w:val="single" w:sz="1" w:space="0" w:color="808080"/>
              <w:bottom w:val="single" w:sz="1" w:space="0" w:color="808080"/>
              <w:right w:val="single" w:sz="1" w:space="0" w:color="808080"/>
            </w:tcBorders>
          </w:tcPr>
          <w:p w14:paraId="56D5E4DF" w14:textId="77777777" w:rsidR="008A4121" w:rsidRDefault="008A4121" w:rsidP="00BE29C7">
            <w:pPr>
              <w:jc w:val="center"/>
            </w:pPr>
            <w:r>
              <w:rPr>
                <w:sz w:val="22"/>
                <w:szCs w:val="22"/>
              </w:rPr>
              <w:t>51</w:t>
            </w:r>
          </w:p>
        </w:tc>
        <w:tc>
          <w:tcPr>
            <w:tcW w:w="2060" w:type="dxa"/>
            <w:tcBorders>
              <w:top w:val="single" w:sz="1" w:space="0" w:color="808080"/>
              <w:left w:val="single" w:sz="1" w:space="0" w:color="808080"/>
              <w:bottom w:val="single" w:sz="1" w:space="0" w:color="808080"/>
              <w:right w:val="single" w:sz="1" w:space="0" w:color="808080"/>
            </w:tcBorders>
          </w:tcPr>
          <w:p w14:paraId="66BA31A7" w14:textId="77777777" w:rsidR="008A4121" w:rsidRDefault="008A4121" w:rsidP="00BE29C7">
            <w:pPr>
              <w:jc w:val="center"/>
            </w:pPr>
            <w:r>
              <w:rPr>
                <w:sz w:val="22"/>
                <w:szCs w:val="22"/>
              </w:rPr>
              <w:t>58.6</w:t>
            </w:r>
          </w:p>
        </w:tc>
      </w:tr>
      <w:tr w:rsidR="008A4121" w14:paraId="32A2AE04" w14:textId="77777777" w:rsidTr="00BE29C7">
        <w:tc>
          <w:tcPr>
            <w:tcW w:w="5500" w:type="dxa"/>
            <w:tcBorders>
              <w:top w:val="single" w:sz="1" w:space="0" w:color="808080"/>
              <w:left w:val="single" w:sz="1" w:space="0" w:color="808080"/>
              <w:bottom w:val="single" w:sz="1" w:space="0" w:color="808080"/>
              <w:right w:val="single" w:sz="1" w:space="0" w:color="808080"/>
            </w:tcBorders>
          </w:tcPr>
          <w:p w14:paraId="4607144F" w14:textId="77777777" w:rsidR="008A4121" w:rsidRDefault="008A4121" w:rsidP="00BE29C7">
            <w:r>
              <w:rPr>
                <w:sz w:val="22"/>
                <w:szCs w:val="22"/>
              </w:rPr>
              <w:t>No – Not currently measuring</w:t>
            </w:r>
          </w:p>
        </w:tc>
        <w:tc>
          <w:tcPr>
            <w:tcW w:w="1800" w:type="dxa"/>
            <w:tcBorders>
              <w:top w:val="single" w:sz="1" w:space="0" w:color="808080"/>
              <w:left w:val="single" w:sz="1" w:space="0" w:color="808080"/>
              <w:bottom w:val="single" w:sz="1" w:space="0" w:color="808080"/>
              <w:right w:val="single" w:sz="1" w:space="0" w:color="808080"/>
            </w:tcBorders>
          </w:tcPr>
          <w:p w14:paraId="18A30314" w14:textId="77777777" w:rsidR="008A4121" w:rsidRDefault="008A4121" w:rsidP="00BE29C7">
            <w:pPr>
              <w:jc w:val="center"/>
            </w:pPr>
            <w:r>
              <w:rPr>
                <w:sz w:val="22"/>
                <w:szCs w:val="22"/>
              </w:rPr>
              <w:t>26</w:t>
            </w:r>
          </w:p>
        </w:tc>
        <w:tc>
          <w:tcPr>
            <w:tcW w:w="2060" w:type="dxa"/>
            <w:tcBorders>
              <w:top w:val="single" w:sz="1" w:space="0" w:color="808080"/>
              <w:left w:val="single" w:sz="1" w:space="0" w:color="808080"/>
              <w:bottom w:val="single" w:sz="1" w:space="0" w:color="808080"/>
              <w:right w:val="single" w:sz="1" w:space="0" w:color="808080"/>
            </w:tcBorders>
          </w:tcPr>
          <w:p w14:paraId="40B9CAB7" w14:textId="77777777" w:rsidR="008A4121" w:rsidRDefault="008A4121" w:rsidP="00BE29C7">
            <w:pPr>
              <w:jc w:val="center"/>
            </w:pPr>
            <w:r>
              <w:rPr>
                <w:sz w:val="22"/>
                <w:szCs w:val="22"/>
              </w:rPr>
              <w:t>29.9</w:t>
            </w:r>
          </w:p>
        </w:tc>
      </w:tr>
      <w:tr w:rsidR="008A4121" w14:paraId="43D8A7B0" w14:textId="77777777" w:rsidTr="00BE29C7">
        <w:tc>
          <w:tcPr>
            <w:tcW w:w="5500" w:type="dxa"/>
            <w:tcBorders>
              <w:top w:val="single" w:sz="1" w:space="0" w:color="808080"/>
              <w:left w:val="single" w:sz="1" w:space="0" w:color="808080"/>
              <w:bottom w:val="single" w:sz="1" w:space="0" w:color="808080"/>
              <w:right w:val="single" w:sz="1" w:space="0" w:color="808080"/>
            </w:tcBorders>
          </w:tcPr>
          <w:p w14:paraId="25FA99A2" w14:textId="77777777" w:rsidR="008A4121" w:rsidRDefault="008A4121" w:rsidP="00BE29C7">
            <w:r>
              <w:rPr>
                <w:sz w:val="22"/>
                <w:szCs w:val="22"/>
              </w:rPr>
              <w:t>Planned within 12 months</w:t>
            </w:r>
          </w:p>
        </w:tc>
        <w:tc>
          <w:tcPr>
            <w:tcW w:w="1800" w:type="dxa"/>
            <w:tcBorders>
              <w:top w:val="single" w:sz="1" w:space="0" w:color="808080"/>
              <w:left w:val="single" w:sz="1" w:space="0" w:color="808080"/>
              <w:bottom w:val="single" w:sz="1" w:space="0" w:color="808080"/>
              <w:right w:val="single" w:sz="1" w:space="0" w:color="808080"/>
            </w:tcBorders>
          </w:tcPr>
          <w:p w14:paraId="19E4AEF3" w14:textId="77777777" w:rsidR="008A4121" w:rsidRDefault="008A4121" w:rsidP="00BE29C7">
            <w:pPr>
              <w:jc w:val="center"/>
            </w:pPr>
            <w:r>
              <w:rPr>
                <w:sz w:val="22"/>
                <w:szCs w:val="22"/>
              </w:rPr>
              <w:t>10</w:t>
            </w:r>
          </w:p>
        </w:tc>
        <w:tc>
          <w:tcPr>
            <w:tcW w:w="2060" w:type="dxa"/>
            <w:tcBorders>
              <w:top w:val="single" w:sz="1" w:space="0" w:color="808080"/>
              <w:left w:val="single" w:sz="1" w:space="0" w:color="808080"/>
              <w:bottom w:val="single" w:sz="1" w:space="0" w:color="808080"/>
              <w:right w:val="single" w:sz="1" w:space="0" w:color="808080"/>
            </w:tcBorders>
          </w:tcPr>
          <w:p w14:paraId="7518649C" w14:textId="77777777" w:rsidR="008A4121" w:rsidRDefault="008A4121" w:rsidP="00BE29C7">
            <w:pPr>
              <w:jc w:val="center"/>
            </w:pPr>
            <w:r>
              <w:rPr>
                <w:sz w:val="22"/>
                <w:szCs w:val="22"/>
              </w:rPr>
              <w:t>11.5</w:t>
            </w:r>
          </w:p>
        </w:tc>
      </w:tr>
    </w:tbl>
    <w:p w14:paraId="69A5DDE2" w14:textId="77777777" w:rsidR="008A4121" w:rsidRDefault="008A4121" w:rsidP="008A4121">
      <w:pPr>
        <w:spacing w:after="200"/>
      </w:pPr>
    </w:p>
    <w:p w14:paraId="66CBBE73" w14:textId="77777777" w:rsidR="001C693C" w:rsidRDefault="000413A7" w:rsidP="001C693C">
      <w:pPr>
        <w:keepNext/>
        <w:jc w:val="center"/>
      </w:pPr>
      <w:r>
        <w:rPr>
          <w:noProof/>
        </w:rPr>
        <w:lastRenderedPageBreak/>
        <w:drawing>
          <wp:inline distT="0" distB="0" distL="0" distR="0" wp14:anchorId="000E53A1" wp14:editId="22C28119">
            <wp:extent cx="5731510" cy="3124863"/>
            <wp:effectExtent l="0" t="0" r="2540" b="0"/>
            <wp:docPr id="1173699847" name="Picture 12"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699847" name="Picture 12" descr="A graph with blue bars&#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41094" cy="3130088"/>
                    </a:xfrm>
                    <a:prstGeom prst="rect">
                      <a:avLst/>
                    </a:prstGeom>
                  </pic:spPr>
                </pic:pic>
              </a:graphicData>
            </a:graphic>
          </wp:inline>
        </w:drawing>
      </w:r>
    </w:p>
    <w:p w14:paraId="3A8FEFF2" w14:textId="77777777" w:rsidR="006F62AB" w:rsidRPr="00B84C94" w:rsidRDefault="006F62AB" w:rsidP="006F62AB">
      <w:pPr>
        <w:pStyle w:val="Caption"/>
        <w:jc w:val="center"/>
        <w:rPr>
          <w:color w:val="auto"/>
        </w:rPr>
      </w:pPr>
      <w:bookmarkStart w:id="154" w:name="_Toc223079138"/>
      <w:r w:rsidRPr="00B84C94">
        <w:rPr>
          <w:b/>
          <w:bCs/>
          <w:color w:val="auto"/>
          <w:sz w:val="20"/>
          <w:szCs w:val="20"/>
        </w:rPr>
        <w:t>Figure 4.11: Primary Policy Framework Influence (n=87)</w:t>
      </w:r>
      <w:bookmarkEnd w:id="154"/>
    </w:p>
    <w:p w14:paraId="0F0B6EA4" w14:textId="77777777" w:rsidR="009C7098" w:rsidRDefault="009C7098" w:rsidP="009673C1">
      <w:pPr>
        <w:keepNext/>
        <w:jc w:val="center"/>
      </w:pPr>
    </w:p>
    <w:p w14:paraId="4F00FE0F" w14:textId="77777777" w:rsidR="00DF23BB" w:rsidRDefault="00DF23BB" w:rsidP="00F34AAE">
      <w:pPr>
        <w:pStyle w:val="Caption"/>
        <w:keepNext/>
        <w:rPr>
          <w:b/>
          <w:bCs/>
          <w:color w:val="auto"/>
          <w:sz w:val="20"/>
          <w:szCs w:val="20"/>
        </w:rPr>
      </w:pPr>
    </w:p>
    <w:p w14:paraId="0C816107" w14:textId="4BC13AFE" w:rsidR="00F34AAE" w:rsidRPr="00F34AAE" w:rsidRDefault="00F34AAE" w:rsidP="00F34AAE">
      <w:pPr>
        <w:pStyle w:val="Caption"/>
        <w:keepNext/>
        <w:rPr>
          <w:b/>
          <w:bCs/>
          <w:color w:val="auto"/>
          <w:sz w:val="20"/>
          <w:szCs w:val="20"/>
        </w:rPr>
      </w:pPr>
      <w:bookmarkStart w:id="155" w:name="_Toc220151997"/>
      <w:bookmarkStart w:id="156" w:name="_Toc223077243"/>
      <w:bookmarkStart w:id="157" w:name="_Toc223079139"/>
      <w:r w:rsidRPr="00F34AAE">
        <w:rPr>
          <w:b/>
          <w:bCs/>
          <w:color w:val="auto"/>
          <w:sz w:val="20"/>
          <w:szCs w:val="20"/>
        </w:rPr>
        <w:t xml:space="preserve">Table </w:t>
      </w:r>
      <w:r w:rsidR="004D4AE1">
        <w:rPr>
          <w:b/>
          <w:bCs/>
          <w:color w:val="auto"/>
          <w:sz w:val="20"/>
          <w:szCs w:val="20"/>
        </w:rPr>
        <w:t>4</w:t>
      </w:r>
      <w:r w:rsidR="00CD0E8E">
        <w:rPr>
          <w:b/>
          <w:bCs/>
          <w:color w:val="auto"/>
          <w:sz w:val="20"/>
          <w:szCs w:val="20"/>
        </w:rPr>
        <w:t>.</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10</w:t>
      </w:r>
      <w:r w:rsidR="00E10041">
        <w:rPr>
          <w:b/>
          <w:bCs/>
          <w:color w:val="auto"/>
          <w:sz w:val="20"/>
          <w:szCs w:val="20"/>
        </w:rPr>
        <w:fldChar w:fldCharType="end"/>
      </w:r>
      <w:r w:rsidRPr="00F34AAE">
        <w:rPr>
          <w:b/>
          <w:bCs/>
          <w:color w:val="auto"/>
          <w:sz w:val="20"/>
          <w:szCs w:val="20"/>
        </w:rPr>
        <w:t>: Primary Policy Framework Influence (n=87)</w:t>
      </w:r>
      <w:bookmarkEnd w:id="155"/>
      <w:bookmarkEnd w:id="156"/>
      <w:bookmarkEnd w:id="157"/>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307"/>
        <w:gridCol w:w="1730"/>
        <w:gridCol w:w="1987"/>
      </w:tblGrid>
      <w:tr w:rsidR="008A4121" w14:paraId="7F0335CD" w14:textId="77777777" w:rsidTr="00BE29C7">
        <w:trPr>
          <w:tblHeader/>
        </w:trPr>
        <w:tc>
          <w:tcPr>
            <w:tcW w:w="5500" w:type="dxa"/>
            <w:tcBorders>
              <w:top w:val="single" w:sz="1" w:space="0" w:color="808080"/>
              <w:left w:val="single" w:sz="1" w:space="0" w:color="808080"/>
              <w:bottom w:val="single" w:sz="1" w:space="0" w:color="808080"/>
              <w:right w:val="single" w:sz="1" w:space="0" w:color="808080"/>
            </w:tcBorders>
            <w:shd w:val="clear" w:color="auto" w:fill="D9E2F3"/>
          </w:tcPr>
          <w:p w14:paraId="6262C037" w14:textId="77777777" w:rsidR="008A4121" w:rsidRDefault="008A4121" w:rsidP="00BE29C7">
            <w:pPr>
              <w:jc w:val="center"/>
            </w:pPr>
            <w:r>
              <w:rPr>
                <w:b/>
                <w:bCs/>
                <w:sz w:val="22"/>
                <w:szCs w:val="22"/>
              </w:rPr>
              <w:t>Policy Framework</w:t>
            </w:r>
          </w:p>
        </w:tc>
        <w:tc>
          <w:tcPr>
            <w:tcW w:w="1800" w:type="dxa"/>
            <w:tcBorders>
              <w:top w:val="single" w:sz="1" w:space="0" w:color="808080"/>
              <w:left w:val="single" w:sz="1" w:space="0" w:color="808080"/>
              <w:bottom w:val="single" w:sz="1" w:space="0" w:color="808080"/>
              <w:right w:val="single" w:sz="1" w:space="0" w:color="808080"/>
            </w:tcBorders>
            <w:shd w:val="clear" w:color="auto" w:fill="D9E2F3"/>
          </w:tcPr>
          <w:p w14:paraId="0174D9D9" w14:textId="77777777" w:rsidR="008A4121" w:rsidRDefault="008A4121" w:rsidP="00BE29C7">
            <w:pPr>
              <w:jc w:val="center"/>
            </w:pPr>
            <w:r>
              <w:rPr>
                <w:b/>
                <w:bCs/>
                <w:sz w:val="22"/>
                <w:szCs w:val="22"/>
              </w:rPr>
              <w:t>n</w:t>
            </w:r>
          </w:p>
        </w:tc>
        <w:tc>
          <w:tcPr>
            <w:tcW w:w="2060" w:type="dxa"/>
            <w:tcBorders>
              <w:top w:val="single" w:sz="1" w:space="0" w:color="808080"/>
              <w:left w:val="single" w:sz="1" w:space="0" w:color="808080"/>
              <w:bottom w:val="single" w:sz="1" w:space="0" w:color="808080"/>
              <w:right w:val="single" w:sz="1" w:space="0" w:color="808080"/>
            </w:tcBorders>
            <w:shd w:val="clear" w:color="auto" w:fill="D9E2F3"/>
          </w:tcPr>
          <w:p w14:paraId="7AD60177" w14:textId="77777777" w:rsidR="008A4121" w:rsidRDefault="008A4121" w:rsidP="00BE29C7">
            <w:pPr>
              <w:jc w:val="center"/>
            </w:pPr>
            <w:r>
              <w:rPr>
                <w:b/>
                <w:bCs/>
                <w:sz w:val="22"/>
                <w:szCs w:val="22"/>
              </w:rPr>
              <w:t>%</w:t>
            </w:r>
          </w:p>
        </w:tc>
      </w:tr>
      <w:tr w:rsidR="008A4121" w14:paraId="1D0FA90B" w14:textId="77777777" w:rsidTr="00BE29C7">
        <w:tc>
          <w:tcPr>
            <w:tcW w:w="5500" w:type="dxa"/>
            <w:tcBorders>
              <w:top w:val="single" w:sz="1" w:space="0" w:color="808080"/>
              <w:left w:val="single" w:sz="1" w:space="0" w:color="808080"/>
              <w:bottom w:val="single" w:sz="1" w:space="0" w:color="808080"/>
              <w:right w:val="single" w:sz="1" w:space="0" w:color="808080"/>
            </w:tcBorders>
          </w:tcPr>
          <w:p w14:paraId="393403B7" w14:textId="77777777" w:rsidR="008A4121" w:rsidRDefault="008A4121" w:rsidP="00BE29C7">
            <w:r>
              <w:rPr>
                <w:sz w:val="22"/>
                <w:szCs w:val="22"/>
              </w:rPr>
              <w:t>Net Zero 2050</w:t>
            </w:r>
          </w:p>
        </w:tc>
        <w:tc>
          <w:tcPr>
            <w:tcW w:w="1800" w:type="dxa"/>
            <w:tcBorders>
              <w:top w:val="single" w:sz="1" w:space="0" w:color="808080"/>
              <w:left w:val="single" w:sz="1" w:space="0" w:color="808080"/>
              <w:bottom w:val="single" w:sz="1" w:space="0" w:color="808080"/>
              <w:right w:val="single" w:sz="1" w:space="0" w:color="808080"/>
            </w:tcBorders>
          </w:tcPr>
          <w:p w14:paraId="1B7F6244" w14:textId="77777777" w:rsidR="008A4121" w:rsidRDefault="008A4121" w:rsidP="00BE29C7">
            <w:pPr>
              <w:jc w:val="center"/>
            </w:pPr>
            <w:r>
              <w:rPr>
                <w:sz w:val="22"/>
                <w:szCs w:val="22"/>
              </w:rPr>
              <w:t>33</w:t>
            </w:r>
          </w:p>
        </w:tc>
        <w:tc>
          <w:tcPr>
            <w:tcW w:w="2060" w:type="dxa"/>
            <w:tcBorders>
              <w:top w:val="single" w:sz="1" w:space="0" w:color="808080"/>
              <w:left w:val="single" w:sz="1" w:space="0" w:color="808080"/>
              <w:bottom w:val="single" w:sz="1" w:space="0" w:color="808080"/>
              <w:right w:val="single" w:sz="1" w:space="0" w:color="808080"/>
            </w:tcBorders>
          </w:tcPr>
          <w:p w14:paraId="00E99BEE" w14:textId="77777777" w:rsidR="008A4121" w:rsidRDefault="008A4121" w:rsidP="00BE29C7">
            <w:pPr>
              <w:jc w:val="center"/>
            </w:pPr>
            <w:r>
              <w:rPr>
                <w:sz w:val="22"/>
                <w:szCs w:val="22"/>
              </w:rPr>
              <w:t>37.9</w:t>
            </w:r>
          </w:p>
        </w:tc>
      </w:tr>
      <w:tr w:rsidR="008A4121" w14:paraId="05461D79" w14:textId="77777777" w:rsidTr="00BE29C7">
        <w:tc>
          <w:tcPr>
            <w:tcW w:w="5500" w:type="dxa"/>
            <w:tcBorders>
              <w:top w:val="single" w:sz="1" w:space="0" w:color="808080"/>
              <w:left w:val="single" w:sz="1" w:space="0" w:color="808080"/>
              <w:bottom w:val="single" w:sz="1" w:space="0" w:color="808080"/>
              <w:right w:val="single" w:sz="1" w:space="0" w:color="808080"/>
            </w:tcBorders>
          </w:tcPr>
          <w:p w14:paraId="7CD4CB95" w14:textId="77777777" w:rsidR="008A4121" w:rsidRDefault="008A4121" w:rsidP="00BE29C7">
            <w:r>
              <w:rPr>
                <w:sz w:val="22"/>
                <w:szCs w:val="22"/>
              </w:rPr>
              <w:t>EPBD (Energy Performance of Buildings Directive)</w:t>
            </w:r>
          </w:p>
        </w:tc>
        <w:tc>
          <w:tcPr>
            <w:tcW w:w="1800" w:type="dxa"/>
            <w:tcBorders>
              <w:top w:val="single" w:sz="1" w:space="0" w:color="808080"/>
              <w:left w:val="single" w:sz="1" w:space="0" w:color="808080"/>
              <w:bottom w:val="single" w:sz="1" w:space="0" w:color="808080"/>
              <w:right w:val="single" w:sz="1" w:space="0" w:color="808080"/>
            </w:tcBorders>
          </w:tcPr>
          <w:p w14:paraId="0A930E80" w14:textId="77777777" w:rsidR="008A4121" w:rsidRDefault="008A4121" w:rsidP="00BE29C7">
            <w:pPr>
              <w:jc w:val="center"/>
            </w:pPr>
            <w:r>
              <w:rPr>
                <w:sz w:val="22"/>
                <w:szCs w:val="22"/>
              </w:rPr>
              <w:t>26</w:t>
            </w:r>
          </w:p>
        </w:tc>
        <w:tc>
          <w:tcPr>
            <w:tcW w:w="2060" w:type="dxa"/>
            <w:tcBorders>
              <w:top w:val="single" w:sz="1" w:space="0" w:color="808080"/>
              <w:left w:val="single" w:sz="1" w:space="0" w:color="808080"/>
              <w:bottom w:val="single" w:sz="1" w:space="0" w:color="808080"/>
              <w:right w:val="single" w:sz="1" w:space="0" w:color="808080"/>
            </w:tcBorders>
          </w:tcPr>
          <w:p w14:paraId="46A00E01" w14:textId="77777777" w:rsidR="008A4121" w:rsidRDefault="008A4121" w:rsidP="00BE29C7">
            <w:pPr>
              <w:jc w:val="center"/>
            </w:pPr>
            <w:r>
              <w:rPr>
                <w:sz w:val="22"/>
                <w:szCs w:val="22"/>
              </w:rPr>
              <w:t>29.9</w:t>
            </w:r>
          </w:p>
        </w:tc>
      </w:tr>
      <w:tr w:rsidR="008A4121" w14:paraId="64F2B5AF" w14:textId="77777777" w:rsidTr="00BE29C7">
        <w:tc>
          <w:tcPr>
            <w:tcW w:w="5500" w:type="dxa"/>
            <w:tcBorders>
              <w:top w:val="single" w:sz="1" w:space="0" w:color="808080"/>
              <w:left w:val="single" w:sz="1" w:space="0" w:color="808080"/>
              <w:bottom w:val="single" w:sz="1" w:space="0" w:color="808080"/>
              <w:right w:val="single" w:sz="1" w:space="0" w:color="808080"/>
            </w:tcBorders>
          </w:tcPr>
          <w:p w14:paraId="6DE56E04" w14:textId="77777777" w:rsidR="008A4121" w:rsidRDefault="008A4121" w:rsidP="00BE29C7">
            <w:r>
              <w:rPr>
                <w:sz w:val="22"/>
                <w:szCs w:val="22"/>
              </w:rPr>
              <w:t>ISO 50001</w:t>
            </w:r>
          </w:p>
        </w:tc>
        <w:tc>
          <w:tcPr>
            <w:tcW w:w="1800" w:type="dxa"/>
            <w:tcBorders>
              <w:top w:val="single" w:sz="1" w:space="0" w:color="808080"/>
              <w:left w:val="single" w:sz="1" w:space="0" w:color="808080"/>
              <w:bottom w:val="single" w:sz="1" w:space="0" w:color="808080"/>
              <w:right w:val="single" w:sz="1" w:space="0" w:color="808080"/>
            </w:tcBorders>
          </w:tcPr>
          <w:p w14:paraId="15BA7F19" w14:textId="77777777" w:rsidR="008A4121" w:rsidRDefault="008A4121" w:rsidP="00BE29C7">
            <w:pPr>
              <w:jc w:val="center"/>
            </w:pPr>
            <w:r>
              <w:rPr>
                <w:sz w:val="22"/>
                <w:szCs w:val="22"/>
              </w:rPr>
              <w:t>12</w:t>
            </w:r>
          </w:p>
        </w:tc>
        <w:tc>
          <w:tcPr>
            <w:tcW w:w="2060" w:type="dxa"/>
            <w:tcBorders>
              <w:top w:val="single" w:sz="1" w:space="0" w:color="808080"/>
              <w:left w:val="single" w:sz="1" w:space="0" w:color="808080"/>
              <w:bottom w:val="single" w:sz="1" w:space="0" w:color="808080"/>
              <w:right w:val="single" w:sz="1" w:space="0" w:color="808080"/>
            </w:tcBorders>
          </w:tcPr>
          <w:p w14:paraId="2EAAAE6F" w14:textId="77777777" w:rsidR="008A4121" w:rsidRDefault="008A4121" w:rsidP="00BE29C7">
            <w:pPr>
              <w:jc w:val="center"/>
            </w:pPr>
            <w:r>
              <w:rPr>
                <w:sz w:val="22"/>
                <w:szCs w:val="22"/>
              </w:rPr>
              <w:t>13.8</w:t>
            </w:r>
          </w:p>
        </w:tc>
      </w:tr>
      <w:tr w:rsidR="008A4121" w14:paraId="31EE3355" w14:textId="77777777" w:rsidTr="00BE29C7">
        <w:tc>
          <w:tcPr>
            <w:tcW w:w="5500" w:type="dxa"/>
            <w:tcBorders>
              <w:top w:val="single" w:sz="1" w:space="0" w:color="808080"/>
              <w:left w:val="single" w:sz="1" w:space="0" w:color="808080"/>
              <w:bottom w:val="single" w:sz="1" w:space="0" w:color="808080"/>
              <w:right w:val="single" w:sz="1" w:space="0" w:color="808080"/>
            </w:tcBorders>
          </w:tcPr>
          <w:p w14:paraId="4E30E0DA" w14:textId="77777777" w:rsidR="008A4121" w:rsidRDefault="008A4121" w:rsidP="00BE29C7">
            <w:r>
              <w:rPr>
                <w:sz w:val="22"/>
                <w:szCs w:val="22"/>
              </w:rPr>
              <w:t>Local Authority Targets</w:t>
            </w:r>
          </w:p>
        </w:tc>
        <w:tc>
          <w:tcPr>
            <w:tcW w:w="1800" w:type="dxa"/>
            <w:tcBorders>
              <w:top w:val="single" w:sz="1" w:space="0" w:color="808080"/>
              <w:left w:val="single" w:sz="1" w:space="0" w:color="808080"/>
              <w:bottom w:val="single" w:sz="1" w:space="0" w:color="808080"/>
              <w:right w:val="single" w:sz="1" w:space="0" w:color="808080"/>
            </w:tcBorders>
          </w:tcPr>
          <w:p w14:paraId="442EE2B6" w14:textId="77777777" w:rsidR="008A4121" w:rsidRDefault="008A4121" w:rsidP="00BE29C7">
            <w:pPr>
              <w:jc w:val="center"/>
            </w:pPr>
            <w:r>
              <w:rPr>
                <w:sz w:val="22"/>
                <w:szCs w:val="22"/>
              </w:rPr>
              <w:t>10</w:t>
            </w:r>
          </w:p>
        </w:tc>
        <w:tc>
          <w:tcPr>
            <w:tcW w:w="2060" w:type="dxa"/>
            <w:tcBorders>
              <w:top w:val="single" w:sz="1" w:space="0" w:color="808080"/>
              <w:left w:val="single" w:sz="1" w:space="0" w:color="808080"/>
              <w:bottom w:val="single" w:sz="1" w:space="0" w:color="808080"/>
              <w:right w:val="single" w:sz="1" w:space="0" w:color="808080"/>
            </w:tcBorders>
          </w:tcPr>
          <w:p w14:paraId="55BC3FF3" w14:textId="77777777" w:rsidR="008A4121" w:rsidRDefault="008A4121" w:rsidP="00BE29C7">
            <w:pPr>
              <w:jc w:val="center"/>
            </w:pPr>
            <w:r>
              <w:rPr>
                <w:sz w:val="22"/>
                <w:szCs w:val="22"/>
              </w:rPr>
              <w:t>11.5</w:t>
            </w:r>
          </w:p>
        </w:tc>
      </w:tr>
      <w:tr w:rsidR="008A4121" w14:paraId="30A87156" w14:textId="77777777" w:rsidTr="00BE29C7">
        <w:tc>
          <w:tcPr>
            <w:tcW w:w="5500" w:type="dxa"/>
            <w:tcBorders>
              <w:top w:val="single" w:sz="1" w:space="0" w:color="808080"/>
              <w:left w:val="single" w:sz="1" w:space="0" w:color="808080"/>
              <w:bottom w:val="single" w:sz="1" w:space="0" w:color="808080"/>
              <w:right w:val="single" w:sz="1" w:space="0" w:color="808080"/>
            </w:tcBorders>
          </w:tcPr>
          <w:p w14:paraId="1A34067E" w14:textId="77777777" w:rsidR="008A4121" w:rsidRDefault="008A4121" w:rsidP="00BE29C7">
            <w:r>
              <w:rPr>
                <w:sz w:val="22"/>
                <w:szCs w:val="22"/>
              </w:rPr>
              <w:t>Other/None</w:t>
            </w:r>
          </w:p>
        </w:tc>
        <w:tc>
          <w:tcPr>
            <w:tcW w:w="1800" w:type="dxa"/>
            <w:tcBorders>
              <w:top w:val="single" w:sz="1" w:space="0" w:color="808080"/>
              <w:left w:val="single" w:sz="1" w:space="0" w:color="808080"/>
              <w:bottom w:val="single" w:sz="1" w:space="0" w:color="808080"/>
              <w:right w:val="single" w:sz="1" w:space="0" w:color="808080"/>
            </w:tcBorders>
          </w:tcPr>
          <w:p w14:paraId="58E9D59B" w14:textId="77777777" w:rsidR="008A4121" w:rsidRDefault="008A4121" w:rsidP="00BE29C7">
            <w:pPr>
              <w:jc w:val="center"/>
            </w:pPr>
            <w:r>
              <w:rPr>
                <w:sz w:val="22"/>
                <w:szCs w:val="22"/>
              </w:rPr>
              <w:t>6</w:t>
            </w:r>
          </w:p>
        </w:tc>
        <w:tc>
          <w:tcPr>
            <w:tcW w:w="2060" w:type="dxa"/>
            <w:tcBorders>
              <w:top w:val="single" w:sz="1" w:space="0" w:color="808080"/>
              <w:left w:val="single" w:sz="1" w:space="0" w:color="808080"/>
              <w:bottom w:val="single" w:sz="1" w:space="0" w:color="808080"/>
              <w:right w:val="single" w:sz="1" w:space="0" w:color="808080"/>
            </w:tcBorders>
          </w:tcPr>
          <w:p w14:paraId="1DB4803D" w14:textId="77777777" w:rsidR="008A4121" w:rsidRDefault="008A4121" w:rsidP="00BE29C7">
            <w:pPr>
              <w:jc w:val="center"/>
            </w:pPr>
            <w:r>
              <w:rPr>
                <w:sz w:val="22"/>
                <w:szCs w:val="22"/>
              </w:rPr>
              <w:t>6.9</w:t>
            </w:r>
          </w:p>
        </w:tc>
      </w:tr>
    </w:tbl>
    <w:p w14:paraId="4910CD87" w14:textId="77777777" w:rsidR="008A4121" w:rsidRDefault="008A4121" w:rsidP="008A4121">
      <w:pPr>
        <w:spacing w:after="200"/>
      </w:pPr>
    </w:p>
    <w:p w14:paraId="24A9935B" w14:textId="51ECF903" w:rsidR="008A4121" w:rsidRDefault="008A4121" w:rsidP="008A4121">
      <w:pPr>
        <w:spacing w:after="200" w:line="360" w:lineRule="auto"/>
      </w:pPr>
      <w:r>
        <w:t>Net Zero 2050 emerged as the primary policy driver (37.9%), followed by the Energy Performance of Buildings Directive (29.9%). This policy alignment suggests that regulatory frameworks are creating demand-side pressure for building performance improvement, though the interview findings reveal gaps between policy ambition and implementation capability</w:t>
      </w:r>
      <w:r w:rsidR="000F6BAF">
        <w:t xml:space="preserve">, </w:t>
      </w:r>
      <w:r>
        <w:t>a theme explored further in Chapter 5.</w:t>
      </w:r>
    </w:p>
    <w:p w14:paraId="1886BF56" w14:textId="77777777" w:rsidR="008A4121" w:rsidRDefault="008A4121" w:rsidP="008A4121">
      <w:pPr>
        <w:pStyle w:val="Heading2"/>
      </w:pPr>
      <w:bookmarkStart w:id="158" w:name="_Toc220152220"/>
      <w:r>
        <w:t>4.10 Three-Domain Framework Assessment</w:t>
      </w:r>
      <w:bookmarkEnd w:id="158"/>
    </w:p>
    <w:p w14:paraId="0466FF57" w14:textId="77777777" w:rsidR="008A4121" w:rsidRDefault="008A4121" w:rsidP="008A4121">
      <w:pPr>
        <w:spacing w:after="200" w:line="360" w:lineRule="auto"/>
      </w:pPr>
      <w:r>
        <w:t>The integrated analysis of quantitative and qualitative data can be synthesised through the three-domain conceptual framework introduced in Chapter 2. Figure 4.12 presents a visual assessment of organisational positioning across nine sub-dimensions spanning Technological Capability, Human and Organisational Readiness, and Policy and Governance Alignment. Scores were derived from relevant survey items and calibrated against qualitative themes.</w:t>
      </w:r>
    </w:p>
    <w:p w14:paraId="7AD34639" w14:textId="4D496D97" w:rsidR="001C693C" w:rsidRDefault="00C46CCA" w:rsidP="001C693C">
      <w:pPr>
        <w:keepNext/>
        <w:jc w:val="center"/>
      </w:pPr>
      <w:r>
        <w:rPr>
          <w:noProof/>
        </w:rPr>
        <w:lastRenderedPageBreak/>
        <w:drawing>
          <wp:inline distT="0" distB="0" distL="0" distR="0" wp14:anchorId="14FE0A42" wp14:editId="3D63A0B5">
            <wp:extent cx="5727802" cy="4803861"/>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760878" cy="4831601"/>
                    </a:xfrm>
                    <a:prstGeom prst="rect">
                      <a:avLst/>
                    </a:prstGeom>
                  </pic:spPr>
                </pic:pic>
              </a:graphicData>
            </a:graphic>
          </wp:inline>
        </w:drawing>
      </w:r>
    </w:p>
    <w:p w14:paraId="44433E18" w14:textId="77777777" w:rsidR="00C46CCA" w:rsidRDefault="00C46CCA" w:rsidP="006F62AB">
      <w:pPr>
        <w:pStyle w:val="Caption"/>
        <w:jc w:val="center"/>
        <w:rPr>
          <w:b/>
          <w:bCs/>
          <w:color w:val="auto"/>
          <w:sz w:val="20"/>
          <w:szCs w:val="20"/>
        </w:rPr>
      </w:pPr>
      <w:bookmarkStart w:id="159" w:name="_Toc220152017"/>
      <w:bookmarkStart w:id="160" w:name="_Toc223079140"/>
    </w:p>
    <w:p w14:paraId="52AB917A" w14:textId="18425854" w:rsidR="006F62AB" w:rsidRDefault="006F62AB" w:rsidP="006F62AB">
      <w:pPr>
        <w:pStyle w:val="Caption"/>
        <w:jc w:val="center"/>
        <w:rPr>
          <w:b/>
          <w:bCs/>
          <w:color w:val="auto"/>
          <w:sz w:val="20"/>
          <w:szCs w:val="20"/>
        </w:rPr>
      </w:pPr>
      <w:r w:rsidRPr="009673C1">
        <w:rPr>
          <w:b/>
          <w:bCs/>
          <w:color w:val="auto"/>
          <w:sz w:val="20"/>
          <w:szCs w:val="20"/>
        </w:rPr>
        <w:t xml:space="preserve">Figure </w:t>
      </w:r>
      <w:r>
        <w:rPr>
          <w:b/>
          <w:bCs/>
          <w:color w:val="auto"/>
          <w:sz w:val="20"/>
          <w:szCs w:val="20"/>
        </w:rPr>
        <w:t>4</w:t>
      </w:r>
      <w:r w:rsidRPr="009673C1">
        <w:rPr>
          <w:b/>
          <w:bCs/>
          <w:color w:val="auto"/>
          <w:sz w:val="20"/>
          <w:szCs w:val="20"/>
        </w:rPr>
        <w:t>.</w:t>
      </w:r>
      <w:r>
        <w:rPr>
          <w:b/>
          <w:bCs/>
          <w:color w:val="auto"/>
          <w:sz w:val="20"/>
          <w:szCs w:val="20"/>
        </w:rPr>
        <w:t>12</w:t>
      </w:r>
      <w:r w:rsidRPr="009673C1">
        <w:rPr>
          <w:b/>
          <w:bCs/>
          <w:color w:val="auto"/>
          <w:sz w:val="20"/>
          <w:szCs w:val="20"/>
        </w:rPr>
        <w:t>: Three-Domain Framework Assessment</w:t>
      </w:r>
      <w:bookmarkEnd w:id="159"/>
      <w:bookmarkEnd w:id="160"/>
    </w:p>
    <w:p w14:paraId="072C4DE5" w14:textId="77777777" w:rsidR="009C7098" w:rsidRDefault="009C7098" w:rsidP="009673C1">
      <w:pPr>
        <w:keepNext/>
        <w:jc w:val="center"/>
      </w:pPr>
    </w:p>
    <w:p w14:paraId="07E75669" w14:textId="77777777" w:rsidR="009C7098" w:rsidRPr="009C7098" w:rsidRDefault="009C7098" w:rsidP="009C7098"/>
    <w:p w14:paraId="73C3F986" w14:textId="7C357368" w:rsidR="001341B8" w:rsidRDefault="008A4121" w:rsidP="008A4121">
      <w:pPr>
        <w:spacing w:after="200" w:line="360" w:lineRule="auto"/>
      </w:pPr>
      <w:r>
        <w:t xml:space="preserve">The radar visualisation reveals an uneven profile across domains. Measurement capability (3.70) and policy alignment (3.50) represent relative strengths, indicating that monitoring foundations and regulatory awareness exist within the sector. </w:t>
      </w:r>
      <w:r w:rsidR="00C43D8E">
        <w:t>D</w:t>
      </w:r>
      <w:r>
        <w:t>igital skills and training (2.45) and funding access (2.60) emerge as notable weaknesses. This pattern suggests that while regulatory drivers and performance monitoring foundations exist, human capital development and financial constraints represent the primary bottlenecks to accelerated adoption</w:t>
      </w:r>
      <w:r w:rsidR="000F6BAF">
        <w:t xml:space="preserve">, </w:t>
      </w:r>
      <w:r>
        <w:t>findings with direct implications for intervention priorities discussed in Chapter 5.</w:t>
      </w:r>
    </w:p>
    <w:p w14:paraId="57E5AB04" w14:textId="77777777" w:rsidR="00C46CCA" w:rsidRDefault="00C46CCA" w:rsidP="008A4121">
      <w:pPr>
        <w:spacing w:after="200" w:line="360" w:lineRule="auto"/>
      </w:pPr>
    </w:p>
    <w:p w14:paraId="6AFE4E97" w14:textId="77777777" w:rsidR="008A4121" w:rsidRDefault="008A4121" w:rsidP="008A4121">
      <w:pPr>
        <w:pStyle w:val="Heading2"/>
      </w:pPr>
      <w:bookmarkStart w:id="161" w:name="_Toc220152221"/>
      <w:r>
        <w:lastRenderedPageBreak/>
        <w:t>4.11 Summary of Key Findings</w:t>
      </w:r>
      <w:bookmarkEnd w:id="161"/>
    </w:p>
    <w:p w14:paraId="3919DE55" w14:textId="3D9AFF47" w:rsidR="008A4121" w:rsidRDefault="008A4121" w:rsidP="008A4121">
      <w:pPr>
        <w:spacing w:after="200" w:line="360" w:lineRule="auto"/>
      </w:pPr>
      <w:r>
        <w:t xml:space="preserve">The integrated analysis of quantitative and qualitative data reveals </w:t>
      </w:r>
      <w:r w:rsidR="00E21564">
        <w:t>key</w:t>
      </w:r>
      <w:r>
        <w:t xml:space="preserve"> convergent findings with implications for AI and Digital Twin adoption in post-construction M&amp;E systems:</w:t>
      </w:r>
    </w:p>
    <w:p w14:paraId="307336E0" w14:textId="77777777" w:rsidR="008A4121" w:rsidRDefault="008A4121" w:rsidP="008A4121">
      <w:pPr>
        <w:pStyle w:val="ListParagraph"/>
        <w:numPr>
          <w:ilvl w:val="0"/>
          <w:numId w:val="4"/>
        </w:numPr>
        <w:spacing w:after="80"/>
        <w:contextualSpacing w:val="0"/>
      </w:pPr>
      <w:r>
        <w:t>Current adoption remains limited, with only 6.9% reporting full integration and 40.2% describing partial implementation. Interview participants consistently characterised their organisations as operating at early or transitional stages of digital maturity.</w:t>
      </w:r>
    </w:p>
    <w:p w14:paraId="4F0CFA9A" w14:textId="77777777" w:rsidR="008A4121" w:rsidRDefault="008A4121" w:rsidP="008A4121">
      <w:pPr>
        <w:pStyle w:val="ListParagraph"/>
        <w:numPr>
          <w:ilvl w:val="0"/>
          <w:numId w:val="4"/>
        </w:numPr>
        <w:spacing w:after="80"/>
        <w:contextualSpacing w:val="0"/>
      </w:pPr>
      <w:r>
        <w:t>Predictive maintenance benefits received the strongest endorsement (M=4.40, 94.3% agreement), supported by qualitative accounts of verified energy savings (18% gas reduction) and operational improvements in implemented cases.</w:t>
      </w:r>
    </w:p>
    <w:p w14:paraId="3FF6CDDF" w14:textId="02F52A4C" w:rsidR="008A4121" w:rsidRDefault="008A4121" w:rsidP="008A4121">
      <w:pPr>
        <w:pStyle w:val="ListParagraph"/>
        <w:numPr>
          <w:ilvl w:val="0"/>
          <w:numId w:val="4"/>
        </w:numPr>
        <w:spacing w:after="80"/>
        <w:contextualSpacing w:val="0"/>
      </w:pPr>
      <w:r>
        <w:t>Cost/budget constraints (M=3.</w:t>
      </w:r>
      <w:r w:rsidR="00BA42FA">
        <w:t>17</w:t>
      </w:r>
      <w:r>
        <w:t>), cybersecurity concerns (M=3.67), legacy system incompatibility (M=3.56), and skills gaps (M=3.55) emerged as the highest-rated barriers, with interoperability identified as the most persistent technical challenge in qualitative accounts.</w:t>
      </w:r>
    </w:p>
    <w:p w14:paraId="669D4294" w14:textId="16B7FF57" w:rsidR="00E7125A" w:rsidRDefault="00E7125A" w:rsidP="008A4121">
      <w:pPr>
        <w:pStyle w:val="ListParagraph"/>
        <w:numPr>
          <w:ilvl w:val="0"/>
          <w:numId w:val="4"/>
        </w:numPr>
        <w:spacing w:after="80"/>
        <w:contextualSpacing w:val="0"/>
      </w:pPr>
      <w:r w:rsidRPr="00E7125A">
        <w:t>A moderate-strong positive correlation between familiarity and barrier perception (r=0.60) was identified see Section 4.8 for full interpretation</w:t>
      </w:r>
      <w:r>
        <w:t>.</w:t>
      </w:r>
    </w:p>
    <w:p w14:paraId="39D54A23" w14:textId="0459083A" w:rsidR="008A4121" w:rsidRDefault="00E7125A" w:rsidP="008A4121">
      <w:pPr>
        <w:pStyle w:val="ListParagraph"/>
        <w:numPr>
          <w:ilvl w:val="0"/>
          <w:numId w:val="4"/>
        </w:numPr>
        <w:spacing w:after="80"/>
        <w:contextualSpacing w:val="0"/>
      </w:pPr>
      <w:r>
        <w:t xml:space="preserve"> </w:t>
      </w:r>
      <w:r w:rsidR="008A4121">
        <w:t>Organisational readiness appears moderated by practical experience, with those actively engaged in implementation reporting more cautious readiness assessments than those without direct experience.</w:t>
      </w:r>
    </w:p>
    <w:p w14:paraId="4689E8B9" w14:textId="77777777" w:rsidR="008A4121" w:rsidRDefault="008A4121" w:rsidP="008A4121">
      <w:pPr>
        <w:pStyle w:val="ListParagraph"/>
        <w:numPr>
          <w:ilvl w:val="0"/>
          <w:numId w:val="4"/>
        </w:numPr>
        <w:spacing w:after="200"/>
        <w:contextualSpacing w:val="0"/>
      </w:pPr>
      <w:r>
        <w:t>Sustainability outcomes depend critically on measurement capability, with 58.6% currently measuring carbon/EUI but older buildings frequently lacking the metering infrastructure required to generate reliable performance data.</w:t>
      </w:r>
    </w:p>
    <w:p w14:paraId="67B2C7F5" w14:textId="77777777" w:rsidR="001E7B2F" w:rsidRDefault="001E7B2F" w:rsidP="001E7B2F">
      <w:pPr>
        <w:spacing w:after="200"/>
      </w:pPr>
    </w:p>
    <w:p w14:paraId="408198AB" w14:textId="77777777" w:rsidR="001E7B2F" w:rsidRDefault="001E7B2F" w:rsidP="001E7B2F">
      <w:pPr>
        <w:spacing w:after="200"/>
      </w:pPr>
    </w:p>
    <w:p w14:paraId="26420604" w14:textId="77777777" w:rsidR="001C693C" w:rsidRDefault="00241BB6" w:rsidP="001C693C">
      <w:pPr>
        <w:keepNext/>
        <w:spacing w:after="200" w:line="360" w:lineRule="auto"/>
        <w:jc w:val="center"/>
      </w:pPr>
      <w:r>
        <w:rPr>
          <w:noProof/>
        </w:rPr>
        <w:lastRenderedPageBreak/>
        <w:drawing>
          <wp:inline distT="0" distB="0" distL="0" distR="0" wp14:anchorId="0B4FB5BA" wp14:editId="65310ACA">
            <wp:extent cx="5675141" cy="3983603"/>
            <wp:effectExtent l="0" t="0" r="1905" b="0"/>
            <wp:docPr id="1285897357"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897357" name="Picture 2"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84739" cy="4060534"/>
                    </a:xfrm>
                    <a:prstGeom prst="rect">
                      <a:avLst/>
                    </a:prstGeom>
                  </pic:spPr>
                </pic:pic>
              </a:graphicData>
            </a:graphic>
          </wp:inline>
        </w:drawing>
      </w:r>
    </w:p>
    <w:p w14:paraId="59D93F68" w14:textId="77777777" w:rsidR="006F62AB" w:rsidRPr="00BE2DA0" w:rsidRDefault="006F62AB" w:rsidP="006F62AB">
      <w:pPr>
        <w:pStyle w:val="Caption"/>
        <w:jc w:val="center"/>
        <w:rPr>
          <w:b/>
          <w:bCs/>
          <w:color w:val="000000" w:themeColor="text1"/>
          <w:sz w:val="20"/>
          <w:szCs w:val="20"/>
        </w:rPr>
      </w:pPr>
      <w:bookmarkStart w:id="162" w:name="_Toc220152018"/>
      <w:bookmarkStart w:id="163" w:name="_Toc223079141"/>
      <w:r w:rsidRPr="00BE2DA0">
        <w:rPr>
          <w:b/>
          <w:bCs/>
          <w:color w:val="000000" w:themeColor="text1"/>
          <w:sz w:val="20"/>
          <w:szCs w:val="20"/>
        </w:rPr>
        <w:t>Figure 4.13: Summary of Key Research Findings – Digital Twin Adoption in UK FE Sector</w:t>
      </w:r>
      <w:bookmarkEnd w:id="162"/>
      <w:bookmarkEnd w:id="163"/>
    </w:p>
    <w:p w14:paraId="6FB427B6" w14:textId="54FDE0B5" w:rsidR="00D073C2" w:rsidRPr="00861778" w:rsidRDefault="00D073C2" w:rsidP="00D073C2">
      <w:pPr>
        <w:jc w:val="center"/>
        <w:rPr>
          <w:i/>
          <w:iCs/>
          <w:sz w:val="20"/>
          <w:szCs w:val="20"/>
        </w:rPr>
      </w:pPr>
      <w:r w:rsidRPr="00861778">
        <w:rPr>
          <w:i/>
          <w:iCs/>
          <w:sz w:val="20"/>
          <w:szCs w:val="20"/>
        </w:rPr>
        <w:t>Source: Primary data, n=87 survey; n=6 interviews</w:t>
      </w:r>
    </w:p>
    <w:p w14:paraId="6D9ADD59" w14:textId="77777777" w:rsidR="003E2818" w:rsidRDefault="003E2818" w:rsidP="00257E57">
      <w:pPr>
        <w:spacing w:after="200" w:line="360" w:lineRule="auto"/>
      </w:pPr>
    </w:p>
    <w:p w14:paraId="0F968FCB" w14:textId="752508CC" w:rsidR="008A4121" w:rsidRDefault="008A4121" w:rsidP="00257E57">
      <w:pPr>
        <w:spacing w:after="200" w:line="360" w:lineRule="auto"/>
      </w:pPr>
      <w:r>
        <w:t>These findings establish the empirical foundation for the discussion chapter, which examines their implications in relation to the literature, technology adoption frameworks, and practical recommendations for the Further Education sector and comparable contexts.</w:t>
      </w:r>
      <w:r w:rsidR="00037856">
        <w:br w:type="page"/>
      </w:r>
    </w:p>
    <w:p w14:paraId="03F13251" w14:textId="77777777" w:rsidR="008A4121" w:rsidRDefault="008A4121" w:rsidP="008A4121">
      <w:pPr>
        <w:pStyle w:val="Heading1"/>
      </w:pPr>
      <w:bookmarkStart w:id="164" w:name="_Toc220152222"/>
      <w:r>
        <w:lastRenderedPageBreak/>
        <w:t>Chapter 5 – Discussion</w:t>
      </w:r>
      <w:bookmarkEnd w:id="164"/>
    </w:p>
    <w:p w14:paraId="5723FFA0" w14:textId="77777777" w:rsidR="008A4121" w:rsidRDefault="008A4121" w:rsidP="008A4121">
      <w:pPr>
        <w:pStyle w:val="Heading2"/>
      </w:pPr>
      <w:bookmarkStart w:id="165" w:name="_Toc220152223"/>
      <w:r>
        <w:t>5.1 Introduction</w:t>
      </w:r>
      <w:bookmarkEnd w:id="165"/>
    </w:p>
    <w:p w14:paraId="1B1291CA" w14:textId="58958DB1" w:rsidR="008A4121" w:rsidRDefault="001820B5" w:rsidP="008A4121">
      <w:pPr>
        <w:spacing w:after="200" w:line="360" w:lineRule="auto"/>
      </w:pPr>
      <w:r w:rsidRPr="001820B5">
        <w:t>Critical examination of the research findings against the three-domain conceptual framework of Technological Capability, Human and Organisational Readiness, and Policy and Governance Alignment forms the basis of this discussion. By systematically triangulating quantitative survey results (n=87) with qualitative interview findings (n=6), the extent to which AI-enabled Digital Twins can enhance sustainability in post-construction M&amp;E systems is evaluated.</w:t>
      </w:r>
    </w:p>
    <w:p w14:paraId="326FC51B" w14:textId="5167E125" w:rsidR="008A4121" w:rsidRDefault="008A4121" w:rsidP="008A4121">
      <w:pPr>
        <w:spacing w:after="200" w:line="360" w:lineRule="auto"/>
      </w:pPr>
      <w:r>
        <w:t>The chapter is structured around the key themes emerging from the integrated analysis: technological readiness and the interoperability challenge; human factors including skills, culture, and leadership; structural constraints shaping adoption trajectories; and the conditions under which sustainability benefits are realised. Each section positions findings within the existing literature, identifies points of convergence and divergence, and considers implications for theory and practice. Technology adoption frameworks</w:t>
      </w:r>
      <w:r w:rsidR="009950F7">
        <w:t>,</w:t>
      </w:r>
      <w:r w:rsidR="000F6BAF">
        <w:t xml:space="preserve"> </w:t>
      </w:r>
      <w:r>
        <w:t>including Davis's (1989) Technology Acceptance Model, Venkatesh et al.'s (2003) UTAUT, and Rogers's (2003) Diffusion of Innovations</w:t>
      </w:r>
      <w:r w:rsidR="000F6BAF">
        <w:t xml:space="preserve">, </w:t>
      </w:r>
      <w:r>
        <w:t>provide theoretical lenses for interpreting adoption patterns and barriers. The chapter concludes by reflecting on limitations and identifying directions for future research.</w:t>
      </w:r>
    </w:p>
    <w:p w14:paraId="04E964AB" w14:textId="77777777" w:rsidR="008A4121" w:rsidRDefault="008A4121" w:rsidP="008A4121">
      <w:pPr>
        <w:pStyle w:val="Heading2"/>
      </w:pPr>
      <w:bookmarkStart w:id="166" w:name="_Toc220152224"/>
      <w:r>
        <w:t>5.2 Technological Capability: Interoperability and the API Integration Gap</w:t>
      </w:r>
      <w:bookmarkEnd w:id="166"/>
    </w:p>
    <w:p w14:paraId="08C7AF05" w14:textId="106956EE" w:rsidR="008A4121" w:rsidRDefault="008A4121" w:rsidP="008A4121">
      <w:pPr>
        <w:spacing w:after="200" w:line="360" w:lineRule="auto"/>
      </w:pPr>
      <w:r>
        <w:t xml:space="preserve">Survey data indicated that 59% of respondents reported moderate to high familiarity with AI concepts, yet familiarity with Digital Twins (47% very/highly familiar) and API-driven integration (24% very/highly familiar) remained substantially lower. Only </w:t>
      </w:r>
      <w:r w:rsidR="00BE4239">
        <w:t>6.9</w:t>
      </w:r>
      <w:r>
        <w:t>% of respondents reported full integration of AI-enhanced Digital Twins within their building operations, with 40% indicating partial integration and 25% reporting no current implementation. This pattern confirms the systematic review finding that while AI-enhanced Digital Twins demonstrate proven energy savings of 10</w:t>
      </w:r>
      <w:r w:rsidR="000F6BAF">
        <w:t>-</w:t>
      </w:r>
      <w:r>
        <w:t>38%, practical deployment remains limited, particularly in retrofit contexts (Cespedes-Cubides and Jradi, 2024).</w:t>
      </w:r>
    </w:p>
    <w:p w14:paraId="6F91FD73" w14:textId="1CDB7D3E" w:rsidR="008A4121" w:rsidRDefault="008A4121" w:rsidP="008A4121">
      <w:pPr>
        <w:spacing w:after="200" w:line="360" w:lineRule="auto"/>
      </w:pPr>
      <w:r>
        <w:t xml:space="preserve">Through the lens of Davis's (1989) Technology Acceptance Model, these findings suggest that while perceived usefulness of AI and Digital Twin technologies is </w:t>
      </w:r>
      <w:r>
        <w:lastRenderedPageBreak/>
        <w:t>relatively well-established</w:t>
      </w:r>
      <w:r w:rsidR="000F6BAF">
        <w:t xml:space="preserve">, </w:t>
      </w:r>
      <w:r>
        <w:t>with 68% of respondents agreeing or strongly agreeing that such systems improve energy efficiency</w:t>
      </w:r>
      <w:r w:rsidR="000F6BAF">
        <w:t xml:space="preserve">, </w:t>
      </w:r>
      <w:r>
        <w:t>perceived ease of use remains constrained by implementation uncertainty. The lower familiarity scores for APIs and Digital Twins compared to general AI awareness indicate that practitioners recognise the potential of intelligent building systems but lack confidence in the specific integration mechanisms required for deployment. This interpretation aligns with Venkatesh et al.'s (2003) UTAUT framework, which identifies effort expectancy as a key determinant of technology adoption; the limited API documentation identified in the systematic review directly constrains effort expectancy by leaving practitioners uncertain about implementation requirements.</w:t>
      </w:r>
    </w:p>
    <w:p w14:paraId="4EB50C2E" w14:textId="75E6FDC5" w:rsidR="008A4121" w:rsidRDefault="008A4121" w:rsidP="008A4121">
      <w:pPr>
        <w:spacing w:after="200" w:line="360" w:lineRule="auto"/>
      </w:pPr>
      <w:r>
        <w:t xml:space="preserve">Qualitative findings illuminate the mechanisms underlying this implementation gap. Interview participants consistently described estates containing multiple generations of plant and controls supplied by different vendors using proprietary protocols. As one estates manager with 20 years' experience observed, legacy systems create 'islands of data' that resist integration efforts. This fragmentation directly undermines the scalability of Digital Twin solutions, which require continuous data flows from disparate building systems to maintain accurate virtual representations. The finding confirms Volk, </w:t>
      </w:r>
      <w:r w:rsidR="006A1981">
        <w:t>Stengel,</w:t>
      </w:r>
      <w:r>
        <w:t xml:space="preserve"> and Schultmann's (2014) identification of heterogeneous system landscapes as a primary barrier to BIM implementation in existing </w:t>
      </w:r>
      <w:r w:rsidR="006A1981">
        <w:t>buildings and</w:t>
      </w:r>
      <w:r>
        <w:t xml:space="preserve"> extends this analysis to the Digital Twin context where real-time data integration intensifies interoperability demands.</w:t>
      </w:r>
    </w:p>
    <w:p w14:paraId="12A10DAA" w14:textId="714DDF85" w:rsidR="008A4121" w:rsidRDefault="009B7DA7" w:rsidP="008A4121">
      <w:pPr>
        <w:spacing w:after="200" w:line="360" w:lineRule="auto"/>
      </w:pPr>
      <w:r w:rsidRPr="009B7DA7">
        <w:t>The documentation gap identified in the systematic review (Section 2.4) is mirrored in practitioner experience</w:t>
      </w:r>
      <w:r w:rsidR="000F6BAF">
        <w:t xml:space="preserve">, </w:t>
      </w:r>
      <w:r w:rsidR="008A4121">
        <w:t>REST APIs, NGSI-LD standards, and JSON data formats</w:t>
      </w:r>
      <w:r w:rsidR="000F6BAF">
        <w:t xml:space="preserve">, </w:t>
      </w:r>
      <w:r w:rsidR="008A4121">
        <w:t>despite APIs constituting the essential connectivity layer enabling Digital Twin functionality. This academic underreporting is mirrored in practitioner experience: interview participants reported difficulty obtaining clear guidance on interoperability standards, with vendor lock-in frequently cited as a barrier to implementation. The Norwegian office building case (Renganayagalu et al., 2024) demonstrated successful standardisation through FIWARE technology stack and NGSI-LD protocols normalising data from 62 diverse sensors, yet such detailed technical documentation remains exceptional. Jia et al. (2019) and Tang et al. (2019) similarly emphasise that API design significantly influences system interoperability, yet practical implementation guidance for existing building contexts remains sparse.</w:t>
      </w:r>
    </w:p>
    <w:p w14:paraId="7585A9CC" w14:textId="77777777" w:rsidR="00DF23BB" w:rsidRDefault="00DF23BB" w:rsidP="00CD0E8E">
      <w:pPr>
        <w:pStyle w:val="Caption"/>
        <w:keepNext/>
        <w:rPr>
          <w:b/>
          <w:bCs/>
          <w:color w:val="auto"/>
          <w:sz w:val="20"/>
          <w:szCs w:val="20"/>
        </w:rPr>
      </w:pPr>
    </w:p>
    <w:p w14:paraId="0EF99A13" w14:textId="741F72D7" w:rsidR="00CD0E8E" w:rsidRPr="00CD0E8E" w:rsidRDefault="00CD0E8E" w:rsidP="00CD0E8E">
      <w:pPr>
        <w:pStyle w:val="Caption"/>
        <w:keepNext/>
        <w:rPr>
          <w:b/>
          <w:bCs/>
          <w:color w:val="auto"/>
          <w:sz w:val="20"/>
          <w:szCs w:val="20"/>
        </w:rPr>
      </w:pPr>
      <w:bookmarkStart w:id="167" w:name="_Toc220151998"/>
      <w:bookmarkStart w:id="168" w:name="_Toc223077246"/>
      <w:bookmarkStart w:id="169" w:name="_Toc223079142"/>
      <w:r w:rsidRPr="00CD0E8E">
        <w:rPr>
          <w:b/>
          <w:bCs/>
          <w:color w:val="auto"/>
          <w:sz w:val="20"/>
          <w:szCs w:val="20"/>
        </w:rPr>
        <w:t xml:space="preserve">Table </w:t>
      </w:r>
      <w:r w:rsidR="004D4AE1">
        <w:rPr>
          <w:b/>
          <w:bCs/>
          <w:color w:val="auto"/>
          <w:sz w:val="20"/>
          <w:szCs w:val="20"/>
        </w:rPr>
        <w:t>5</w:t>
      </w:r>
      <w:r>
        <w:rPr>
          <w:b/>
          <w:bCs/>
          <w:color w:val="auto"/>
          <w:sz w:val="20"/>
          <w:szCs w:val="20"/>
        </w:rPr>
        <w:t>.</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1</w:t>
      </w:r>
      <w:r w:rsidR="00E10041">
        <w:rPr>
          <w:b/>
          <w:bCs/>
          <w:color w:val="auto"/>
          <w:sz w:val="20"/>
          <w:szCs w:val="20"/>
        </w:rPr>
        <w:fldChar w:fldCharType="end"/>
      </w:r>
      <w:r w:rsidRPr="00CD0E8E">
        <w:rPr>
          <w:b/>
          <w:bCs/>
          <w:color w:val="auto"/>
          <w:sz w:val="20"/>
          <w:szCs w:val="20"/>
        </w:rPr>
        <w:t>: Triangulation Summary – Technological Capability Domain</w:t>
      </w:r>
      <w:bookmarkEnd w:id="167"/>
      <w:bookmarkEnd w:id="168"/>
      <w:bookmarkEnd w:id="169"/>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76"/>
        <w:gridCol w:w="2506"/>
        <w:gridCol w:w="2462"/>
        <w:gridCol w:w="2280"/>
      </w:tblGrid>
      <w:tr w:rsidR="008A4121" w14:paraId="58711573" w14:textId="77777777" w:rsidTr="00BE29C7">
        <w:trPr>
          <w:tblHeader/>
        </w:trPr>
        <w:tc>
          <w:tcPr>
            <w:tcW w:w="1800" w:type="dxa"/>
            <w:tcBorders>
              <w:top w:val="single" w:sz="1" w:space="0" w:color="808080"/>
              <w:left w:val="single" w:sz="1" w:space="0" w:color="808080"/>
              <w:bottom w:val="single" w:sz="1" w:space="0" w:color="808080"/>
              <w:right w:val="single" w:sz="1" w:space="0" w:color="808080"/>
            </w:tcBorders>
            <w:shd w:val="clear" w:color="auto" w:fill="D9E2F3"/>
          </w:tcPr>
          <w:p w14:paraId="5FD05963" w14:textId="77777777" w:rsidR="008A4121" w:rsidRDefault="008A4121" w:rsidP="00BE29C7">
            <w:pPr>
              <w:jc w:val="center"/>
            </w:pPr>
            <w:r>
              <w:rPr>
                <w:b/>
                <w:bCs/>
                <w:sz w:val="22"/>
                <w:szCs w:val="22"/>
              </w:rPr>
              <w:t>Finding Area</w:t>
            </w:r>
          </w:p>
        </w:tc>
        <w:tc>
          <w:tcPr>
            <w:tcW w:w="2600" w:type="dxa"/>
            <w:tcBorders>
              <w:top w:val="single" w:sz="1" w:space="0" w:color="808080"/>
              <w:left w:val="single" w:sz="1" w:space="0" w:color="808080"/>
              <w:bottom w:val="single" w:sz="1" w:space="0" w:color="808080"/>
              <w:right w:val="single" w:sz="1" w:space="0" w:color="808080"/>
            </w:tcBorders>
            <w:shd w:val="clear" w:color="auto" w:fill="D9E2F3"/>
          </w:tcPr>
          <w:p w14:paraId="5702057A" w14:textId="77777777" w:rsidR="008A4121" w:rsidRDefault="008A4121" w:rsidP="00BE29C7">
            <w:pPr>
              <w:jc w:val="center"/>
            </w:pPr>
            <w:r>
              <w:rPr>
                <w:b/>
                <w:bCs/>
                <w:sz w:val="22"/>
                <w:szCs w:val="22"/>
              </w:rPr>
              <w:t>Survey Evidence</w:t>
            </w:r>
          </w:p>
        </w:tc>
        <w:tc>
          <w:tcPr>
            <w:tcW w:w="2600" w:type="dxa"/>
            <w:tcBorders>
              <w:top w:val="single" w:sz="1" w:space="0" w:color="808080"/>
              <w:left w:val="single" w:sz="1" w:space="0" w:color="808080"/>
              <w:bottom w:val="single" w:sz="1" w:space="0" w:color="808080"/>
              <w:right w:val="single" w:sz="1" w:space="0" w:color="808080"/>
            </w:tcBorders>
            <w:shd w:val="clear" w:color="auto" w:fill="D9E2F3"/>
          </w:tcPr>
          <w:p w14:paraId="03990359" w14:textId="77777777" w:rsidR="008A4121" w:rsidRDefault="008A4121" w:rsidP="00BE29C7">
            <w:pPr>
              <w:jc w:val="center"/>
            </w:pPr>
            <w:r>
              <w:rPr>
                <w:b/>
                <w:bCs/>
                <w:sz w:val="22"/>
                <w:szCs w:val="22"/>
              </w:rPr>
              <w:t>Interview Evidence</w:t>
            </w:r>
          </w:p>
        </w:tc>
        <w:tc>
          <w:tcPr>
            <w:tcW w:w="2360" w:type="dxa"/>
            <w:tcBorders>
              <w:top w:val="single" w:sz="1" w:space="0" w:color="808080"/>
              <w:left w:val="single" w:sz="1" w:space="0" w:color="808080"/>
              <w:bottom w:val="single" w:sz="1" w:space="0" w:color="808080"/>
              <w:right w:val="single" w:sz="1" w:space="0" w:color="808080"/>
            </w:tcBorders>
            <w:shd w:val="clear" w:color="auto" w:fill="D9E2F3"/>
          </w:tcPr>
          <w:p w14:paraId="202221A2" w14:textId="77777777" w:rsidR="008A4121" w:rsidRDefault="008A4121" w:rsidP="00BE29C7">
            <w:pPr>
              <w:jc w:val="center"/>
            </w:pPr>
            <w:r>
              <w:rPr>
                <w:b/>
                <w:bCs/>
                <w:sz w:val="22"/>
                <w:szCs w:val="22"/>
              </w:rPr>
              <w:t>Triangulation Assessment</w:t>
            </w:r>
          </w:p>
        </w:tc>
      </w:tr>
      <w:tr w:rsidR="008A4121" w14:paraId="533FAE29" w14:textId="77777777" w:rsidTr="0025438A">
        <w:tc>
          <w:tcPr>
            <w:tcW w:w="1800" w:type="dxa"/>
            <w:tcBorders>
              <w:top w:val="single" w:sz="1" w:space="0" w:color="808080"/>
              <w:left w:val="single" w:sz="1" w:space="0" w:color="808080"/>
              <w:bottom w:val="single" w:sz="1" w:space="0" w:color="808080"/>
              <w:right w:val="single" w:sz="1" w:space="0" w:color="808080"/>
            </w:tcBorders>
            <w:vAlign w:val="center"/>
          </w:tcPr>
          <w:p w14:paraId="0550AF34" w14:textId="77777777" w:rsidR="008A4121" w:rsidRDefault="008A4121" w:rsidP="0025438A">
            <w:r>
              <w:rPr>
                <w:sz w:val="22"/>
                <w:szCs w:val="22"/>
              </w:rPr>
              <w:t>Technology Familiarity</w:t>
            </w:r>
          </w:p>
        </w:tc>
        <w:tc>
          <w:tcPr>
            <w:tcW w:w="2600" w:type="dxa"/>
            <w:tcBorders>
              <w:top w:val="single" w:sz="1" w:space="0" w:color="808080"/>
              <w:left w:val="single" w:sz="1" w:space="0" w:color="808080"/>
              <w:bottom w:val="single" w:sz="1" w:space="0" w:color="808080"/>
              <w:right w:val="single" w:sz="1" w:space="0" w:color="808080"/>
            </w:tcBorders>
            <w:vAlign w:val="center"/>
          </w:tcPr>
          <w:p w14:paraId="035E09E1" w14:textId="77777777" w:rsidR="008A4121" w:rsidRDefault="008A4121" w:rsidP="0025438A">
            <w:r>
              <w:rPr>
                <w:sz w:val="22"/>
                <w:szCs w:val="22"/>
              </w:rPr>
              <w:t>AI: 59% moderate-high; DT: 47%; API: 24% very/highly familiar</w:t>
            </w:r>
          </w:p>
        </w:tc>
        <w:tc>
          <w:tcPr>
            <w:tcW w:w="2600" w:type="dxa"/>
            <w:tcBorders>
              <w:top w:val="single" w:sz="1" w:space="0" w:color="808080"/>
              <w:left w:val="single" w:sz="1" w:space="0" w:color="808080"/>
              <w:bottom w:val="single" w:sz="1" w:space="0" w:color="808080"/>
              <w:right w:val="single" w:sz="1" w:space="0" w:color="808080"/>
            </w:tcBorders>
            <w:vAlign w:val="center"/>
          </w:tcPr>
          <w:p w14:paraId="49ADA1C1" w14:textId="77777777" w:rsidR="008A4121" w:rsidRDefault="008A4121" w:rsidP="0025438A">
            <w:r>
              <w:rPr>
                <w:sz w:val="22"/>
                <w:szCs w:val="22"/>
              </w:rPr>
              <w:t>General AI awareness high; specific DT/API knowledge limited</w:t>
            </w:r>
          </w:p>
        </w:tc>
        <w:tc>
          <w:tcPr>
            <w:tcW w:w="2360" w:type="dxa"/>
            <w:tcBorders>
              <w:top w:val="single" w:sz="1" w:space="0" w:color="808080"/>
              <w:left w:val="single" w:sz="1" w:space="0" w:color="808080"/>
              <w:bottom w:val="single" w:sz="1" w:space="0" w:color="808080"/>
              <w:right w:val="single" w:sz="1" w:space="0" w:color="808080"/>
            </w:tcBorders>
            <w:vAlign w:val="center"/>
          </w:tcPr>
          <w:p w14:paraId="2523389D" w14:textId="77777777" w:rsidR="008A4121" w:rsidRDefault="008A4121" w:rsidP="0025438A">
            <w:r>
              <w:rPr>
                <w:sz w:val="22"/>
                <w:szCs w:val="22"/>
              </w:rPr>
              <w:t>Convergent: awareness exceeds implementation capability</w:t>
            </w:r>
          </w:p>
        </w:tc>
      </w:tr>
      <w:tr w:rsidR="008A4121" w14:paraId="52421CA1" w14:textId="77777777" w:rsidTr="0025438A">
        <w:tc>
          <w:tcPr>
            <w:tcW w:w="1800" w:type="dxa"/>
            <w:tcBorders>
              <w:top w:val="single" w:sz="1" w:space="0" w:color="808080"/>
              <w:left w:val="single" w:sz="1" w:space="0" w:color="808080"/>
              <w:bottom w:val="single" w:sz="1" w:space="0" w:color="808080"/>
              <w:right w:val="single" w:sz="1" w:space="0" w:color="808080"/>
            </w:tcBorders>
            <w:vAlign w:val="center"/>
          </w:tcPr>
          <w:p w14:paraId="4D092D8A" w14:textId="77777777" w:rsidR="008A4121" w:rsidRDefault="008A4121" w:rsidP="0025438A">
            <w:r>
              <w:rPr>
                <w:sz w:val="22"/>
                <w:szCs w:val="22"/>
              </w:rPr>
              <w:t>Implementation Status</w:t>
            </w:r>
          </w:p>
        </w:tc>
        <w:tc>
          <w:tcPr>
            <w:tcW w:w="2600" w:type="dxa"/>
            <w:tcBorders>
              <w:top w:val="single" w:sz="1" w:space="0" w:color="808080"/>
              <w:left w:val="single" w:sz="1" w:space="0" w:color="808080"/>
              <w:bottom w:val="single" w:sz="1" w:space="0" w:color="808080"/>
              <w:right w:val="single" w:sz="1" w:space="0" w:color="808080"/>
            </w:tcBorders>
            <w:vAlign w:val="center"/>
          </w:tcPr>
          <w:p w14:paraId="7424EE62" w14:textId="77777777" w:rsidR="008A4121" w:rsidRDefault="008A4121" w:rsidP="0025438A">
            <w:r>
              <w:rPr>
                <w:sz w:val="22"/>
                <w:szCs w:val="22"/>
              </w:rPr>
              <w:t>Full: 7%; Partial: 40%; Planning: 28%; None: 25%</w:t>
            </w:r>
          </w:p>
        </w:tc>
        <w:tc>
          <w:tcPr>
            <w:tcW w:w="2600" w:type="dxa"/>
            <w:tcBorders>
              <w:top w:val="single" w:sz="1" w:space="0" w:color="808080"/>
              <w:left w:val="single" w:sz="1" w:space="0" w:color="808080"/>
              <w:bottom w:val="single" w:sz="1" w:space="0" w:color="808080"/>
              <w:right w:val="single" w:sz="1" w:space="0" w:color="808080"/>
            </w:tcBorders>
            <w:vAlign w:val="center"/>
          </w:tcPr>
          <w:p w14:paraId="47DA0AFB" w14:textId="77777777" w:rsidR="008A4121" w:rsidRDefault="008A4121" w:rsidP="0025438A">
            <w:r>
              <w:rPr>
                <w:sz w:val="22"/>
                <w:szCs w:val="22"/>
              </w:rPr>
              <w:t>BMS common; true DT rare; pilot projects mentioned</w:t>
            </w:r>
          </w:p>
        </w:tc>
        <w:tc>
          <w:tcPr>
            <w:tcW w:w="2360" w:type="dxa"/>
            <w:tcBorders>
              <w:top w:val="single" w:sz="1" w:space="0" w:color="808080"/>
              <w:left w:val="single" w:sz="1" w:space="0" w:color="808080"/>
              <w:bottom w:val="single" w:sz="1" w:space="0" w:color="808080"/>
              <w:right w:val="single" w:sz="1" w:space="0" w:color="808080"/>
            </w:tcBorders>
            <w:vAlign w:val="center"/>
          </w:tcPr>
          <w:p w14:paraId="12E40FE2" w14:textId="77777777" w:rsidR="008A4121" w:rsidRDefault="008A4121" w:rsidP="0025438A">
            <w:r>
              <w:rPr>
                <w:sz w:val="22"/>
                <w:szCs w:val="22"/>
              </w:rPr>
              <w:t>Convergent: early-stage maturity predominates</w:t>
            </w:r>
          </w:p>
        </w:tc>
      </w:tr>
      <w:tr w:rsidR="008A4121" w14:paraId="78A8C6FC" w14:textId="77777777" w:rsidTr="0025438A">
        <w:tc>
          <w:tcPr>
            <w:tcW w:w="1800" w:type="dxa"/>
            <w:tcBorders>
              <w:top w:val="single" w:sz="1" w:space="0" w:color="808080"/>
              <w:left w:val="single" w:sz="1" w:space="0" w:color="808080"/>
              <w:bottom w:val="single" w:sz="1" w:space="0" w:color="808080"/>
              <w:right w:val="single" w:sz="1" w:space="0" w:color="808080"/>
            </w:tcBorders>
            <w:vAlign w:val="center"/>
          </w:tcPr>
          <w:p w14:paraId="4D5129EC" w14:textId="77777777" w:rsidR="008A4121" w:rsidRDefault="008A4121" w:rsidP="0025438A">
            <w:r>
              <w:rPr>
                <w:sz w:val="22"/>
                <w:szCs w:val="22"/>
              </w:rPr>
              <w:t>Legacy Systems Barrier</w:t>
            </w:r>
          </w:p>
        </w:tc>
        <w:tc>
          <w:tcPr>
            <w:tcW w:w="2600" w:type="dxa"/>
            <w:tcBorders>
              <w:top w:val="single" w:sz="1" w:space="0" w:color="808080"/>
              <w:left w:val="single" w:sz="1" w:space="0" w:color="808080"/>
              <w:bottom w:val="single" w:sz="1" w:space="0" w:color="808080"/>
              <w:right w:val="single" w:sz="1" w:space="0" w:color="808080"/>
            </w:tcBorders>
            <w:vAlign w:val="center"/>
          </w:tcPr>
          <w:p w14:paraId="3DC22FFB" w14:textId="77777777" w:rsidR="008A4121" w:rsidRDefault="008A4121" w:rsidP="0025438A">
            <w:r>
              <w:rPr>
                <w:sz w:val="22"/>
                <w:szCs w:val="22"/>
              </w:rPr>
              <w:t>Mean 3.5/5; 53% significant/major barrier</w:t>
            </w:r>
          </w:p>
        </w:tc>
        <w:tc>
          <w:tcPr>
            <w:tcW w:w="2600" w:type="dxa"/>
            <w:tcBorders>
              <w:top w:val="single" w:sz="1" w:space="0" w:color="808080"/>
              <w:left w:val="single" w:sz="1" w:space="0" w:color="808080"/>
              <w:bottom w:val="single" w:sz="1" w:space="0" w:color="808080"/>
              <w:right w:val="single" w:sz="1" w:space="0" w:color="808080"/>
            </w:tcBorders>
            <w:vAlign w:val="center"/>
          </w:tcPr>
          <w:p w14:paraId="5DB78394" w14:textId="77777777" w:rsidR="008A4121" w:rsidRDefault="008A4121" w:rsidP="0025438A">
            <w:r>
              <w:rPr>
                <w:sz w:val="22"/>
                <w:szCs w:val="22"/>
              </w:rPr>
              <w:t>'Islands of data'; proprietary protocols; middleware needed</w:t>
            </w:r>
          </w:p>
        </w:tc>
        <w:tc>
          <w:tcPr>
            <w:tcW w:w="2360" w:type="dxa"/>
            <w:tcBorders>
              <w:top w:val="single" w:sz="1" w:space="0" w:color="808080"/>
              <w:left w:val="single" w:sz="1" w:space="0" w:color="808080"/>
              <w:bottom w:val="single" w:sz="1" w:space="0" w:color="808080"/>
              <w:right w:val="single" w:sz="1" w:space="0" w:color="808080"/>
            </w:tcBorders>
            <w:vAlign w:val="center"/>
          </w:tcPr>
          <w:p w14:paraId="643FA4F9" w14:textId="77777777" w:rsidR="008A4121" w:rsidRDefault="008A4121" w:rsidP="0025438A">
            <w:r>
              <w:rPr>
                <w:sz w:val="22"/>
                <w:szCs w:val="22"/>
              </w:rPr>
              <w:t>Convergent: interoperability consistently problematic</w:t>
            </w:r>
          </w:p>
        </w:tc>
      </w:tr>
      <w:tr w:rsidR="008A4121" w14:paraId="64314CF5" w14:textId="77777777" w:rsidTr="0025438A">
        <w:tc>
          <w:tcPr>
            <w:tcW w:w="1800" w:type="dxa"/>
            <w:tcBorders>
              <w:top w:val="single" w:sz="1" w:space="0" w:color="808080"/>
              <w:left w:val="single" w:sz="1" w:space="0" w:color="808080"/>
              <w:bottom w:val="single" w:sz="1" w:space="0" w:color="808080"/>
              <w:right w:val="single" w:sz="1" w:space="0" w:color="808080"/>
            </w:tcBorders>
            <w:vAlign w:val="center"/>
          </w:tcPr>
          <w:p w14:paraId="7DE6AC47" w14:textId="77777777" w:rsidR="008A4121" w:rsidRDefault="008A4121" w:rsidP="0025438A">
            <w:r>
              <w:rPr>
                <w:sz w:val="22"/>
                <w:szCs w:val="22"/>
              </w:rPr>
              <w:t>API Standardisation</w:t>
            </w:r>
          </w:p>
        </w:tc>
        <w:tc>
          <w:tcPr>
            <w:tcW w:w="2600" w:type="dxa"/>
            <w:tcBorders>
              <w:top w:val="single" w:sz="1" w:space="0" w:color="808080"/>
              <w:left w:val="single" w:sz="1" w:space="0" w:color="808080"/>
              <w:bottom w:val="single" w:sz="1" w:space="0" w:color="808080"/>
              <w:right w:val="single" w:sz="1" w:space="0" w:color="808080"/>
            </w:tcBorders>
            <w:vAlign w:val="center"/>
          </w:tcPr>
          <w:p w14:paraId="156C0E04" w14:textId="77777777" w:rsidR="008A4121" w:rsidRDefault="008A4121" w:rsidP="0025438A">
            <w:r>
              <w:rPr>
                <w:sz w:val="22"/>
                <w:szCs w:val="22"/>
              </w:rPr>
              <w:t>Mean 3.3/5; 33% significant/major barrier</w:t>
            </w:r>
          </w:p>
        </w:tc>
        <w:tc>
          <w:tcPr>
            <w:tcW w:w="2600" w:type="dxa"/>
            <w:tcBorders>
              <w:top w:val="single" w:sz="1" w:space="0" w:color="808080"/>
              <w:left w:val="single" w:sz="1" w:space="0" w:color="808080"/>
              <w:bottom w:val="single" w:sz="1" w:space="0" w:color="808080"/>
              <w:right w:val="single" w:sz="1" w:space="0" w:color="808080"/>
            </w:tcBorders>
            <w:vAlign w:val="center"/>
          </w:tcPr>
          <w:p w14:paraId="6D626A6B" w14:textId="77777777" w:rsidR="008A4121" w:rsidRDefault="008A4121" w:rsidP="0025438A">
            <w:r>
              <w:rPr>
                <w:sz w:val="22"/>
                <w:szCs w:val="22"/>
              </w:rPr>
              <w:t>Limited guidance; vendor lock-in concerns; open protocol advocacy</w:t>
            </w:r>
          </w:p>
        </w:tc>
        <w:tc>
          <w:tcPr>
            <w:tcW w:w="2360" w:type="dxa"/>
            <w:tcBorders>
              <w:top w:val="single" w:sz="1" w:space="0" w:color="808080"/>
              <w:left w:val="single" w:sz="1" w:space="0" w:color="808080"/>
              <w:bottom w:val="single" w:sz="1" w:space="0" w:color="808080"/>
              <w:right w:val="single" w:sz="1" w:space="0" w:color="808080"/>
            </w:tcBorders>
            <w:vAlign w:val="center"/>
          </w:tcPr>
          <w:p w14:paraId="73998933" w14:textId="77777777" w:rsidR="008A4121" w:rsidRDefault="008A4121" w:rsidP="0025438A">
            <w:r>
              <w:rPr>
                <w:sz w:val="22"/>
                <w:szCs w:val="22"/>
              </w:rPr>
              <w:t>Convergent: standardisation gap acknowledged</w:t>
            </w:r>
          </w:p>
        </w:tc>
      </w:tr>
    </w:tbl>
    <w:p w14:paraId="52622E57" w14:textId="77777777" w:rsidR="008A4121" w:rsidRDefault="008A4121" w:rsidP="008A4121">
      <w:pPr>
        <w:spacing w:after="200"/>
      </w:pPr>
    </w:p>
    <w:p w14:paraId="1B98A98E" w14:textId="2D52F0F2" w:rsidR="008A4121" w:rsidRDefault="008A4121" w:rsidP="008A4121">
      <w:pPr>
        <w:spacing w:after="200" w:line="360" w:lineRule="auto"/>
      </w:pPr>
      <w:r>
        <w:t>These findings extend existing research by demonstrating that API readiness constitutes not merely a technical challenge but a strategic consideration with long-term implications. Procurement decisions, system replacement cycles, and asset planning directly influence future Digital Twin deployment feasibility. Without interoperable, API-enabled systems, organisations risk becoming locked into fragmented digital ecosystems that constrain innovation</w:t>
      </w:r>
      <w:r w:rsidR="000F6BAF">
        <w:t xml:space="preserve">, </w:t>
      </w:r>
      <w:r>
        <w:t>a concern particularly acute in the FE sector where capital investment cycles may span 15</w:t>
      </w:r>
      <w:r w:rsidR="000F6BAF">
        <w:t>-</w:t>
      </w:r>
      <w:r>
        <w:t>20 years. The interview finding that digital capability is frequently 'value-engineered out' during procurement confirms Ghaffarianhoseini et al.'s (2017) observation that BIM adoption remains uneven, with existing building portfolios particularly underserved by available guidance. Rogers's (2003) diffusion framework identifies compatibility with existing systems as a key innovation characteristic; the pervasive legacy infrastructure in FE estates fundamentally constrains this compatibility dimension.</w:t>
      </w:r>
    </w:p>
    <w:p w14:paraId="4AAD8048" w14:textId="77777777" w:rsidR="008A4121" w:rsidRDefault="008A4121" w:rsidP="008A4121">
      <w:pPr>
        <w:pStyle w:val="Heading2"/>
      </w:pPr>
      <w:bookmarkStart w:id="170" w:name="_Toc220152225"/>
      <w:r>
        <w:t>5.3 Human and Organisational Readiness: Skills, Culture, and Leadership</w:t>
      </w:r>
      <w:bookmarkEnd w:id="170"/>
    </w:p>
    <w:p w14:paraId="7D1F1FDF" w14:textId="6DFF13D5" w:rsidR="008A4121" w:rsidRDefault="00D905B6" w:rsidP="008A4121">
      <w:pPr>
        <w:spacing w:after="200" w:line="360" w:lineRule="auto"/>
      </w:pPr>
      <w:r>
        <w:t>The s</w:t>
      </w:r>
      <w:r w:rsidR="008A4121">
        <w:t xml:space="preserve">urvey data identified skills gaps and training needs as substantial barriers (mean 3.6/5), with 51% rating this as a major or significant barrier. Interview findings revealed that confidence, attitudes, and leadership support often exerted greater influence than technical skill deficits alone. This convergence supports the socio-technical perspective advocated by Boje et al. (2020), which positions digital </w:t>
      </w:r>
      <w:r w:rsidR="008A4121">
        <w:lastRenderedPageBreak/>
        <w:t>transformation as fundamentally about people and processes rather than technology in isolation.</w:t>
      </w:r>
    </w:p>
    <w:p w14:paraId="2E16A66C" w14:textId="6B1BA91D" w:rsidR="008A4121" w:rsidRDefault="008A4121" w:rsidP="008A4121">
      <w:pPr>
        <w:spacing w:after="200" w:line="360" w:lineRule="auto"/>
      </w:pPr>
      <w:r>
        <w:t>The findings resonate strongly with Venkatesh et al.'s (2003) UTAUT framework, which identifies social influence and facilitating conditions as determinants of technology adoption alongside performance and effort expectancy. Interview participants described how visible leadership support legitimised technology engagement and created permission for experimentation. One facilities manager noted that successful technology adoption required 'champions at multiple levels'</w:t>
      </w:r>
      <w:r w:rsidR="000F6BAF">
        <w:t xml:space="preserve">, </w:t>
      </w:r>
      <w:r>
        <w:t xml:space="preserve">not merely executive sponsorship but operational staff willing to experiment and share learning. This finding aligns with Kotter's (2012) change management framework emphasising the importance of building guiding coalitions that span organisational </w:t>
      </w:r>
      <w:r w:rsidR="006A1981">
        <w:t>levels and</w:t>
      </w:r>
      <w:r>
        <w:t xml:space="preserve"> suggests that hierarchical top-down approaches to technology implementation may prove less effective than collaborative engagement strategies.</w:t>
      </w:r>
    </w:p>
    <w:p w14:paraId="35FB532E" w14:textId="404087FE" w:rsidR="008A4121" w:rsidRDefault="008A4121" w:rsidP="008A4121">
      <w:pPr>
        <w:spacing w:after="200" w:line="360" w:lineRule="auto"/>
      </w:pPr>
      <w:r>
        <w:t xml:space="preserve">Participants described generational differences in digital confidence, with younger staff generally more comfortable engaging with data-driven systems. </w:t>
      </w:r>
      <w:r w:rsidR="00C43D8E">
        <w:t>R</w:t>
      </w:r>
      <w:r>
        <w:t>espondents consistently emphasised that organisational culture</w:t>
      </w:r>
      <w:r w:rsidR="000F6BAF">
        <w:t xml:space="preserve">, </w:t>
      </w:r>
      <w:r>
        <w:t>characterised by openness to innovation, tolerance of experimentation, and willingness to learn from failure</w:t>
      </w:r>
      <w:r w:rsidR="000F6BAF">
        <w:t xml:space="preserve">, </w:t>
      </w:r>
      <w:r>
        <w:t xml:space="preserve">proved more influential than individual technical competencies. Pärn, </w:t>
      </w:r>
      <w:r w:rsidR="006A1981">
        <w:t>Edwards,</w:t>
      </w:r>
      <w:r>
        <w:t xml:space="preserve"> and Sing (2017) similarly found that skills deficits constrain BIM adoption in facilities management despite recognised benefits, while Matarneh et al. (2019) confirm that FM organisations frequently lack personnel capable of interpreting digital building data for operational decision-making. The present findings extend this literature by highlighting the cultural dimensions that mediate between individual capability and organisational performance.</w:t>
      </w:r>
    </w:p>
    <w:p w14:paraId="1006EF05" w14:textId="6791BC9F" w:rsidR="00C81451" w:rsidRDefault="00C81451" w:rsidP="00C81451">
      <w:pPr>
        <w:spacing w:after="200" w:line="360" w:lineRule="auto"/>
      </w:pPr>
      <w:r>
        <w:t>The correlation between organisational readiness and perceived benefits (r=0.</w:t>
      </w:r>
      <w:r w:rsidR="00125C2C">
        <w:t>3</w:t>
      </w:r>
      <w:r>
        <w:t xml:space="preserve">2, p&lt;0.01) suggests association but cannot establish causality, and alternative explanations merit </w:t>
      </w:r>
      <w:r w:rsidR="00911421">
        <w:t>thoughtful consideration</w:t>
      </w:r>
      <w:r>
        <w:t>. Organisations already committed to digital transformation may retrospectively rationalise benefits to justify prior investments</w:t>
      </w:r>
      <w:r w:rsidR="000F6BAF">
        <w:t xml:space="preserve">, </w:t>
      </w:r>
      <w:r>
        <w:t xml:space="preserve">a form of confirmation bias well-documented in technology adoption research. Alternatively, unmeasured third variables such as overall organisational resources or management quality may independently predict both readiness and benefit perception, creating spurious correlation. Furthermore, self-reported </w:t>
      </w:r>
      <w:r>
        <w:lastRenderedPageBreak/>
        <w:t>readiness measures are susceptible to social desirability bias, particularly given current policy emphasis on digital innovation where respondents may overstate their organisation's capabilities. The finding that familiarity correlates positively with barrier perception (r=0.60) offers a useful counterpoint, suggesting that deeper engagement produces more realistic</w:t>
      </w:r>
      <w:r w:rsidR="000F6BAF">
        <w:t xml:space="preserve">, </w:t>
      </w:r>
      <w:r>
        <w:t>and more cautious</w:t>
      </w:r>
      <w:r w:rsidR="000F6BAF">
        <w:t xml:space="preserve">, </w:t>
      </w:r>
      <w:r>
        <w:t>evaluation rather than uncritical enthusiasm. Despite these caveats, the correlation's magnitude and statistical significance suggest a relationship worthy of further investigation through longitudinal or quasi-experimental designs capable of disentangling causal mechanisms. The finding aligns with Rogers's (2003) observation that early adopters tend to have greater resources and higher tolerance for uncertainty than later adopter categories</w:t>
      </w:r>
      <w:r w:rsidR="0086733B">
        <w:t xml:space="preserve">, </w:t>
      </w:r>
      <w:r>
        <w:t>though this alignment itself warrants critical examination</w:t>
      </w:r>
      <w:r w:rsidR="00202541">
        <w:t>.</w:t>
      </w:r>
    </w:p>
    <w:p w14:paraId="37546F7A" w14:textId="77777777" w:rsidR="008A4121" w:rsidRDefault="008A4121" w:rsidP="008A4121">
      <w:pPr>
        <w:spacing w:after="200" w:line="360" w:lineRule="auto"/>
      </w:pPr>
      <w:r>
        <w:t>A notable divergence from the literature concerns the relative importance of formal qualifications versus experiential learning. While academic research frequently emphasises the need for data science and AI expertise, practitioners in this study prioritised practical competence in building systems operation combined with willingness to learn. Kensek (2015) documents the importance of sustained engagement rather than one-time training interventions for BIM adoption in FM contexts. This suggests that workforce development strategies should balance technical upskilling with cultivation of adaptive mindsets and collaborative learning cultures. The Further Education sector potentially benefits from proximity to educational delivery, with opportunities for workforce development programmes addressing both internal staff needs and broader industry requirements.</w:t>
      </w:r>
    </w:p>
    <w:p w14:paraId="3D457C6E" w14:textId="77777777" w:rsidR="008A4121" w:rsidRDefault="008A4121" w:rsidP="008A4121">
      <w:pPr>
        <w:pStyle w:val="Heading2"/>
      </w:pPr>
      <w:bookmarkStart w:id="171" w:name="_Toc220152226"/>
      <w:r>
        <w:t>5.4 Policy and Governance Alignment: Structural Barriers and Funding Constraints</w:t>
      </w:r>
      <w:bookmarkEnd w:id="171"/>
    </w:p>
    <w:p w14:paraId="2DC34B06" w14:textId="7D7904B6" w:rsidR="008A4121" w:rsidRDefault="008A4121" w:rsidP="008A4121">
      <w:pPr>
        <w:spacing w:after="200" w:line="360" w:lineRule="auto"/>
      </w:pPr>
      <w:r>
        <w:t>Structural constraints</w:t>
      </w:r>
      <w:r w:rsidR="0086733B">
        <w:t xml:space="preserve">, </w:t>
      </w:r>
      <w:r>
        <w:t>particularly capital funding models and procurement practices</w:t>
      </w:r>
      <w:r w:rsidR="0086733B">
        <w:t xml:space="preserve">, </w:t>
      </w:r>
      <w:r>
        <w:t xml:space="preserve">emerged as the dominant barriers in both quantitative and qualitative data. Survey respondents rated budget constraints as </w:t>
      </w:r>
      <w:r w:rsidR="009A1499" w:rsidRPr="009A1499">
        <w:t>the most widely reported barrier (92% rating it as moderate or above)</w:t>
      </w:r>
      <w:r w:rsidR="009A1499">
        <w:t xml:space="preserve"> </w:t>
      </w:r>
      <w:r>
        <w:t>while interview participants provided detailed accounts of how short-term budgeting cycles, value-engineering pressures, and procurement frameworks prioritising initial cost systematically undermine digital capability investment.</w:t>
      </w:r>
    </w:p>
    <w:p w14:paraId="3821EE76" w14:textId="5CF1D95B" w:rsidR="008A4121" w:rsidRDefault="008A4121" w:rsidP="008A4121">
      <w:pPr>
        <w:spacing w:after="200" w:line="360" w:lineRule="auto"/>
      </w:pPr>
      <w:r>
        <w:t xml:space="preserve">Participants described a recurring pattern whereby digital capability is 'value-engineered out' during procurement, with BMS specifications reduced to minimum </w:t>
      </w:r>
      <w:r>
        <w:lastRenderedPageBreak/>
        <w:t xml:space="preserve">compliance levels and sensor infrastructure eliminated to meet budget constraints. The consequences extend beyond immediate functionality: buildings commissioned without adequate metering and control infrastructure cannot subsequently support Digital Twin deployment without costly retrofit. This finding confirms Cespedes-Cubides and Jradi's (2024) identification of the 'interactivity gap' affecting pre-2001 buildings lacking digital </w:t>
      </w:r>
      <w:r w:rsidR="006A1981">
        <w:t>infrastructure and</w:t>
      </w:r>
      <w:r>
        <w:t xml:space="preserve"> aligns with Egan's (1998) foundational critique of construction industry fragmentation and short-termism that continues to constrain innovation two decades later.</w:t>
      </w:r>
    </w:p>
    <w:p w14:paraId="7C0A8CE9" w14:textId="77777777" w:rsidR="00DF23BB" w:rsidRDefault="00DF23BB" w:rsidP="00CD0E8E">
      <w:pPr>
        <w:pStyle w:val="Caption"/>
        <w:keepNext/>
        <w:rPr>
          <w:b/>
          <w:bCs/>
          <w:color w:val="auto"/>
          <w:sz w:val="20"/>
          <w:szCs w:val="20"/>
        </w:rPr>
      </w:pPr>
    </w:p>
    <w:p w14:paraId="371CF5A1" w14:textId="23CFF584" w:rsidR="00CD0E8E" w:rsidRPr="00CD0E8E" w:rsidRDefault="00CD0E8E" w:rsidP="00CD0E8E">
      <w:pPr>
        <w:pStyle w:val="Caption"/>
        <w:keepNext/>
        <w:rPr>
          <w:b/>
          <w:bCs/>
          <w:color w:val="auto"/>
          <w:sz w:val="20"/>
          <w:szCs w:val="20"/>
        </w:rPr>
      </w:pPr>
      <w:bookmarkStart w:id="172" w:name="_Toc220151999"/>
      <w:bookmarkStart w:id="173" w:name="_Toc223077247"/>
      <w:bookmarkStart w:id="174" w:name="_Toc223079143"/>
      <w:r w:rsidRPr="00CD0E8E">
        <w:rPr>
          <w:b/>
          <w:bCs/>
          <w:color w:val="auto"/>
          <w:sz w:val="20"/>
          <w:szCs w:val="20"/>
        </w:rPr>
        <w:t xml:space="preserve">Table </w:t>
      </w:r>
      <w:r w:rsidR="004D4AE1">
        <w:rPr>
          <w:b/>
          <w:bCs/>
          <w:color w:val="auto"/>
          <w:sz w:val="20"/>
          <w:szCs w:val="20"/>
        </w:rPr>
        <w:t>5</w:t>
      </w:r>
      <w:r>
        <w:rPr>
          <w:b/>
          <w:bCs/>
          <w:color w:val="auto"/>
          <w:sz w:val="20"/>
          <w:szCs w:val="20"/>
        </w:rPr>
        <w:t>.</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2</w:t>
      </w:r>
      <w:r w:rsidR="00E10041">
        <w:rPr>
          <w:b/>
          <w:bCs/>
          <w:color w:val="auto"/>
          <w:sz w:val="20"/>
          <w:szCs w:val="20"/>
        </w:rPr>
        <w:fldChar w:fldCharType="end"/>
      </w:r>
      <w:r w:rsidRPr="00CD0E8E">
        <w:rPr>
          <w:b/>
          <w:bCs/>
          <w:color w:val="auto"/>
          <w:sz w:val="20"/>
          <w:szCs w:val="20"/>
        </w:rPr>
        <w:t>: Implementation Barriers – Survey Rankings and Interview Themes</w:t>
      </w:r>
      <w:bookmarkEnd w:id="172"/>
      <w:bookmarkEnd w:id="173"/>
      <w:bookmarkEnd w:id="174"/>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48"/>
        <w:gridCol w:w="1541"/>
        <w:gridCol w:w="1719"/>
        <w:gridCol w:w="3216"/>
      </w:tblGrid>
      <w:tr w:rsidR="008A4121" w14:paraId="7F081D98" w14:textId="77777777" w:rsidTr="00BE29C7">
        <w:trPr>
          <w:tblHeader/>
        </w:trPr>
        <w:tc>
          <w:tcPr>
            <w:tcW w:w="2600" w:type="dxa"/>
            <w:tcBorders>
              <w:top w:val="single" w:sz="1" w:space="0" w:color="808080"/>
              <w:left w:val="single" w:sz="1" w:space="0" w:color="808080"/>
              <w:bottom w:val="single" w:sz="1" w:space="0" w:color="808080"/>
              <w:right w:val="single" w:sz="1" w:space="0" w:color="808080"/>
            </w:tcBorders>
            <w:shd w:val="clear" w:color="auto" w:fill="D9E2F3"/>
          </w:tcPr>
          <w:p w14:paraId="2CBE0EF7" w14:textId="77777777" w:rsidR="008A4121" w:rsidRDefault="008A4121" w:rsidP="00BE29C7">
            <w:pPr>
              <w:jc w:val="center"/>
            </w:pPr>
            <w:r>
              <w:rPr>
                <w:b/>
                <w:bCs/>
                <w:sz w:val="22"/>
                <w:szCs w:val="22"/>
              </w:rPr>
              <w:t>Barrier Category</w:t>
            </w:r>
          </w:p>
        </w:tc>
        <w:tc>
          <w:tcPr>
            <w:tcW w:w="1600" w:type="dxa"/>
            <w:tcBorders>
              <w:top w:val="single" w:sz="1" w:space="0" w:color="808080"/>
              <w:left w:val="single" w:sz="1" w:space="0" w:color="808080"/>
              <w:bottom w:val="single" w:sz="1" w:space="0" w:color="808080"/>
              <w:right w:val="single" w:sz="1" w:space="0" w:color="808080"/>
            </w:tcBorders>
            <w:shd w:val="clear" w:color="auto" w:fill="D9E2F3"/>
          </w:tcPr>
          <w:p w14:paraId="1250E1E4" w14:textId="77777777" w:rsidR="008A4121" w:rsidRDefault="008A4121" w:rsidP="00BE29C7">
            <w:pPr>
              <w:jc w:val="center"/>
            </w:pPr>
            <w:r>
              <w:rPr>
                <w:b/>
                <w:bCs/>
                <w:sz w:val="22"/>
                <w:szCs w:val="22"/>
              </w:rPr>
              <w:t>Survey Mean</w:t>
            </w:r>
          </w:p>
        </w:tc>
        <w:tc>
          <w:tcPr>
            <w:tcW w:w="1800" w:type="dxa"/>
            <w:tcBorders>
              <w:top w:val="single" w:sz="1" w:space="0" w:color="808080"/>
              <w:left w:val="single" w:sz="1" w:space="0" w:color="808080"/>
              <w:bottom w:val="single" w:sz="1" w:space="0" w:color="808080"/>
              <w:right w:val="single" w:sz="1" w:space="0" w:color="808080"/>
            </w:tcBorders>
            <w:shd w:val="clear" w:color="auto" w:fill="D9E2F3"/>
          </w:tcPr>
          <w:p w14:paraId="43F6983B" w14:textId="58880A65" w:rsidR="008A4121" w:rsidRDefault="008A4121" w:rsidP="00BE29C7">
            <w:pPr>
              <w:jc w:val="center"/>
            </w:pPr>
            <w:r>
              <w:rPr>
                <w:b/>
                <w:bCs/>
                <w:sz w:val="22"/>
                <w:szCs w:val="22"/>
              </w:rPr>
              <w:t xml:space="preserve">% </w:t>
            </w:r>
            <w:r w:rsidR="00D26E7E">
              <w:rPr>
                <w:b/>
                <w:bCs/>
                <w:sz w:val="22"/>
                <w:szCs w:val="22"/>
              </w:rPr>
              <w:t>Mod+</w:t>
            </w:r>
          </w:p>
        </w:tc>
        <w:tc>
          <w:tcPr>
            <w:tcW w:w="3360" w:type="dxa"/>
            <w:tcBorders>
              <w:top w:val="single" w:sz="1" w:space="0" w:color="808080"/>
              <w:left w:val="single" w:sz="1" w:space="0" w:color="808080"/>
              <w:bottom w:val="single" w:sz="1" w:space="0" w:color="808080"/>
              <w:right w:val="single" w:sz="1" w:space="0" w:color="808080"/>
            </w:tcBorders>
            <w:shd w:val="clear" w:color="auto" w:fill="D9E2F3"/>
          </w:tcPr>
          <w:p w14:paraId="663AF64F" w14:textId="77777777" w:rsidR="008A4121" w:rsidRDefault="008A4121" w:rsidP="00BE29C7">
            <w:pPr>
              <w:jc w:val="center"/>
            </w:pPr>
            <w:r>
              <w:rPr>
                <w:b/>
                <w:bCs/>
                <w:sz w:val="22"/>
                <w:szCs w:val="22"/>
              </w:rPr>
              <w:t>Interview Theme Alignment</w:t>
            </w:r>
          </w:p>
        </w:tc>
      </w:tr>
      <w:tr w:rsidR="008A4121" w14:paraId="1828050E" w14:textId="77777777" w:rsidTr="0025438A">
        <w:tc>
          <w:tcPr>
            <w:tcW w:w="2600" w:type="dxa"/>
            <w:tcBorders>
              <w:top w:val="single" w:sz="1" w:space="0" w:color="808080"/>
              <w:left w:val="single" w:sz="1" w:space="0" w:color="808080"/>
              <w:bottom w:val="single" w:sz="1" w:space="0" w:color="808080"/>
              <w:right w:val="single" w:sz="1" w:space="0" w:color="808080"/>
            </w:tcBorders>
            <w:vAlign w:val="center"/>
          </w:tcPr>
          <w:p w14:paraId="75645BCF" w14:textId="77777777" w:rsidR="008A4121" w:rsidRDefault="008A4121" w:rsidP="0025438A">
            <w:r>
              <w:rPr>
                <w:sz w:val="22"/>
                <w:szCs w:val="22"/>
              </w:rPr>
              <w:t>Cost/Budget Constraints</w:t>
            </w:r>
          </w:p>
        </w:tc>
        <w:tc>
          <w:tcPr>
            <w:tcW w:w="1600" w:type="dxa"/>
            <w:tcBorders>
              <w:top w:val="single" w:sz="1" w:space="0" w:color="808080"/>
              <w:left w:val="single" w:sz="1" w:space="0" w:color="808080"/>
              <w:bottom w:val="single" w:sz="1" w:space="0" w:color="808080"/>
              <w:right w:val="single" w:sz="1" w:space="0" w:color="808080"/>
            </w:tcBorders>
            <w:vAlign w:val="center"/>
          </w:tcPr>
          <w:p w14:paraId="2622FD53" w14:textId="3C7C503A" w:rsidR="008A4121" w:rsidRDefault="008A4121" w:rsidP="0025438A">
            <w:pPr>
              <w:jc w:val="center"/>
            </w:pPr>
            <w:r>
              <w:rPr>
                <w:sz w:val="22"/>
                <w:szCs w:val="22"/>
              </w:rPr>
              <w:t>3.</w:t>
            </w:r>
            <w:r w:rsidR="009A1499">
              <w:rPr>
                <w:sz w:val="22"/>
                <w:szCs w:val="22"/>
              </w:rPr>
              <w:t>2</w:t>
            </w:r>
            <w:r w:rsidR="00F51536">
              <w:rPr>
                <w:sz w:val="22"/>
                <w:szCs w:val="22"/>
              </w:rPr>
              <w:t xml:space="preserve"> </w:t>
            </w:r>
            <w:r>
              <w:rPr>
                <w:sz w:val="22"/>
                <w:szCs w:val="22"/>
              </w:rPr>
              <w:t>/</w:t>
            </w:r>
            <w:r w:rsidR="00F51536">
              <w:rPr>
                <w:sz w:val="22"/>
                <w:szCs w:val="22"/>
              </w:rPr>
              <w:t xml:space="preserve"> </w:t>
            </w:r>
            <w:r>
              <w:rPr>
                <w:sz w:val="22"/>
                <w:szCs w:val="22"/>
              </w:rPr>
              <w:t>5</w:t>
            </w:r>
          </w:p>
        </w:tc>
        <w:tc>
          <w:tcPr>
            <w:tcW w:w="1800" w:type="dxa"/>
            <w:tcBorders>
              <w:top w:val="single" w:sz="1" w:space="0" w:color="808080"/>
              <w:left w:val="single" w:sz="1" w:space="0" w:color="808080"/>
              <w:bottom w:val="single" w:sz="1" w:space="0" w:color="808080"/>
              <w:right w:val="single" w:sz="1" w:space="0" w:color="808080"/>
            </w:tcBorders>
            <w:vAlign w:val="center"/>
          </w:tcPr>
          <w:p w14:paraId="275D2D00" w14:textId="6E4149E0" w:rsidR="008A4121" w:rsidRDefault="008A4121" w:rsidP="0025438A">
            <w:pPr>
              <w:jc w:val="center"/>
            </w:pPr>
            <w:r>
              <w:rPr>
                <w:sz w:val="22"/>
                <w:szCs w:val="22"/>
              </w:rPr>
              <w:t>92</w:t>
            </w:r>
            <w:r w:rsidR="00D26E7E">
              <w:rPr>
                <w:sz w:val="22"/>
                <w:szCs w:val="22"/>
              </w:rPr>
              <w:t>.0</w:t>
            </w:r>
            <w:r>
              <w:rPr>
                <w:sz w:val="22"/>
                <w:szCs w:val="22"/>
              </w:rPr>
              <w:t>%</w:t>
            </w:r>
          </w:p>
        </w:tc>
        <w:tc>
          <w:tcPr>
            <w:tcW w:w="3360" w:type="dxa"/>
            <w:tcBorders>
              <w:top w:val="single" w:sz="1" w:space="0" w:color="808080"/>
              <w:left w:val="single" w:sz="1" w:space="0" w:color="808080"/>
              <w:bottom w:val="single" w:sz="1" w:space="0" w:color="808080"/>
              <w:right w:val="single" w:sz="1" w:space="0" w:color="808080"/>
            </w:tcBorders>
            <w:vAlign w:val="center"/>
          </w:tcPr>
          <w:p w14:paraId="3C94164B" w14:textId="77777777" w:rsidR="008A4121" w:rsidRDefault="008A4121" w:rsidP="0025438A">
            <w:r>
              <w:rPr>
                <w:sz w:val="22"/>
                <w:szCs w:val="22"/>
              </w:rPr>
              <w:t>Capital funding cycles; value engineering; competing priorities</w:t>
            </w:r>
          </w:p>
        </w:tc>
      </w:tr>
      <w:tr w:rsidR="008A4121" w14:paraId="0F6BB466" w14:textId="77777777" w:rsidTr="0025438A">
        <w:tc>
          <w:tcPr>
            <w:tcW w:w="2600" w:type="dxa"/>
            <w:tcBorders>
              <w:top w:val="single" w:sz="1" w:space="0" w:color="808080"/>
              <w:left w:val="single" w:sz="1" w:space="0" w:color="808080"/>
              <w:bottom w:val="single" w:sz="1" w:space="0" w:color="808080"/>
              <w:right w:val="single" w:sz="1" w:space="0" w:color="808080"/>
            </w:tcBorders>
            <w:vAlign w:val="center"/>
          </w:tcPr>
          <w:p w14:paraId="52569A57" w14:textId="77777777" w:rsidR="008A4121" w:rsidRDefault="008A4121" w:rsidP="0025438A">
            <w:r>
              <w:rPr>
                <w:sz w:val="22"/>
                <w:szCs w:val="22"/>
              </w:rPr>
              <w:t>Lack of Staff Training/Skills</w:t>
            </w:r>
          </w:p>
        </w:tc>
        <w:tc>
          <w:tcPr>
            <w:tcW w:w="1600" w:type="dxa"/>
            <w:tcBorders>
              <w:top w:val="single" w:sz="1" w:space="0" w:color="808080"/>
              <w:left w:val="single" w:sz="1" w:space="0" w:color="808080"/>
              <w:bottom w:val="single" w:sz="1" w:space="0" w:color="808080"/>
              <w:right w:val="single" w:sz="1" w:space="0" w:color="808080"/>
            </w:tcBorders>
            <w:vAlign w:val="center"/>
          </w:tcPr>
          <w:p w14:paraId="5F6BD48B" w14:textId="085F2A4D" w:rsidR="008A4121" w:rsidRDefault="008A4121" w:rsidP="0025438A">
            <w:pPr>
              <w:jc w:val="center"/>
            </w:pPr>
            <w:r>
              <w:rPr>
                <w:sz w:val="22"/>
                <w:szCs w:val="22"/>
              </w:rPr>
              <w:t>3.6</w:t>
            </w:r>
            <w:r w:rsidR="00F51536">
              <w:rPr>
                <w:sz w:val="22"/>
                <w:szCs w:val="22"/>
              </w:rPr>
              <w:t xml:space="preserve"> </w:t>
            </w:r>
            <w:r>
              <w:rPr>
                <w:sz w:val="22"/>
                <w:szCs w:val="22"/>
              </w:rPr>
              <w:t>/</w:t>
            </w:r>
            <w:r w:rsidR="00F51536">
              <w:rPr>
                <w:sz w:val="22"/>
                <w:szCs w:val="22"/>
              </w:rPr>
              <w:t xml:space="preserve"> </w:t>
            </w:r>
            <w:r>
              <w:rPr>
                <w:sz w:val="22"/>
                <w:szCs w:val="22"/>
              </w:rPr>
              <w:t>5</w:t>
            </w:r>
          </w:p>
        </w:tc>
        <w:tc>
          <w:tcPr>
            <w:tcW w:w="1800" w:type="dxa"/>
            <w:tcBorders>
              <w:top w:val="single" w:sz="1" w:space="0" w:color="808080"/>
              <w:left w:val="single" w:sz="1" w:space="0" w:color="808080"/>
              <w:bottom w:val="single" w:sz="1" w:space="0" w:color="808080"/>
              <w:right w:val="single" w:sz="1" w:space="0" w:color="808080"/>
            </w:tcBorders>
            <w:vAlign w:val="center"/>
          </w:tcPr>
          <w:p w14:paraId="46C5C9A3" w14:textId="33940CB2" w:rsidR="008A4121" w:rsidRDefault="00D26E7E" w:rsidP="0025438A">
            <w:pPr>
              <w:jc w:val="center"/>
            </w:pPr>
            <w:r>
              <w:rPr>
                <w:sz w:val="22"/>
                <w:szCs w:val="22"/>
              </w:rPr>
              <w:t>82.8</w:t>
            </w:r>
            <w:r w:rsidR="008A4121">
              <w:rPr>
                <w:sz w:val="22"/>
                <w:szCs w:val="22"/>
              </w:rPr>
              <w:t>%</w:t>
            </w:r>
          </w:p>
        </w:tc>
        <w:tc>
          <w:tcPr>
            <w:tcW w:w="3360" w:type="dxa"/>
            <w:tcBorders>
              <w:top w:val="single" w:sz="1" w:space="0" w:color="808080"/>
              <w:left w:val="single" w:sz="1" w:space="0" w:color="808080"/>
              <w:bottom w:val="single" w:sz="1" w:space="0" w:color="808080"/>
              <w:right w:val="single" w:sz="1" w:space="0" w:color="808080"/>
            </w:tcBorders>
            <w:vAlign w:val="center"/>
          </w:tcPr>
          <w:p w14:paraId="2CD556B2" w14:textId="77777777" w:rsidR="008A4121" w:rsidRDefault="008A4121" w:rsidP="0025438A">
            <w:r>
              <w:rPr>
                <w:sz w:val="22"/>
                <w:szCs w:val="22"/>
              </w:rPr>
              <w:t>Digital confidence varies; peer learning valued; culture matters</w:t>
            </w:r>
          </w:p>
        </w:tc>
      </w:tr>
      <w:tr w:rsidR="008A4121" w14:paraId="4B3B6B8C" w14:textId="77777777" w:rsidTr="0025438A">
        <w:tc>
          <w:tcPr>
            <w:tcW w:w="2600" w:type="dxa"/>
            <w:tcBorders>
              <w:top w:val="single" w:sz="1" w:space="0" w:color="808080"/>
              <w:left w:val="single" w:sz="1" w:space="0" w:color="808080"/>
              <w:bottom w:val="single" w:sz="1" w:space="0" w:color="808080"/>
              <w:right w:val="single" w:sz="1" w:space="0" w:color="808080"/>
            </w:tcBorders>
            <w:vAlign w:val="center"/>
          </w:tcPr>
          <w:p w14:paraId="31F45657" w14:textId="77777777" w:rsidR="008A4121" w:rsidRDefault="008A4121" w:rsidP="0025438A">
            <w:r>
              <w:rPr>
                <w:sz w:val="22"/>
                <w:szCs w:val="22"/>
              </w:rPr>
              <w:t>Cybersecurity Concerns</w:t>
            </w:r>
          </w:p>
        </w:tc>
        <w:tc>
          <w:tcPr>
            <w:tcW w:w="1600" w:type="dxa"/>
            <w:tcBorders>
              <w:top w:val="single" w:sz="1" w:space="0" w:color="808080"/>
              <w:left w:val="single" w:sz="1" w:space="0" w:color="808080"/>
              <w:bottom w:val="single" w:sz="1" w:space="0" w:color="808080"/>
              <w:right w:val="single" w:sz="1" w:space="0" w:color="808080"/>
            </w:tcBorders>
            <w:vAlign w:val="center"/>
          </w:tcPr>
          <w:p w14:paraId="05A124AC" w14:textId="2F617302" w:rsidR="008A4121" w:rsidRDefault="008A4121" w:rsidP="0025438A">
            <w:pPr>
              <w:jc w:val="center"/>
            </w:pPr>
            <w:r>
              <w:rPr>
                <w:sz w:val="22"/>
                <w:szCs w:val="22"/>
              </w:rPr>
              <w:t>3.</w:t>
            </w:r>
            <w:r w:rsidR="006627CC">
              <w:rPr>
                <w:sz w:val="22"/>
                <w:szCs w:val="22"/>
              </w:rPr>
              <w:t>6</w:t>
            </w:r>
            <w:r w:rsidR="00F51536">
              <w:rPr>
                <w:sz w:val="22"/>
                <w:szCs w:val="22"/>
              </w:rPr>
              <w:t xml:space="preserve"> </w:t>
            </w:r>
            <w:r>
              <w:rPr>
                <w:sz w:val="22"/>
                <w:szCs w:val="22"/>
              </w:rPr>
              <w:t>/</w:t>
            </w:r>
            <w:r w:rsidR="00F51536">
              <w:rPr>
                <w:sz w:val="22"/>
                <w:szCs w:val="22"/>
              </w:rPr>
              <w:t xml:space="preserve"> </w:t>
            </w:r>
            <w:r>
              <w:rPr>
                <w:sz w:val="22"/>
                <w:szCs w:val="22"/>
              </w:rPr>
              <w:t>5</w:t>
            </w:r>
          </w:p>
        </w:tc>
        <w:tc>
          <w:tcPr>
            <w:tcW w:w="1800" w:type="dxa"/>
            <w:tcBorders>
              <w:top w:val="single" w:sz="1" w:space="0" w:color="808080"/>
              <w:left w:val="single" w:sz="1" w:space="0" w:color="808080"/>
              <w:bottom w:val="single" w:sz="1" w:space="0" w:color="808080"/>
              <w:right w:val="single" w:sz="1" w:space="0" w:color="808080"/>
            </w:tcBorders>
            <w:vAlign w:val="center"/>
          </w:tcPr>
          <w:p w14:paraId="12087E87" w14:textId="2FFCB6CF" w:rsidR="008A4121" w:rsidRDefault="00D26E7E" w:rsidP="0025438A">
            <w:pPr>
              <w:jc w:val="center"/>
            </w:pPr>
            <w:r>
              <w:rPr>
                <w:sz w:val="22"/>
                <w:szCs w:val="22"/>
              </w:rPr>
              <w:t>94.3</w:t>
            </w:r>
            <w:r w:rsidR="008A4121">
              <w:rPr>
                <w:sz w:val="22"/>
                <w:szCs w:val="22"/>
              </w:rPr>
              <w:t>%</w:t>
            </w:r>
          </w:p>
        </w:tc>
        <w:tc>
          <w:tcPr>
            <w:tcW w:w="3360" w:type="dxa"/>
            <w:tcBorders>
              <w:top w:val="single" w:sz="1" w:space="0" w:color="808080"/>
              <w:left w:val="single" w:sz="1" w:space="0" w:color="808080"/>
              <w:bottom w:val="single" w:sz="1" w:space="0" w:color="808080"/>
              <w:right w:val="single" w:sz="1" w:space="0" w:color="808080"/>
            </w:tcBorders>
            <w:vAlign w:val="center"/>
          </w:tcPr>
          <w:p w14:paraId="6AEAC2AE" w14:textId="77777777" w:rsidR="008A4121" w:rsidRDefault="008A4121" w:rsidP="0025438A">
            <w:r>
              <w:rPr>
                <w:sz w:val="22"/>
                <w:szCs w:val="22"/>
              </w:rPr>
              <w:t>IT governance risk-averse; legacy systems lack security features</w:t>
            </w:r>
          </w:p>
        </w:tc>
      </w:tr>
      <w:tr w:rsidR="008A4121" w14:paraId="79766DCB" w14:textId="77777777" w:rsidTr="0025438A">
        <w:tc>
          <w:tcPr>
            <w:tcW w:w="2600" w:type="dxa"/>
            <w:tcBorders>
              <w:top w:val="single" w:sz="1" w:space="0" w:color="808080"/>
              <w:left w:val="single" w:sz="1" w:space="0" w:color="808080"/>
              <w:bottom w:val="single" w:sz="1" w:space="0" w:color="808080"/>
              <w:right w:val="single" w:sz="1" w:space="0" w:color="808080"/>
            </w:tcBorders>
            <w:vAlign w:val="center"/>
          </w:tcPr>
          <w:p w14:paraId="4199A7B6" w14:textId="77777777" w:rsidR="008A4121" w:rsidRDefault="008A4121" w:rsidP="0025438A">
            <w:r>
              <w:rPr>
                <w:sz w:val="22"/>
                <w:szCs w:val="22"/>
              </w:rPr>
              <w:t>Incompatible Legacy Systems</w:t>
            </w:r>
          </w:p>
        </w:tc>
        <w:tc>
          <w:tcPr>
            <w:tcW w:w="1600" w:type="dxa"/>
            <w:tcBorders>
              <w:top w:val="single" w:sz="1" w:space="0" w:color="808080"/>
              <w:left w:val="single" w:sz="1" w:space="0" w:color="808080"/>
              <w:bottom w:val="single" w:sz="1" w:space="0" w:color="808080"/>
              <w:right w:val="single" w:sz="1" w:space="0" w:color="808080"/>
            </w:tcBorders>
            <w:vAlign w:val="center"/>
          </w:tcPr>
          <w:p w14:paraId="3EC3C064" w14:textId="306FF071" w:rsidR="008A4121" w:rsidRDefault="008A4121" w:rsidP="0025438A">
            <w:pPr>
              <w:jc w:val="center"/>
            </w:pPr>
            <w:r>
              <w:rPr>
                <w:sz w:val="22"/>
                <w:szCs w:val="22"/>
              </w:rPr>
              <w:t>3.5</w:t>
            </w:r>
            <w:r w:rsidR="00F51536">
              <w:rPr>
                <w:sz w:val="22"/>
                <w:szCs w:val="22"/>
              </w:rPr>
              <w:t xml:space="preserve"> </w:t>
            </w:r>
            <w:r>
              <w:rPr>
                <w:sz w:val="22"/>
                <w:szCs w:val="22"/>
              </w:rPr>
              <w:t>/</w:t>
            </w:r>
            <w:r w:rsidR="00F51536">
              <w:rPr>
                <w:sz w:val="22"/>
                <w:szCs w:val="22"/>
              </w:rPr>
              <w:t xml:space="preserve"> </w:t>
            </w:r>
            <w:r>
              <w:rPr>
                <w:sz w:val="22"/>
                <w:szCs w:val="22"/>
              </w:rPr>
              <w:t>5</w:t>
            </w:r>
          </w:p>
        </w:tc>
        <w:tc>
          <w:tcPr>
            <w:tcW w:w="1800" w:type="dxa"/>
            <w:tcBorders>
              <w:top w:val="single" w:sz="1" w:space="0" w:color="808080"/>
              <w:left w:val="single" w:sz="1" w:space="0" w:color="808080"/>
              <w:bottom w:val="single" w:sz="1" w:space="0" w:color="808080"/>
              <w:right w:val="single" w:sz="1" w:space="0" w:color="808080"/>
            </w:tcBorders>
            <w:vAlign w:val="center"/>
          </w:tcPr>
          <w:p w14:paraId="76B89CE8" w14:textId="50B5867C" w:rsidR="008A4121" w:rsidRDefault="00D26E7E" w:rsidP="0025438A">
            <w:pPr>
              <w:jc w:val="center"/>
            </w:pPr>
            <w:r>
              <w:rPr>
                <w:sz w:val="22"/>
                <w:szCs w:val="22"/>
              </w:rPr>
              <w:t>93.1</w:t>
            </w:r>
            <w:r w:rsidR="008A4121">
              <w:rPr>
                <w:sz w:val="22"/>
                <w:szCs w:val="22"/>
              </w:rPr>
              <w:t>%</w:t>
            </w:r>
          </w:p>
        </w:tc>
        <w:tc>
          <w:tcPr>
            <w:tcW w:w="3360" w:type="dxa"/>
            <w:tcBorders>
              <w:top w:val="single" w:sz="1" w:space="0" w:color="808080"/>
              <w:left w:val="single" w:sz="1" w:space="0" w:color="808080"/>
              <w:bottom w:val="single" w:sz="1" w:space="0" w:color="808080"/>
              <w:right w:val="single" w:sz="1" w:space="0" w:color="808080"/>
            </w:tcBorders>
            <w:vAlign w:val="center"/>
          </w:tcPr>
          <w:p w14:paraId="236875A8" w14:textId="77777777" w:rsidR="008A4121" w:rsidRDefault="008A4121" w:rsidP="0025438A">
            <w:r>
              <w:rPr>
                <w:sz w:val="22"/>
                <w:szCs w:val="22"/>
              </w:rPr>
              <w:t>Multi-vendor estates; proprietary protocols; data silos</w:t>
            </w:r>
          </w:p>
        </w:tc>
      </w:tr>
      <w:tr w:rsidR="008A4121" w14:paraId="70072F6A" w14:textId="77777777" w:rsidTr="0025438A">
        <w:tc>
          <w:tcPr>
            <w:tcW w:w="2600" w:type="dxa"/>
            <w:tcBorders>
              <w:top w:val="single" w:sz="1" w:space="0" w:color="808080"/>
              <w:left w:val="single" w:sz="1" w:space="0" w:color="808080"/>
              <w:bottom w:val="single" w:sz="1" w:space="0" w:color="808080"/>
              <w:right w:val="single" w:sz="1" w:space="0" w:color="808080"/>
            </w:tcBorders>
            <w:vAlign w:val="center"/>
          </w:tcPr>
          <w:p w14:paraId="4F5EF4B0" w14:textId="77777777" w:rsidR="008A4121" w:rsidRDefault="008A4121" w:rsidP="0025438A">
            <w:r>
              <w:rPr>
                <w:sz w:val="22"/>
                <w:szCs w:val="22"/>
              </w:rPr>
              <w:t>Data Ownership/Privacy</w:t>
            </w:r>
          </w:p>
        </w:tc>
        <w:tc>
          <w:tcPr>
            <w:tcW w:w="1600" w:type="dxa"/>
            <w:tcBorders>
              <w:top w:val="single" w:sz="1" w:space="0" w:color="808080"/>
              <w:left w:val="single" w:sz="1" w:space="0" w:color="808080"/>
              <w:bottom w:val="single" w:sz="1" w:space="0" w:color="808080"/>
              <w:right w:val="single" w:sz="1" w:space="0" w:color="808080"/>
            </w:tcBorders>
            <w:vAlign w:val="center"/>
          </w:tcPr>
          <w:p w14:paraId="08DDEC2B" w14:textId="1BB5E0A9" w:rsidR="008A4121" w:rsidRDefault="008A4121" w:rsidP="0025438A">
            <w:pPr>
              <w:jc w:val="center"/>
            </w:pPr>
            <w:r>
              <w:rPr>
                <w:sz w:val="22"/>
                <w:szCs w:val="22"/>
              </w:rPr>
              <w:t>3.4</w:t>
            </w:r>
            <w:r w:rsidR="00F51536">
              <w:rPr>
                <w:sz w:val="22"/>
                <w:szCs w:val="22"/>
              </w:rPr>
              <w:t xml:space="preserve"> </w:t>
            </w:r>
            <w:r>
              <w:rPr>
                <w:sz w:val="22"/>
                <w:szCs w:val="22"/>
              </w:rPr>
              <w:t>/</w:t>
            </w:r>
            <w:r w:rsidR="00F51536">
              <w:rPr>
                <w:sz w:val="22"/>
                <w:szCs w:val="22"/>
              </w:rPr>
              <w:t xml:space="preserve"> </w:t>
            </w:r>
            <w:r>
              <w:rPr>
                <w:sz w:val="22"/>
                <w:szCs w:val="22"/>
              </w:rPr>
              <w:t>5</w:t>
            </w:r>
          </w:p>
        </w:tc>
        <w:tc>
          <w:tcPr>
            <w:tcW w:w="1800" w:type="dxa"/>
            <w:tcBorders>
              <w:top w:val="single" w:sz="1" w:space="0" w:color="808080"/>
              <w:left w:val="single" w:sz="1" w:space="0" w:color="808080"/>
              <w:bottom w:val="single" w:sz="1" w:space="0" w:color="808080"/>
              <w:right w:val="single" w:sz="1" w:space="0" w:color="808080"/>
            </w:tcBorders>
            <w:vAlign w:val="center"/>
          </w:tcPr>
          <w:p w14:paraId="44B9D422" w14:textId="0FF46E2D" w:rsidR="008A4121" w:rsidRDefault="00D26E7E" w:rsidP="0025438A">
            <w:pPr>
              <w:jc w:val="center"/>
            </w:pPr>
            <w:r>
              <w:rPr>
                <w:sz w:val="22"/>
                <w:szCs w:val="22"/>
              </w:rPr>
              <w:t>97.7</w:t>
            </w:r>
            <w:r w:rsidR="008A4121">
              <w:rPr>
                <w:sz w:val="22"/>
                <w:szCs w:val="22"/>
              </w:rPr>
              <w:t>%</w:t>
            </w:r>
          </w:p>
        </w:tc>
        <w:tc>
          <w:tcPr>
            <w:tcW w:w="3360" w:type="dxa"/>
            <w:tcBorders>
              <w:top w:val="single" w:sz="1" w:space="0" w:color="808080"/>
              <w:left w:val="single" w:sz="1" w:space="0" w:color="808080"/>
              <w:bottom w:val="single" w:sz="1" w:space="0" w:color="808080"/>
              <w:right w:val="single" w:sz="1" w:space="0" w:color="808080"/>
            </w:tcBorders>
            <w:vAlign w:val="center"/>
          </w:tcPr>
          <w:p w14:paraId="280C0421" w14:textId="50519619" w:rsidR="008A4121" w:rsidRDefault="008A4121" w:rsidP="0025438A">
            <w:r>
              <w:rPr>
                <w:sz w:val="22"/>
                <w:szCs w:val="22"/>
              </w:rPr>
              <w:t xml:space="preserve">Cloud platform </w:t>
            </w:r>
            <w:r w:rsidR="006A1981">
              <w:rPr>
                <w:sz w:val="22"/>
                <w:szCs w:val="22"/>
              </w:rPr>
              <w:t>concerns:</w:t>
            </w:r>
            <w:r>
              <w:rPr>
                <w:sz w:val="22"/>
                <w:szCs w:val="22"/>
              </w:rPr>
              <w:t xml:space="preserve"> governance responsibility unclear</w:t>
            </w:r>
          </w:p>
        </w:tc>
      </w:tr>
      <w:tr w:rsidR="008A4121" w14:paraId="30DACFF7" w14:textId="77777777" w:rsidTr="0025438A">
        <w:tc>
          <w:tcPr>
            <w:tcW w:w="2600" w:type="dxa"/>
            <w:tcBorders>
              <w:top w:val="single" w:sz="1" w:space="0" w:color="808080"/>
              <w:left w:val="single" w:sz="1" w:space="0" w:color="808080"/>
              <w:bottom w:val="single" w:sz="1" w:space="0" w:color="808080"/>
              <w:right w:val="single" w:sz="1" w:space="0" w:color="808080"/>
            </w:tcBorders>
            <w:vAlign w:val="center"/>
          </w:tcPr>
          <w:p w14:paraId="5EB2F602" w14:textId="77777777" w:rsidR="008A4121" w:rsidRDefault="008A4121" w:rsidP="0025438A">
            <w:r>
              <w:rPr>
                <w:sz w:val="22"/>
                <w:szCs w:val="22"/>
              </w:rPr>
              <w:t>Lack of Standardised APIs</w:t>
            </w:r>
          </w:p>
        </w:tc>
        <w:tc>
          <w:tcPr>
            <w:tcW w:w="1600" w:type="dxa"/>
            <w:tcBorders>
              <w:top w:val="single" w:sz="1" w:space="0" w:color="808080"/>
              <w:left w:val="single" w:sz="1" w:space="0" w:color="808080"/>
              <w:bottom w:val="single" w:sz="1" w:space="0" w:color="808080"/>
              <w:right w:val="single" w:sz="1" w:space="0" w:color="808080"/>
            </w:tcBorders>
            <w:vAlign w:val="center"/>
          </w:tcPr>
          <w:p w14:paraId="1294985A" w14:textId="458DC4FE" w:rsidR="008A4121" w:rsidRDefault="008A4121" w:rsidP="0025438A">
            <w:pPr>
              <w:jc w:val="center"/>
            </w:pPr>
            <w:r>
              <w:rPr>
                <w:sz w:val="22"/>
                <w:szCs w:val="22"/>
              </w:rPr>
              <w:t>3.3</w:t>
            </w:r>
            <w:r w:rsidR="00F51536">
              <w:rPr>
                <w:sz w:val="22"/>
                <w:szCs w:val="22"/>
              </w:rPr>
              <w:t xml:space="preserve"> </w:t>
            </w:r>
            <w:r>
              <w:rPr>
                <w:sz w:val="22"/>
                <w:szCs w:val="22"/>
              </w:rPr>
              <w:t>/</w:t>
            </w:r>
            <w:r w:rsidR="00F51536">
              <w:rPr>
                <w:sz w:val="22"/>
                <w:szCs w:val="22"/>
              </w:rPr>
              <w:t xml:space="preserve"> </w:t>
            </w:r>
            <w:r>
              <w:rPr>
                <w:sz w:val="22"/>
                <w:szCs w:val="22"/>
              </w:rPr>
              <w:t>5</w:t>
            </w:r>
          </w:p>
        </w:tc>
        <w:tc>
          <w:tcPr>
            <w:tcW w:w="1800" w:type="dxa"/>
            <w:tcBorders>
              <w:top w:val="single" w:sz="1" w:space="0" w:color="808080"/>
              <w:left w:val="single" w:sz="1" w:space="0" w:color="808080"/>
              <w:bottom w:val="single" w:sz="1" w:space="0" w:color="808080"/>
              <w:right w:val="single" w:sz="1" w:space="0" w:color="808080"/>
            </w:tcBorders>
            <w:vAlign w:val="center"/>
          </w:tcPr>
          <w:p w14:paraId="69A55E34" w14:textId="51B0D62B" w:rsidR="008A4121" w:rsidRDefault="00D26E7E" w:rsidP="0025438A">
            <w:pPr>
              <w:jc w:val="center"/>
            </w:pPr>
            <w:r>
              <w:rPr>
                <w:sz w:val="22"/>
                <w:szCs w:val="22"/>
              </w:rPr>
              <w:t>98.9</w:t>
            </w:r>
            <w:r w:rsidR="008A4121">
              <w:rPr>
                <w:sz w:val="22"/>
                <w:szCs w:val="22"/>
              </w:rPr>
              <w:t>%</w:t>
            </w:r>
          </w:p>
        </w:tc>
        <w:tc>
          <w:tcPr>
            <w:tcW w:w="3360" w:type="dxa"/>
            <w:tcBorders>
              <w:top w:val="single" w:sz="1" w:space="0" w:color="808080"/>
              <w:left w:val="single" w:sz="1" w:space="0" w:color="808080"/>
              <w:bottom w:val="single" w:sz="1" w:space="0" w:color="808080"/>
              <w:right w:val="single" w:sz="1" w:space="0" w:color="808080"/>
            </w:tcBorders>
            <w:vAlign w:val="center"/>
          </w:tcPr>
          <w:p w14:paraId="081BE2DC" w14:textId="77777777" w:rsidR="008A4121" w:rsidRDefault="008A4121" w:rsidP="0025438A">
            <w:r>
              <w:rPr>
                <w:sz w:val="22"/>
                <w:szCs w:val="22"/>
              </w:rPr>
              <w:t>Limited guidance available; vendor lock-in concerns</w:t>
            </w:r>
          </w:p>
        </w:tc>
      </w:tr>
    </w:tbl>
    <w:p w14:paraId="5568F97E" w14:textId="77777777" w:rsidR="008A4121" w:rsidRDefault="008A4121" w:rsidP="008A4121">
      <w:pPr>
        <w:spacing w:after="200"/>
      </w:pPr>
    </w:p>
    <w:p w14:paraId="37382A8B" w14:textId="589DC84C" w:rsidR="008A4121" w:rsidRDefault="008A4121" w:rsidP="008A4121">
      <w:pPr>
        <w:spacing w:after="200" w:line="360" w:lineRule="auto"/>
      </w:pPr>
      <w:r>
        <w:t>The FE sector context illuminates how public-sector constraints shape technology adoption pathways. Annual budget cycles create uncertainty for multi-year digital transformation investments, while procurement frameworks impose procedural requirements that may not align with agile technology deployment. Venkatesh et al.'s (2003) facilitating conditions construct</w:t>
      </w:r>
      <w:r w:rsidR="0086733B">
        <w:t xml:space="preserve">, </w:t>
      </w:r>
      <w:r>
        <w:t>encompassing organisational infrastructure and resource availability</w:t>
      </w:r>
      <w:r w:rsidR="0086733B">
        <w:t xml:space="preserve">, </w:t>
      </w:r>
      <w:r>
        <w:t>appears particularly constrained in public sector contexts. Participants noted that even where sustainability business cases demonstrated positive returns, securing capital funding remained challenging within existing governance structures. This tension between policy ambition</w:t>
      </w:r>
      <w:r w:rsidR="0086733B">
        <w:t xml:space="preserve">, </w:t>
      </w:r>
      <w:r>
        <w:t>exemplified by Welsh Government Net-Zero commitments and the Wellbeing of Future Generations (Wales) Act 2015</w:t>
      </w:r>
      <w:r w:rsidR="0086733B">
        <w:t xml:space="preserve">, </w:t>
      </w:r>
      <w:r>
        <w:t>and operational constraints represents a systemic barrier requiring intervention beyond individual organisations.</w:t>
      </w:r>
    </w:p>
    <w:p w14:paraId="00C4F330" w14:textId="6E67716C" w:rsidR="008A4121" w:rsidRDefault="008A4121" w:rsidP="008A4121">
      <w:pPr>
        <w:spacing w:after="200" w:line="360" w:lineRule="auto"/>
      </w:pPr>
      <w:r>
        <w:lastRenderedPageBreak/>
        <w:t xml:space="preserve">Cybersecurity governance emerged as an additional constraint, with </w:t>
      </w:r>
      <w:r w:rsidR="00D26E7E" w:rsidRPr="00D26E7E">
        <w:t>94% rating data security as a moderate barrier or above</w:t>
      </w:r>
      <w:r>
        <w:t xml:space="preserve">. Interview participants described risk-averse IT governance structures that impeded IoT sensor deployment and cloud platform adoption. The CIBSE (2023) guidance acknowledges growing importance of operational data management but provides limited direction on security architectures for building system connectivity. </w:t>
      </w:r>
      <w:r w:rsidR="00C43D8E">
        <w:t>P</w:t>
      </w:r>
      <w:r>
        <w:t>articipants suggested that security concerns sometimes served as convenient rationales for avoiding complex technology decisions rather than reflecting proportionate risk assessment. Balancing security requirements with innovation imperatives requires governance frameworks capable of nuanced risk evaluation rather than blanket restriction.</w:t>
      </w:r>
    </w:p>
    <w:p w14:paraId="1EB22001" w14:textId="77777777" w:rsidR="008A4121" w:rsidRDefault="008A4121" w:rsidP="008A4121">
      <w:pPr>
        <w:pStyle w:val="Heading2"/>
      </w:pPr>
      <w:bookmarkStart w:id="175" w:name="_Toc220152227"/>
      <w:r>
        <w:t>5.5 Sustainability Outcomes: Conditions for Benefit Realisation</w:t>
      </w:r>
      <w:bookmarkEnd w:id="175"/>
    </w:p>
    <w:p w14:paraId="3282763F" w14:textId="56DA238C" w:rsidR="008A4121" w:rsidRDefault="008A4121" w:rsidP="008A4121">
      <w:pPr>
        <w:spacing w:after="200" w:line="360" w:lineRule="auto"/>
      </w:pPr>
      <w:r>
        <w:t xml:space="preserve">Survey respondents expressed strong belief in the potential of AI and Digital Twins to enhance sustainability, with 68% agreeing or strongly agreeing that such systems improve energy efficiency and 94% agreeing that predictive maintenance reduces downtime and costs. </w:t>
      </w:r>
      <w:r w:rsidR="00971BF6" w:rsidRPr="00971BF6">
        <w:t>Yitmen et al. (2025) corroborate this, demonstrating simultaneous optimisation of indoor environmental quality and energy efficiency through AI-driven digital twins in smart building systems.</w:t>
      </w:r>
      <w:r w:rsidR="00971BF6">
        <w:t xml:space="preserve"> </w:t>
      </w:r>
      <w:r>
        <w:t>These expectations align with literature documenting 10</w:t>
      </w:r>
      <w:r w:rsidR="0086733B">
        <w:t>-</w:t>
      </w:r>
      <w:r>
        <w:t xml:space="preserve">38% energy savings from AI-enhanced Digital Twin implementations (Cespedes-Cubides and Jradi, 2024; Renganayagalu et al., 2024). </w:t>
      </w:r>
      <w:r w:rsidR="00E440E8" w:rsidRPr="00E440E8">
        <w:t>Through Davis's (1989) TAM framework, these findings confirm strong perceived usefulness.</w:t>
      </w:r>
    </w:p>
    <w:p w14:paraId="51FF107C" w14:textId="77777777" w:rsidR="008A4121" w:rsidRDefault="008A4121" w:rsidP="008A4121">
      <w:pPr>
        <w:spacing w:after="200" w:line="360" w:lineRule="auto"/>
      </w:pPr>
      <w:r>
        <w:t>Interview participants introduced important caveats regarding conditions necessary for benefit realisation. Several emphasised that technology alone does not deliver sustainability outcomes; rather, benefits depend on organisational capacity to act on insights generated by intelligent building systems. As one estates director noted, identifying heating schedules running outside occupied hours enabled 'noticeable' gas consumption reductions, while another reported verified 18% reduction in gas consumption that helped secure further Salix funding. These accounts confirm the systematic review finding that field-deployed implementations achieve measurable benefits, while highlighting that realisation requires operational follow-through. A Digital Twin identifying optimisation opportunities contributes nothing if operational constraints prevent implementing recommended changes.</w:t>
      </w:r>
    </w:p>
    <w:p w14:paraId="41285314" w14:textId="295F691F" w:rsidR="008A4121" w:rsidRDefault="008A4121" w:rsidP="008A4121">
      <w:pPr>
        <w:spacing w:after="200" w:line="360" w:lineRule="auto"/>
      </w:pPr>
      <w:r>
        <w:lastRenderedPageBreak/>
        <w:t>The systematic review distinguished between simulation-based projections and field-deployed results, noting that simulation studies consistently report higher energy savings than real-world implementations. Renganayagalu et al. (2024) achieved 20% energy reduction over ten months of validated operation in a 1947 Norwegian office building, compared to 10</w:t>
      </w:r>
      <w:r w:rsidR="0086733B">
        <w:t>-</w:t>
      </w:r>
      <w:r>
        <w:t>35% reductions in simulated environments reported by Amangeldy et al. (2025). Interview participants echoed this simulation-to-field gap, describing how practical constraints</w:t>
      </w:r>
      <w:r w:rsidR="0086733B">
        <w:t xml:space="preserve">, </w:t>
      </w:r>
      <w:r>
        <w:t>occupant behaviour variability, maintenance backlogs, competing operational priorities</w:t>
      </w:r>
      <w:r w:rsidR="0086733B">
        <w:t xml:space="preserve">, </w:t>
      </w:r>
      <w:r>
        <w:t>constrain realisation of theoretical optimisation potential. These findings suggest that organisations should apply appropriate discount factors to projected savings when developing business cases.</w:t>
      </w:r>
    </w:p>
    <w:p w14:paraId="43080952" w14:textId="1524EE27" w:rsidR="008A4121" w:rsidRDefault="008A4121" w:rsidP="008A4121">
      <w:pPr>
        <w:spacing w:after="200" w:line="360" w:lineRule="auto"/>
      </w:pPr>
      <w:r>
        <w:t>The demonstration effect emerged as a significant finding with theoretical resonance. Participants consistently indicated that evidenced benefits from pilot projects or peer institutions would substantially increase their organisation's likelihood of adoption. Rogers (2003) identifies observability</w:t>
      </w:r>
      <w:r w:rsidR="0086733B">
        <w:t xml:space="preserve">, </w:t>
      </w:r>
      <w:r>
        <w:t>the degree to which innovation results are visible to others</w:t>
      </w:r>
      <w:r w:rsidR="0086733B">
        <w:t xml:space="preserve">, </w:t>
      </w:r>
      <w:r>
        <w:t>as a key characteristic influencing diffusion rates. The limited documentation of successful implementations constrains observability, impeding diffusion beyond early adopter categories. This pattern suggests that strategic investment in visible demonstrator projects, coupled with robust measurement and verification, could catalyse broader uptake. The finding supports arguments for public-sector leadership in technology demonstration, where risk tolerance may be higher and learning can be shared across institutions.</w:t>
      </w:r>
    </w:p>
    <w:p w14:paraId="265A6D93" w14:textId="77777777" w:rsidR="008A4121" w:rsidRDefault="008A4121" w:rsidP="008A4121">
      <w:pPr>
        <w:pStyle w:val="Heading2"/>
      </w:pPr>
      <w:bookmarkStart w:id="176" w:name="_Toc220152228"/>
      <w:r>
        <w:t>5.6 Theoretical Integration: Technology Adoption in FE Contexts</w:t>
      </w:r>
      <w:bookmarkEnd w:id="176"/>
    </w:p>
    <w:p w14:paraId="762A719F" w14:textId="058E2ABE" w:rsidR="008A4121" w:rsidRDefault="00D905B6" w:rsidP="008A4121">
      <w:pPr>
        <w:spacing w:after="200" w:line="360" w:lineRule="auto"/>
      </w:pPr>
      <w:r>
        <w:t>F</w:t>
      </w:r>
      <w:r w:rsidR="008A4121">
        <w:t>indings across the three domains through established technology adoption frameworks reveals distinctive characteristics of Digital Twin adoption in Further Education building contexts. The Technology Acceptance Model (Davis, 1989) identifies perceived usefulness and perceived ease of use as primary adoption determinants. This study confirms strong perceived usefulness</w:t>
      </w:r>
      <w:r w:rsidR="0086733B">
        <w:t xml:space="preserve">, </w:t>
      </w:r>
      <w:r w:rsidR="008A4121">
        <w:t>practitioners recognise potential for energy savings, predictive maintenance benefits, and sustainability contribution. However, perceived ease of use remains substantially constrained by interoperability challenges, limited implementation guidance, and uncertainty about integration requirements.</w:t>
      </w:r>
    </w:p>
    <w:p w14:paraId="609E4FDC" w14:textId="7016996B" w:rsidR="00CD0E8E" w:rsidRPr="00CD0E8E" w:rsidRDefault="00CD0E8E" w:rsidP="00CD0E8E">
      <w:pPr>
        <w:pStyle w:val="Caption"/>
        <w:keepNext/>
        <w:rPr>
          <w:b/>
          <w:bCs/>
          <w:color w:val="auto"/>
          <w:sz w:val="20"/>
          <w:szCs w:val="20"/>
        </w:rPr>
      </w:pPr>
      <w:bookmarkStart w:id="177" w:name="_Toc220152000"/>
      <w:bookmarkStart w:id="178" w:name="_Toc223077248"/>
      <w:bookmarkStart w:id="179" w:name="_Toc223079144"/>
      <w:r w:rsidRPr="00CD0E8E">
        <w:rPr>
          <w:b/>
          <w:bCs/>
          <w:color w:val="auto"/>
          <w:sz w:val="20"/>
          <w:szCs w:val="20"/>
        </w:rPr>
        <w:lastRenderedPageBreak/>
        <w:t xml:space="preserve">Table </w:t>
      </w:r>
      <w:r w:rsidR="004D4AE1">
        <w:rPr>
          <w:b/>
          <w:bCs/>
          <w:color w:val="auto"/>
          <w:sz w:val="20"/>
          <w:szCs w:val="20"/>
        </w:rPr>
        <w:t>5</w:t>
      </w:r>
      <w:r>
        <w:rPr>
          <w:b/>
          <w:bCs/>
          <w:color w:val="auto"/>
          <w:sz w:val="20"/>
          <w:szCs w:val="20"/>
        </w:rPr>
        <w:t>.</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3</w:t>
      </w:r>
      <w:r w:rsidR="00E10041">
        <w:rPr>
          <w:b/>
          <w:bCs/>
          <w:color w:val="auto"/>
          <w:sz w:val="20"/>
          <w:szCs w:val="20"/>
        </w:rPr>
        <w:fldChar w:fldCharType="end"/>
      </w:r>
      <w:r w:rsidRPr="00CD0E8E">
        <w:rPr>
          <w:b/>
          <w:bCs/>
          <w:color w:val="auto"/>
          <w:sz w:val="20"/>
          <w:szCs w:val="20"/>
        </w:rPr>
        <w:t>: Technology Adoption Framework Application to Findings</w:t>
      </w:r>
      <w:bookmarkEnd w:id="177"/>
      <w:bookmarkEnd w:id="178"/>
      <w:bookmarkEnd w:id="179"/>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51"/>
        <w:gridCol w:w="3095"/>
        <w:gridCol w:w="3978"/>
      </w:tblGrid>
      <w:tr w:rsidR="008A4121" w14:paraId="45F4EA5E" w14:textId="77777777" w:rsidTr="00F51536">
        <w:trPr>
          <w:tblHeader/>
        </w:trPr>
        <w:tc>
          <w:tcPr>
            <w:tcW w:w="2000" w:type="dxa"/>
            <w:tcBorders>
              <w:top w:val="single" w:sz="1" w:space="0" w:color="808080"/>
              <w:left w:val="single" w:sz="1" w:space="0" w:color="808080"/>
              <w:bottom w:val="single" w:sz="1" w:space="0" w:color="808080"/>
              <w:right w:val="single" w:sz="1" w:space="0" w:color="808080"/>
            </w:tcBorders>
            <w:shd w:val="clear" w:color="auto" w:fill="D9E2F3"/>
            <w:vAlign w:val="center"/>
          </w:tcPr>
          <w:p w14:paraId="5A0EBC33" w14:textId="77777777" w:rsidR="008A4121" w:rsidRDefault="008A4121" w:rsidP="00F51536">
            <w:pPr>
              <w:jc w:val="center"/>
            </w:pPr>
            <w:r>
              <w:rPr>
                <w:b/>
                <w:bCs/>
                <w:sz w:val="22"/>
                <w:szCs w:val="22"/>
              </w:rPr>
              <w:t>Framework Construct</w:t>
            </w:r>
          </w:p>
        </w:tc>
        <w:tc>
          <w:tcPr>
            <w:tcW w:w="3200" w:type="dxa"/>
            <w:tcBorders>
              <w:top w:val="single" w:sz="1" w:space="0" w:color="808080"/>
              <w:left w:val="single" w:sz="1" w:space="0" w:color="808080"/>
              <w:bottom w:val="single" w:sz="1" w:space="0" w:color="808080"/>
              <w:right w:val="single" w:sz="1" w:space="0" w:color="808080"/>
            </w:tcBorders>
            <w:shd w:val="clear" w:color="auto" w:fill="D9E2F3"/>
            <w:vAlign w:val="center"/>
          </w:tcPr>
          <w:p w14:paraId="0256E75E" w14:textId="77777777" w:rsidR="008A4121" w:rsidRDefault="008A4121" w:rsidP="00F51536">
            <w:pPr>
              <w:jc w:val="center"/>
            </w:pPr>
            <w:r>
              <w:rPr>
                <w:b/>
                <w:bCs/>
                <w:sz w:val="22"/>
                <w:szCs w:val="22"/>
              </w:rPr>
              <w:t>Application to Findings</w:t>
            </w:r>
          </w:p>
        </w:tc>
        <w:tc>
          <w:tcPr>
            <w:tcW w:w="4160" w:type="dxa"/>
            <w:tcBorders>
              <w:top w:val="single" w:sz="1" w:space="0" w:color="808080"/>
              <w:left w:val="single" w:sz="1" w:space="0" w:color="808080"/>
              <w:bottom w:val="single" w:sz="1" w:space="0" w:color="808080"/>
              <w:right w:val="single" w:sz="1" w:space="0" w:color="808080"/>
            </w:tcBorders>
            <w:shd w:val="clear" w:color="auto" w:fill="D9E2F3"/>
            <w:vAlign w:val="center"/>
          </w:tcPr>
          <w:p w14:paraId="5AF6B7C5" w14:textId="77777777" w:rsidR="008A4121" w:rsidRDefault="008A4121" w:rsidP="00F51536">
            <w:pPr>
              <w:jc w:val="center"/>
            </w:pPr>
            <w:r>
              <w:rPr>
                <w:b/>
                <w:bCs/>
                <w:sz w:val="22"/>
                <w:szCs w:val="22"/>
              </w:rPr>
              <w:t>Implication</w:t>
            </w:r>
          </w:p>
        </w:tc>
      </w:tr>
      <w:tr w:rsidR="008A4121" w14:paraId="7A71D572" w14:textId="77777777" w:rsidTr="00F51536">
        <w:tc>
          <w:tcPr>
            <w:tcW w:w="2000" w:type="dxa"/>
            <w:tcBorders>
              <w:top w:val="single" w:sz="1" w:space="0" w:color="808080"/>
              <w:left w:val="single" w:sz="1" w:space="0" w:color="808080"/>
              <w:bottom w:val="single" w:sz="1" w:space="0" w:color="808080"/>
              <w:right w:val="single" w:sz="1" w:space="0" w:color="808080"/>
            </w:tcBorders>
            <w:vAlign w:val="center"/>
          </w:tcPr>
          <w:p w14:paraId="5FCFF4E8" w14:textId="77777777" w:rsidR="008A4121" w:rsidRDefault="008A4121" w:rsidP="00F51536">
            <w:r>
              <w:rPr>
                <w:sz w:val="22"/>
                <w:szCs w:val="22"/>
              </w:rPr>
              <w:t>Perceived Usefulness (TAM)</w:t>
            </w:r>
          </w:p>
        </w:tc>
        <w:tc>
          <w:tcPr>
            <w:tcW w:w="3200" w:type="dxa"/>
            <w:tcBorders>
              <w:top w:val="single" w:sz="1" w:space="0" w:color="808080"/>
              <w:left w:val="single" w:sz="1" w:space="0" w:color="808080"/>
              <w:bottom w:val="single" w:sz="1" w:space="0" w:color="808080"/>
              <w:right w:val="single" w:sz="1" w:space="0" w:color="808080"/>
            </w:tcBorders>
            <w:vAlign w:val="center"/>
          </w:tcPr>
          <w:p w14:paraId="47F3638A" w14:textId="77777777" w:rsidR="008A4121" w:rsidRDefault="008A4121" w:rsidP="00F51536">
            <w:r>
              <w:rPr>
                <w:sz w:val="22"/>
                <w:szCs w:val="22"/>
              </w:rPr>
              <w:t>Strong: 68% agree DT improves efficiency; 94% value predictive maintenance</w:t>
            </w:r>
          </w:p>
        </w:tc>
        <w:tc>
          <w:tcPr>
            <w:tcW w:w="4160" w:type="dxa"/>
            <w:tcBorders>
              <w:top w:val="single" w:sz="1" w:space="0" w:color="808080"/>
              <w:left w:val="single" w:sz="1" w:space="0" w:color="808080"/>
              <w:bottom w:val="single" w:sz="1" w:space="0" w:color="808080"/>
              <w:right w:val="single" w:sz="1" w:space="0" w:color="808080"/>
            </w:tcBorders>
            <w:vAlign w:val="center"/>
          </w:tcPr>
          <w:p w14:paraId="5F3E7741" w14:textId="77777777" w:rsidR="008A4121" w:rsidRDefault="008A4121" w:rsidP="00F51536">
            <w:r>
              <w:rPr>
                <w:sz w:val="22"/>
                <w:szCs w:val="22"/>
              </w:rPr>
              <w:t>Value proposition established; not the primary barrier to adoption</w:t>
            </w:r>
          </w:p>
        </w:tc>
      </w:tr>
      <w:tr w:rsidR="008A4121" w14:paraId="311F25D0" w14:textId="77777777" w:rsidTr="00F51536">
        <w:tc>
          <w:tcPr>
            <w:tcW w:w="2000" w:type="dxa"/>
            <w:tcBorders>
              <w:top w:val="single" w:sz="1" w:space="0" w:color="808080"/>
              <w:left w:val="single" w:sz="1" w:space="0" w:color="808080"/>
              <w:bottom w:val="single" w:sz="1" w:space="0" w:color="808080"/>
              <w:right w:val="single" w:sz="1" w:space="0" w:color="808080"/>
            </w:tcBorders>
            <w:vAlign w:val="center"/>
          </w:tcPr>
          <w:p w14:paraId="7C1678A3" w14:textId="77777777" w:rsidR="008A4121" w:rsidRDefault="008A4121" w:rsidP="00F51536">
            <w:r>
              <w:rPr>
                <w:sz w:val="22"/>
                <w:szCs w:val="22"/>
              </w:rPr>
              <w:t>Perceived Ease of Use (TAM)</w:t>
            </w:r>
          </w:p>
        </w:tc>
        <w:tc>
          <w:tcPr>
            <w:tcW w:w="3200" w:type="dxa"/>
            <w:tcBorders>
              <w:top w:val="single" w:sz="1" w:space="0" w:color="808080"/>
              <w:left w:val="single" w:sz="1" w:space="0" w:color="808080"/>
              <w:bottom w:val="single" w:sz="1" w:space="0" w:color="808080"/>
              <w:right w:val="single" w:sz="1" w:space="0" w:color="808080"/>
            </w:tcBorders>
            <w:vAlign w:val="center"/>
          </w:tcPr>
          <w:p w14:paraId="051EF9BB" w14:textId="77777777" w:rsidR="008A4121" w:rsidRDefault="008A4121" w:rsidP="00F51536">
            <w:r>
              <w:rPr>
                <w:sz w:val="22"/>
                <w:szCs w:val="22"/>
              </w:rPr>
              <w:t>Weak: Low API familiarity (24%); integration guidance lacking</w:t>
            </w:r>
          </w:p>
        </w:tc>
        <w:tc>
          <w:tcPr>
            <w:tcW w:w="4160" w:type="dxa"/>
            <w:tcBorders>
              <w:top w:val="single" w:sz="1" w:space="0" w:color="808080"/>
              <w:left w:val="single" w:sz="1" w:space="0" w:color="808080"/>
              <w:bottom w:val="single" w:sz="1" w:space="0" w:color="808080"/>
              <w:right w:val="single" w:sz="1" w:space="0" w:color="808080"/>
            </w:tcBorders>
            <w:vAlign w:val="center"/>
          </w:tcPr>
          <w:p w14:paraId="105F3FCC" w14:textId="77777777" w:rsidR="008A4121" w:rsidRDefault="008A4121" w:rsidP="00F51536">
            <w:r>
              <w:rPr>
                <w:sz w:val="22"/>
                <w:szCs w:val="22"/>
              </w:rPr>
              <w:t>Implementation uncertainty constrains adoption; documentation needed</w:t>
            </w:r>
          </w:p>
        </w:tc>
      </w:tr>
      <w:tr w:rsidR="008A4121" w14:paraId="3C99AA82" w14:textId="77777777" w:rsidTr="00F51536">
        <w:tc>
          <w:tcPr>
            <w:tcW w:w="2000" w:type="dxa"/>
            <w:tcBorders>
              <w:top w:val="single" w:sz="1" w:space="0" w:color="808080"/>
              <w:left w:val="single" w:sz="1" w:space="0" w:color="808080"/>
              <w:bottom w:val="single" w:sz="1" w:space="0" w:color="808080"/>
              <w:right w:val="single" w:sz="1" w:space="0" w:color="808080"/>
            </w:tcBorders>
            <w:vAlign w:val="center"/>
          </w:tcPr>
          <w:p w14:paraId="12FA78F4" w14:textId="77777777" w:rsidR="008A4121" w:rsidRDefault="008A4121" w:rsidP="00F51536">
            <w:r>
              <w:rPr>
                <w:sz w:val="22"/>
                <w:szCs w:val="22"/>
              </w:rPr>
              <w:t>Facilitating Conditions (UTAUT)</w:t>
            </w:r>
          </w:p>
        </w:tc>
        <w:tc>
          <w:tcPr>
            <w:tcW w:w="3200" w:type="dxa"/>
            <w:tcBorders>
              <w:top w:val="single" w:sz="1" w:space="0" w:color="808080"/>
              <w:left w:val="single" w:sz="1" w:space="0" w:color="808080"/>
              <w:bottom w:val="single" w:sz="1" w:space="0" w:color="808080"/>
              <w:right w:val="single" w:sz="1" w:space="0" w:color="808080"/>
            </w:tcBorders>
            <w:vAlign w:val="center"/>
          </w:tcPr>
          <w:p w14:paraId="2DFEDAB2" w14:textId="77777777" w:rsidR="008A4121" w:rsidRDefault="008A4121" w:rsidP="00F51536">
            <w:r>
              <w:rPr>
                <w:sz w:val="22"/>
                <w:szCs w:val="22"/>
              </w:rPr>
              <w:t>Constrained: Budget barriers (92%); annual funding cycles; legacy infrastructure</w:t>
            </w:r>
          </w:p>
        </w:tc>
        <w:tc>
          <w:tcPr>
            <w:tcW w:w="4160" w:type="dxa"/>
            <w:tcBorders>
              <w:top w:val="single" w:sz="1" w:space="0" w:color="808080"/>
              <w:left w:val="single" w:sz="1" w:space="0" w:color="808080"/>
              <w:bottom w:val="single" w:sz="1" w:space="0" w:color="808080"/>
              <w:right w:val="single" w:sz="1" w:space="0" w:color="808080"/>
            </w:tcBorders>
            <w:vAlign w:val="center"/>
          </w:tcPr>
          <w:p w14:paraId="25189F08" w14:textId="77777777" w:rsidR="008A4121" w:rsidRDefault="008A4121" w:rsidP="00F51536">
            <w:r>
              <w:rPr>
                <w:sz w:val="22"/>
                <w:szCs w:val="22"/>
              </w:rPr>
              <w:t>Structural barriers require policy intervention beyond individual organisations</w:t>
            </w:r>
          </w:p>
        </w:tc>
      </w:tr>
      <w:tr w:rsidR="008A4121" w14:paraId="5D9AA43D" w14:textId="77777777" w:rsidTr="00F51536">
        <w:tc>
          <w:tcPr>
            <w:tcW w:w="2000" w:type="dxa"/>
            <w:tcBorders>
              <w:top w:val="single" w:sz="1" w:space="0" w:color="808080"/>
              <w:left w:val="single" w:sz="1" w:space="0" w:color="808080"/>
              <w:bottom w:val="single" w:sz="1" w:space="0" w:color="808080"/>
              <w:right w:val="single" w:sz="1" w:space="0" w:color="808080"/>
            </w:tcBorders>
            <w:vAlign w:val="center"/>
          </w:tcPr>
          <w:p w14:paraId="6E2F0455" w14:textId="77777777" w:rsidR="008A4121" w:rsidRDefault="008A4121" w:rsidP="00F51536">
            <w:r>
              <w:rPr>
                <w:sz w:val="22"/>
                <w:szCs w:val="22"/>
              </w:rPr>
              <w:t>Social Influence (UTAUT)</w:t>
            </w:r>
          </w:p>
        </w:tc>
        <w:tc>
          <w:tcPr>
            <w:tcW w:w="3200" w:type="dxa"/>
            <w:tcBorders>
              <w:top w:val="single" w:sz="1" w:space="0" w:color="808080"/>
              <w:left w:val="single" w:sz="1" w:space="0" w:color="808080"/>
              <w:bottom w:val="single" w:sz="1" w:space="0" w:color="808080"/>
              <w:right w:val="single" w:sz="1" w:space="0" w:color="808080"/>
            </w:tcBorders>
            <w:vAlign w:val="center"/>
          </w:tcPr>
          <w:p w14:paraId="1CC6192E" w14:textId="77777777" w:rsidR="008A4121" w:rsidRDefault="008A4121" w:rsidP="00F51536">
            <w:r>
              <w:rPr>
                <w:sz w:val="22"/>
                <w:szCs w:val="22"/>
              </w:rPr>
              <w:t>Moderate: Leadership support critical; peer learning valued; demonstration effect</w:t>
            </w:r>
          </w:p>
        </w:tc>
        <w:tc>
          <w:tcPr>
            <w:tcW w:w="4160" w:type="dxa"/>
            <w:tcBorders>
              <w:top w:val="single" w:sz="1" w:space="0" w:color="808080"/>
              <w:left w:val="single" w:sz="1" w:space="0" w:color="808080"/>
              <w:bottom w:val="single" w:sz="1" w:space="0" w:color="808080"/>
              <w:right w:val="single" w:sz="1" w:space="0" w:color="808080"/>
            </w:tcBorders>
            <w:vAlign w:val="center"/>
          </w:tcPr>
          <w:p w14:paraId="76C0CD8D" w14:textId="77777777" w:rsidR="008A4121" w:rsidRDefault="008A4121" w:rsidP="00F51536">
            <w:r>
              <w:rPr>
                <w:sz w:val="22"/>
                <w:szCs w:val="22"/>
              </w:rPr>
              <w:t>Visible success cases could accelerate diffusion through social mechanisms</w:t>
            </w:r>
          </w:p>
        </w:tc>
      </w:tr>
      <w:tr w:rsidR="008A4121" w14:paraId="66B5126E" w14:textId="77777777" w:rsidTr="00F51536">
        <w:tc>
          <w:tcPr>
            <w:tcW w:w="2000" w:type="dxa"/>
            <w:tcBorders>
              <w:top w:val="single" w:sz="1" w:space="0" w:color="808080"/>
              <w:left w:val="single" w:sz="1" w:space="0" w:color="808080"/>
              <w:bottom w:val="single" w:sz="1" w:space="0" w:color="808080"/>
              <w:right w:val="single" w:sz="1" w:space="0" w:color="808080"/>
            </w:tcBorders>
            <w:vAlign w:val="center"/>
          </w:tcPr>
          <w:p w14:paraId="109BA87B" w14:textId="77777777" w:rsidR="008A4121" w:rsidRDefault="008A4121" w:rsidP="00F51536">
            <w:r>
              <w:rPr>
                <w:sz w:val="22"/>
                <w:szCs w:val="22"/>
              </w:rPr>
              <w:t>Compatibility (Rogers)</w:t>
            </w:r>
          </w:p>
        </w:tc>
        <w:tc>
          <w:tcPr>
            <w:tcW w:w="3200" w:type="dxa"/>
            <w:tcBorders>
              <w:top w:val="single" w:sz="1" w:space="0" w:color="808080"/>
              <w:left w:val="single" w:sz="1" w:space="0" w:color="808080"/>
              <w:bottom w:val="single" w:sz="1" w:space="0" w:color="808080"/>
              <w:right w:val="single" w:sz="1" w:space="0" w:color="808080"/>
            </w:tcBorders>
            <w:vAlign w:val="center"/>
          </w:tcPr>
          <w:p w14:paraId="3E9B34E0" w14:textId="77777777" w:rsidR="008A4121" w:rsidRDefault="008A4121" w:rsidP="00F51536">
            <w:r>
              <w:rPr>
                <w:sz w:val="22"/>
                <w:szCs w:val="22"/>
              </w:rPr>
              <w:t>Poor: Legacy systems create interoperability barriers; heterogeneous estates</w:t>
            </w:r>
          </w:p>
        </w:tc>
        <w:tc>
          <w:tcPr>
            <w:tcW w:w="4160" w:type="dxa"/>
            <w:tcBorders>
              <w:top w:val="single" w:sz="1" w:space="0" w:color="808080"/>
              <w:left w:val="single" w:sz="1" w:space="0" w:color="808080"/>
              <w:bottom w:val="single" w:sz="1" w:space="0" w:color="808080"/>
              <w:right w:val="single" w:sz="1" w:space="0" w:color="808080"/>
            </w:tcBorders>
            <w:vAlign w:val="center"/>
          </w:tcPr>
          <w:p w14:paraId="63484612" w14:textId="77777777" w:rsidR="008A4121" w:rsidRDefault="008A4121" w:rsidP="00F51536">
            <w:r>
              <w:rPr>
                <w:sz w:val="22"/>
                <w:szCs w:val="22"/>
              </w:rPr>
              <w:t>Retrofit contexts require middleware solutions or phased system replacement</w:t>
            </w:r>
          </w:p>
        </w:tc>
      </w:tr>
      <w:tr w:rsidR="008A4121" w14:paraId="2F1FCC57" w14:textId="77777777" w:rsidTr="00F51536">
        <w:tc>
          <w:tcPr>
            <w:tcW w:w="2000" w:type="dxa"/>
            <w:tcBorders>
              <w:top w:val="single" w:sz="1" w:space="0" w:color="808080"/>
              <w:left w:val="single" w:sz="1" w:space="0" w:color="808080"/>
              <w:bottom w:val="single" w:sz="1" w:space="0" w:color="808080"/>
              <w:right w:val="single" w:sz="1" w:space="0" w:color="808080"/>
            </w:tcBorders>
            <w:vAlign w:val="center"/>
          </w:tcPr>
          <w:p w14:paraId="4B90E365" w14:textId="77777777" w:rsidR="008A4121" w:rsidRDefault="008A4121" w:rsidP="00F51536">
            <w:r>
              <w:rPr>
                <w:sz w:val="22"/>
                <w:szCs w:val="22"/>
              </w:rPr>
              <w:t>Observability (Rogers)</w:t>
            </w:r>
          </w:p>
        </w:tc>
        <w:tc>
          <w:tcPr>
            <w:tcW w:w="3200" w:type="dxa"/>
            <w:tcBorders>
              <w:top w:val="single" w:sz="1" w:space="0" w:color="808080"/>
              <w:left w:val="single" w:sz="1" w:space="0" w:color="808080"/>
              <w:bottom w:val="single" w:sz="1" w:space="0" w:color="808080"/>
              <w:right w:val="single" w:sz="1" w:space="0" w:color="808080"/>
            </w:tcBorders>
            <w:vAlign w:val="center"/>
          </w:tcPr>
          <w:p w14:paraId="107086F1" w14:textId="77777777" w:rsidR="008A4121" w:rsidRDefault="008A4121" w:rsidP="00F51536">
            <w:r>
              <w:rPr>
                <w:sz w:val="22"/>
                <w:szCs w:val="22"/>
              </w:rPr>
              <w:t>Limited: Few documented FE implementations; API details underreported</w:t>
            </w:r>
          </w:p>
        </w:tc>
        <w:tc>
          <w:tcPr>
            <w:tcW w:w="4160" w:type="dxa"/>
            <w:tcBorders>
              <w:top w:val="single" w:sz="1" w:space="0" w:color="808080"/>
              <w:left w:val="single" w:sz="1" w:space="0" w:color="808080"/>
              <w:bottom w:val="single" w:sz="1" w:space="0" w:color="808080"/>
              <w:right w:val="single" w:sz="1" w:space="0" w:color="808080"/>
            </w:tcBorders>
            <w:vAlign w:val="center"/>
          </w:tcPr>
          <w:p w14:paraId="47F57895" w14:textId="77777777" w:rsidR="008A4121" w:rsidRDefault="008A4121" w:rsidP="00F51536">
            <w:r>
              <w:rPr>
                <w:sz w:val="22"/>
                <w:szCs w:val="22"/>
              </w:rPr>
              <w:t>Demonstrator projects with robust M&amp;V could catalyse sector-wide adoption</w:t>
            </w:r>
          </w:p>
        </w:tc>
      </w:tr>
    </w:tbl>
    <w:p w14:paraId="71EEE1C5" w14:textId="77777777" w:rsidR="008A4121" w:rsidRDefault="008A4121" w:rsidP="008A4121">
      <w:pPr>
        <w:spacing w:after="200"/>
      </w:pPr>
    </w:p>
    <w:p w14:paraId="74583D4C" w14:textId="0F1BB2AF" w:rsidR="008A4121" w:rsidRDefault="008A4121" w:rsidP="008A4121">
      <w:pPr>
        <w:spacing w:after="200" w:line="360" w:lineRule="auto"/>
      </w:pPr>
      <w:r>
        <w:t xml:space="preserve">UTAUT's (Venkatesh et al., 2003) inclusion of facilitating conditions proves particularly illuminating for public-sector contexts. The infrastructure, resources, and support systems enabling technology use </w:t>
      </w:r>
      <w:r w:rsidR="006A1981">
        <w:t>to appear</w:t>
      </w:r>
      <w:r>
        <w:t xml:space="preserve"> systematically constrained in FE settings by annual budget cycles, procurement frameworks, and competing educational priorities. Social influence</w:t>
      </w:r>
      <w:r w:rsidR="0086733B">
        <w:t xml:space="preserve">, </w:t>
      </w:r>
      <w:r>
        <w:t>the degree to which important others believe the individual should use the technology</w:t>
      </w:r>
      <w:r w:rsidR="0086733B">
        <w:t xml:space="preserve">, </w:t>
      </w:r>
      <w:r>
        <w:t>manifests through leadership endorsement, peer institution adoption, and professional body advocacy. The finding that visible leadership support enables experimentation suggests that social influence operates through organisational culture as much as direct peer pressure.</w:t>
      </w:r>
    </w:p>
    <w:p w14:paraId="78347AD3" w14:textId="20089918" w:rsidR="008A4121" w:rsidRDefault="008A4121" w:rsidP="008A4121">
      <w:pPr>
        <w:spacing w:after="200" w:line="360" w:lineRule="auto"/>
      </w:pPr>
      <w:r>
        <w:t xml:space="preserve">Rogers's (2003) Diffusion of Innovations framework contributes complementary insights regarding innovation characteristics. Relative advantage appears established through documented energy savings, yet other characteristics prove more problematic. Compatibility with existing systems is fundamentally challenged by legacy infrastructure and proprietary protocols. Complexity remains high given limited implementation guidance and the multi-domain expertise required spanning building services, IT, and data analytics. Trialability is constrained by capital investment requirements that limit small-scale experimentation. Observability suffers from the documentation gaps identified in both systematic review and practitioner accounts. Current Digital Twin adoption in existing FE buildings appears </w:t>
      </w:r>
      <w:r>
        <w:lastRenderedPageBreak/>
        <w:t>concentrated among innovators and early adopters; the barriers identified suggest that reaching early majority adoption will require interventions addressing these characteristic deficits.</w:t>
      </w:r>
      <w:r w:rsidR="00202541">
        <w:t xml:space="preserve"> </w:t>
      </w:r>
      <w:r w:rsidR="00202541" w:rsidRPr="00202541">
        <w:t>It should be acknowledged,</w:t>
      </w:r>
      <w:r w:rsidR="00202541">
        <w:t xml:space="preserve"> </w:t>
      </w:r>
      <w:r w:rsidR="00202541" w:rsidRPr="00202541">
        <w:t>that Rogers's diffusion model was developed primarily in consumer and agricultural contexts; its application to public-sector institutional adoption involves an inferential step that future research could test more rigorously</w:t>
      </w:r>
    </w:p>
    <w:p w14:paraId="1058F85A" w14:textId="77777777" w:rsidR="008A4121" w:rsidRDefault="008A4121" w:rsidP="008A4121">
      <w:pPr>
        <w:pStyle w:val="Heading2"/>
      </w:pPr>
      <w:bookmarkStart w:id="180" w:name="_Toc220152229"/>
      <w:r>
        <w:t>5.7 Implications for Theory, Practice, and Policy</w:t>
      </w:r>
      <w:bookmarkEnd w:id="180"/>
    </w:p>
    <w:p w14:paraId="403C4660" w14:textId="77777777" w:rsidR="008A4121" w:rsidRDefault="008A4121" w:rsidP="008A4121">
      <w:pPr>
        <w:pStyle w:val="Heading3"/>
      </w:pPr>
      <w:bookmarkStart w:id="181" w:name="_Toc220152230"/>
      <w:r>
        <w:t>5.7.1 Theoretical Implications</w:t>
      </w:r>
      <w:bookmarkEnd w:id="181"/>
    </w:p>
    <w:p w14:paraId="636494C2" w14:textId="12B6ED97" w:rsidR="008A4121" w:rsidRDefault="008A4121" w:rsidP="008A4121">
      <w:pPr>
        <w:spacing w:after="200" w:line="360" w:lineRule="auto"/>
      </w:pPr>
      <w:r>
        <w:t>The findings support conceptualising AI and Digital Twin adoption as a socio-technical challenge requiring attention to human, organisational, and structural factors alongside technological capability, extending the perspective advocated by Boje et al. (2020). The three-domain framework proved effective for organising analysis and identifying interdependencies</w:t>
      </w:r>
      <w:r w:rsidR="0086733B">
        <w:t xml:space="preserve">, </w:t>
      </w:r>
      <w:r>
        <w:t>for example, how governance constraints limit technology investment, which in turn restricts capability development and constrains sustainability outcomes. Future research might extend this framework by explicitly modelling feedback loops and examining how interventions in one domain propagate effects across others.</w:t>
      </w:r>
    </w:p>
    <w:p w14:paraId="24ABC60C" w14:textId="35019793" w:rsidR="008A4121" w:rsidRDefault="008A4121" w:rsidP="008A4121">
      <w:pPr>
        <w:spacing w:after="200" w:line="360" w:lineRule="auto"/>
      </w:pPr>
      <w:r>
        <w:t>The study contributes to understanding of technology adoption in public-sector contexts characterised by constrained resources, complex governance, and accountability requirements that differ from commercial settings where existing TAM and UTAUT research has been conducted. The finding that demonstrated value acts as a catalyst for further adoption suggests that diffusion models incorporating feedback mechanisms may better explain adoption trajectories than linear stage models. The asymmetry between perceived usefulness and ease of use observed in this study warrants further investigation across technology adoption contexts where implementation complexity exceeds user-facing simplicity.</w:t>
      </w:r>
    </w:p>
    <w:p w14:paraId="6CD97F97" w14:textId="77777777" w:rsidR="008A4121" w:rsidRDefault="008A4121" w:rsidP="008A4121">
      <w:pPr>
        <w:pStyle w:val="Heading3"/>
      </w:pPr>
      <w:bookmarkStart w:id="182" w:name="_Toc220152231"/>
      <w:r>
        <w:t>5.7.2 Practical Implications</w:t>
      </w:r>
      <w:bookmarkEnd w:id="182"/>
    </w:p>
    <w:p w14:paraId="6F00BDC3" w14:textId="368F2912" w:rsidR="008A4121" w:rsidRDefault="008A4121" w:rsidP="008A4121">
      <w:pPr>
        <w:spacing w:after="200" w:line="360" w:lineRule="auto"/>
      </w:pPr>
      <w:r>
        <w:t xml:space="preserve">For practitioners, the findings suggest </w:t>
      </w:r>
      <w:r w:rsidR="00E21564">
        <w:t>a series of</w:t>
      </w:r>
      <w:r>
        <w:t xml:space="preserve"> priorities. First, interoperability should be embedded as a procurement criterion, with specifications requiring open APIs (such as REST interfaces) and adherence to emerging standards (such as NGSI-LD and BACnet) even where immediate Digital Twin deployment is not planned</w:t>
      </w:r>
      <w:r w:rsidR="0086733B">
        <w:t xml:space="preserve">, </w:t>
      </w:r>
      <w:r>
        <w:t xml:space="preserve">addressing the compatibility barrier identified through Rogers's framework. Second, workforce development should balance technical upskilling with cultivation </w:t>
      </w:r>
      <w:r>
        <w:lastRenderedPageBreak/>
        <w:t>of adaptive mindsets and collaborative learning cultures, recognising that experiential competence may matter more than formal qualifications for operational staff. Third, investment in monitoring and metering infrastructure enables both immediate operational improvement and future Digital Twin capability, creating foundations for progressive digitalisation that addresses the trialability constraint.</w:t>
      </w:r>
    </w:p>
    <w:p w14:paraId="0A7CD010" w14:textId="4244A1FE" w:rsidR="008A4121" w:rsidRDefault="008A4121" w:rsidP="008A4121">
      <w:pPr>
        <w:spacing w:after="200" w:line="360" w:lineRule="auto"/>
      </w:pPr>
      <w:r>
        <w:t>Fourth, building robust measurement and verification processes supports the demonstration effect that catalyses further investment by enhancing observability. The Norwegian case study achieving 20% verified energy reduction over ten months (Renganayagalu et al., 2024) exemplifies the evidential standard required to build confidence among prospective adopters. Fifth, organisations should adopt incremental approaches</w:t>
      </w:r>
      <w:r w:rsidR="0086733B">
        <w:t xml:space="preserve">, </w:t>
      </w:r>
      <w:r>
        <w:t>starting with pilot buildings or specific M&amp;E systems</w:t>
      </w:r>
      <w:r w:rsidR="0086733B">
        <w:t xml:space="preserve">, </w:t>
      </w:r>
      <w:r>
        <w:t>rather than attempting estate-wide transformation, thereby reducing perceived complexity and enabling learning before broader rollout.</w:t>
      </w:r>
    </w:p>
    <w:p w14:paraId="7146B0C7" w14:textId="77777777" w:rsidR="008A4121" w:rsidRDefault="008A4121" w:rsidP="008A4121">
      <w:pPr>
        <w:pStyle w:val="Heading3"/>
      </w:pPr>
      <w:bookmarkStart w:id="183" w:name="_Toc220152232"/>
      <w:r>
        <w:t>5.7.3 Policy Implications</w:t>
      </w:r>
      <w:bookmarkEnd w:id="183"/>
    </w:p>
    <w:p w14:paraId="3FF8C09F" w14:textId="77777777" w:rsidR="008A4121" w:rsidRDefault="008A4121" w:rsidP="008A4121">
      <w:pPr>
        <w:spacing w:after="200" w:line="360" w:lineRule="auto"/>
      </w:pPr>
      <w:r>
        <w:t>For policymakers, the findings illuminate gaps between sustainability policy ambition and operational reality that technology adoption frameworks help explain. Targeted interventions might include: funding mechanisms supporting multi-year digital transformation rather than annual capital allocation, addressing the facilitating conditions constraint; procurement guidance incorporating whole-life value and interoperability requirements, enhancing compatibility; skills funding enabling workforce development for building digitalisation; and sector-specific implementation guidance addressing the particular constraints facing public-sector building portfolios, reducing complexity.</w:t>
      </w:r>
    </w:p>
    <w:p w14:paraId="45027731" w14:textId="7C97681A" w:rsidR="008A4121" w:rsidRDefault="008A4121" w:rsidP="008A4121">
      <w:pPr>
        <w:spacing w:after="200" w:line="360" w:lineRule="auto"/>
      </w:pPr>
      <w:r>
        <w:t>The development of interoperability standards and reference architectures could reduce uncertainty and vendor lock-in concerns that currently impede adoption</w:t>
      </w:r>
      <w:r w:rsidR="0086733B">
        <w:t xml:space="preserve">, </w:t>
      </w:r>
      <w:r>
        <w:t xml:space="preserve">directly addressing the ease-of-use barriers identified through TAM analysis. Welsh Government might consider designating FE sector demonstrator projects to catalyse </w:t>
      </w:r>
      <w:r w:rsidR="006A1981">
        <w:t>learning,</w:t>
      </w:r>
      <w:r>
        <w:t xml:space="preserve"> and evidence benefits applicable across the educational estate, leveraging the observability mechanism identified through diffusion theory. The Infrastructure and Projects Authority (2021) roadmap identifies Digital Twins as enabling technologies; translating this recognition into sector-specific implementation support for existing buildings represents an actionable policy development.</w:t>
      </w:r>
    </w:p>
    <w:p w14:paraId="0AA36E11" w14:textId="77777777" w:rsidR="008A4121" w:rsidRDefault="008A4121" w:rsidP="008A4121">
      <w:pPr>
        <w:pStyle w:val="Heading2"/>
      </w:pPr>
      <w:bookmarkStart w:id="184" w:name="_Toc220152233"/>
      <w:r>
        <w:lastRenderedPageBreak/>
        <w:t>5.8 Limitations and Future Research Directions</w:t>
      </w:r>
      <w:bookmarkEnd w:id="184"/>
    </w:p>
    <w:p w14:paraId="3AC23ECB" w14:textId="4CDDDD0F" w:rsidR="008A4121" w:rsidRDefault="00E21564" w:rsidP="008A4121">
      <w:pPr>
        <w:spacing w:after="200" w:line="360" w:lineRule="auto"/>
      </w:pPr>
      <w:r>
        <w:t>Certain</w:t>
      </w:r>
      <w:r w:rsidR="008A4121">
        <w:t xml:space="preserve"> limitations should be acknowledged when interpreting these findings. The non-probability sampling approach limits </w:t>
      </w:r>
      <w:r w:rsidR="006A1981">
        <w:t>generalisability:</w:t>
      </w:r>
      <w:r w:rsidR="008A4121">
        <w:t xml:space="preserve"> results should be interpreted as indicative of patterns within the accessible population rather than representative of all built environment professionals. The cross-sectional design captures perceptions at a single point, precluding causal inference; longitudinal research tracking organisations through adoption journeys would strengthen understanding of how barriers are navigated and benefits realised over time. The qualitative sample, while achieving thematic saturation within the South Wales FE context, may not capture perspectives from other regions or sectors with different institutional constraints.</w:t>
      </w:r>
    </w:p>
    <w:p w14:paraId="48EFC990" w14:textId="77777777" w:rsidR="008A4121" w:rsidRDefault="008A4121" w:rsidP="008A4121">
      <w:pPr>
        <w:spacing w:after="200" w:line="360" w:lineRule="auto"/>
      </w:pPr>
      <w:r>
        <w:t>The reliance on self-reported data introduces potential social desirability bias, particularly regarding sustainability commitment and digital capability. Future research might complement perceptual data with objective performance measures from implemented Digital Twin systems. The systematic review limitation of only three studies providing API integration details constrained the depth of technical analysis possible; as more implementations are documented with technical specificity, future reviews may enable more detailed comparison of integration approaches.</w:t>
      </w:r>
    </w:p>
    <w:p w14:paraId="32146EA8" w14:textId="77777777" w:rsidR="008A4121" w:rsidRDefault="008A4121" w:rsidP="008A4121">
      <w:pPr>
        <w:spacing w:after="200" w:line="360" w:lineRule="auto"/>
      </w:pPr>
      <w:r>
        <w:t>Promising directions for future research include: comparative studies across public and private sectors to examine how governance context shapes adoption, testing the generalisability of UTAUT's facilitating conditions construct; longitudinal case studies tracking Digital Twin implementation from procurement through operation; technical research developing Digital Twin methods independent of BIM data for existing buildings lacking digital documentation; action research collaboratively developing and evaluating interventions addressing identified barriers; and economic analysis quantifying whole-life value of digital capability investment to inform procurement framework reform. The three-domain framework developed in this research provides a foundation for systematic comparison across contexts and could be refined through application in diverse settings.</w:t>
      </w:r>
    </w:p>
    <w:p w14:paraId="359F72FF" w14:textId="77777777" w:rsidR="001341B8" w:rsidRDefault="001341B8" w:rsidP="008A4121">
      <w:pPr>
        <w:spacing w:after="200" w:line="360" w:lineRule="auto"/>
      </w:pPr>
    </w:p>
    <w:p w14:paraId="54E5F899" w14:textId="77777777" w:rsidR="008A4121" w:rsidRDefault="008A4121" w:rsidP="008A4121">
      <w:pPr>
        <w:pStyle w:val="Heading2"/>
      </w:pPr>
      <w:bookmarkStart w:id="185" w:name="_Toc220152234"/>
      <w:r>
        <w:lastRenderedPageBreak/>
        <w:t>5.9 Chapter Summary</w:t>
      </w:r>
      <w:bookmarkEnd w:id="185"/>
    </w:p>
    <w:p w14:paraId="157EF00F" w14:textId="292A0533" w:rsidR="008A4121" w:rsidRDefault="00346FAB" w:rsidP="008A4121">
      <w:pPr>
        <w:spacing w:after="200" w:line="360" w:lineRule="auto"/>
      </w:pPr>
      <w:r w:rsidRPr="00346FAB">
        <w:t>Strong alignment between practitioner experience and academic literature has emerged through examination of the research findings against the three-domain conceptual framework and established technology adoption theories, while identifying areas of divergence warranting further investigation.</w:t>
      </w:r>
      <w:r>
        <w:t xml:space="preserve"> </w:t>
      </w:r>
      <w:r w:rsidR="008A4121">
        <w:t>The discussion confirms that while the technical potential of AI and Digital Twin technologies for sustainable building operations is well established</w:t>
      </w:r>
      <w:r w:rsidR="0086733B">
        <w:t xml:space="preserve">, </w:t>
      </w:r>
      <w:r w:rsidR="008A4121">
        <w:t>with practitioners recognising value propositions for energy efficiency and predictive maintenance</w:t>
      </w:r>
      <w:r w:rsidR="0086733B">
        <w:t xml:space="preserve">, </w:t>
      </w:r>
      <w:r w:rsidR="008A4121">
        <w:t>practical adoption in post-construction M&amp;E systems is constrained by interconnected barriers spanning technological capability, organisational readiness, and governance structures.</w:t>
      </w:r>
    </w:p>
    <w:p w14:paraId="41CC2732" w14:textId="6B5C83E5" w:rsidR="008A4121" w:rsidRDefault="008A4121" w:rsidP="008A4121">
      <w:pPr>
        <w:spacing w:after="200" w:line="360" w:lineRule="auto"/>
      </w:pPr>
      <w:r>
        <w:t>Technology adoption frameworks prove valuable for interpreting these findings. TAM analysis reveals asymmetry between strong perceived usefulness and weak perceived ease of use, explaining the awareness-implementation gap. UTAUT's facilitating conditions construct captures the structural barriers</w:t>
      </w:r>
      <w:r w:rsidR="0086733B">
        <w:t xml:space="preserve">, </w:t>
      </w:r>
      <w:r>
        <w:t>budget constraints, procurement practices, legacy infrastructure</w:t>
      </w:r>
      <w:r w:rsidR="0086733B">
        <w:t xml:space="preserve">, </w:t>
      </w:r>
      <w:r w:rsidR="008F0056">
        <w:t>which</w:t>
      </w:r>
      <w:r>
        <w:t xml:space="preserve"> prove particularly constraining in public-sector contexts. Rogers's diffusion characteristics identify specific deficits in compatibility, complexity, trialability, and observability that impede progression beyond early adopter categories.</w:t>
      </w:r>
    </w:p>
    <w:p w14:paraId="17C055B3" w14:textId="0E464B90" w:rsidR="008A4121" w:rsidRDefault="008A4121" w:rsidP="00257E57">
      <w:pPr>
        <w:spacing w:after="200" w:line="360" w:lineRule="auto"/>
      </w:pPr>
      <w:r>
        <w:t>The findings suggest that successful digital transformation requires an integrated socio-technical approach addressing people, processes, and technology in combination rather than pursuing technological solutions in isolation. The demonstration effect</w:t>
      </w:r>
      <w:r w:rsidR="0086733B">
        <w:t xml:space="preserve">, </w:t>
      </w:r>
      <w:r>
        <w:t>whereby evidenced benefits catalyse further investment</w:t>
      </w:r>
      <w:r w:rsidR="0086733B">
        <w:t xml:space="preserve">, </w:t>
      </w:r>
      <w:r>
        <w:t xml:space="preserve">offers a mechanism for progressive capability </w:t>
      </w:r>
      <w:r w:rsidR="006A1981">
        <w:t>building but</w:t>
      </w:r>
      <w:r>
        <w:t xml:space="preserve"> depends on adequate monitoring infrastructure and measurement practices that are often absent in existing building stock. Addressing the structural barriers embedded in funding models and procurement practices appears essential for moving beyond fragmented, opportunistic adoption toward strategic digital transformation aligned with sustainability objectives. The following chapter draws conclusions from these findings and presents recommendations for practice, policy, and future research.</w:t>
      </w:r>
      <w:r w:rsidR="00037856">
        <w:br w:type="page"/>
      </w:r>
    </w:p>
    <w:p w14:paraId="524B7264" w14:textId="77777777" w:rsidR="008A4121" w:rsidRDefault="008A4121" w:rsidP="008A4121">
      <w:pPr>
        <w:pStyle w:val="Heading1"/>
      </w:pPr>
      <w:bookmarkStart w:id="186" w:name="_Toc220152235"/>
      <w:r>
        <w:rPr>
          <w:rFonts w:ascii="Arial" w:eastAsia="Arial" w:hAnsi="Arial" w:cs="Arial"/>
          <w:b/>
          <w:bCs/>
          <w:sz w:val="32"/>
          <w:szCs w:val="32"/>
        </w:rPr>
        <w:lastRenderedPageBreak/>
        <w:t>Chapter 6 – Conclusions and Recommendations</w:t>
      </w:r>
      <w:bookmarkEnd w:id="186"/>
    </w:p>
    <w:p w14:paraId="3370415E" w14:textId="77777777" w:rsidR="008A4121" w:rsidRDefault="008A4121" w:rsidP="008A4121">
      <w:pPr>
        <w:pStyle w:val="Heading2"/>
      </w:pPr>
      <w:bookmarkStart w:id="187" w:name="_Toc220152236"/>
      <w:r>
        <w:rPr>
          <w:b/>
          <w:bCs/>
        </w:rPr>
        <w:t>6.1 Introduction</w:t>
      </w:r>
      <w:bookmarkEnd w:id="187"/>
    </w:p>
    <w:p w14:paraId="0EEB3DD6" w14:textId="2BC25076" w:rsidR="000F19D9" w:rsidRPr="006957D2" w:rsidRDefault="0021751F" w:rsidP="000F19D9">
      <w:pPr>
        <w:spacing w:after="200" w:line="360" w:lineRule="auto"/>
      </w:pPr>
      <w:bookmarkStart w:id="188" w:name="_Toc220152237"/>
      <w:r w:rsidRPr="0021751F">
        <w:t>Evidence-based recommendations for practitioners, policymakers, and researchers are presented alongside a synthesis of the research findings and the study's contribution to knowledge and practice.</w:t>
      </w:r>
      <w:r>
        <w:t xml:space="preserve"> </w:t>
      </w:r>
      <w:r w:rsidR="000F19D9" w:rsidRPr="006957D2">
        <w:t>Drawing together the complete project</w:t>
      </w:r>
      <w:r w:rsidR="0086733B">
        <w:t xml:space="preserve">, </w:t>
      </w:r>
      <w:r w:rsidR="000F19D9" w:rsidRPr="006957D2">
        <w:t>from the research gap identified in Chapter 2 through the methodology, findings, and discussion</w:t>
      </w:r>
      <w:r w:rsidR="0086733B">
        <w:t xml:space="preserve">, </w:t>
      </w:r>
      <w:r w:rsidR="000F19D9" w:rsidRPr="006957D2">
        <w:t>this chapter addresses the research aim of investigating how API-driven AI and Digital Twin technologies can enhance sustainability in post-construction M&amp;E systems within the Further Education sector.</w:t>
      </w:r>
    </w:p>
    <w:p w14:paraId="71B0012C" w14:textId="23210312" w:rsidR="000F19D9" w:rsidRPr="006957D2" w:rsidRDefault="000F19D9" w:rsidP="000F19D9">
      <w:pPr>
        <w:spacing w:after="200" w:line="360" w:lineRule="auto"/>
      </w:pPr>
      <w:r w:rsidRPr="006957D2">
        <w:t>The conclusions are framed within the three-domain conceptual framework and interpreted through the technology adoption theories</w:t>
      </w:r>
      <w:r w:rsidR="0086733B">
        <w:t xml:space="preserve">, </w:t>
      </w:r>
      <w:r w:rsidRPr="006957D2">
        <w:t>Davis's (1989) Technology Acceptance Model, Venkatesh et al.'s (2003) UTAUT, and Rogers's (2003) Diffusion of Innovations</w:t>
      </w:r>
      <w:r w:rsidR="0086733B">
        <w:t xml:space="preserve">, </w:t>
      </w:r>
      <w:r w:rsidR="008F0056" w:rsidRPr="006957D2">
        <w:t>which</w:t>
      </w:r>
      <w:r w:rsidRPr="006957D2">
        <w:t xml:space="preserve"> informed the discussion in Chapter 5. This theoretical grounding ensures conclusions extend beyond descriptive findings to contribute to broader understanding of technology adoption in built environment contexts.</w:t>
      </w:r>
    </w:p>
    <w:p w14:paraId="25B617C3" w14:textId="77777777" w:rsidR="008A4121" w:rsidRDefault="008A4121" w:rsidP="008A4121">
      <w:pPr>
        <w:pStyle w:val="Heading2"/>
      </w:pPr>
      <w:r>
        <w:rPr>
          <w:b/>
          <w:bCs/>
        </w:rPr>
        <w:t>6.2 Summary of Key Findings</w:t>
      </w:r>
      <w:bookmarkEnd w:id="188"/>
    </w:p>
    <w:p w14:paraId="55BA5494" w14:textId="77777777" w:rsidR="008A4121" w:rsidRDefault="008A4121" w:rsidP="008A4121">
      <w:pPr>
        <w:spacing w:after="200" w:line="360" w:lineRule="auto"/>
      </w:pPr>
      <w:r>
        <w:t>The research findings, examined through the three-domain conceptual framework of Technological Capability, Human and Organisational Readiness, and Policy and Governance Alignment, reveal a consistent pattern: while awareness of AI and Digital Twin technologies is growing and sustainability benefits are widely recognised, practical implementation remains constrained by interconnected technical, organisational, and structural barriers.</w:t>
      </w:r>
    </w:p>
    <w:p w14:paraId="684B8934" w14:textId="25E7FB97" w:rsidR="008A4121" w:rsidRDefault="008A4121" w:rsidP="008A4121">
      <w:pPr>
        <w:spacing w:after="200" w:line="360" w:lineRule="auto"/>
      </w:pPr>
      <w:r>
        <w:t xml:space="preserve">Within the </w:t>
      </w:r>
      <w:r>
        <w:rPr>
          <w:b/>
          <w:bCs/>
        </w:rPr>
        <w:t>Technological Capability</w:t>
      </w:r>
      <w:r>
        <w:t xml:space="preserve"> domain, the study found that only 6.9% of respondents reported full integration of AI-enhanced Digital Twins, with 40.2% describing partial implementation and 25.3% indicating no current implementation. Legacy infrastructure and lack of interoperability emerged as significant technical barriers (M=3.56), with proprietary systems creating 'islands of data' that resist integration. The limited availability of standardised APIs</w:t>
      </w:r>
      <w:r w:rsidR="0086733B">
        <w:t xml:space="preserve">, </w:t>
      </w:r>
      <w:r>
        <w:t>with familiarity scores lowest among the three core technologies (M=2.95)</w:t>
      </w:r>
      <w:r w:rsidR="0086733B">
        <w:t xml:space="preserve">, </w:t>
      </w:r>
      <w:r>
        <w:t>and the absence of BIM documentation for existing buildings compound these challenges, confirming the implementation gap identified in the systematic literature review (Cespedes-Cubides and Jradi, 2024; Volk, Stengel and Schultmann, 2014).</w:t>
      </w:r>
    </w:p>
    <w:p w14:paraId="34DB8F1F" w14:textId="37F76F04" w:rsidR="008A4121" w:rsidRDefault="008A4121" w:rsidP="008A4121">
      <w:pPr>
        <w:spacing w:after="200" w:line="360" w:lineRule="auto"/>
      </w:pPr>
      <w:r>
        <w:lastRenderedPageBreak/>
        <w:t xml:space="preserve">The </w:t>
      </w:r>
      <w:r>
        <w:rPr>
          <w:b/>
          <w:bCs/>
        </w:rPr>
        <w:t>Human and Organisational Readiness</w:t>
      </w:r>
      <w:r>
        <w:t xml:space="preserve"> domain revealed that skills gaps, while significant (M=3.55), are mediated by cultural factors including leadership support, peer learning opportunities, and organisational attitudes toward innovation. Interview participants emphasised that successful technology adoption required 'champions at multiple levels'</w:t>
      </w:r>
      <w:r w:rsidR="0086733B">
        <w:t xml:space="preserve">, </w:t>
      </w:r>
      <w:r>
        <w:t>aligning with Kotter's (2012) change management framework. The positive correlation between organisational readiness and perceived benefits (r=0.32, p&lt;0.0</w:t>
      </w:r>
      <w:r w:rsidR="00125C2C">
        <w:t>1</w:t>
      </w:r>
      <w:r>
        <w:t>) suggests that capability development may accelerate both adoption and value realisation, consistent with Rogers's (2003) characterisation of early adopter attributes.</w:t>
      </w:r>
    </w:p>
    <w:p w14:paraId="660E5C12" w14:textId="089A0395" w:rsidR="008A4121" w:rsidRDefault="008A4121" w:rsidP="008A4121">
      <w:pPr>
        <w:spacing w:after="200" w:line="360" w:lineRule="auto"/>
      </w:pPr>
      <w:r>
        <w:rPr>
          <w:b/>
          <w:bCs/>
        </w:rPr>
        <w:t>Policy and Governance Alignment</w:t>
      </w:r>
      <w:r>
        <w:t xml:space="preserve"> emerged as the domain containing the most intractable barriers. Budget </w:t>
      </w:r>
      <w:r w:rsidRPr="005417A4">
        <w:t xml:space="preserve">constraints were </w:t>
      </w:r>
      <w:r w:rsidR="005417A4" w:rsidRPr="005417A4">
        <w:t xml:space="preserve">the most widely reported barrier </w:t>
      </w:r>
      <w:r>
        <w:t>(M=3.</w:t>
      </w:r>
      <w:r w:rsidR="00BA42FA">
        <w:t>17</w:t>
      </w:r>
      <w:r>
        <w:t xml:space="preserve">, with 92% rating as </w:t>
      </w:r>
      <w:r w:rsidR="00CF2F4B">
        <w:t xml:space="preserve">a </w:t>
      </w:r>
      <w:r>
        <w:t>moderate barrier or higher), with participants describing how short-term funding cycles, value-engineering pressures, and procurement frameworks systematically undermine digital capability investment. Cybersecurity concerns (61% rating as significant or major barrier) further constrained IoT deployment and cloud platform adoption. These findings confirm Egan's (1998) foundational critique of construction industry short-termism and align with UTAUT's identification of facilitating conditions as a key adoption determinant (Venkatesh et al., 2003).</w:t>
      </w:r>
    </w:p>
    <w:p w14:paraId="4FEF0723" w14:textId="4B5DF397" w:rsidR="008A4121" w:rsidRDefault="008A4121" w:rsidP="008A4121">
      <w:pPr>
        <w:spacing w:after="200" w:line="360" w:lineRule="auto"/>
      </w:pPr>
      <w:r>
        <w:t>Despite these barriers, participants reported substantial sustainability benefits where implementation had occurred, including verified energy consumption reductions of 18%, improved fault detection, and enhanced carbon reporting capability. The 'demonstration effect'</w:t>
      </w:r>
      <w:r w:rsidR="0086733B">
        <w:t xml:space="preserve">, </w:t>
      </w:r>
      <w:r>
        <w:t>whereby evidenced savings catalyse further investment</w:t>
      </w:r>
      <w:r w:rsidR="0086733B">
        <w:t xml:space="preserve">, </w:t>
      </w:r>
      <w:r>
        <w:t>emerged as a key mechanism for progressive capability building, resonating with Rogers's (2003) emphasis on observability as a driver of innovation diffusion.</w:t>
      </w:r>
    </w:p>
    <w:p w14:paraId="40D68ED2" w14:textId="77777777" w:rsidR="001E7B2F" w:rsidRDefault="001E7B2F" w:rsidP="008A4121">
      <w:pPr>
        <w:spacing w:after="200" w:line="360" w:lineRule="auto"/>
      </w:pPr>
    </w:p>
    <w:p w14:paraId="015DC0C3" w14:textId="68464951" w:rsidR="00CD0E8E" w:rsidRPr="00CD0E8E" w:rsidRDefault="00CD0E8E" w:rsidP="00CD0E8E">
      <w:pPr>
        <w:pStyle w:val="Caption"/>
        <w:keepNext/>
        <w:rPr>
          <w:b/>
          <w:bCs/>
          <w:color w:val="auto"/>
          <w:sz w:val="20"/>
          <w:szCs w:val="20"/>
        </w:rPr>
      </w:pPr>
      <w:bookmarkStart w:id="189" w:name="_Toc220152001"/>
      <w:bookmarkStart w:id="190" w:name="_Toc223077249"/>
      <w:bookmarkStart w:id="191" w:name="_Toc223079145"/>
      <w:r w:rsidRPr="00CD0E8E">
        <w:rPr>
          <w:b/>
          <w:bCs/>
          <w:color w:val="auto"/>
          <w:sz w:val="20"/>
          <w:szCs w:val="20"/>
        </w:rPr>
        <w:t xml:space="preserve">Table </w:t>
      </w:r>
      <w:r w:rsidR="004D4AE1">
        <w:rPr>
          <w:b/>
          <w:bCs/>
          <w:color w:val="auto"/>
          <w:sz w:val="20"/>
          <w:szCs w:val="20"/>
        </w:rPr>
        <w:t>6</w:t>
      </w:r>
      <w:r>
        <w:rPr>
          <w:b/>
          <w:bCs/>
          <w:color w:val="auto"/>
          <w:sz w:val="20"/>
          <w:szCs w:val="20"/>
        </w:rPr>
        <w:t>.</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1</w:t>
      </w:r>
      <w:r w:rsidR="00E10041">
        <w:rPr>
          <w:b/>
          <w:bCs/>
          <w:color w:val="auto"/>
          <w:sz w:val="20"/>
          <w:szCs w:val="20"/>
        </w:rPr>
        <w:fldChar w:fldCharType="end"/>
      </w:r>
      <w:r w:rsidRPr="00CD0E8E">
        <w:rPr>
          <w:b/>
          <w:bCs/>
          <w:color w:val="auto"/>
          <w:sz w:val="20"/>
          <w:szCs w:val="20"/>
        </w:rPr>
        <w:t>: Summary of Findings by Conceptual Framework Domain</w:t>
      </w:r>
      <w:bookmarkEnd w:id="189"/>
      <w:bookmarkEnd w:id="190"/>
      <w:bookmarkEnd w:id="191"/>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47"/>
        <w:gridCol w:w="3193"/>
        <w:gridCol w:w="3684"/>
      </w:tblGrid>
      <w:tr w:rsidR="008A4121" w14:paraId="059E9F61" w14:textId="77777777" w:rsidTr="00BE29C7">
        <w:trPr>
          <w:tblHeader/>
        </w:trPr>
        <w:tc>
          <w:tcPr>
            <w:tcW w:w="2200" w:type="dxa"/>
            <w:tcBorders>
              <w:top w:val="single" w:sz="1" w:space="0" w:color="808080"/>
              <w:left w:val="single" w:sz="1" w:space="0" w:color="808080"/>
              <w:bottom w:val="single" w:sz="1" w:space="0" w:color="808080"/>
              <w:right w:val="single" w:sz="1" w:space="0" w:color="808080"/>
            </w:tcBorders>
            <w:shd w:val="clear" w:color="auto" w:fill="D9E2F3"/>
          </w:tcPr>
          <w:p w14:paraId="1763AA7F" w14:textId="77777777" w:rsidR="008A4121" w:rsidRDefault="008A4121" w:rsidP="00BE29C7">
            <w:pPr>
              <w:jc w:val="center"/>
            </w:pPr>
            <w:r>
              <w:rPr>
                <w:b/>
                <w:bCs/>
                <w:sz w:val="22"/>
                <w:szCs w:val="22"/>
              </w:rPr>
              <w:t>Domain</w:t>
            </w:r>
          </w:p>
        </w:tc>
        <w:tc>
          <w:tcPr>
            <w:tcW w:w="3300" w:type="dxa"/>
            <w:tcBorders>
              <w:top w:val="single" w:sz="1" w:space="0" w:color="808080"/>
              <w:left w:val="single" w:sz="1" w:space="0" w:color="808080"/>
              <w:bottom w:val="single" w:sz="1" w:space="0" w:color="808080"/>
              <w:right w:val="single" w:sz="1" w:space="0" w:color="808080"/>
            </w:tcBorders>
            <w:shd w:val="clear" w:color="auto" w:fill="D9E2F3"/>
          </w:tcPr>
          <w:p w14:paraId="65909570" w14:textId="77777777" w:rsidR="008A4121" w:rsidRDefault="008A4121" w:rsidP="00BE29C7">
            <w:pPr>
              <w:jc w:val="center"/>
            </w:pPr>
            <w:r>
              <w:rPr>
                <w:b/>
                <w:bCs/>
                <w:sz w:val="22"/>
                <w:szCs w:val="22"/>
              </w:rPr>
              <w:t>Key Findings</w:t>
            </w:r>
          </w:p>
        </w:tc>
        <w:tc>
          <w:tcPr>
            <w:tcW w:w="3860" w:type="dxa"/>
            <w:tcBorders>
              <w:top w:val="single" w:sz="1" w:space="0" w:color="808080"/>
              <w:left w:val="single" w:sz="1" w:space="0" w:color="808080"/>
              <w:bottom w:val="single" w:sz="1" w:space="0" w:color="808080"/>
              <w:right w:val="single" w:sz="1" w:space="0" w:color="808080"/>
            </w:tcBorders>
            <w:shd w:val="clear" w:color="auto" w:fill="D9E2F3"/>
          </w:tcPr>
          <w:p w14:paraId="76C1D894" w14:textId="77777777" w:rsidR="008A4121" w:rsidRDefault="008A4121" w:rsidP="00BE29C7">
            <w:pPr>
              <w:jc w:val="center"/>
            </w:pPr>
            <w:r>
              <w:rPr>
                <w:b/>
                <w:bCs/>
                <w:sz w:val="22"/>
                <w:szCs w:val="22"/>
              </w:rPr>
              <w:t>Implications</w:t>
            </w:r>
          </w:p>
        </w:tc>
      </w:tr>
      <w:tr w:rsidR="008A4121" w14:paraId="42A2DDE6" w14:textId="77777777" w:rsidTr="00F51536">
        <w:tc>
          <w:tcPr>
            <w:tcW w:w="2200" w:type="dxa"/>
            <w:tcBorders>
              <w:top w:val="single" w:sz="1" w:space="0" w:color="808080"/>
              <w:left w:val="single" w:sz="1" w:space="0" w:color="808080"/>
              <w:bottom w:val="single" w:sz="1" w:space="0" w:color="808080"/>
              <w:right w:val="single" w:sz="1" w:space="0" w:color="808080"/>
            </w:tcBorders>
            <w:vAlign w:val="center"/>
          </w:tcPr>
          <w:p w14:paraId="3154F839" w14:textId="77777777" w:rsidR="008A4121" w:rsidRDefault="008A4121" w:rsidP="00F51536">
            <w:r>
              <w:rPr>
                <w:sz w:val="22"/>
                <w:szCs w:val="22"/>
              </w:rPr>
              <w:t>Technological Capability</w:t>
            </w:r>
          </w:p>
        </w:tc>
        <w:tc>
          <w:tcPr>
            <w:tcW w:w="3300" w:type="dxa"/>
            <w:tcBorders>
              <w:top w:val="single" w:sz="1" w:space="0" w:color="808080"/>
              <w:left w:val="single" w:sz="1" w:space="0" w:color="808080"/>
              <w:bottom w:val="single" w:sz="1" w:space="0" w:color="808080"/>
              <w:right w:val="single" w:sz="1" w:space="0" w:color="808080"/>
            </w:tcBorders>
            <w:vAlign w:val="center"/>
          </w:tcPr>
          <w:p w14:paraId="23C36E16" w14:textId="77777777" w:rsidR="008A4121" w:rsidRDefault="008A4121" w:rsidP="00F51536">
            <w:r>
              <w:rPr>
                <w:sz w:val="22"/>
                <w:szCs w:val="22"/>
              </w:rPr>
              <w:t>6.9% full integration; API familiarity lowest (M=2.95); legacy systems create data silos; interoperability barrier M=3.56</w:t>
            </w:r>
          </w:p>
        </w:tc>
        <w:tc>
          <w:tcPr>
            <w:tcW w:w="3860" w:type="dxa"/>
            <w:tcBorders>
              <w:top w:val="single" w:sz="1" w:space="0" w:color="808080"/>
              <w:left w:val="single" w:sz="1" w:space="0" w:color="808080"/>
              <w:bottom w:val="single" w:sz="1" w:space="0" w:color="808080"/>
              <w:right w:val="single" w:sz="1" w:space="0" w:color="808080"/>
            </w:tcBorders>
            <w:vAlign w:val="center"/>
          </w:tcPr>
          <w:p w14:paraId="1B63117E" w14:textId="77777777" w:rsidR="008A4121" w:rsidRDefault="008A4121" w:rsidP="00F51536">
            <w:r>
              <w:rPr>
                <w:sz w:val="22"/>
                <w:szCs w:val="22"/>
              </w:rPr>
              <w:t>Technical readiness insufficient; open-protocol procurement essential; middleware solutions needed for legacy integration</w:t>
            </w:r>
          </w:p>
        </w:tc>
      </w:tr>
      <w:tr w:rsidR="008A4121" w14:paraId="7938D3EC" w14:textId="77777777" w:rsidTr="00F51536">
        <w:tc>
          <w:tcPr>
            <w:tcW w:w="2200" w:type="dxa"/>
            <w:tcBorders>
              <w:top w:val="single" w:sz="1" w:space="0" w:color="808080"/>
              <w:left w:val="single" w:sz="1" w:space="0" w:color="808080"/>
              <w:bottom w:val="single" w:sz="1" w:space="0" w:color="808080"/>
              <w:right w:val="single" w:sz="1" w:space="0" w:color="808080"/>
            </w:tcBorders>
            <w:vAlign w:val="center"/>
          </w:tcPr>
          <w:p w14:paraId="7D279332" w14:textId="77777777" w:rsidR="008A4121" w:rsidRDefault="008A4121" w:rsidP="00F51536">
            <w:r>
              <w:rPr>
                <w:sz w:val="22"/>
                <w:szCs w:val="22"/>
              </w:rPr>
              <w:lastRenderedPageBreak/>
              <w:t>Human &amp; Organisational Readiness</w:t>
            </w:r>
          </w:p>
        </w:tc>
        <w:tc>
          <w:tcPr>
            <w:tcW w:w="3300" w:type="dxa"/>
            <w:tcBorders>
              <w:top w:val="single" w:sz="1" w:space="0" w:color="808080"/>
              <w:left w:val="single" w:sz="1" w:space="0" w:color="808080"/>
              <w:bottom w:val="single" w:sz="1" w:space="0" w:color="808080"/>
              <w:right w:val="single" w:sz="1" w:space="0" w:color="808080"/>
            </w:tcBorders>
            <w:vAlign w:val="center"/>
          </w:tcPr>
          <w:p w14:paraId="7246F2C7" w14:textId="77777777" w:rsidR="008A4121" w:rsidRDefault="008A4121" w:rsidP="00F51536">
            <w:r>
              <w:rPr>
                <w:sz w:val="22"/>
                <w:szCs w:val="22"/>
              </w:rPr>
              <w:t>Skills gap significant (M=3.55); culture/leadership more influential than formal training; readiness-benefits correlation r=0.32</w:t>
            </w:r>
          </w:p>
        </w:tc>
        <w:tc>
          <w:tcPr>
            <w:tcW w:w="3860" w:type="dxa"/>
            <w:tcBorders>
              <w:top w:val="single" w:sz="1" w:space="0" w:color="808080"/>
              <w:left w:val="single" w:sz="1" w:space="0" w:color="808080"/>
              <w:bottom w:val="single" w:sz="1" w:space="0" w:color="808080"/>
              <w:right w:val="single" w:sz="1" w:space="0" w:color="808080"/>
            </w:tcBorders>
            <w:vAlign w:val="center"/>
          </w:tcPr>
          <w:p w14:paraId="26DCA1D3" w14:textId="77777777" w:rsidR="008A4121" w:rsidRDefault="008A4121" w:rsidP="00F51536">
            <w:r>
              <w:rPr>
                <w:sz w:val="22"/>
                <w:szCs w:val="22"/>
              </w:rPr>
              <w:t>Workforce development should emphasise adaptive mindsets; distributed champions enable cultural change</w:t>
            </w:r>
          </w:p>
        </w:tc>
      </w:tr>
      <w:tr w:rsidR="008A4121" w14:paraId="046E5B0A" w14:textId="77777777" w:rsidTr="00F51536">
        <w:tc>
          <w:tcPr>
            <w:tcW w:w="2200" w:type="dxa"/>
            <w:tcBorders>
              <w:top w:val="single" w:sz="1" w:space="0" w:color="808080"/>
              <w:left w:val="single" w:sz="1" w:space="0" w:color="808080"/>
              <w:bottom w:val="single" w:sz="1" w:space="0" w:color="808080"/>
              <w:right w:val="single" w:sz="1" w:space="0" w:color="808080"/>
            </w:tcBorders>
            <w:vAlign w:val="center"/>
          </w:tcPr>
          <w:p w14:paraId="1426EE63" w14:textId="77777777" w:rsidR="008A4121" w:rsidRDefault="008A4121" w:rsidP="00F51536">
            <w:r>
              <w:rPr>
                <w:sz w:val="22"/>
                <w:szCs w:val="22"/>
              </w:rPr>
              <w:t>Policy &amp; Governance Alignment</w:t>
            </w:r>
          </w:p>
        </w:tc>
        <w:tc>
          <w:tcPr>
            <w:tcW w:w="3300" w:type="dxa"/>
            <w:tcBorders>
              <w:top w:val="single" w:sz="1" w:space="0" w:color="808080"/>
              <w:left w:val="single" w:sz="1" w:space="0" w:color="808080"/>
              <w:bottom w:val="single" w:sz="1" w:space="0" w:color="808080"/>
              <w:right w:val="single" w:sz="1" w:space="0" w:color="808080"/>
            </w:tcBorders>
            <w:vAlign w:val="center"/>
          </w:tcPr>
          <w:p w14:paraId="349403F0" w14:textId="3843FC7C" w:rsidR="008A4121" w:rsidRDefault="009A1499" w:rsidP="00F51536">
            <w:r>
              <w:rPr>
                <w:sz w:val="22"/>
                <w:szCs w:val="22"/>
              </w:rPr>
              <w:t xml:space="preserve">The </w:t>
            </w:r>
            <w:r w:rsidRPr="009A1499">
              <w:rPr>
                <w:sz w:val="22"/>
                <w:szCs w:val="22"/>
              </w:rPr>
              <w:t xml:space="preserve">most widely reported barrier </w:t>
            </w:r>
            <w:r w:rsidR="008A4121">
              <w:rPr>
                <w:sz w:val="22"/>
                <w:szCs w:val="22"/>
              </w:rPr>
              <w:t>(M=3.</w:t>
            </w:r>
            <w:r w:rsidR="00BA42FA">
              <w:rPr>
                <w:sz w:val="22"/>
                <w:szCs w:val="22"/>
              </w:rPr>
              <w:t>17</w:t>
            </w:r>
            <w:r w:rsidR="008A4121">
              <w:rPr>
                <w:sz w:val="22"/>
                <w:szCs w:val="22"/>
              </w:rPr>
              <w:t>, 92%); annual funding cycles; cybersecurity concerns (</w:t>
            </w:r>
            <w:r w:rsidR="005417A4">
              <w:rPr>
                <w:sz w:val="22"/>
                <w:szCs w:val="22"/>
              </w:rPr>
              <w:t>94</w:t>
            </w:r>
            <w:r w:rsidR="008A4121">
              <w:rPr>
                <w:sz w:val="22"/>
                <w:szCs w:val="22"/>
              </w:rPr>
              <w:t>%); value-engineering undermines digital capability</w:t>
            </w:r>
          </w:p>
        </w:tc>
        <w:tc>
          <w:tcPr>
            <w:tcW w:w="3860" w:type="dxa"/>
            <w:tcBorders>
              <w:top w:val="single" w:sz="1" w:space="0" w:color="808080"/>
              <w:left w:val="single" w:sz="1" w:space="0" w:color="808080"/>
              <w:bottom w:val="single" w:sz="1" w:space="0" w:color="808080"/>
              <w:right w:val="single" w:sz="1" w:space="0" w:color="808080"/>
            </w:tcBorders>
            <w:vAlign w:val="center"/>
          </w:tcPr>
          <w:p w14:paraId="2D67DBF7" w14:textId="77777777" w:rsidR="008A4121" w:rsidRDefault="008A4121" w:rsidP="00F51536">
            <w:r>
              <w:rPr>
                <w:sz w:val="22"/>
                <w:szCs w:val="22"/>
              </w:rPr>
              <w:t>Structural intervention required; multi-year funding; whole-life procurement; sector-specific guidance needed</w:t>
            </w:r>
          </w:p>
        </w:tc>
      </w:tr>
    </w:tbl>
    <w:p w14:paraId="4121FE42" w14:textId="77777777" w:rsidR="009C7098" w:rsidRDefault="009C7098" w:rsidP="008A4121">
      <w:pPr>
        <w:spacing w:after="200"/>
      </w:pPr>
    </w:p>
    <w:p w14:paraId="6540CB17" w14:textId="77777777" w:rsidR="008A4121" w:rsidRDefault="008A4121" w:rsidP="008A4121">
      <w:pPr>
        <w:pStyle w:val="Heading2"/>
      </w:pPr>
      <w:bookmarkStart w:id="192" w:name="_Toc220152238"/>
      <w:r>
        <w:rPr>
          <w:b/>
          <w:bCs/>
        </w:rPr>
        <w:t>6.3 Conclusions in Relation to the Research Objectives</w:t>
      </w:r>
      <w:bookmarkEnd w:id="192"/>
    </w:p>
    <w:p w14:paraId="266B4CCA" w14:textId="7D6DA0D8" w:rsidR="009C7098" w:rsidRDefault="008A4121" w:rsidP="008A4121">
      <w:pPr>
        <w:spacing w:after="200" w:line="360" w:lineRule="auto"/>
      </w:pPr>
      <w:r>
        <w:t>The study's six research objectives have been systematically addressed through the mixed-methods investigation. Table 6.2 summarises the conclusions against each objective, demonstrating how the research aim has been achieved.</w:t>
      </w:r>
    </w:p>
    <w:p w14:paraId="38827556" w14:textId="77777777" w:rsidR="00DF23BB" w:rsidRDefault="00DF23BB" w:rsidP="00CD0E8E">
      <w:pPr>
        <w:pStyle w:val="Caption"/>
        <w:keepNext/>
        <w:rPr>
          <w:b/>
          <w:bCs/>
          <w:color w:val="auto"/>
          <w:sz w:val="20"/>
          <w:szCs w:val="20"/>
        </w:rPr>
      </w:pPr>
    </w:p>
    <w:p w14:paraId="5A7A9022" w14:textId="3BCCBD2F" w:rsidR="00CD0E8E" w:rsidRPr="00CD0E8E" w:rsidRDefault="00CD0E8E" w:rsidP="00CD0E8E">
      <w:pPr>
        <w:pStyle w:val="Caption"/>
        <w:keepNext/>
        <w:rPr>
          <w:b/>
          <w:bCs/>
          <w:color w:val="auto"/>
          <w:sz w:val="20"/>
          <w:szCs w:val="20"/>
        </w:rPr>
      </w:pPr>
      <w:bookmarkStart w:id="193" w:name="_Toc220152002"/>
      <w:bookmarkStart w:id="194" w:name="_Toc223077250"/>
      <w:bookmarkStart w:id="195" w:name="_Toc223079146"/>
      <w:r w:rsidRPr="00CD0E8E">
        <w:rPr>
          <w:b/>
          <w:bCs/>
          <w:color w:val="auto"/>
          <w:sz w:val="20"/>
          <w:szCs w:val="20"/>
        </w:rPr>
        <w:t xml:space="preserve">Table </w:t>
      </w:r>
      <w:r w:rsidR="004D4AE1">
        <w:rPr>
          <w:b/>
          <w:bCs/>
          <w:color w:val="auto"/>
          <w:sz w:val="20"/>
          <w:szCs w:val="20"/>
        </w:rPr>
        <w:t>6</w:t>
      </w:r>
      <w:r>
        <w:rPr>
          <w:b/>
          <w:bCs/>
          <w:color w:val="auto"/>
          <w:sz w:val="20"/>
          <w:szCs w:val="20"/>
        </w:rPr>
        <w:t>.</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2</w:t>
      </w:r>
      <w:r w:rsidR="00E10041">
        <w:rPr>
          <w:b/>
          <w:bCs/>
          <w:color w:val="auto"/>
          <w:sz w:val="20"/>
          <w:szCs w:val="20"/>
        </w:rPr>
        <w:fldChar w:fldCharType="end"/>
      </w:r>
      <w:r w:rsidRPr="00CD0E8E">
        <w:rPr>
          <w:b/>
          <w:bCs/>
          <w:color w:val="auto"/>
          <w:sz w:val="20"/>
          <w:szCs w:val="20"/>
        </w:rPr>
        <w:t>: Conclusions by Research Objective</w:t>
      </w:r>
      <w:bookmarkEnd w:id="193"/>
      <w:bookmarkEnd w:id="194"/>
      <w:bookmarkEnd w:id="195"/>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91"/>
        <w:gridCol w:w="3290"/>
        <w:gridCol w:w="5143"/>
      </w:tblGrid>
      <w:tr w:rsidR="008A4121" w14:paraId="49612BFC" w14:textId="77777777" w:rsidTr="00BE29C7">
        <w:trPr>
          <w:tblHeader/>
        </w:trPr>
        <w:tc>
          <w:tcPr>
            <w:tcW w:w="600" w:type="dxa"/>
            <w:tcBorders>
              <w:top w:val="single" w:sz="1" w:space="0" w:color="808080"/>
              <w:left w:val="single" w:sz="1" w:space="0" w:color="808080"/>
              <w:bottom w:val="single" w:sz="1" w:space="0" w:color="808080"/>
              <w:right w:val="single" w:sz="1" w:space="0" w:color="808080"/>
            </w:tcBorders>
            <w:shd w:val="clear" w:color="auto" w:fill="D9E2F3"/>
          </w:tcPr>
          <w:p w14:paraId="3F148810" w14:textId="77777777" w:rsidR="008A4121" w:rsidRDefault="008A4121" w:rsidP="00BE29C7">
            <w:pPr>
              <w:jc w:val="center"/>
            </w:pPr>
            <w:r>
              <w:rPr>
                <w:b/>
                <w:bCs/>
                <w:sz w:val="22"/>
                <w:szCs w:val="22"/>
              </w:rPr>
              <w:t>Obj.</w:t>
            </w:r>
          </w:p>
        </w:tc>
        <w:tc>
          <w:tcPr>
            <w:tcW w:w="3400" w:type="dxa"/>
            <w:tcBorders>
              <w:top w:val="single" w:sz="1" w:space="0" w:color="808080"/>
              <w:left w:val="single" w:sz="1" w:space="0" w:color="808080"/>
              <w:bottom w:val="single" w:sz="1" w:space="0" w:color="808080"/>
              <w:right w:val="single" w:sz="1" w:space="0" w:color="808080"/>
            </w:tcBorders>
            <w:shd w:val="clear" w:color="auto" w:fill="D9E2F3"/>
          </w:tcPr>
          <w:p w14:paraId="11B4B55E" w14:textId="77777777" w:rsidR="008A4121" w:rsidRDefault="008A4121" w:rsidP="00BE29C7">
            <w:pPr>
              <w:jc w:val="center"/>
            </w:pPr>
            <w:r>
              <w:rPr>
                <w:b/>
                <w:bCs/>
                <w:sz w:val="22"/>
                <w:szCs w:val="22"/>
              </w:rPr>
              <w:t>Research Objective</w:t>
            </w:r>
          </w:p>
        </w:tc>
        <w:tc>
          <w:tcPr>
            <w:tcW w:w="5360" w:type="dxa"/>
            <w:tcBorders>
              <w:top w:val="single" w:sz="1" w:space="0" w:color="808080"/>
              <w:left w:val="single" w:sz="1" w:space="0" w:color="808080"/>
              <w:bottom w:val="single" w:sz="1" w:space="0" w:color="808080"/>
              <w:right w:val="single" w:sz="1" w:space="0" w:color="808080"/>
            </w:tcBorders>
            <w:shd w:val="clear" w:color="auto" w:fill="D9E2F3"/>
          </w:tcPr>
          <w:p w14:paraId="5C9E8BAC" w14:textId="77777777" w:rsidR="008A4121" w:rsidRDefault="008A4121" w:rsidP="00BE29C7">
            <w:pPr>
              <w:jc w:val="center"/>
            </w:pPr>
            <w:r>
              <w:rPr>
                <w:b/>
                <w:bCs/>
                <w:sz w:val="22"/>
                <w:szCs w:val="22"/>
              </w:rPr>
              <w:t>Key Conclusion</w:t>
            </w:r>
          </w:p>
        </w:tc>
      </w:tr>
      <w:tr w:rsidR="008A4121" w14:paraId="584773E5" w14:textId="77777777" w:rsidTr="00F51536">
        <w:tc>
          <w:tcPr>
            <w:tcW w:w="600" w:type="dxa"/>
            <w:tcBorders>
              <w:top w:val="single" w:sz="1" w:space="0" w:color="808080"/>
              <w:left w:val="single" w:sz="1" w:space="0" w:color="808080"/>
              <w:bottom w:val="single" w:sz="1" w:space="0" w:color="808080"/>
              <w:right w:val="single" w:sz="1" w:space="0" w:color="808080"/>
            </w:tcBorders>
            <w:vAlign w:val="center"/>
          </w:tcPr>
          <w:p w14:paraId="2FE14EF8" w14:textId="77777777" w:rsidR="008A4121" w:rsidRDefault="008A4121" w:rsidP="00F51536">
            <w:r>
              <w:rPr>
                <w:sz w:val="22"/>
                <w:szCs w:val="22"/>
              </w:rPr>
              <w:t>1</w:t>
            </w:r>
          </w:p>
        </w:tc>
        <w:tc>
          <w:tcPr>
            <w:tcW w:w="3400" w:type="dxa"/>
            <w:tcBorders>
              <w:top w:val="single" w:sz="1" w:space="0" w:color="808080"/>
              <w:left w:val="single" w:sz="1" w:space="0" w:color="808080"/>
              <w:bottom w:val="single" w:sz="1" w:space="0" w:color="808080"/>
              <w:right w:val="single" w:sz="1" w:space="0" w:color="808080"/>
            </w:tcBorders>
            <w:vAlign w:val="center"/>
          </w:tcPr>
          <w:p w14:paraId="719F5390" w14:textId="77777777" w:rsidR="008A4121" w:rsidRDefault="008A4121" w:rsidP="00F51536">
            <w:r>
              <w:rPr>
                <w:sz w:val="22"/>
                <w:szCs w:val="22"/>
              </w:rPr>
              <w:t>Assess industry awareness and familiarity with AI, DT, and APIs</w:t>
            </w:r>
          </w:p>
        </w:tc>
        <w:tc>
          <w:tcPr>
            <w:tcW w:w="5360" w:type="dxa"/>
            <w:tcBorders>
              <w:top w:val="single" w:sz="1" w:space="0" w:color="808080"/>
              <w:left w:val="single" w:sz="1" w:space="0" w:color="808080"/>
              <w:bottom w:val="single" w:sz="1" w:space="0" w:color="808080"/>
              <w:right w:val="single" w:sz="1" w:space="0" w:color="808080"/>
            </w:tcBorders>
            <w:vAlign w:val="center"/>
          </w:tcPr>
          <w:p w14:paraId="0855A27E" w14:textId="77777777" w:rsidR="008A4121" w:rsidRDefault="008A4121" w:rsidP="00F51536">
            <w:r>
              <w:rPr>
                <w:sz w:val="22"/>
                <w:szCs w:val="22"/>
              </w:rPr>
              <w:t>Moderate AI awareness (59% moderate-high); lower Digital Twin (47%) and API (24%) familiarity. Awareness exceeds implementation capability, with APIs least understood despite being essential connectivity infrastructure.</w:t>
            </w:r>
          </w:p>
        </w:tc>
      </w:tr>
      <w:tr w:rsidR="008A4121" w14:paraId="135D0AD4" w14:textId="77777777" w:rsidTr="00F51536">
        <w:tc>
          <w:tcPr>
            <w:tcW w:w="600" w:type="dxa"/>
            <w:tcBorders>
              <w:top w:val="single" w:sz="1" w:space="0" w:color="808080"/>
              <w:left w:val="single" w:sz="1" w:space="0" w:color="808080"/>
              <w:bottom w:val="single" w:sz="1" w:space="0" w:color="808080"/>
              <w:right w:val="single" w:sz="1" w:space="0" w:color="808080"/>
            </w:tcBorders>
            <w:vAlign w:val="center"/>
          </w:tcPr>
          <w:p w14:paraId="4835F3E7" w14:textId="77777777" w:rsidR="008A4121" w:rsidRDefault="008A4121" w:rsidP="00F51536">
            <w:r>
              <w:rPr>
                <w:sz w:val="22"/>
                <w:szCs w:val="22"/>
              </w:rPr>
              <w:t>2</w:t>
            </w:r>
          </w:p>
        </w:tc>
        <w:tc>
          <w:tcPr>
            <w:tcW w:w="3400" w:type="dxa"/>
            <w:tcBorders>
              <w:top w:val="single" w:sz="1" w:space="0" w:color="808080"/>
              <w:left w:val="single" w:sz="1" w:space="0" w:color="808080"/>
              <w:bottom w:val="single" w:sz="1" w:space="0" w:color="808080"/>
              <w:right w:val="single" w:sz="1" w:space="0" w:color="808080"/>
            </w:tcBorders>
            <w:vAlign w:val="center"/>
          </w:tcPr>
          <w:p w14:paraId="58DACB58" w14:textId="77777777" w:rsidR="008A4121" w:rsidRDefault="008A4121" w:rsidP="00F51536">
            <w:r>
              <w:rPr>
                <w:sz w:val="22"/>
                <w:szCs w:val="22"/>
              </w:rPr>
              <w:t>Examine adoption extent in existing building operations</w:t>
            </w:r>
          </w:p>
        </w:tc>
        <w:tc>
          <w:tcPr>
            <w:tcW w:w="5360" w:type="dxa"/>
            <w:tcBorders>
              <w:top w:val="single" w:sz="1" w:space="0" w:color="808080"/>
              <w:left w:val="single" w:sz="1" w:space="0" w:color="808080"/>
              <w:bottom w:val="single" w:sz="1" w:space="0" w:color="808080"/>
              <w:right w:val="single" w:sz="1" w:space="0" w:color="808080"/>
            </w:tcBorders>
            <w:vAlign w:val="center"/>
          </w:tcPr>
          <w:p w14:paraId="5CB7D46C" w14:textId="77777777" w:rsidR="008A4121" w:rsidRDefault="008A4121" w:rsidP="00F51536">
            <w:r>
              <w:rPr>
                <w:sz w:val="22"/>
                <w:szCs w:val="22"/>
              </w:rPr>
              <w:t>Limited adoption: 6.9% full integration, 40.2% partial, 25.3% none. Sector at early maturity stage; BMS predominant infrastructure. Confirms 'interactivity gap' in pre-2001 buildings (Cespedes-Cubides and Jradi, 2024).</w:t>
            </w:r>
          </w:p>
        </w:tc>
      </w:tr>
      <w:tr w:rsidR="008A4121" w14:paraId="0C984317" w14:textId="77777777" w:rsidTr="00F51536">
        <w:tc>
          <w:tcPr>
            <w:tcW w:w="600" w:type="dxa"/>
            <w:tcBorders>
              <w:top w:val="single" w:sz="1" w:space="0" w:color="808080"/>
              <w:left w:val="single" w:sz="1" w:space="0" w:color="808080"/>
              <w:bottom w:val="single" w:sz="1" w:space="0" w:color="808080"/>
              <w:right w:val="single" w:sz="1" w:space="0" w:color="808080"/>
            </w:tcBorders>
            <w:vAlign w:val="center"/>
          </w:tcPr>
          <w:p w14:paraId="73752773" w14:textId="77777777" w:rsidR="008A4121" w:rsidRDefault="008A4121" w:rsidP="00F51536">
            <w:r>
              <w:rPr>
                <w:sz w:val="22"/>
                <w:szCs w:val="22"/>
              </w:rPr>
              <w:t>3</w:t>
            </w:r>
          </w:p>
        </w:tc>
        <w:tc>
          <w:tcPr>
            <w:tcW w:w="3400" w:type="dxa"/>
            <w:tcBorders>
              <w:top w:val="single" w:sz="1" w:space="0" w:color="808080"/>
              <w:left w:val="single" w:sz="1" w:space="0" w:color="808080"/>
              <w:bottom w:val="single" w:sz="1" w:space="0" w:color="808080"/>
              <w:right w:val="single" w:sz="1" w:space="0" w:color="808080"/>
            </w:tcBorders>
            <w:vAlign w:val="center"/>
          </w:tcPr>
          <w:p w14:paraId="70776F12" w14:textId="77777777" w:rsidR="008A4121" w:rsidRDefault="008A4121" w:rsidP="00F51536">
            <w:r>
              <w:rPr>
                <w:sz w:val="22"/>
                <w:szCs w:val="22"/>
              </w:rPr>
              <w:t>Identify perceived sustainability and operational benefits</w:t>
            </w:r>
          </w:p>
        </w:tc>
        <w:tc>
          <w:tcPr>
            <w:tcW w:w="5360" w:type="dxa"/>
            <w:tcBorders>
              <w:top w:val="single" w:sz="1" w:space="0" w:color="808080"/>
              <w:left w:val="single" w:sz="1" w:space="0" w:color="808080"/>
              <w:bottom w:val="single" w:sz="1" w:space="0" w:color="808080"/>
              <w:right w:val="single" w:sz="1" w:space="0" w:color="808080"/>
            </w:tcBorders>
            <w:vAlign w:val="center"/>
          </w:tcPr>
          <w:p w14:paraId="30ECEEF7" w14:textId="757EB271" w:rsidR="008A4121" w:rsidRDefault="008A4121" w:rsidP="00F51536">
            <w:r>
              <w:rPr>
                <w:sz w:val="22"/>
                <w:szCs w:val="22"/>
              </w:rPr>
              <w:t>Strong benefit perception: predictive maintenance (M=4.40, 94.3% agree); energy efficiency (M=3.82); sustainability targets (M=3.</w:t>
            </w:r>
            <w:r w:rsidR="00BA42FA">
              <w:rPr>
                <w:sz w:val="22"/>
                <w:szCs w:val="22"/>
              </w:rPr>
              <w:t>56</w:t>
            </w:r>
            <w:r>
              <w:rPr>
                <w:sz w:val="22"/>
                <w:szCs w:val="22"/>
              </w:rPr>
              <w:t>). Field-verified 18% gas reduction reported. Perceived usefulness established (Davis, 1989).</w:t>
            </w:r>
          </w:p>
        </w:tc>
      </w:tr>
      <w:tr w:rsidR="008A4121" w14:paraId="6B5731B6" w14:textId="77777777" w:rsidTr="00F51536">
        <w:tc>
          <w:tcPr>
            <w:tcW w:w="600" w:type="dxa"/>
            <w:tcBorders>
              <w:top w:val="single" w:sz="1" w:space="0" w:color="808080"/>
              <w:left w:val="single" w:sz="1" w:space="0" w:color="808080"/>
              <w:bottom w:val="single" w:sz="1" w:space="0" w:color="808080"/>
              <w:right w:val="single" w:sz="1" w:space="0" w:color="808080"/>
            </w:tcBorders>
            <w:vAlign w:val="center"/>
          </w:tcPr>
          <w:p w14:paraId="4852762A" w14:textId="77777777" w:rsidR="008A4121" w:rsidRDefault="008A4121" w:rsidP="00F51536">
            <w:r>
              <w:rPr>
                <w:sz w:val="22"/>
                <w:szCs w:val="22"/>
              </w:rPr>
              <w:t>4</w:t>
            </w:r>
          </w:p>
        </w:tc>
        <w:tc>
          <w:tcPr>
            <w:tcW w:w="3400" w:type="dxa"/>
            <w:tcBorders>
              <w:top w:val="single" w:sz="1" w:space="0" w:color="808080"/>
              <w:left w:val="single" w:sz="1" w:space="0" w:color="808080"/>
              <w:bottom w:val="single" w:sz="1" w:space="0" w:color="808080"/>
              <w:right w:val="single" w:sz="1" w:space="0" w:color="808080"/>
            </w:tcBorders>
            <w:vAlign w:val="center"/>
          </w:tcPr>
          <w:p w14:paraId="1E8BF490" w14:textId="77777777" w:rsidR="008A4121" w:rsidRDefault="008A4121" w:rsidP="00F51536">
            <w:r>
              <w:rPr>
                <w:sz w:val="22"/>
                <w:szCs w:val="22"/>
              </w:rPr>
              <w:t>Explore technical, organisational, and structural barriers</w:t>
            </w:r>
          </w:p>
        </w:tc>
        <w:tc>
          <w:tcPr>
            <w:tcW w:w="5360" w:type="dxa"/>
            <w:tcBorders>
              <w:top w:val="single" w:sz="1" w:space="0" w:color="808080"/>
              <w:left w:val="single" w:sz="1" w:space="0" w:color="808080"/>
              <w:bottom w:val="single" w:sz="1" w:space="0" w:color="808080"/>
              <w:right w:val="single" w:sz="1" w:space="0" w:color="808080"/>
            </w:tcBorders>
            <w:vAlign w:val="center"/>
          </w:tcPr>
          <w:p w14:paraId="7A3200D7" w14:textId="117D1E2E" w:rsidR="008A4121" w:rsidRDefault="008A4121" w:rsidP="00F51536">
            <w:r>
              <w:rPr>
                <w:sz w:val="22"/>
                <w:szCs w:val="22"/>
              </w:rPr>
              <w:t>Interconnected barriers across all domains: budget constraints (M=3.</w:t>
            </w:r>
            <w:r w:rsidR="00BA42FA">
              <w:rPr>
                <w:sz w:val="22"/>
                <w:szCs w:val="22"/>
              </w:rPr>
              <w:t>17</w:t>
            </w:r>
            <w:r>
              <w:rPr>
                <w:sz w:val="22"/>
                <w:szCs w:val="22"/>
              </w:rPr>
              <w:t>), cybersecurity (M=3.67), legacy systems (M=3.56), skills gaps (M=3.55). Familiarity-barrier correlation (r=0.60) indicates knowledge increases realistic assessment.</w:t>
            </w:r>
          </w:p>
        </w:tc>
      </w:tr>
      <w:tr w:rsidR="008A4121" w14:paraId="1DD9C1D1" w14:textId="77777777" w:rsidTr="00F51536">
        <w:tc>
          <w:tcPr>
            <w:tcW w:w="600" w:type="dxa"/>
            <w:tcBorders>
              <w:top w:val="single" w:sz="1" w:space="0" w:color="808080"/>
              <w:left w:val="single" w:sz="1" w:space="0" w:color="808080"/>
              <w:bottom w:val="single" w:sz="1" w:space="0" w:color="808080"/>
              <w:right w:val="single" w:sz="1" w:space="0" w:color="808080"/>
            </w:tcBorders>
            <w:vAlign w:val="center"/>
          </w:tcPr>
          <w:p w14:paraId="0B1B0BD5" w14:textId="77777777" w:rsidR="008A4121" w:rsidRDefault="008A4121" w:rsidP="00F51536">
            <w:r>
              <w:rPr>
                <w:sz w:val="22"/>
                <w:szCs w:val="22"/>
              </w:rPr>
              <w:t>5</w:t>
            </w:r>
          </w:p>
        </w:tc>
        <w:tc>
          <w:tcPr>
            <w:tcW w:w="3400" w:type="dxa"/>
            <w:tcBorders>
              <w:top w:val="single" w:sz="1" w:space="0" w:color="808080"/>
              <w:left w:val="single" w:sz="1" w:space="0" w:color="808080"/>
              <w:bottom w:val="single" w:sz="1" w:space="0" w:color="808080"/>
              <w:right w:val="single" w:sz="1" w:space="0" w:color="808080"/>
            </w:tcBorders>
            <w:vAlign w:val="center"/>
          </w:tcPr>
          <w:p w14:paraId="27A18F78" w14:textId="77777777" w:rsidR="008A4121" w:rsidRDefault="008A4121" w:rsidP="00F51536">
            <w:r>
              <w:rPr>
                <w:sz w:val="22"/>
                <w:szCs w:val="22"/>
              </w:rPr>
              <w:t>Investigate organisational readiness perceptions</w:t>
            </w:r>
          </w:p>
        </w:tc>
        <w:tc>
          <w:tcPr>
            <w:tcW w:w="5360" w:type="dxa"/>
            <w:tcBorders>
              <w:top w:val="single" w:sz="1" w:space="0" w:color="808080"/>
              <w:left w:val="single" w:sz="1" w:space="0" w:color="808080"/>
              <w:bottom w:val="single" w:sz="1" w:space="0" w:color="808080"/>
              <w:right w:val="single" w:sz="1" w:space="0" w:color="808080"/>
            </w:tcBorders>
            <w:vAlign w:val="center"/>
          </w:tcPr>
          <w:p w14:paraId="7C09C50F" w14:textId="6FE90652" w:rsidR="008A4121" w:rsidRDefault="008A4121" w:rsidP="00F51536">
            <w:r>
              <w:rPr>
                <w:sz w:val="22"/>
                <w:szCs w:val="22"/>
              </w:rPr>
              <w:t xml:space="preserve">Moderate readiness (M=3.08); culture and leadership more influential than technical skills alone. Experience </w:t>
            </w:r>
            <w:r w:rsidR="006A1981">
              <w:rPr>
                <w:sz w:val="22"/>
                <w:szCs w:val="22"/>
              </w:rPr>
              <w:t>moderates’</w:t>
            </w:r>
            <w:r>
              <w:rPr>
                <w:sz w:val="22"/>
                <w:szCs w:val="22"/>
              </w:rPr>
              <w:t xml:space="preserve"> optimism—those implementing report more cautious assessments than non-implementers.</w:t>
            </w:r>
          </w:p>
        </w:tc>
      </w:tr>
      <w:tr w:rsidR="008A4121" w14:paraId="1560952F" w14:textId="77777777" w:rsidTr="00F51536">
        <w:tc>
          <w:tcPr>
            <w:tcW w:w="600" w:type="dxa"/>
            <w:tcBorders>
              <w:top w:val="single" w:sz="1" w:space="0" w:color="808080"/>
              <w:left w:val="single" w:sz="1" w:space="0" w:color="808080"/>
              <w:bottom w:val="single" w:sz="1" w:space="0" w:color="808080"/>
              <w:right w:val="single" w:sz="1" w:space="0" w:color="808080"/>
            </w:tcBorders>
            <w:vAlign w:val="center"/>
          </w:tcPr>
          <w:p w14:paraId="45ED4205" w14:textId="77777777" w:rsidR="008A4121" w:rsidRDefault="008A4121" w:rsidP="00F51536">
            <w:r>
              <w:rPr>
                <w:sz w:val="22"/>
                <w:szCs w:val="22"/>
              </w:rPr>
              <w:t>6</w:t>
            </w:r>
          </w:p>
        </w:tc>
        <w:tc>
          <w:tcPr>
            <w:tcW w:w="3400" w:type="dxa"/>
            <w:tcBorders>
              <w:top w:val="single" w:sz="1" w:space="0" w:color="808080"/>
              <w:left w:val="single" w:sz="1" w:space="0" w:color="808080"/>
              <w:bottom w:val="single" w:sz="1" w:space="0" w:color="808080"/>
              <w:right w:val="single" w:sz="1" w:space="0" w:color="808080"/>
            </w:tcBorders>
            <w:vAlign w:val="center"/>
          </w:tcPr>
          <w:p w14:paraId="3A0AA484" w14:textId="77777777" w:rsidR="008A4121" w:rsidRDefault="008A4121" w:rsidP="00F51536">
            <w:r>
              <w:rPr>
                <w:sz w:val="22"/>
                <w:szCs w:val="22"/>
              </w:rPr>
              <w:t>Develop practice-informed insights for FE sector</w:t>
            </w:r>
          </w:p>
        </w:tc>
        <w:tc>
          <w:tcPr>
            <w:tcW w:w="5360" w:type="dxa"/>
            <w:tcBorders>
              <w:top w:val="single" w:sz="1" w:space="0" w:color="808080"/>
              <w:left w:val="single" w:sz="1" w:space="0" w:color="808080"/>
              <w:bottom w:val="single" w:sz="1" w:space="0" w:color="808080"/>
              <w:right w:val="single" w:sz="1" w:space="0" w:color="808080"/>
            </w:tcBorders>
            <w:vAlign w:val="center"/>
          </w:tcPr>
          <w:p w14:paraId="4556289B" w14:textId="77777777" w:rsidR="008A4121" w:rsidRDefault="008A4121" w:rsidP="00F51536">
            <w:r>
              <w:rPr>
                <w:sz w:val="22"/>
                <w:szCs w:val="22"/>
              </w:rPr>
              <w:t>Phased approach required; demonstration effect enables progressive investment; interoperability must be procurement criterion; sector-specific guidance needed for public-sector constraints.</w:t>
            </w:r>
          </w:p>
        </w:tc>
      </w:tr>
    </w:tbl>
    <w:p w14:paraId="3547DB81" w14:textId="77777777" w:rsidR="008A4121" w:rsidRDefault="008A4121" w:rsidP="008A4121">
      <w:pPr>
        <w:spacing w:after="200"/>
      </w:pPr>
    </w:p>
    <w:p w14:paraId="17F33E62" w14:textId="24E5E19F" w:rsidR="00C01AF6" w:rsidRDefault="008A4121" w:rsidP="008A4121">
      <w:pPr>
        <w:spacing w:after="200" w:line="360" w:lineRule="auto"/>
      </w:pPr>
      <w:r>
        <w:lastRenderedPageBreak/>
        <w:t xml:space="preserve">In summary, the research concludes that API-driven AI and Digital Twin technologies can significantly enhance sustainability in post-construction M&amp;E systems through improved energy optimisation, predictive maintenance, and data-driven decision-making. </w:t>
      </w:r>
      <w:r w:rsidR="00C43D8E">
        <w:t>R</w:t>
      </w:r>
      <w:r>
        <w:t>ealising this potential requires addressing interconnected barriers through integrated socio-technical interventions rather than isolated technological solutions. Through the lens of technology adoption theory, the findings reveal that perceived usefulness is well-established (Davis, 1989), but perceived ease of use remains constrained by implementation uncertainty, while facilitating conditions (Venkatesh et al., 2003) are systematically undermined by public-sector funding and procurement structures.</w:t>
      </w:r>
    </w:p>
    <w:p w14:paraId="03A6D57D" w14:textId="77777777" w:rsidR="008A4121" w:rsidRDefault="008A4121" w:rsidP="008A4121">
      <w:pPr>
        <w:pStyle w:val="Heading2"/>
      </w:pPr>
      <w:bookmarkStart w:id="196" w:name="_Toc220152239"/>
      <w:r>
        <w:rPr>
          <w:b/>
          <w:bCs/>
        </w:rPr>
        <w:t>6.4 Contribution to Knowledge and Practice</w:t>
      </w:r>
      <w:bookmarkEnd w:id="196"/>
    </w:p>
    <w:p w14:paraId="3258D668" w14:textId="77777777" w:rsidR="008A4121" w:rsidRDefault="008A4121" w:rsidP="008A4121">
      <w:pPr>
        <w:pStyle w:val="Heading3"/>
      </w:pPr>
      <w:bookmarkStart w:id="197" w:name="_Toc220152240"/>
      <w:r>
        <w:rPr>
          <w:b/>
          <w:bCs/>
        </w:rPr>
        <w:t>6.4.1 Contribution to Knowledge</w:t>
      </w:r>
      <w:bookmarkEnd w:id="197"/>
    </w:p>
    <w:p w14:paraId="15261DE3" w14:textId="1131FCC3" w:rsidR="008A4121" w:rsidRDefault="008A4121" w:rsidP="008A4121">
      <w:pPr>
        <w:spacing w:after="200" w:line="360" w:lineRule="auto"/>
      </w:pPr>
      <w:r>
        <w:t xml:space="preserve">This research makes </w:t>
      </w:r>
      <w:r w:rsidR="0094604D">
        <w:t>distinct</w:t>
      </w:r>
      <w:r>
        <w:t xml:space="preserve"> contributions to the academic literature on AI and Digital Twin adoption in the built environment. First, the study addresses a recognised gap by providing empirical evidence on post-construction implementation challenges, extending discourse beyond design-stage applications and simulation studies that dominate existing research (Deng, Menassa and Kamat, 2021). The findings confirm and contextualise the 10</w:t>
      </w:r>
      <w:r w:rsidR="0086733B">
        <w:t>-</w:t>
      </w:r>
      <w:r>
        <w:t>38% energy savings documented in systematic review literature while revealing the conditions necessary for benefit realisation in practice.</w:t>
      </w:r>
    </w:p>
    <w:p w14:paraId="72555997" w14:textId="1B4FD258" w:rsidR="008A4121" w:rsidRDefault="008A4121" w:rsidP="008A4121">
      <w:pPr>
        <w:spacing w:after="200" w:line="360" w:lineRule="auto"/>
      </w:pPr>
      <w:r>
        <w:t>Second, the focus on the Further Education sector contributes understanding of technology adoption in public-sector contexts characterised by resource constraints and complex governance</w:t>
      </w:r>
      <w:r w:rsidR="00142B54">
        <w:t>.</w:t>
      </w:r>
      <w:r>
        <w:t xml:space="preserve"> The findings extend technology adoption theory (TAM, UTAUT, Diffusion of Innovations) to Digital Twin contexts, demonstrating the particular importance of facilitating conditions and observability in resource-constrained environments.</w:t>
      </w:r>
    </w:p>
    <w:p w14:paraId="0216EBAD" w14:textId="5A086542" w:rsidR="00202541" w:rsidRDefault="008A4121" w:rsidP="008A4121">
      <w:pPr>
        <w:spacing w:after="200" w:line="360" w:lineRule="auto"/>
      </w:pPr>
      <w:r>
        <w:t>Third, the three-domain conceptual framework integrating Technological Capability, Human and Organisational Readiness, and Policy and Governance Alignment proved effective for organising analysis and identifying interdependencies. This framework, grounded in socio-technical systems theory (Boje et al., 2020), may inform future research examining digital transformation in comparable built environment contexts.</w:t>
      </w:r>
      <w:r w:rsidR="00237F05">
        <w:t xml:space="preserve"> </w:t>
      </w:r>
      <w:r w:rsidR="00237F05" w:rsidRPr="00237F05">
        <w:t xml:space="preserve">More specifically, the counterintuitive familiarity-barrier </w:t>
      </w:r>
      <w:r w:rsidR="00237F05" w:rsidRPr="00237F05">
        <w:lastRenderedPageBreak/>
        <w:t>relationship challenges TAM's assumption that knowledge reduces adoption resistance in complex implementation contexts.</w:t>
      </w:r>
    </w:p>
    <w:p w14:paraId="2D0E4C8E" w14:textId="445C0026" w:rsidR="00C01AF6" w:rsidRDefault="008A4121" w:rsidP="008A4121">
      <w:pPr>
        <w:spacing w:after="200" w:line="360" w:lineRule="auto"/>
      </w:pPr>
      <w:r>
        <w:t>Fourth, the identification of the 'demonstration effect' as a mechanism for progressive adoption contributes to understanding of technology diffusion dynamics, suggesting that Rogers's (2003) observability characteristic is particularly salient in contexts where resource constraints demand rigorous benefit justification.</w:t>
      </w:r>
    </w:p>
    <w:p w14:paraId="6D038D32" w14:textId="77777777" w:rsidR="008A4121" w:rsidRDefault="008A4121" w:rsidP="008A4121">
      <w:pPr>
        <w:pStyle w:val="Heading3"/>
      </w:pPr>
      <w:bookmarkStart w:id="198" w:name="_Toc220152241"/>
      <w:r>
        <w:rPr>
          <w:b/>
          <w:bCs/>
        </w:rPr>
        <w:t>6.4.2 Contribution to Practice</w:t>
      </w:r>
      <w:bookmarkEnd w:id="198"/>
    </w:p>
    <w:p w14:paraId="3C4CBAE3" w14:textId="77777777" w:rsidR="008A4121" w:rsidRDefault="008A4121" w:rsidP="008A4121">
      <w:pPr>
        <w:spacing w:after="200" w:line="360" w:lineRule="auto"/>
      </w:pPr>
      <w:r>
        <w:t>From a practical perspective, the research offers value to multiple stakeholder groups. Facilities managers and estates directors gain evidence-based insight into adoption barriers and enablers, supporting strategic planning and investment justification. The finding that verified benefits (such as the 18% gas reduction reported) strengthen business cases for further investment provides a practical mechanism for progressive capability building. Consultants and engineers involved in retrofit and decarbonisation projects can draw on findings regarding interoperability requirements, with specific reference to REST APIs, NGSI-LD standards, and open-protocol specifications that emerged from both literature review and practitioner accounts.</w:t>
      </w:r>
    </w:p>
    <w:p w14:paraId="0B8B9BA7" w14:textId="3CB0AA4E" w:rsidR="00C01AF6" w:rsidRDefault="008A4121" w:rsidP="008A4121">
      <w:pPr>
        <w:spacing w:after="200" w:line="360" w:lineRule="auto"/>
      </w:pPr>
      <w:r>
        <w:t>Institutional leaders developing sustainability strategies receive empirically grounded guidance on the conditions required for successful Digital Twin deployment, including the importance of measurement infrastructure, workforce development, and multi-year investment planning. The research confirms that technology alone does not deliver sustainability outcomes; organisational capacity to act on generated insights proves equally critical.</w:t>
      </w:r>
    </w:p>
    <w:p w14:paraId="35861C48" w14:textId="77777777" w:rsidR="008A4121" w:rsidRDefault="008A4121" w:rsidP="008A4121">
      <w:pPr>
        <w:pStyle w:val="Heading2"/>
      </w:pPr>
      <w:bookmarkStart w:id="199" w:name="_Toc220152242"/>
      <w:r>
        <w:rPr>
          <w:b/>
          <w:bCs/>
        </w:rPr>
        <w:t>6.5 Recommendations</w:t>
      </w:r>
      <w:bookmarkEnd w:id="199"/>
    </w:p>
    <w:p w14:paraId="74F7CDBF" w14:textId="77777777" w:rsidR="008A4121" w:rsidRDefault="008A4121" w:rsidP="008A4121">
      <w:pPr>
        <w:spacing w:after="200" w:line="360" w:lineRule="auto"/>
      </w:pPr>
      <w:r>
        <w:t>Based on the research findings and their interpretation through technology adoption frameworks, recommendations are presented for three stakeholder groups: industry practitioners, policymakers and institutional leaders, and researchers.</w:t>
      </w:r>
    </w:p>
    <w:p w14:paraId="7FEB0843" w14:textId="77777777" w:rsidR="009C7098" w:rsidRDefault="009C7098" w:rsidP="008A4121">
      <w:pPr>
        <w:spacing w:after="200" w:line="360" w:lineRule="auto"/>
      </w:pPr>
    </w:p>
    <w:p w14:paraId="483742D7" w14:textId="4E61FC83" w:rsidR="00CD0E8E" w:rsidRPr="00CD0E8E" w:rsidRDefault="00CD0E8E" w:rsidP="00CD0E8E">
      <w:pPr>
        <w:pStyle w:val="Caption"/>
        <w:keepNext/>
        <w:rPr>
          <w:b/>
          <w:bCs/>
          <w:color w:val="auto"/>
          <w:sz w:val="20"/>
          <w:szCs w:val="20"/>
        </w:rPr>
      </w:pPr>
      <w:bookmarkStart w:id="200" w:name="_Toc220152003"/>
      <w:bookmarkStart w:id="201" w:name="_Toc223077251"/>
      <w:bookmarkStart w:id="202" w:name="_Toc223079147"/>
      <w:r w:rsidRPr="00CD0E8E">
        <w:rPr>
          <w:b/>
          <w:bCs/>
          <w:color w:val="auto"/>
          <w:sz w:val="20"/>
          <w:szCs w:val="20"/>
        </w:rPr>
        <w:t xml:space="preserve">Table </w:t>
      </w:r>
      <w:r w:rsidR="004D4AE1">
        <w:rPr>
          <w:b/>
          <w:bCs/>
          <w:color w:val="auto"/>
          <w:sz w:val="20"/>
          <w:szCs w:val="20"/>
        </w:rPr>
        <w:t>6</w:t>
      </w:r>
      <w:r w:rsidRPr="00CD0E8E">
        <w:rPr>
          <w:b/>
          <w:bCs/>
          <w:color w:val="auto"/>
          <w:sz w:val="20"/>
          <w:szCs w:val="20"/>
        </w:rPr>
        <w:t>.</w:t>
      </w:r>
      <w:r w:rsidR="00E10041">
        <w:rPr>
          <w:b/>
          <w:bCs/>
          <w:color w:val="auto"/>
          <w:sz w:val="20"/>
          <w:szCs w:val="20"/>
        </w:rPr>
        <w:fldChar w:fldCharType="begin"/>
      </w:r>
      <w:r w:rsidR="00E10041">
        <w:rPr>
          <w:b/>
          <w:bCs/>
          <w:color w:val="auto"/>
          <w:sz w:val="20"/>
          <w:szCs w:val="20"/>
        </w:rPr>
        <w:instrText xml:space="preserve"> SEQ Table \* ARABIC \s 1 </w:instrText>
      </w:r>
      <w:r w:rsidR="00E10041">
        <w:rPr>
          <w:b/>
          <w:bCs/>
          <w:color w:val="auto"/>
          <w:sz w:val="20"/>
          <w:szCs w:val="20"/>
        </w:rPr>
        <w:fldChar w:fldCharType="separate"/>
      </w:r>
      <w:r w:rsidR="00E10041">
        <w:rPr>
          <w:b/>
          <w:bCs/>
          <w:noProof/>
          <w:color w:val="auto"/>
          <w:sz w:val="20"/>
          <w:szCs w:val="20"/>
        </w:rPr>
        <w:t>3</w:t>
      </w:r>
      <w:r w:rsidR="00E10041">
        <w:rPr>
          <w:b/>
          <w:bCs/>
          <w:color w:val="auto"/>
          <w:sz w:val="20"/>
          <w:szCs w:val="20"/>
        </w:rPr>
        <w:fldChar w:fldCharType="end"/>
      </w:r>
      <w:r w:rsidRPr="00CD0E8E">
        <w:rPr>
          <w:b/>
          <w:bCs/>
          <w:color w:val="auto"/>
          <w:sz w:val="20"/>
          <w:szCs w:val="20"/>
        </w:rPr>
        <w:t>: Summary of Recommendations by Stakeholder Group</w:t>
      </w:r>
      <w:bookmarkEnd w:id="200"/>
      <w:bookmarkEnd w:id="201"/>
      <w:bookmarkEnd w:id="202"/>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40"/>
        <w:gridCol w:w="6684"/>
      </w:tblGrid>
      <w:tr w:rsidR="008A4121" w14:paraId="73DB79CF" w14:textId="77777777" w:rsidTr="00BE29C7">
        <w:trPr>
          <w:tblHeader/>
        </w:trPr>
        <w:tc>
          <w:tcPr>
            <w:tcW w:w="2400" w:type="dxa"/>
            <w:tcBorders>
              <w:top w:val="single" w:sz="1" w:space="0" w:color="808080"/>
              <w:left w:val="single" w:sz="1" w:space="0" w:color="808080"/>
              <w:bottom w:val="single" w:sz="1" w:space="0" w:color="808080"/>
              <w:right w:val="single" w:sz="1" w:space="0" w:color="808080"/>
            </w:tcBorders>
            <w:shd w:val="clear" w:color="auto" w:fill="D9E2F3"/>
          </w:tcPr>
          <w:p w14:paraId="5EF6B65E" w14:textId="77777777" w:rsidR="008A4121" w:rsidRDefault="008A4121" w:rsidP="00BE29C7">
            <w:pPr>
              <w:jc w:val="center"/>
            </w:pPr>
            <w:r>
              <w:rPr>
                <w:b/>
                <w:bCs/>
                <w:sz w:val="22"/>
                <w:szCs w:val="22"/>
              </w:rPr>
              <w:t>Stakeholder Group</w:t>
            </w:r>
          </w:p>
        </w:tc>
        <w:tc>
          <w:tcPr>
            <w:tcW w:w="6960" w:type="dxa"/>
            <w:tcBorders>
              <w:top w:val="single" w:sz="1" w:space="0" w:color="808080"/>
              <w:left w:val="single" w:sz="1" w:space="0" w:color="808080"/>
              <w:bottom w:val="single" w:sz="1" w:space="0" w:color="808080"/>
              <w:right w:val="single" w:sz="1" w:space="0" w:color="808080"/>
            </w:tcBorders>
            <w:shd w:val="clear" w:color="auto" w:fill="D9E2F3"/>
          </w:tcPr>
          <w:p w14:paraId="39BF1D80" w14:textId="77777777" w:rsidR="008A4121" w:rsidRDefault="008A4121" w:rsidP="00BE29C7">
            <w:pPr>
              <w:jc w:val="center"/>
            </w:pPr>
            <w:r>
              <w:rPr>
                <w:b/>
                <w:bCs/>
                <w:sz w:val="22"/>
                <w:szCs w:val="22"/>
              </w:rPr>
              <w:t>Key Recommendations</w:t>
            </w:r>
          </w:p>
        </w:tc>
      </w:tr>
      <w:tr w:rsidR="008A4121" w14:paraId="761DAAA1" w14:textId="77777777" w:rsidTr="00F51536">
        <w:tc>
          <w:tcPr>
            <w:tcW w:w="2400" w:type="dxa"/>
            <w:tcBorders>
              <w:top w:val="single" w:sz="1" w:space="0" w:color="808080"/>
              <w:left w:val="single" w:sz="1" w:space="0" w:color="808080"/>
              <w:bottom w:val="single" w:sz="1" w:space="0" w:color="808080"/>
              <w:right w:val="single" w:sz="1" w:space="0" w:color="808080"/>
            </w:tcBorders>
            <w:vAlign w:val="center"/>
          </w:tcPr>
          <w:p w14:paraId="45DCF0E3" w14:textId="77777777" w:rsidR="008A4121" w:rsidRDefault="008A4121" w:rsidP="00F51536">
            <w:r>
              <w:rPr>
                <w:sz w:val="22"/>
                <w:szCs w:val="22"/>
              </w:rPr>
              <w:t>Industry Practitioners</w:t>
            </w:r>
          </w:p>
        </w:tc>
        <w:tc>
          <w:tcPr>
            <w:tcW w:w="6960" w:type="dxa"/>
            <w:tcBorders>
              <w:top w:val="single" w:sz="1" w:space="0" w:color="808080"/>
              <w:left w:val="single" w:sz="1" w:space="0" w:color="808080"/>
              <w:bottom w:val="single" w:sz="1" w:space="0" w:color="808080"/>
              <w:right w:val="single" w:sz="1" w:space="0" w:color="808080"/>
            </w:tcBorders>
            <w:vAlign w:val="center"/>
          </w:tcPr>
          <w:p w14:paraId="48120384" w14:textId="77777777" w:rsidR="008A4121" w:rsidRDefault="008A4121" w:rsidP="00F51536">
            <w:r>
              <w:rPr>
                <w:sz w:val="22"/>
                <w:szCs w:val="22"/>
              </w:rPr>
              <w:t xml:space="preserve">(1) Adopt phased digital retrofit strategy—metering before analytics; (2) Specify open-protocol, API-ready systems during procurement; </w:t>
            </w:r>
            <w:r>
              <w:rPr>
                <w:sz w:val="22"/>
                <w:szCs w:val="22"/>
              </w:rPr>
              <w:lastRenderedPageBreak/>
              <w:t>(3) Invest in practical, role-specific workforce development; (4) Cultivate distributed champions across organisational levels; (5) Establish robust M&amp;V processes to enable demonstration effect</w:t>
            </w:r>
          </w:p>
        </w:tc>
      </w:tr>
      <w:tr w:rsidR="008A4121" w14:paraId="411D1930" w14:textId="77777777" w:rsidTr="00F51536">
        <w:tc>
          <w:tcPr>
            <w:tcW w:w="2400" w:type="dxa"/>
            <w:tcBorders>
              <w:top w:val="single" w:sz="1" w:space="0" w:color="808080"/>
              <w:left w:val="single" w:sz="1" w:space="0" w:color="808080"/>
              <w:bottom w:val="single" w:sz="1" w:space="0" w:color="808080"/>
              <w:right w:val="single" w:sz="1" w:space="0" w:color="808080"/>
            </w:tcBorders>
            <w:vAlign w:val="center"/>
          </w:tcPr>
          <w:p w14:paraId="6B27CDDC" w14:textId="77777777" w:rsidR="008A4121" w:rsidRDefault="008A4121" w:rsidP="00F51536">
            <w:r>
              <w:rPr>
                <w:sz w:val="22"/>
                <w:szCs w:val="22"/>
              </w:rPr>
              <w:lastRenderedPageBreak/>
              <w:t>Policymakers / Institutional Leaders</w:t>
            </w:r>
          </w:p>
        </w:tc>
        <w:tc>
          <w:tcPr>
            <w:tcW w:w="6960" w:type="dxa"/>
            <w:tcBorders>
              <w:top w:val="single" w:sz="1" w:space="0" w:color="808080"/>
              <w:left w:val="single" w:sz="1" w:space="0" w:color="808080"/>
              <w:bottom w:val="single" w:sz="1" w:space="0" w:color="808080"/>
              <w:right w:val="single" w:sz="1" w:space="0" w:color="808080"/>
            </w:tcBorders>
            <w:vAlign w:val="center"/>
          </w:tcPr>
          <w:p w14:paraId="711155FF" w14:textId="77777777" w:rsidR="008A4121" w:rsidRDefault="008A4121" w:rsidP="00F51536">
            <w:r>
              <w:rPr>
                <w:sz w:val="22"/>
                <w:szCs w:val="22"/>
              </w:rPr>
              <w:t>(1) Develop sector-specific Digital Twin guidance for FE/public sector; (2) Reform funding to support multi-year digital transformation; (3) Incorporate whole-life value and interoperability in procurement frameworks; (4) Integrate estates, IT, and sustainability governance functions; (5) Support sector-level interoperability standards development</w:t>
            </w:r>
          </w:p>
        </w:tc>
      </w:tr>
      <w:tr w:rsidR="008A4121" w14:paraId="3A37B857" w14:textId="77777777" w:rsidTr="00F51536">
        <w:tc>
          <w:tcPr>
            <w:tcW w:w="2400" w:type="dxa"/>
            <w:tcBorders>
              <w:top w:val="single" w:sz="1" w:space="0" w:color="808080"/>
              <w:left w:val="single" w:sz="1" w:space="0" w:color="808080"/>
              <w:bottom w:val="single" w:sz="1" w:space="0" w:color="808080"/>
              <w:right w:val="single" w:sz="1" w:space="0" w:color="808080"/>
            </w:tcBorders>
            <w:vAlign w:val="center"/>
          </w:tcPr>
          <w:p w14:paraId="145C2287" w14:textId="77777777" w:rsidR="008A4121" w:rsidRDefault="008A4121" w:rsidP="00F51536">
            <w:r>
              <w:rPr>
                <w:sz w:val="22"/>
                <w:szCs w:val="22"/>
              </w:rPr>
              <w:t>Researchers</w:t>
            </w:r>
          </w:p>
        </w:tc>
        <w:tc>
          <w:tcPr>
            <w:tcW w:w="6960" w:type="dxa"/>
            <w:tcBorders>
              <w:top w:val="single" w:sz="1" w:space="0" w:color="808080"/>
              <w:left w:val="single" w:sz="1" w:space="0" w:color="808080"/>
              <w:bottom w:val="single" w:sz="1" w:space="0" w:color="808080"/>
              <w:right w:val="single" w:sz="1" w:space="0" w:color="808080"/>
            </w:tcBorders>
            <w:vAlign w:val="center"/>
          </w:tcPr>
          <w:p w14:paraId="2DA55196" w14:textId="77777777" w:rsidR="008A4121" w:rsidRDefault="008A4121" w:rsidP="00F51536">
            <w:r>
              <w:rPr>
                <w:sz w:val="22"/>
                <w:szCs w:val="22"/>
              </w:rPr>
              <w:t>(1) Longitudinal studies tracking implementation journeys; (2) BIM-independent Digital Twin methods for existing buildings; (3) Comparative public/private sector adoption studies; (4) Action research developing and evaluating interventions; (5) Economic analysis of whole-life digital capability value</w:t>
            </w:r>
          </w:p>
        </w:tc>
      </w:tr>
    </w:tbl>
    <w:p w14:paraId="06A7BB13" w14:textId="77777777" w:rsidR="008A4121" w:rsidRDefault="008A4121" w:rsidP="008A4121">
      <w:pPr>
        <w:spacing w:after="200"/>
      </w:pPr>
    </w:p>
    <w:p w14:paraId="6BC076BB" w14:textId="77777777" w:rsidR="008A4121" w:rsidRDefault="008A4121" w:rsidP="008A4121">
      <w:pPr>
        <w:pStyle w:val="Heading3"/>
      </w:pPr>
      <w:bookmarkStart w:id="203" w:name="_Toc220152243"/>
      <w:r>
        <w:rPr>
          <w:b/>
          <w:bCs/>
        </w:rPr>
        <w:t>6.5.1 Recommendations for Industry Practice</w:t>
      </w:r>
      <w:bookmarkEnd w:id="203"/>
    </w:p>
    <w:p w14:paraId="5197D1ED" w14:textId="77777777" w:rsidR="008A4121" w:rsidRDefault="008A4121" w:rsidP="008A4121">
      <w:pPr>
        <w:spacing w:after="200" w:line="360" w:lineRule="auto"/>
      </w:pPr>
      <w:r>
        <w:t>Practitioners should adopt a phased digital retrofit strategy, beginning with improved metering, BMS optimisation, and data capture before progressing to advanced analytics and Digital Twin applications. This approach addresses Rogers's (2003) trialability characteristic by enabling small-scale experimentation before major investment, while building capability incrementally and generating demonstrable benefits that support business cases for further investment.</w:t>
      </w:r>
    </w:p>
    <w:p w14:paraId="485D63D0" w14:textId="77777777" w:rsidR="008A4121" w:rsidRDefault="008A4121" w:rsidP="008A4121">
      <w:pPr>
        <w:spacing w:after="200" w:line="360" w:lineRule="auto"/>
      </w:pPr>
      <w:r>
        <w:t>During refurbishment and plant replacement, specifications should mandate open-protocol, API-ready systems (such as BACnet, REST interfaces, and NGSI-LD compatible platforms) to avoid future interoperability constraints, even where immediate Digital Twin deployment is not planned. This recommendation addresses the compatibility barrier identified through Rogers's framework and responds to practitioner accounts of vendor lock-in constraining innovation.</w:t>
      </w:r>
    </w:p>
    <w:p w14:paraId="41CAFFEC" w14:textId="4AB178B7" w:rsidR="008A4121" w:rsidRDefault="008A4121" w:rsidP="008A4121">
      <w:pPr>
        <w:spacing w:after="200" w:line="360" w:lineRule="auto"/>
      </w:pPr>
      <w:r>
        <w:t>Investment in workforce development should accompany technology deployment, with emphasis on practical, role-specific training and peer learning rather than generic digital upskilling. Kensek (2015) emphasises sustained engagement over one-time training interventions. Cultivating champions at multiple organisational levels</w:t>
      </w:r>
      <w:r w:rsidR="0086733B">
        <w:t xml:space="preserve">, </w:t>
      </w:r>
      <w:r>
        <w:t>not merely executive sponsors but operational staff willing to experiment and share learning</w:t>
      </w:r>
      <w:r w:rsidR="0086733B">
        <w:t xml:space="preserve">, </w:t>
      </w:r>
      <w:r>
        <w:t>supports cultural change alongside technical capability (Kotter, 2012). Robust measurement and verification processes should be established from the outset, enabling the demonstration effect that catalyses progressive investment by enhancing observability of implementation benefits.</w:t>
      </w:r>
    </w:p>
    <w:p w14:paraId="23C8E703" w14:textId="77777777" w:rsidR="008A4121" w:rsidRDefault="008A4121" w:rsidP="008A4121">
      <w:pPr>
        <w:pStyle w:val="Heading3"/>
      </w:pPr>
      <w:bookmarkStart w:id="204" w:name="_Toc220152244"/>
      <w:r>
        <w:rPr>
          <w:b/>
          <w:bCs/>
        </w:rPr>
        <w:lastRenderedPageBreak/>
        <w:t>6.5.2 Recommendations for Policy and Institutional Leadership</w:t>
      </w:r>
      <w:bookmarkEnd w:id="204"/>
    </w:p>
    <w:p w14:paraId="6D53359B" w14:textId="77777777" w:rsidR="008A4121" w:rsidRDefault="008A4121" w:rsidP="008A4121">
      <w:pPr>
        <w:spacing w:after="200" w:line="360" w:lineRule="auto"/>
      </w:pPr>
      <w:r>
        <w:t>Policymakers should develop sector-specific guidance for Digital Twin adoption in existing public-sector and Further Education buildings, reflecting the budgetary and operational constraints that distinguish these contexts from commercial settings. The Infrastructure and Projects Authority (2021) roadmap identifies Digital Twins as enabling technologies; translating this recognition into practical implementation support for existing buildings represents an actionable policy development.</w:t>
      </w:r>
    </w:p>
    <w:p w14:paraId="2C3C5B25" w14:textId="19B45BE1" w:rsidR="008A4121" w:rsidRDefault="008A4121" w:rsidP="008A4121">
      <w:pPr>
        <w:spacing w:after="200" w:line="360" w:lineRule="auto"/>
      </w:pPr>
      <w:r>
        <w:t>Funding mechanisms should support multi-year digital transformation rather than annual capital allocation cycles that fragment strategic investment</w:t>
      </w:r>
      <w:r w:rsidR="0086733B">
        <w:t xml:space="preserve">, </w:t>
      </w:r>
      <w:r>
        <w:t xml:space="preserve">directly addressing the facilitating conditions barrier identified through UTAUT analysis. Procurement frameworks should incorporate whole-life value and interoperability requirements, preventing the systematic value-engineering of digital capability that currently undermines future innovation potential. Welsh Government might consider designating FE sector demonstrator projects to catalyse </w:t>
      </w:r>
      <w:r w:rsidR="006A1981">
        <w:t>learning,</w:t>
      </w:r>
      <w:r>
        <w:t xml:space="preserve"> and evidence benefits applicable across the educational estate, leveraging the demonstration effect mechanism this research has identified.</w:t>
      </w:r>
    </w:p>
    <w:p w14:paraId="22815A35" w14:textId="77777777" w:rsidR="008A4121" w:rsidRDefault="008A4121" w:rsidP="008A4121">
      <w:pPr>
        <w:spacing w:after="200" w:line="360" w:lineRule="auto"/>
      </w:pPr>
      <w:r>
        <w:t>Institutional leaders should encourage stronger integration between estates, IT, and sustainability functions to support coordinated digital governance and data management. The development of interoperability standards and reference architectures at sector level would reduce uncertainty and vendor lock-in concerns that currently impede adoption decisions, enhancing perceived ease of use as characterised by Davis's (1989) TAM framework.</w:t>
      </w:r>
    </w:p>
    <w:p w14:paraId="576E6CD5" w14:textId="77777777" w:rsidR="008A4121" w:rsidRDefault="008A4121" w:rsidP="008A4121">
      <w:pPr>
        <w:pStyle w:val="Heading3"/>
      </w:pPr>
      <w:bookmarkStart w:id="205" w:name="_Toc220152245"/>
      <w:r>
        <w:rPr>
          <w:b/>
          <w:bCs/>
        </w:rPr>
        <w:t>6.5.3 Recommendations for Future Research</w:t>
      </w:r>
      <w:bookmarkEnd w:id="205"/>
    </w:p>
    <w:p w14:paraId="42520F74" w14:textId="22EFCAA1" w:rsidR="008A4121" w:rsidRDefault="008A4121" w:rsidP="008A4121">
      <w:pPr>
        <w:spacing w:after="200" w:line="360" w:lineRule="auto"/>
      </w:pPr>
      <w:r>
        <w:t xml:space="preserve">Future research should address limitations of the current study through longitudinal investigation tracking organisations through Digital Twin implementation journeys, enabling analysis of how barriers are navigated and benefits realised over time. Such research would </w:t>
      </w:r>
      <w:r w:rsidR="00911421">
        <w:t>assess</w:t>
      </w:r>
      <w:r>
        <w:t xml:space="preserve"> whether the familiarity-barrier correlation (r=0.60) identified in this study reflects a causal relationship whereby knowledge development leads to more realistic assessment.</w:t>
      </w:r>
    </w:p>
    <w:p w14:paraId="0C375857" w14:textId="76A8E427" w:rsidR="00D33A1C" w:rsidRDefault="00142B54" w:rsidP="008A4121">
      <w:pPr>
        <w:spacing w:after="200" w:line="360" w:lineRule="auto"/>
      </w:pPr>
      <w:r w:rsidRPr="00142B54">
        <w:t xml:space="preserve">Technical research developing Digital Twin methods independent of BIM data would address the 'interactivity gap' in pre-2001 building stock </w:t>
      </w:r>
      <w:r>
        <w:t>(</w:t>
      </w:r>
      <w:r w:rsidR="008A4121">
        <w:t>Cespedes-Cubides and Jradi</w:t>
      </w:r>
      <w:r>
        <w:t>,</w:t>
      </w:r>
      <w:r w:rsidR="008A4121">
        <w:t xml:space="preserve"> 2024). Comparative studies across public and private sectors would illuminate </w:t>
      </w:r>
      <w:r w:rsidR="008A4121">
        <w:lastRenderedPageBreak/>
        <w:t xml:space="preserve">how governance context shapes adoption trajectories, </w:t>
      </w:r>
      <w:r w:rsidR="00911421">
        <w:t>assessing</w:t>
      </w:r>
      <w:r w:rsidR="008A4121">
        <w:t xml:space="preserve"> the generalisability of UTAUT's facilitating conditions construct. Action research collaboratively developing and evaluating interventions could generate practical guidance for addressing identified barriers, while economic analysis quantifying whole-life value of digital capability investment would inform procurement framework reform.</w:t>
      </w:r>
    </w:p>
    <w:p w14:paraId="4C287111" w14:textId="77777777" w:rsidR="008A4121" w:rsidRDefault="008A4121" w:rsidP="008A4121">
      <w:pPr>
        <w:pStyle w:val="Heading2"/>
      </w:pPr>
      <w:bookmarkStart w:id="206" w:name="_Toc220152246"/>
      <w:r>
        <w:rPr>
          <w:b/>
          <w:bCs/>
        </w:rPr>
        <w:t>6.6 Reflections on the Research Process</w:t>
      </w:r>
      <w:bookmarkEnd w:id="206"/>
    </w:p>
    <w:p w14:paraId="46868838" w14:textId="2E4365F9" w:rsidR="008A4121" w:rsidRDefault="008A4121" w:rsidP="008A4121">
      <w:pPr>
        <w:spacing w:after="200" w:line="360" w:lineRule="auto"/>
      </w:pPr>
      <w:r>
        <w:t>The mixed-methods approach proved effective for addressing the research questions, with quantitative data providing breadth of coverage across 87 built environment professionals and qualitative interviews offering explanatory depth from six FE sector stakeholders. The convergent parallel design (Creswell and Creswell, 2023) enabled systematic triangulation that strengthened findings where strands converged</w:t>
      </w:r>
      <w:r w:rsidR="0086733B">
        <w:t xml:space="preserve">, </w:t>
      </w:r>
      <w:r>
        <w:t>such as the prominence of interoperability barriers</w:t>
      </w:r>
      <w:r w:rsidR="0086733B">
        <w:t xml:space="preserve">, </w:t>
      </w:r>
      <w:r>
        <w:t>while illuminating complexity where they diverged, such as the relationship between readiness self-assessment and implementation experience.</w:t>
      </w:r>
      <w:r w:rsidR="00654EE4">
        <w:t xml:space="preserve"> </w:t>
      </w:r>
      <w:r w:rsidR="00654EE4" w:rsidRPr="00654EE4">
        <w:t>In accordance with UWTSD academic integrity guidelines, AI use throughout this research is transparently acknowledged in Appendix H.</w:t>
      </w:r>
    </w:p>
    <w:p w14:paraId="3224AD87" w14:textId="737C83D0" w:rsidR="008A4121" w:rsidRDefault="008A4121" w:rsidP="008A4121">
      <w:pPr>
        <w:spacing w:after="200" w:line="360" w:lineRule="auto"/>
      </w:pPr>
      <w:r>
        <w:t xml:space="preserve">The three-domain conceptual framework guided coherent analysis across both research strands, demonstrating the value of </w:t>
      </w:r>
      <w:r w:rsidR="00142B54">
        <w:t>theoretically informed</w:t>
      </w:r>
      <w:r>
        <w:t xml:space="preserve"> frameworks for organising complex socio-technical phenomena. The deductive thematic analysis approach (Braun and Clarke, 2022), using codes derived from the conceptual framework and survey constructs, enabled systematic comparison between quantitative patterns and qualitative explanations.</w:t>
      </w:r>
    </w:p>
    <w:p w14:paraId="79303995" w14:textId="665BD5D3" w:rsidR="00C01AF6" w:rsidRDefault="008A4121" w:rsidP="008A4121">
      <w:pPr>
        <w:spacing w:after="200" w:line="360" w:lineRule="auto"/>
      </w:pPr>
      <w:r>
        <w:t xml:space="preserve">Limitations should be acknowledged. The non-probability sampling approach constrains generalisability; findings should be interpreted as indicative of patterns within the accessible population rather than representative of all built environment professionals (Bryman, 2021). The cross-sectional design captures perceptions at a single point, precluding causal inference. The qualitative sample, while achieving thematic saturation within the South Wales FE context (Guest, </w:t>
      </w:r>
      <w:r w:rsidR="006A1981">
        <w:t>Bunce,</w:t>
      </w:r>
      <w:r>
        <w:t xml:space="preserve"> and Johnson, 2006), may not capture perspectives from other regions or sectors. These limitations suggest caution in extrapolating findings while indicating directions for future research outlined above.</w:t>
      </w:r>
    </w:p>
    <w:p w14:paraId="6251440F" w14:textId="77777777" w:rsidR="008A4121" w:rsidRDefault="008A4121" w:rsidP="008A4121">
      <w:pPr>
        <w:pStyle w:val="Heading2"/>
      </w:pPr>
      <w:bookmarkStart w:id="207" w:name="_Toc220152247"/>
      <w:r>
        <w:rPr>
          <w:b/>
          <w:bCs/>
        </w:rPr>
        <w:lastRenderedPageBreak/>
        <w:t>6.7 Concluding Statement</w:t>
      </w:r>
      <w:bookmarkEnd w:id="207"/>
    </w:p>
    <w:p w14:paraId="62ACE663" w14:textId="34053B73" w:rsidR="008A4121" w:rsidRDefault="008A4121" w:rsidP="008A4121">
      <w:pPr>
        <w:spacing w:after="200" w:line="360" w:lineRule="auto"/>
      </w:pPr>
      <w:r>
        <w:t>This research has demonstrated that AI-enabled Digital Twins offer substantial potential for enhancing sustainability in post-construction M&amp;E systems, with practitioners recognising benefits including energy efficiency improvement (supported by the systematic review evidence of 10</w:t>
      </w:r>
      <w:r w:rsidR="0086733B">
        <w:t>-</w:t>
      </w:r>
      <w:r>
        <w:t xml:space="preserve">38% savings), predictive maintenance capability (endorsed by 94.3% of respondents), and enhanced operational decision-making. </w:t>
      </w:r>
      <w:r w:rsidR="00C43D8E">
        <w:t>R</w:t>
      </w:r>
      <w:r>
        <w:t>ealising this potential in existing building contexts</w:t>
      </w:r>
      <w:r w:rsidR="0086733B">
        <w:t xml:space="preserve">, </w:t>
      </w:r>
      <w:r>
        <w:t>particularly within resource-constrained public-sector estates</w:t>
      </w:r>
      <w:r w:rsidR="0086733B">
        <w:t xml:space="preserve">, </w:t>
      </w:r>
      <w:r>
        <w:t>requires addressing interconnected technical, organisational, and structural barriers through integrated socio-technical approaches.</w:t>
      </w:r>
    </w:p>
    <w:p w14:paraId="1E0F563C" w14:textId="77777777" w:rsidR="008A4121" w:rsidRDefault="008A4121" w:rsidP="008A4121">
      <w:pPr>
        <w:spacing w:after="200" w:line="360" w:lineRule="auto"/>
      </w:pPr>
      <w:r>
        <w:t>The findings suggest that the limiting factors are not technological capability or practitioner interest, but structural constraints embedded in funding models, procurement practices, and legacy infrastructure. Through the lens of technology adoption theory, perceived usefulness is well-established while perceived ease of use and facilitating conditions remain significantly constrained. Moving beyond fragmented, opportunistic adoption toward strategic digital transformation aligned with Net-Zero objectives will require coordinated intervention across policy, institutional, and operational domains.</w:t>
      </w:r>
    </w:p>
    <w:p w14:paraId="4D6BEF59" w14:textId="3FD7874B" w:rsidR="008A4121" w:rsidRDefault="008A4121" w:rsidP="008A4121">
      <w:pPr>
        <w:spacing w:after="200" w:line="360" w:lineRule="auto"/>
      </w:pPr>
      <w:r>
        <w:t>The demonstration effect</w:t>
      </w:r>
      <w:r w:rsidR="004535EA">
        <w:t xml:space="preserve">, </w:t>
      </w:r>
      <w:r>
        <w:t>whereby evidenced benefits catalyse further investment</w:t>
      </w:r>
      <w:r w:rsidR="004535EA">
        <w:t xml:space="preserve">, </w:t>
      </w:r>
      <w:r>
        <w:t xml:space="preserve">offers a mechanism for progressive capability </w:t>
      </w:r>
      <w:r w:rsidR="006A1981">
        <w:t>building but</w:t>
      </w:r>
      <w:r>
        <w:t xml:space="preserve"> depends on initial investment in monitoring infrastructure and measurement practices that enable value to be quantified and communicated. The Welsh Further Education sector, with its established inter-college communication channels and shared sustainability imperatives, represents an opportunity for collaborative learning and sector-wide capability development.</w:t>
      </w:r>
    </w:p>
    <w:p w14:paraId="66FE07B4" w14:textId="33740FF3" w:rsidR="008A4121" w:rsidRDefault="008A4121" w:rsidP="00037856">
      <w:pPr>
        <w:spacing w:after="200" w:line="360" w:lineRule="auto"/>
      </w:pPr>
      <w:r>
        <w:t xml:space="preserve">As the built environment sector confronts the imperative of decarbonisation, the integration of AI and Digital Twin technologies into post-construction building management represents both a significant opportunity and a complex challenge. This research contributes to understanding that challenge by providing empirical evidence from practitioner perspectives, identifying the conditions under which implementation succeeds, and offering recommendations for stakeholders seeking to advance sustainable building operations through digital innovation. The three-domain framework and adoption theory integration provide analytical tools that may </w:t>
      </w:r>
      <w:r>
        <w:lastRenderedPageBreak/>
        <w:t>inform future research and practice in comparable contexts facing similar technological and organisational transitions.</w:t>
      </w:r>
      <w:r w:rsidR="00037856">
        <w:br w:type="page"/>
      </w:r>
    </w:p>
    <w:p w14:paraId="4A4A490A" w14:textId="77777777" w:rsidR="00BA6E21" w:rsidRDefault="00BA6E21" w:rsidP="0025438A">
      <w:pPr>
        <w:pStyle w:val="Title"/>
        <w:jc w:val="center"/>
      </w:pPr>
      <w:r>
        <w:rPr>
          <w:b/>
          <w:bCs/>
        </w:rPr>
        <w:lastRenderedPageBreak/>
        <w:t>Reference List</w:t>
      </w:r>
    </w:p>
    <w:p w14:paraId="1EE0EE22" w14:textId="77777777" w:rsidR="00BA6E21" w:rsidRPr="0025438A" w:rsidRDefault="00BA6E21" w:rsidP="0025438A">
      <w:pPr>
        <w:pStyle w:val="Subtitle"/>
        <w:jc w:val="center"/>
        <w:rPr>
          <w:i/>
          <w:iCs/>
          <w:color w:val="000000" w:themeColor="text1"/>
          <w:sz w:val="20"/>
          <w:szCs w:val="20"/>
        </w:rPr>
      </w:pPr>
      <w:r w:rsidRPr="0025438A">
        <w:rPr>
          <w:i/>
          <w:iCs/>
          <w:color w:val="000000" w:themeColor="text1"/>
          <w:sz w:val="20"/>
          <w:szCs w:val="20"/>
        </w:rPr>
        <w:t>References formatted in accordance with UWTSD Harvard referencing guidelines (Version 1.5, 2025)</w:t>
      </w:r>
    </w:p>
    <w:p w14:paraId="3D8C486C" w14:textId="77777777" w:rsidR="0025438A" w:rsidRDefault="0025438A" w:rsidP="0025438A">
      <w:pPr>
        <w:spacing w:after="160" w:line="259" w:lineRule="auto"/>
      </w:pPr>
    </w:p>
    <w:p w14:paraId="684FD5B0" w14:textId="5A87D4E5" w:rsidR="00024598" w:rsidRPr="00DC4370" w:rsidRDefault="00024598" w:rsidP="00C01AF6">
      <w:pPr>
        <w:spacing w:after="160"/>
        <w:rPr>
          <w:rFonts w:eastAsia="Times New Roman"/>
        </w:rPr>
      </w:pPr>
      <w:r w:rsidRPr="00DC4370">
        <w:rPr>
          <w:rFonts w:eastAsia="Times New Roman"/>
        </w:rPr>
        <w:t xml:space="preserve">Amangeldy, B., Tasmurzayev, N., Imankulov, T., Baigarayeva, Z., Izmailov, N., Riza, T., Abdukarimov, A., Mukazhan, M. and Zhumagulov, B. (2025) 'AI-powered building ecosystems: a narrative mapping review on the integration of Digital Twins and LLMs for proactive comfort, IEQ, and energy management', </w:t>
      </w:r>
      <w:r w:rsidRPr="00DC4370">
        <w:rPr>
          <w:rFonts w:eastAsia="Times New Roman"/>
          <w:i/>
          <w:iCs/>
        </w:rPr>
        <w:t>Sensors</w:t>
      </w:r>
      <w:r w:rsidRPr="00DC4370">
        <w:rPr>
          <w:rFonts w:eastAsia="Times New Roman"/>
        </w:rPr>
        <w:t xml:space="preserve">, 25(17), article 5265. Available at: </w:t>
      </w:r>
      <w:hyperlink r:id="rId28" w:history="1">
        <w:r w:rsidRPr="00DC4370">
          <w:rPr>
            <w:rStyle w:val="Hyperlink"/>
            <w:rFonts w:eastAsia="Times New Roman"/>
          </w:rPr>
          <w:t>https://doi.org/10.3390/s25175265</w:t>
        </w:r>
      </w:hyperlink>
      <w:r>
        <w:rPr>
          <w:rFonts w:eastAsia="Times New Roman"/>
        </w:rPr>
        <w:t xml:space="preserve"> </w:t>
      </w:r>
      <w:r w:rsidRPr="00DC4370">
        <w:rPr>
          <w:rFonts w:eastAsia="Times New Roman"/>
        </w:rPr>
        <w:t xml:space="preserve"> (Accessed: 15 November 2025).</w:t>
      </w:r>
    </w:p>
    <w:p w14:paraId="494D4A43" w14:textId="49FB946B" w:rsidR="0025438A" w:rsidRPr="005B0268" w:rsidRDefault="0025438A" w:rsidP="0025438A">
      <w:pPr>
        <w:spacing w:after="160" w:line="259" w:lineRule="auto"/>
      </w:pPr>
      <w:r w:rsidRPr="005B0268">
        <w:t xml:space="preserve">Arsiwala, </w:t>
      </w:r>
      <w:r w:rsidR="00F413BE">
        <w:t>A</w:t>
      </w:r>
      <w:r w:rsidRPr="005B0268">
        <w:t xml:space="preserve">., Elghaish, F., Zoher, M. (2023) ‘Digital twin with machine learning for predictive monitoring of CO2 equivalent from existing buildings’, </w:t>
      </w:r>
      <w:r w:rsidRPr="005B0268">
        <w:rPr>
          <w:i/>
          <w:iCs/>
        </w:rPr>
        <w:t>Energy and Buildings</w:t>
      </w:r>
      <w:r w:rsidRPr="005B0268">
        <w:t xml:space="preserve">, 284, 112851. Available at: </w:t>
      </w:r>
      <w:hyperlink r:id="rId29" w:tgtFrame="_blank" w:history="1">
        <w:r w:rsidRPr="005B0268">
          <w:rPr>
            <w:rStyle w:val="Hyperlink"/>
          </w:rPr>
          <w:t>https://doi.org/10.1016/j.enbuild.2023.112851</w:t>
        </w:r>
      </w:hyperlink>
      <w:r w:rsidRPr="005B0268">
        <w:t xml:space="preserve"> (Accessed: 1</w:t>
      </w:r>
      <w:r w:rsidR="00942B3D">
        <w:t>2</w:t>
      </w:r>
      <w:r w:rsidRPr="005B0268">
        <w:t xml:space="preserve"> </w:t>
      </w:r>
      <w:r w:rsidR="00942B3D">
        <w:t>Octo</w:t>
      </w:r>
      <w:r w:rsidRPr="005B0268">
        <w:t>ber 202</w:t>
      </w:r>
      <w:r w:rsidR="00024598">
        <w:t>5</w:t>
      </w:r>
      <w:r w:rsidRPr="005B0268">
        <w:t>).</w:t>
      </w:r>
    </w:p>
    <w:p w14:paraId="3526D1DE" w14:textId="678207A1" w:rsidR="0025438A" w:rsidRPr="005B0268" w:rsidRDefault="0025438A" w:rsidP="0025438A">
      <w:pPr>
        <w:spacing w:after="160" w:line="259" w:lineRule="auto"/>
      </w:pPr>
      <w:r w:rsidRPr="005B0268">
        <w:t xml:space="preserve">Association of Colleges (2023) </w:t>
      </w:r>
      <w:r w:rsidRPr="005B0268">
        <w:rPr>
          <w:i/>
          <w:iCs/>
        </w:rPr>
        <w:t>College estate management: challenges and opportunities</w:t>
      </w:r>
      <w:r w:rsidRPr="005B0268">
        <w:t xml:space="preserve">. London: Association of Colleges. Available at: </w:t>
      </w:r>
      <w:hyperlink r:id="rId30" w:tgtFrame="_blank" w:history="1">
        <w:r w:rsidRPr="005B0268">
          <w:rPr>
            <w:rStyle w:val="Hyperlink"/>
          </w:rPr>
          <w:t>https://www.aoc.co.uk/publications</w:t>
        </w:r>
      </w:hyperlink>
      <w:r w:rsidRPr="005B0268">
        <w:t xml:space="preserve"> (Accessed: </w:t>
      </w:r>
      <w:r w:rsidR="00942B3D">
        <w:t>8</w:t>
      </w:r>
      <w:r w:rsidRPr="005B0268">
        <w:t xml:space="preserve"> </w:t>
      </w:r>
      <w:r w:rsidR="00942B3D">
        <w:t>Octo</w:t>
      </w:r>
      <w:r w:rsidRPr="005B0268">
        <w:t>ber 202</w:t>
      </w:r>
      <w:r w:rsidR="00024598">
        <w:t>5</w:t>
      </w:r>
      <w:r w:rsidRPr="005B0268">
        <w:t>).</w:t>
      </w:r>
    </w:p>
    <w:p w14:paraId="2D4E1036" w14:textId="77777777" w:rsidR="0025438A" w:rsidRPr="005B0268" w:rsidRDefault="0025438A" w:rsidP="0025438A">
      <w:pPr>
        <w:spacing w:after="160" w:line="259" w:lineRule="auto"/>
      </w:pPr>
      <w:r w:rsidRPr="005B0268">
        <w:t xml:space="preserve">Atkin, B. and Brooks, A. (2021) </w:t>
      </w:r>
      <w:r w:rsidRPr="005B0268">
        <w:rPr>
          <w:i/>
          <w:iCs/>
        </w:rPr>
        <w:t>Total facility management</w:t>
      </w:r>
      <w:r w:rsidRPr="005B0268">
        <w:t>. 5th edn. Oxford: Wiley-Blackwell.</w:t>
      </w:r>
    </w:p>
    <w:p w14:paraId="26D0A3F0" w14:textId="75AC8DBB" w:rsidR="0025438A" w:rsidRPr="005B0268" w:rsidRDefault="0025438A" w:rsidP="0025438A">
      <w:pPr>
        <w:spacing w:after="160" w:line="259" w:lineRule="auto"/>
      </w:pPr>
      <w:r w:rsidRPr="005B0268">
        <w:t xml:space="preserve">Boje, C., Guerriero, A., Kubicki, S. and Rezgui, Y. (2020) ‘Towards a semantic construction digital twin: directions for future research’, </w:t>
      </w:r>
      <w:r w:rsidRPr="005B0268">
        <w:rPr>
          <w:i/>
          <w:iCs/>
        </w:rPr>
        <w:t>Automation in Construction</w:t>
      </w:r>
      <w:r w:rsidRPr="005B0268">
        <w:t xml:space="preserve">, 114, 103179. Available at: </w:t>
      </w:r>
      <w:hyperlink r:id="rId31" w:tgtFrame="_blank" w:history="1">
        <w:r w:rsidRPr="005B0268">
          <w:rPr>
            <w:rStyle w:val="Hyperlink"/>
          </w:rPr>
          <w:t>https://doi.org/10.1016/j.autcon.2020.103179</w:t>
        </w:r>
      </w:hyperlink>
      <w:r w:rsidRPr="005B0268">
        <w:t xml:space="preserve"> (Accessed: 1</w:t>
      </w:r>
      <w:r w:rsidR="00942B3D">
        <w:t>4</w:t>
      </w:r>
      <w:r w:rsidRPr="005B0268">
        <w:t xml:space="preserve"> November 202</w:t>
      </w:r>
      <w:r w:rsidR="00024598">
        <w:t>5</w:t>
      </w:r>
      <w:r w:rsidRPr="005B0268">
        <w:t>).</w:t>
      </w:r>
    </w:p>
    <w:p w14:paraId="2D2DEA22" w14:textId="61103A3F" w:rsidR="0025438A" w:rsidRDefault="0025438A" w:rsidP="0025438A">
      <w:pPr>
        <w:spacing w:after="160" w:line="259" w:lineRule="auto"/>
      </w:pPr>
      <w:r w:rsidRPr="005B0268">
        <w:t xml:space="preserve">Bolton, A., Butler, L., Dabson, I., Enzer, M., Evans, M., Fenemore, T., Harber, F., Hawker, E., Sherwood, K., Stone, A. and Sherwood, I. (2018) </w:t>
      </w:r>
      <w:r w:rsidRPr="005B0268">
        <w:rPr>
          <w:i/>
          <w:iCs/>
        </w:rPr>
        <w:t>Gemini principles</w:t>
      </w:r>
      <w:r w:rsidRPr="005B0268">
        <w:t xml:space="preserve">. Cambridge: Centre for Digital Built Britain. Available at: </w:t>
      </w:r>
      <w:hyperlink r:id="rId32" w:tgtFrame="_blank" w:history="1">
        <w:r w:rsidRPr="005B0268">
          <w:rPr>
            <w:rStyle w:val="Hyperlink"/>
          </w:rPr>
          <w:t>https://www.cdbb.cam.ac.uk/DFTG/GeminiPrinciples</w:t>
        </w:r>
      </w:hyperlink>
      <w:r w:rsidRPr="005B0268">
        <w:t xml:space="preserve"> (Accessed: 1</w:t>
      </w:r>
      <w:r w:rsidR="00712D42">
        <w:t>0</w:t>
      </w:r>
      <w:r w:rsidRPr="005B0268">
        <w:t xml:space="preserve"> </w:t>
      </w:r>
      <w:r w:rsidR="00712D42">
        <w:t xml:space="preserve">September </w:t>
      </w:r>
      <w:r w:rsidRPr="005B0268">
        <w:t>202</w:t>
      </w:r>
      <w:r w:rsidR="00024598">
        <w:t>5</w:t>
      </w:r>
      <w:r w:rsidRPr="005B0268">
        <w:t>).</w:t>
      </w:r>
    </w:p>
    <w:p w14:paraId="7618294E" w14:textId="46F12A03" w:rsidR="00C12279" w:rsidRPr="005B0268" w:rsidRDefault="00C12279" w:rsidP="00C01AF6">
      <w:pPr>
        <w:spacing w:after="160"/>
      </w:pPr>
      <w:r w:rsidRPr="00DA694A">
        <w:t xml:space="preserve">Boukaf, M., Fadli, F. and Meskin, N. (2024) 'A comprehensive review of digital twin technology in building energy consumption forecasting', </w:t>
      </w:r>
      <w:r w:rsidRPr="00DA694A">
        <w:rPr>
          <w:i/>
          <w:iCs/>
        </w:rPr>
        <w:t>IEEE Access</w:t>
      </w:r>
      <w:r w:rsidRPr="00DA694A">
        <w:t xml:space="preserve">, 12, pp. 187778–187799. Available at: </w:t>
      </w:r>
      <w:hyperlink r:id="rId33" w:history="1">
        <w:r w:rsidRPr="00DA694A">
          <w:rPr>
            <w:rStyle w:val="Hyperlink"/>
          </w:rPr>
          <w:t>https://doi.org/10.1109/ACCESS.2024.3498107</w:t>
        </w:r>
      </w:hyperlink>
      <w:r w:rsidR="00712D42">
        <w:t xml:space="preserve"> </w:t>
      </w:r>
      <w:r w:rsidR="00712D42" w:rsidRPr="00712D42">
        <w:rPr>
          <w:color w:val="000000"/>
        </w:rPr>
        <w:t>(Accessed: 20 November 2025).</w:t>
      </w:r>
    </w:p>
    <w:p w14:paraId="557BD9D1" w14:textId="77777777" w:rsidR="0025438A" w:rsidRPr="005B0268" w:rsidRDefault="0025438A" w:rsidP="0025438A">
      <w:pPr>
        <w:spacing w:after="160" w:line="259" w:lineRule="auto"/>
      </w:pPr>
      <w:r w:rsidRPr="005B0268">
        <w:t xml:space="preserve">Braun, V. and Clarke, V. (2022) </w:t>
      </w:r>
      <w:r w:rsidRPr="005B0268">
        <w:rPr>
          <w:i/>
          <w:iCs/>
        </w:rPr>
        <w:t>Thematic analysis: a practical guide</w:t>
      </w:r>
      <w:r w:rsidRPr="005B0268">
        <w:t>. London: Sage Publications.</w:t>
      </w:r>
    </w:p>
    <w:p w14:paraId="0B5FFB00" w14:textId="77777777" w:rsidR="0025438A" w:rsidRPr="005B0268" w:rsidRDefault="0025438A" w:rsidP="0025438A">
      <w:pPr>
        <w:spacing w:after="160" w:line="259" w:lineRule="auto"/>
      </w:pPr>
      <w:r w:rsidRPr="005B0268">
        <w:t xml:space="preserve">Bryman, A. (2021) </w:t>
      </w:r>
      <w:r w:rsidRPr="005B0268">
        <w:rPr>
          <w:i/>
          <w:iCs/>
        </w:rPr>
        <w:t>Social research methods</w:t>
      </w:r>
      <w:r w:rsidRPr="005B0268">
        <w:t>. 6th edn. Oxford: Oxford University Press.</w:t>
      </w:r>
    </w:p>
    <w:p w14:paraId="7C2CDAD4" w14:textId="02E62F33" w:rsidR="0025438A" w:rsidRDefault="0025438A" w:rsidP="0025438A">
      <w:pPr>
        <w:spacing w:after="160" w:line="259" w:lineRule="auto"/>
      </w:pPr>
      <w:r w:rsidRPr="005B0268">
        <w:t xml:space="preserve">Carbon Trust (2019) </w:t>
      </w:r>
      <w:r w:rsidRPr="005B0268">
        <w:rPr>
          <w:i/>
          <w:iCs/>
        </w:rPr>
        <w:t>Further and higher education: training colleges and universities to be energy efficient</w:t>
      </w:r>
      <w:r w:rsidRPr="005B0268">
        <w:t xml:space="preserve">. London: Carbon Trust. Available at: </w:t>
      </w:r>
      <w:hyperlink r:id="rId34" w:tgtFrame="_blank" w:history="1">
        <w:r w:rsidRPr="005B0268">
          <w:rPr>
            <w:rStyle w:val="Hyperlink"/>
          </w:rPr>
          <w:t>https://www.carbontrust.com/resources/guides/sector-based-advice/further-and-higher-education</w:t>
        </w:r>
      </w:hyperlink>
      <w:r w:rsidRPr="005B0268">
        <w:t xml:space="preserve"> (Accessed: </w:t>
      </w:r>
      <w:r w:rsidR="00712D42">
        <w:t>9</w:t>
      </w:r>
      <w:r w:rsidRPr="005B0268">
        <w:t xml:space="preserve"> </w:t>
      </w:r>
      <w:r w:rsidR="00712D42">
        <w:t>Octo</w:t>
      </w:r>
      <w:r w:rsidRPr="005B0268">
        <w:t>ber 202</w:t>
      </w:r>
      <w:r w:rsidR="00024598">
        <w:t>5</w:t>
      </w:r>
      <w:r w:rsidRPr="005B0268">
        <w:t>).</w:t>
      </w:r>
    </w:p>
    <w:p w14:paraId="78B393F5" w14:textId="77777777" w:rsidR="00C01AF6" w:rsidRPr="005B0268" w:rsidRDefault="00C01AF6" w:rsidP="0025438A">
      <w:pPr>
        <w:spacing w:after="160" w:line="259" w:lineRule="auto"/>
      </w:pPr>
    </w:p>
    <w:p w14:paraId="11A9726D" w14:textId="6C26E88D" w:rsidR="009C7098" w:rsidRPr="005B0268" w:rsidRDefault="00744926" w:rsidP="00C01AF6">
      <w:pPr>
        <w:spacing w:after="160" w:line="259" w:lineRule="auto"/>
      </w:pPr>
      <w:r w:rsidRPr="00744926">
        <w:lastRenderedPageBreak/>
        <w:t xml:space="preserve">Cespedes-Cubides, A.S. and Jradi, M. (2024) 'A review of building digital twins to improve energy efficiency in the building operational stage', </w:t>
      </w:r>
      <w:r w:rsidRPr="00744926">
        <w:rPr>
          <w:i/>
          <w:iCs/>
        </w:rPr>
        <w:t>Energy Informatics</w:t>
      </w:r>
      <w:r w:rsidRPr="00744926">
        <w:t>, 7(1), article 11. Available at:</w:t>
      </w:r>
      <w:r w:rsidR="000B6A03">
        <w:t xml:space="preserve"> </w:t>
      </w:r>
      <w:hyperlink r:id="rId35" w:history="1">
        <w:r w:rsidR="000B6A03" w:rsidRPr="00807E63">
          <w:rPr>
            <w:rStyle w:val="Hyperlink"/>
          </w:rPr>
          <w:t>https://doi.org/10.1186/s42162-024-00313-7</w:t>
        </w:r>
      </w:hyperlink>
      <w:r w:rsidRPr="00744926">
        <w:t xml:space="preserve"> </w:t>
      </w:r>
      <w:r w:rsidR="0025438A" w:rsidRPr="00744926">
        <w:t>(Accessed: 1</w:t>
      </w:r>
      <w:r w:rsidR="00712D42">
        <w:t>8</w:t>
      </w:r>
      <w:r w:rsidR="0025438A" w:rsidRPr="00744926">
        <w:t xml:space="preserve"> November 202</w:t>
      </w:r>
      <w:r w:rsidR="00024598" w:rsidRPr="00744926">
        <w:t>5</w:t>
      </w:r>
      <w:r w:rsidR="0025438A" w:rsidRPr="00744926">
        <w:t>).</w:t>
      </w:r>
    </w:p>
    <w:p w14:paraId="633E3FD0" w14:textId="2479D2B9" w:rsidR="0025438A" w:rsidRPr="005B0268" w:rsidRDefault="0025438A" w:rsidP="0025438A">
      <w:pPr>
        <w:spacing w:after="160" w:line="259" w:lineRule="auto"/>
      </w:pPr>
      <w:r w:rsidRPr="005B0268">
        <w:t xml:space="preserve">CIBSE (2023) </w:t>
      </w:r>
      <w:r w:rsidRPr="005B0268">
        <w:rPr>
          <w:i/>
          <w:iCs/>
        </w:rPr>
        <w:t>TM65: Embodied carbon in building services: a calculation methodology</w:t>
      </w:r>
      <w:r w:rsidRPr="005B0268">
        <w:t xml:space="preserve">. London: Chartered Institution of Building Services Engineers. Available at: </w:t>
      </w:r>
      <w:hyperlink r:id="rId36" w:tgtFrame="_blank" w:history="1">
        <w:r w:rsidRPr="005B0268">
          <w:rPr>
            <w:rStyle w:val="Hyperlink"/>
          </w:rPr>
          <w:t>https://www.cibse.org/knowledge-research/knowledge-portal/tm65-embodied-carbon-in-building-services</w:t>
        </w:r>
      </w:hyperlink>
      <w:r w:rsidRPr="005B0268">
        <w:t xml:space="preserve"> (Accessed: </w:t>
      </w:r>
      <w:r w:rsidR="00712D42">
        <w:t>6</w:t>
      </w:r>
      <w:r w:rsidRPr="005B0268">
        <w:t xml:space="preserve"> </w:t>
      </w:r>
      <w:r w:rsidR="00712D42">
        <w:t>October</w:t>
      </w:r>
      <w:r w:rsidRPr="005B0268">
        <w:t xml:space="preserve"> 202</w:t>
      </w:r>
      <w:r w:rsidR="00024598">
        <w:t>5</w:t>
      </w:r>
      <w:r w:rsidRPr="005B0268">
        <w:t>).</w:t>
      </w:r>
    </w:p>
    <w:p w14:paraId="6623034C" w14:textId="21545B9B" w:rsidR="0025438A" w:rsidRPr="005B0268" w:rsidRDefault="0025438A" w:rsidP="0025438A">
      <w:pPr>
        <w:spacing w:after="160" w:line="259" w:lineRule="auto"/>
      </w:pPr>
      <w:r w:rsidRPr="005B0268">
        <w:t xml:space="preserve">Climate Change Committee (2023) </w:t>
      </w:r>
      <w:r w:rsidRPr="005B0268">
        <w:rPr>
          <w:i/>
          <w:iCs/>
        </w:rPr>
        <w:t>Progress in reducing emissions: 2023 report to parliament</w:t>
      </w:r>
      <w:r w:rsidRPr="005B0268">
        <w:t xml:space="preserve">. London: Climate Change Committee. Available at: </w:t>
      </w:r>
      <w:hyperlink r:id="rId37" w:tgtFrame="_blank" w:history="1">
        <w:r w:rsidRPr="005B0268">
          <w:rPr>
            <w:rStyle w:val="Hyperlink"/>
          </w:rPr>
          <w:t>https://www.theccc.org.uk/publication/2023-progress-report-to-parliament</w:t>
        </w:r>
      </w:hyperlink>
      <w:r w:rsidRPr="005B0268">
        <w:t xml:space="preserve"> (Accessed: 1</w:t>
      </w:r>
      <w:r w:rsidR="00712D42">
        <w:t>2</w:t>
      </w:r>
      <w:r w:rsidRPr="005B0268">
        <w:t xml:space="preserve"> </w:t>
      </w:r>
      <w:r w:rsidR="00712D42">
        <w:t>October</w:t>
      </w:r>
      <w:r w:rsidRPr="005B0268">
        <w:t xml:space="preserve"> 202</w:t>
      </w:r>
      <w:r w:rsidR="00712D42">
        <w:t>5</w:t>
      </w:r>
      <w:r w:rsidRPr="005B0268">
        <w:t>).</w:t>
      </w:r>
    </w:p>
    <w:p w14:paraId="59688F7E" w14:textId="77777777" w:rsidR="0025438A" w:rsidRPr="005B0268" w:rsidRDefault="0025438A" w:rsidP="0025438A">
      <w:pPr>
        <w:spacing w:after="160" w:line="259" w:lineRule="auto"/>
      </w:pPr>
      <w:r w:rsidRPr="005B0268">
        <w:t xml:space="preserve">Creswell, J.W. and Creswell, J.D. (2023) </w:t>
      </w:r>
      <w:r w:rsidRPr="005B0268">
        <w:rPr>
          <w:i/>
          <w:iCs/>
        </w:rPr>
        <w:t>Research design: qualitative, quantitative, and mixed methods approaches</w:t>
      </w:r>
      <w:r w:rsidRPr="005B0268">
        <w:t>. 6th edn. London: Sage Publications.</w:t>
      </w:r>
    </w:p>
    <w:p w14:paraId="1B55B668" w14:textId="413B660E" w:rsidR="0025438A" w:rsidRPr="005B0268" w:rsidRDefault="0025438A" w:rsidP="0025438A">
      <w:pPr>
        <w:spacing w:after="160" w:line="259" w:lineRule="auto"/>
      </w:pPr>
      <w:r w:rsidRPr="005B0268">
        <w:t xml:space="preserve">Davis, F.D. (1989) ‘Perceived usefulness, perceived ease of use, and user acceptance of information technology’, </w:t>
      </w:r>
      <w:r w:rsidRPr="005B0268">
        <w:rPr>
          <w:i/>
          <w:iCs/>
        </w:rPr>
        <w:t>MIS Quarterly</w:t>
      </w:r>
      <w:r w:rsidRPr="005B0268">
        <w:t xml:space="preserve">, 13(3), pp. 319–340. Available at: </w:t>
      </w:r>
      <w:hyperlink r:id="rId38" w:tgtFrame="_blank" w:history="1">
        <w:r w:rsidRPr="005B0268">
          <w:rPr>
            <w:rStyle w:val="Hyperlink"/>
          </w:rPr>
          <w:t>https://doi.org/10.2307/249008</w:t>
        </w:r>
      </w:hyperlink>
      <w:r w:rsidRPr="005B0268">
        <w:t xml:space="preserve"> (Accessed: </w:t>
      </w:r>
      <w:r w:rsidR="00712D42">
        <w:t>22</w:t>
      </w:r>
      <w:r w:rsidRPr="005B0268">
        <w:t xml:space="preserve"> </w:t>
      </w:r>
      <w:r w:rsidR="00712D42">
        <w:t>August</w:t>
      </w:r>
      <w:r w:rsidRPr="005B0268">
        <w:t xml:space="preserve"> 202</w:t>
      </w:r>
      <w:r w:rsidR="00024598">
        <w:t>5</w:t>
      </w:r>
      <w:r w:rsidRPr="005B0268">
        <w:t>).</w:t>
      </w:r>
    </w:p>
    <w:p w14:paraId="42438142" w14:textId="2179ACC6" w:rsidR="0025438A" w:rsidRPr="005B0268" w:rsidRDefault="0025438A" w:rsidP="0025438A">
      <w:pPr>
        <w:spacing w:after="160" w:line="259" w:lineRule="auto"/>
      </w:pPr>
      <w:r w:rsidRPr="005B0268">
        <w:t xml:space="preserve">de Wilde, P. (2014) ‘The gap between predicted and measured energy performance of buildings: a framework for investigation’, </w:t>
      </w:r>
      <w:r w:rsidRPr="005B0268">
        <w:rPr>
          <w:i/>
          <w:iCs/>
        </w:rPr>
        <w:t>Automation in Construction</w:t>
      </w:r>
      <w:r w:rsidRPr="005B0268">
        <w:t xml:space="preserve">, 41, pp. 40–49. Available at: </w:t>
      </w:r>
      <w:hyperlink r:id="rId39" w:tgtFrame="_blank" w:history="1">
        <w:r w:rsidRPr="005B0268">
          <w:rPr>
            <w:rStyle w:val="Hyperlink"/>
          </w:rPr>
          <w:t>https://doi.org/10.1016/j.autcon.2014.02.009</w:t>
        </w:r>
      </w:hyperlink>
      <w:r w:rsidRPr="005B0268">
        <w:t xml:space="preserve"> (Accessed: 1</w:t>
      </w:r>
      <w:r w:rsidR="00712D42">
        <w:t>6</w:t>
      </w:r>
      <w:r w:rsidRPr="005B0268">
        <w:t xml:space="preserve"> </w:t>
      </w:r>
      <w:r w:rsidR="00712D42">
        <w:t>Septem</w:t>
      </w:r>
      <w:r w:rsidRPr="005B0268">
        <w:t>ber 202</w:t>
      </w:r>
      <w:r w:rsidR="00024598">
        <w:t>5</w:t>
      </w:r>
      <w:r w:rsidRPr="005B0268">
        <w:t>).</w:t>
      </w:r>
    </w:p>
    <w:p w14:paraId="32C293C6" w14:textId="194ADB07" w:rsidR="0025438A" w:rsidRPr="005B0268" w:rsidRDefault="0025438A" w:rsidP="0025438A">
      <w:pPr>
        <w:spacing w:after="160" w:line="259" w:lineRule="auto"/>
      </w:pPr>
      <w:r w:rsidRPr="005B0268">
        <w:t xml:space="preserve">Deng, M., Menassa, C.C. and Kamat, V.R. (2021) ‘From BIM to digital twins: a systematic review of the evolution of intelligent building representations in the AEC-FM industry’, </w:t>
      </w:r>
      <w:r w:rsidRPr="005B0268">
        <w:rPr>
          <w:i/>
          <w:iCs/>
        </w:rPr>
        <w:t>Journal of Information Technology in Construction</w:t>
      </w:r>
      <w:r w:rsidRPr="005B0268">
        <w:t xml:space="preserve">, 26, pp. 58–83. Available at: </w:t>
      </w:r>
      <w:hyperlink r:id="rId40" w:tgtFrame="_blank" w:history="1">
        <w:r w:rsidRPr="005B0268">
          <w:rPr>
            <w:rStyle w:val="Hyperlink"/>
          </w:rPr>
          <w:t>https://doi.org/10.36680/j.itcon.2021.005</w:t>
        </w:r>
      </w:hyperlink>
      <w:r w:rsidRPr="005B0268">
        <w:t xml:space="preserve"> (Accessed: </w:t>
      </w:r>
      <w:r w:rsidR="00712D42">
        <w:t>4</w:t>
      </w:r>
      <w:r w:rsidRPr="005B0268">
        <w:t xml:space="preserve"> </w:t>
      </w:r>
      <w:r w:rsidR="00712D42">
        <w:t>Septem</w:t>
      </w:r>
      <w:r w:rsidRPr="005B0268">
        <w:t>ber 202</w:t>
      </w:r>
      <w:r w:rsidR="00024598">
        <w:t>5)</w:t>
      </w:r>
      <w:r w:rsidRPr="005B0268">
        <w:t>.</w:t>
      </w:r>
    </w:p>
    <w:p w14:paraId="2DB3F5D2" w14:textId="77777777" w:rsidR="0066358C" w:rsidRDefault="0066358C" w:rsidP="0025438A">
      <w:pPr>
        <w:spacing w:after="160" w:line="259" w:lineRule="auto"/>
      </w:pPr>
      <w:r w:rsidRPr="0066358C">
        <w:t xml:space="preserve">Eastman, C., Teicholz, P., Sacks, R. and Lee, G. (2018) </w:t>
      </w:r>
      <w:r w:rsidRPr="0066358C">
        <w:rPr>
          <w:i/>
          <w:iCs/>
        </w:rPr>
        <w:t>BIM handbook: a guide to Building Information Modeling for owners, designers, engineers, contractors, and facility managers</w:t>
      </w:r>
      <w:r w:rsidRPr="0066358C">
        <w:t>. 3rd edn. Hoboken: Wiley.</w:t>
      </w:r>
    </w:p>
    <w:p w14:paraId="7600863F" w14:textId="2240DEE7" w:rsidR="0025438A" w:rsidRPr="005B0268" w:rsidRDefault="0025438A" w:rsidP="0025438A">
      <w:pPr>
        <w:spacing w:after="160" w:line="259" w:lineRule="auto"/>
      </w:pPr>
      <w:r w:rsidRPr="005B0268">
        <w:t xml:space="preserve">Egan, J. (1998) </w:t>
      </w:r>
      <w:r w:rsidRPr="005B0268">
        <w:rPr>
          <w:i/>
          <w:iCs/>
        </w:rPr>
        <w:t>Rethinking construction: the report of the construction task force</w:t>
      </w:r>
      <w:r w:rsidRPr="005B0268">
        <w:t xml:space="preserve">. London: Department of Trade and Industry. Available at: </w:t>
      </w:r>
      <w:hyperlink r:id="rId41" w:tgtFrame="_blank" w:history="1">
        <w:r w:rsidRPr="005B0268">
          <w:rPr>
            <w:rStyle w:val="Hyperlink"/>
          </w:rPr>
          <w:t>https://constructingexcellence.org.uk/resources/rethinking-construction-the-egan-report</w:t>
        </w:r>
      </w:hyperlink>
      <w:r w:rsidRPr="005B0268">
        <w:t xml:space="preserve"> (Accessed: 1</w:t>
      </w:r>
      <w:r w:rsidR="00712D42">
        <w:t xml:space="preserve"> Sept</w:t>
      </w:r>
      <w:r w:rsidRPr="005B0268">
        <w:t>ember 202</w:t>
      </w:r>
      <w:r w:rsidR="00024598">
        <w:t>5</w:t>
      </w:r>
      <w:r w:rsidRPr="005B0268">
        <w:t>).</w:t>
      </w:r>
    </w:p>
    <w:p w14:paraId="519FD4C5" w14:textId="2F6597DF" w:rsidR="001E7B2F" w:rsidRPr="005B0268" w:rsidRDefault="0025438A" w:rsidP="0025438A">
      <w:pPr>
        <w:spacing w:after="160" w:line="259" w:lineRule="auto"/>
      </w:pPr>
      <w:r w:rsidRPr="005B0268">
        <w:t xml:space="preserve">Fellows, R. and Liu, A. (2021) </w:t>
      </w:r>
      <w:r w:rsidRPr="005B0268">
        <w:rPr>
          <w:i/>
          <w:iCs/>
        </w:rPr>
        <w:t>Research methods for construction</w:t>
      </w:r>
      <w:r w:rsidRPr="005B0268">
        <w:t>. 5th edn. Oxford: Wiley-Blackwell.</w:t>
      </w:r>
    </w:p>
    <w:p w14:paraId="69017D0C" w14:textId="26554E58" w:rsidR="0025438A" w:rsidRDefault="0025438A" w:rsidP="0025438A">
      <w:pPr>
        <w:spacing w:after="160" w:line="259" w:lineRule="auto"/>
      </w:pPr>
      <w:r w:rsidRPr="005B0268">
        <w:t xml:space="preserve">Ghaffarianhoseini, A., Tookey, J., Ghaffarianhoseini, A., Naismith, N., Azhar, S., Efimova, O. and Raahemifar, K. (2017) ‘Building information modelling (BIM) uptake: clear benefits, understanding its implementation, risks and challenges’, </w:t>
      </w:r>
      <w:r w:rsidRPr="005B0268">
        <w:rPr>
          <w:i/>
          <w:iCs/>
        </w:rPr>
        <w:t>Renewable and Sustainable Energy Reviews</w:t>
      </w:r>
      <w:r w:rsidRPr="005B0268">
        <w:t xml:space="preserve">, 75, pp. 1046–1053. Available at: </w:t>
      </w:r>
      <w:hyperlink r:id="rId42" w:tgtFrame="_blank" w:history="1">
        <w:r w:rsidRPr="005B0268">
          <w:rPr>
            <w:rStyle w:val="Hyperlink"/>
          </w:rPr>
          <w:t>https://doi.org/10.1016/j.rser.2016.11.083</w:t>
        </w:r>
      </w:hyperlink>
      <w:r w:rsidRPr="005B0268">
        <w:t xml:space="preserve"> (Accessed: 15 November 202</w:t>
      </w:r>
      <w:r w:rsidR="00024598">
        <w:t>5</w:t>
      </w:r>
      <w:r w:rsidRPr="005B0268">
        <w:t>).</w:t>
      </w:r>
    </w:p>
    <w:p w14:paraId="62AB6ACF" w14:textId="77777777" w:rsidR="00C01AF6" w:rsidRPr="005B0268" w:rsidRDefault="00C01AF6" w:rsidP="0025438A">
      <w:pPr>
        <w:spacing w:after="160" w:line="259" w:lineRule="auto"/>
      </w:pPr>
    </w:p>
    <w:p w14:paraId="7927223A" w14:textId="6DBEEEE5" w:rsidR="0025438A" w:rsidRPr="005B0268" w:rsidRDefault="0025438A" w:rsidP="0025438A">
      <w:pPr>
        <w:spacing w:after="160" w:line="259" w:lineRule="auto"/>
      </w:pPr>
      <w:r w:rsidRPr="005B0268">
        <w:lastRenderedPageBreak/>
        <w:t xml:space="preserve">Guest, G., Bunce, A. and Johnson, L. (2006) ‘How many interviews are enough? An experiment with data saturation and variability’, </w:t>
      </w:r>
      <w:r w:rsidRPr="005B0268">
        <w:rPr>
          <w:i/>
          <w:iCs/>
        </w:rPr>
        <w:t>Field Methods</w:t>
      </w:r>
      <w:r w:rsidRPr="005B0268">
        <w:t xml:space="preserve">, 18(1), pp. 59–82. Available at: </w:t>
      </w:r>
      <w:hyperlink r:id="rId43" w:tgtFrame="_blank" w:history="1">
        <w:r w:rsidRPr="005B0268">
          <w:rPr>
            <w:rStyle w:val="Hyperlink"/>
          </w:rPr>
          <w:t>https://doi.org/10.1177/1525822X05279903</w:t>
        </w:r>
      </w:hyperlink>
      <w:r w:rsidRPr="005B0268">
        <w:t xml:space="preserve"> (Accessed: </w:t>
      </w:r>
      <w:r w:rsidR="00712D42">
        <w:t>7</w:t>
      </w:r>
      <w:r w:rsidRPr="005B0268">
        <w:t xml:space="preserve"> November 202</w:t>
      </w:r>
      <w:r w:rsidR="00024598">
        <w:t>5</w:t>
      </w:r>
      <w:r w:rsidRPr="005B0268">
        <w:t>).</w:t>
      </w:r>
    </w:p>
    <w:p w14:paraId="6D590859" w14:textId="3C5F219D" w:rsidR="0025438A" w:rsidRDefault="0025438A" w:rsidP="0025438A">
      <w:pPr>
        <w:spacing w:after="160" w:line="259" w:lineRule="auto"/>
      </w:pPr>
      <w:r w:rsidRPr="005B0268">
        <w:t xml:space="preserve">Hosamo, H.H., Svennevig, P.R., Svidt, K., Han, D. and Nielsen, H.K. (2022) ‘A Digital Twin predictive maintenance framework of air handling units based on automatic fault detection and diagnostics’, </w:t>
      </w:r>
      <w:r w:rsidRPr="005B0268">
        <w:rPr>
          <w:i/>
          <w:iCs/>
        </w:rPr>
        <w:t>Energy and Buildings</w:t>
      </w:r>
      <w:r w:rsidRPr="005B0268">
        <w:t xml:space="preserve">, 261, 111988. Available at: </w:t>
      </w:r>
      <w:hyperlink r:id="rId44" w:tgtFrame="_blank" w:history="1">
        <w:r w:rsidRPr="005B0268">
          <w:rPr>
            <w:rStyle w:val="Hyperlink"/>
          </w:rPr>
          <w:t>https://doi.org/10.1016/j.enbuild.2022.111988</w:t>
        </w:r>
      </w:hyperlink>
      <w:r w:rsidRPr="005B0268">
        <w:t xml:space="preserve"> (Accessed: </w:t>
      </w:r>
      <w:r w:rsidR="00712D42">
        <w:t>20</w:t>
      </w:r>
      <w:r w:rsidRPr="005B0268">
        <w:t xml:space="preserve"> </w:t>
      </w:r>
      <w:r w:rsidR="00712D42">
        <w:t>September</w:t>
      </w:r>
      <w:r w:rsidRPr="005B0268">
        <w:t xml:space="preserve"> 202</w:t>
      </w:r>
      <w:r w:rsidR="00024598">
        <w:t>5</w:t>
      </w:r>
      <w:r w:rsidRPr="005B0268">
        <w:t>).</w:t>
      </w:r>
    </w:p>
    <w:p w14:paraId="492C388E" w14:textId="772A5E03" w:rsidR="001C1DB9" w:rsidRPr="005B0268" w:rsidRDefault="001C1DB9" w:rsidP="0025438A">
      <w:pPr>
        <w:spacing w:after="160" w:line="259" w:lineRule="auto"/>
      </w:pPr>
      <w:r w:rsidRPr="001C1DB9">
        <w:t xml:space="preserve">HM Government (2013) </w:t>
      </w:r>
      <w:r w:rsidRPr="001C1DB9">
        <w:rPr>
          <w:i/>
          <w:iCs/>
        </w:rPr>
        <w:t>Construction 2025: industrial strategy: government and industry in partnership</w:t>
      </w:r>
      <w:r w:rsidRPr="001C1DB9">
        <w:t xml:space="preserve">. London: HM Government. Available at: </w:t>
      </w:r>
      <w:hyperlink r:id="rId45" w:history="1">
        <w:r w:rsidRPr="001C1DB9">
          <w:rPr>
            <w:rStyle w:val="Hyperlink"/>
          </w:rPr>
          <w:t>https://www.gov.uk/government/publications/construction-2025-strategy</w:t>
        </w:r>
      </w:hyperlink>
      <w:r>
        <w:t xml:space="preserve"> </w:t>
      </w:r>
      <w:r w:rsidRPr="005B0268">
        <w:t xml:space="preserve">(Accessed: </w:t>
      </w:r>
      <w:r>
        <w:t>8</w:t>
      </w:r>
      <w:r w:rsidRPr="005B0268">
        <w:t xml:space="preserve"> </w:t>
      </w:r>
      <w:r>
        <w:t>September</w:t>
      </w:r>
      <w:r w:rsidRPr="005B0268">
        <w:t xml:space="preserve"> 202</w:t>
      </w:r>
      <w:r>
        <w:t>5</w:t>
      </w:r>
      <w:r w:rsidRPr="005B0268">
        <w:t>).</w:t>
      </w:r>
    </w:p>
    <w:p w14:paraId="0BA23326" w14:textId="6FE478CB" w:rsidR="0025438A" w:rsidRPr="005B0268" w:rsidRDefault="0025438A" w:rsidP="0025438A">
      <w:pPr>
        <w:spacing w:after="160" w:line="259" w:lineRule="auto"/>
      </w:pPr>
      <w:r w:rsidRPr="005B0268">
        <w:t xml:space="preserve">Ibn-Mohammed, T., Greenough, R., Taylor, S., Ozawa-Meida, L. and Acquaye, A. (2013) ‘Operational vs. embodied emissions in buildings: a review of current trends’, </w:t>
      </w:r>
      <w:r w:rsidRPr="005B0268">
        <w:rPr>
          <w:i/>
          <w:iCs/>
        </w:rPr>
        <w:t>Energy and Buildings</w:t>
      </w:r>
      <w:r w:rsidRPr="005B0268">
        <w:t xml:space="preserve">, 66, pp. 232–245. Available at: </w:t>
      </w:r>
      <w:hyperlink r:id="rId46" w:tgtFrame="_blank" w:history="1">
        <w:r w:rsidRPr="005B0268">
          <w:rPr>
            <w:rStyle w:val="Hyperlink"/>
          </w:rPr>
          <w:t>https://doi.org/10.1016/j.enbuild.2013.07.026</w:t>
        </w:r>
      </w:hyperlink>
      <w:r w:rsidRPr="005B0268">
        <w:t xml:space="preserve"> (Accessed: </w:t>
      </w:r>
      <w:r w:rsidR="00712D42">
        <w:t>3 September</w:t>
      </w:r>
      <w:r w:rsidRPr="005B0268">
        <w:t xml:space="preserve"> 202</w:t>
      </w:r>
      <w:r w:rsidR="00024598">
        <w:t>5</w:t>
      </w:r>
      <w:r w:rsidRPr="005B0268">
        <w:t>).</w:t>
      </w:r>
    </w:p>
    <w:p w14:paraId="6890F32C" w14:textId="54585256" w:rsidR="0025438A" w:rsidRPr="005B0268" w:rsidRDefault="0025438A" w:rsidP="0025438A">
      <w:pPr>
        <w:spacing w:after="160" w:line="259" w:lineRule="auto"/>
      </w:pPr>
      <w:r w:rsidRPr="005B0268">
        <w:t xml:space="preserve">Infrastructure and Projects Authority (2021) </w:t>
      </w:r>
      <w:r w:rsidRPr="005B0268">
        <w:rPr>
          <w:i/>
          <w:iCs/>
        </w:rPr>
        <w:t>Transforming infrastructure performance: roadmap to 2030</w:t>
      </w:r>
      <w:r w:rsidRPr="005B0268">
        <w:t xml:space="preserve">. London: Cabinet Office. Available at: </w:t>
      </w:r>
      <w:hyperlink r:id="rId47" w:tgtFrame="_blank" w:history="1">
        <w:r w:rsidRPr="005B0268">
          <w:rPr>
            <w:rStyle w:val="Hyperlink"/>
          </w:rPr>
          <w:t>https://www.gov.uk/government/publications/transforming-infrastructure-performance-roadmap-to-2030</w:t>
        </w:r>
      </w:hyperlink>
      <w:r w:rsidRPr="005B0268">
        <w:t xml:space="preserve"> (Accessed: 1</w:t>
      </w:r>
      <w:r w:rsidR="00712D42">
        <w:t>4 October</w:t>
      </w:r>
      <w:r w:rsidRPr="005B0268">
        <w:t xml:space="preserve"> 202</w:t>
      </w:r>
      <w:r w:rsidR="00024598">
        <w:t>5</w:t>
      </w:r>
      <w:r w:rsidRPr="005B0268">
        <w:t>).</w:t>
      </w:r>
    </w:p>
    <w:p w14:paraId="1BCDCBEF" w14:textId="49D53D48" w:rsidR="0025438A" w:rsidRPr="005B0268" w:rsidRDefault="0025438A" w:rsidP="0025438A">
      <w:pPr>
        <w:spacing w:after="160" w:line="259" w:lineRule="auto"/>
      </w:pPr>
      <w:r w:rsidRPr="005B0268">
        <w:t xml:space="preserve">International Energy Agency (2023) </w:t>
      </w:r>
      <w:r w:rsidRPr="005B0268">
        <w:rPr>
          <w:i/>
          <w:iCs/>
        </w:rPr>
        <w:t>Buildings: tracking report</w:t>
      </w:r>
      <w:r w:rsidRPr="005B0268">
        <w:t xml:space="preserve">. Paris: International Energy Agency. Available at: </w:t>
      </w:r>
      <w:hyperlink r:id="rId48" w:tgtFrame="_blank" w:history="1">
        <w:r w:rsidRPr="005B0268">
          <w:rPr>
            <w:rStyle w:val="Hyperlink"/>
          </w:rPr>
          <w:t>https://www.iea.org/reports/buildings</w:t>
        </w:r>
      </w:hyperlink>
      <w:r w:rsidRPr="005B0268">
        <w:t xml:space="preserve"> (Accessed: </w:t>
      </w:r>
      <w:r w:rsidR="00712D42">
        <w:t>25</w:t>
      </w:r>
      <w:r w:rsidRPr="005B0268">
        <w:t xml:space="preserve"> </w:t>
      </w:r>
      <w:r w:rsidR="00712D42">
        <w:t>August</w:t>
      </w:r>
      <w:r w:rsidRPr="005B0268">
        <w:t xml:space="preserve"> 202</w:t>
      </w:r>
      <w:r w:rsidR="00024598">
        <w:t>5</w:t>
      </w:r>
      <w:r w:rsidRPr="005B0268">
        <w:t>).</w:t>
      </w:r>
    </w:p>
    <w:p w14:paraId="41154759" w14:textId="5A91AC9B" w:rsidR="0025438A" w:rsidRPr="005B0268" w:rsidRDefault="0025438A" w:rsidP="0025438A">
      <w:pPr>
        <w:spacing w:after="160" w:line="259" w:lineRule="auto"/>
      </w:pPr>
      <w:r w:rsidRPr="005B0268">
        <w:t xml:space="preserve">Jia, M., Komeily, A., Wang, Y. and Srinivasan, R.S. (2019) ‘Adopting internet of things for the development of smart buildings: a review of enabling technologies and applications’, </w:t>
      </w:r>
      <w:r w:rsidRPr="005B0268">
        <w:rPr>
          <w:i/>
          <w:iCs/>
        </w:rPr>
        <w:t>Automation in Construction</w:t>
      </w:r>
      <w:r w:rsidRPr="005B0268">
        <w:t xml:space="preserve">, 101, pp. 111–126. Available at: </w:t>
      </w:r>
      <w:hyperlink r:id="rId49" w:tgtFrame="_blank" w:history="1">
        <w:r w:rsidRPr="005B0268">
          <w:rPr>
            <w:rStyle w:val="Hyperlink"/>
          </w:rPr>
          <w:t>https://doi.org/10.1016/j.autcon.2019.01.023</w:t>
        </w:r>
      </w:hyperlink>
      <w:r w:rsidRPr="005B0268">
        <w:t xml:space="preserve"> (Accessed: </w:t>
      </w:r>
      <w:r w:rsidR="00712D42">
        <w:t>30</w:t>
      </w:r>
      <w:r w:rsidRPr="005B0268">
        <w:t xml:space="preserve"> </w:t>
      </w:r>
      <w:r w:rsidR="00712D42">
        <w:t>September</w:t>
      </w:r>
      <w:r w:rsidRPr="005B0268">
        <w:t xml:space="preserve"> 202</w:t>
      </w:r>
      <w:r w:rsidR="00024598">
        <w:t>5</w:t>
      </w:r>
      <w:r w:rsidRPr="005B0268">
        <w:t>).</w:t>
      </w:r>
    </w:p>
    <w:p w14:paraId="685EEBA9" w14:textId="024C2DB1" w:rsidR="0025438A" w:rsidRPr="005B0268" w:rsidRDefault="0025438A" w:rsidP="0025438A">
      <w:pPr>
        <w:spacing w:after="160" w:line="259" w:lineRule="auto"/>
      </w:pPr>
      <w:r w:rsidRPr="005B0268">
        <w:t xml:space="preserve">Kensek, K.M. (2015) ‘BIM guidelines inform facilities management databases: a case study over time’, </w:t>
      </w:r>
      <w:r w:rsidRPr="005B0268">
        <w:rPr>
          <w:i/>
          <w:iCs/>
        </w:rPr>
        <w:t>Buildings</w:t>
      </w:r>
      <w:r w:rsidRPr="005B0268">
        <w:t xml:space="preserve">, 5(3), pp. 899–916. Available at: </w:t>
      </w:r>
      <w:hyperlink r:id="rId50" w:tgtFrame="_blank" w:history="1">
        <w:r w:rsidRPr="005B0268">
          <w:rPr>
            <w:rStyle w:val="Hyperlink"/>
          </w:rPr>
          <w:t>https://doi.org/10.3390/buildings5030899</w:t>
        </w:r>
      </w:hyperlink>
      <w:r w:rsidRPr="005B0268">
        <w:t xml:space="preserve"> (Accessed: </w:t>
      </w:r>
      <w:r w:rsidR="00712D42">
        <w:t>2 October</w:t>
      </w:r>
      <w:r w:rsidRPr="005B0268">
        <w:t xml:space="preserve"> 202</w:t>
      </w:r>
      <w:r w:rsidR="00024598">
        <w:t>5</w:t>
      </w:r>
      <w:r w:rsidRPr="005B0268">
        <w:t>).</w:t>
      </w:r>
    </w:p>
    <w:p w14:paraId="1C83936E" w14:textId="77777777" w:rsidR="0025438A" w:rsidRPr="005B0268" w:rsidRDefault="0025438A" w:rsidP="0025438A">
      <w:pPr>
        <w:spacing w:after="160" w:line="259" w:lineRule="auto"/>
      </w:pPr>
      <w:r w:rsidRPr="005B0268">
        <w:t xml:space="preserve">Kotter, J.P. (2012) </w:t>
      </w:r>
      <w:r w:rsidRPr="005B0268">
        <w:rPr>
          <w:i/>
          <w:iCs/>
        </w:rPr>
        <w:t>Leading change</w:t>
      </w:r>
      <w:r w:rsidRPr="005B0268">
        <w:t>. 2nd edn. Boston: Harvard Business Review Press.</w:t>
      </w:r>
    </w:p>
    <w:p w14:paraId="5890BF3B" w14:textId="652D7AE3" w:rsidR="001E7B2F" w:rsidRPr="005B0268" w:rsidRDefault="0025438A" w:rsidP="0025438A">
      <w:pPr>
        <w:spacing w:after="160" w:line="259" w:lineRule="auto"/>
      </w:pPr>
      <w:r w:rsidRPr="005B0268">
        <w:t xml:space="preserve">Matarneh, S.T., Danso-Amoako, M., Al-Bizri, S., Gaterell, M. and Matarneh, R. (2019) ‘Building information modeling for facilities management: a literature review and future research directions’, </w:t>
      </w:r>
      <w:r w:rsidRPr="005B0268">
        <w:rPr>
          <w:i/>
          <w:iCs/>
        </w:rPr>
        <w:t>Journal of Building Engineering</w:t>
      </w:r>
      <w:r w:rsidRPr="005B0268">
        <w:t xml:space="preserve">, 24, 100755. Available at: </w:t>
      </w:r>
      <w:hyperlink r:id="rId51" w:tgtFrame="_blank" w:history="1">
        <w:r w:rsidRPr="005B0268">
          <w:rPr>
            <w:rStyle w:val="Hyperlink"/>
          </w:rPr>
          <w:t>https://doi.org/10.1016/j.jobe.2019.100755</w:t>
        </w:r>
      </w:hyperlink>
      <w:r w:rsidRPr="005B0268">
        <w:t xml:space="preserve"> (Accessed: </w:t>
      </w:r>
      <w:r w:rsidR="00712D42">
        <w:t>5 October</w:t>
      </w:r>
      <w:r w:rsidRPr="005B0268">
        <w:t xml:space="preserve"> 202</w:t>
      </w:r>
      <w:r w:rsidR="00024598">
        <w:t>5</w:t>
      </w:r>
      <w:r w:rsidRPr="005B0268">
        <w:t>).</w:t>
      </w:r>
    </w:p>
    <w:p w14:paraId="7ED1A97C" w14:textId="501E0873" w:rsidR="0025438A" w:rsidRPr="005B0268" w:rsidRDefault="0025438A" w:rsidP="0025438A">
      <w:pPr>
        <w:spacing w:after="160" w:line="259" w:lineRule="auto"/>
      </w:pPr>
      <w:r w:rsidRPr="005B0268">
        <w:t xml:space="preserve">Menezes, A.C., Cripps, A., Bouchlaghem, D. and Buswell, R. (2012) ‘Predicted vs. actual energy performance of non-domestic buildings: using post-occupancy evaluation data to reduce the performance gap’, </w:t>
      </w:r>
      <w:r w:rsidRPr="005B0268">
        <w:rPr>
          <w:i/>
          <w:iCs/>
        </w:rPr>
        <w:t>Applied Energy</w:t>
      </w:r>
      <w:r w:rsidRPr="005B0268">
        <w:t xml:space="preserve">, 97, pp. 355–364. Available at: </w:t>
      </w:r>
      <w:hyperlink r:id="rId52" w:tgtFrame="_blank" w:history="1">
        <w:r w:rsidRPr="005B0268">
          <w:rPr>
            <w:rStyle w:val="Hyperlink"/>
          </w:rPr>
          <w:t>https://doi.org/10.1016/j.apenergy.2011.11.075</w:t>
        </w:r>
      </w:hyperlink>
      <w:r w:rsidRPr="005B0268">
        <w:t xml:space="preserve"> (Accessed: </w:t>
      </w:r>
      <w:r w:rsidR="00712D42">
        <w:t>8</w:t>
      </w:r>
      <w:r w:rsidRPr="005B0268">
        <w:t xml:space="preserve"> </w:t>
      </w:r>
      <w:r w:rsidR="00712D42">
        <w:t>September</w:t>
      </w:r>
      <w:r w:rsidRPr="005B0268">
        <w:t xml:space="preserve"> 202</w:t>
      </w:r>
      <w:r w:rsidR="00024598">
        <w:t>5</w:t>
      </w:r>
      <w:r w:rsidRPr="005B0268">
        <w:t>).</w:t>
      </w:r>
    </w:p>
    <w:p w14:paraId="4C5FEC50" w14:textId="1F1A9B70" w:rsidR="0025438A" w:rsidRPr="005B0268" w:rsidRDefault="0025438A" w:rsidP="0025438A">
      <w:pPr>
        <w:spacing w:after="160" w:line="259" w:lineRule="auto"/>
      </w:pPr>
      <w:r w:rsidRPr="005B0268">
        <w:lastRenderedPageBreak/>
        <w:t xml:space="preserve">Metallidou, C.K., Psannis, K.E. and Egyptiadou, E.A. (2020) ‘Energy efficiency in smart buildings: IoT approaches’, </w:t>
      </w:r>
      <w:r w:rsidRPr="005B0268">
        <w:rPr>
          <w:i/>
          <w:iCs/>
        </w:rPr>
        <w:t>IEEE Access</w:t>
      </w:r>
      <w:r w:rsidRPr="005B0268">
        <w:t xml:space="preserve">, 8, pp. 63679–63699. Available at: </w:t>
      </w:r>
      <w:hyperlink r:id="rId53" w:tgtFrame="_blank" w:history="1">
        <w:r w:rsidRPr="005B0268">
          <w:rPr>
            <w:rStyle w:val="Hyperlink"/>
          </w:rPr>
          <w:t>https://doi.org/10.1109/ACCESS.2020.2984461</w:t>
        </w:r>
      </w:hyperlink>
      <w:r w:rsidRPr="005B0268">
        <w:t xml:space="preserve"> (Accessed: 1 </w:t>
      </w:r>
      <w:r w:rsidR="00712D42">
        <w:t>October</w:t>
      </w:r>
      <w:r w:rsidRPr="005B0268">
        <w:t xml:space="preserve"> 202</w:t>
      </w:r>
      <w:r w:rsidR="00024598">
        <w:t>5</w:t>
      </w:r>
      <w:r w:rsidRPr="005B0268">
        <w:t>).</w:t>
      </w:r>
    </w:p>
    <w:p w14:paraId="16F9930E" w14:textId="712F6ADE" w:rsidR="0025438A" w:rsidRPr="005B0268" w:rsidRDefault="0025438A" w:rsidP="0025438A">
      <w:pPr>
        <w:spacing w:after="160" w:line="259" w:lineRule="auto"/>
      </w:pPr>
      <w:r w:rsidRPr="005B0268">
        <w:t xml:space="preserve">Minoli, D., Sohraby, K. and Occhiogrosso, B. (2017) ‘IoT considerations, requirements, and architectures for smart buildings: energy optimization and next-generation building management systems’, </w:t>
      </w:r>
      <w:r w:rsidRPr="005B0268">
        <w:rPr>
          <w:i/>
          <w:iCs/>
        </w:rPr>
        <w:t>IEEE Internet of Things Journal</w:t>
      </w:r>
      <w:r w:rsidRPr="005B0268">
        <w:t xml:space="preserve">, 4(1), pp. 269–283. Available at: </w:t>
      </w:r>
      <w:hyperlink r:id="rId54" w:tgtFrame="_blank" w:history="1">
        <w:r w:rsidRPr="005B0268">
          <w:rPr>
            <w:rStyle w:val="Hyperlink"/>
          </w:rPr>
          <w:t>https://doi.org/10.1109/JIOT.2017.2647881</w:t>
        </w:r>
      </w:hyperlink>
      <w:r w:rsidRPr="005B0268">
        <w:t xml:space="preserve"> (Accessed: </w:t>
      </w:r>
      <w:r w:rsidR="0011072E">
        <w:t>28</w:t>
      </w:r>
      <w:r w:rsidRPr="005B0268">
        <w:t xml:space="preserve"> </w:t>
      </w:r>
      <w:r w:rsidR="0011072E">
        <w:t>September</w:t>
      </w:r>
      <w:r w:rsidRPr="005B0268">
        <w:t xml:space="preserve"> 202</w:t>
      </w:r>
      <w:r w:rsidR="00024598">
        <w:t>5</w:t>
      </w:r>
      <w:r w:rsidRPr="005B0268">
        <w:t>).</w:t>
      </w:r>
    </w:p>
    <w:p w14:paraId="7F8B3954" w14:textId="77777777" w:rsidR="0025438A" w:rsidRPr="005B0268" w:rsidRDefault="0025438A" w:rsidP="0025438A">
      <w:pPr>
        <w:spacing w:after="160" w:line="259" w:lineRule="auto"/>
      </w:pPr>
      <w:r w:rsidRPr="005B0268">
        <w:t xml:space="preserve">Naoum, S.G. (2019) </w:t>
      </w:r>
      <w:r w:rsidRPr="005B0268">
        <w:rPr>
          <w:i/>
          <w:iCs/>
        </w:rPr>
        <w:t>Dissertation research and writing for built environment students</w:t>
      </w:r>
      <w:r w:rsidRPr="005B0268">
        <w:t>. 4th edn. London: Routledge.</w:t>
      </w:r>
    </w:p>
    <w:p w14:paraId="1B234307" w14:textId="4D2EECFD" w:rsidR="0025438A" w:rsidRPr="005B0268" w:rsidRDefault="0025438A" w:rsidP="0025438A">
      <w:pPr>
        <w:spacing w:after="160" w:line="259" w:lineRule="auto"/>
      </w:pPr>
      <w:r w:rsidRPr="005B0268">
        <w:t xml:space="preserve">Pärn, E.A., Edwards, D.J. and Sing, M.C.P. (2017) ‘The building information modelling trajectory in facilities management: a review’, </w:t>
      </w:r>
      <w:r w:rsidRPr="005B0268">
        <w:rPr>
          <w:i/>
          <w:iCs/>
        </w:rPr>
        <w:t>Automation in Construction</w:t>
      </w:r>
      <w:r w:rsidRPr="005B0268">
        <w:t xml:space="preserve">, 75, pp. 45–55. Available at: </w:t>
      </w:r>
      <w:hyperlink r:id="rId55" w:tgtFrame="_blank" w:history="1">
        <w:r w:rsidRPr="005B0268">
          <w:rPr>
            <w:rStyle w:val="Hyperlink"/>
          </w:rPr>
          <w:t>https://doi.org/10.1016/j.autcon.2016.12.003</w:t>
        </w:r>
      </w:hyperlink>
      <w:r w:rsidRPr="005B0268">
        <w:t xml:space="preserve"> (Accessed: </w:t>
      </w:r>
      <w:r w:rsidR="0011072E">
        <w:t>6 October</w:t>
      </w:r>
      <w:r w:rsidRPr="005B0268">
        <w:t xml:space="preserve"> 202</w:t>
      </w:r>
      <w:r w:rsidR="00024598">
        <w:t>5</w:t>
      </w:r>
      <w:r w:rsidRPr="005B0268">
        <w:t>).</w:t>
      </w:r>
    </w:p>
    <w:p w14:paraId="292A2D70" w14:textId="64AC1387" w:rsidR="005B0B61" w:rsidRDefault="005B0B61" w:rsidP="0025438A">
      <w:pPr>
        <w:spacing w:after="160" w:line="259" w:lineRule="auto"/>
      </w:pPr>
      <w:r w:rsidRPr="005B0B61">
        <w:t xml:space="preserve">Renganayagalu, S.K., Bodal, T., Bryntesen, T.R. and Kvalvik, P. (2024) 'Optimising energy performance of buildings through Digital Twins and machine learning: lessons learnt and future directions', </w:t>
      </w:r>
      <w:r w:rsidRPr="005B0B61">
        <w:rPr>
          <w:i/>
          <w:iCs/>
        </w:rPr>
        <w:t>2024 4th International Conference on Applied Artificial Intelligence (ICAPAI)</w:t>
      </w:r>
      <w:r w:rsidRPr="005B0B61">
        <w:t xml:space="preserve">, Halden, Norway, 16 April. IEEE, pp. 1–8. Available at: </w:t>
      </w:r>
      <w:hyperlink r:id="rId56" w:history="1">
        <w:r w:rsidRPr="005B0B61">
          <w:rPr>
            <w:rStyle w:val="Hyperlink"/>
          </w:rPr>
          <w:t>https://doi.org/10.1109/ICAPAI61893.2024.10541224</w:t>
        </w:r>
      </w:hyperlink>
      <w:r w:rsidRPr="005B0B61">
        <w:t xml:space="preserve"> (Accessed: </w:t>
      </w:r>
      <w:r w:rsidR="0011072E">
        <w:t>22</w:t>
      </w:r>
      <w:r w:rsidRPr="005B0B61">
        <w:t xml:space="preserve"> November 2025).</w:t>
      </w:r>
    </w:p>
    <w:p w14:paraId="695F8890" w14:textId="08290825" w:rsidR="0025438A" w:rsidRPr="005B0268" w:rsidRDefault="0025438A" w:rsidP="0025438A">
      <w:pPr>
        <w:spacing w:after="160" w:line="259" w:lineRule="auto"/>
      </w:pPr>
      <w:r w:rsidRPr="005B0268">
        <w:t xml:space="preserve">Robson, C. and McCartan, K. (2016) </w:t>
      </w:r>
      <w:r w:rsidRPr="005B0268">
        <w:rPr>
          <w:i/>
          <w:iCs/>
        </w:rPr>
        <w:t>Real world research</w:t>
      </w:r>
      <w:r w:rsidRPr="005B0268">
        <w:t>. 4th edn. Chichester: Wiley.</w:t>
      </w:r>
    </w:p>
    <w:p w14:paraId="1106E152" w14:textId="2596ED5F" w:rsidR="0025438A" w:rsidRPr="005B0268" w:rsidRDefault="0025438A" w:rsidP="0025438A">
      <w:pPr>
        <w:spacing w:after="160" w:line="259" w:lineRule="auto"/>
      </w:pPr>
      <w:r w:rsidRPr="005B0268">
        <w:t xml:space="preserve">Röck, M., Saade, M.R.M., Balouktsi, M., Rasmussen, F.N., Birgisdottir, H., Frischknecht, R., Habert, G., Lützkendorf, T. and Passer, A. (2020) ‘Embodied GHG emissions of buildings: the hidden challenge for effective climate change mitigation’, </w:t>
      </w:r>
      <w:r w:rsidRPr="005B0268">
        <w:rPr>
          <w:i/>
          <w:iCs/>
        </w:rPr>
        <w:t>Applied Energy</w:t>
      </w:r>
      <w:r w:rsidRPr="005B0268">
        <w:t xml:space="preserve">, 258, 114107. Available at: </w:t>
      </w:r>
      <w:hyperlink r:id="rId57" w:tgtFrame="_blank" w:history="1">
        <w:r w:rsidRPr="005B0268">
          <w:rPr>
            <w:rStyle w:val="Hyperlink"/>
          </w:rPr>
          <w:t>https://doi.org/10.1016/j.apenergy.2019.114107</w:t>
        </w:r>
      </w:hyperlink>
      <w:r w:rsidRPr="005B0268">
        <w:t xml:space="preserve"> (Accessed: 1</w:t>
      </w:r>
      <w:r w:rsidR="0011072E">
        <w:t>0</w:t>
      </w:r>
      <w:r w:rsidRPr="005B0268">
        <w:t xml:space="preserve"> November 202</w:t>
      </w:r>
      <w:r w:rsidR="00024598">
        <w:t>5</w:t>
      </w:r>
      <w:r w:rsidRPr="005B0268">
        <w:t>).</w:t>
      </w:r>
    </w:p>
    <w:p w14:paraId="4FFEB492" w14:textId="77777777" w:rsidR="0025438A" w:rsidRPr="005B0268" w:rsidRDefault="0025438A" w:rsidP="0025438A">
      <w:pPr>
        <w:spacing w:after="160" w:line="259" w:lineRule="auto"/>
      </w:pPr>
      <w:r w:rsidRPr="005B0268">
        <w:t xml:space="preserve">Rogers, E.M. (2003) </w:t>
      </w:r>
      <w:r w:rsidRPr="005B0268">
        <w:rPr>
          <w:i/>
          <w:iCs/>
        </w:rPr>
        <w:t>Diffusion of innovations</w:t>
      </w:r>
      <w:r w:rsidRPr="005B0268">
        <w:t>. 5th edn. New York: Free Press.</w:t>
      </w:r>
    </w:p>
    <w:p w14:paraId="79621E33" w14:textId="77777777" w:rsidR="0025438A" w:rsidRDefault="0025438A" w:rsidP="0025438A">
      <w:pPr>
        <w:spacing w:after="160" w:line="259" w:lineRule="auto"/>
      </w:pPr>
      <w:r w:rsidRPr="005B0268">
        <w:t xml:space="preserve">Saunders, M., Lewis, P. and Thornhill, A. (2023) </w:t>
      </w:r>
      <w:r w:rsidRPr="005B0268">
        <w:rPr>
          <w:i/>
          <w:iCs/>
        </w:rPr>
        <w:t>Research methods for business students</w:t>
      </w:r>
      <w:r w:rsidRPr="005B0268">
        <w:t>. 9th edn. Harlow: Pearson Education.</w:t>
      </w:r>
    </w:p>
    <w:p w14:paraId="5905AEF7" w14:textId="4658BFC3" w:rsidR="00E771A7" w:rsidRPr="005B0268" w:rsidRDefault="00E771A7" w:rsidP="00E771A7">
      <w:pPr>
        <w:spacing w:after="160"/>
      </w:pPr>
      <w:r w:rsidRPr="009733A4">
        <w:t xml:space="preserve">Sensative (2022) </w:t>
      </w:r>
      <w:r w:rsidRPr="009733A4">
        <w:rPr>
          <w:i/>
          <w:iCs/>
        </w:rPr>
        <w:t>Digital twin evolution: system of systems</w:t>
      </w:r>
      <w:r w:rsidRPr="009733A4">
        <w:t xml:space="preserve"> [Image]. Available at: </w:t>
      </w:r>
      <w:hyperlink r:id="rId58" w:history="1">
        <w:r w:rsidRPr="009733A4">
          <w:rPr>
            <w:rStyle w:val="Hyperlink"/>
          </w:rPr>
          <w:t>https://sensative.com/iot-use-cases-by-sensative/digital-twin/</w:t>
        </w:r>
      </w:hyperlink>
      <w:r w:rsidRPr="009733A4">
        <w:t xml:space="preserve"> (Accessed: </w:t>
      </w:r>
      <w:r w:rsidR="00942B3D">
        <w:t>14</w:t>
      </w:r>
      <w:r w:rsidRPr="009733A4">
        <w:t xml:space="preserve"> </w:t>
      </w:r>
      <w:r w:rsidR="00942B3D">
        <w:t>August</w:t>
      </w:r>
      <w:r w:rsidRPr="009733A4">
        <w:t xml:space="preserve"> 2025).</w:t>
      </w:r>
    </w:p>
    <w:p w14:paraId="442D9093" w14:textId="2A1D2D8E" w:rsidR="0025438A" w:rsidRPr="005B0268" w:rsidRDefault="0025438A" w:rsidP="0025438A">
      <w:pPr>
        <w:spacing w:after="160" w:line="259" w:lineRule="auto"/>
      </w:pPr>
      <w:r w:rsidRPr="005B0268">
        <w:t xml:space="preserve">Sepasgozar, S.M.E. (2021) ‘Differentiating digital twin from digital shadow: elucidating a paradigm shift to expedite a smart, sustainable built environment’, </w:t>
      </w:r>
      <w:r w:rsidRPr="005B0268">
        <w:rPr>
          <w:i/>
          <w:iCs/>
        </w:rPr>
        <w:t>Buildings</w:t>
      </w:r>
      <w:r w:rsidRPr="005B0268">
        <w:t xml:space="preserve">, 11(4), 151. Available at: </w:t>
      </w:r>
      <w:hyperlink r:id="rId59" w:tgtFrame="_blank" w:history="1">
        <w:r w:rsidRPr="005B0268">
          <w:rPr>
            <w:rStyle w:val="Hyperlink"/>
          </w:rPr>
          <w:t>https://doi.org/10.3390/buildings11040151</w:t>
        </w:r>
      </w:hyperlink>
      <w:r w:rsidRPr="005B0268">
        <w:t xml:space="preserve"> (Accessed: 5 November 202</w:t>
      </w:r>
      <w:r w:rsidR="00024598">
        <w:t>5</w:t>
      </w:r>
      <w:r w:rsidRPr="005B0268">
        <w:t>).</w:t>
      </w:r>
    </w:p>
    <w:p w14:paraId="23102F98" w14:textId="3F69BB67" w:rsidR="0025438A" w:rsidRPr="005B0268" w:rsidRDefault="0025438A" w:rsidP="0025438A">
      <w:pPr>
        <w:spacing w:after="160" w:line="259" w:lineRule="auto"/>
      </w:pPr>
      <w:r w:rsidRPr="005B0268">
        <w:t xml:space="preserve">Succar, B. (2009) ‘Building information modelling framework: a research and delivery foundation for industry stakeholders’, </w:t>
      </w:r>
      <w:r w:rsidRPr="005B0268">
        <w:rPr>
          <w:i/>
          <w:iCs/>
        </w:rPr>
        <w:t>Automation in Construction</w:t>
      </w:r>
      <w:r w:rsidRPr="005B0268">
        <w:t xml:space="preserve">, 18(3), pp. 357–375. Available at: </w:t>
      </w:r>
      <w:hyperlink r:id="rId60" w:tgtFrame="_blank" w:history="1">
        <w:r w:rsidRPr="005B0268">
          <w:rPr>
            <w:rStyle w:val="Hyperlink"/>
          </w:rPr>
          <w:t>https://doi.org/10.1016/j.autcon.2008.10.003</w:t>
        </w:r>
      </w:hyperlink>
      <w:r w:rsidRPr="005B0268">
        <w:t xml:space="preserve"> (Accessed: </w:t>
      </w:r>
      <w:r w:rsidR="0011072E">
        <w:t>2</w:t>
      </w:r>
      <w:r w:rsidRPr="005B0268">
        <w:t xml:space="preserve"> </w:t>
      </w:r>
      <w:r w:rsidR="0011072E">
        <w:t>September</w:t>
      </w:r>
      <w:r w:rsidRPr="005B0268">
        <w:t xml:space="preserve"> 202</w:t>
      </w:r>
      <w:r w:rsidR="00024598">
        <w:t>5</w:t>
      </w:r>
      <w:r w:rsidRPr="005B0268">
        <w:t>).</w:t>
      </w:r>
    </w:p>
    <w:p w14:paraId="3EFEAC0A" w14:textId="3BEC5F2A" w:rsidR="0025438A" w:rsidRPr="005B0268" w:rsidRDefault="0025438A" w:rsidP="0025438A">
      <w:pPr>
        <w:spacing w:after="160" w:line="259" w:lineRule="auto"/>
      </w:pPr>
      <w:r w:rsidRPr="005B0268">
        <w:lastRenderedPageBreak/>
        <w:t xml:space="preserve">Tang, S., Shelden, D.R., Eastman, C.M., Pishdad-Bozorgi, P. and Gao, X. (2019) ‘A review of building information modeling (BIM) and the internet of things (IoT) devices integration: present status and future trends’, </w:t>
      </w:r>
      <w:r w:rsidRPr="005B0268">
        <w:rPr>
          <w:i/>
          <w:iCs/>
        </w:rPr>
        <w:t>Automation in Construction</w:t>
      </w:r>
      <w:r w:rsidRPr="005B0268">
        <w:t xml:space="preserve">, 101, pp. 127–139. Available at: </w:t>
      </w:r>
      <w:hyperlink r:id="rId61" w:tgtFrame="_blank" w:history="1">
        <w:r w:rsidRPr="005B0268">
          <w:rPr>
            <w:rStyle w:val="Hyperlink"/>
          </w:rPr>
          <w:t>https://doi.org/10.1016/j.autcon.2019.01.020</w:t>
        </w:r>
      </w:hyperlink>
      <w:r w:rsidRPr="005B0268">
        <w:t xml:space="preserve"> (Accessed: </w:t>
      </w:r>
      <w:r w:rsidR="0011072E">
        <w:t>26</w:t>
      </w:r>
      <w:r w:rsidRPr="005B0268">
        <w:t xml:space="preserve"> </w:t>
      </w:r>
      <w:r w:rsidR="0011072E">
        <w:t>September</w:t>
      </w:r>
      <w:r w:rsidRPr="005B0268">
        <w:t xml:space="preserve"> 202</w:t>
      </w:r>
      <w:r w:rsidR="00024598">
        <w:t>5</w:t>
      </w:r>
      <w:r w:rsidRPr="005B0268">
        <w:t>).</w:t>
      </w:r>
    </w:p>
    <w:p w14:paraId="4B1AE2F5" w14:textId="55662B04" w:rsidR="0025438A" w:rsidRPr="005B0268" w:rsidRDefault="0025438A" w:rsidP="0025438A">
      <w:pPr>
        <w:spacing w:after="160" w:line="259" w:lineRule="auto"/>
      </w:pPr>
      <w:r w:rsidRPr="005B0268">
        <w:t xml:space="preserve">UK Green Building Council (2023) </w:t>
      </w:r>
      <w:r w:rsidRPr="005B0268">
        <w:rPr>
          <w:i/>
          <w:iCs/>
        </w:rPr>
        <w:t>Net zero carbon buildings: a framework definition</w:t>
      </w:r>
      <w:r w:rsidRPr="005B0268">
        <w:t xml:space="preserve">. 2nd edn. London: UK Green Building Council. Available at: </w:t>
      </w:r>
      <w:hyperlink r:id="rId62" w:tgtFrame="_blank" w:history="1">
        <w:r w:rsidRPr="005B0268">
          <w:rPr>
            <w:rStyle w:val="Hyperlink"/>
          </w:rPr>
          <w:t>https://ukgbc.org/resources/net-zero-carbon-buildings-a-framework-definition</w:t>
        </w:r>
      </w:hyperlink>
      <w:r w:rsidRPr="005B0268">
        <w:t xml:space="preserve"> (Accessed: </w:t>
      </w:r>
      <w:r w:rsidR="0011072E">
        <w:t>16 October</w:t>
      </w:r>
      <w:r w:rsidRPr="005B0268">
        <w:t xml:space="preserve"> 202</w:t>
      </w:r>
      <w:r w:rsidR="00024598">
        <w:t>5</w:t>
      </w:r>
      <w:r w:rsidRPr="005B0268">
        <w:t>).</w:t>
      </w:r>
    </w:p>
    <w:p w14:paraId="6181BD59" w14:textId="60E84DEB" w:rsidR="0025438A" w:rsidRPr="005B0268" w:rsidRDefault="0025438A" w:rsidP="0025438A">
      <w:pPr>
        <w:spacing w:after="160" w:line="259" w:lineRule="auto"/>
      </w:pPr>
      <w:r w:rsidRPr="005B0268">
        <w:t xml:space="preserve">UK Net Zero Strategy (2021) </w:t>
      </w:r>
      <w:r w:rsidRPr="005B0268">
        <w:rPr>
          <w:i/>
          <w:iCs/>
        </w:rPr>
        <w:t>Net Zero strategy: build back greener</w:t>
      </w:r>
      <w:r w:rsidRPr="005B0268">
        <w:t xml:space="preserve">. London: HM Government. Available at: </w:t>
      </w:r>
      <w:hyperlink r:id="rId63" w:tgtFrame="_blank" w:history="1">
        <w:r w:rsidRPr="005B0268">
          <w:rPr>
            <w:rStyle w:val="Hyperlink"/>
          </w:rPr>
          <w:t>https://www.gov.uk/government/publications/net-zero-strategy</w:t>
        </w:r>
      </w:hyperlink>
      <w:r w:rsidRPr="005B0268">
        <w:t xml:space="preserve"> (Accessed: </w:t>
      </w:r>
      <w:r w:rsidR="0011072E">
        <w:t>18 October</w:t>
      </w:r>
      <w:r w:rsidRPr="005B0268">
        <w:t xml:space="preserve"> 202</w:t>
      </w:r>
      <w:r w:rsidR="00024598">
        <w:t>5</w:t>
      </w:r>
      <w:r w:rsidRPr="005B0268">
        <w:t>).</w:t>
      </w:r>
    </w:p>
    <w:p w14:paraId="4949F232" w14:textId="15E30692" w:rsidR="0025438A" w:rsidRPr="005B0268" w:rsidRDefault="0025438A" w:rsidP="0025438A">
      <w:pPr>
        <w:spacing w:after="160" w:line="259" w:lineRule="auto"/>
      </w:pPr>
      <w:r w:rsidRPr="005B0268">
        <w:t xml:space="preserve">Venkatesh, V., Morris, M.G., Davis, G.B. and Davis, F.D. (2003) ‘User acceptance of information technology: toward a unified view’, </w:t>
      </w:r>
      <w:r w:rsidRPr="005B0268">
        <w:rPr>
          <w:i/>
          <w:iCs/>
        </w:rPr>
        <w:t>MIS Quarterly</w:t>
      </w:r>
      <w:r w:rsidRPr="005B0268">
        <w:t xml:space="preserve">, 27(3), pp. 425–478. Available at: </w:t>
      </w:r>
      <w:hyperlink r:id="rId64" w:tgtFrame="_blank" w:history="1">
        <w:r w:rsidRPr="005B0268">
          <w:rPr>
            <w:rStyle w:val="Hyperlink"/>
          </w:rPr>
          <w:t>https://doi.org/10.2307/30036540</w:t>
        </w:r>
      </w:hyperlink>
      <w:r w:rsidRPr="005B0268">
        <w:t xml:space="preserve"> (Accessed: </w:t>
      </w:r>
      <w:r w:rsidR="0011072E">
        <w:t>25 August</w:t>
      </w:r>
      <w:r w:rsidRPr="005B0268">
        <w:t xml:space="preserve"> 202</w:t>
      </w:r>
      <w:r w:rsidR="00024598">
        <w:t>5</w:t>
      </w:r>
      <w:r w:rsidRPr="005B0268">
        <w:t>).</w:t>
      </w:r>
    </w:p>
    <w:p w14:paraId="34DD5376" w14:textId="55DFBC08" w:rsidR="0025438A" w:rsidRPr="005B0268" w:rsidRDefault="0025438A" w:rsidP="0025438A">
      <w:pPr>
        <w:spacing w:after="160" w:line="259" w:lineRule="auto"/>
      </w:pPr>
      <w:r w:rsidRPr="005B0268">
        <w:t xml:space="preserve">Volk, R., Stengel, J. and Schultmann, F. (2014) ‘Building information modeling (BIM) for existing buildings: literature review and future needs’, </w:t>
      </w:r>
      <w:r w:rsidRPr="005B0268">
        <w:rPr>
          <w:i/>
          <w:iCs/>
        </w:rPr>
        <w:t>Automation in Construction</w:t>
      </w:r>
      <w:r w:rsidRPr="005B0268">
        <w:t xml:space="preserve">, 38, pp. 109–127. Available at: </w:t>
      </w:r>
      <w:hyperlink r:id="rId65" w:tgtFrame="_blank" w:history="1">
        <w:r w:rsidRPr="005B0268">
          <w:rPr>
            <w:rStyle w:val="Hyperlink"/>
          </w:rPr>
          <w:t>https://doi.org/10.1016/j.autcon.2013.10.023</w:t>
        </w:r>
      </w:hyperlink>
      <w:r w:rsidRPr="005B0268">
        <w:t xml:space="preserve"> (Accessed: </w:t>
      </w:r>
      <w:r w:rsidR="0011072E">
        <w:t>9 September</w:t>
      </w:r>
      <w:r w:rsidRPr="005B0268">
        <w:t xml:space="preserve"> 202</w:t>
      </w:r>
      <w:r w:rsidR="00024598">
        <w:t>5</w:t>
      </w:r>
      <w:r w:rsidRPr="005B0268">
        <w:t>).</w:t>
      </w:r>
    </w:p>
    <w:p w14:paraId="29D7B3E7" w14:textId="4F24DCA3" w:rsidR="0025438A" w:rsidRPr="005B0268" w:rsidRDefault="0025438A" w:rsidP="0025438A">
      <w:pPr>
        <w:spacing w:after="160" w:line="259" w:lineRule="auto"/>
      </w:pPr>
      <w:r w:rsidRPr="005B0268">
        <w:t xml:space="preserve">Wellbeing of Future Generations (Wales) Act 2015 (anaw 2). Available at: </w:t>
      </w:r>
      <w:hyperlink r:id="rId66" w:tgtFrame="_blank" w:history="1">
        <w:r w:rsidRPr="005B0268">
          <w:rPr>
            <w:rStyle w:val="Hyperlink"/>
          </w:rPr>
          <w:t>https://www.legislation.gov.uk/anaw/2015/2/contents</w:t>
        </w:r>
      </w:hyperlink>
      <w:r w:rsidRPr="005B0268">
        <w:t xml:space="preserve"> (Accessed: </w:t>
      </w:r>
      <w:r w:rsidR="0011072E">
        <w:t>20 October</w:t>
      </w:r>
      <w:r w:rsidRPr="005B0268">
        <w:t xml:space="preserve"> 202</w:t>
      </w:r>
      <w:r w:rsidR="00024598">
        <w:t>5</w:t>
      </w:r>
      <w:r w:rsidRPr="005B0268">
        <w:t>).</w:t>
      </w:r>
    </w:p>
    <w:p w14:paraId="531D7D2F" w14:textId="078D0E28" w:rsidR="0025438A" w:rsidRPr="005B0268" w:rsidRDefault="0025438A" w:rsidP="0025438A">
      <w:pPr>
        <w:spacing w:after="160" w:line="259" w:lineRule="auto"/>
      </w:pPr>
      <w:r w:rsidRPr="005B0268">
        <w:t xml:space="preserve">Welsh Government (2021) </w:t>
      </w:r>
      <w:r w:rsidRPr="005B0268">
        <w:rPr>
          <w:i/>
          <w:iCs/>
        </w:rPr>
        <w:t>Net Zero Wales: carbon budget 2 (2021-2025)</w:t>
      </w:r>
      <w:r w:rsidRPr="005B0268">
        <w:t xml:space="preserve">. Cardiff: Welsh Government. Available at: </w:t>
      </w:r>
      <w:hyperlink r:id="rId67" w:tgtFrame="_blank" w:history="1">
        <w:r w:rsidRPr="005B0268">
          <w:rPr>
            <w:rStyle w:val="Hyperlink"/>
          </w:rPr>
          <w:t>https://www.gov.wales/net-zero-wales-carbon-budget-2-2021-2025</w:t>
        </w:r>
      </w:hyperlink>
      <w:r w:rsidRPr="005B0268">
        <w:t xml:space="preserve"> (Accessed: 1</w:t>
      </w:r>
      <w:r w:rsidR="00942B3D">
        <w:t>0</w:t>
      </w:r>
      <w:r w:rsidRPr="005B0268">
        <w:t xml:space="preserve"> </w:t>
      </w:r>
      <w:r w:rsidR="00942B3D">
        <w:t>October</w:t>
      </w:r>
      <w:r w:rsidRPr="005B0268">
        <w:t xml:space="preserve"> 202</w:t>
      </w:r>
      <w:r w:rsidR="00942B3D">
        <w:t>5</w:t>
      </w:r>
      <w:r w:rsidRPr="005B0268">
        <w:t>).</w:t>
      </w:r>
    </w:p>
    <w:p w14:paraId="2D584CDE" w14:textId="77777777" w:rsidR="0025438A" w:rsidRPr="005B0268" w:rsidRDefault="0025438A" w:rsidP="0025438A">
      <w:pPr>
        <w:spacing w:after="160" w:line="259" w:lineRule="auto"/>
      </w:pPr>
      <w:r w:rsidRPr="005B0268">
        <w:t xml:space="preserve">Yin, R.K. (2018) </w:t>
      </w:r>
      <w:r w:rsidRPr="005B0268">
        <w:rPr>
          <w:i/>
          <w:iCs/>
        </w:rPr>
        <w:t>Case study research and applications: design and methods</w:t>
      </w:r>
      <w:r w:rsidRPr="005B0268">
        <w:t>. 6th edn. London: Sage Publications.</w:t>
      </w:r>
    </w:p>
    <w:p w14:paraId="7BB06008" w14:textId="0E7F06CE" w:rsidR="00024598" w:rsidRDefault="00024598" w:rsidP="00024598">
      <w:pPr>
        <w:spacing w:before="100" w:beforeAutospacing="1" w:after="100" w:afterAutospacing="1"/>
        <w:rPr>
          <w:rFonts w:eastAsia="Times New Roman"/>
        </w:rPr>
      </w:pPr>
      <w:r w:rsidRPr="00DC4370">
        <w:rPr>
          <w:rFonts w:eastAsia="Times New Roman"/>
        </w:rPr>
        <w:t xml:space="preserve">Yitmen, I., Almusaed, A., Hussein, M. and Almssad, A. (2025) 'AI-driven digital twins for enhancing indoor environmental quality and energy efficiency in smart building systems', </w:t>
      </w:r>
      <w:r w:rsidRPr="00DC4370">
        <w:rPr>
          <w:rFonts w:eastAsia="Times New Roman"/>
          <w:i/>
          <w:iCs/>
        </w:rPr>
        <w:t>Buildings</w:t>
      </w:r>
      <w:r w:rsidRPr="00DC4370">
        <w:rPr>
          <w:rFonts w:eastAsia="Times New Roman"/>
        </w:rPr>
        <w:t xml:space="preserve">, 15(7), article 1030. Available at: </w:t>
      </w:r>
      <w:hyperlink r:id="rId68" w:history="1">
        <w:r w:rsidRPr="00DC4370">
          <w:rPr>
            <w:rStyle w:val="Hyperlink"/>
            <w:rFonts w:eastAsia="Times New Roman"/>
          </w:rPr>
          <w:t>https://doi.org/10.3390/buildings15071030</w:t>
        </w:r>
      </w:hyperlink>
      <w:r>
        <w:rPr>
          <w:rFonts w:eastAsia="Times New Roman"/>
        </w:rPr>
        <w:t xml:space="preserve"> </w:t>
      </w:r>
      <w:r w:rsidRPr="00DC4370">
        <w:rPr>
          <w:rFonts w:eastAsia="Times New Roman"/>
        </w:rPr>
        <w:t xml:space="preserve"> (Accessed: 18 November 2025).</w:t>
      </w:r>
    </w:p>
    <w:p w14:paraId="3F92333E" w14:textId="7B2831AC" w:rsidR="00A04BE7" w:rsidRPr="00DC4370" w:rsidRDefault="00A04BE7" w:rsidP="00024598">
      <w:pPr>
        <w:spacing w:before="100" w:beforeAutospacing="1" w:after="100" w:afterAutospacing="1"/>
        <w:rPr>
          <w:rFonts w:eastAsia="Times New Roman"/>
        </w:rPr>
      </w:pPr>
      <w:r w:rsidRPr="00A04BE7">
        <w:rPr>
          <w:rFonts w:eastAsia="Times New Roman"/>
        </w:rPr>
        <w:t xml:space="preserve">Zhang, Z., Wei, Z., Court, S., Yang, L., Wang, S. and Thirunavukarasu, A. (2024) 'A review of digital twin technologies for enhanced sustainability in the construction industry', </w:t>
      </w:r>
      <w:r w:rsidRPr="00A04BE7">
        <w:rPr>
          <w:rFonts w:eastAsia="Times New Roman"/>
          <w:i/>
          <w:iCs/>
        </w:rPr>
        <w:t>Buildings</w:t>
      </w:r>
      <w:r w:rsidRPr="00A04BE7">
        <w:rPr>
          <w:rFonts w:eastAsia="Times New Roman"/>
        </w:rPr>
        <w:t xml:space="preserve">, 14(4), article 1113. Available at: </w:t>
      </w:r>
      <w:hyperlink r:id="rId69" w:history="1">
        <w:r w:rsidRPr="00A04BE7">
          <w:rPr>
            <w:rStyle w:val="Hyperlink"/>
            <w:rFonts w:eastAsia="Times New Roman"/>
          </w:rPr>
          <w:t>https://doi.org/10.3390/buildings14041113</w:t>
        </w:r>
      </w:hyperlink>
      <w:r>
        <w:rPr>
          <w:rFonts w:eastAsia="Times New Roman"/>
        </w:rPr>
        <w:t xml:space="preserve"> </w:t>
      </w:r>
      <w:r w:rsidRPr="005B0268">
        <w:t>(Accessed: 15 November 202</w:t>
      </w:r>
      <w:r>
        <w:t>5</w:t>
      </w:r>
      <w:r w:rsidRPr="005B0268">
        <w:t>).</w:t>
      </w:r>
    </w:p>
    <w:p w14:paraId="010F14EC" w14:textId="0B0299EA" w:rsidR="00BF7500" w:rsidRDefault="00037856" w:rsidP="00A04BE7">
      <w:pPr>
        <w:spacing w:after="160" w:line="259" w:lineRule="auto"/>
      </w:pPr>
      <w:r>
        <w:br w:type="page"/>
      </w:r>
    </w:p>
    <w:p w14:paraId="15AF9EA0" w14:textId="77777777" w:rsidR="00BF7500" w:rsidRPr="000F7337" w:rsidRDefault="00BF7500" w:rsidP="006E0411">
      <w:pPr>
        <w:spacing w:after="600"/>
        <w:rPr>
          <w:sz w:val="40"/>
          <w:szCs w:val="40"/>
        </w:rPr>
      </w:pPr>
      <w:r w:rsidRPr="000F7337">
        <w:rPr>
          <w:b/>
          <w:bCs/>
          <w:sz w:val="40"/>
          <w:szCs w:val="40"/>
        </w:rPr>
        <w:lastRenderedPageBreak/>
        <w:t>APPENDICES</w:t>
      </w:r>
    </w:p>
    <w:p w14:paraId="79557DFB" w14:textId="77777777" w:rsidR="00BF7500" w:rsidRPr="000F7337" w:rsidRDefault="00BF7500" w:rsidP="00BF7500">
      <w:pPr>
        <w:spacing w:after="400"/>
      </w:pPr>
    </w:p>
    <w:p w14:paraId="5FCF093B" w14:textId="77777777" w:rsidR="00BF7500" w:rsidRPr="006E0411" w:rsidRDefault="00BF7500" w:rsidP="00BF7500">
      <w:pPr>
        <w:spacing w:after="200"/>
        <w:rPr>
          <w:b/>
          <w:bCs/>
          <w:sz w:val="40"/>
          <w:szCs w:val="40"/>
        </w:rPr>
      </w:pPr>
      <w:r w:rsidRPr="006E0411">
        <w:rPr>
          <w:b/>
          <w:bCs/>
          <w:sz w:val="40"/>
          <w:szCs w:val="40"/>
        </w:rPr>
        <w:t>Contents</w:t>
      </w:r>
    </w:p>
    <w:p w14:paraId="412C95A8" w14:textId="77777777" w:rsidR="000F7337" w:rsidRPr="000F7337" w:rsidRDefault="000F7337" w:rsidP="00BF7500">
      <w:pPr>
        <w:spacing w:after="200"/>
        <w:rPr>
          <w:sz w:val="36"/>
          <w:szCs w:val="36"/>
        </w:rPr>
      </w:pPr>
    </w:p>
    <w:p w14:paraId="24A210CD" w14:textId="77777777" w:rsidR="00BF7500" w:rsidRPr="000F7337" w:rsidRDefault="00BF7500" w:rsidP="000F7337">
      <w:pPr>
        <w:spacing w:after="200" w:line="360" w:lineRule="auto"/>
        <w:rPr>
          <w:sz w:val="28"/>
          <w:szCs w:val="28"/>
        </w:rPr>
      </w:pPr>
      <w:r w:rsidRPr="000F7337">
        <w:rPr>
          <w:sz w:val="28"/>
          <w:szCs w:val="28"/>
        </w:rPr>
        <w:t>Appendix A: Survey Questionnaire</w:t>
      </w:r>
    </w:p>
    <w:p w14:paraId="786B3F51" w14:textId="77777777" w:rsidR="00BF7500" w:rsidRPr="000F7337" w:rsidRDefault="00BF7500" w:rsidP="000F7337">
      <w:pPr>
        <w:spacing w:after="200" w:line="360" w:lineRule="auto"/>
        <w:rPr>
          <w:sz w:val="28"/>
          <w:szCs w:val="28"/>
        </w:rPr>
      </w:pPr>
      <w:r w:rsidRPr="000F7337">
        <w:rPr>
          <w:sz w:val="28"/>
          <w:szCs w:val="28"/>
        </w:rPr>
        <w:t>Appendix B: Semi-Structured Interview Schedule</w:t>
      </w:r>
    </w:p>
    <w:p w14:paraId="45690521" w14:textId="77777777" w:rsidR="00BF7500" w:rsidRPr="000F7337" w:rsidRDefault="00BF7500" w:rsidP="000F7337">
      <w:pPr>
        <w:spacing w:after="200" w:line="360" w:lineRule="auto"/>
        <w:rPr>
          <w:sz w:val="28"/>
          <w:szCs w:val="28"/>
        </w:rPr>
      </w:pPr>
      <w:r w:rsidRPr="000F7337">
        <w:rPr>
          <w:sz w:val="28"/>
          <w:szCs w:val="28"/>
        </w:rPr>
        <w:t>Appendix C: Participant Information and Consent</w:t>
      </w:r>
    </w:p>
    <w:p w14:paraId="68F6A2D2" w14:textId="77777777" w:rsidR="00BF7500" w:rsidRPr="000F7337" w:rsidRDefault="00BF7500" w:rsidP="000F7337">
      <w:pPr>
        <w:spacing w:after="200" w:line="360" w:lineRule="auto"/>
        <w:rPr>
          <w:sz w:val="28"/>
          <w:szCs w:val="28"/>
        </w:rPr>
      </w:pPr>
      <w:r w:rsidRPr="000F7337">
        <w:rPr>
          <w:sz w:val="28"/>
          <w:szCs w:val="28"/>
        </w:rPr>
        <w:t>Appendix D: Systematic Literature Review Protocol</w:t>
      </w:r>
    </w:p>
    <w:p w14:paraId="58D13857" w14:textId="77777777" w:rsidR="00BF7500" w:rsidRPr="000F7337" w:rsidRDefault="00BF7500" w:rsidP="000F7337">
      <w:pPr>
        <w:spacing w:after="200" w:line="360" w:lineRule="auto"/>
        <w:rPr>
          <w:sz w:val="28"/>
          <w:szCs w:val="28"/>
        </w:rPr>
      </w:pPr>
      <w:r w:rsidRPr="000F7337">
        <w:rPr>
          <w:sz w:val="28"/>
          <w:szCs w:val="28"/>
        </w:rPr>
        <w:t>Appendix E: Sample Interview Transcript Extracts</w:t>
      </w:r>
    </w:p>
    <w:p w14:paraId="6D6B4A94" w14:textId="77777777" w:rsidR="00BF7500" w:rsidRPr="000F7337" w:rsidRDefault="00BF7500" w:rsidP="000F7337">
      <w:pPr>
        <w:spacing w:after="200" w:line="360" w:lineRule="auto"/>
        <w:rPr>
          <w:sz w:val="28"/>
          <w:szCs w:val="28"/>
        </w:rPr>
      </w:pPr>
      <w:r w:rsidRPr="000F7337">
        <w:rPr>
          <w:sz w:val="28"/>
          <w:szCs w:val="28"/>
        </w:rPr>
        <w:t>Appendix F: Ethics Approval Documentation</w:t>
      </w:r>
    </w:p>
    <w:p w14:paraId="4818FBF6" w14:textId="77777777" w:rsidR="00BF7500" w:rsidRPr="000F7337" w:rsidRDefault="00BF7500" w:rsidP="000F7337">
      <w:pPr>
        <w:spacing w:after="200" w:line="360" w:lineRule="auto"/>
        <w:rPr>
          <w:sz w:val="28"/>
          <w:szCs w:val="28"/>
        </w:rPr>
      </w:pPr>
      <w:r w:rsidRPr="000F7337">
        <w:rPr>
          <w:sz w:val="28"/>
          <w:szCs w:val="28"/>
        </w:rPr>
        <w:t>Appendix G: Survey Response Summary and Thematic Coding</w:t>
      </w:r>
    </w:p>
    <w:p w14:paraId="0186F14D" w14:textId="77777777" w:rsidR="00BF7500" w:rsidRPr="000F7337" w:rsidRDefault="00BF7500" w:rsidP="000F7337">
      <w:pPr>
        <w:spacing w:after="200" w:line="360" w:lineRule="auto"/>
        <w:rPr>
          <w:sz w:val="28"/>
          <w:szCs w:val="28"/>
        </w:rPr>
      </w:pPr>
      <w:r w:rsidRPr="000F7337">
        <w:rPr>
          <w:sz w:val="28"/>
          <w:szCs w:val="28"/>
        </w:rPr>
        <w:t>Appendix H: AI Use Acknowledgement</w:t>
      </w:r>
    </w:p>
    <w:p w14:paraId="30E3BDC9" w14:textId="77777777" w:rsidR="00BF7500" w:rsidRPr="000F7337" w:rsidRDefault="00BF7500" w:rsidP="00BF7500">
      <w:r w:rsidRPr="000F7337">
        <w:br w:type="page"/>
      </w:r>
    </w:p>
    <w:p w14:paraId="2BF4A54F" w14:textId="77777777" w:rsidR="00BF7500" w:rsidRPr="000F7337" w:rsidRDefault="00BF7500" w:rsidP="00BF7500">
      <w:pPr>
        <w:pStyle w:val="Heading1"/>
        <w:spacing w:before="400" w:after="200"/>
        <w:rPr>
          <w:rFonts w:ascii="Arial" w:hAnsi="Arial" w:cs="Arial"/>
        </w:rPr>
      </w:pPr>
      <w:bookmarkStart w:id="208" w:name="_Toc220152248"/>
      <w:r w:rsidRPr="000F7337">
        <w:rPr>
          <w:rFonts w:ascii="Arial" w:hAnsi="Arial" w:cs="Arial"/>
          <w:b/>
          <w:bCs/>
        </w:rPr>
        <w:lastRenderedPageBreak/>
        <w:t>Appendix A: Survey Questionnaire</w:t>
      </w:r>
      <w:bookmarkEnd w:id="208"/>
    </w:p>
    <w:p w14:paraId="63768C25" w14:textId="77777777" w:rsidR="00BF7500" w:rsidRPr="000F7337" w:rsidRDefault="00BF7500" w:rsidP="00BF7500">
      <w:pPr>
        <w:spacing w:after="200"/>
      </w:pPr>
      <w:r w:rsidRPr="000F7337">
        <w:rPr>
          <w:b/>
          <w:bCs/>
          <w:i/>
          <w:iCs/>
        </w:rPr>
        <w:t>Industry Survey: AI and Digital Twin Adoption in Building M&amp;E Systems</w:t>
      </w:r>
    </w:p>
    <w:p w14:paraId="55EB51BA" w14:textId="77777777" w:rsidR="00BF7500" w:rsidRPr="000F7337" w:rsidRDefault="00BF7500" w:rsidP="00BF7500">
      <w:pPr>
        <w:pStyle w:val="Heading2"/>
        <w:spacing w:before="300" w:after="150"/>
        <w:rPr>
          <w:rFonts w:ascii="Arial" w:hAnsi="Arial" w:cs="Arial"/>
        </w:rPr>
      </w:pPr>
      <w:bookmarkStart w:id="209" w:name="_Toc220152249"/>
      <w:r w:rsidRPr="000F7337">
        <w:rPr>
          <w:rFonts w:ascii="Arial" w:hAnsi="Arial" w:cs="Arial"/>
          <w:b/>
          <w:bCs/>
        </w:rPr>
        <w:t>Purpose</w:t>
      </w:r>
      <w:bookmarkEnd w:id="209"/>
    </w:p>
    <w:p w14:paraId="3FAB2C7B" w14:textId="77777777" w:rsidR="00BF7500" w:rsidRPr="000F7337" w:rsidRDefault="00BF7500" w:rsidP="00BF7500">
      <w:pPr>
        <w:spacing w:after="200" w:line="276" w:lineRule="auto"/>
      </w:pPr>
      <w:r w:rsidRPr="000F7337">
        <w:t>To gather quantitative data on awareness, adoption, barriers, and perceived sustainability benefits of AI and Digital Twin technologies in post-construction M&amp;E systems management.</w:t>
      </w:r>
    </w:p>
    <w:p w14:paraId="24D63158" w14:textId="77777777" w:rsidR="00BF7500" w:rsidRPr="000F7337" w:rsidRDefault="00BF7500" w:rsidP="00BF7500">
      <w:pPr>
        <w:pStyle w:val="Heading2"/>
        <w:spacing w:before="300" w:after="150"/>
        <w:rPr>
          <w:rFonts w:ascii="Arial" w:hAnsi="Arial" w:cs="Arial"/>
        </w:rPr>
      </w:pPr>
      <w:bookmarkStart w:id="210" w:name="_Toc220152250"/>
      <w:r w:rsidRPr="000F7337">
        <w:rPr>
          <w:rFonts w:ascii="Arial" w:hAnsi="Arial" w:cs="Arial"/>
          <w:b/>
          <w:bCs/>
        </w:rPr>
        <w:t>Target Participants</w:t>
      </w:r>
      <w:bookmarkEnd w:id="210"/>
    </w:p>
    <w:p w14:paraId="482FBB75" w14:textId="77777777" w:rsidR="00BF7500" w:rsidRPr="000F7337" w:rsidRDefault="00BF7500" w:rsidP="00BF7500">
      <w:pPr>
        <w:spacing w:after="200" w:line="276" w:lineRule="auto"/>
      </w:pPr>
      <w:r w:rsidRPr="000F7337">
        <w:t>Facility Managers, M&amp;E Engineers, BIM Coordinators, Sustainability Officers, Building Consultants, and related built environment professionals.</w:t>
      </w:r>
    </w:p>
    <w:p w14:paraId="6A376413" w14:textId="77777777" w:rsidR="00BF7500" w:rsidRPr="000F7337" w:rsidRDefault="00BF7500" w:rsidP="00BF7500">
      <w:pPr>
        <w:pStyle w:val="Heading2"/>
        <w:spacing w:before="300" w:after="150"/>
        <w:rPr>
          <w:rFonts w:ascii="Arial" w:hAnsi="Arial" w:cs="Arial"/>
        </w:rPr>
      </w:pPr>
      <w:bookmarkStart w:id="211" w:name="_Toc220152251"/>
      <w:r w:rsidRPr="000F7337">
        <w:rPr>
          <w:rFonts w:ascii="Arial" w:hAnsi="Arial" w:cs="Arial"/>
          <w:b/>
          <w:bCs/>
        </w:rPr>
        <w:t>Format</w:t>
      </w:r>
      <w:bookmarkEnd w:id="211"/>
    </w:p>
    <w:p w14:paraId="6A070E4F" w14:textId="77777777" w:rsidR="00BF7500" w:rsidRPr="000F7337" w:rsidRDefault="00BF7500" w:rsidP="00BF7500">
      <w:pPr>
        <w:spacing w:after="200" w:line="276" w:lineRule="auto"/>
      </w:pPr>
      <w:r w:rsidRPr="000F7337">
        <w:t>12 questions comprising 10 core items plus 2 demographic questions. Responses collected via 5-point Likert scales where applicable. Administered through Microsoft Forms with LinkedIn distribution.</w:t>
      </w:r>
    </w:p>
    <w:p w14:paraId="2BBCCBA3" w14:textId="77777777" w:rsidR="00BF7500" w:rsidRPr="000F7337" w:rsidRDefault="00BF7500" w:rsidP="00BF7500">
      <w:pPr>
        <w:pStyle w:val="Heading2"/>
        <w:spacing w:before="300" w:after="150"/>
        <w:rPr>
          <w:rFonts w:ascii="Arial" w:hAnsi="Arial" w:cs="Arial"/>
        </w:rPr>
      </w:pPr>
      <w:bookmarkStart w:id="212" w:name="_Toc220152252"/>
      <w:r w:rsidRPr="000F7337">
        <w:rPr>
          <w:rFonts w:ascii="Arial" w:hAnsi="Arial" w:cs="Arial"/>
          <w:b/>
          <w:bCs/>
        </w:rPr>
        <w:t>Section 1: Professional Context</w:t>
      </w:r>
      <w:bookmarkEnd w:id="212"/>
    </w:p>
    <w:p w14:paraId="04DCE504" w14:textId="77777777" w:rsidR="00BF7500" w:rsidRPr="000F7337" w:rsidRDefault="00BF7500" w:rsidP="00BF7500">
      <w:pPr>
        <w:spacing w:after="120" w:line="276" w:lineRule="auto"/>
      </w:pPr>
      <w:r w:rsidRPr="000F7337">
        <w:t>Q1. What is your current professional role?</w:t>
      </w:r>
    </w:p>
    <w:p w14:paraId="294A71CB" w14:textId="77777777" w:rsidR="00BF7500" w:rsidRPr="000F7337" w:rsidRDefault="00BF7500" w:rsidP="00BF7500">
      <w:pPr>
        <w:spacing w:after="200" w:line="276" w:lineRule="auto"/>
      </w:pPr>
      <w:r w:rsidRPr="000F7337">
        <w:rPr>
          <w:i/>
          <w:iCs/>
        </w:rPr>
        <w:t>Options: Facility Manager / M&amp;E Engineer / Building Consultant / Sustainability Officer / BIM Coordinator / Academic/Researcher / Other (please specify)</w:t>
      </w:r>
    </w:p>
    <w:p w14:paraId="27FC3A16" w14:textId="77777777" w:rsidR="00BF7500" w:rsidRPr="000F7337" w:rsidRDefault="00BF7500" w:rsidP="00BF7500">
      <w:pPr>
        <w:spacing w:after="120" w:line="276" w:lineRule="auto"/>
      </w:pPr>
      <w:r w:rsidRPr="000F7337">
        <w:t>Q2. Years of experience in building operations or M&amp;E management:</w:t>
      </w:r>
    </w:p>
    <w:p w14:paraId="124D2075" w14:textId="77777777" w:rsidR="00BF7500" w:rsidRPr="000F7337" w:rsidRDefault="00BF7500" w:rsidP="00BF7500">
      <w:pPr>
        <w:spacing w:after="200" w:line="276" w:lineRule="auto"/>
      </w:pPr>
      <w:r w:rsidRPr="000F7337">
        <w:rPr>
          <w:i/>
          <w:iCs/>
        </w:rPr>
        <w:t>Options: Less than 5 years / 5–10 years / 11–20 years / More than 20 years</w:t>
      </w:r>
    </w:p>
    <w:p w14:paraId="33E2E067" w14:textId="77777777" w:rsidR="00BF7500" w:rsidRPr="000F7337" w:rsidRDefault="00BF7500" w:rsidP="00BF7500">
      <w:pPr>
        <w:pStyle w:val="Heading2"/>
        <w:spacing w:before="300" w:after="150"/>
        <w:rPr>
          <w:rFonts w:ascii="Arial" w:hAnsi="Arial" w:cs="Arial"/>
        </w:rPr>
      </w:pPr>
      <w:bookmarkStart w:id="213" w:name="_Toc220152253"/>
      <w:r w:rsidRPr="000F7337">
        <w:rPr>
          <w:rFonts w:ascii="Arial" w:hAnsi="Arial" w:cs="Arial"/>
          <w:b/>
          <w:bCs/>
        </w:rPr>
        <w:t>Section 2: Familiarity and Adoption</w:t>
      </w:r>
      <w:bookmarkEnd w:id="213"/>
    </w:p>
    <w:p w14:paraId="21C7963A" w14:textId="77777777" w:rsidR="00BF7500" w:rsidRPr="000F7337" w:rsidRDefault="00BF7500" w:rsidP="00BF7500">
      <w:pPr>
        <w:spacing w:after="120" w:line="276" w:lineRule="auto"/>
      </w:pPr>
      <w:r w:rsidRPr="000F7337">
        <w:t>Q3. How familiar are you with the following concepts?</w:t>
      </w:r>
    </w:p>
    <w:p w14:paraId="00DAFB80" w14:textId="77777777" w:rsidR="00BF7500" w:rsidRPr="000F7337" w:rsidRDefault="00BF7500" w:rsidP="00BF7500">
      <w:pPr>
        <w:spacing w:after="200" w:line="276" w:lineRule="auto"/>
      </w:pPr>
      <w:r w:rsidRPr="000F7337">
        <w:rPr>
          <w:i/>
          <w:iCs/>
        </w:rPr>
        <w:t>Scale: 1 = Not at all familiar, 2 = Slightly familiar, 3 = Moderately familiar, 4 = Very familiar, 5 = Highly familiar</w:t>
      </w:r>
    </w:p>
    <w:p w14:paraId="6BEF1B77" w14:textId="77777777" w:rsidR="00BF7500" w:rsidRPr="000F7337" w:rsidRDefault="00BF7500" w:rsidP="00BF7500">
      <w:pPr>
        <w:spacing w:after="80"/>
        <w:ind w:left="720" w:hanging="360"/>
      </w:pPr>
      <w:r w:rsidRPr="000F7337">
        <w:t>• Artificial Intelligence (AI)</w:t>
      </w:r>
    </w:p>
    <w:p w14:paraId="4EFD8663" w14:textId="77777777" w:rsidR="00BF7500" w:rsidRPr="000F7337" w:rsidRDefault="00BF7500" w:rsidP="00BF7500">
      <w:pPr>
        <w:spacing w:after="80"/>
        <w:ind w:left="720" w:hanging="360"/>
      </w:pPr>
      <w:r w:rsidRPr="000F7337">
        <w:t>• Digital Twins (DT)</w:t>
      </w:r>
    </w:p>
    <w:p w14:paraId="6F196764" w14:textId="77777777" w:rsidR="00BF7500" w:rsidRPr="000F7337" w:rsidRDefault="00BF7500" w:rsidP="00BF7500">
      <w:pPr>
        <w:spacing w:after="80"/>
        <w:ind w:left="720" w:hanging="360"/>
      </w:pPr>
      <w:r w:rsidRPr="000F7337">
        <w:t>• Application Programming Interfaces (APIs)</w:t>
      </w:r>
    </w:p>
    <w:p w14:paraId="3CA068F4" w14:textId="77777777" w:rsidR="00BF7500" w:rsidRPr="000F7337" w:rsidRDefault="00BF7500" w:rsidP="00BF7500">
      <w:pPr>
        <w:spacing w:after="120" w:line="276" w:lineRule="auto"/>
      </w:pPr>
      <w:r w:rsidRPr="000F7337">
        <w:t>Q4. Has your organisation implemented any of these technologies?</w:t>
      </w:r>
    </w:p>
    <w:p w14:paraId="70E73BC5" w14:textId="77777777" w:rsidR="00BF7500" w:rsidRPr="000F7337" w:rsidRDefault="00BF7500" w:rsidP="00BF7500">
      <w:pPr>
        <w:spacing w:after="200" w:line="276" w:lineRule="auto"/>
        <w:rPr>
          <w:i/>
          <w:iCs/>
        </w:rPr>
      </w:pPr>
      <w:r w:rsidRPr="000F7337">
        <w:rPr>
          <w:i/>
          <w:iCs/>
        </w:rPr>
        <w:t>Options: Yes – Full integration / Partial integration / Planning to implement within 12 months / No</w:t>
      </w:r>
    </w:p>
    <w:p w14:paraId="602BAFB5" w14:textId="77777777" w:rsidR="004D44EC" w:rsidRPr="000F7337" w:rsidRDefault="004D44EC" w:rsidP="00BF7500">
      <w:pPr>
        <w:spacing w:after="200" w:line="276" w:lineRule="auto"/>
      </w:pPr>
    </w:p>
    <w:p w14:paraId="71ECDA51" w14:textId="77777777" w:rsidR="00BF7500" w:rsidRPr="000F7337" w:rsidRDefault="00BF7500" w:rsidP="00BF7500">
      <w:pPr>
        <w:pStyle w:val="Heading2"/>
        <w:spacing w:before="300" w:after="150"/>
        <w:rPr>
          <w:rFonts w:ascii="Arial" w:hAnsi="Arial" w:cs="Arial"/>
        </w:rPr>
      </w:pPr>
      <w:bookmarkStart w:id="214" w:name="_Toc220152254"/>
      <w:r w:rsidRPr="000F7337">
        <w:rPr>
          <w:rFonts w:ascii="Arial" w:hAnsi="Arial" w:cs="Arial"/>
          <w:b/>
          <w:bCs/>
        </w:rPr>
        <w:lastRenderedPageBreak/>
        <w:t>Section 3: Perceived Benefits</w:t>
      </w:r>
      <w:bookmarkEnd w:id="214"/>
    </w:p>
    <w:p w14:paraId="2680490B" w14:textId="77777777" w:rsidR="00BF7500" w:rsidRPr="000F7337" w:rsidRDefault="00BF7500" w:rsidP="00BF7500">
      <w:pPr>
        <w:spacing w:after="120" w:line="276" w:lineRule="auto"/>
      </w:pPr>
      <w:r w:rsidRPr="000F7337">
        <w:t>Q5. Rate the following potential benefits:</w:t>
      </w:r>
    </w:p>
    <w:p w14:paraId="227EE8F7" w14:textId="77777777" w:rsidR="00BF7500" w:rsidRPr="000F7337" w:rsidRDefault="00BF7500" w:rsidP="00BF7500">
      <w:pPr>
        <w:spacing w:after="200" w:line="276" w:lineRule="auto"/>
      </w:pPr>
      <w:r w:rsidRPr="000F7337">
        <w:rPr>
          <w:i/>
          <w:iCs/>
        </w:rPr>
        <w:t>Scale: 1 = Strongly Disagree, 2 = Disagree, 3 = Neither agree nor disagree, 4 = Agree, 5 = Strongly Agree</w:t>
      </w:r>
    </w:p>
    <w:p w14:paraId="79BC0785" w14:textId="77777777" w:rsidR="00BF7500" w:rsidRPr="000F7337" w:rsidRDefault="00BF7500" w:rsidP="00BF7500">
      <w:pPr>
        <w:spacing w:after="80"/>
        <w:ind w:left="720" w:hanging="360"/>
      </w:pPr>
      <w:r w:rsidRPr="000F7337">
        <w:t>• AI/DT systems improve energy efficiency of M&amp;E operations</w:t>
      </w:r>
    </w:p>
    <w:p w14:paraId="3D797792" w14:textId="77777777" w:rsidR="00BF7500" w:rsidRPr="000F7337" w:rsidRDefault="00BF7500" w:rsidP="00BF7500">
      <w:pPr>
        <w:spacing w:after="80"/>
        <w:ind w:left="720" w:hanging="360"/>
      </w:pPr>
      <w:r w:rsidRPr="000F7337">
        <w:t>• Predictive maintenance reduces downtime and operational costs</w:t>
      </w:r>
    </w:p>
    <w:p w14:paraId="77ECF86C" w14:textId="77777777" w:rsidR="00BF7500" w:rsidRPr="000F7337" w:rsidRDefault="00BF7500" w:rsidP="00BF7500">
      <w:pPr>
        <w:spacing w:after="80"/>
        <w:ind w:left="720" w:hanging="360"/>
      </w:pPr>
      <w:r w:rsidRPr="000F7337">
        <w:t>• API integration enables better real-time data sharing and decision-making</w:t>
      </w:r>
    </w:p>
    <w:p w14:paraId="59034603" w14:textId="77777777" w:rsidR="00BF7500" w:rsidRPr="000F7337" w:rsidRDefault="00BF7500" w:rsidP="00BF7500">
      <w:pPr>
        <w:spacing w:after="80"/>
        <w:ind w:left="720" w:hanging="360"/>
      </w:pPr>
      <w:r w:rsidRPr="000F7337">
        <w:t>• Smart analytics support organisational sustainability and net-zero targets</w:t>
      </w:r>
    </w:p>
    <w:p w14:paraId="6DA1C7D0" w14:textId="77777777" w:rsidR="00BF7500" w:rsidRPr="000F7337" w:rsidRDefault="00BF7500" w:rsidP="00BF7500">
      <w:pPr>
        <w:pStyle w:val="Heading2"/>
        <w:spacing w:before="300" w:after="150"/>
        <w:rPr>
          <w:rFonts w:ascii="Arial" w:hAnsi="Arial" w:cs="Arial"/>
        </w:rPr>
      </w:pPr>
      <w:bookmarkStart w:id="215" w:name="_Toc220152255"/>
      <w:r w:rsidRPr="000F7337">
        <w:rPr>
          <w:rFonts w:ascii="Arial" w:hAnsi="Arial" w:cs="Arial"/>
          <w:b/>
          <w:bCs/>
        </w:rPr>
        <w:t>Section 4: Barriers and Readiness</w:t>
      </w:r>
      <w:bookmarkEnd w:id="215"/>
    </w:p>
    <w:p w14:paraId="727B77E3" w14:textId="77777777" w:rsidR="00BF7500" w:rsidRPr="000F7337" w:rsidRDefault="00BF7500" w:rsidP="00BF7500">
      <w:pPr>
        <w:spacing w:after="120" w:line="276" w:lineRule="auto"/>
      </w:pPr>
      <w:r w:rsidRPr="000F7337">
        <w:t>Q6. Indicate how strongly each factor limits adoption in your organisation:</w:t>
      </w:r>
    </w:p>
    <w:p w14:paraId="05B32D17" w14:textId="77777777" w:rsidR="00BF7500" w:rsidRPr="000F7337" w:rsidRDefault="00BF7500" w:rsidP="00BF7500">
      <w:pPr>
        <w:spacing w:after="200" w:line="276" w:lineRule="auto"/>
      </w:pPr>
      <w:r w:rsidRPr="000F7337">
        <w:rPr>
          <w:i/>
          <w:iCs/>
        </w:rPr>
        <w:t>Scale: 1 = Not a Barrier, 2 = Minor Barrier, 3 = Moderate Barrier, 4 = Significant Barrier, 5 = Major Barrier</w:t>
      </w:r>
    </w:p>
    <w:p w14:paraId="45D574F1" w14:textId="77777777" w:rsidR="00BF7500" w:rsidRPr="000F7337" w:rsidRDefault="00BF7500" w:rsidP="00BF7500">
      <w:pPr>
        <w:spacing w:after="80"/>
        <w:ind w:left="720" w:hanging="360"/>
      </w:pPr>
      <w:r w:rsidRPr="000F7337">
        <w:t>• Cost or budget constraints</w:t>
      </w:r>
    </w:p>
    <w:p w14:paraId="28F41420" w14:textId="77777777" w:rsidR="00BF7500" w:rsidRPr="000F7337" w:rsidRDefault="00BF7500" w:rsidP="00BF7500">
      <w:pPr>
        <w:spacing w:after="80"/>
        <w:ind w:left="720" w:hanging="360"/>
      </w:pPr>
      <w:r w:rsidRPr="000F7337">
        <w:t>• Lack of staff training or digital skills</w:t>
      </w:r>
    </w:p>
    <w:p w14:paraId="36B4C98C" w14:textId="77777777" w:rsidR="00BF7500" w:rsidRPr="000F7337" w:rsidRDefault="00BF7500" w:rsidP="00BF7500">
      <w:pPr>
        <w:spacing w:after="80"/>
        <w:ind w:left="720" w:hanging="360"/>
      </w:pPr>
      <w:r w:rsidRPr="000F7337">
        <w:t>• Cybersecurity concerns</w:t>
      </w:r>
    </w:p>
    <w:p w14:paraId="50A4C2FF" w14:textId="77777777" w:rsidR="00BF7500" w:rsidRPr="000F7337" w:rsidRDefault="00BF7500" w:rsidP="00BF7500">
      <w:pPr>
        <w:spacing w:after="80"/>
        <w:ind w:left="720" w:hanging="360"/>
      </w:pPr>
      <w:r w:rsidRPr="000F7337">
        <w:t>• Data ownership or privacy issues</w:t>
      </w:r>
    </w:p>
    <w:p w14:paraId="5BD980E2" w14:textId="77777777" w:rsidR="00BF7500" w:rsidRPr="000F7337" w:rsidRDefault="00BF7500" w:rsidP="00BF7500">
      <w:pPr>
        <w:spacing w:after="80"/>
        <w:ind w:left="720" w:hanging="360"/>
      </w:pPr>
      <w:r w:rsidRPr="000F7337">
        <w:t>• Incompatible legacy systems</w:t>
      </w:r>
    </w:p>
    <w:p w14:paraId="42324C8C" w14:textId="77777777" w:rsidR="00BF7500" w:rsidRPr="000F7337" w:rsidRDefault="00BF7500" w:rsidP="00BF7500">
      <w:pPr>
        <w:spacing w:after="80"/>
        <w:ind w:left="720" w:hanging="360"/>
      </w:pPr>
      <w:r w:rsidRPr="000F7337">
        <w:t>• Lack of standardised APIs</w:t>
      </w:r>
    </w:p>
    <w:p w14:paraId="1EAF66A9" w14:textId="77777777" w:rsidR="00BF7500" w:rsidRPr="000F7337" w:rsidRDefault="00BF7500" w:rsidP="00BF7500">
      <w:pPr>
        <w:spacing w:after="120" w:line="276" w:lineRule="auto"/>
      </w:pPr>
      <w:r w:rsidRPr="000F7337">
        <w:t>Q7. How would you rate your organisation's overall readiness to adopt AI/DT technologies?</w:t>
      </w:r>
    </w:p>
    <w:p w14:paraId="4A022607" w14:textId="77777777" w:rsidR="00BF7500" w:rsidRPr="000F7337" w:rsidRDefault="00BF7500" w:rsidP="00BF7500">
      <w:pPr>
        <w:spacing w:after="200" w:line="276" w:lineRule="auto"/>
      </w:pPr>
      <w:r w:rsidRPr="000F7337">
        <w:rPr>
          <w:i/>
          <w:iCs/>
        </w:rPr>
        <w:t>Scale: 1 = Very Low, 2 = Low, 3 = Moderate, 4 = High, 5 = Very High</w:t>
      </w:r>
    </w:p>
    <w:p w14:paraId="4F79C311" w14:textId="77777777" w:rsidR="00BF7500" w:rsidRPr="000F7337" w:rsidRDefault="00BF7500" w:rsidP="00BF7500">
      <w:pPr>
        <w:pStyle w:val="Heading2"/>
        <w:spacing w:before="300" w:after="150"/>
        <w:rPr>
          <w:rFonts w:ascii="Arial" w:hAnsi="Arial" w:cs="Arial"/>
        </w:rPr>
      </w:pPr>
      <w:bookmarkStart w:id="216" w:name="_Toc220152256"/>
      <w:r w:rsidRPr="000F7337">
        <w:rPr>
          <w:rFonts w:ascii="Arial" w:hAnsi="Arial" w:cs="Arial"/>
          <w:b/>
          <w:bCs/>
        </w:rPr>
        <w:t>Section 5: Sustainability and Policy Alignment</w:t>
      </w:r>
      <w:bookmarkEnd w:id="216"/>
    </w:p>
    <w:p w14:paraId="0D3D4BEE" w14:textId="77777777" w:rsidR="00BF7500" w:rsidRPr="000F7337" w:rsidRDefault="00BF7500" w:rsidP="00BF7500">
      <w:pPr>
        <w:spacing w:after="120" w:line="276" w:lineRule="auto"/>
      </w:pPr>
      <w:r w:rsidRPr="000F7337">
        <w:t>Q8. Does your organisation regularly measure building carbon emissions or Energy Use Intensity (EUI)?</w:t>
      </w:r>
    </w:p>
    <w:p w14:paraId="03969A65" w14:textId="77777777" w:rsidR="00BF7500" w:rsidRPr="000F7337" w:rsidRDefault="00BF7500" w:rsidP="00BF7500">
      <w:pPr>
        <w:spacing w:after="200" w:line="276" w:lineRule="auto"/>
      </w:pPr>
      <w:r w:rsidRPr="000F7337">
        <w:rPr>
          <w:i/>
          <w:iCs/>
        </w:rPr>
        <w:t>Options: Yes / No / Planned within 12 months</w:t>
      </w:r>
    </w:p>
    <w:p w14:paraId="43ADB942" w14:textId="77777777" w:rsidR="00BF7500" w:rsidRPr="000F7337" w:rsidRDefault="00BF7500" w:rsidP="00BF7500">
      <w:pPr>
        <w:spacing w:after="120" w:line="276" w:lineRule="auto"/>
      </w:pPr>
      <w:r w:rsidRPr="000F7337">
        <w:t>Q9. Which policy or framework most influences your organisation's sustainability strategy?</w:t>
      </w:r>
    </w:p>
    <w:p w14:paraId="7AA8E507" w14:textId="77777777" w:rsidR="00BF7500" w:rsidRPr="000F7337" w:rsidRDefault="00BF7500" w:rsidP="00BF7500">
      <w:pPr>
        <w:spacing w:after="200" w:line="276" w:lineRule="auto"/>
      </w:pPr>
      <w:r w:rsidRPr="000F7337">
        <w:rPr>
          <w:i/>
          <w:iCs/>
        </w:rPr>
        <w:t>Options: EPBD (Energy Performance of Buildings Directive) / Net Zero 2050 / ISO 50001 / Local Authority Targets / Other</w:t>
      </w:r>
    </w:p>
    <w:p w14:paraId="3C672565" w14:textId="77777777" w:rsidR="00BF7500" w:rsidRPr="000F7337" w:rsidRDefault="00BF7500" w:rsidP="00BF7500">
      <w:pPr>
        <w:spacing w:after="120" w:line="276" w:lineRule="auto"/>
      </w:pPr>
      <w:r w:rsidRPr="000F7337">
        <w:t>Q10. Open Comment (Optional):</w:t>
      </w:r>
    </w:p>
    <w:p w14:paraId="5C12643D" w14:textId="77777777" w:rsidR="00BF7500" w:rsidRPr="000F7337" w:rsidRDefault="00BF7500" w:rsidP="00BF7500">
      <w:pPr>
        <w:spacing w:after="200" w:line="276" w:lineRule="auto"/>
      </w:pPr>
      <w:r w:rsidRPr="000F7337">
        <w:rPr>
          <w:i/>
          <w:iCs/>
        </w:rPr>
        <w:t>In your opinion, what would most help accelerate the adoption of AI/DT solutions in existing buildings?</w:t>
      </w:r>
    </w:p>
    <w:p w14:paraId="489C5C1D" w14:textId="77777777" w:rsidR="00BF7500" w:rsidRPr="000F7337" w:rsidRDefault="00BF7500" w:rsidP="00BF7500">
      <w:pPr>
        <w:pStyle w:val="Heading2"/>
        <w:spacing w:before="300" w:after="150"/>
        <w:rPr>
          <w:rFonts w:ascii="Arial" w:hAnsi="Arial" w:cs="Arial"/>
        </w:rPr>
      </w:pPr>
      <w:bookmarkStart w:id="217" w:name="_Toc220152257"/>
      <w:r w:rsidRPr="000F7337">
        <w:rPr>
          <w:rFonts w:ascii="Arial" w:hAnsi="Arial" w:cs="Arial"/>
          <w:b/>
          <w:bCs/>
        </w:rPr>
        <w:lastRenderedPageBreak/>
        <w:t>Section 6: Demographics (Optional)</w:t>
      </w:r>
      <w:bookmarkEnd w:id="217"/>
    </w:p>
    <w:p w14:paraId="3186AA37" w14:textId="77777777" w:rsidR="00BF7500" w:rsidRPr="000F7337" w:rsidRDefault="00BF7500" w:rsidP="00BF7500">
      <w:pPr>
        <w:spacing w:after="120" w:line="276" w:lineRule="auto"/>
      </w:pPr>
      <w:r w:rsidRPr="000F7337">
        <w:t>Q11. What type of organisation do you work for?</w:t>
      </w:r>
    </w:p>
    <w:p w14:paraId="163CC61E" w14:textId="77777777" w:rsidR="00BF7500" w:rsidRPr="000F7337" w:rsidRDefault="00BF7500" w:rsidP="00BF7500">
      <w:pPr>
        <w:spacing w:after="200" w:line="276" w:lineRule="auto"/>
      </w:pPr>
      <w:r w:rsidRPr="000F7337">
        <w:rPr>
          <w:i/>
          <w:iCs/>
        </w:rPr>
        <w:t>Options: Public Sector / Private Sector / Education / Healthcare / Other</w:t>
      </w:r>
    </w:p>
    <w:p w14:paraId="348920FA" w14:textId="77777777" w:rsidR="00BF7500" w:rsidRPr="000F7337" w:rsidRDefault="00BF7500" w:rsidP="00BF7500">
      <w:pPr>
        <w:spacing w:after="120" w:line="276" w:lineRule="auto"/>
      </w:pPr>
      <w:r w:rsidRPr="000F7337">
        <w:t>Q12. Region:</w:t>
      </w:r>
    </w:p>
    <w:p w14:paraId="0BC2D384" w14:textId="77777777" w:rsidR="00BF7500" w:rsidRPr="000F7337" w:rsidRDefault="00BF7500" w:rsidP="00BF7500">
      <w:pPr>
        <w:spacing w:after="200" w:line="276" w:lineRule="auto"/>
      </w:pPr>
      <w:r w:rsidRPr="000F7337">
        <w:rPr>
          <w:i/>
          <w:iCs/>
        </w:rPr>
        <w:t>Options: UK / EU (specify country) / North America / Middle East / India / Africa / Other (specify)</w:t>
      </w:r>
    </w:p>
    <w:p w14:paraId="4C392760" w14:textId="77777777" w:rsidR="00BF7500" w:rsidRPr="000F7337" w:rsidRDefault="00BF7500" w:rsidP="00BF7500">
      <w:pPr>
        <w:spacing w:after="200" w:line="276" w:lineRule="auto"/>
      </w:pPr>
      <w:r w:rsidRPr="000F7337">
        <w:t>Thank you for completing this survey. Your responses will contribute to MSc research into sustainable building management at the University of Wales Trinity Saint David.</w:t>
      </w:r>
    </w:p>
    <w:p w14:paraId="47A85F19" w14:textId="77777777" w:rsidR="00BF7500" w:rsidRPr="000F7337" w:rsidRDefault="00BF7500" w:rsidP="00BF7500">
      <w:r w:rsidRPr="000F7337">
        <w:br w:type="page"/>
      </w:r>
    </w:p>
    <w:p w14:paraId="21551807" w14:textId="77777777" w:rsidR="00BF7500" w:rsidRPr="000F7337" w:rsidRDefault="00BF7500" w:rsidP="00BF7500">
      <w:pPr>
        <w:pStyle w:val="Heading1"/>
        <w:spacing w:before="400" w:after="200"/>
        <w:rPr>
          <w:rFonts w:ascii="Arial" w:hAnsi="Arial" w:cs="Arial"/>
        </w:rPr>
      </w:pPr>
      <w:bookmarkStart w:id="218" w:name="_Toc220152258"/>
      <w:r w:rsidRPr="000F7337">
        <w:rPr>
          <w:rFonts w:ascii="Arial" w:hAnsi="Arial" w:cs="Arial"/>
          <w:b/>
          <w:bCs/>
        </w:rPr>
        <w:lastRenderedPageBreak/>
        <w:t>Appendix B: Semi-Structured Interview Schedule</w:t>
      </w:r>
      <w:bookmarkEnd w:id="218"/>
    </w:p>
    <w:p w14:paraId="58878521" w14:textId="77777777" w:rsidR="00BF7500" w:rsidRPr="000F7337" w:rsidRDefault="00BF7500" w:rsidP="00BF7500">
      <w:pPr>
        <w:spacing w:after="200"/>
      </w:pPr>
      <w:r w:rsidRPr="000F7337">
        <w:rPr>
          <w:b/>
          <w:bCs/>
          <w:i/>
          <w:iCs/>
        </w:rPr>
        <w:t>AI and Digital Twin Adoption in Post-Construction M&amp;E Systems</w:t>
      </w:r>
    </w:p>
    <w:p w14:paraId="620B32DB" w14:textId="77777777" w:rsidR="00BF7500" w:rsidRPr="000F7337" w:rsidRDefault="00BF7500" w:rsidP="00BF7500">
      <w:pPr>
        <w:pStyle w:val="Heading2"/>
        <w:spacing w:before="300" w:after="150"/>
        <w:rPr>
          <w:rFonts w:ascii="Arial" w:hAnsi="Arial" w:cs="Arial"/>
        </w:rPr>
      </w:pPr>
      <w:bookmarkStart w:id="219" w:name="_Toc220152259"/>
      <w:r w:rsidRPr="000F7337">
        <w:rPr>
          <w:rFonts w:ascii="Arial" w:hAnsi="Arial" w:cs="Arial"/>
          <w:b/>
          <w:bCs/>
        </w:rPr>
        <w:t>Purpose</w:t>
      </w:r>
      <w:bookmarkEnd w:id="219"/>
    </w:p>
    <w:p w14:paraId="62AADCAA" w14:textId="77777777" w:rsidR="00BF7500" w:rsidRPr="000F7337" w:rsidRDefault="00BF7500" w:rsidP="00BF7500">
      <w:pPr>
        <w:spacing w:after="200" w:line="276" w:lineRule="auto"/>
      </w:pPr>
      <w:r w:rsidRPr="000F7337">
        <w:t>This interview schedule seeks to explore professional experiences and perspectives on the use of AI, Digital Twins, and API integration in managing post-construction M&amp;E systems within the Further Education sector in South Wales.</w:t>
      </w:r>
    </w:p>
    <w:p w14:paraId="4FE04F2E" w14:textId="7E3296C1" w:rsidR="00BF7500" w:rsidRPr="000F7337" w:rsidRDefault="00BF7500" w:rsidP="00BF7500">
      <w:pPr>
        <w:spacing w:after="120" w:line="276" w:lineRule="auto"/>
      </w:pPr>
      <w:r w:rsidRPr="000F7337">
        <w:t>Interview Duration: Approximately 30</w:t>
      </w:r>
      <w:r w:rsidR="004535EA">
        <w:t>-</w:t>
      </w:r>
      <w:r w:rsidRPr="000F7337">
        <w:t xml:space="preserve">45 </w:t>
      </w:r>
      <w:r w:rsidR="006A1981" w:rsidRPr="000F7337">
        <w:t>minutes.</w:t>
      </w:r>
    </w:p>
    <w:p w14:paraId="6B4A875A" w14:textId="77777777" w:rsidR="00BF7500" w:rsidRPr="000F7337" w:rsidRDefault="00BF7500" w:rsidP="00BF7500">
      <w:pPr>
        <w:spacing w:after="200" w:line="276" w:lineRule="auto"/>
      </w:pPr>
      <w:r w:rsidRPr="000F7337">
        <w:t>Format: Email questionnaire enabling detailed written responses</w:t>
      </w:r>
    </w:p>
    <w:p w14:paraId="25377A43" w14:textId="77777777" w:rsidR="00BF7500" w:rsidRPr="000F7337" w:rsidRDefault="00BF7500" w:rsidP="00BF7500">
      <w:pPr>
        <w:pStyle w:val="Heading2"/>
        <w:spacing w:before="300" w:after="150"/>
        <w:rPr>
          <w:rFonts w:ascii="Arial" w:hAnsi="Arial" w:cs="Arial"/>
        </w:rPr>
      </w:pPr>
      <w:bookmarkStart w:id="220" w:name="_Toc220152260"/>
      <w:r w:rsidRPr="000F7337">
        <w:rPr>
          <w:rFonts w:ascii="Arial" w:hAnsi="Arial" w:cs="Arial"/>
          <w:b/>
          <w:bCs/>
        </w:rPr>
        <w:t>Section A: Context and Background</w:t>
      </w:r>
      <w:bookmarkEnd w:id="220"/>
    </w:p>
    <w:p w14:paraId="5C5A2BD6" w14:textId="77777777" w:rsidR="00BF7500" w:rsidRPr="000F7337" w:rsidRDefault="00BF7500" w:rsidP="00BF7500">
      <w:pPr>
        <w:spacing w:after="120" w:line="276" w:lineRule="auto"/>
      </w:pPr>
      <w:r w:rsidRPr="000F7337">
        <w:t>Q1. Can you briefly describe your role and your level of involvement in the operational or strategic management of building M&amp;E systems?</w:t>
      </w:r>
    </w:p>
    <w:p w14:paraId="0A50A63C" w14:textId="77777777" w:rsidR="00BF7500" w:rsidRPr="000F7337" w:rsidRDefault="00BF7500" w:rsidP="00BF7500">
      <w:pPr>
        <w:spacing w:after="200" w:line="276" w:lineRule="auto"/>
      </w:pPr>
      <w:r w:rsidRPr="000F7337">
        <w:rPr>
          <w:i/>
          <w:iCs/>
        </w:rPr>
        <w:t>Probes: Day-to-day responsibilities; decision-making authority; portfolio size</w:t>
      </w:r>
    </w:p>
    <w:p w14:paraId="5305F814" w14:textId="77777777" w:rsidR="00BF7500" w:rsidRPr="000F7337" w:rsidRDefault="00BF7500" w:rsidP="00BF7500">
      <w:pPr>
        <w:spacing w:after="120" w:line="276" w:lineRule="auto"/>
      </w:pPr>
      <w:r w:rsidRPr="000F7337">
        <w:t>Q2. How would you describe your organisation's overall approach to digital technologies in the management of buildings and M&amp;E systems?</w:t>
      </w:r>
    </w:p>
    <w:p w14:paraId="270AFE85" w14:textId="77777777" w:rsidR="00BF7500" w:rsidRPr="000F7337" w:rsidRDefault="00BF7500" w:rsidP="00BF7500">
      <w:pPr>
        <w:spacing w:after="200" w:line="276" w:lineRule="auto"/>
      </w:pPr>
      <w:r w:rsidRPr="000F7337">
        <w:rPr>
          <w:i/>
          <w:iCs/>
        </w:rPr>
        <w:t>Probes: Current systems in use; strategic priorities; recent investments</w:t>
      </w:r>
    </w:p>
    <w:p w14:paraId="6BD2F354" w14:textId="77777777" w:rsidR="00BF7500" w:rsidRPr="000F7337" w:rsidRDefault="00BF7500" w:rsidP="00BF7500">
      <w:pPr>
        <w:pStyle w:val="Heading2"/>
        <w:spacing w:before="300" w:after="150"/>
        <w:rPr>
          <w:rFonts w:ascii="Arial" w:hAnsi="Arial" w:cs="Arial"/>
        </w:rPr>
      </w:pPr>
      <w:bookmarkStart w:id="221" w:name="_Toc220152261"/>
      <w:r w:rsidRPr="000F7337">
        <w:rPr>
          <w:rFonts w:ascii="Arial" w:hAnsi="Arial" w:cs="Arial"/>
          <w:b/>
          <w:bCs/>
        </w:rPr>
        <w:t>Section B: Adoption and Integration</w:t>
      </w:r>
      <w:bookmarkEnd w:id="221"/>
    </w:p>
    <w:p w14:paraId="16CDD481" w14:textId="77777777" w:rsidR="00BF7500" w:rsidRPr="000F7337" w:rsidRDefault="00BF7500" w:rsidP="00BF7500">
      <w:pPr>
        <w:spacing w:after="120" w:line="276" w:lineRule="auto"/>
      </w:pPr>
      <w:r w:rsidRPr="000F7337">
        <w:t>Q3. Have AI, Digital Twin, or predictive maintenance solutions been implemented within your organisation's building portfolio? If so, can you describe these?</w:t>
      </w:r>
    </w:p>
    <w:p w14:paraId="715E1D6C" w14:textId="77777777" w:rsidR="00BF7500" w:rsidRPr="000F7337" w:rsidRDefault="00BF7500" w:rsidP="00BF7500">
      <w:pPr>
        <w:spacing w:after="200" w:line="276" w:lineRule="auto"/>
      </w:pPr>
      <w:r w:rsidRPr="000F7337">
        <w:rPr>
          <w:i/>
          <w:iCs/>
        </w:rPr>
        <w:t>Probes: Specific technologies; success factors; lessons learned</w:t>
      </w:r>
    </w:p>
    <w:p w14:paraId="429B99CB" w14:textId="77777777" w:rsidR="00BF7500" w:rsidRPr="000F7337" w:rsidRDefault="00BF7500" w:rsidP="00BF7500">
      <w:pPr>
        <w:spacing w:after="120" w:line="276" w:lineRule="auto"/>
      </w:pPr>
      <w:r w:rsidRPr="000F7337">
        <w:t>Q4. What technical or data-interoperability challenges have you experienced, particularly in relation to legacy systems or connecting different vendor platforms?</w:t>
      </w:r>
    </w:p>
    <w:p w14:paraId="6667C767" w14:textId="77777777" w:rsidR="00BF7500" w:rsidRPr="000F7337" w:rsidRDefault="00BF7500" w:rsidP="00BF7500">
      <w:pPr>
        <w:spacing w:after="200" w:line="276" w:lineRule="auto"/>
      </w:pPr>
      <w:r w:rsidRPr="000F7337">
        <w:rPr>
          <w:i/>
          <w:iCs/>
        </w:rPr>
        <w:t>Probes: BMS compatibility; data silos; protocol issues (BACnet, Modbus); middleware requirements</w:t>
      </w:r>
    </w:p>
    <w:p w14:paraId="36599F46" w14:textId="77777777" w:rsidR="00BF7500" w:rsidRPr="000F7337" w:rsidRDefault="00BF7500" w:rsidP="00BF7500">
      <w:pPr>
        <w:pStyle w:val="Heading2"/>
        <w:spacing w:before="300" w:after="150"/>
        <w:rPr>
          <w:rFonts w:ascii="Arial" w:hAnsi="Arial" w:cs="Arial"/>
        </w:rPr>
      </w:pPr>
      <w:bookmarkStart w:id="222" w:name="_Toc220152262"/>
      <w:r w:rsidRPr="000F7337">
        <w:rPr>
          <w:rFonts w:ascii="Arial" w:hAnsi="Arial" w:cs="Arial"/>
          <w:b/>
          <w:bCs/>
        </w:rPr>
        <w:t>Section C: Governance, Skills, and Culture</w:t>
      </w:r>
      <w:bookmarkEnd w:id="222"/>
    </w:p>
    <w:p w14:paraId="274006A4" w14:textId="77777777" w:rsidR="00BF7500" w:rsidRPr="000F7337" w:rsidRDefault="00BF7500" w:rsidP="00BF7500">
      <w:pPr>
        <w:spacing w:after="120" w:line="276" w:lineRule="auto"/>
      </w:pPr>
      <w:r w:rsidRPr="000F7337">
        <w:t>Q5. How are cybersecurity, data governance, and privacy issues managed in relation to building systems and any cloud-based platforms?</w:t>
      </w:r>
    </w:p>
    <w:p w14:paraId="5E4B7C9F" w14:textId="77777777" w:rsidR="00BF7500" w:rsidRPr="000F7337" w:rsidRDefault="00BF7500" w:rsidP="00BF7500">
      <w:pPr>
        <w:spacing w:after="200" w:line="276" w:lineRule="auto"/>
      </w:pPr>
      <w:r w:rsidRPr="000F7337">
        <w:rPr>
          <w:i/>
          <w:iCs/>
        </w:rPr>
        <w:t>Probes: IT involvement; cloud concerns; future risks</w:t>
      </w:r>
    </w:p>
    <w:p w14:paraId="10F8BEB3" w14:textId="77777777" w:rsidR="00BF7500" w:rsidRPr="000F7337" w:rsidRDefault="00BF7500" w:rsidP="00BF7500">
      <w:pPr>
        <w:spacing w:after="120" w:line="276" w:lineRule="auto"/>
      </w:pPr>
      <w:r w:rsidRPr="000F7337">
        <w:t>Q6. How would you describe the digital skills and readiness of staff involved in M&amp;E operations, and what factors influence successful technology adoption?</w:t>
      </w:r>
    </w:p>
    <w:p w14:paraId="31B891D3" w14:textId="77777777" w:rsidR="00BF7500" w:rsidRPr="000F7337" w:rsidRDefault="00BF7500" w:rsidP="00BF7500">
      <w:pPr>
        <w:spacing w:after="200" w:line="276" w:lineRule="auto"/>
      </w:pPr>
      <w:r w:rsidRPr="000F7337">
        <w:rPr>
          <w:i/>
          <w:iCs/>
        </w:rPr>
        <w:t>Probes: Generational differences; vendor training; executive sponsorship; organisational culture</w:t>
      </w:r>
    </w:p>
    <w:p w14:paraId="10BF195B" w14:textId="77777777" w:rsidR="00BF7500" w:rsidRPr="000F7337" w:rsidRDefault="00BF7500" w:rsidP="00BF7500">
      <w:pPr>
        <w:pStyle w:val="Heading2"/>
        <w:spacing w:before="300" w:after="150"/>
        <w:rPr>
          <w:rFonts w:ascii="Arial" w:hAnsi="Arial" w:cs="Arial"/>
        </w:rPr>
      </w:pPr>
      <w:bookmarkStart w:id="223" w:name="_Toc220152263"/>
      <w:r w:rsidRPr="000F7337">
        <w:rPr>
          <w:rFonts w:ascii="Arial" w:hAnsi="Arial" w:cs="Arial"/>
          <w:b/>
          <w:bCs/>
        </w:rPr>
        <w:lastRenderedPageBreak/>
        <w:t>Section D: Sustainability and Value</w:t>
      </w:r>
      <w:bookmarkEnd w:id="223"/>
    </w:p>
    <w:p w14:paraId="0E3C7966" w14:textId="77777777" w:rsidR="00BF7500" w:rsidRPr="000F7337" w:rsidRDefault="00BF7500" w:rsidP="00BF7500">
      <w:pPr>
        <w:spacing w:after="120" w:line="276" w:lineRule="auto"/>
      </w:pPr>
      <w:r w:rsidRPr="000F7337">
        <w:t>Q7. Have digital technologies delivered measurable benefits in terms of energy performance, operational efficiency, or carbon reduction? Can you provide examples?</w:t>
      </w:r>
    </w:p>
    <w:p w14:paraId="410A0084" w14:textId="77777777" w:rsidR="00BF7500" w:rsidRPr="000F7337" w:rsidRDefault="00BF7500" w:rsidP="00BF7500">
      <w:pPr>
        <w:spacing w:after="200" w:line="276" w:lineRule="auto"/>
      </w:pPr>
      <w:r w:rsidRPr="000F7337">
        <w:rPr>
          <w:i/>
          <w:iCs/>
        </w:rPr>
        <w:t>Probes: Quantified savings; M&amp;V evidence; reporting requirements (DEC, SECR)</w:t>
      </w:r>
    </w:p>
    <w:p w14:paraId="37C2A637" w14:textId="77777777" w:rsidR="00BF7500" w:rsidRPr="000F7337" w:rsidRDefault="00BF7500" w:rsidP="00BF7500">
      <w:pPr>
        <w:pStyle w:val="Heading2"/>
        <w:spacing w:before="300" w:after="150"/>
        <w:rPr>
          <w:rFonts w:ascii="Arial" w:hAnsi="Arial" w:cs="Arial"/>
        </w:rPr>
      </w:pPr>
      <w:bookmarkStart w:id="224" w:name="_Toc220152264"/>
      <w:r w:rsidRPr="000F7337">
        <w:rPr>
          <w:rFonts w:ascii="Arial" w:hAnsi="Arial" w:cs="Arial"/>
          <w:b/>
          <w:bCs/>
        </w:rPr>
        <w:t>Section E: Barriers and Future Outlook</w:t>
      </w:r>
      <w:bookmarkEnd w:id="224"/>
    </w:p>
    <w:p w14:paraId="416F52CA" w14:textId="77777777" w:rsidR="00BF7500" w:rsidRPr="000F7337" w:rsidRDefault="00BF7500" w:rsidP="00BF7500">
      <w:pPr>
        <w:spacing w:after="120" w:line="276" w:lineRule="auto"/>
      </w:pPr>
      <w:r w:rsidRPr="000F7337">
        <w:t>Q8. In your opinion, what is the single biggest barrier preventing wider adoption of AI and Digital Twin solutions in existing FE buildings, and what would help overcome it?</w:t>
      </w:r>
    </w:p>
    <w:p w14:paraId="66C7DBCF" w14:textId="77777777" w:rsidR="00BF7500" w:rsidRPr="000F7337" w:rsidRDefault="00BF7500" w:rsidP="00BF7500">
      <w:pPr>
        <w:spacing w:after="200" w:line="276" w:lineRule="auto"/>
      </w:pPr>
      <w:r w:rsidRPr="000F7337">
        <w:rPr>
          <w:i/>
          <w:iCs/>
        </w:rPr>
        <w:t>Probes: Funding models; procurement culture; phased approaches; demonstration projects</w:t>
      </w:r>
    </w:p>
    <w:p w14:paraId="1C487888" w14:textId="77777777" w:rsidR="00BF7500" w:rsidRPr="000F7337" w:rsidRDefault="00BF7500" w:rsidP="00BF7500">
      <w:pPr>
        <w:pStyle w:val="Heading2"/>
        <w:spacing w:before="300" w:after="150"/>
        <w:rPr>
          <w:rFonts w:ascii="Arial" w:hAnsi="Arial" w:cs="Arial"/>
        </w:rPr>
      </w:pPr>
      <w:bookmarkStart w:id="225" w:name="_Toc220152265"/>
      <w:r w:rsidRPr="000F7337">
        <w:rPr>
          <w:rFonts w:ascii="Arial" w:hAnsi="Arial" w:cs="Arial"/>
          <w:b/>
          <w:bCs/>
        </w:rPr>
        <w:t>Closing</w:t>
      </w:r>
      <w:bookmarkEnd w:id="225"/>
    </w:p>
    <w:p w14:paraId="2344B533" w14:textId="77777777" w:rsidR="00BF7500" w:rsidRPr="000F7337" w:rsidRDefault="00BF7500" w:rsidP="00BF7500">
      <w:pPr>
        <w:spacing w:after="200" w:line="276" w:lineRule="auto"/>
      </w:pPr>
      <w:r w:rsidRPr="000F7337">
        <w:t>Is there anything else you feel is important for understanding the future role of AI and Digital Twin technologies in sustainable building management within the FE sector?</w:t>
      </w:r>
    </w:p>
    <w:p w14:paraId="1DE83D6C" w14:textId="77777777" w:rsidR="00BF7500" w:rsidRPr="000F7337" w:rsidRDefault="00BF7500" w:rsidP="00BF7500">
      <w:pPr>
        <w:spacing w:after="200" w:line="276" w:lineRule="auto"/>
      </w:pPr>
      <w:r w:rsidRPr="000F7337">
        <w:t>Thank you for your participation. A transcript summary will be shared for verification if requested.</w:t>
      </w:r>
    </w:p>
    <w:p w14:paraId="71890E2E" w14:textId="77777777" w:rsidR="00BF7500" w:rsidRPr="000F7337" w:rsidRDefault="00BF7500" w:rsidP="00BF7500">
      <w:r w:rsidRPr="000F7337">
        <w:br w:type="page"/>
      </w:r>
    </w:p>
    <w:p w14:paraId="31F1F286" w14:textId="77777777" w:rsidR="00BF7500" w:rsidRPr="000F7337" w:rsidRDefault="00BF7500" w:rsidP="00BF7500">
      <w:pPr>
        <w:pStyle w:val="Heading1"/>
        <w:spacing w:before="400" w:after="200"/>
        <w:rPr>
          <w:rFonts w:ascii="Arial" w:hAnsi="Arial" w:cs="Arial"/>
        </w:rPr>
      </w:pPr>
      <w:bookmarkStart w:id="226" w:name="_Toc220152266"/>
      <w:r w:rsidRPr="000F7337">
        <w:rPr>
          <w:rFonts w:ascii="Arial" w:hAnsi="Arial" w:cs="Arial"/>
          <w:b/>
          <w:bCs/>
        </w:rPr>
        <w:lastRenderedPageBreak/>
        <w:t>Appendix C: Participant Information and Consent</w:t>
      </w:r>
      <w:bookmarkEnd w:id="226"/>
    </w:p>
    <w:p w14:paraId="29F1C33E" w14:textId="77777777" w:rsidR="00BF7500" w:rsidRPr="000F7337" w:rsidRDefault="00BF7500" w:rsidP="00BF7500">
      <w:pPr>
        <w:pStyle w:val="Heading2"/>
        <w:spacing w:before="300" w:after="150"/>
        <w:rPr>
          <w:rFonts w:ascii="Arial" w:hAnsi="Arial" w:cs="Arial"/>
        </w:rPr>
      </w:pPr>
      <w:bookmarkStart w:id="227" w:name="_Toc220152267"/>
      <w:r w:rsidRPr="000F7337">
        <w:rPr>
          <w:rFonts w:ascii="Arial" w:hAnsi="Arial" w:cs="Arial"/>
          <w:b/>
          <w:bCs/>
        </w:rPr>
        <w:t>C.1 Survey Participation (LinkedIn Distribution)</w:t>
      </w:r>
      <w:bookmarkEnd w:id="227"/>
    </w:p>
    <w:p w14:paraId="3ADBDCB8" w14:textId="34E92E4D" w:rsidR="00BF7500" w:rsidRPr="000F7337" w:rsidRDefault="00BF7500" w:rsidP="00BF7500">
      <w:pPr>
        <w:spacing w:after="200" w:line="276" w:lineRule="auto"/>
      </w:pPr>
      <w:r w:rsidRPr="000F7337">
        <w:t xml:space="preserve">The online survey was distributed via LinkedIn professional networks and direct email to built environment professionals during </w:t>
      </w:r>
      <w:r w:rsidR="00942B3D" w:rsidRPr="000F7337">
        <w:t>November - December</w:t>
      </w:r>
      <w:r w:rsidRPr="000F7337">
        <w:t xml:space="preserve"> 2025. Participant information was embedded within the survey instrument itself, presented on the opening page before any questions were displayed.</w:t>
      </w:r>
    </w:p>
    <w:p w14:paraId="1FAF455B" w14:textId="6B72C289" w:rsidR="00BF7500" w:rsidRPr="000F7337" w:rsidRDefault="00BF7500" w:rsidP="00BF7500">
      <w:pPr>
        <w:spacing w:after="200" w:line="276" w:lineRule="auto"/>
      </w:pPr>
      <w:r w:rsidRPr="000F7337">
        <w:t xml:space="preserve">Participants were informed of the following before </w:t>
      </w:r>
      <w:r w:rsidR="008F0056" w:rsidRPr="000F7337">
        <w:t>continuing</w:t>
      </w:r>
      <w:r w:rsidRPr="000F7337">
        <w:t>:</w:t>
      </w:r>
    </w:p>
    <w:p w14:paraId="2204649D" w14:textId="77777777" w:rsidR="00BF7500" w:rsidRPr="000F7337" w:rsidRDefault="00BF7500" w:rsidP="00BF7500">
      <w:pPr>
        <w:spacing w:after="80"/>
        <w:ind w:left="720" w:hanging="360"/>
      </w:pPr>
      <w:r w:rsidRPr="000F7337">
        <w:t>• Research title and purpose</w:t>
      </w:r>
    </w:p>
    <w:p w14:paraId="1D94A97D" w14:textId="77777777" w:rsidR="00BF7500" w:rsidRPr="000F7337" w:rsidRDefault="00BF7500" w:rsidP="00BF7500">
      <w:pPr>
        <w:spacing w:after="80"/>
        <w:ind w:left="720" w:hanging="360"/>
      </w:pPr>
      <w:r w:rsidRPr="000F7337">
        <w:t>• Researcher details and institutional affiliation</w:t>
      </w:r>
    </w:p>
    <w:p w14:paraId="6B36DAB4" w14:textId="77777777" w:rsidR="00BF7500" w:rsidRPr="000F7337" w:rsidRDefault="00BF7500" w:rsidP="00BF7500">
      <w:pPr>
        <w:spacing w:after="80"/>
        <w:ind w:left="720" w:hanging="360"/>
      </w:pPr>
      <w:r w:rsidRPr="000F7337">
        <w:t>• Voluntary nature of participation</w:t>
      </w:r>
    </w:p>
    <w:p w14:paraId="3271115F" w14:textId="77777777" w:rsidR="00BF7500" w:rsidRPr="000F7337" w:rsidRDefault="00BF7500" w:rsidP="00BF7500">
      <w:pPr>
        <w:spacing w:after="80"/>
        <w:ind w:left="720" w:hanging="360"/>
      </w:pPr>
      <w:r w:rsidRPr="000F7337">
        <w:t>• Anonymous data collection (no personally identifiable information recorded)</w:t>
      </w:r>
    </w:p>
    <w:p w14:paraId="36B4253B" w14:textId="77777777" w:rsidR="00BF7500" w:rsidRPr="000F7337" w:rsidRDefault="00BF7500" w:rsidP="00BF7500">
      <w:pPr>
        <w:spacing w:after="80"/>
        <w:ind w:left="720" w:hanging="360"/>
      </w:pPr>
      <w:r w:rsidRPr="000F7337">
        <w:t>• GDPR compliance and data handling procedures</w:t>
      </w:r>
    </w:p>
    <w:p w14:paraId="3805195B" w14:textId="77777777" w:rsidR="00BF7500" w:rsidRPr="000F7337" w:rsidRDefault="00BF7500" w:rsidP="00BF7500">
      <w:pPr>
        <w:spacing w:after="80"/>
        <w:ind w:left="720" w:hanging="360"/>
      </w:pPr>
      <w:r w:rsidRPr="000F7337">
        <w:t>• Ethics approval reference</w:t>
      </w:r>
    </w:p>
    <w:p w14:paraId="36AA987E" w14:textId="488396E0" w:rsidR="00BF7500" w:rsidRPr="000F7337" w:rsidRDefault="008F0056" w:rsidP="00BF7500">
      <w:pPr>
        <w:spacing w:after="200" w:line="276" w:lineRule="auto"/>
      </w:pPr>
      <w:r w:rsidRPr="000F7337">
        <w:t>Following</w:t>
      </w:r>
      <w:r w:rsidR="00BF7500" w:rsidRPr="000F7337">
        <w:t xml:space="preserve"> standard practice for online survey research, consent was </w:t>
      </w:r>
      <w:r w:rsidRPr="000F7337">
        <w:t>shown</w:t>
      </w:r>
      <w:r w:rsidR="00BF7500" w:rsidRPr="000F7337">
        <w:t xml:space="preserve"> by voluntary completion and submission of the questionnaire. Participants could exit the survey at any point before submission without their responses being recorded. This approach follows established conventions for anonymous online surveys where formal signed consent is neither practical nor necessary given the non-sensitive nature of the professional opinion data collected (Bryman, 2021; Saunders, </w:t>
      </w:r>
      <w:r w:rsidR="006A1981" w:rsidRPr="000F7337">
        <w:t>Lewis,</w:t>
      </w:r>
      <w:r w:rsidR="00BF7500" w:rsidRPr="000F7337">
        <w:t xml:space="preserve"> and Thornhill, 2023).</w:t>
      </w:r>
    </w:p>
    <w:p w14:paraId="49A8EAD8" w14:textId="77777777" w:rsidR="00BF7500" w:rsidRPr="000F7337" w:rsidRDefault="00BF7500" w:rsidP="00BF7500">
      <w:pPr>
        <w:pStyle w:val="Heading2"/>
        <w:spacing w:before="300" w:after="150"/>
        <w:rPr>
          <w:rFonts w:ascii="Arial" w:hAnsi="Arial" w:cs="Arial"/>
        </w:rPr>
      </w:pPr>
      <w:bookmarkStart w:id="228" w:name="_Toc220152268"/>
      <w:r w:rsidRPr="000F7337">
        <w:rPr>
          <w:rFonts w:ascii="Arial" w:hAnsi="Arial" w:cs="Arial"/>
          <w:b/>
          <w:bCs/>
        </w:rPr>
        <w:t>Survey Preamble Text</w:t>
      </w:r>
      <w:bookmarkEnd w:id="228"/>
    </w:p>
    <w:p w14:paraId="70464ED6" w14:textId="77777777" w:rsidR="00BF7500" w:rsidRPr="000F7337" w:rsidRDefault="00BF7500" w:rsidP="00BF7500">
      <w:pPr>
        <w:shd w:val="clear" w:color="auto" w:fill="F5F5F5"/>
        <w:spacing w:after="200" w:line="276" w:lineRule="auto"/>
        <w:ind w:left="360" w:right="360"/>
      </w:pPr>
      <w:r w:rsidRPr="000F7337">
        <w:rPr>
          <w:i/>
          <w:iCs/>
          <w:sz w:val="22"/>
          <w:szCs w:val="22"/>
        </w:rPr>
        <w:t>Research Title: Enhancing Sustainability in Post-Construction Management through AI-Enabled Digital Twins for M&amp;E Systems</w:t>
      </w:r>
    </w:p>
    <w:p w14:paraId="544B56EF" w14:textId="77777777" w:rsidR="00BF7500" w:rsidRPr="000F7337" w:rsidRDefault="00BF7500" w:rsidP="00BF7500">
      <w:pPr>
        <w:shd w:val="clear" w:color="auto" w:fill="F5F5F5"/>
        <w:spacing w:after="200" w:line="276" w:lineRule="auto"/>
        <w:ind w:left="360" w:right="360"/>
      </w:pPr>
      <w:r w:rsidRPr="000F7337">
        <w:rPr>
          <w:i/>
          <w:iCs/>
          <w:sz w:val="22"/>
          <w:szCs w:val="22"/>
        </w:rPr>
        <w:t>Researcher: Paul Davies, MSc Sustainable Construction, University of Wales Trinity Saint David. Supervisor: Dr Deborah Hughes. Contact: 2203997@student.uwtsd.ac.uk</w:t>
      </w:r>
    </w:p>
    <w:p w14:paraId="6952FDF1" w14:textId="5A855A14" w:rsidR="00BF7500" w:rsidRPr="000F7337" w:rsidRDefault="00BF7500" w:rsidP="00BF7500">
      <w:pPr>
        <w:shd w:val="clear" w:color="auto" w:fill="F5F5F5"/>
        <w:spacing w:after="200" w:line="276" w:lineRule="auto"/>
        <w:ind w:left="360" w:right="360"/>
      </w:pPr>
      <w:r w:rsidRPr="000F7337">
        <w:rPr>
          <w:i/>
          <w:iCs/>
          <w:sz w:val="22"/>
          <w:szCs w:val="22"/>
        </w:rPr>
        <w:t xml:space="preserve">You are invited to </w:t>
      </w:r>
      <w:r w:rsidR="008F0056" w:rsidRPr="000F7337">
        <w:rPr>
          <w:i/>
          <w:iCs/>
          <w:sz w:val="22"/>
          <w:szCs w:val="22"/>
        </w:rPr>
        <w:t>take part</w:t>
      </w:r>
      <w:r w:rsidRPr="000F7337">
        <w:rPr>
          <w:i/>
          <w:iCs/>
          <w:sz w:val="22"/>
          <w:szCs w:val="22"/>
        </w:rPr>
        <w:t xml:space="preserve"> in research exploring how AI and Digital Twin technologies can improve sustainability in building M&amp;E systems. This survey takes approximately 8</w:t>
      </w:r>
      <w:r w:rsidR="004535EA">
        <w:rPr>
          <w:i/>
          <w:iCs/>
          <w:sz w:val="22"/>
          <w:szCs w:val="22"/>
        </w:rPr>
        <w:t>-</w:t>
      </w:r>
      <w:r w:rsidRPr="000F7337">
        <w:rPr>
          <w:i/>
          <w:iCs/>
          <w:sz w:val="22"/>
          <w:szCs w:val="22"/>
        </w:rPr>
        <w:t xml:space="preserve">10 minutes. Participation is voluntary and anonymous. By completing this survey, you </w:t>
      </w:r>
      <w:r w:rsidR="008F0056" w:rsidRPr="000F7337">
        <w:rPr>
          <w:i/>
          <w:iCs/>
          <w:sz w:val="22"/>
          <w:szCs w:val="22"/>
        </w:rPr>
        <w:t>show</w:t>
      </w:r>
      <w:r w:rsidRPr="000F7337">
        <w:rPr>
          <w:i/>
          <w:iCs/>
          <w:sz w:val="22"/>
          <w:szCs w:val="22"/>
        </w:rPr>
        <w:t xml:space="preserve"> your consent to </w:t>
      </w:r>
      <w:r w:rsidR="008F0056" w:rsidRPr="000F7337">
        <w:rPr>
          <w:i/>
          <w:iCs/>
          <w:sz w:val="22"/>
          <w:szCs w:val="22"/>
        </w:rPr>
        <w:t>take part</w:t>
      </w:r>
      <w:r w:rsidRPr="000F7337">
        <w:rPr>
          <w:i/>
          <w:iCs/>
          <w:sz w:val="22"/>
          <w:szCs w:val="22"/>
        </w:rPr>
        <w:t>. Ethics Reference: UWTSD (PG2 approved 23 June 2025).</w:t>
      </w:r>
    </w:p>
    <w:p w14:paraId="2FE4EEB4" w14:textId="77777777" w:rsidR="00BF7500" w:rsidRPr="000F7337" w:rsidRDefault="00BF7500" w:rsidP="00BF7500">
      <w:pPr>
        <w:pStyle w:val="Heading2"/>
        <w:spacing w:before="300" w:after="150"/>
        <w:rPr>
          <w:rFonts w:ascii="Arial" w:hAnsi="Arial" w:cs="Arial"/>
        </w:rPr>
      </w:pPr>
      <w:bookmarkStart w:id="229" w:name="_Toc220152269"/>
      <w:r w:rsidRPr="000F7337">
        <w:rPr>
          <w:rFonts w:ascii="Arial" w:hAnsi="Arial" w:cs="Arial"/>
          <w:b/>
          <w:bCs/>
        </w:rPr>
        <w:t>C.2 Interview Participant Information and Consent</w:t>
      </w:r>
      <w:bookmarkEnd w:id="229"/>
    </w:p>
    <w:p w14:paraId="7CA6354C" w14:textId="75D8205B" w:rsidR="00BF7500" w:rsidRPr="000F7337" w:rsidRDefault="00BF7500" w:rsidP="00BF7500">
      <w:pPr>
        <w:spacing w:after="200" w:line="276" w:lineRule="auto"/>
      </w:pPr>
      <w:r w:rsidRPr="000F7337">
        <w:t xml:space="preserve">Interview participants received detailed information sheets via email prior to participation. Written consent was obtained from all six interview participants before data collection </w:t>
      </w:r>
      <w:r w:rsidR="008F0056" w:rsidRPr="000F7337">
        <w:t>began</w:t>
      </w:r>
      <w:r w:rsidRPr="000F7337">
        <w:t>.</w:t>
      </w:r>
    </w:p>
    <w:p w14:paraId="0F579082" w14:textId="77777777" w:rsidR="00BF7500" w:rsidRPr="000F7337" w:rsidRDefault="00BF7500" w:rsidP="00BF7500">
      <w:pPr>
        <w:spacing w:after="120" w:line="276" w:lineRule="auto"/>
      </w:pPr>
      <w:r w:rsidRPr="000F7337">
        <w:lastRenderedPageBreak/>
        <w:t>Research Title: Enhancing Sustainability in Post-Construction Management through AI-Enabled Digital Twins for M&amp;E Systems</w:t>
      </w:r>
    </w:p>
    <w:p w14:paraId="2D4F9448" w14:textId="77777777" w:rsidR="00BF7500" w:rsidRPr="000F7337" w:rsidRDefault="00BF7500" w:rsidP="00BF7500">
      <w:pPr>
        <w:spacing w:after="120" w:line="276" w:lineRule="auto"/>
      </w:pPr>
      <w:r w:rsidRPr="000F7337">
        <w:t>Researcher: Paul Davies, MSc Sustainable Construction</w:t>
      </w:r>
    </w:p>
    <w:p w14:paraId="60F86BD1" w14:textId="77777777" w:rsidR="00BF7500" w:rsidRPr="000F7337" w:rsidRDefault="00BF7500" w:rsidP="00BF7500">
      <w:pPr>
        <w:spacing w:after="120" w:line="276" w:lineRule="auto"/>
      </w:pPr>
      <w:r w:rsidRPr="000F7337">
        <w:t>Institution: University of Wales Trinity Saint David</w:t>
      </w:r>
    </w:p>
    <w:p w14:paraId="354D0CB7" w14:textId="77777777" w:rsidR="00BF7500" w:rsidRPr="000F7337" w:rsidRDefault="00BF7500" w:rsidP="00BF7500">
      <w:pPr>
        <w:spacing w:after="120" w:line="276" w:lineRule="auto"/>
      </w:pPr>
      <w:r w:rsidRPr="000F7337">
        <w:t>Supervisor: Dr Deborah Hughes</w:t>
      </w:r>
    </w:p>
    <w:p w14:paraId="67ED8F83" w14:textId="77777777" w:rsidR="00BF7500" w:rsidRPr="000F7337" w:rsidRDefault="00BF7500" w:rsidP="00BF7500">
      <w:pPr>
        <w:spacing w:after="200" w:line="276" w:lineRule="auto"/>
      </w:pPr>
      <w:r w:rsidRPr="000F7337">
        <w:t>Contact: 2203997@student.uwtsd.ac.uk</w:t>
      </w:r>
    </w:p>
    <w:p w14:paraId="1FA775ED" w14:textId="77777777" w:rsidR="00BF7500" w:rsidRPr="000F7337" w:rsidRDefault="00BF7500" w:rsidP="00BF7500">
      <w:pPr>
        <w:spacing w:after="200" w:line="276" w:lineRule="auto"/>
      </w:pPr>
      <w:r w:rsidRPr="000F7337">
        <w:t>Purpose: This research investigates how API-driven AI and Digital Twin technologies can enhance the sustainability of post-construction M&amp;E systems, with particular focus on the Further Education sector in South Wales.</w:t>
      </w:r>
    </w:p>
    <w:p w14:paraId="7663B6B2" w14:textId="77777777" w:rsidR="00BF7500" w:rsidRPr="000F7337" w:rsidRDefault="00BF7500" w:rsidP="00BF7500">
      <w:pPr>
        <w:spacing w:after="200" w:line="276" w:lineRule="auto"/>
      </w:pPr>
      <w:r w:rsidRPr="000F7337">
        <w:t>What participation involves: An email-based questionnaire enabling detailed written responses at your convenience. The questions explore your professional experience with building technologies, adoption barriers, and sustainability outcomes.</w:t>
      </w:r>
    </w:p>
    <w:p w14:paraId="6A64D44E" w14:textId="77777777" w:rsidR="00BF7500" w:rsidRPr="000F7337" w:rsidRDefault="00BF7500" w:rsidP="00BF7500">
      <w:pPr>
        <w:spacing w:after="200" w:line="276" w:lineRule="auto"/>
      </w:pPr>
      <w:r w:rsidRPr="000F7337">
        <w:t>Confidentiality: Your responses will be anonymised in all outputs. Direct quotations may be used but will be attributed to role-based codes (e.g., FM1, ED1) rather than names. Organisation names will be included only with explicit permission.</w:t>
      </w:r>
    </w:p>
    <w:p w14:paraId="3931A81A" w14:textId="5F7DA51E" w:rsidR="00BF7500" w:rsidRPr="000F7337" w:rsidRDefault="00BF7500" w:rsidP="00BF7500">
      <w:pPr>
        <w:spacing w:after="200" w:line="276" w:lineRule="auto"/>
      </w:pPr>
      <w:r w:rsidRPr="000F7337">
        <w:t xml:space="preserve">Data storage: Responses will be stored securely on password-protected UWTSD systems and retained for up to 5 years </w:t>
      </w:r>
      <w:r w:rsidR="008F0056" w:rsidRPr="000F7337">
        <w:t>following</w:t>
      </w:r>
      <w:r w:rsidRPr="000F7337">
        <w:t xml:space="preserve"> university policy.</w:t>
      </w:r>
    </w:p>
    <w:p w14:paraId="410AB946" w14:textId="77777777" w:rsidR="00BF7500" w:rsidRPr="000F7337" w:rsidRDefault="00BF7500" w:rsidP="00BF7500">
      <w:pPr>
        <w:spacing w:after="200" w:line="276" w:lineRule="auto"/>
      </w:pPr>
      <w:r w:rsidRPr="000F7337">
        <w:t>Withdrawal: You may withdraw from the study at any time up to two weeks following submission of your responses without giving a reason.</w:t>
      </w:r>
    </w:p>
    <w:p w14:paraId="53728560" w14:textId="77777777" w:rsidR="00BF7500" w:rsidRPr="000F7337" w:rsidRDefault="00BF7500" w:rsidP="00BF7500">
      <w:pPr>
        <w:pStyle w:val="Heading2"/>
        <w:spacing w:before="300" w:after="150"/>
        <w:rPr>
          <w:rFonts w:ascii="Arial" w:hAnsi="Arial" w:cs="Arial"/>
        </w:rPr>
      </w:pPr>
      <w:bookmarkStart w:id="230" w:name="_Toc220152270"/>
      <w:r w:rsidRPr="000F7337">
        <w:rPr>
          <w:rFonts w:ascii="Arial" w:hAnsi="Arial" w:cs="Arial"/>
          <w:b/>
          <w:bCs/>
        </w:rPr>
        <w:t>Interview Consent Statement</w:t>
      </w:r>
      <w:bookmarkEnd w:id="230"/>
    </w:p>
    <w:p w14:paraId="6B7390A2" w14:textId="77777777" w:rsidR="00BF7500" w:rsidRPr="000F7337" w:rsidRDefault="00BF7500" w:rsidP="00BF7500">
      <w:pPr>
        <w:spacing w:after="200" w:line="276" w:lineRule="auto"/>
      </w:pPr>
      <w:r w:rsidRPr="000F7337">
        <w:t>By signing below, I confirm that:</w:t>
      </w:r>
    </w:p>
    <w:p w14:paraId="4B80921C" w14:textId="77777777" w:rsidR="00BF7500" w:rsidRPr="000F7337" w:rsidRDefault="00BF7500" w:rsidP="00BF7500">
      <w:pPr>
        <w:spacing w:after="80"/>
        <w:ind w:left="720" w:hanging="360"/>
      </w:pPr>
      <w:r w:rsidRPr="000F7337">
        <w:t>• I have read and understood the participant information provided</w:t>
      </w:r>
    </w:p>
    <w:p w14:paraId="1E720E5F" w14:textId="77777777" w:rsidR="00BF7500" w:rsidRPr="000F7337" w:rsidRDefault="00BF7500" w:rsidP="00BF7500">
      <w:pPr>
        <w:spacing w:after="80"/>
        <w:ind w:left="720" w:hanging="360"/>
      </w:pPr>
      <w:r w:rsidRPr="000F7337">
        <w:t>• I have had the opportunity to ask questions about the research</w:t>
      </w:r>
    </w:p>
    <w:p w14:paraId="189E0FF5" w14:textId="77777777" w:rsidR="00BF7500" w:rsidRPr="000F7337" w:rsidRDefault="00BF7500" w:rsidP="00BF7500">
      <w:pPr>
        <w:spacing w:after="80"/>
        <w:ind w:left="720" w:hanging="360"/>
      </w:pPr>
      <w:r w:rsidRPr="000F7337">
        <w:t>• I understand that participation is voluntary and I may withdraw as described above</w:t>
      </w:r>
    </w:p>
    <w:p w14:paraId="02D6DB63" w14:textId="77777777" w:rsidR="00BF7500" w:rsidRPr="000F7337" w:rsidRDefault="00BF7500" w:rsidP="00BF7500">
      <w:pPr>
        <w:spacing w:after="80"/>
        <w:ind w:left="720" w:hanging="360"/>
      </w:pPr>
      <w:r w:rsidRPr="000F7337">
        <w:t>• I consent to my written responses being used for research purposes</w:t>
      </w:r>
    </w:p>
    <w:p w14:paraId="07AB0CFB" w14:textId="77777777" w:rsidR="00BF7500" w:rsidRPr="000F7337" w:rsidRDefault="00BF7500" w:rsidP="00BF7500">
      <w:pPr>
        <w:spacing w:after="80"/>
        <w:ind w:left="720" w:hanging="360"/>
      </w:pPr>
      <w:r w:rsidRPr="000F7337">
        <w:t>• I understand how my data will be used and stored</w:t>
      </w:r>
    </w:p>
    <w:p w14:paraId="356FF852" w14:textId="5E450391" w:rsidR="00BF7500" w:rsidRPr="000F7337" w:rsidRDefault="00BF7500" w:rsidP="0025438A">
      <w:pPr>
        <w:spacing w:after="80"/>
        <w:ind w:left="720" w:hanging="360"/>
      </w:pPr>
      <w:r w:rsidRPr="000F7337">
        <w:t xml:space="preserve">• I agree to </w:t>
      </w:r>
      <w:r w:rsidR="008F0056" w:rsidRPr="000F7337">
        <w:t>take part</w:t>
      </w:r>
      <w:r w:rsidRPr="000F7337">
        <w:t xml:space="preserve"> in this research</w:t>
      </w:r>
    </w:p>
    <w:p w14:paraId="23962B12" w14:textId="77777777" w:rsidR="00BF7500" w:rsidRPr="000F7337" w:rsidRDefault="00BF7500" w:rsidP="00BF7500">
      <w:pPr>
        <w:spacing w:after="200" w:line="276" w:lineRule="auto"/>
      </w:pPr>
      <w:r w:rsidRPr="000F7337">
        <w:t>Participant Name: ________________________________</w:t>
      </w:r>
    </w:p>
    <w:p w14:paraId="52FF1DBE" w14:textId="77777777" w:rsidR="00BF7500" w:rsidRPr="000F7337" w:rsidRDefault="00BF7500" w:rsidP="00BF7500">
      <w:pPr>
        <w:spacing w:after="200" w:line="276" w:lineRule="auto"/>
      </w:pPr>
      <w:r w:rsidRPr="000F7337">
        <w:t>Signature: ________________________________</w:t>
      </w:r>
    </w:p>
    <w:p w14:paraId="3F83F0EF" w14:textId="4F737D02" w:rsidR="00BF7500" w:rsidRPr="000F7337" w:rsidRDefault="00BF7500" w:rsidP="0025438A">
      <w:pPr>
        <w:spacing w:after="200" w:line="276" w:lineRule="auto"/>
      </w:pPr>
      <w:r w:rsidRPr="000F7337">
        <w:t>Date: ________________________________</w:t>
      </w:r>
    </w:p>
    <w:p w14:paraId="43BED797" w14:textId="77777777" w:rsidR="00BF7500" w:rsidRPr="000F7337" w:rsidRDefault="00BF7500" w:rsidP="00BF7500">
      <w:pPr>
        <w:spacing w:after="200" w:line="276" w:lineRule="auto"/>
      </w:pPr>
      <w:r w:rsidRPr="000F7337">
        <w:t>Researcher Name: Paul Davies</w:t>
      </w:r>
    </w:p>
    <w:p w14:paraId="0B61A2BC" w14:textId="77777777" w:rsidR="00BF7500" w:rsidRPr="000F7337" w:rsidRDefault="00BF7500" w:rsidP="00BF7500">
      <w:pPr>
        <w:spacing w:after="200" w:line="276" w:lineRule="auto"/>
      </w:pPr>
      <w:r w:rsidRPr="000F7337">
        <w:t>Signature: ________________________________</w:t>
      </w:r>
    </w:p>
    <w:p w14:paraId="6EA1789B" w14:textId="1C8F8288" w:rsidR="00BF7500" w:rsidRPr="000F7337" w:rsidRDefault="00BF7500" w:rsidP="0025438A">
      <w:pPr>
        <w:spacing w:after="200" w:line="276" w:lineRule="auto"/>
      </w:pPr>
      <w:r w:rsidRPr="000F7337">
        <w:t>Date: ________________________________</w:t>
      </w:r>
      <w:r w:rsidRPr="000F7337">
        <w:br w:type="page"/>
      </w:r>
    </w:p>
    <w:p w14:paraId="439CBB5C" w14:textId="77777777" w:rsidR="00BF7500" w:rsidRPr="000F7337" w:rsidRDefault="00BF7500" w:rsidP="00BF7500">
      <w:pPr>
        <w:pStyle w:val="Heading1"/>
        <w:spacing w:before="400" w:after="200"/>
        <w:rPr>
          <w:rFonts w:ascii="Arial" w:hAnsi="Arial" w:cs="Arial"/>
        </w:rPr>
      </w:pPr>
      <w:bookmarkStart w:id="231" w:name="_Toc220152271"/>
      <w:r w:rsidRPr="000F7337">
        <w:rPr>
          <w:rFonts w:ascii="Arial" w:hAnsi="Arial" w:cs="Arial"/>
          <w:b/>
          <w:bCs/>
        </w:rPr>
        <w:lastRenderedPageBreak/>
        <w:t>Appendix D: Systematic Literature Review Protocol</w:t>
      </w:r>
      <w:bookmarkEnd w:id="231"/>
    </w:p>
    <w:p w14:paraId="6ECC855F" w14:textId="77777777" w:rsidR="00BF7500" w:rsidRPr="000F7337" w:rsidRDefault="00BF7500" w:rsidP="00BF7500">
      <w:pPr>
        <w:pStyle w:val="Heading2"/>
        <w:spacing w:before="300" w:after="150"/>
        <w:rPr>
          <w:rFonts w:ascii="Arial" w:hAnsi="Arial" w:cs="Arial"/>
        </w:rPr>
      </w:pPr>
      <w:bookmarkStart w:id="232" w:name="_Toc220152272"/>
      <w:r w:rsidRPr="000F7337">
        <w:rPr>
          <w:rFonts w:ascii="Arial" w:hAnsi="Arial" w:cs="Arial"/>
          <w:b/>
          <w:bCs/>
        </w:rPr>
        <w:t>D.1 Review Objective</w:t>
      </w:r>
      <w:bookmarkEnd w:id="232"/>
    </w:p>
    <w:p w14:paraId="37257C42" w14:textId="77777777" w:rsidR="00BF7500" w:rsidRPr="000F7337" w:rsidRDefault="00BF7500" w:rsidP="00BF7500">
      <w:pPr>
        <w:spacing w:after="200" w:line="276" w:lineRule="auto"/>
      </w:pPr>
      <w:r w:rsidRPr="000F7337">
        <w:t>To systematically identify and analyse peer-reviewed literature on AI-enhanced Digital Twin applications in operational buildings, with particular focus on energy optimisation, M&amp;E system integration, and API connectivity.</w:t>
      </w:r>
    </w:p>
    <w:p w14:paraId="341CB570" w14:textId="77777777" w:rsidR="00BF7500" w:rsidRPr="000F7337" w:rsidRDefault="00BF7500" w:rsidP="00BF7500">
      <w:pPr>
        <w:pStyle w:val="Heading2"/>
        <w:spacing w:before="300" w:after="150"/>
        <w:rPr>
          <w:rFonts w:ascii="Arial" w:hAnsi="Arial" w:cs="Arial"/>
        </w:rPr>
      </w:pPr>
      <w:bookmarkStart w:id="233" w:name="_Toc220152273"/>
      <w:r w:rsidRPr="000F7337">
        <w:rPr>
          <w:rFonts w:ascii="Arial" w:hAnsi="Arial" w:cs="Arial"/>
          <w:b/>
          <w:bCs/>
        </w:rPr>
        <w:t>D.2 Search Strategy</w:t>
      </w:r>
      <w:bookmarkEnd w:id="233"/>
    </w:p>
    <w:p w14:paraId="4C694BC6" w14:textId="77777777" w:rsidR="00BF7500" w:rsidRPr="000F7337" w:rsidRDefault="00BF7500" w:rsidP="00BF7500">
      <w:pPr>
        <w:spacing w:after="120" w:line="276" w:lineRule="auto"/>
      </w:pPr>
      <w:r w:rsidRPr="000F7337">
        <w:t>Platform: Elicit AI-assisted systematic review tool (elicit.com)</w:t>
      </w:r>
    </w:p>
    <w:p w14:paraId="7E8CCCB5" w14:textId="77777777" w:rsidR="00BF7500" w:rsidRPr="000F7337" w:rsidRDefault="00BF7500" w:rsidP="00BF7500">
      <w:pPr>
        <w:spacing w:after="120" w:line="276" w:lineRule="auto"/>
      </w:pPr>
      <w:r w:rsidRPr="000F7337">
        <w:t>Database coverage: Semantic Scholar, OpenAlex (138+ million papers)</w:t>
      </w:r>
    </w:p>
    <w:p w14:paraId="7A963D87" w14:textId="19A0C31A" w:rsidR="00BF7500" w:rsidRPr="000F7337" w:rsidRDefault="00BF7500" w:rsidP="00BF7500">
      <w:pPr>
        <w:spacing w:after="200" w:line="276" w:lineRule="auto"/>
      </w:pPr>
      <w:r w:rsidRPr="000F7337">
        <w:t xml:space="preserve">Search date: </w:t>
      </w:r>
      <w:r w:rsidR="00E40CBF" w:rsidRPr="000F7337">
        <w:t>July - August</w:t>
      </w:r>
      <w:r w:rsidRPr="000F7337">
        <w:t xml:space="preserve"> 2025</w:t>
      </w:r>
    </w:p>
    <w:p w14:paraId="70C354F5" w14:textId="77777777" w:rsidR="00BF7500" w:rsidRPr="000F7337" w:rsidRDefault="00BF7500" w:rsidP="00BF7500">
      <w:pPr>
        <w:spacing w:after="120" w:line="276" w:lineRule="auto"/>
      </w:pPr>
      <w:r w:rsidRPr="000F7337">
        <w:t>Primary search query:</w:t>
      </w:r>
    </w:p>
    <w:p w14:paraId="109F3105" w14:textId="75509012" w:rsidR="00BF7500" w:rsidRPr="000F7337" w:rsidRDefault="00BF7500" w:rsidP="00BF7500">
      <w:pPr>
        <w:spacing w:after="200" w:line="276" w:lineRule="auto"/>
      </w:pPr>
      <w:r w:rsidRPr="000F7337">
        <w:rPr>
          <w:i/>
          <w:iCs/>
        </w:rPr>
        <w:t xml:space="preserve">"Research papers on sustainable construction relating to Digital Twins with AI and API integration on M&amp;E, particularly in the FE sector but not limited </w:t>
      </w:r>
      <w:r w:rsidR="006A1981" w:rsidRPr="000F7337">
        <w:rPr>
          <w:i/>
          <w:iCs/>
        </w:rPr>
        <w:t>to.”</w:t>
      </w:r>
    </w:p>
    <w:p w14:paraId="46284397" w14:textId="4913A31C" w:rsidR="00BF7500" w:rsidRPr="000F7337" w:rsidRDefault="00BF7500" w:rsidP="00BF7500">
      <w:pPr>
        <w:spacing w:after="200" w:line="276" w:lineRule="auto"/>
      </w:pPr>
      <w:r w:rsidRPr="000F7337">
        <w:t xml:space="preserve">Initial retrieval: 50 most relevant papers ranked by semantic </w:t>
      </w:r>
      <w:r w:rsidR="006A1981" w:rsidRPr="000F7337">
        <w:t>similarity.</w:t>
      </w:r>
    </w:p>
    <w:p w14:paraId="11B5C93B" w14:textId="77777777" w:rsidR="00BF7500" w:rsidRPr="000F7337" w:rsidRDefault="00BF7500" w:rsidP="00BF7500">
      <w:pPr>
        <w:pStyle w:val="Heading2"/>
        <w:spacing w:before="300" w:after="150"/>
        <w:rPr>
          <w:rFonts w:ascii="Arial" w:hAnsi="Arial" w:cs="Arial"/>
        </w:rPr>
      </w:pPr>
      <w:bookmarkStart w:id="234" w:name="_Toc220152274"/>
      <w:r w:rsidRPr="000F7337">
        <w:rPr>
          <w:rFonts w:ascii="Arial" w:hAnsi="Arial" w:cs="Arial"/>
          <w:b/>
          <w:bCs/>
        </w:rPr>
        <w:t>D.3 Inclusion Criteria</w:t>
      </w:r>
      <w:bookmarkEnd w:id="234"/>
    </w:p>
    <w:p w14:paraId="05F599F4" w14:textId="77777777" w:rsidR="00BF7500" w:rsidRPr="000F7337" w:rsidRDefault="00BF7500" w:rsidP="00BF7500">
      <w:pPr>
        <w:spacing w:after="200" w:line="276" w:lineRule="auto"/>
      </w:pPr>
      <w:r w:rsidRPr="000F7337">
        <w:t>Papers were screened against seven criteria, applied holistically:</w:t>
      </w:r>
    </w:p>
    <w:p w14:paraId="3A1FDDFD" w14:textId="77777777" w:rsidR="00BF7500" w:rsidRPr="000F7337" w:rsidRDefault="00BF7500" w:rsidP="00BF7500">
      <w:pPr>
        <w:spacing w:after="80"/>
        <w:ind w:left="720" w:hanging="360"/>
      </w:pPr>
      <w:r w:rsidRPr="000F7337">
        <w:t>• Post-construction building focus: Implementation in existing/operational buildings rather than design-phase applications</w:t>
      </w:r>
    </w:p>
    <w:p w14:paraId="7393FD29" w14:textId="77777777" w:rsidR="00BF7500" w:rsidRPr="000F7337" w:rsidRDefault="00BF7500" w:rsidP="00BF7500">
      <w:pPr>
        <w:spacing w:after="80"/>
        <w:ind w:left="720" w:hanging="360"/>
      </w:pPr>
      <w:r w:rsidRPr="000F7337">
        <w:t>• AI integration: Incorporation of artificial intelligence components within Digital Twin systems</w:t>
      </w:r>
    </w:p>
    <w:p w14:paraId="0F640E53" w14:textId="77777777" w:rsidR="00BF7500" w:rsidRPr="000F7337" w:rsidRDefault="00BF7500" w:rsidP="00BF7500">
      <w:pPr>
        <w:spacing w:after="80"/>
        <w:ind w:left="720" w:hanging="360"/>
      </w:pPr>
      <w:r w:rsidRPr="000F7337">
        <w:t>• Sustainability focus: Addresses environmental performance, energy efficiency, or green building practices</w:t>
      </w:r>
    </w:p>
    <w:p w14:paraId="0C864685" w14:textId="77777777" w:rsidR="00BF7500" w:rsidRPr="000F7337" w:rsidRDefault="00BF7500" w:rsidP="00BF7500">
      <w:pPr>
        <w:spacing w:after="80"/>
        <w:ind w:left="720" w:hanging="360"/>
      </w:pPr>
      <w:r w:rsidRPr="000F7337">
        <w:t>• Technical integration: Examines API integration, interoperability, or smart building connectivity</w:t>
      </w:r>
    </w:p>
    <w:p w14:paraId="164C10EB" w14:textId="77777777" w:rsidR="00BF7500" w:rsidRPr="000F7337" w:rsidRDefault="00BF7500" w:rsidP="00BF7500">
      <w:pPr>
        <w:spacing w:after="80"/>
        <w:ind w:left="720" w:hanging="360"/>
      </w:pPr>
      <w:r w:rsidRPr="000F7337">
        <w:t>• Building performance applications: Addresses monitoring, optimisation, or management</w:t>
      </w:r>
    </w:p>
    <w:p w14:paraId="7F31CE79" w14:textId="77777777" w:rsidR="00BF7500" w:rsidRPr="000F7337" w:rsidRDefault="00BF7500" w:rsidP="00BF7500">
      <w:pPr>
        <w:spacing w:after="80"/>
        <w:ind w:left="720" w:hanging="360"/>
      </w:pPr>
      <w:r w:rsidRPr="000F7337">
        <w:t>• Study design: Empirical study, case study, pilot project, systematic review, or implementation study</w:t>
      </w:r>
    </w:p>
    <w:p w14:paraId="34CB069F" w14:textId="77777777" w:rsidR="00BF7500" w:rsidRPr="000F7337" w:rsidRDefault="00BF7500" w:rsidP="00BF7500">
      <w:pPr>
        <w:spacing w:after="80"/>
        <w:ind w:left="720" w:hanging="360"/>
      </w:pPr>
      <w:r w:rsidRPr="000F7337">
        <w:t>• Building scope: Focus on building applications rather than manufacturing or industrial processes</w:t>
      </w:r>
    </w:p>
    <w:p w14:paraId="6BC9D59B" w14:textId="77777777" w:rsidR="00BF7500" w:rsidRPr="000F7337" w:rsidRDefault="00BF7500" w:rsidP="00BF7500">
      <w:pPr>
        <w:pStyle w:val="Heading2"/>
        <w:spacing w:before="300" w:after="150"/>
        <w:rPr>
          <w:rFonts w:ascii="Arial" w:hAnsi="Arial" w:cs="Arial"/>
        </w:rPr>
      </w:pPr>
      <w:bookmarkStart w:id="235" w:name="_Toc220152275"/>
      <w:r w:rsidRPr="000F7337">
        <w:rPr>
          <w:rFonts w:ascii="Arial" w:hAnsi="Arial" w:cs="Arial"/>
          <w:b/>
          <w:bCs/>
        </w:rPr>
        <w:t>D.4 Data Extraction Framework</w:t>
      </w:r>
      <w:bookmarkEnd w:id="235"/>
    </w:p>
    <w:p w14:paraId="39147EF7" w14:textId="77777777" w:rsidR="00BF7500" w:rsidRPr="000F7337" w:rsidRDefault="00BF7500" w:rsidP="00BF7500">
      <w:pPr>
        <w:spacing w:after="200" w:line="276" w:lineRule="auto"/>
      </w:pPr>
      <w:r w:rsidRPr="000F7337">
        <w:t>For each included study, the following data categories were extracted:</w:t>
      </w:r>
    </w:p>
    <w:p w14:paraId="625793AF" w14:textId="77777777" w:rsidR="00BF7500" w:rsidRPr="000F7337" w:rsidRDefault="00BF7500" w:rsidP="00BF7500">
      <w:pPr>
        <w:spacing w:after="80"/>
        <w:ind w:left="720" w:hanging="360"/>
      </w:pPr>
      <w:r w:rsidRPr="000F7337">
        <w:t>• Digital Twin implementation: Building systems monitored, data sources, architecture, functionalities</w:t>
      </w:r>
    </w:p>
    <w:p w14:paraId="54C98521" w14:textId="77777777" w:rsidR="00BF7500" w:rsidRPr="000F7337" w:rsidRDefault="00BF7500" w:rsidP="00BF7500">
      <w:pPr>
        <w:spacing w:after="80"/>
        <w:ind w:left="720" w:hanging="360"/>
      </w:pPr>
      <w:r w:rsidRPr="000F7337">
        <w:lastRenderedPageBreak/>
        <w:t>• AI/ML methods: Algorithms used, purpose, performance metrics, training data</w:t>
      </w:r>
    </w:p>
    <w:p w14:paraId="520513AF" w14:textId="77777777" w:rsidR="00BF7500" w:rsidRPr="000F7337" w:rsidRDefault="00BF7500" w:rsidP="00BF7500">
      <w:pPr>
        <w:spacing w:after="80"/>
        <w:ind w:left="720" w:hanging="360"/>
      </w:pPr>
      <w:r w:rsidRPr="000F7337">
        <w:t>• System integration: APIs, protocols, cloud/edge infrastructure, interoperability challenges</w:t>
      </w:r>
    </w:p>
    <w:p w14:paraId="27D11278" w14:textId="77777777" w:rsidR="00BF7500" w:rsidRPr="000F7337" w:rsidRDefault="00BF7500" w:rsidP="00BF7500">
      <w:pPr>
        <w:spacing w:after="80"/>
        <w:ind w:left="720" w:hanging="360"/>
      </w:pPr>
      <w:r w:rsidRPr="000F7337">
        <w:t>• Sustainability applications: Objectives, parameters monitored, quantified improvements</w:t>
      </w:r>
    </w:p>
    <w:p w14:paraId="1ABE3CAB" w14:textId="77777777" w:rsidR="00BF7500" w:rsidRPr="000F7337" w:rsidRDefault="00BF7500" w:rsidP="00BF7500">
      <w:pPr>
        <w:spacing w:after="80"/>
        <w:ind w:left="720" w:hanging="360"/>
      </w:pPr>
      <w:r w:rsidRPr="000F7337">
        <w:t>• Building context: Type, age, size, location, operational focus</w:t>
      </w:r>
    </w:p>
    <w:p w14:paraId="0F2A3302" w14:textId="77777777" w:rsidR="00BF7500" w:rsidRPr="000F7337" w:rsidRDefault="00BF7500" w:rsidP="00BF7500">
      <w:pPr>
        <w:spacing w:after="80"/>
        <w:ind w:left="720" w:hanging="360"/>
      </w:pPr>
      <w:r w:rsidRPr="000F7337">
        <w:t>• Implementation challenges: Technical barriers, adoption issues, research gaps</w:t>
      </w:r>
    </w:p>
    <w:p w14:paraId="60F380C2" w14:textId="77777777" w:rsidR="00BF7500" w:rsidRPr="000F7337" w:rsidRDefault="00BF7500" w:rsidP="00BF7500">
      <w:pPr>
        <w:pStyle w:val="Heading2"/>
        <w:spacing w:before="300" w:after="150"/>
        <w:rPr>
          <w:rFonts w:ascii="Arial" w:hAnsi="Arial" w:cs="Arial"/>
        </w:rPr>
      </w:pPr>
      <w:bookmarkStart w:id="236" w:name="_Toc220152276"/>
      <w:r w:rsidRPr="000F7337">
        <w:rPr>
          <w:rFonts w:ascii="Arial" w:hAnsi="Arial" w:cs="Arial"/>
          <w:b/>
          <w:bCs/>
        </w:rPr>
        <w:t>D.5 Results Summary</w:t>
      </w:r>
      <w:bookmarkEnd w:id="236"/>
    </w:p>
    <w:p w14:paraId="789F72AE" w14:textId="77777777" w:rsidR="00BF7500" w:rsidRPr="000F7337" w:rsidRDefault="00BF7500" w:rsidP="00BF7500">
      <w:pPr>
        <w:spacing w:after="200" w:line="276" w:lineRule="auto"/>
      </w:pPr>
      <w:r w:rsidRPr="000F7337">
        <w:t>Screening outcomes:</w:t>
      </w:r>
    </w:p>
    <w:p w14:paraId="17FF861C" w14:textId="77777777" w:rsidR="00BF7500" w:rsidRPr="000F7337" w:rsidRDefault="00BF7500" w:rsidP="00BF7500">
      <w:pPr>
        <w:spacing w:after="80"/>
        <w:ind w:left="720" w:hanging="360"/>
      </w:pPr>
      <w:r w:rsidRPr="000F7337">
        <w:t>• Papers retrieved: 50</w:t>
      </w:r>
    </w:p>
    <w:p w14:paraId="40C88E41" w14:textId="77777777" w:rsidR="00BF7500" w:rsidRPr="000F7337" w:rsidRDefault="00BF7500" w:rsidP="00BF7500">
      <w:pPr>
        <w:spacing w:after="80"/>
        <w:ind w:left="720" w:hanging="360"/>
      </w:pPr>
      <w:r w:rsidRPr="000F7337">
        <w:t>• Papers meeting inclusion criteria: 10</w:t>
      </w:r>
    </w:p>
    <w:p w14:paraId="69062249" w14:textId="77777777" w:rsidR="00BF7500" w:rsidRPr="000F7337" w:rsidRDefault="00BF7500" w:rsidP="00BF7500">
      <w:pPr>
        <w:spacing w:after="80"/>
        <w:ind w:left="720" w:hanging="360"/>
      </w:pPr>
      <w:r w:rsidRPr="000F7337">
        <w:t>• Full text accessible: 4</w:t>
      </w:r>
    </w:p>
    <w:p w14:paraId="2B5E4015" w14:textId="77777777" w:rsidR="00BF7500" w:rsidRPr="000F7337" w:rsidRDefault="00BF7500" w:rsidP="00BF7500">
      <w:pPr>
        <w:spacing w:after="80"/>
        <w:ind w:left="720" w:hanging="360"/>
      </w:pPr>
      <w:r w:rsidRPr="000F7337">
        <w:t>• Abstract only: 6</w:t>
      </w:r>
    </w:p>
    <w:p w14:paraId="59CD3F3E" w14:textId="77777777" w:rsidR="00BF7500" w:rsidRPr="000F7337" w:rsidRDefault="00BF7500" w:rsidP="00BF7500">
      <w:pPr>
        <w:spacing w:after="120" w:line="276" w:lineRule="auto"/>
      </w:pPr>
      <w:r w:rsidRPr="000F7337">
        <w:t>Publication period: 2022–2025</w:t>
      </w:r>
    </w:p>
    <w:p w14:paraId="320010A8" w14:textId="77777777" w:rsidR="00BF7500" w:rsidRPr="000F7337" w:rsidRDefault="00BF7500" w:rsidP="00BF7500">
      <w:pPr>
        <w:spacing w:after="200" w:line="276" w:lineRule="auto"/>
      </w:pPr>
      <w:r w:rsidRPr="000F7337">
        <w:t>Geographic focus: Predominantly European implementations (Norway, UK, general EU)</w:t>
      </w:r>
    </w:p>
    <w:p w14:paraId="478BBC6C" w14:textId="77777777" w:rsidR="00BF7500" w:rsidRPr="000F7337" w:rsidRDefault="00BF7500" w:rsidP="00BF7500">
      <w:pPr>
        <w:pStyle w:val="Heading2"/>
        <w:spacing w:before="300" w:after="150"/>
        <w:rPr>
          <w:rFonts w:ascii="Arial" w:hAnsi="Arial" w:cs="Arial"/>
        </w:rPr>
      </w:pPr>
      <w:bookmarkStart w:id="237" w:name="_Toc220152277"/>
      <w:r w:rsidRPr="000F7337">
        <w:rPr>
          <w:rFonts w:ascii="Arial" w:hAnsi="Arial" w:cs="Arial"/>
          <w:b/>
          <w:bCs/>
        </w:rPr>
        <w:t>D.6 Key Findings from Systematic Review</w:t>
      </w:r>
      <w:bookmarkEnd w:id="237"/>
    </w:p>
    <w:p w14:paraId="56C84856" w14:textId="50A68F3D" w:rsidR="00BF7500" w:rsidRPr="000F7337" w:rsidRDefault="00BF7500" w:rsidP="00BF7500">
      <w:pPr>
        <w:spacing w:after="80"/>
        <w:ind w:left="720" w:hanging="360"/>
      </w:pPr>
      <w:r w:rsidRPr="000F7337">
        <w:t xml:space="preserve">• Energy performance: AI-enhanced Digital Twins </w:t>
      </w:r>
      <w:r w:rsidR="008F0056" w:rsidRPr="000F7337">
        <w:t>showed</w:t>
      </w:r>
      <w:r w:rsidRPr="000F7337">
        <w:t xml:space="preserve"> 10</w:t>
      </w:r>
      <w:r w:rsidR="004535EA">
        <w:t>-</w:t>
      </w:r>
      <w:r w:rsidRPr="000F7337">
        <w:t>38% energy savings across implementations</w:t>
      </w:r>
    </w:p>
    <w:p w14:paraId="5C8BE18F" w14:textId="1AFCE3A8" w:rsidR="00BF7500" w:rsidRPr="000F7337" w:rsidRDefault="00BF7500" w:rsidP="00BF7500">
      <w:pPr>
        <w:spacing w:after="80"/>
        <w:ind w:left="720" w:hanging="360"/>
      </w:pPr>
      <w:r w:rsidRPr="000F7337">
        <w:t>• AI methods: Deep reinforcement learning (10</w:t>
      </w:r>
      <w:r w:rsidR="004535EA">
        <w:t>-</w:t>
      </w:r>
      <w:r w:rsidRPr="000F7337">
        <w:t>35% HVAC reduction), supervised learning (87</w:t>
      </w:r>
      <w:r w:rsidR="004535EA">
        <w:t>-</w:t>
      </w:r>
      <w:r w:rsidRPr="000F7337">
        <w:t>97% forecasting accuracy), anomaly detection for predictive maintenance</w:t>
      </w:r>
    </w:p>
    <w:p w14:paraId="7D590E60" w14:textId="77777777" w:rsidR="00BF7500" w:rsidRPr="000F7337" w:rsidRDefault="00BF7500" w:rsidP="00BF7500">
      <w:pPr>
        <w:spacing w:after="80"/>
        <w:ind w:left="720" w:hanging="360"/>
      </w:pPr>
      <w:r w:rsidRPr="000F7337">
        <w:t>• API documentation: Only 3 of 10 studies provided technical API integration details (REST APIs, NGSI-LD, JSON formats)</w:t>
      </w:r>
    </w:p>
    <w:p w14:paraId="5C897A80" w14:textId="77777777" w:rsidR="00BF7500" w:rsidRPr="000F7337" w:rsidRDefault="00BF7500" w:rsidP="00BF7500">
      <w:pPr>
        <w:spacing w:after="80"/>
        <w:ind w:left="720" w:hanging="360"/>
      </w:pPr>
      <w:r w:rsidRPr="000F7337">
        <w:t>• Critical gap: Limited reporting of API-level integration details identified as significant research gap with practical implications</w:t>
      </w:r>
    </w:p>
    <w:p w14:paraId="212D63A2" w14:textId="77777777" w:rsidR="00BF7500" w:rsidRPr="000F7337" w:rsidRDefault="00BF7500" w:rsidP="00BF7500">
      <w:pPr>
        <w:pStyle w:val="Heading2"/>
        <w:spacing w:before="300" w:after="150"/>
        <w:rPr>
          <w:rFonts w:ascii="Arial" w:hAnsi="Arial" w:cs="Arial"/>
        </w:rPr>
      </w:pPr>
      <w:bookmarkStart w:id="238" w:name="_Toc220152278"/>
      <w:r w:rsidRPr="000F7337">
        <w:rPr>
          <w:rFonts w:ascii="Arial" w:hAnsi="Arial" w:cs="Arial"/>
          <w:b/>
          <w:bCs/>
        </w:rPr>
        <w:t>D.7 Quality Assurance</w:t>
      </w:r>
      <w:bookmarkEnd w:id="238"/>
    </w:p>
    <w:p w14:paraId="6553FD3D" w14:textId="77777777" w:rsidR="00BF7500" w:rsidRPr="000F7337" w:rsidRDefault="00BF7500" w:rsidP="00BF7500">
      <w:pPr>
        <w:spacing w:after="200" w:line="276" w:lineRule="auto"/>
      </w:pPr>
      <w:r w:rsidRPr="000F7337">
        <w:t>The Elicit platform provided automated screening assistance. Final inclusion decisions were made by the researcher based on full-text review where available and abstract analysis. The systematic review findings were triangulated with practitioner perspectives gathered through primary research.</w:t>
      </w:r>
    </w:p>
    <w:p w14:paraId="6227009F" w14:textId="77777777" w:rsidR="00BF7500" w:rsidRPr="000F7337" w:rsidRDefault="00BF7500" w:rsidP="00BF7500">
      <w:r w:rsidRPr="000F7337">
        <w:br w:type="page"/>
      </w:r>
    </w:p>
    <w:p w14:paraId="0D4FD072" w14:textId="77777777" w:rsidR="00BF7500" w:rsidRPr="000F7337" w:rsidRDefault="00BF7500" w:rsidP="00BF7500">
      <w:pPr>
        <w:pStyle w:val="Heading1"/>
        <w:spacing w:before="400" w:after="200"/>
        <w:rPr>
          <w:rFonts w:ascii="Arial" w:hAnsi="Arial" w:cs="Arial"/>
        </w:rPr>
      </w:pPr>
      <w:bookmarkStart w:id="239" w:name="_Toc220152279"/>
      <w:r w:rsidRPr="000F7337">
        <w:rPr>
          <w:rFonts w:ascii="Arial" w:hAnsi="Arial" w:cs="Arial"/>
          <w:b/>
          <w:bCs/>
        </w:rPr>
        <w:lastRenderedPageBreak/>
        <w:t>Appendix E: Sample Interview Transcript Extracts</w:t>
      </w:r>
      <w:bookmarkEnd w:id="239"/>
    </w:p>
    <w:p w14:paraId="49FC627B" w14:textId="77777777" w:rsidR="00BF7500" w:rsidRPr="000F7337" w:rsidRDefault="00BF7500" w:rsidP="00BF7500">
      <w:pPr>
        <w:spacing w:after="200" w:line="276" w:lineRule="auto"/>
      </w:pPr>
      <w:r w:rsidRPr="000F7337">
        <w:rPr>
          <w:i/>
          <w:iCs/>
        </w:rPr>
        <w:t>Note: This appendix presents selected excerpts from interview responses to illustrate the thematic analysis process. Participants are identified by role-based codes to maintain confidentiality.</w:t>
      </w:r>
    </w:p>
    <w:p w14:paraId="725AE3F2" w14:textId="77777777" w:rsidR="00BF7500" w:rsidRPr="000F7337" w:rsidRDefault="00BF7500" w:rsidP="00BF7500">
      <w:pPr>
        <w:pStyle w:val="Heading2"/>
        <w:spacing w:before="300" w:after="150"/>
        <w:rPr>
          <w:rFonts w:ascii="Arial" w:hAnsi="Arial" w:cs="Arial"/>
        </w:rPr>
      </w:pPr>
      <w:bookmarkStart w:id="240" w:name="_Toc220152280"/>
      <w:r w:rsidRPr="000F7337">
        <w:rPr>
          <w:rFonts w:ascii="Arial" w:hAnsi="Arial" w:cs="Arial"/>
          <w:b/>
          <w:bCs/>
        </w:rPr>
        <w:t>E.1 Participant Profile Summary</w:t>
      </w:r>
      <w:bookmarkEnd w:id="24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172"/>
        <w:gridCol w:w="2678"/>
        <w:gridCol w:w="2670"/>
        <w:gridCol w:w="2504"/>
      </w:tblGrid>
      <w:tr w:rsidR="00BF7500" w:rsidRPr="000F7337" w14:paraId="59D15A7C" w14:textId="77777777" w:rsidTr="005D0832">
        <w:tc>
          <w:tcPr>
            <w:tcW w:w="1172" w:type="dxa"/>
            <w:tcBorders>
              <w:top w:val="single" w:sz="1" w:space="0" w:color="808080"/>
              <w:left w:val="single" w:sz="1" w:space="0" w:color="808080"/>
              <w:bottom w:val="single" w:sz="1" w:space="0" w:color="808080"/>
              <w:right w:val="single" w:sz="1" w:space="0" w:color="808080"/>
            </w:tcBorders>
            <w:shd w:val="clear" w:color="auto" w:fill="D9E2F3"/>
          </w:tcPr>
          <w:p w14:paraId="23E79DE5" w14:textId="77777777" w:rsidR="00BF7500" w:rsidRPr="000F7337" w:rsidRDefault="00BF7500" w:rsidP="00EC0FF7">
            <w:pPr>
              <w:jc w:val="center"/>
            </w:pPr>
            <w:r w:rsidRPr="000F7337">
              <w:rPr>
                <w:b/>
                <w:bCs/>
                <w:sz w:val="22"/>
                <w:szCs w:val="22"/>
              </w:rPr>
              <w:t>Code</w:t>
            </w:r>
          </w:p>
        </w:tc>
        <w:tc>
          <w:tcPr>
            <w:tcW w:w="2678" w:type="dxa"/>
            <w:tcBorders>
              <w:top w:val="single" w:sz="1" w:space="0" w:color="808080"/>
              <w:left w:val="single" w:sz="1" w:space="0" w:color="808080"/>
              <w:bottom w:val="single" w:sz="1" w:space="0" w:color="808080"/>
              <w:right w:val="single" w:sz="1" w:space="0" w:color="808080"/>
            </w:tcBorders>
            <w:shd w:val="clear" w:color="auto" w:fill="D9E2F3"/>
          </w:tcPr>
          <w:p w14:paraId="07A13216" w14:textId="77777777" w:rsidR="00BF7500" w:rsidRPr="000F7337" w:rsidRDefault="00BF7500" w:rsidP="00EC0FF7">
            <w:pPr>
              <w:jc w:val="center"/>
            </w:pPr>
            <w:r w:rsidRPr="000F7337">
              <w:rPr>
                <w:b/>
                <w:bCs/>
                <w:sz w:val="22"/>
                <w:szCs w:val="22"/>
              </w:rPr>
              <w:t>Role</w:t>
            </w:r>
          </w:p>
        </w:tc>
        <w:tc>
          <w:tcPr>
            <w:tcW w:w="2670" w:type="dxa"/>
            <w:tcBorders>
              <w:top w:val="single" w:sz="1" w:space="0" w:color="808080"/>
              <w:left w:val="single" w:sz="1" w:space="0" w:color="808080"/>
              <w:bottom w:val="single" w:sz="1" w:space="0" w:color="808080"/>
              <w:right w:val="single" w:sz="1" w:space="0" w:color="808080"/>
            </w:tcBorders>
            <w:shd w:val="clear" w:color="auto" w:fill="D9E2F3"/>
          </w:tcPr>
          <w:p w14:paraId="4E0B2BF1" w14:textId="77777777" w:rsidR="00BF7500" w:rsidRPr="000F7337" w:rsidRDefault="00BF7500" w:rsidP="00EC0FF7">
            <w:pPr>
              <w:jc w:val="center"/>
            </w:pPr>
            <w:r w:rsidRPr="000F7337">
              <w:rPr>
                <w:b/>
                <w:bCs/>
                <w:sz w:val="22"/>
                <w:szCs w:val="22"/>
              </w:rPr>
              <w:t>Organisation</w:t>
            </w:r>
          </w:p>
        </w:tc>
        <w:tc>
          <w:tcPr>
            <w:tcW w:w="2504" w:type="dxa"/>
            <w:tcBorders>
              <w:top w:val="single" w:sz="1" w:space="0" w:color="808080"/>
              <w:left w:val="single" w:sz="1" w:space="0" w:color="808080"/>
              <w:bottom w:val="single" w:sz="1" w:space="0" w:color="808080"/>
              <w:right w:val="single" w:sz="1" w:space="0" w:color="808080"/>
            </w:tcBorders>
            <w:shd w:val="clear" w:color="auto" w:fill="D9E2F3"/>
          </w:tcPr>
          <w:p w14:paraId="1DA18E00" w14:textId="77777777" w:rsidR="00BF7500" w:rsidRPr="000F7337" w:rsidRDefault="00BF7500" w:rsidP="00EC0FF7">
            <w:pPr>
              <w:jc w:val="center"/>
            </w:pPr>
            <w:r w:rsidRPr="000F7337">
              <w:rPr>
                <w:b/>
                <w:bCs/>
                <w:sz w:val="22"/>
                <w:szCs w:val="22"/>
              </w:rPr>
              <w:t>Experience</w:t>
            </w:r>
          </w:p>
        </w:tc>
      </w:tr>
      <w:tr w:rsidR="00EE4960" w:rsidRPr="000F7337" w14:paraId="53ABE6B6" w14:textId="77777777" w:rsidTr="005D0832">
        <w:trPr>
          <w:trHeight w:val="409"/>
        </w:trPr>
        <w:tc>
          <w:tcPr>
            <w:tcW w:w="1172" w:type="dxa"/>
            <w:tcBorders>
              <w:top w:val="single" w:sz="1" w:space="0" w:color="808080"/>
              <w:left w:val="single" w:sz="1" w:space="0" w:color="808080"/>
              <w:bottom w:val="single" w:sz="1" w:space="0" w:color="808080"/>
              <w:right w:val="single" w:sz="1" w:space="0" w:color="808080"/>
            </w:tcBorders>
            <w:vAlign w:val="center"/>
          </w:tcPr>
          <w:p w14:paraId="4F8921A2" w14:textId="77777777" w:rsidR="00EE4960" w:rsidRPr="000F7337" w:rsidRDefault="00EE4960" w:rsidP="00EE4960">
            <w:r w:rsidRPr="000F7337">
              <w:rPr>
                <w:sz w:val="22"/>
                <w:szCs w:val="22"/>
              </w:rPr>
              <w:t>FM1</w:t>
            </w:r>
          </w:p>
        </w:tc>
        <w:tc>
          <w:tcPr>
            <w:tcW w:w="2678" w:type="dxa"/>
            <w:tcBorders>
              <w:top w:val="single" w:sz="1" w:space="0" w:color="808080"/>
              <w:left w:val="single" w:sz="1" w:space="0" w:color="808080"/>
              <w:bottom w:val="single" w:sz="1" w:space="0" w:color="808080"/>
              <w:right w:val="single" w:sz="1" w:space="0" w:color="808080"/>
            </w:tcBorders>
            <w:vAlign w:val="center"/>
          </w:tcPr>
          <w:p w14:paraId="5ADC34D8" w14:textId="77777777" w:rsidR="00EE4960" w:rsidRPr="000F7337" w:rsidRDefault="00EE4960" w:rsidP="00EE4960">
            <w:r w:rsidRPr="000F7337">
              <w:rPr>
                <w:sz w:val="22"/>
                <w:szCs w:val="22"/>
              </w:rPr>
              <w:t>Facilities Manager</w:t>
            </w:r>
          </w:p>
        </w:tc>
        <w:tc>
          <w:tcPr>
            <w:tcW w:w="2670" w:type="dxa"/>
            <w:tcBorders>
              <w:top w:val="single" w:sz="1" w:space="0" w:color="808080"/>
              <w:left w:val="single" w:sz="1" w:space="0" w:color="808080"/>
              <w:bottom w:val="single" w:sz="1" w:space="0" w:color="808080"/>
              <w:right w:val="single" w:sz="1" w:space="0" w:color="808080"/>
            </w:tcBorders>
            <w:vAlign w:val="center"/>
          </w:tcPr>
          <w:p w14:paraId="4CE41903" w14:textId="6F43ED36" w:rsidR="00EE4960" w:rsidRPr="000F7337" w:rsidRDefault="00EE4960" w:rsidP="00EE4960">
            <w:r w:rsidRPr="00DF0287">
              <w:rPr>
                <w:sz w:val="22"/>
                <w:szCs w:val="22"/>
              </w:rPr>
              <w:t>FE College</w:t>
            </w:r>
            <w:r>
              <w:rPr>
                <w:sz w:val="22"/>
                <w:szCs w:val="22"/>
              </w:rPr>
              <w:t xml:space="preserve"> A</w:t>
            </w:r>
          </w:p>
        </w:tc>
        <w:tc>
          <w:tcPr>
            <w:tcW w:w="2504" w:type="dxa"/>
            <w:tcBorders>
              <w:top w:val="single" w:sz="1" w:space="0" w:color="808080"/>
              <w:left w:val="single" w:sz="1" w:space="0" w:color="808080"/>
              <w:bottom w:val="single" w:sz="1" w:space="0" w:color="808080"/>
              <w:right w:val="single" w:sz="1" w:space="0" w:color="808080"/>
            </w:tcBorders>
            <w:vAlign w:val="center"/>
          </w:tcPr>
          <w:p w14:paraId="65A05A0F" w14:textId="77777777" w:rsidR="00EE4960" w:rsidRPr="000F7337" w:rsidRDefault="00EE4960" w:rsidP="00EE4960">
            <w:r w:rsidRPr="000F7337">
              <w:rPr>
                <w:sz w:val="22"/>
                <w:szCs w:val="22"/>
              </w:rPr>
              <w:t>5 years in role</w:t>
            </w:r>
          </w:p>
        </w:tc>
      </w:tr>
      <w:tr w:rsidR="00EE4960" w:rsidRPr="000F7337" w14:paraId="75312857" w14:textId="77777777" w:rsidTr="005D0832">
        <w:trPr>
          <w:trHeight w:val="416"/>
        </w:trPr>
        <w:tc>
          <w:tcPr>
            <w:tcW w:w="1172" w:type="dxa"/>
            <w:tcBorders>
              <w:top w:val="single" w:sz="1" w:space="0" w:color="808080"/>
              <w:left w:val="single" w:sz="1" w:space="0" w:color="808080"/>
              <w:bottom w:val="single" w:sz="1" w:space="0" w:color="808080"/>
              <w:right w:val="single" w:sz="1" w:space="0" w:color="808080"/>
            </w:tcBorders>
            <w:vAlign w:val="center"/>
          </w:tcPr>
          <w:p w14:paraId="04BEB83A" w14:textId="77777777" w:rsidR="00EE4960" w:rsidRPr="000F7337" w:rsidRDefault="00EE4960" w:rsidP="00EE4960">
            <w:r w:rsidRPr="000F7337">
              <w:rPr>
                <w:sz w:val="22"/>
                <w:szCs w:val="22"/>
              </w:rPr>
              <w:t>ENG1</w:t>
            </w:r>
          </w:p>
        </w:tc>
        <w:tc>
          <w:tcPr>
            <w:tcW w:w="2678" w:type="dxa"/>
            <w:tcBorders>
              <w:top w:val="single" w:sz="1" w:space="0" w:color="808080"/>
              <w:left w:val="single" w:sz="1" w:space="0" w:color="808080"/>
              <w:bottom w:val="single" w:sz="1" w:space="0" w:color="808080"/>
              <w:right w:val="single" w:sz="1" w:space="0" w:color="808080"/>
            </w:tcBorders>
            <w:vAlign w:val="center"/>
          </w:tcPr>
          <w:p w14:paraId="23AE2FF6" w14:textId="77777777" w:rsidR="00EE4960" w:rsidRPr="000F7337" w:rsidRDefault="00EE4960" w:rsidP="00EE4960">
            <w:r w:rsidRPr="000F7337">
              <w:rPr>
                <w:sz w:val="22"/>
                <w:szCs w:val="22"/>
              </w:rPr>
              <w:t>BMS Engineer</w:t>
            </w:r>
          </w:p>
        </w:tc>
        <w:tc>
          <w:tcPr>
            <w:tcW w:w="2670" w:type="dxa"/>
            <w:tcBorders>
              <w:top w:val="single" w:sz="1" w:space="0" w:color="808080"/>
              <w:left w:val="single" w:sz="1" w:space="0" w:color="808080"/>
              <w:bottom w:val="single" w:sz="1" w:space="0" w:color="808080"/>
              <w:right w:val="single" w:sz="1" w:space="0" w:color="808080"/>
            </w:tcBorders>
            <w:vAlign w:val="center"/>
          </w:tcPr>
          <w:p w14:paraId="6C72AE41" w14:textId="57766EDB" w:rsidR="00EE4960" w:rsidRPr="000F7337" w:rsidRDefault="00EE4960" w:rsidP="00EE4960">
            <w:r w:rsidRPr="00DF0287">
              <w:rPr>
                <w:sz w:val="22"/>
                <w:szCs w:val="22"/>
              </w:rPr>
              <w:t>BMS Vendor</w:t>
            </w:r>
          </w:p>
        </w:tc>
        <w:tc>
          <w:tcPr>
            <w:tcW w:w="2504" w:type="dxa"/>
            <w:tcBorders>
              <w:top w:val="single" w:sz="1" w:space="0" w:color="808080"/>
              <w:left w:val="single" w:sz="1" w:space="0" w:color="808080"/>
              <w:bottom w:val="single" w:sz="1" w:space="0" w:color="808080"/>
              <w:right w:val="single" w:sz="1" w:space="0" w:color="808080"/>
            </w:tcBorders>
            <w:vAlign w:val="center"/>
          </w:tcPr>
          <w:p w14:paraId="0693F52B" w14:textId="77777777" w:rsidR="00EE4960" w:rsidRPr="000F7337" w:rsidRDefault="00EE4960" w:rsidP="00EE4960">
            <w:r w:rsidRPr="000F7337">
              <w:rPr>
                <w:sz w:val="22"/>
                <w:szCs w:val="22"/>
              </w:rPr>
              <w:t>8 years in sector</w:t>
            </w:r>
          </w:p>
        </w:tc>
      </w:tr>
      <w:tr w:rsidR="00EE4960" w:rsidRPr="000F7337" w14:paraId="1C19B72E" w14:textId="77777777" w:rsidTr="005D0832">
        <w:trPr>
          <w:trHeight w:val="422"/>
        </w:trPr>
        <w:tc>
          <w:tcPr>
            <w:tcW w:w="1172" w:type="dxa"/>
            <w:tcBorders>
              <w:top w:val="single" w:sz="1" w:space="0" w:color="808080"/>
              <w:left w:val="single" w:sz="1" w:space="0" w:color="808080"/>
              <w:bottom w:val="single" w:sz="1" w:space="0" w:color="808080"/>
              <w:right w:val="single" w:sz="1" w:space="0" w:color="808080"/>
            </w:tcBorders>
            <w:vAlign w:val="center"/>
          </w:tcPr>
          <w:p w14:paraId="79E59ADF" w14:textId="77777777" w:rsidR="00EE4960" w:rsidRPr="000F7337" w:rsidRDefault="00EE4960" w:rsidP="00EE4960">
            <w:r w:rsidRPr="000F7337">
              <w:rPr>
                <w:sz w:val="22"/>
                <w:szCs w:val="22"/>
              </w:rPr>
              <w:t>ED1</w:t>
            </w:r>
          </w:p>
        </w:tc>
        <w:tc>
          <w:tcPr>
            <w:tcW w:w="2678" w:type="dxa"/>
            <w:tcBorders>
              <w:top w:val="single" w:sz="1" w:space="0" w:color="808080"/>
              <w:left w:val="single" w:sz="1" w:space="0" w:color="808080"/>
              <w:bottom w:val="single" w:sz="1" w:space="0" w:color="808080"/>
              <w:right w:val="single" w:sz="1" w:space="0" w:color="808080"/>
            </w:tcBorders>
            <w:vAlign w:val="center"/>
          </w:tcPr>
          <w:p w14:paraId="78735438" w14:textId="77777777" w:rsidR="00EE4960" w:rsidRPr="000F7337" w:rsidRDefault="00EE4960" w:rsidP="00EE4960">
            <w:r w:rsidRPr="000F7337">
              <w:rPr>
                <w:sz w:val="22"/>
                <w:szCs w:val="22"/>
              </w:rPr>
              <w:t>Estates Director</w:t>
            </w:r>
          </w:p>
        </w:tc>
        <w:tc>
          <w:tcPr>
            <w:tcW w:w="2670" w:type="dxa"/>
            <w:tcBorders>
              <w:top w:val="single" w:sz="1" w:space="0" w:color="808080"/>
              <w:left w:val="single" w:sz="1" w:space="0" w:color="808080"/>
              <w:bottom w:val="single" w:sz="1" w:space="0" w:color="808080"/>
              <w:right w:val="single" w:sz="1" w:space="0" w:color="808080"/>
            </w:tcBorders>
            <w:vAlign w:val="center"/>
          </w:tcPr>
          <w:p w14:paraId="7B72E83E" w14:textId="4672307E" w:rsidR="00EE4960" w:rsidRPr="000F7337" w:rsidRDefault="00EE4960" w:rsidP="00EE4960">
            <w:r w:rsidRPr="00DF0287">
              <w:rPr>
                <w:sz w:val="22"/>
                <w:szCs w:val="22"/>
              </w:rPr>
              <w:t>FE College</w:t>
            </w:r>
            <w:r>
              <w:rPr>
                <w:sz w:val="22"/>
                <w:szCs w:val="22"/>
              </w:rPr>
              <w:t xml:space="preserve"> B</w:t>
            </w:r>
          </w:p>
        </w:tc>
        <w:tc>
          <w:tcPr>
            <w:tcW w:w="2504" w:type="dxa"/>
            <w:tcBorders>
              <w:top w:val="single" w:sz="1" w:space="0" w:color="808080"/>
              <w:left w:val="single" w:sz="1" w:space="0" w:color="808080"/>
              <w:bottom w:val="single" w:sz="1" w:space="0" w:color="808080"/>
              <w:right w:val="single" w:sz="1" w:space="0" w:color="808080"/>
            </w:tcBorders>
            <w:vAlign w:val="center"/>
          </w:tcPr>
          <w:p w14:paraId="02449521" w14:textId="77777777" w:rsidR="00EE4960" w:rsidRPr="000F7337" w:rsidRDefault="00EE4960" w:rsidP="00EE4960">
            <w:r w:rsidRPr="000F7337">
              <w:rPr>
                <w:sz w:val="22"/>
                <w:szCs w:val="22"/>
              </w:rPr>
              <w:t>12 years in role</w:t>
            </w:r>
          </w:p>
        </w:tc>
      </w:tr>
      <w:tr w:rsidR="00EE4960" w:rsidRPr="000F7337" w14:paraId="2DE3D261" w14:textId="77777777" w:rsidTr="005D0832">
        <w:trPr>
          <w:trHeight w:val="427"/>
        </w:trPr>
        <w:tc>
          <w:tcPr>
            <w:tcW w:w="1172" w:type="dxa"/>
            <w:tcBorders>
              <w:top w:val="single" w:sz="1" w:space="0" w:color="808080"/>
              <w:left w:val="single" w:sz="1" w:space="0" w:color="808080"/>
              <w:bottom w:val="single" w:sz="1" w:space="0" w:color="808080"/>
              <w:right w:val="single" w:sz="1" w:space="0" w:color="808080"/>
            </w:tcBorders>
            <w:vAlign w:val="center"/>
          </w:tcPr>
          <w:p w14:paraId="21952F4A" w14:textId="77777777" w:rsidR="00EE4960" w:rsidRPr="000F7337" w:rsidRDefault="00EE4960" w:rsidP="00EE4960">
            <w:r w:rsidRPr="000F7337">
              <w:rPr>
                <w:sz w:val="22"/>
                <w:szCs w:val="22"/>
              </w:rPr>
              <w:t>EM1</w:t>
            </w:r>
          </w:p>
        </w:tc>
        <w:tc>
          <w:tcPr>
            <w:tcW w:w="2678" w:type="dxa"/>
            <w:tcBorders>
              <w:top w:val="single" w:sz="1" w:space="0" w:color="808080"/>
              <w:left w:val="single" w:sz="1" w:space="0" w:color="808080"/>
              <w:bottom w:val="single" w:sz="1" w:space="0" w:color="808080"/>
              <w:right w:val="single" w:sz="1" w:space="0" w:color="808080"/>
            </w:tcBorders>
            <w:vAlign w:val="center"/>
          </w:tcPr>
          <w:p w14:paraId="7343F09D" w14:textId="77777777" w:rsidR="00EE4960" w:rsidRPr="000F7337" w:rsidRDefault="00EE4960" w:rsidP="00EE4960">
            <w:r w:rsidRPr="000F7337">
              <w:rPr>
                <w:sz w:val="22"/>
                <w:szCs w:val="22"/>
              </w:rPr>
              <w:t>Estates Manager</w:t>
            </w:r>
          </w:p>
        </w:tc>
        <w:tc>
          <w:tcPr>
            <w:tcW w:w="2670" w:type="dxa"/>
            <w:tcBorders>
              <w:top w:val="single" w:sz="1" w:space="0" w:color="808080"/>
              <w:left w:val="single" w:sz="1" w:space="0" w:color="808080"/>
              <w:bottom w:val="single" w:sz="1" w:space="0" w:color="808080"/>
              <w:right w:val="single" w:sz="1" w:space="0" w:color="808080"/>
            </w:tcBorders>
            <w:vAlign w:val="center"/>
          </w:tcPr>
          <w:p w14:paraId="1072A2DC" w14:textId="6B2BE5F7" w:rsidR="00EE4960" w:rsidRPr="000F7337" w:rsidRDefault="00EE4960" w:rsidP="00EE4960">
            <w:r w:rsidRPr="00DF0287">
              <w:rPr>
                <w:sz w:val="22"/>
                <w:szCs w:val="22"/>
              </w:rPr>
              <w:t>FE College</w:t>
            </w:r>
            <w:r>
              <w:rPr>
                <w:sz w:val="22"/>
                <w:szCs w:val="22"/>
              </w:rPr>
              <w:t xml:space="preserve"> C</w:t>
            </w:r>
          </w:p>
        </w:tc>
        <w:tc>
          <w:tcPr>
            <w:tcW w:w="2504" w:type="dxa"/>
            <w:tcBorders>
              <w:top w:val="single" w:sz="1" w:space="0" w:color="808080"/>
              <w:left w:val="single" w:sz="1" w:space="0" w:color="808080"/>
              <w:bottom w:val="single" w:sz="1" w:space="0" w:color="808080"/>
              <w:right w:val="single" w:sz="1" w:space="0" w:color="808080"/>
            </w:tcBorders>
            <w:vAlign w:val="center"/>
          </w:tcPr>
          <w:p w14:paraId="18DE9416" w14:textId="77777777" w:rsidR="00EE4960" w:rsidRPr="000F7337" w:rsidRDefault="00EE4960" w:rsidP="00EE4960">
            <w:r w:rsidRPr="000F7337">
              <w:rPr>
                <w:sz w:val="22"/>
                <w:szCs w:val="22"/>
              </w:rPr>
              <w:t>20 years in sector</w:t>
            </w:r>
          </w:p>
        </w:tc>
      </w:tr>
      <w:tr w:rsidR="00EE4960" w:rsidRPr="000F7337" w14:paraId="37D4ED6D" w14:textId="77777777" w:rsidTr="005D0832">
        <w:trPr>
          <w:trHeight w:val="419"/>
        </w:trPr>
        <w:tc>
          <w:tcPr>
            <w:tcW w:w="1172" w:type="dxa"/>
            <w:tcBorders>
              <w:top w:val="single" w:sz="1" w:space="0" w:color="808080"/>
              <w:left w:val="single" w:sz="1" w:space="0" w:color="808080"/>
              <w:bottom w:val="single" w:sz="1" w:space="0" w:color="808080"/>
              <w:right w:val="single" w:sz="1" w:space="0" w:color="808080"/>
            </w:tcBorders>
            <w:vAlign w:val="center"/>
          </w:tcPr>
          <w:p w14:paraId="180AAA88" w14:textId="77777777" w:rsidR="00EE4960" w:rsidRPr="000F7337" w:rsidRDefault="00EE4960" w:rsidP="00EE4960">
            <w:r w:rsidRPr="000F7337">
              <w:rPr>
                <w:sz w:val="22"/>
                <w:szCs w:val="22"/>
              </w:rPr>
              <w:t>FM5</w:t>
            </w:r>
          </w:p>
        </w:tc>
        <w:tc>
          <w:tcPr>
            <w:tcW w:w="2678" w:type="dxa"/>
            <w:tcBorders>
              <w:top w:val="single" w:sz="1" w:space="0" w:color="808080"/>
              <w:left w:val="single" w:sz="1" w:space="0" w:color="808080"/>
              <w:bottom w:val="single" w:sz="1" w:space="0" w:color="808080"/>
              <w:right w:val="single" w:sz="1" w:space="0" w:color="808080"/>
            </w:tcBorders>
            <w:vAlign w:val="center"/>
          </w:tcPr>
          <w:p w14:paraId="6C3CEE55" w14:textId="77777777" w:rsidR="00EE4960" w:rsidRPr="000F7337" w:rsidRDefault="00EE4960" w:rsidP="00EE4960">
            <w:r w:rsidRPr="000F7337">
              <w:rPr>
                <w:sz w:val="22"/>
                <w:szCs w:val="22"/>
              </w:rPr>
              <w:t>FM Contracts Manager</w:t>
            </w:r>
          </w:p>
        </w:tc>
        <w:tc>
          <w:tcPr>
            <w:tcW w:w="2670" w:type="dxa"/>
            <w:tcBorders>
              <w:top w:val="single" w:sz="1" w:space="0" w:color="808080"/>
              <w:left w:val="single" w:sz="1" w:space="0" w:color="808080"/>
              <w:bottom w:val="single" w:sz="1" w:space="0" w:color="808080"/>
              <w:right w:val="single" w:sz="1" w:space="0" w:color="808080"/>
            </w:tcBorders>
            <w:vAlign w:val="center"/>
          </w:tcPr>
          <w:p w14:paraId="7890254B" w14:textId="45912054" w:rsidR="00EE4960" w:rsidRPr="000F7337" w:rsidRDefault="00EE4960" w:rsidP="00EE4960">
            <w:r w:rsidRPr="00DF0287">
              <w:rPr>
                <w:sz w:val="22"/>
                <w:szCs w:val="22"/>
              </w:rPr>
              <w:t>FM Contractor</w:t>
            </w:r>
          </w:p>
        </w:tc>
        <w:tc>
          <w:tcPr>
            <w:tcW w:w="2504" w:type="dxa"/>
            <w:tcBorders>
              <w:top w:val="single" w:sz="1" w:space="0" w:color="808080"/>
              <w:left w:val="single" w:sz="1" w:space="0" w:color="808080"/>
              <w:bottom w:val="single" w:sz="1" w:space="0" w:color="808080"/>
              <w:right w:val="single" w:sz="1" w:space="0" w:color="808080"/>
            </w:tcBorders>
            <w:vAlign w:val="center"/>
          </w:tcPr>
          <w:p w14:paraId="4CF3962C" w14:textId="77777777" w:rsidR="00EE4960" w:rsidRPr="000F7337" w:rsidRDefault="00EE4960" w:rsidP="00EE4960">
            <w:r w:rsidRPr="000F7337">
              <w:rPr>
                <w:sz w:val="22"/>
                <w:szCs w:val="22"/>
              </w:rPr>
              <w:t>15 years in trade</w:t>
            </w:r>
          </w:p>
        </w:tc>
      </w:tr>
      <w:tr w:rsidR="00EE4960" w:rsidRPr="000F7337" w14:paraId="6384FC3A" w14:textId="77777777" w:rsidTr="005D0832">
        <w:tc>
          <w:tcPr>
            <w:tcW w:w="1172" w:type="dxa"/>
            <w:tcBorders>
              <w:top w:val="single" w:sz="1" w:space="0" w:color="808080"/>
              <w:left w:val="single" w:sz="1" w:space="0" w:color="808080"/>
              <w:bottom w:val="single" w:sz="1" w:space="0" w:color="808080"/>
              <w:right w:val="single" w:sz="1" w:space="0" w:color="808080"/>
            </w:tcBorders>
            <w:vAlign w:val="center"/>
          </w:tcPr>
          <w:p w14:paraId="7EA54776" w14:textId="77777777" w:rsidR="00EE4960" w:rsidRPr="000F7337" w:rsidRDefault="00EE4960" w:rsidP="00EE4960">
            <w:r w:rsidRPr="000F7337">
              <w:rPr>
                <w:sz w:val="22"/>
                <w:szCs w:val="22"/>
              </w:rPr>
              <w:t>CONS1</w:t>
            </w:r>
          </w:p>
        </w:tc>
        <w:tc>
          <w:tcPr>
            <w:tcW w:w="2678" w:type="dxa"/>
            <w:tcBorders>
              <w:top w:val="single" w:sz="1" w:space="0" w:color="808080"/>
              <w:left w:val="single" w:sz="1" w:space="0" w:color="808080"/>
              <w:bottom w:val="single" w:sz="1" w:space="0" w:color="808080"/>
              <w:right w:val="single" w:sz="1" w:space="0" w:color="808080"/>
            </w:tcBorders>
            <w:vAlign w:val="center"/>
          </w:tcPr>
          <w:p w14:paraId="25B3640B" w14:textId="77777777" w:rsidR="00EE4960" w:rsidRPr="000F7337" w:rsidRDefault="00EE4960" w:rsidP="00EE4960">
            <w:r w:rsidRPr="000F7337">
              <w:rPr>
                <w:sz w:val="22"/>
                <w:szCs w:val="22"/>
              </w:rPr>
              <w:t>Senior M&amp;E Design Engineer</w:t>
            </w:r>
          </w:p>
        </w:tc>
        <w:tc>
          <w:tcPr>
            <w:tcW w:w="2670" w:type="dxa"/>
            <w:tcBorders>
              <w:top w:val="single" w:sz="1" w:space="0" w:color="808080"/>
              <w:left w:val="single" w:sz="1" w:space="0" w:color="808080"/>
              <w:bottom w:val="single" w:sz="1" w:space="0" w:color="808080"/>
              <w:right w:val="single" w:sz="1" w:space="0" w:color="808080"/>
            </w:tcBorders>
            <w:vAlign w:val="center"/>
          </w:tcPr>
          <w:p w14:paraId="6E11BC4E" w14:textId="62221F80" w:rsidR="00EE4960" w:rsidRPr="000F7337" w:rsidRDefault="00EE4960" w:rsidP="00EE4960">
            <w:r w:rsidRPr="00DF0287">
              <w:rPr>
                <w:sz w:val="22"/>
                <w:szCs w:val="22"/>
              </w:rPr>
              <w:t>M&amp;E Consultant</w:t>
            </w:r>
          </w:p>
        </w:tc>
        <w:tc>
          <w:tcPr>
            <w:tcW w:w="2504" w:type="dxa"/>
            <w:tcBorders>
              <w:top w:val="single" w:sz="1" w:space="0" w:color="808080"/>
              <w:left w:val="single" w:sz="1" w:space="0" w:color="808080"/>
              <w:bottom w:val="single" w:sz="1" w:space="0" w:color="808080"/>
              <w:right w:val="single" w:sz="1" w:space="0" w:color="808080"/>
            </w:tcBorders>
            <w:vAlign w:val="center"/>
          </w:tcPr>
          <w:p w14:paraId="3971F306" w14:textId="77777777" w:rsidR="00EE4960" w:rsidRPr="000F7337" w:rsidRDefault="00EE4960" w:rsidP="00EE4960">
            <w:r w:rsidRPr="000F7337">
              <w:rPr>
                <w:sz w:val="22"/>
                <w:szCs w:val="22"/>
              </w:rPr>
              <w:t>18 years (chartered)</w:t>
            </w:r>
          </w:p>
        </w:tc>
      </w:tr>
    </w:tbl>
    <w:p w14:paraId="7FCD2F1C" w14:textId="77777777" w:rsidR="00BF7500" w:rsidRPr="000F7337" w:rsidRDefault="00BF7500" w:rsidP="00BF7500">
      <w:pPr>
        <w:spacing w:after="300"/>
      </w:pPr>
    </w:p>
    <w:p w14:paraId="7D95308A" w14:textId="77777777" w:rsidR="00BF7500" w:rsidRPr="000F7337" w:rsidRDefault="00BF7500" w:rsidP="00BF7500">
      <w:pPr>
        <w:pStyle w:val="Heading2"/>
        <w:spacing w:before="300" w:after="150"/>
        <w:rPr>
          <w:rFonts w:ascii="Arial" w:hAnsi="Arial" w:cs="Arial"/>
        </w:rPr>
      </w:pPr>
      <w:bookmarkStart w:id="241" w:name="_Toc220152281"/>
      <w:r w:rsidRPr="000F7337">
        <w:rPr>
          <w:rFonts w:ascii="Arial" w:hAnsi="Arial" w:cs="Arial"/>
          <w:b/>
          <w:bCs/>
        </w:rPr>
        <w:t>E.2 Sample Transcript Excerpts by Theme</w:t>
      </w:r>
      <w:bookmarkEnd w:id="241"/>
    </w:p>
    <w:p w14:paraId="5F742993" w14:textId="77777777" w:rsidR="00BF7500" w:rsidRPr="000F7337" w:rsidRDefault="00BF7500" w:rsidP="00BF7500">
      <w:pPr>
        <w:spacing w:before="200" w:after="100"/>
      </w:pPr>
      <w:r w:rsidRPr="000F7337">
        <w:rPr>
          <w:b/>
          <w:bCs/>
        </w:rPr>
        <w:t>Theme 1: Digital Maturity and Current Adoption</w:t>
      </w:r>
    </w:p>
    <w:p w14:paraId="066BC798" w14:textId="77777777" w:rsidR="00BF7500" w:rsidRPr="000F7337" w:rsidRDefault="00BF7500" w:rsidP="00BF7500">
      <w:pPr>
        <w:spacing w:after="200" w:line="276" w:lineRule="auto"/>
      </w:pPr>
      <w:r w:rsidRPr="000F7337">
        <w:rPr>
          <w:i/>
          <w:iCs/>
        </w:rPr>
        <w:t>Interviewer: How would you describe your organisation's overall approach to digital technologies in the management of buildings and M&amp;E systems?</w:t>
      </w:r>
    </w:p>
    <w:p w14:paraId="6FD4C7DD" w14:textId="6AE3FD31" w:rsidR="00BF7500" w:rsidRPr="000F7337" w:rsidRDefault="00BF7500" w:rsidP="00BF7500">
      <w:pPr>
        <w:spacing w:after="200" w:line="276" w:lineRule="auto"/>
      </w:pPr>
      <w:r w:rsidRPr="000F7337">
        <w:t xml:space="preserve">FM1 (Facilities Manager): "We have BMS on some newer </w:t>
      </w:r>
      <w:r w:rsidR="006A1981" w:rsidRPr="000F7337">
        <w:t>buildings,</w:t>
      </w:r>
      <w:r w:rsidRPr="000F7337">
        <w:t xml:space="preserve"> but older sites still rely on manual monitoring and reactive maintenance. We're moving toward more data-driven approaches but it's gradual."</w:t>
      </w:r>
    </w:p>
    <w:p w14:paraId="51046B96" w14:textId="77777777" w:rsidR="00BF7500" w:rsidRPr="000F7337" w:rsidRDefault="00BF7500" w:rsidP="00BF7500">
      <w:pPr>
        <w:spacing w:after="200" w:line="276" w:lineRule="auto"/>
      </w:pPr>
      <w:r w:rsidRPr="000F7337">
        <w:t>ED1 (Estates Director): "We've upgraded BMS on two campuses and have good energy monitoring, but true AI or Digital Twin capability isn't something we've implemented. The aspiration is there but the investment case is challenging."</w:t>
      </w:r>
    </w:p>
    <w:p w14:paraId="31A02E89" w14:textId="77777777" w:rsidR="00BF7500" w:rsidRPr="000F7337" w:rsidRDefault="00BF7500" w:rsidP="00BF7500">
      <w:pPr>
        <w:spacing w:before="200" w:after="100"/>
      </w:pPr>
      <w:r w:rsidRPr="000F7337">
        <w:rPr>
          <w:b/>
          <w:bCs/>
        </w:rPr>
        <w:t>Theme 2: Interoperability and Legacy Systems</w:t>
      </w:r>
    </w:p>
    <w:p w14:paraId="69261DD3" w14:textId="77777777" w:rsidR="00BF7500" w:rsidRPr="000F7337" w:rsidRDefault="00BF7500" w:rsidP="00BF7500">
      <w:pPr>
        <w:spacing w:after="200" w:line="276" w:lineRule="auto"/>
      </w:pPr>
      <w:r w:rsidRPr="000F7337">
        <w:rPr>
          <w:i/>
          <w:iCs/>
        </w:rPr>
        <w:t>Interviewer: What technical or data-interoperability challenges have you experienced?</w:t>
      </w:r>
    </w:p>
    <w:p w14:paraId="7653229B" w14:textId="77777777" w:rsidR="00BF7500" w:rsidRPr="000F7337" w:rsidRDefault="00BF7500" w:rsidP="00BF7500">
      <w:pPr>
        <w:spacing w:after="200" w:line="276" w:lineRule="auto"/>
      </w:pPr>
      <w:r w:rsidRPr="000F7337">
        <w:t>ENG1 (BMS Engineer): "Getting a 1990s outstation to feed data into a modern dashboard often requires middleware. Many older systems use proprietary protocols that don't play well with modern APIs."</w:t>
      </w:r>
    </w:p>
    <w:p w14:paraId="6E639748" w14:textId="77777777" w:rsidR="00BF7500" w:rsidRPr="000F7337" w:rsidRDefault="00BF7500" w:rsidP="00BF7500">
      <w:pPr>
        <w:spacing w:after="200" w:line="276" w:lineRule="auto"/>
      </w:pPr>
      <w:r w:rsidRPr="000F7337">
        <w:t>FM1 (Facilities Manager): "Each campus has different BMS vendors from different eras. We often end up with siloed data that requires manual consolidation. It's frustrating when you know the data exists but can't easily bring it together."</w:t>
      </w:r>
    </w:p>
    <w:p w14:paraId="7DAF9279" w14:textId="77777777" w:rsidR="00BF7500" w:rsidRPr="000F7337" w:rsidRDefault="00BF7500" w:rsidP="00BF7500">
      <w:pPr>
        <w:spacing w:after="200" w:line="276" w:lineRule="auto"/>
      </w:pPr>
      <w:r w:rsidRPr="000F7337">
        <w:lastRenderedPageBreak/>
        <w:t>CONS1 (Senior M&amp;E Engineer): "The worst cases require complete controls replacement to achieve interoperability. That's a significant capital cost that's hard to justify when the existing system technically still works."</w:t>
      </w:r>
    </w:p>
    <w:p w14:paraId="0710E8B3" w14:textId="77777777" w:rsidR="00257E57" w:rsidRPr="000F7337" w:rsidRDefault="00257E57" w:rsidP="00BF7500">
      <w:pPr>
        <w:spacing w:after="200" w:line="276" w:lineRule="auto"/>
      </w:pPr>
    </w:p>
    <w:p w14:paraId="53932CC2" w14:textId="77777777" w:rsidR="00BF7500" w:rsidRPr="000F7337" w:rsidRDefault="00BF7500" w:rsidP="00BF7500">
      <w:pPr>
        <w:spacing w:before="200" w:after="100"/>
      </w:pPr>
      <w:r w:rsidRPr="000F7337">
        <w:rPr>
          <w:b/>
          <w:bCs/>
        </w:rPr>
        <w:t>Theme 3: Governance and Cybersecurity</w:t>
      </w:r>
    </w:p>
    <w:p w14:paraId="5028F19B" w14:textId="77777777" w:rsidR="00BF7500" w:rsidRPr="000F7337" w:rsidRDefault="00BF7500" w:rsidP="00BF7500">
      <w:pPr>
        <w:spacing w:after="200" w:line="276" w:lineRule="auto"/>
      </w:pPr>
      <w:r w:rsidRPr="000F7337">
        <w:rPr>
          <w:i/>
          <w:iCs/>
        </w:rPr>
        <w:t>Interviewer: How confident are you that current cybersecurity arrangements are sufficient?</w:t>
      </w:r>
    </w:p>
    <w:p w14:paraId="4DC9AD10" w14:textId="5EE3F82C" w:rsidR="00BF7500" w:rsidRPr="000F7337" w:rsidRDefault="00BF7500" w:rsidP="00BF7500">
      <w:pPr>
        <w:spacing w:after="200" w:line="276" w:lineRule="auto"/>
      </w:pPr>
      <w:r w:rsidRPr="000F7337">
        <w:t xml:space="preserve">ED1 (Estates Director): "IT manage our network security centrally. </w:t>
      </w:r>
      <w:r w:rsidR="006A1981" w:rsidRPr="000F7337">
        <w:t>I am</w:t>
      </w:r>
      <w:r w:rsidRPr="000F7337">
        <w:t xml:space="preserve"> reasonably confident for current systems, but connecting more devices to the internet inevitably increases risk. It's a balance."</w:t>
      </w:r>
    </w:p>
    <w:p w14:paraId="4D010BEA" w14:textId="77777777" w:rsidR="00BF7500" w:rsidRPr="000F7337" w:rsidRDefault="00BF7500" w:rsidP="00BF7500">
      <w:pPr>
        <w:spacing w:after="200" w:line="276" w:lineRule="auto"/>
      </w:pPr>
      <w:r w:rsidRPr="000F7337">
        <w:t>ENG1 (BMS Engineer): "Many older systems were never designed with cybersecurity in mind. They're on isolated networks, which helps, but as soon as you want remote access or cloud dashboards, the vulnerabilities become apparent."</w:t>
      </w:r>
    </w:p>
    <w:p w14:paraId="3C32E653" w14:textId="77777777" w:rsidR="00BF7500" w:rsidRPr="000F7337" w:rsidRDefault="00BF7500" w:rsidP="00BF7500">
      <w:pPr>
        <w:spacing w:before="200" w:after="100"/>
      </w:pPr>
      <w:r w:rsidRPr="000F7337">
        <w:rPr>
          <w:b/>
          <w:bCs/>
        </w:rPr>
        <w:t>Theme 4: Skills and Organisational Culture</w:t>
      </w:r>
    </w:p>
    <w:p w14:paraId="07BAE196" w14:textId="77777777" w:rsidR="00BF7500" w:rsidRPr="000F7337" w:rsidRDefault="00BF7500" w:rsidP="00BF7500">
      <w:pPr>
        <w:spacing w:after="200" w:line="276" w:lineRule="auto"/>
      </w:pPr>
      <w:r w:rsidRPr="000F7337">
        <w:rPr>
          <w:i/>
          <w:iCs/>
        </w:rPr>
        <w:t>Interviewer: How would you describe the digital skills of staff involved in M&amp;E operations?</w:t>
      </w:r>
    </w:p>
    <w:p w14:paraId="276CEC65" w14:textId="7E8FE42E" w:rsidR="00BF7500" w:rsidRPr="000F7337" w:rsidRDefault="00BF7500" w:rsidP="00BF7500">
      <w:pPr>
        <w:spacing w:after="200" w:line="276" w:lineRule="auto"/>
      </w:pPr>
      <w:r w:rsidRPr="000F7337">
        <w:t xml:space="preserve">FM1 (Facilities Manager): "Mixed. Younger technicians adapt </w:t>
      </w:r>
      <w:r w:rsidR="006A1981" w:rsidRPr="000F7337">
        <w:t>quickly;</w:t>
      </w:r>
      <w:r w:rsidRPr="000F7337">
        <w:t xml:space="preserve"> some experienced staff are less comfortable with data-driven approaches. It's not just about </w:t>
      </w:r>
      <w:r w:rsidR="008F0056" w:rsidRPr="000F7337">
        <w:t>training</w:t>
      </w:r>
      <w:r w:rsidR="008F0056">
        <w:t>;</w:t>
      </w:r>
      <w:r w:rsidR="004535EA">
        <w:t xml:space="preserve"> </w:t>
      </w:r>
      <w:r w:rsidRPr="000F7337">
        <w:t>it's about confidence and willingness to change."</w:t>
      </w:r>
    </w:p>
    <w:p w14:paraId="18B59B50" w14:textId="43F1C09A" w:rsidR="00BF7500" w:rsidRPr="000F7337" w:rsidRDefault="00BF7500" w:rsidP="00BF7500">
      <w:pPr>
        <w:spacing w:after="200" w:line="276" w:lineRule="auto"/>
      </w:pPr>
      <w:r w:rsidRPr="000F7337">
        <w:t>FM5 (FM Contracts Manager): "The difference isn't budget</w:t>
      </w:r>
      <w:r w:rsidR="004535EA">
        <w:t xml:space="preserve">, </w:t>
      </w:r>
      <w:r w:rsidRPr="000F7337">
        <w:t>it's attitude. Where senior leadership champions digital approaches, adoption happens. Where it's seen as an IT project rather than an operational improvement, it stalls."</w:t>
      </w:r>
    </w:p>
    <w:p w14:paraId="0A13FD85" w14:textId="77777777" w:rsidR="00BF7500" w:rsidRPr="000F7337" w:rsidRDefault="00BF7500" w:rsidP="00BF7500">
      <w:pPr>
        <w:spacing w:before="200" w:after="100"/>
      </w:pPr>
      <w:r w:rsidRPr="000F7337">
        <w:rPr>
          <w:b/>
          <w:bCs/>
        </w:rPr>
        <w:t>Theme 5: Sustainability Outcomes</w:t>
      </w:r>
    </w:p>
    <w:p w14:paraId="3BF1864C" w14:textId="77777777" w:rsidR="00BF7500" w:rsidRPr="000F7337" w:rsidRDefault="00BF7500" w:rsidP="00BF7500">
      <w:pPr>
        <w:spacing w:after="200" w:line="276" w:lineRule="auto"/>
      </w:pPr>
      <w:r w:rsidRPr="000F7337">
        <w:rPr>
          <w:i/>
          <w:iCs/>
        </w:rPr>
        <w:t>Interviewer: Have digital technologies delivered measurable benefits?</w:t>
      </w:r>
    </w:p>
    <w:p w14:paraId="3BB9E72E" w14:textId="4FC8A473" w:rsidR="00BF7500" w:rsidRPr="000F7337" w:rsidRDefault="00BF7500" w:rsidP="00BF7500">
      <w:pPr>
        <w:spacing w:after="200" w:line="276" w:lineRule="auto"/>
      </w:pPr>
      <w:r w:rsidRPr="000F7337">
        <w:t>ED1 (Estates Director): "Yes. A verified 18</w:t>
      </w:r>
      <w:r w:rsidR="00815B76" w:rsidRPr="000F7337">
        <w:t>%</w:t>
      </w:r>
      <w:r w:rsidRPr="000F7337">
        <w:t xml:space="preserve"> reduction in gas consumption on one campus helped secure further Salix funding. That's real money saved and carbon reduced."</w:t>
      </w:r>
    </w:p>
    <w:p w14:paraId="65E693D2" w14:textId="77777777" w:rsidR="00BF7500" w:rsidRPr="000F7337" w:rsidRDefault="00BF7500" w:rsidP="00BF7500">
      <w:pPr>
        <w:spacing w:after="200" w:line="276" w:lineRule="auto"/>
      </w:pPr>
      <w:r w:rsidRPr="000F7337">
        <w:t>FM1 (Facilities Manager): "We identified heating schedules running outside occupied hours through better monitoring. Simple changes, but they reduced gas consumption noticeably. Without the data, we'd never have spotted it."</w:t>
      </w:r>
    </w:p>
    <w:p w14:paraId="59C1BD66" w14:textId="77777777" w:rsidR="00BF7500" w:rsidRPr="000F7337" w:rsidRDefault="00BF7500" w:rsidP="00BF7500">
      <w:pPr>
        <w:spacing w:before="200" w:after="100"/>
      </w:pPr>
      <w:r w:rsidRPr="000F7337">
        <w:rPr>
          <w:b/>
          <w:bCs/>
        </w:rPr>
        <w:t>Theme 6: Barriers and Future Direction</w:t>
      </w:r>
    </w:p>
    <w:p w14:paraId="788BD149" w14:textId="77777777" w:rsidR="00BF7500" w:rsidRPr="000F7337" w:rsidRDefault="00BF7500" w:rsidP="00BF7500">
      <w:pPr>
        <w:spacing w:after="200" w:line="276" w:lineRule="auto"/>
      </w:pPr>
      <w:r w:rsidRPr="000F7337">
        <w:rPr>
          <w:i/>
          <w:iCs/>
        </w:rPr>
        <w:t>Interviewer: What is the single biggest barrier to wider adoption?</w:t>
      </w:r>
    </w:p>
    <w:p w14:paraId="26E8D88E" w14:textId="77777777" w:rsidR="00BF7500" w:rsidRPr="000F7337" w:rsidRDefault="00BF7500" w:rsidP="00BF7500">
      <w:pPr>
        <w:spacing w:after="200" w:line="276" w:lineRule="auto"/>
      </w:pPr>
      <w:r w:rsidRPr="000F7337">
        <w:t>FM1 (Facilities Manager): "Upfront cost and uncertainty about return on investment. It's hard to justify significant capital expenditure when the benefits are long-term and sometimes difficult to quantify in advance."</w:t>
      </w:r>
    </w:p>
    <w:p w14:paraId="4DC87CF4" w14:textId="77777777" w:rsidR="00BF7500" w:rsidRPr="000F7337" w:rsidRDefault="00BF7500" w:rsidP="00BF7500">
      <w:pPr>
        <w:spacing w:after="200" w:line="276" w:lineRule="auto"/>
      </w:pPr>
      <w:r w:rsidRPr="000F7337">
        <w:lastRenderedPageBreak/>
        <w:t>FM5 (FM Contracts Manager): "Public sector contracts often prioritise lowest cost over long-term value. That makes it hard to specify smarter systems even when you know they'd pay back over time."</w:t>
      </w:r>
    </w:p>
    <w:p w14:paraId="1F6E6D6A" w14:textId="66A8575A" w:rsidR="00BF7500" w:rsidRPr="000F7337" w:rsidRDefault="00BF7500" w:rsidP="00BF7500">
      <w:pPr>
        <w:spacing w:after="200" w:line="276" w:lineRule="auto"/>
      </w:pPr>
      <w:r w:rsidRPr="000F7337">
        <w:t xml:space="preserve">CONS1 (Senior M&amp;E Engineer): "Value engineering. Controls specifications get watered down during procurement, and you end up with basic systems that </w:t>
      </w:r>
      <w:r w:rsidR="006A1981" w:rsidRPr="000F7337">
        <w:t>cannot</w:t>
      </w:r>
      <w:r w:rsidRPr="000F7337">
        <w:t xml:space="preserve"> support future digital capability. It's short-term thinking that creates long-term constraints."</w:t>
      </w:r>
    </w:p>
    <w:p w14:paraId="6A684E00" w14:textId="77777777" w:rsidR="00BF7500" w:rsidRPr="000F7337" w:rsidRDefault="00BF7500" w:rsidP="00BF7500">
      <w:r w:rsidRPr="000F7337">
        <w:br w:type="page"/>
      </w:r>
    </w:p>
    <w:p w14:paraId="3E8555AE" w14:textId="77777777" w:rsidR="00BF7500" w:rsidRPr="000F7337" w:rsidRDefault="00BF7500" w:rsidP="00BF7500">
      <w:pPr>
        <w:pStyle w:val="Heading1"/>
        <w:spacing w:before="400" w:after="200"/>
        <w:rPr>
          <w:rFonts w:ascii="Arial" w:hAnsi="Arial" w:cs="Arial"/>
        </w:rPr>
      </w:pPr>
      <w:bookmarkStart w:id="242" w:name="_Toc220152282"/>
      <w:r w:rsidRPr="000F7337">
        <w:rPr>
          <w:rFonts w:ascii="Arial" w:hAnsi="Arial" w:cs="Arial"/>
          <w:b/>
          <w:bCs/>
        </w:rPr>
        <w:lastRenderedPageBreak/>
        <w:t>Appendix F: Ethics Approval Documentation</w:t>
      </w:r>
      <w:bookmarkEnd w:id="242"/>
    </w:p>
    <w:p w14:paraId="1C34BB78" w14:textId="77777777" w:rsidR="00BF7500" w:rsidRPr="000F7337" w:rsidRDefault="00BF7500" w:rsidP="00BF7500">
      <w:pPr>
        <w:pStyle w:val="Heading2"/>
        <w:spacing w:before="300" w:after="150"/>
        <w:rPr>
          <w:rFonts w:ascii="Arial" w:hAnsi="Arial" w:cs="Arial"/>
        </w:rPr>
      </w:pPr>
      <w:bookmarkStart w:id="243" w:name="_Toc220152283"/>
      <w:r w:rsidRPr="000F7337">
        <w:rPr>
          <w:rFonts w:ascii="Arial" w:hAnsi="Arial" w:cs="Arial"/>
          <w:b/>
          <w:bCs/>
        </w:rPr>
        <w:t>F.1 Ethics Approval Statement</w:t>
      </w:r>
      <w:bookmarkEnd w:id="243"/>
    </w:p>
    <w:p w14:paraId="2E08BA78" w14:textId="77777777" w:rsidR="00BF7500" w:rsidRPr="000F7337" w:rsidRDefault="00BF7500" w:rsidP="00BF7500">
      <w:pPr>
        <w:spacing w:after="200" w:line="276" w:lineRule="auto"/>
      </w:pPr>
      <w:r w:rsidRPr="000F7337">
        <w:t>This research was conducted in accordance with the ethical guidelines of the University of Wales Trinity Saint David. Ethical approval was obtained prior to commencement of primary data collection.</w:t>
      </w:r>
    </w:p>
    <w:p w14:paraId="1FE65933" w14:textId="77777777" w:rsidR="00BF7500" w:rsidRPr="000F7337" w:rsidRDefault="00BF7500" w:rsidP="00BF7500">
      <w:pPr>
        <w:spacing w:after="120" w:line="276" w:lineRule="auto"/>
      </w:pPr>
      <w:r w:rsidRPr="000F7337">
        <w:t>Ethics Application Reference: PG2 Form (Research Proposal Stage)</w:t>
      </w:r>
    </w:p>
    <w:p w14:paraId="62F8B791" w14:textId="77777777" w:rsidR="00BF7500" w:rsidRPr="000F7337" w:rsidRDefault="00BF7500" w:rsidP="00BF7500">
      <w:pPr>
        <w:spacing w:after="120" w:line="276" w:lineRule="auto"/>
      </w:pPr>
      <w:r w:rsidRPr="000F7337">
        <w:t>Date of Approval: 23 June 2025</w:t>
      </w:r>
    </w:p>
    <w:p w14:paraId="7AA71ECC" w14:textId="77777777" w:rsidR="00BF7500" w:rsidRPr="000F7337" w:rsidRDefault="00BF7500" w:rsidP="00BF7500">
      <w:pPr>
        <w:spacing w:after="120" w:line="276" w:lineRule="auto"/>
      </w:pPr>
      <w:r w:rsidRPr="000F7337">
        <w:t>Module: ACFA7004 Research Methods</w:t>
      </w:r>
    </w:p>
    <w:p w14:paraId="7855723D" w14:textId="77777777" w:rsidR="00BF7500" w:rsidRPr="000F7337" w:rsidRDefault="00BF7500" w:rsidP="00BF7500">
      <w:pPr>
        <w:spacing w:after="120" w:line="276" w:lineRule="auto"/>
      </w:pPr>
      <w:r w:rsidRPr="000F7337">
        <w:t>Programme: MSc Sustainable Construction</w:t>
      </w:r>
    </w:p>
    <w:p w14:paraId="010C915D" w14:textId="77777777" w:rsidR="00BF7500" w:rsidRPr="000F7337" w:rsidRDefault="00BF7500" w:rsidP="00BF7500">
      <w:pPr>
        <w:spacing w:after="200" w:line="276" w:lineRule="auto"/>
      </w:pPr>
      <w:r w:rsidRPr="000F7337">
        <w:t>Supervisor: Dr Deborah Hughes</w:t>
      </w:r>
    </w:p>
    <w:p w14:paraId="5A31525C" w14:textId="77777777" w:rsidR="00BF7500" w:rsidRPr="000F7337" w:rsidRDefault="00BF7500" w:rsidP="00BF7500">
      <w:pPr>
        <w:pStyle w:val="Heading2"/>
        <w:spacing w:before="300" w:after="150"/>
        <w:rPr>
          <w:rFonts w:ascii="Arial" w:hAnsi="Arial" w:cs="Arial"/>
        </w:rPr>
      </w:pPr>
      <w:bookmarkStart w:id="244" w:name="_Toc220152284"/>
      <w:r w:rsidRPr="000F7337">
        <w:rPr>
          <w:rFonts w:ascii="Arial" w:hAnsi="Arial" w:cs="Arial"/>
          <w:b/>
          <w:bCs/>
        </w:rPr>
        <w:t>F.2 Ethical Considerations Addressed</w:t>
      </w:r>
      <w:bookmarkEnd w:id="244"/>
    </w:p>
    <w:p w14:paraId="31316865" w14:textId="77777777" w:rsidR="00BF7500" w:rsidRPr="000F7337" w:rsidRDefault="00BF7500" w:rsidP="00BF7500">
      <w:pPr>
        <w:spacing w:after="200" w:line="276" w:lineRule="auto"/>
      </w:pPr>
      <w:r w:rsidRPr="000F7337">
        <w:t>The following ethical considerations were addressed in the research design:</w:t>
      </w:r>
    </w:p>
    <w:p w14:paraId="4F7EA8E2" w14:textId="77777777" w:rsidR="00BF7500" w:rsidRPr="000F7337" w:rsidRDefault="00BF7500" w:rsidP="00BF7500">
      <w:pPr>
        <w:spacing w:before="150" w:after="80"/>
      </w:pPr>
      <w:r w:rsidRPr="000F7337">
        <w:rPr>
          <w:b/>
          <w:bCs/>
        </w:rPr>
        <w:t>Informed Consent</w:t>
      </w:r>
    </w:p>
    <w:p w14:paraId="4921B6CD" w14:textId="77777777" w:rsidR="00BF7500" w:rsidRPr="000F7337" w:rsidRDefault="00BF7500" w:rsidP="00BF7500">
      <w:pPr>
        <w:spacing w:after="80"/>
        <w:ind w:left="720" w:hanging="360"/>
      </w:pPr>
      <w:r w:rsidRPr="000F7337">
        <w:t>• Survey participants received information embedded in the survey preamble; consent indicated by voluntary completion</w:t>
      </w:r>
    </w:p>
    <w:p w14:paraId="2D6EA200" w14:textId="77777777" w:rsidR="00BF7500" w:rsidRPr="000F7337" w:rsidRDefault="00BF7500" w:rsidP="00BF7500">
      <w:pPr>
        <w:spacing w:after="80"/>
        <w:ind w:left="720" w:hanging="360"/>
      </w:pPr>
      <w:r w:rsidRPr="000F7337">
        <w:t>• Interview participants received detailed information sheets and provided written consent prior to participation</w:t>
      </w:r>
    </w:p>
    <w:p w14:paraId="0849B770" w14:textId="77777777" w:rsidR="00BF7500" w:rsidRPr="000F7337" w:rsidRDefault="00BF7500" w:rsidP="00BF7500">
      <w:pPr>
        <w:spacing w:before="150" w:after="80"/>
      </w:pPr>
      <w:r w:rsidRPr="000F7337">
        <w:rPr>
          <w:b/>
          <w:bCs/>
        </w:rPr>
        <w:t>Anonymity and Confidentiality</w:t>
      </w:r>
    </w:p>
    <w:p w14:paraId="0F0F0A93" w14:textId="77777777" w:rsidR="00BF7500" w:rsidRPr="000F7337" w:rsidRDefault="00BF7500" w:rsidP="00BF7500">
      <w:pPr>
        <w:spacing w:after="80"/>
        <w:ind w:left="720" w:hanging="360"/>
      </w:pPr>
      <w:r w:rsidRPr="000F7337">
        <w:t>• Survey responses were collected anonymously via Microsoft Forms</w:t>
      </w:r>
    </w:p>
    <w:p w14:paraId="4F15566F" w14:textId="77777777" w:rsidR="00BF7500" w:rsidRPr="000F7337" w:rsidRDefault="00BF7500" w:rsidP="00BF7500">
      <w:pPr>
        <w:spacing w:after="80"/>
        <w:ind w:left="720" w:hanging="360"/>
      </w:pPr>
      <w:r w:rsidRPr="000F7337">
        <w:t>• Interview participants were assigned alphanumeric identifiers (FM1, ENG1, ED1, EM1, FM5, CONS1)</w:t>
      </w:r>
    </w:p>
    <w:p w14:paraId="00A1C089" w14:textId="77777777" w:rsidR="00BF7500" w:rsidRPr="000F7337" w:rsidRDefault="00BF7500" w:rsidP="00BF7500">
      <w:pPr>
        <w:spacing w:after="80"/>
        <w:ind w:left="720" w:hanging="360"/>
      </w:pPr>
      <w:r w:rsidRPr="000F7337">
        <w:t>• Organisations are identified by name with participant permission</w:t>
      </w:r>
    </w:p>
    <w:p w14:paraId="586403F0" w14:textId="77777777" w:rsidR="00BF7500" w:rsidRPr="000F7337" w:rsidRDefault="00BF7500" w:rsidP="00BF7500">
      <w:pPr>
        <w:spacing w:after="80"/>
        <w:ind w:left="720" w:hanging="360"/>
      </w:pPr>
      <w:r w:rsidRPr="000F7337">
        <w:t>• Direct quotations do not include identifying personal information</w:t>
      </w:r>
    </w:p>
    <w:p w14:paraId="0FF7E290" w14:textId="77777777" w:rsidR="00BF7500" w:rsidRPr="000F7337" w:rsidRDefault="00BF7500" w:rsidP="00BF7500">
      <w:pPr>
        <w:spacing w:before="150" w:after="80"/>
      </w:pPr>
      <w:r w:rsidRPr="000F7337">
        <w:rPr>
          <w:b/>
          <w:bCs/>
        </w:rPr>
        <w:t>Data Protection</w:t>
      </w:r>
    </w:p>
    <w:p w14:paraId="33BB5B1F" w14:textId="77777777" w:rsidR="00BF7500" w:rsidRPr="000F7337" w:rsidRDefault="00BF7500" w:rsidP="00BF7500">
      <w:pPr>
        <w:spacing w:after="80"/>
        <w:ind w:left="720" w:hanging="360"/>
      </w:pPr>
      <w:r w:rsidRPr="000F7337">
        <w:t>• All data stored on password-protected university systems</w:t>
      </w:r>
    </w:p>
    <w:p w14:paraId="35A37F91" w14:textId="77777777" w:rsidR="00BF7500" w:rsidRPr="000F7337" w:rsidRDefault="00BF7500" w:rsidP="00BF7500">
      <w:pPr>
        <w:spacing w:after="80"/>
        <w:ind w:left="720" w:hanging="360"/>
      </w:pPr>
      <w:r w:rsidRPr="000F7337">
        <w:t>• Processing compliant with GDPR and UWTSD data protection policies</w:t>
      </w:r>
    </w:p>
    <w:p w14:paraId="5C61A634" w14:textId="77777777" w:rsidR="00BF7500" w:rsidRPr="000F7337" w:rsidRDefault="00BF7500" w:rsidP="00BF7500">
      <w:pPr>
        <w:spacing w:after="80"/>
        <w:ind w:left="720" w:hanging="360"/>
      </w:pPr>
      <w:r w:rsidRPr="000F7337">
        <w:t>• Data retention period: up to 5 years post-completion</w:t>
      </w:r>
    </w:p>
    <w:p w14:paraId="29321280" w14:textId="77777777" w:rsidR="00BF7500" w:rsidRPr="000F7337" w:rsidRDefault="00BF7500" w:rsidP="00BF7500">
      <w:pPr>
        <w:spacing w:after="80"/>
        <w:ind w:left="720" w:hanging="360"/>
      </w:pPr>
      <w:r w:rsidRPr="000F7337">
        <w:t>• No sensitive personal data collected beyond professional role and experience</w:t>
      </w:r>
    </w:p>
    <w:p w14:paraId="00FC8AC7" w14:textId="77777777" w:rsidR="00BF7500" w:rsidRPr="000F7337" w:rsidRDefault="00BF7500" w:rsidP="00BF7500">
      <w:pPr>
        <w:spacing w:before="150" w:after="80"/>
      </w:pPr>
      <w:r w:rsidRPr="000F7337">
        <w:rPr>
          <w:b/>
          <w:bCs/>
        </w:rPr>
        <w:t>Right to Withdraw</w:t>
      </w:r>
    </w:p>
    <w:p w14:paraId="73649256" w14:textId="77777777" w:rsidR="00BF7500" w:rsidRPr="000F7337" w:rsidRDefault="00BF7500" w:rsidP="00BF7500">
      <w:pPr>
        <w:spacing w:after="80"/>
        <w:ind w:left="720" w:hanging="360"/>
      </w:pPr>
      <w:r w:rsidRPr="000F7337">
        <w:t>• Survey participants could exit before submission without data being recorded</w:t>
      </w:r>
    </w:p>
    <w:p w14:paraId="744EE739" w14:textId="77777777" w:rsidR="00BF7500" w:rsidRPr="000F7337" w:rsidRDefault="00BF7500" w:rsidP="00BF7500">
      <w:pPr>
        <w:spacing w:after="80"/>
        <w:ind w:left="720" w:hanging="360"/>
      </w:pPr>
      <w:r w:rsidRPr="000F7337">
        <w:t>• Interview participants could withdraw up to two weeks following submission</w:t>
      </w:r>
    </w:p>
    <w:p w14:paraId="1209765D" w14:textId="77777777" w:rsidR="00BF7500" w:rsidRPr="000F7337" w:rsidRDefault="00BF7500" w:rsidP="00BF7500">
      <w:pPr>
        <w:spacing w:after="80"/>
        <w:ind w:left="720" w:hanging="360"/>
      </w:pPr>
      <w:r w:rsidRPr="000F7337">
        <w:t>• No participants exercised their right to withdraw</w:t>
      </w:r>
    </w:p>
    <w:p w14:paraId="78666015" w14:textId="77777777" w:rsidR="00257E57" w:rsidRPr="000F7337" w:rsidRDefault="00257E57" w:rsidP="00BF7500">
      <w:pPr>
        <w:spacing w:after="80"/>
        <w:ind w:left="720" w:hanging="360"/>
      </w:pPr>
    </w:p>
    <w:p w14:paraId="0F14F8CE" w14:textId="77777777" w:rsidR="00257E57" w:rsidRPr="000F7337" w:rsidRDefault="00257E57" w:rsidP="00BF7500">
      <w:pPr>
        <w:spacing w:after="80"/>
        <w:ind w:left="720" w:hanging="360"/>
      </w:pPr>
    </w:p>
    <w:p w14:paraId="4FB6C7BD" w14:textId="77777777" w:rsidR="00257E57" w:rsidRPr="000F7337" w:rsidRDefault="00257E57" w:rsidP="00BF7500">
      <w:pPr>
        <w:spacing w:after="80"/>
        <w:ind w:left="720" w:hanging="360"/>
      </w:pPr>
    </w:p>
    <w:p w14:paraId="100E7C9E" w14:textId="77777777" w:rsidR="00BF7500" w:rsidRPr="000F7337" w:rsidRDefault="00BF7500" w:rsidP="00BF7500">
      <w:pPr>
        <w:spacing w:before="150" w:after="80"/>
      </w:pPr>
      <w:r w:rsidRPr="000F7337">
        <w:rPr>
          <w:b/>
          <w:bCs/>
        </w:rPr>
        <w:lastRenderedPageBreak/>
        <w:t>Risk Assessment</w:t>
      </w:r>
    </w:p>
    <w:p w14:paraId="16CF8108" w14:textId="77777777" w:rsidR="00BF7500" w:rsidRPr="000F7337" w:rsidRDefault="00BF7500" w:rsidP="00BF7500">
      <w:pPr>
        <w:spacing w:after="80"/>
        <w:ind w:left="720" w:hanging="360"/>
      </w:pPr>
      <w:r w:rsidRPr="000F7337">
        <w:t>• Research classified as low risk: no vulnerable participants, no sensitive topics</w:t>
      </w:r>
    </w:p>
    <w:p w14:paraId="3195DC42" w14:textId="77777777" w:rsidR="00BF7500" w:rsidRPr="000F7337" w:rsidRDefault="00BF7500" w:rsidP="00BF7500">
      <w:pPr>
        <w:spacing w:after="80"/>
        <w:ind w:left="720" w:hanging="360"/>
      </w:pPr>
      <w:r w:rsidRPr="000F7337">
        <w:t>• Professional participants discussing workplace practices within normal professional discourse</w:t>
      </w:r>
    </w:p>
    <w:p w14:paraId="5D2FAD56" w14:textId="77777777" w:rsidR="00BF7500" w:rsidRPr="000F7337" w:rsidRDefault="00BF7500" w:rsidP="00BF7500">
      <w:pPr>
        <w:pStyle w:val="Heading2"/>
        <w:spacing w:before="300" w:after="150"/>
        <w:rPr>
          <w:rFonts w:ascii="Arial" w:hAnsi="Arial" w:cs="Arial"/>
        </w:rPr>
      </w:pPr>
      <w:bookmarkStart w:id="245" w:name="_Toc220152285"/>
      <w:r w:rsidRPr="000F7337">
        <w:rPr>
          <w:rFonts w:ascii="Arial" w:hAnsi="Arial" w:cs="Arial"/>
          <w:b/>
          <w:bCs/>
        </w:rPr>
        <w:t>F.3 Compliance Statement</w:t>
      </w:r>
      <w:bookmarkEnd w:id="245"/>
    </w:p>
    <w:p w14:paraId="0919A286" w14:textId="77777777" w:rsidR="00BF7500" w:rsidRPr="000F7337" w:rsidRDefault="00BF7500" w:rsidP="00BF7500">
      <w:pPr>
        <w:spacing w:after="200" w:line="276" w:lineRule="auto"/>
      </w:pPr>
      <w:r w:rsidRPr="000F7337">
        <w:t>The researcher confirms that all primary data collection was conducted in accordance with the approved ethics application and UWTSD research governance requirements.</w:t>
      </w:r>
    </w:p>
    <w:p w14:paraId="377C9FD5" w14:textId="77777777" w:rsidR="00BF7500" w:rsidRPr="000F7337" w:rsidRDefault="00BF7500" w:rsidP="00BF7500">
      <w:r w:rsidRPr="000F7337">
        <w:br w:type="page"/>
      </w:r>
    </w:p>
    <w:p w14:paraId="430C8E36" w14:textId="77777777" w:rsidR="00BF7500" w:rsidRPr="000F7337" w:rsidRDefault="00BF7500" w:rsidP="00BF7500">
      <w:pPr>
        <w:pStyle w:val="Heading1"/>
        <w:spacing w:before="400" w:after="200"/>
        <w:rPr>
          <w:rFonts w:ascii="Arial" w:hAnsi="Arial" w:cs="Arial"/>
        </w:rPr>
      </w:pPr>
      <w:bookmarkStart w:id="246" w:name="_Toc220152286"/>
      <w:r w:rsidRPr="000F7337">
        <w:rPr>
          <w:rFonts w:ascii="Arial" w:hAnsi="Arial" w:cs="Arial"/>
          <w:b/>
          <w:bCs/>
        </w:rPr>
        <w:lastRenderedPageBreak/>
        <w:t>Appendix G: Survey Response Summary and Thematic Coding</w:t>
      </w:r>
      <w:bookmarkEnd w:id="246"/>
    </w:p>
    <w:p w14:paraId="53B893AB" w14:textId="77777777" w:rsidR="00BF7500" w:rsidRPr="000F7337" w:rsidRDefault="00BF7500" w:rsidP="00BF7500">
      <w:pPr>
        <w:pStyle w:val="Heading2"/>
        <w:spacing w:before="300" w:after="150"/>
        <w:rPr>
          <w:rFonts w:ascii="Arial" w:hAnsi="Arial" w:cs="Arial"/>
        </w:rPr>
      </w:pPr>
      <w:bookmarkStart w:id="247" w:name="_Toc220152287"/>
      <w:r w:rsidRPr="000F7337">
        <w:rPr>
          <w:rFonts w:ascii="Arial" w:hAnsi="Arial" w:cs="Arial"/>
          <w:b/>
          <w:bCs/>
        </w:rPr>
        <w:t>G.1 Response Overview</w:t>
      </w:r>
      <w:bookmarkEnd w:id="247"/>
    </w:p>
    <w:p w14:paraId="6B05F018" w14:textId="77777777" w:rsidR="00BF7500" w:rsidRPr="000F7337" w:rsidRDefault="00BF7500" w:rsidP="00BF7500">
      <w:pPr>
        <w:spacing w:after="120" w:line="276" w:lineRule="auto"/>
      </w:pPr>
      <w:r w:rsidRPr="000F7337">
        <w:t>Total responses: 87</w:t>
      </w:r>
    </w:p>
    <w:p w14:paraId="75BF7673" w14:textId="75323606" w:rsidR="009E502E" w:rsidRPr="000F7337" w:rsidRDefault="00BF7500" w:rsidP="00BF7500">
      <w:pPr>
        <w:spacing w:after="120" w:line="276" w:lineRule="auto"/>
      </w:pPr>
      <w:r w:rsidRPr="000F7337">
        <w:t xml:space="preserve">Collection period: </w:t>
      </w:r>
      <w:r w:rsidR="00942B3D" w:rsidRPr="000F7337">
        <w:t>November</w:t>
      </w:r>
      <w:r w:rsidR="009E502E" w:rsidRPr="000F7337">
        <w:t xml:space="preserve"> 2025 - </w:t>
      </w:r>
      <w:r w:rsidR="00942B3D" w:rsidRPr="000F7337">
        <w:t>January</w:t>
      </w:r>
      <w:r w:rsidRPr="000F7337">
        <w:t xml:space="preserve"> 202</w:t>
      </w:r>
      <w:r w:rsidR="009E502E" w:rsidRPr="000F7337">
        <w:t>6</w:t>
      </w:r>
    </w:p>
    <w:p w14:paraId="5DA159EF" w14:textId="77777777" w:rsidR="00BF7500" w:rsidRDefault="00BF7500" w:rsidP="00BF7500">
      <w:pPr>
        <w:spacing w:after="200" w:line="276" w:lineRule="auto"/>
      </w:pPr>
      <w:r w:rsidRPr="000F7337">
        <w:t>Distribution method: LinkedIn professional networks and direct email</w:t>
      </w:r>
    </w:p>
    <w:p w14:paraId="3309A76E" w14:textId="77777777" w:rsidR="001A5A4E" w:rsidRPr="000F7337" w:rsidRDefault="001A5A4E" w:rsidP="00BF7500">
      <w:pPr>
        <w:spacing w:after="200" w:line="276" w:lineRule="auto"/>
      </w:pPr>
    </w:p>
    <w:p w14:paraId="1204195E" w14:textId="77777777" w:rsidR="00BF7500" w:rsidRPr="000F7337" w:rsidRDefault="00BF7500" w:rsidP="00BF7500">
      <w:pPr>
        <w:pStyle w:val="Heading2"/>
        <w:spacing w:before="300" w:after="150"/>
        <w:rPr>
          <w:rFonts w:ascii="Arial" w:hAnsi="Arial" w:cs="Arial"/>
        </w:rPr>
      </w:pPr>
      <w:bookmarkStart w:id="248" w:name="_Toc220152288"/>
      <w:r w:rsidRPr="000F7337">
        <w:rPr>
          <w:rFonts w:ascii="Arial" w:hAnsi="Arial" w:cs="Arial"/>
          <w:b/>
          <w:bCs/>
        </w:rPr>
        <w:t>G.2 Quantitative Response Summary</w:t>
      </w:r>
      <w:bookmarkEnd w:id="248"/>
    </w:p>
    <w:p w14:paraId="424DE212" w14:textId="77777777" w:rsidR="00BF7500" w:rsidRPr="000F7337" w:rsidRDefault="00BF7500" w:rsidP="00BF7500">
      <w:pPr>
        <w:spacing w:before="150" w:after="100"/>
      </w:pPr>
      <w:r w:rsidRPr="000F7337">
        <w:rPr>
          <w:b/>
          <w:bCs/>
          <w:i/>
          <w:iCs/>
          <w:sz w:val="22"/>
          <w:szCs w:val="22"/>
        </w:rPr>
        <w:t>Table G.1: Professional Profile of Respondents (n=87)</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416"/>
        <w:gridCol w:w="1421"/>
        <w:gridCol w:w="1433"/>
        <w:gridCol w:w="2754"/>
      </w:tblGrid>
      <w:tr w:rsidR="00BF7500" w:rsidRPr="000F7337" w14:paraId="62165491" w14:textId="77777777" w:rsidTr="00E2767C">
        <w:tc>
          <w:tcPr>
            <w:tcW w:w="3416" w:type="dxa"/>
            <w:tcBorders>
              <w:top w:val="single" w:sz="1" w:space="0" w:color="808080"/>
              <w:left w:val="single" w:sz="1" w:space="0" w:color="808080"/>
              <w:bottom w:val="single" w:sz="1" w:space="0" w:color="808080"/>
              <w:right w:val="single" w:sz="1" w:space="0" w:color="808080"/>
            </w:tcBorders>
            <w:shd w:val="clear" w:color="auto" w:fill="D9E2F3"/>
          </w:tcPr>
          <w:p w14:paraId="40E6ABD9" w14:textId="77777777" w:rsidR="00BF7500" w:rsidRPr="000F7337" w:rsidRDefault="00BF7500" w:rsidP="00EC0FF7">
            <w:pPr>
              <w:jc w:val="center"/>
            </w:pPr>
            <w:r w:rsidRPr="000F7337">
              <w:rPr>
                <w:b/>
                <w:bCs/>
                <w:sz w:val="22"/>
                <w:szCs w:val="22"/>
              </w:rPr>
              <w:t>Category</w:t>
            </w:r>
          </w:p>
        </w:tc>
        <w:tc>
          <w:tcPr>
            <w:tcW w:w="1421" w:type="dxa"/>
            <w:tcBorders>
              <w:top w:val="single" w:sz="1" w:space="0" w:color="808080"/>
              <w:left w:val="single" w:sz="1" w:space="0" w:color="808080"/>
              <w:bottom w:val="single" w:sz="1" w:space="0" w:color="808080"/>
              <w:right w:val="single" w:sz="1" w:space="0" w:color="808080"/>
            </w:tcBorders>
            <w:shd w:val="clear" w:color="auto" w:fill="D9E2F3"/>
          </w:tcPr>
          <w:p w14:paraId="6C5B7F78" w14:textId="77777777" w:rsidR="00BF7500" w:rsidRPr="000F7337" w:rsidRDefault="00BF7500" w:rsidP="00EC0FF7">
            <w:pPr>
              <w:jc w:val="center"/>
            </w:pPr>
            <w:r w:rsidRPr="000F7337">
              <w:rPr>
                <w:b/>
                <w:bCs/>
                <w:sz w:val="22"/>
                <w:szCs w:val="22"/>
              </w:rPr>
              <w:t>n</w:t>
            </w:r>
          </w:p>
        </w:tc>
        <w:tc>
          <w:tcPr>
            <w:tcW w:w="1433" w:type="dxa"/>
            <w:tcBorders>
              <w:top w:val="single" w:sz="1" w:space="0" w:color="808080"/>
              <w:left w:val="single" w:sz="1" w:space="0" w:color="808080"/>
              <w:bottom w:val="single" w:sz="1" w:space="0" w:color="808080"/>
              <w:right w:val="single" w:sz="1" w:space="0" w:color="808080"/>
            </w:tcBorders>
            <w:shd w:val="clear" w:color="auto" w:fill="D9E2F3"/>
          </w:tcPr>
          <w:p w14:paraId="0D35FE0E" w14:textId="77777777" w:rsidR="00BF7500" w:rsidRPr="000F7337" w:rsidRDefault="00BF7500" w:rsidP="00EC0FF7">
            <w:pPr>
              <w:jc w:val="center"/>
            </w:pPr>
            <w:r w:rsidRPr="000F7337">
              <w:rPr>
                <w:b/>
                <w:bCs/>
                <w:sz w:val="22"/>
                <w:szCs w:val="22"/>
              </w:rPr>
              <w:t>%</w:t>
            </w:r>
          </w:p>
        </w:tc>
        <w:tc>
          <w:tcPr>
            <w:tcW w:w="2754" w:type="dxa"/>
            <w:tcBorders>
              <w:top w:val="single" w:sz="1" w:space="0" w:color="808080"/>
              <w:left w:val="single" w:sz="1" w:space="0" w:color="808080"/>
              <w:bottom w:val="single" w:sz="1" w:space="0" w:color="808080"/>
              <w:right w:val="single" w:sz="1" w:space="0" w:color="808080"/>
            </w:tcBorders>
            <w:shd w:val="clear" w:color="auto" w:fill="D9E2F3"/>
          </w:tcPr>
          <w:p w14:paraId="6B602272" w14:textId="77777777" w:rsidR="00BF7500" w:rsidRPr="000F7337" w:rsidRDefault="00BF7500" w:rsidP="00EC0FF7">
            <w:pPr>
              <w:jc w:val="center"/>
            </w:pPr>
            <w:r w:rsidRPr="000F7337">
              <w:rPr>
                <w:b/>
                <w:bCs/>
                <w:sz w:val="22"/>
                <w:szCs w:val="22"/>
              </w:rPr>
              <w:t>Cumulative %</w:t>
            </w:r>
          </w:p>
        </w:tc>
      </w:tr>
      <w:tr w:rsidR="00BF7500" w:rsidRPr="000F7337" w14:paraId="168AA7CB" w14:textId="77777777" w:rsidTr="00E2767C">
        <w:tc>
          <w:tcPr>
            <w:tcW w:w="3416" w:type="dxa"/>
            <w:tcBorders>
              <w:top w:val="single" w:sz="1" w:space="0" w:color="808080"/>
              <w:left w:val="single" w:sz="1" w:space="0" w:color="808080"/>
              <w:bottom w:val="single" w:sz="1" w:space="0" w:color="808080"/>
              <w:right w:val="single" w:sz="1" w:space="0" w:color="808080"/>
            </w:tcBorders>
          </w:tcPr>
          <w:p w14:paraId="0DB720E9" w14:textId="77777777" w:rsidR="00BF7500" w:rsidRPr="000F7337" w:rsidRDefault="00BF7500" w:rsidP="00EC0FF7">
            <w:r w:rsidRPr="000F7337">
              <w:rPr>
                <w:sz w:val="22"/>
                <w:szCs w:val="22"/>
              </w:rPr>
              <w:t>Professional Role</w:t>
            </w:r>
          </w:p>
        </w:tc>
        <w:tc>
          <w:tcPr>
            <w:tcW w:w="1421" w:type="dxa"/>
            <w:tcBorders>
              <w:top w:val="single" w:sz="1" w:space="0" w:color="808080"/>
              <w:left w:val="single" w:sz="1" w:space="0" w:color="808080"/>
              <w:bottom w:val="single" w:sz="1" w:space="0" w:color="808080"/>
              <w:right w:val="single" w:sz="1" w:space="0" w:color="808080"/>
            </w:tcBorders>
          </w:tcPr>
          <w:p w14:paraId="45764324" w14:textId="77777777" w:rsidR="00BF7500" w:rsidRPr="000F7337" w:rsidRDefault="00BF7500" w:rsidP="00EC0FF7">
            <w:pPr>
              <w:jc w:val="center"/>
            </w:pPr>
          </w:p>
        </w:tc>
        <w:tc>
          <w:tcPr>
            <w:tcW w:w="1433" w:type="dxa"/>
            <w:tcBorders>
              <w:top w:val="single" w:sz="1" w:space="0" w:color="808080"/>
              <w:left w:val="single" w:sz="1" w:space="0" w:color="808080"/>
              <w:bottom w:val="single" w:sz="1" w:space="0" w:color="808080"/>
              <w:right w:val="single" w:sz="1" w:space="0" w:color="808080"/>
            </w:tcBorders>
          </w:tcPr>
          <w:p w14:paraId="64FA9444" w14:textId="77777777" w:rsidR="00BF7500" w:rsidRPr="000F7337" w:rsidRDefault="00BF7500" w:rsidP="00EC0FF7">
            <w:pPr>
              <w:jc w:val="center"/>
            </w:pPr>
          </w:p>
        </w:tc>
        <w:tc>
          <w:tcPr>
            <w:tcW w:w="2754" w:type="dxa"/>
            <w:tcBorders>
              <w:top w:val="single" w:sz="1" w:space="0" w:color="808080"/>
              <w:left w:val="single" w:sz="1" w:space="0" w:color="808080"/>
              <w:bottom w:val="single" w:sz="1" w:space="0" w:color="808080"/>
              <w:right w:val="single" w:sz="1" w:space="0" w:color="808080"/>
            </w:tcBorders>
          </w:tcPr>
          <w:p w14:paraId="7C16ECE2" w14:textId="77777777" w:rsidR="00BF7500" w:rsidRPr="000F7337" w:rsidRDefault="00BF7500" w:rsidP="00EC0FF7">
            <w:pPr>
              <w:jc w:val="center"/>
            </w:pPr>
          </w:p>
        </w:tc>
      </w:tr>
      <w:tr w:rsidR="00E2767C" w:rsidRPr="000F7337" w14:paraId="2289F9BF" w14:textId="77777777" w:rsidTr="00E2767C">
        <w:tc>
          <w:tcPr>
            <w:tcW w:w="3416" w:type="dxa"/>
            <w:tcBorders>
              <w:top w:val="single" w:sz="1" w:space="0" w:color="808080"/>
              <w:left w:val="single" w:sz="1" w:space="0" w:color="808080"/>
              <w:bottom w:val="single" w:sz="1" w:space="0" w:color="808080"/>
              <w:right w:val="single" w:sz="1" w:space="0" w:color="808080"/>
            </w:tcBorders>
          </w:tcPr>
          <w:p w14:paraId="6053DCCD" w14:textId="3CE4FCA3" w:rsidR="00E2767C" w:rsidRPr="000F7337" w:rsidRDefault="00E2767C" w:rsidP="00E2767C">
            <w:r w:rsidRPr="000F7337">
              <w:rPr>
                <w:sz w:val="22"/>
                <w:szCs w:val="22"/>
              </w:rPr>
              <w:t>Other</w:t>
            </w:r>
          </w:p>
        </w:tc>
        <w:tc>
          <w:tcPr>
            <w:tcW w:w="1421" w:type="dxa"/>
            <w:tcBorders>
              <w:top w:val="single" w:sz="1" w:space="0" w:color="808080"/>
              <w:left w:val="single" w:sz="1" w:space="0" w:color="808080"/>
              <w:bottom w:val="single" w:sz="1" w:space="0" w:color="808080"/>
              <w:right w:val="single" w:sz="1" w:space="0" w:color="808080"/>
            </w:tcBorders>
          </w:tcPr>
          <w:p w14:paraId="0C4A9E4F" w14:textId="60C8DF77" w:rsidR="00E2767C" w:rsidRPr="000F7337" w:rsidRDefault="00E2767C" w:rsidP="00E2767C">
            <w:pPr>
              <w:jc w:val="center"/>
            </w:pPr>
            <w:r w:rsidRPr="000F7337">
              <w:rPr>
                <w:sz w:val="22"/>
                <w:szCs w:val="22"/>
              </w:rPr>
              <w:t>5</w:t>
            </w:r>
          </w:p>
        </w:tc>
        <w:tc>
          <w:tcPr>
            <w:tcW w:w="1433" w:type="dxa"/>
            <w:tcBorders>
              <w:top w:val="single" w:sz="1" w:space="0" w:color="808080"/>
              <w:left w:val="single" w:sz="1" w:space="0" w:color="808080"/>
              <w:bottom w:val="single" w:sz="1" w:space="0" w:color="808080"/>
              <w:right w:val="single" w:sz="1" w:space="0" w:color="808080"/>
            </w:tcBorders>
          </w:tcPr>
          <w:p w14:paraId="25A7FD84" w14:textId="30B11562" w:rsidR="00E2767C" w:rsidRPr="000F7337" w:rsidRDefault="00E2767C" w:rsidP="00E2767C">
            <w:pPr>
              <w:jc w:val="center"/>
            </w:pPr>
            <w:r w:rsidRPr="000F7337">
              <w:rPr>
                <w:sz w:val="22"/>
                <w:szCs w:val="22"/>
              </w:rPr>
              <w:t>5.7</w:t>
            </w:r>
          </w:p>
        </w:tc>
        <w:tc>
          <w:tcPr>
            <w:tcW w:w="2754" w:type="dxa"/>
            <w:tcBorders>
              <w:top w:val="single" w:sz="1" w:space="0" w:color="808080"/>
              <w:left w:val="single" w:sz="1" w:space="0" w:color="808080"/>
              <w:bottom w:val="single" w:sz="1" w:space="0" w:color="808080"/>
              <w:right w:val="single" w:sz="1" w:space="0" w:color="808080"/>
            </w:tcBorders>
          </w:tcPr>
          <w:p w14:paraId="38B56900" w14:textId="2955ECE2" w:rsidR="00E2767C" w:rsidRPr="000F7337" w:rsidRDefault="00E2767C" w:rsidP="00E2767C">
            <w:pPr>
              <w:jc w:val="center"/>
            </w:pPr>
            <w:r w:rsidRPr="000F7337">
              <w:rPr>
                <w:sz w:val="22"/>
                <w:szCs w:val="22"/>
              </w:rPr>
              <w:t>100.0</w:t>
            </w:r>
          </w:p>
        </w:tc>
      </w:tr>
      <w:tr w:rsidR="00E2767C" w:rsidRPr="000F7337" w14:paraId="403B0069" w14:textId="77777777" w:rsidTr="00E2767C">
        <w:tc>
          <w:tcPr>
            <w:tcW w:w="3416" w:type="dxa"/>
            <w:tcBorders>
              <w:top w:val="single" w:sz="1" w:space="0" w:color="808080"/>
              <w:left w:val="single" w:sz="1" w:space="0" w:color="808080"/>
              <w:bottom w:val="single" w:sz="1" w:space="0" w:color="808080"/>
              <w:right w:val="single" w:sz="1" w:space="0" w:color="808080"/>
            </w:tcBorders>
          </w:tcPr>
          <w:p w14:paraId="223ED893" w14:textId="0EB27AE8" w:rsidR="00E2767C" w:rsidRPr="000F7337" w:rsidRDefault="00E2767C" w:rsidP="00E2767C">
            <w:r w:rsidRPr="000F7337">
              <w:rPr>
                <w:sz w:val="22"/>
                <w:szCs w:val="22"/>
              </w:rPr>
              <w:t>BIM Coordinator</w:t>
            </w:r>
          </w:p>
        </w:tc>
        <w:tc>
          <w:tcPr>
            <w:tcW w:w="1421" w:type="dxa"/>
            <w:tcBorders>
              <w:top w:val="single" w:sz="1" w:space="0" w:color="808080"/>
              <w:left w:val="single" w:sz="1" w:space="0" w:color="808080"/>
              <w:bottom w:val="single" w:sz="1" w:space="0" w:color="808080"/>
              <w:right w:val="single" w:sz="1" w:space="0" w:color="808080"/>
            </w:tcBorders>
          </w:tcPr>
          <w:p w14:paraId="60073E1E" w14:textId="597FBD95" w:rsidR="00E2767C" w:rsidRPr="000F7337" w:rsidRDefault="00E2767C" w:rsidP="00E2767C">
            <w:pPr>
              <w:jc w:val="center"/>
            </w:pPr>
            <w:r w:rsidRPr="000F7337">
              <w:rPr>
                <w:sz w:val="22"/>
                <w:szCs w:val="22"/>
              </w:rPr>
              <w:t>6</w:t>
            </w:r>
          </w:p>
        </w:tc>
        <w:tc>
          <w:tcPr>
            <w:tcW w:w="1433" w:type="dxa"/>
            <w:tcBorders>
              <w:top w:val="single" w:sz="1" w:space="0" w:color="808080"/>
              <w:left w:val="single" w:sz="1" w:space="0" w:color="808080"/>
              <w:bottom w:val="single" w:sz="1" w:space="0" w:color="808080"/>
              <w:right w:val="single" w:sz="1" w:space="0" w:color="808080"/>
            </w:tcBorders>
          </w:tcPr>
          <w:p w14:paraId="10E6E004" w14:textId="46423C5A" w:rsidR="00E2767C" w:rsidRPr="000F7337" w:rsidRDefault="00E2767C" w:rsidP="00E2767C">
            <w:pPr>
              <w:jc w:val="center"/>
            </w:pPr>
            <w:r w:rsidRPr="000F7337">
              <w:rPr>
                <w:sz w:val="22"/>
                <w:szCs w:val="22"/>
              </w:rPr>
              <w:t>6.9</w:t>
            </w:r>
          </w:p>
        </w:tc>
        <w:tc>
          <w:tcPr>
            <w:tcW w:w="2754" w:type="dxa"/>
            <w:tcBorders>
              <w:top w:val="single" w:sz="1" w:space="0" w:color="808080"/>
              <w:left w:val="single" w:sz="1" w:space="0" w:color="808080"/>
              <w:bottom w:val="single" w:sz="1" w:space="0" w:color="808080"/>
              <w:right w:val="single" w:sz="1" w:space="0" w:color="808080"/>
            </w:tcBorders>
          </w:tcPr>
          <w:p w14:paraId="042CA823" w14:textId="318CEA64" w:rsidR="00E2767C" w:rsidRPr="000F7337" w:rsidRDefault="00E2767C" w:rsidP="00E2767C">
            <w:pPr>
              <w:jc w:val="center"/>
            </w:pPr>
            <w:r w:rsidRPr="000F7337">
              <w:rPr>
                <w:sz w:val="22"/>
                <w:szCs w:val="22"/>
              </w:rPr>
              <w:t>94.2</w:t>
            </w:r>
          </w:p>
        </w:tc>
      </w:tr>
      <w:tr w:rsidR="00E2767C" w:rsidRPr="000F7337" w14:paraId="1B27419B" w14:textId="77777777" w:rsidTr="00E2767C">
        <w:tc>
          <w:tcPr>
            <w:tcW w:w="3416" w:type="dxa"/>
            <w:tcBorders>
              <w:top w:val="single" w:sz="1" w:space="0" w:color="808080"/>
              <w:left w:val="single" w:sz="1" w:space="0" w:color="808080"/>
              <w:bottom w:val="single" w:sz="1" w:space="0" w:color="808080"/>
              <w:right w:val="single" w:sz="1" w:space="0" w:color="808080"/>
            </w:tcBorders>
          </w:tcPr>
          <w:p w14:paraId="328B90BD" w14:textId="6FC66439" w:rsidR="00E2767C" w:rsidRPr="000F7337" w:rsidRDefault="00E2767C" w:rsidP="00E2767C">
            <w:r w:rsidRPr="000F7337">
              <w:rPr>
                <w:sz w:val="22"/>
                <w:szCs w:val="22"/>
              </w:rPr>
              <w:t>Academic/Researcher</w:t>
            </w:r>
          </w:p>
        </w:tc>
        <w:tc>
          <w:tcPr>
            <w:tcW w:w="1421" w:type="dxa"/>
            <w:tcBorders>
              <w:top w:val="single" w:sz="1" w:space="0" w:color="808080"/>
              <w:left w:val="single" w:sz="1" w:space="0" w:color="808080"/>
              <w:bottom w:val="single" w:sz="1" w:space="0" w:color="808080"/>
              <w:right w:val="single" w:sz="1" w:space="0" w:color="808080"/>
            </w:tcBorders>
          </w:tcPr>
          <w:p w14:paraId="2F3C7F46" w14:textId="776E4C8C" w:rsidR="00E2767C" w:rsidRPr="000F7337" w:rsidRDefault="00E2767C" w:rsidP="00E2767C">
            <w:pPr>
              <w:jc w:val="center"/>
            </w:pPr>
            <w:r w:rsidRPr="000F7337">
              <w:rPr>
                <w:sz w:val="22"/>
                <w:szCs w:val="22"/>
              </w:rPr>
              <w:t>7</w:t>
            </w:r>
          </w:p>
        </w:tc>
        <w:tc>
          <w:tcPr>
            <w:tcW w:w="1433" w:type="dxa"/>
            <w:tcBorders>
              <w:top w:val="single" w:sz="1" w:space="0" w:color="808080"/>
              <w:left w:val="single" w:sz="1" w:space="0" w:color="808080"/>
              <w:bottom w:val="single" w:sz="1" w:space="0" w:color="808080"/>
              <w:right w:val="single" w:sz="1" w:space="0" w:color="808080"/>
            </w:tcBorders>
          </w:tcPr>
          <w:p w14:paraId="3EEB6763" w14:textId="6A75E5F0" w:rsidR="00E2767C" w:rsidRPr="000F7337" w:rsidRDefault="00E2767C" w:rsidP="00E2767C">
            <w:pPr>
              <w:jc w:val="center"/>
            </w:pPr>
            <w:r w:rsidRPr="000F7337">
              <w:rPr>
                <w:sz w:val="22"/>
                <w:szCs w:val="22"/>
              </w:rPr>
              <w:t>8.0</w:t>
            </w:r>
          </w:p>
        </w:tc>
        <w:tc>
          <w:tcPr>
            <w:tcW w:w="2754" w:type="dxa"/>
            <w:tcBorders>
              <w:top w:val="single" w:sz="1" w:space="0" w:color="808080"/>
              <w:left w:val="single" w:sz="1" w:space="0" w:color="808080"/>
              <w:bottom w:val="single" w:sz="1" w:space="0" w:color="808080"/>
              <w:right w:val="single" w:sz="1" w:space="0" w:color="808080"/>
            </w:tcBorders>
          </w:tcPr>
          <w:p w14:paraId="67EA1B54" w14:textId="39B61295" w:rsidR="00E2767C" w:rsidRPr="000F7337" w:rsidRDefault="00E2767C" w:rsidP="00E2767C">
            <w:pPr>
              <w:jc w:val="center"/>
            </w:pPr>
            <w:r w:rsidRPr="000F7337">
              <w:rPr>
                <w:sz w:val="22"/>
                <w:szCs w:val="22"/>
              </w:rPr>
              <w:t>87.3</w:t>
            </w:r>
          </w:p>
        </w:tc>
      </w:tr>
      <w:tr w:rsidR="00BF7500" w:rsidRPr="000F7337" w14:paraId="7A0E4771" w14:textId="77777777" w:rsidTr="00E2767C">
        <w:tc>
          <w:tcPr>
            <w:tcW w:w="3416" w:type="dxa"/>
            <w:tcBorders>
              <w:top w:val="single" w:sz="1" w:space="0" w:color="808080"/>
              <w:left w:val="single" w:sz="1" w:space="0" w:color="808080"/>
              <w:bottom w:val="single" w:sz="1" w:space="0" w:color="808080"/>
              <w:right w:val="single" w:sz="1" w:space="0" w:color="808080"/>
            </w:tcBorders>
          </w:tcPr>
          <w:p w14:paraId="4C0C93DA" w14:textId="48991C7B" w:rsidR="00BF7500" w:rsidRPr="000F7337" w:rsidRDefault="00BF7500" w:rsidP="00EC0FF7">
            <w:r w:rsidRPr="000F7337">
              <w:rPr>
                <w:sz w:val="22"/>
                <w:szCs w:val="22"/>
              </w:rPr>
              <w:t>Sustainability Officer</w:t>
            </w:r>
          </w:p>
        </w:tc>
        <w:tc>
          <w:tcPr>
            <w:tcW w:w="1421" w:type="dxa"/>
            <w:tcBorders>
              <w:top w:val="single" w:sz="1" w:space="0" w:color="808080"/>
              <w:left w:val="single" w:sz="1" w:space="0" w:color="808080"/>
              <w:bottom w:val="single" w:sz="1" w:space="0" w:color="808080"/>
              <w:right w:val="single" w:sz="1" w:space="0" w:color="808080"/>
            </w:tcBorders>
          </w:tcPr>
          <w:p w14:paraId="1990E30C" w14:textId="77777777" w:rsidR="00BF7500" w:rsidRPr="000F7337" w:rsidRDefault="00BF7500" w:rsidP="00EC0FF7">
            <w:pPr>
              <w:jc w:val="center"/>
            </w:pPr>
            <w:r w:rsidRPr="000F7337">
              <w:rPr>
                <w:sz w:val="22"/>
                <w:szCs w:val="22"/>
              </w:rPr>
              <w:t>10</w:t>
            </w:r>
          </w:p>
        </w:tc>
        <w:tc>
          <w:tcPr>
            <w:tcW w:w="1433" w:type="dxa"/>
            <w:tcBorders>
              <w:top w:val="single" w:sz="1" w:space="0" w:color="808080"/>
              <w:left w:val="single" w:sz="1" w:space="0" w:color="808080"/>
              <w:bottom w:val="single" w:sz="1" w:space="0" w:color="808080"/>
              <w:right w:val="single" w:sz="1" w:space="0" w:color="808080"/>
            </w:tcBorders>
          </w:tcPr>
          <w:p w14:paraId="6662F675" w14:textId="77777777" w:rsidR="00BF7500" w:rsidRPr="000F7337" w:rsidRDefault="00BF7500" w:rsidP="00EC0FF7">
            <w:pPr>
              <w:jc w:val="center"/>
            </w:pPr>
            <w:r w:rsidRPr="000F7337">
              <w:rPr>
                <w:sz w:val="22"/>
                <w:szCs w:val="22"/>
              </w:rPr>
              <w:t>11.5</w:t>
            </w:r>
          </w:p>
        </w:tc>
        <w:tc>
          <w:tcPr>
            <w:tcW w:w="2754" w:type="dxa"/>
            <w:tcBorders>
              <w:top w:val="single" w:sz="1" w:space="0" w:color="808080"/>
              <w:left w:val="single" w:sz="1" w:space="0" w:color="808080"/>
              <w:bottom w:val="single" w:sz="1" w:space="0" w:color="808080"/>
              <w:right w:val="single" w:sz="1" w:space="0" w:color="808080"/>
            </w:tcBorders>
          </w:tcPr>
          <w:p w14:paraId="7D95E20F" w14:textId="77777777" w:rsidR="00BF7500" w:rsidRPr="000F7337" w:rsidRDefault="00BF7500" w:rsidP="00EC0FF7">
            <w:pPr>
              <w:jc w:val="center"/>
            </w:pPr>
            <w:r w:rsidRPr="000F7337">
              <w:rPr>
                <w:sz w:val="22"/>
                <w:szCs w:val="22"/>
              </w:rPr>
              <w:t>79.3</w:t>
            </w:r>
          </w:p>
        </w:tc>
      </w:tr>
      <w:tr w:rsidR="00E2767C" w:rsidRPr="000F7337" w14:paraId="0738668D" w14:textId="77777777" w:rsidTr="00E2767C">
        <w:tc>
          <w:tcPr>
            <w:tcW w:w="3416" w:type="dxa"/>
            <w:tcBorders>
              <w:top w:val="single" w:sz="1" w:space="0" w:color="808080"/>
              <w:left w:val="single" w:sz="1" w:space="0" w:color="808080"/>
              <w:bottom w:val="single" w:sz="1" w:space="0" w:color="808080"/>
              <w:right w:val="single" w:sz="1" w:space="0" w:color="808080"/>
            </w:tcBorders>
          </w:tcPr>
          <w:p w14:paraId="10D7ACC5" w14:textId="5ED37E87" w:rsidR="00E2767C" w:rsidRPr="000F7337" w:rsidRDefault="00E2767C" w:rsidP="00E2767C">
            <w:r w:rsidRPr="000F7337">
              <w:rPr>
                <w:sz w:val="22"/>
                <w:szCs w:val="22"/>
              </w:rPr>
              <w:t>Building Consultant</w:t>
            </w:r>
          </w:p>
        </w:tc>
        <w:tc>
          <w:tcPr>
            <w:tcW w:w="1421" w:type="dxa"/>
            <w:tcBorders>
              <w:top w:val="single" w:sz="1" w:space="0" w:color="808080"/>
              <w:left w:val="single" w:sz="1" w:space="0" w:color="808080"/>
              <w:bottom w:val="single" w:sz="1" w:space="0" w:color="808080"/>
              <w:right w:val="single" w:sz="1" w:space="0" w:color="808080"/>
            </w:tcBorders>
          </w:tcPr>
          <w:p w14:paraId="3D0BB8A4" w14:textId="7E4F4772" w:rsidR="00E2767C" w:rsidRPr="000F7337" w:rsidRDefault="00E2767C" w:rsidP="00E2767C">
            <w:pPr>
              <w:jc w:val="center"/>
            </w:pPr>
            <w:r w:rsidRPr="000F7337">
              <w:rPr>
                <w:sz w:val="22"/>
                <w:szCs w:val="22"/>
              </w:rPr>
              <w:t>17</w:t>
            </w:r>
          </w:p>
        </w:tc>
        <w:tc>
          <w:tcPr>
            <w:tcW w:w="1433" w:type="dxa"/>
            <w:tcBorders>
              <w:top w:val="single" w:sz="1" w:space="0" w:color="808080"/>
              <w:left w:val="single" w:sz="1" w:space="0" w:color="808080"/>
              <w:bottom w:val="single" w:sz="1" w:space="0" w:color="808080"/>
              <w:right w:val="single" w:sz="1" w:space="0" w:color="808080"/>
            </w:tcBorders>
          </w:tcPr>
          <w:p w14:paraId="05B73277" w14:textId="16393D69" w:rsidR="00E2767C" w:rsidRPr="000F7337" w:rsidRDefault="00E2767C" w:rsidP="00E2767C">
            <w:pPr>
              <w:jc w:val="center"/>
            </w:pPr>
            <w:r w:rsidRPr="000F7337">
              <w:rPr>
                <w:sz w:val="22"/>
                <w:szCs w:val="22"/>
              </w:rPr>
              <w:t>19.5</w:t>
            </w:r>
          </w:p>
        </w:tc>
        <w:tc>
          <w:tcPr>
            <w:tcW w:w="2754" w:type="dxa"/>
            <w:tcBorders>
              <w:top w:val="single" w:sz="1" w:space="0" w:color="808080"/>
              <w:left w:val="single" w:sz="1" w:space="0" w:color="808080"/>
              <w:bottom w:val="single" w:sz="1" w:space="0" w:color="808080"/>
              <w:right w:val="single" w:sz="1" w:space="0" w:color="808080"/>
            </w:tcBorders>
          </w:tcPr>
          <w:p w14:paraId="6017AC43" w14:textId="66B02921" w:rsidR="00E2767C" w:rsidRPr="000F7337" w:rsidRDefault="00E2767C" w:rsidP="00E2767C">
            <w:pPr>
              <w:jc w:val="center"/>
            </w:pPr>
            <w:r w:rsidRPr="000F7337">
              <w:rPr>
                <w:sz w:val="22"/>
                <w:szCs w:val="22"/>
              </w:rPr>
              <w:t>67.8</w:t>
            </w:r>
          </w:p>
        </w:tc>
      </w:tr>
      <w:tr w:rsidR="00E2767C" w:rsidRPr="000F7337" w14:paraId="0A66FEA4" w14:textId="77777777" w:rsidTr="00E2767C">
        <w:tc>
          <w:tcPr>
            <w:tcW w:w="3416" w:type="dxa"/>
            <w:tcBorders>
              <w:top w:val="single" w:sz="1" w:space="0" w:color="808080"/>
              <w:left w:val="single" w:sz="1" w:space="0" w:color="808080"/>
              <w:bottom w:val="single" w:sz="1" w:space="0" w:color="808080"/>
              <w:right w:val="single" w:sz="1" w:space="0" w:color="808080"/>
            </w:tcBorders>
          </w:tcPr>
          <w:p w14:paraId="19C2EB65" w14:textId="76C1A6F3" w:rsidR="00E2767C" w:rsidRPr="000F7337" w:rsidRDefault="00E2767C" w:rsidP="00E2767C">
            <w:r w:rsidRPr="000F7337">
              <w:rPr>
                <w:sz w:val="22"/>
                <w:szCs w:val="22"/>
              </w:rPr>
              <w:t>Facility Manager</w:t>
            </w:r>
          </w:p>
        </w:tc>
        <w:tc>
          <w:tcPr>
            <w:tcW w:w="1421" w:type="dxa"/>
            <w:tcBorders>
              <w:top w:val="single" w:sz="1" w:space="0" w:color="808080"/>
              <w:left w:val="single" w:sz="1" w:space="0" w:color="808080"/>
              <w:bottom w:val="single" w:sz="1" w:space="0" w:color="808080"/>
              <w:right w:val="single" w:sz="1" w:space="0" w:color="808080"/>
            </w:tcBorders>
          </w:tcPr>
          <w:p w14:paraId="65CD2FB2" w14:textId="5F994D53" w:rsidR="00E2767C" w:rsidRPr="000F7337" w:rsidRDefault="00E2767C" w:rsidP="00E2767C">
            <w:pPr>
              <w:jc w:val="center"/>
            </w:pPr>
            <w:r w:rsidRPr="000F7337">
              <w:rPr>
                <w:sz w:val="22"/>
                <w:szCs w:val="22"/>
              </w:rPr>
              <w:t>20</w:t>
            </w:r>
          </w:p>
        </w:tc>
        <w:tc>
          <w:tcPr>
            <w:tcW w:w="1433" w:type="dxa"/>
            <w:tcBorders>
              <w:top w:val="single" w:sz="1" w:space="0" w:color="808080"/>
              <w:left w:val="single" w:sz="1" w:space="0" w:color="808080"/>
              <w:bottom w:val="single" w:sz="1" w:space="0" w:color="808080"/>
              <w:right w:val="single" w:sz="1" w:space="0" w:color="808080"/>
            </w:tcBorders>
          </w:tcPr>
          <w:p w14:paraId="0BABADBD" w14:textId="68293102" w:rsidR="00E2767C" w:rsidRPr="000F7337" w:rsidRDefault="00E2767C" w:rsidP="00E2767C">
            <w:pPr>
              <w:jc w:val="center"/>
            </w:pPr>
            <w:r w:rsidRPr="000F7337">
              <w:rPr>
                <w:sz w:val="22"/>
                <w:szCs w:val="22"/>
              </w:rPr>
              <w:t>23.0</w:t>
            </w:r>
          </w:p>
        </w:tc>
        <w:tc>
          <w:tcPr>
            <w:tcW w:w="2754" w:type="dxa"/>
            <w:tcBorders>
              <w:top w:val="single" w:sz="1" w:space="0" w:color="808080"/>
              <w:left w:val="single" w:sz="1" w:space="0" w:color="808080"/>
              <w:bottom w:val="single" w:sz="1" w:space="0" w:color="808080"/>
              <w:right w:val="single" w:sz="1" w:space="0" w:color="808080"/>
            </w:tcBorders>
          </w:tcPr>
          <w:p w14:paraId="5434D89E" w14:textId="24EEFDE2" w:rsidR="00E2767C" w:rsidRPr="000F7337" w:rsidRDefault="00E2767C" w:rsidP="00E2767C">
            <w:pPr>
              <w:jc w:val="center"/>
            </w:pPr>
            <w:r w:rsidRPr="000F7337">
              <w:rPr>
                <w:sz w:val="22"/>
                <w:szCs w:val="22"/>
              </w:rPr>
              <w:t>48.3</w:t>
            </w:r>
          </w:p>
        </w:tc>
      </w:tr>
      <w:tr w:rsidR="00E2767C" w:rsidRPr="000F7337" w14:paraId="576AF53A" w14:textId="77777777" w:rsidTr="00E2767C">
        <w:tc>
          <w:tcPr>
            <w:tcW w:w="3416" w:type="dxa"/>
            <w:tcBorders>
              <w:top w:val="single" w:sz="1" w:space="0" w:color="808080"/>
              <w:left w:val="single" w:sz="1" w:space="0" w:color="808080"/>
              <w:bottom w:val="single" w:sz="1" w:space="0" w:color="808080"/>
              <w:right w:val="single" w:sz="1" w:space="0" w:color="808080"/>
            </w:tcBorders>
          </w:tcPr>
          <w:p w14:paraId="2C4399DE" w14:textId="15D95D67" w:rsidR="00E2767C" w:rsidRPr="000F7337" w:rsidRDefault="00E2767C" w:rsidP="00E2767C">
            <w:r w:rsidRPr="000F7337">
              <w:rPr>
                <w:sz w:val="22"/>
                <w:szCs w:val="22"/>
              </w:rPr>
              <w:t>M&amp;E Engineer</w:t>
            </w:r>
          </w:p>
        </w:tc>
        <w:tc>
          <w:tcPr>
            <w:tcW w:w="1421" w:type="dxa"/>
            <w:tcBorders>
              <w:top w:val="single" w:sz="1" w:space="0" w:color="808080"/>
              <w:left w:val="single" w:sz="1" w:space="0" w:color="808080"/>
              <w:bottom w:val="single" w:sz="1" w:space="0" w:color="808080"/>
              <w:right w:val="single" w:sz="1" w:space="0" w:color="808080"/>
            </w:tcBorders>
          </w:tcPr>
          <w:p w14:paraId="3872ADA5" w14:textId="26283D78" w:rsidR="00E2767C" w:rsidRPr="000F7337" w:rsidRDefault="00E2767C" w:rsidP="00E2767C">
            <w:pPr>
              <w:jc w:val="center"/>
            </w:pPr>
            <w:r w:rsidRPr="000F7337">
              <w:rPr>
                <w:sz w:val="22"/>
                <w:szCs w:val="22"/>
              </w:rPr>
              <w:t>22</w:t>
            </w:r>
          </w:p>
        </w:tc>
        <w:tc>
          <w:tcPr>
            <w:tcW w:w="1433" w:type="dxa"/>
            <w:tcBorders>
              <w:top w:val="single" w:sz="1" w:space="0" w:color="808080"/>
              <w:left w:val="single" w:sz="1" w:space="0" w:color="808080"/>
              <w:bottom w:val="single" w:sz="1" w:space="0" w:color="808080"/>
              <w:right w:val="single" w:sz="1" w:space="0" w:color="808080"/>
            </w:tcBorders>
          </w:tcPr>
          <w:p w14:paraId="227C5E2C" w14:textId="32BE65F8" w:rsidR="00E2767C" w:rsidRPr="000F7337" w:rsidRDefault="00E2767C" w:rsidP="00E2767C">
            <w:pPr>
              <w:jc w:val="center"/>
            </w:pPr>
            <w:r w:rsidRPr="000F7337">
              <w:rPr>
                <w:sz w:val="22"/>
                <w:szCs w:val="22"/>
              </w:rPr>
              <w:t>25.3</w:t>
            </w:r>
          </w:p>
        </w:tc>
        <w:tc>
          <w:tcPr>
            <w:tcW w:w="2754" w:type="dxa"/>
            <w:tcBorders>
              <w:top w:val="single" w:sz="1" w:space="0" w:color="808080"/>
              <w:left w:val="single" w:sz="1" w:space="0" w:color="808080"/>
              <w:bottom w:val="single" w:sz="1" w:space="0" w:color="808080"/>
              <w:right w:val="single" w:sz="1" w:space="0" w:color="808080"/>
            </w:tcBorders>
          </w:tcPr>
          <w:p w14:paraId="18357F8D" w14:textId="29132692" w:rsidR="00E2767C" w:rsidRPr="000F7337" w:rsidRDefault="00E2767C" w:rsidP="00E2767C">
            <w:pPr>
              <w:jc w:val="center"/>
            </w:pPr>
            <w:r w:rsidRPr="000F7337">
              <w:rPr>
                <w:sz w:val="22"/>
                <w:szCs w:val="22"/>
              </w:rPr>
              <w:t>25.3</w:t>
            </w:r>
          </w:p>
        </w:tc>
      </w:tr>
    </w:tbl>
    <w:p w14:paraId="3DDD59BF" w14:textId="77777777" w:rsidR="0025438A" w:rsidRDefault="0025438A" w:rsidP="00BF7500">
      <w:pPr>
        <w:spacing w:after="200"/>
      </w:pPr>
    </w:p>
    <w:p w14:paraId="4862B60F" w14:textId="3FD1A7C6" w:rsidR="00E2767C" w:rsidRDefault="00E2767C" w:rsidP="00BF7500">
      <w:pPr>
        <w:spacing w:after="200"/>
      </w:pPr>
      <w:r>
        <w:rPr>
          <w:noProof/>
        </w:rPr>
        <w:drawing>
          <wp:inline distT="0" distB="0" distL="0" distR="0" wp14:anchorId="691E3CE8" wp14:editId="75D95809">
            <wp:extent cx="5705475" cy="2750516"/>
            <wp:effectExtent l="0" t="0" r="9525" b="12065"/>
            <wp:docPr id="837958642" name="Chart 1">
              <a:extLst xmlns:a="http://schemas.openxmlformats.org/drawingml/2006/main">
                <a:ext uri="{FF2B5EF4-FFF2-40B4-BE49-F238E27FC236}">
                  <a16:creationId xmlns:a16="http://schemas.microsoft.com/office/drawing/2014/main" id="{217A5CAE-1DA3-8542-F557-5516D56148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0"/>
              </a:graphicData>
            </a:graphic>
          </wp:inline>
        </w:drawing>
      </w:r>
    </w:p>
    <w:p w14:paraId="10B4DE91" w14:textId="77777777" w:rsidR="00E2767C" w:rsidRDefault="00E2767C" w:rsidP="00BF7500">
      <w:pPr>
        <w:spacing w:after="200"/>
      </w:pPr>
    </w:p>
    <w:p w14:paraId="51C96757" w14:textId="77777777" w:rsidR="00E2767C" w:rsidRDefault="00E2767C" w:rsidP="00BF7500">
      <w:pPr>
        <w:spacing w:after="200"/>
      </w:pPr>
    </w:p>
    <w:p w14:paraId="0B47A9E5" w14:textId="77777777" w:rsidR="00E2767C" w:rsidRDefault="00E2767C" w:rsidP="00BF7500">
      <w:pPr>
        <w:spacing w:after="200"/>
      </w:pPr>
    </w:p>
    <w:p w14:paraId="4DB0CFC1" w14:textId="77777777" w:rsidR="00E2767C" w:rsidRDefault="00E2767C" w:rsidP="00BF7500">
      <w:pPr>
        <w:spacing w:after="200"/>
      </w:pPr>
    </w:p>
    <w:p w14:paraId="538ED406" w14:textId="77777777" w:rsidR="001A5A4E" w:rsidRPr="000F7337" w:rsidRDefault="001A5A4E" w:rsidP="00BF7500">
      <w:pPr>
        <w:spacing w:after="200"/>
      </w:pPr>
    </w:p>
    <w:p w14:paraId="08298907" w14:textId="77777777" w:rsidR="00BF7500" w:rsidRPr="000F7337" w:rsidRDefault="00BF7500" w:rsidP="00BF7500">
      <w:pPr>
        <w:spacing w:before="150" w:after="100"/>
      </w:pPr>
      <w:r w:rsidRPr="000F7337">
        <w:rPr>
          <w:b/>
          <w:bCs/>
          <w:i/>
          <w:iCs/>
          <w:sz w:val="22"/>
          <w:szCs w:val="22"/>
        </w:rPr>
        <w:lastRenderedPageBreak/>
        <w:t>Table G.2: Technology Familiarity Ratings (n=87)</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22"/>
        <w:gridCol w:w="1442"/>
        <w:gridCol w:w="1433"/>
        <w:gridCol w:w="1439"/>
        <w:gridCol w:w="2288"/>
      </w:tblGrid>
      <w:tr w:rsidR="00BF7500" w:rsidRPr="000F7337" w14:paraId="4F90F4AB" w14:textId="77777777" w:rsidTr="00E2767C">
        <w:tc>
          <w:tcPr>
            <w:tcW w:w="2422" w:type="dxa"/>
            <w:tcBorders>
              <w:top w:val="single" w:sz="1" w:space="0" w:color="808080"/>
              <w:left w:val="single" w:sz="1" w:space="0" w:color="808080"/>
              <w:bottom w:val="single" w:sz="1" w:space="0" w:color="808080"/>
              <w:right w:val="single" w:sz="1" w:space="0" w:color="808080"/>
            </w:tcBorders>
            <w:shd w:val="clear" w:color="auto" w:fill="D9E2F3"/>
          </w:tcPr>
          <w:p w14:paraId="3C7A9368" w14:textId="77777777" w:rsidR="00BF7500" w:rsidRPr="000F7337" w:rsidRDefault="00BF7500" w:rsidP="00EC0FF7">
            <w:pPr>
              <w:jc w:val="center"/>
            </w:pPr>
            <w:r w:rsidRPr="000F7337">
              <w:rPr>
                <w:b/>
                <w:bCs/>
                <w:sz w:val="22"/>
                <w:szCs w:val="22"/>
              </w:rPr>
              <w:t>Technology</w:t>
            </w:r>
          </w:p>
        </w:tc>
        <w:tc>
          <w:tcPr>
            <w:tcW w:w="1442" w:type="dxa"/>
            <w:tcBorders>
              <w:top w:val="single" w:sz="1" w:space="0" w:color="808080"/>
              <w:left w:val="single" w:sz="1" w:space="0" w:color="808080"/>
              <w:bottom w:val="single" w:sz="1" w:space="0" w:color="808080"/>
              <w:right w:val="single" w:sz="1" w:space="0" w:color="808080"/>
            </w:tcBorders>
            <w:shd w:val="clear" w:color="auto" w:fill="D9E2F3"/>
          </w:tcPr>
          <w:p w14:paraId="4575C9A8" w14:textId="77777777" w:rsidR="00BF7500" w:rsidRPr="000F7337" w:rsidRDefault="00BF7500" w:rsidP="00EC0FF7">
            <w:pPr>
              <w:jc w:val="center"/>
            </w:pPr>
            <w:r w:rsidRPr="000F7337">
              <w:rPr>
                <w:b/>
                <w:bCs/>
                <w:sz w:val="22"/>
                <w:szCs w:val="22"/>
              </w:rPr>
              <w:t>Mean</w:t>
            </w:r>
          </w:p>
        </w:tc>
        <w:tc>
          <w:tcPr>
            <w:tcW w:w="1433" w:type="dxa"/>
            <w:tcBorders>
              <w:top w:val="single" w:sz="1" w:space="0" w:color="808080"/>
              <w:left w:val="single" w:sz="1" w:space="0" w:color="808080"/>
              <w:bottom w:val="single" w:sz="1" w:space="0" w:color="808080"/>
              <w:right w:val="single" w:sz="1" w:space="0" w:color="808080"/>
            </w:tcBorders>
            <w:shd w:val="clear" w:color="auto" w:fill="D9E2F3"/>
          </w:tcPr>
          <w:p w14:paraId="52C619CE" w14:textId="77777777" w:rsidR="00BF7500" w:rsidRPr="000F7337" w:rsidRDefault="00BF7500" w:rsidP="00EC0FF7">
            <w:pPr>
              <w:jc w:val="center"/>
            </w:pPr>
            <w:r w:rsidRPr="000F7337">
              <w:rPr>
                <w:b/>
                <w:bCs/>
                <w:sz w:val="22"/>
                <w:szCs w:val="22"/>
              </w:rPr>
              <w:t>SD</w:t>
            </w:r>
          </w:p>
        </w:tc>
        <w:tc>
          <w:tcPr>
            <w:tcW w:w="1439" w:type="dxa"/>
            <w:tcBorders>
              <w:top w:val="single" w:sz="1" w:space="0" w:color="808080"/>
              <w:left w:val="single" w:sz="1" w:space="0" w:color="808080"/>
              <w:bottom w:val="single" w:sz="1" w:space="0" w:color="808080"/>
              <w:right w:val="single" w:sz="1" w:space="0" w:color="808080"/>
            </w:tcBorders>
            <w:shd w:val="clear" w:color="auto" w:fill="D9E2F3"/>
          </w:tcPr>
          <w:p w14:paraId="14D8E3A2" w14:textId="77777777" w:rsidR="00BF7500" w:rsidRPr="000F7337" w:rsidRDefault="00BF7500" w:rsidP="00EC0FF7">
            <w:pPr>
              <w:jc w:val="center"/>
            </w:pPr>
            <w:r w:rsidRPr="000F7337">
              <w:rPr>
                <w:b/>
                <w:bCs/>
                <w:sz w:val="22"/>
                <w:szCs w:val="22"/>
              </w:rPr>
              <w:t>% Mod-High</w:t>
            </w:r>
          </w:p>
        </w:tc>
        <w:tc>
          <w:tcPr>
            <w:tcW w:w="2288" w:type="dxa"/>
            <w:tcBorders>
              <w:top w:val="single" w:sz="1" w:space="0" w:color="808080"/>
              <w:left w:val="single" w:sz="1" w:space="0" w:color="808080"/>
              <w:bottom w:val="single" w:sz="1" w:space="0" w:color="808080"/>
              <w:right w:val="single" w:sz="1" w:space="0" w:color="808080"/>
            </w:tcBorders>
            <w:shd w:val="clear" w:color="auto" w:fill="D9E2F3"/>
          </w:tcPr>
          <w:p w14:paraId="5FA171A0" w14:textId="77777777" w:rsidR="00BF7500" w:rsidRPr="000F7337" w:rsidRDefault="00BF7500" w:rsidP="00EC0FF7">
            <w:pPr>
              <w:jc w:val="center"/>
            </w:pPr>
            <w:r w:rsidRPr="000F7337">
              <w:rPr>
                <w:b/>
                <w:bCs/>
                <w:sz w:val="22"/>
                <w:szCs w:val="22"/>
              </w:rPr>
              <w:t>% Very/Highly</w:t>
            </w:r>
          </w:p>
        </w:tc>
      </w:tr>
      <w:tr w:rsidR="00E2767C" w:rsidRPr="000F7337" w14:paraId="4E6BD8CE" w14:textId="77777777" w:rsidTr="00E2767C">
        <w:tc>
          <w:tcPr>
            <w:tcW w:w="2422" w:type="dxa"/>
            <w:tcBorders>
              <w:top w:val="single" w:sz="1" w:space="0" w:color="808080"/>
              <w:left w:val="single" w:sz="1" w:space="0" w:color="808080"/>
              <w:bottom w:val="single" w:sz="1" w:space="0" w:color="808080"/>
              <w:right w:val="single" w:sz="1" w:space="0" w:color="808080"/>
            </w:tcBorders>
          </w:tcPr>
          <w:p w14:paraId="07073365" w14:textId="2CE1736E" w:rsidR="00E2767C" w:rsidRPr="000F7337" w:rsidRDefault="00E2767C" w:rsidP="00E2767C">
            <w:r w:rsidRPr="000F7337">
              <w:rPr>
                <w:sz w:val="22"/>
                <w:szCs w:val="22"/>
              </w:rPr>
              <w:t>APIs</w:t>
            </w:r>
          </w:p>
        </w:tc>
        <w:tc>
          <w:tcPr>
            <w:tcW w:w="1442" w:type="dxa"/>
            <w:tcBorders>
              <w:top w:val="single" w:sz="1" w:space="0" w:color="808080"/>
              <w:left w:val="single" w:sz="1" w:space="0" w:color="808080"/>
              <w:bottom w:val="single" w:sz="1" w:space="0" w:color="808080"/>
              <w:right w:val="single" w:sz="1" w:space="0" w:color="808080"/>
            </w:tcBorders>
          </w:tcPr>
          <w:p w14:paraId="3A4B530D" w14:textId="488A369B" w:rsidR="00E2767C" w:rsidRPr="000F7337" w:rsidRDefault="00E2767C" w:rsidP="00E2767C">
            <w:pPr>
              <w:jc w:val="center"/>
            </w:pPr>
            <w:r w:rsidRPr="000F7337">
              <w:rPr>
                <w:sz w:val="22"/>
                <w:szCs w:val="22"/>
              </w:rPr>
              <w:t>2.95</w:t>
            </w:r>
          </w:p>
        </w:tc>
        <w:tc>
          <w:tcPr>
            <w:tcW w:w="1433" w:type="dxa"/>
            <w:tcBorders>
              <w:top w:val="single" w:sz="1" w:space="0" w:color="808080"/>
              <w:left w:val="single" w:sz="1" w:space="0" w:color="808080"/>
              <w:bottom w:val="single" w:sz="1" w:space="0" w:color="808080"/>
              <w:right w:val="single" w:sz="1" w:space="0" w:color="808080"/>
            </w:tcBorders>
          </w:tcPr>
          <w:p w14:paraId="76BDFDC0" w14:textId="1A4050B6" w:rsidR="00E2767C" w:rsidRPr="000F7337" w:rsidRDefault="00E2767C" w:rsidP="00E2767C">
            <w:pPr>
              <w:jc w:val="center"/>
            </w:pPr>
            <w:r w:rsidRPr="000F7337">
              <w:rPr>
                <w:sz w:val="22"/>
                <w:szCs w:val="22"/>
              </w:rPr>
              <w:t>1.14</w:t>
            </w:r>
          </w:p>
        </w:tc>
        <w:tc>
          <w:tcPr>
            <w:tcW w:w="1439" w:type="dxa"/>
            <w:tcBorders>
              <w:top w:val="single" w:sz="1" w:space="0" w:color="808080"/>
              <w:left w:val="single" w:sz="1" w:space="0" w:color="808080"/>
              <w:bottom w:val="single" w:sz="1" w:space="0" w:color="808080"/>
              <w:right w:val="single" w:sz="1" w:space="0" w:color="808080"/>
            </w:tcBorders>
          </w:tcPr>
          <w:p w14:paraId="71BC9B65" w14:textId="33107125" w:rsidR="00E2767C" w:rsidRPr="000F7337" w:rsidRDefault="00E2767C" w:rsidP="00E2767C">
            <w:pPr>
              <w:jc w:val="center"/>
            </w:pPr>
            <w:r w:rsidRPr="000F7337">
              <w:rPr>
                <w:sz w:val="22"/>
                <w:szCs w:val="22"/>
              </w:rPr>
              <w:t>74.7</w:t>
            </w:r>
          </w:p>
        </w:tc>
        <w:tc>
          <w:tcPr>
            <w:tcW w:w="2288" w:type="dxa"/>
            <w:tcBorders>
              <w:top w:val="single" w:sz="1" w:space="0" w:color="808080"/>
              <w:left w:val="single" w:sz="1" w:space="0" w:color="808080"/>
              <w:bottom w:val="single" w:sz="1" w:space="0" w:color="808080"/>
              <w:right w:val="single" w:sz="1" w:space="0" w:color="808080"/>
            </w:tcBorders>
          </w:tcPr>
          <w:p w14:paraId="6BA25A37" w14:textId="351191BA" w:rsidR="00E2767C" w:rsidRPr="000F7337" w:rsidRDefault="00E2767C" w:rsidP="00E2767C">
            <w:pPr>
              <w:jc w:val="center"/>
            </w:pPr>
            <w:r w:rsidRPr="000F7337">
              <w:rPr>
                <w:sz w:val="22"/>
                <w:szCs w:val="22"/>
              </w:rPr>
              <w:t>24.1</w:t>
            </w:r>
          </w:p>
        </w:tc>
      </w:tr>
      <w:tr w:rsidR="00BF7500" w:rsidRPr="000F7337" w14:paraId="0B0ABF8E" w14:textId="77777777" w:rsidTr="00E2767C">
        <w:tc>
          <w:tcPr>
            <w:tcW w:w="2422" w:type="dxa"/>
            <w:tcBorders>
              <w:top w:val="single" w:sz="1" w:space="0" w:color="808080"/>
              <w:left w:val="single" w:sz="1" w:space="0" w:color="808080"/>
              <w:bottom w:val="single" w:sz="1" w:space="0" w:color="808080"/>
              <w:right w:val="single" w:sz="1" w:space="0" w:color="808080"/>
            </w:tcBorders>
          </w:tcPr>
          <w:p w14:paraId="1A69352C" w14:textId="77777777" w:rsidR="00BF7500" w:rsidRPr="000F7337" w:rsidRDefault="00BF7500" w:rsidP="00EC0FF7">
            <w:r w:rsidRPr="000F7337">
              <w:rPr>
                <w:sz w:val="22"/>
                <w:szCs w:val="22"/>
              </w:rPr>
              <w:t>Digital Twins</w:t>
            </w:r>
          </w:p>
        </w:tc>
        <w:tc>
          <w:tcPr>
            <w:tcW w:w="1442" w:type="dxa"/>
            <w:tcBorders>
              <w:top w:val="single" w:sz="1" w:space="0" w:color="808080"/>
              <w:left w:val="single" w:sz="1" w:space="0" w:color="808080"/>
              <w:bottom w:val="single" w:sz="1" w:space="0" w:color="808080"/>
              <w:right w:val="single" w:sz="1" w:space="0" w:color="808080"/>
            </w:tcBorders>
          </w:tcPr>
          <w:p w14:paraId="5129A6C2" w14:textId="77777777" w:rsidR="00BF7500" w:rsidRPr="000F7337" w:rsidRDefault="00BF7500" w:rsidP="00EC0FF7">
            <w:pPr>
              <w:jc w:val="center"/>
            </w:pPr>
            <w:r w:rsidRPr="000F7337">
              <w:rPr>
                <w:sz w:val="22"/>
                <w:szCs w:val="22"/>
              </w:rPr>
              <w:t>3.14</w:t>
            </w:r>
          </w:p>
        </w:tc>
        <w:tc>
          <w:tcPr>
            <w:tcW w:w="1433" w:type="dxa"/>
            <w:tcBorders>
              <w:top w:val="single" w:sz="1" w:space="0" w:color="808080"/>
              <w:left w:val="single" w:sz="1" w:space="0" w:color="808080"/>
              <w:bottom w:val="single" w:sz="1" w:space="0" w:color="808080"/>
              <w:right w:val="single" w:sz="1" w:space="0" w:color="808080"/>
            </w:tcBorders>
          </w:tcPr>
          <w:p w14:paraId="45EF4F25" w14:textId="77777777" w:rsidR="00BF7500" w:rsidRPr="000F7337" w:rsidRDefault="00BF7500" w:rsidP="00EC0FF7">
            <w:pPr>
              <w:jc w:val="center"/>
            </w:pPr>
            <w:r w:rsidRPr="000F7337">
              <w:rPr>
                <w:sz w:val="22"/>
                <w:szCs w:val="22"/>
              </w:rPr>
              <w:t>1.30</w:t>
            </w:r>
          </w:p>
        </w:tc>
        <w:tc>
          <w:tcPr>
            <w:tcW w:w="1439" w:type="dxa"/>
            <w:tcBorders>
              <w:top w:val="single" w:sz="1" w:space="0" w:color="808080"/>
              <w:left w:val="single" w:sz="1" w:space="0" w:color="808080"/>
              <w:bottom w:val="single" w:sz="1" w:space="0" w:color="808080"/>
              <w:right w:val="single" w:sz="1" w:space="0" w:color="808080"/>
            </w:tcBorders>
          </w:tcPr>
          <w:p w14:paraId="08BC2326" w14:textId="77777777" w:rsidR="00BF7500" w:rsidRPr="000F7337" w:rsidRDefault="00BF7500" w:rsidP="00EC0FF7">
            <w:pPr>
              <w:jc w:val="center"/>
            </w:pPr>
            <w:r w:rsidRPr="000F7337">
              <w:rPr>
                <w:sz w:val="22"/>
                <w:szCs w:val="22"/>
              </w:rPr>
              <w:t>70.1</w:t>
            </w:r>
          </w:p>
        </w:tc>
        <w:tc>
          <w:tcPr>
            <w:tcW w:w="2288" w:type="dxa"/>
            <w:tcBorders>
              <w:top w:val="single" w:sz="1" w:space="0" w:color="808080"/>
              <w:left w:val="single" w:sz="1" w:space="0" w:color="808080"/>
              <w:bottom w:val="single" w:sz="1" w:space="0" w:color="808080"/>
              <w:right w:val="single" w:sz="1" w:space="0" w:color="808080"/>
            </w:tcBorders>
          </w:tcPr>
          <w:p w14:paraId="349D2114" w14:textId="77777777" w:rsidR="00BF7500" w:rsidRPr="000F7337" w:rsidRDefault="00BF7500" w:rsidP="00EC0FF7">
            <w:pPr>
              <w:jc w:val="center"/>
            </w:pPr>
            <w:r w:rsidRPr="000F7337">
              <w:rPr>
                <w:sz w:val="22"/>
                <w:szCs w:val="22"/>
              </w:rPr>
              <w:t>47.1</w:t>
            </w:r>
          </w:p>
        </w:tc>
      </w:tr>
      <w:tr w:rsidR="00E2767C" w:rsidRPr="000F7337" w14:paraId="1678F265" w14:textId="77777777" w:rsidTr="00E2767C">
        <w:tc>
          <w:tcPr>
            <w:tcW w:w="2422" w:type="dxa"/>
            <w:tcBorders>
              <w:top w:val="single" w:sz="1" w:space="0" w:color="808080"/>
              <w:left w:val="single" w:sz="1" w:space="0" w:color="808080"/>
              <w:bottom w:val="single" w:sz="1" w:space="0" w:color="808080"/>
              <w:right w:val="single" w:sz="1" w:space="0" w:color="808080"/>
            </w:tcBorders>
          </w:tcPr>
          <w:p w14:paraId="36636269" w14:textId="74AF3397" w:rsidR="00E2767C" w:rsidRPr="000F7337" w:rsidRDefault="00E2767C" w:rsidP="00E2767C">
            <w:r w:rsidRPr="000F7337">
              <w:rPr>
                <w:sz w:val="22"/>
                <w:szCs w:val="22"/>
              </w:rPr>
              <w:t>Artificial Intelligence</w:t>
            </w:r>
          </w:p>
        </w:tc>
        <w:tc>
          <w:tcPr>
            <w:tcW w:w="1442" w:type="dxa"/>
            <w:tcBorders>
              <w:top w:val="single" w:sz="1" w:space="0" w:color="808080"/>
              <w:left w:val="single" w:sz="1" w:space="0" w:color="808080"/>
              <w:bottom w:val="single" w:sz="1" w:space="0" w:color="808080"/>
              <w:right w:val="single" w:sz="1" w:space="0" w:color="808080"/>
            </w:tcBorders>
          </w:tcPr>
          <w:p w14:paraId="1DC315FC" w14:textId="42B2697E" w:rsidR="00E2767C" w:rsidRPr="000F7337" w:rsidRDefault="00E2767C" w:rsidP="00E2767C">
            <w:pPr>
              <w:jc w:val="center"/>
            </w:pPr>
            <w:r w:rsidRPr="000F7337">
              <w:rPr>
                <w:sz w:val="22"/>
                <w:szCs w:val="22"/>
              </w:rPr>
              <w:t>3.40</w:t>
            </w:r>
          </w:p>
        </w:tc>
        <w:tc>
          <w:tcPr>
            <w:tcW w:w="1433" w:type="dxa"/>
            <w:tcBorders>
              <w:top w:val="single" w:sz="1" w:space="0" w:color="808080"/>
              <w:left w:val="single" w:sz="1" w:space="0" w:color="808080"/>
              <w:bottom w:val="single" w:sz="1" w:space="0" w:color="808080"/>
              <w:right w:val="single" w:sz="1" w:space="0" w:color="808080"/>
            </w:tcBorders>
          </w:tcPr>
          <w:p w14:paraId="602F3518" w14:textId="1654BAA0" w:rsidR="00E2767C" w:rsidRPr="000F7337" w:rsidRDefault="00E2767C" w:rsidP="00E2767C">
            <w:pPr>
              <w:jc w:val="center"/>
            </w:pPr>
            <w:r w:rsidRPr="000F7337">
              <w:rPr>
                <w:sz w:val="22"/>
                <w:szCs w:val="22"/>
              </w:rPr>
              <w:t>0.83</w:t>
            </w:r>
          </w:p>
        </w:tc>
        <w:tc>
          <w:tcPr>
            <w:tcW w:w="1439" w:type="dxa"/>
            <w:tcBorders>
              <w:top w:val="single" w:sz="1" w:space="0" w:color="808080"/>
              <w:left w:val="single" w:sz="1" w:space="0" w:color="808080"/>
              <w:bottom w:val="single" w:sz="1" w:space="0" w:color="808080"/>
              <w:right w:val="single" w:sz="1" w:space="0" w:color="808080"/>
            </w:tcBorders>
          </w:tcPr>
          <w:p w14:paraId="0E14BDAD" w14:textId="4578630E" w:rsidR="00E2767C" w:rsidRPr="000F7337" w:rsidRDefault="00E2767C" w:rsidP="00E2767C">
            <w:pPr>
              <w:jc w:val="center"/>
            </w:pPr>
            <w:r w:rsidRPr="000F7337">
              <w:rPr>
                <w:sz w:val="22"/>
                <w:szCs w:val="22"/>
              </w:rPr>
              <w:t>79.3</w:t>
            </w:r>
          </w:p>
        </w:tc>
        <w:tc>
          <w:tcPr>
            <w:tcW w:w="2288" w:type="dxa"/>
            <w:tcBorders>
              <w:top w:val="single" w:sz="1" w:space="0" w:color="808080"/>
              <w:left w:val="single" w:sz="1" w:space="0" w:color="808080"/>
              <w:bottom w:val="single" w:sz="1" w:space="0" w:color="808080"/>
              <w:right w:val="single" w:sz="1" w:space="0" w:color="808080"/>
            </w:tcBorders>
          </w:tcPr>
          <w:p w14:paraId="4CBD5529" w14:textId="73464253" w:rsidR="00E2767C" w:rsidRPr="000F7337" w:rsidRDefault="00E2767C" w:rsidP="00E2767C">
            <w:pPr>
              <w:jc w:val="center"/>
            </w:pPr>
            <w:r w:rsidRPr="000F7337">
              <w:rPr>
                <w:sz w:val="22"/>
                <w:szCs w:val="22"/>
              </w:rPr>
              <w:t>59.8</w:t>
            </w:r>
          </w:p>
        </w:tc>
      </w:tr>
    </w:tbl>
    <w:p w14:paraId="61639438" w14:textId="77777777" w:rsidR="0025438A" w:rsidRDefault="0025438A" w:rsidP="00BF7500">
      <w:pPr>
        <w:spacing w:after="200"/>
      </w:pPr>
    </w:p>
    <w:p w14:paraId="5D82CECD" w14:textId="53ED2DDF" w:rsidR="00E2767C" w:rsidRDefault="00E2767C" w:rsidP="00BF7500">
      <w:pPr>
        <w:spacing w:after="200"/>
      </w:pPr>
      <w:r>
        <w:rPr>
          <w:noProof/>
        </w:rPr>
        <w:drawing>
          <wp:inline distT="0" distB="0" distL="0" distR="0" wp14:anchorId="4D05B215" wp14:editId="48F17E09">
            <wp:extent cx="5724525" cy="2626157"/>
            <wp:effectExtent l="0" t="0" r="9525" b="3175"/>
            <wp:docPr id="620473766" name="Chart 1">
              <a:extLst xmlns:a="http://schemas.openxmlformats.org/drawingml/2006/main">
                <a:ext uri="{FF2B5EF4-FFF2-40B4-BE49-F238E27FC236}">
                  <a16:creationId xmlns:a16="http://schemas.microsoft.com/office/drawing/2014/main" id="{8CD9B3B1-A4C2-5B88-758B-2E95ACC13C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1"/>
              </a:graphicData>
            </a:graphic>
          </wp:inline>
        </w:drawing>
      </w:r>
    </w:p>
    <w:p w14:paraId="7307C857" w14:textId="77777777" w:rsidR="00E2767C" w:rsidRDefault="00E2767C" w:rsidP="00BF7500">
      <w:pPr>
        <w:spacing w:after="200"/>
      </w:pPr>
    </w:p>
    <w:p w14:paraId="190344A9" w14:textId="77777777" w:rsidR="001A5A4E" w:rsidRPr="000F7337" w:rsidRDefault="001A5A4E" w:rsidP="00BF7500">
      <w:pPr>
        <w:spacing w:after="200"/>
      </w:pPr>
    </w:p>
    <w:p w14:paraId="13AB0243" w14:textId="77777777" w:rsidR="00BF7500" w:rsidRPr="000F7337" w:rsidRDefault="00BF7500" w:rsidP="00BF7500">
      <w:pPr>
        <w:spacing w:before="150" w:after="100"/>
      </w:pPr>
      <w:r w:rsidRPr="000F7337">
        <w:rPr>
          <w:b/>
          <w:bCs/>
          <w:i/>
          <w:iCs/>
          <w:sz w:val="22"/>
          <w:szCs w:val="22"/>
        </w:rPr>
        <w:t>Table G.3: Implementation Status (n=87)</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836"/>
        <w:gridCol w:w="1442"/>
        <w:gridCol w:w="2746"/>
      </w:tblGrid>
      <w:tr w:rsidR="00BF7500" w:rsidRPr="000F7337" w14:paraId="57448811" w14:textId="77777777" w:rsidTr="00B75DD2">
        <w:tc>
          <w:tcPr>
            <w:tcW w:w="4836" w:type="dxa"/>
            <w:tcBorders>
              <w:top w:val="single" w:sz="1" w:space="0" w:color="808080"/>
              <w:left w:val="single" w:sz="1" w:space="0" w:color="808080"/>
              <w:bottom w:val="single" w:sz="1" w:space="0" w:color="808080"/>
              <w:right w:val="single" w:sz="1" w:space="0" w:color="808080"/>
            </w:tcBorders>
            <w:shd w:val="clear" w:color="auto" w:fill="D9E2F3"/>
          </w:tcPr>
          <w:p w14:paraId="22827CC3" w14:textId="77777777" w:rsidR="00BF7500" w:rsidRPr="000F7337" w:rsidRDefault="00BF7500" w:rsidP="00EC0FF7">
            <w:pPr>
              <w:jc w:val="center"/>
            </w:pPr>
            <w:r w:rsidRPr="000F7337">
              <w:rPr>
                <w:b/>
                <w:bCs/>
                <w:sz w:val="22"/>
                <w:szCs w:val="22"/>
              </w:rPr>
              <w:t>Status</w:t>
            </w:r>
          </w:p>
        </w:tc>
        <w:tc>
          <w:tcPr>
            <w:tcW w:w="1442" w:type="dxa"/>
            <w:tcBorders>
              <w:top w:val="single" w:sz="1" w:space="0" w:color="808080"/>
              <w:left w:val="single" w:sz="1" w:space="0" w:color="808080"/>
              <w:bottom w:val="single" w:sz="1" w:space="0" w:color="808080"/>
              <w:right w:val="single" w:sz="1" w:space="0" w:color="808080"/>
            </w:tcBorders>
            <w:shd w:val="clear" w:color="auto" w:fill="D9E2F3"/>
          </w:tcPr>
          <w:p w14:paraId="02F91611" w14:textId="77777777" w:rsidR="00BF7500" w:rsidRPr="000F7337" w:rsidRDefault="00BF7500" w:rsidP="00EC0FF7">
            <w:pPr>
              <w:jc w:val="center"/>
            </w:pPr>
            <w:r w:rsidRPr="000F7337">
              <w:rPr>
                <w:b/>
                <w:bCs/>
                <w:sz w:val="22"/>
                <w:szCs w:val="22"/>
              </w:rPr>
              <w:t>n</w:t>
            </w:r>
          </w:p>
        </w:tc>
        <w:tc>
          <w:tcPr>
            <w:tcW w:w="2746" w:type="dxa"/>
            <w:tcBorders>
              <w:top w:val="single" w:sz="1" w:space="0" w:color="808080"/>
              <w:left w:val="single" w:sz="1" w:space="0" w:color="808080"/>
              <w:bottom w:val="single" w:sz="1" w:space="0" w:color="808080"/>
              <w:right w:val="single" w:sz="1" w:space="0" w:color="808080"/>
            </w:tcBorders>
            <w:shd w:val="clear" w:color="auto" w:fill="D9E2F3"/>
          </w:tcPr>
          <w:p w14:paraId="28D039C2" w14:textId="77777777" w:rsidR="00BF7500" w:rsidRPr="000F7337" w:rsidRDefault="00BF7500" w:rsidP="00EC0FF7">
            <w:pPr>
              <w:jc w:val="center"/>
            </w:pPr>
            <w:r w:rsidRPr="000F7337">
              <w:rPr>
                <w:b/>
                <w:bCs/>
                <w:sz w:val="22"/>
                <w:szCs w:val="22"/>
              </w:rPr>
              <w:t>%</w:t>
            </w:r>
          </w:p>
        </w:tc>
      </w:tr>
      <w:tr w:rsidR="00B75DD2" w:rsidRPr="000F7337" w14:paraId="21AF2399" w14:textId="77777777" w:rsidTr="00B75DD2">
        <w:tc>
          <w:tcPr>
            <w:tcW w:w="4836" w:type="dxa"/>
            <w:tcBorders>
              <w:top w:val="single" w:sz="1" w:space="0" w:color="808080"/>
              <w:left w:val="single" w:sz="1" w:space="0" w:color="808080"/>
              <w:bottom w:val="single" w:sz="1" w:space="0" w:color="808080"/>
              <w:right w:val="single" w:sz="1" w:space="0" w:color="808080"/>
            </w:tcBorders>
          </w:tcPr>
          <w:p w14:paraId="7B24D4AE" w14:textId="6B184FCF" w:rsidR="00B75DD2" w:rsidRPr="000F7337" w:rsidRDefault="00B75DD2" w:rsidP="00B75DD2">
            <w:r w:rsidRPr="000F7337">
              <w:rPr>
                <w:sz w:val="22"/>
                <w:szCs w:val="22"/>
              </w:rPr>
              <w:t>No current implementation</w:t>
            </w:r>
          </w:p>
        </w:tc>
        <w:tc>
          <w:tcPr>
            <w:tcW w:w="1442" w:type="dxa"/>
            <w:tcBorders>
              <w:top w:val="single" w:sz="1" w:space="0" w:color="808080"/>
              <w:left w:val="single" w:sz="1" w:space="0" w:color="808080"/>
              <w:bottom w:val="single" w:sz="1" w:space="0" w:color="808080"/>
              <w:right w:val="single" w:sz="1" w:space="0" w:color="808080"/>
            </w:tcBorders>
          </w:tcPr>
          <w:p w14:paraId="4F00159D" w14:textId="77DD2BA7" w:rsidR="00B75DD2" w:rsidRPr="000F7337" w:rsidRDefault="00B75DD2" w:rsidP="00B75DD2">
            <w:pPr>
              <w:jc w:val="center"/>
            </w:pPr>
            <w:r w:rsidRPr="000F7337">
              <w:rPr>
                <w:sz w:val="22"/>
                <w:szCs w:val="22"/>
              </w:rPr>
              <w:t>22</w:t>
            </w:r>
          </w:p>
        </w:tc>
        <w:tc>
          <w:tcPr>
            <w:tcW w:w="2746" w:type="dxa"/>
            <w:tcBorders>
              <w:top w:val="single" w:sz="1" w:space="0" w:color="808080"/>
              <w:left w:val="single" w:sz="1" w:space="0" w:color="808080"/>
              <w:bottom w:val="single" w:sz="1" w:space="0" w:color="808080"/>
              <w:right w:val="single" w:sz="1" w:space="0" w:color="808080"/>
            </w:tcBorders>
          </w:tcPr>
          <w:p w14:paraId="514A125C" w14:textId="1739CE7C" w:rsidR="00B75DD2" w:rsidRPr="000F7337" w:rsidRDefault="00B75DD2" w:rsidP="00B75DD2">
            <w:pPr>
              <w:jc w:val="center"/>
            </w:pPr>
            <w:r w:rsidRPr="000F7337">
              <w:rPr>
                <w:sz w:val="22"/>
                <w:szCs w:val="22"/>
              </w:rPr>
              <w:t>25.3</w:t>
            </w:r>
          </w:p>
        </w:tc>
      </w:tr>
      <w:tr w:rsidR="00B75DD2" w:rsidRPr="000F7337" w14:paraId="5661B0CC" w14:textId="77777777" w:rsidTr="00B75DD2">
        <w:tc>
          <w:tcPr>
            <w:tcW w:w="4836" w:type="dxa"/>
            <w:tcBorders>
              <w:top w:val="single" w:sz="1" w:space="0" w:color="808080"/>
              <w:left w:val="single" w:sz="1" w:space="0" w:color="808080"/>
              <w:bottom w:val="single" w:sz="1" w:space="0" w:color="808080"/>
              <w:right w:val="single" w:sz="1" w:space="0" w:color="808080"/>
            </w:tcBorders>
          </w:tcPr>
          <w:p w14:paraId="56F565B2" w14:textId="4CF1EE06" w:rsidR="00B75DD2" w:rsidRPr="000F7337" w:rsidRDefault="00B75DD2" w:rsidP="00B75DD2">
            <w:r w:rsidRPr="000F7337">
              <w:rPr>
                <w:sz w:val="22"/>
                <w:szCs w:val="22"/>
              </w:rPr>
              <w:t>Planning to implement within 12 months</w:t>
            </w:r>
          </w:p>
        </w:tc>
        <w:tc>
          <w:tcPr>
            <w:tcW w:w="1442" w:type="dxa"/>
            <w:tcBorders>
              <w:top w:val="single" w:sz="1" w:space="0" w:color="808080"/>
              <w:left w:val="single" w:sz="1" w:space="0" w:color="808080"/>
              <w:bottom w:val="single" w:sz="1" w:space="0" w:color="808080"/>
              <w:right w:val="single" w:sz="1" w:space="0" w:color="808080"/>
            </w:tcBorders>
          </w:tcPr>
          <w:p w14:paraId="1F4B3196" w14:textId="1389603B" w:rsidR="00B75DD2" w:rsidRPr="000F7337" w:rsidRDefault="00B75DD2" w:rsidP="00B75DD2">
            <w:pPr>
              <w:jc w:val="center"/>
            </w:pPr>
            <w:r w:rsidRPr="000F7337">
              <w:rPr>
                <w:sz w:val="22"/>
                <w:szCs w:val="22"/>
              </w:rPr>
              <w:t>24</w:t>
            </w:r>
          </w:p>
        </w:tc>
        <w:tc>
          <w:tcPr>
            <w:tcW w:w="2746" w:type="dxa"/>
            <w:tcBorders>
              <w:top w:val="single" w:sz="1" w:space="0" w:color="808080"/>
              <w:left w:val="single" w:sz="1" w:space="0" w:color="808080"/>
              <w:bottom w:val="single" w:sz="1" w:space="0" w:color="808080"/>
              <w:right w:val="single" w:sz="1" w:space="0" w:color="808080"/>
            </w:tcBorders>
          </w:tcPr>
          <w:p w14:paraId="22BA0BC1" w14:textId="090729A1" w:rsidR="00B75DD2" w:rsidRPr="000F7337" w:rsidRDefault="00B75DD2" w:rsidP="00B75DD2">
            <w:pPr>
              <w:jc w:val="center"/>
            </w:pPr>
            <w:r w:rsidRPr="000F7337">
              <w:rPr>
                <w:sz w:val="22"/>
                <w:szCs w:val="22"/>
              </w:rPr>
              <w:t>27.6</w:t>
            </w:r>
          </w:p>
        </w:tc>
      </w:tr>
      <w:tr w:rsidR="00B75DD2" w:rsidRPr="000F7337" w14:paraId="7DE1F7A3" w14:textId="77777777" w:rsidTr="00B75DD2">
        <w:tc>
          <w:tcPr>
            <w:tcW w:w="4836" w:type="dxa"/>
            <w:tcBorders>
              <w:top w:val="single" w:sz="1" w:space="0" w:color="808080"/>
              <w:left w:val="single" w:sz="1" w:space="0" w:color="808080"/>
              <w:bottom w:val="single" w:sz="1" w:space="0" w:color="808080"/>
              <w:right w:val="single" w:sz="1" w:space="0" w:color="808080"/>
            </w:tcBorders>
          </w:tcPr>
          <w:p w14:paraId="7CC85919" w14:textId="4B5A4B8F" w:rsidR="00B75DD2" w:rsidRPr="000F7337" w:rsidRDefault="00B75DD2" w:rsidP="00B75DD2">
            <w:r w:rsidRPr="000F7337">
              <w:rPr>
                <w:sz w:val="22"/>
                <w:szCs w:val="22"/>
              </w:rPr>
              <w:t>Partial integration</w:t>
            </w:r>
          </w:p>
        </w:tc>
        <w:tc>
          <w:tcPr>
            <w:tcW w:w="1442" w:type="dxa"/>
            <w:tcBorders>
              <w:top w:val="single" w:sz="1" w:space="0" w:color="808080"/>
              <w:left w:val="single" w:sz="1" w:space="0" w:color="808080"/>
              <w:bottom w:val="single" w:sz="1" w:space="0" w:color="808080"/>
              <w:right w:val="single" w:sz="1" w:space="0" w:color="808080"/>
            </w:tcBorders>
          </w:tcPr>
          <w:p w14:paraId="2D0F0FDD" w14:textId="558C63A2" w:rsidR="00B75DD2" w:rsidRPr="000F7337" w:rsidRDefault="00B75DD2" w:rsidP="00B75DD2">
            <w:pPr>
              <w:jc w:val="center"/>
            </w:pPr>
            <w:r w:rsidRPr="000F7337">
              <w:rPr>
                <w:sz w:val="22"/>
                <w:szCs w:val="22"/>
              </w:rPr>
              <w:t>35</w:t>
            </w:r>
          </w:p>
        </w:tc>
        <w:tc>
          <w:tcPr>
            <w:tcW w:w="2746" w:type="dxa"/>
            <w:tcBorders>
              <w:top w:val="single" w:sz="1" w:space="0" w:color="808080"/>
              <w:left w:val="single" w:sz="1" w:space="0" w:color="808080"/>
              <w:bottom w:val="single" w:sz="1" w:space="0" w:color="808080"/>
              <w:right w:val="single" w:sz="1" w:space="0" w:color="808080"/>
            </w:tcBorders>
          </w:tcPr>
          <w:p w14:paraId="35E06DD3" w14:textId="26981FC7" w:rsidR="00B75DD2" w:rsidRPr="000F7337" w:rsidRDefault="00B75DD2" w:rsidP="00B75DD2">
            <w:pPr>
              <w:jc w:val="center"/>
            </w:pPr>
            <w:r w:rsidRPr="000F7337">
              <w:rPr>
                <w:sz w:val="22"/>
                <w:szCs w:val="22"/>
              </w:rPr>
              <w:t>40.2</w:t>
            </w:r>
          </w:p>
        </w:tc>
      </w:tr>
      <w:tr w:rsidR="00B75DD2" w:rsidRPr="000F7337" w14:paraId="19327428" w14:textId="77777777" w:rsidTr="00B75DD2">
        <w:tc>
          <w:tcPr>
            <w:tcW w:w="4836" w:type="dxa"/>
            <w:tcBorders>
              <w:top w:val="single" w:sz="1" w:space="0" w:color="808080"/>
              <w:left w:val="single" w:sz="1" w:space="0" w:color="808080"/>
              <w:bottom w:val="single" w:sz="1" w:space="0" w:color="808080"/>
              <w:right w:val="single" w:sz="1" w:space="0" w:color="808080"/>
            </w:tcBorders>
          </w:tcPr>
          <w:p w14:paraId="60E62D10" w14:textId="502790C6" w:rsidR="00B75DD2" w:rsidRPr="000F7337" w:rsidRDefault="00B75DD2" w:rsidP="00B75DD2">
            <w:r w:rsidRPr="000F7337">
              <w:rPr>
                <w:sz w:val="22"/>
                <w:szCs w:val="22"/>
              </w:rPr>
              <w:t>Yes – Full integration</w:t>
            </w:r>
          </w:p>
        </w:tc>
        <w:tc>
          <w:tcPr>
            <w:tcW w:w="1442" w:type="dxa"/>
            <w:tcBorders>
              <w:top w:val="single" w:sz="1" w:space="0" w:color="808080"/>
              <w:left w:val="single" w:sz="1" w:space="0" w:color="808080"/>
              <w:bottom w:val="single" w:sz="1" w:space="0" w:color="808080"/>
              <w:right w:val="single" w:sz="1" w:space="0" w:color="808080"/>
            </w:tcBorders>
          </w:tcPr>
          <w:p w14:paraId="795B9A99" w14:textId="61470F5F" w:rsidR="00B75DD2" w:rsidRPr="000F7337" w:rsidRDefault="00B75DD2" w:rsidP="00B75DD2">
            <w:pPr>
              <w:jc w:val="center"/>
            </w:pPr>
            <w:r w:rsidRPr="000F7337">
              <w:rPr>
                <w:sz w:val="22"/>
                <w:szCs w:val="22"/>
              </w:rPr>
              <w:t>6</w:t>
            </w:r>
          </w:p>
        </w:tc>
        <w:tc>
          <w:tcPr>
            <w:tcW w:w="2746" w:type="dxa"/>
            <w:tcBorders>
              <w:top w:val="single" w:sz="1" w:space="0" w:color="808080"/>
              <w:left w:val="single" w:sz="1" w:space="0" w:color="808080"/>
              <w:bottom w:val="single" w:sz="1" w:space="0" w:color="808080"/>
              <w:right w:val="single" w:sz="1" w:space="0" w:color="808080"/>
            </w:tcBorders>
          </w:tcPr>
          <w:p w14:paraId="4A46CCFA" w14:textId="01525087" w:rsidR="00B75DD2" w:rsidRPr="000F7337" w:rsidRDefault="00B75DD2" w:rsidP="00B75DD2">
            <w:pPr>
              <w:jc w:val="center"/>
            </w:pPr>
            <w:r w:rsidRPr="000F7337">
              <w:rPr>
                <w:sz w:val="22"/>
                <w:szCs w:val="22"/>
              </w:rPr>
              <w:t>6.9</w:t>
            </w:r>
          </w:p>
        </w:tc>
      </w:tr>
    </w:tbl>
    <w:p w14:paraId="0515C157" w14:textId="77777777" w:rsidR="0025438A" w:rsidRDefault="0025438A" w:rsidP="00BF7500">
      <w:pPr>
        <w:spacing w:after="200"/>
      </w:pPr>
    </w:p>
    <w:p w14:paraId="1670BE55" w14:textId="3F94CCE2" w:rsidR="00E2767C" w:rsidRDefault="00E2767C" w:rsidP="00BF7500">
      <w:pPr>
        <w:spacing w:after="200"/>
      </w:pPr>
      <w:r>
        <w:rPr>
          <w:noProof/>
        </w:rPr>
        <w:drawing>
          <wp:inline distT="0" distB="0" distL="0" distR="0" wp14:anchorId="4A84BEF6" wp14:editId="7DE92F66">
            <wp:extent cx="5724525" cy="2706624"/>
            <wp:effectExtent l="0" t="0" r="9525" b="17780"/>
            <wp:docPr id="243470857" name="Chart 1">
              <a:extLst xmlns:a="http://schemas.openxmlformats.org/drawingml/2006/main">
                <a:ext uri="{FF2B5EF4-FFF2-40B4-BE49-F238E27FC236}">
                  <a16:creationId xmlns:a16="http://schemas.microsoft.com/office/drawing/2014/main" id="{F79C6FD2-2FD8-9A28-4521-5D91E8254D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2"/>
              </a:graphicData>
            </a:graphic>
          </wp:inline>
        </w:drawing>
      </w:r>
    </w:p>
    <w:p w14:paraId="2017DDF4" w14:textId="77777777" w:rsidR="00E2767C" w:rsidRPr="000F7337" w:rsidRDefault="00E2767C" w:rsidP="00BF7500">
      <w:pPr>
        <w:spacing w:after="200"/>
      </w:pPr>
    </w:p>
    <w:p w14:paraId="4B3CFFA2" w14:textId="77777777" w:rsidR="00BF7500" w:rsidRPr="000F7337" w:rsidRDefault="00BF7500" w:rsidP="00BF7500">
      <w:pPr>
        <w:spacing w:before="150" w:after="100"/>
      </w:pPr>
      <w:r w:rsidRPr="000F7337">
        <w:rPr>
          <w:b/>
          <w:bCs/>
          <w:i/>
          <w:iCs/>
          <w:sz w:val="22"/>
          <w:szCs w:val="22"/>
        </w:rPr>
        <w:lastRenderedPageBreak/>
        <w:t>Table G.4: Barriers to Adoption (n=87)</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873"/>
        <w:gridCol w:w="1165"/>
        <w:gridCol w:w="1160"/>
        <w:gridCol w:w="2826"/>
      </w:tblGrid>
      <w:tr w:rsidR="00BF7500" w:rsidRPr="000F7337" w14:paraId="20813479" w14:textId="77777777" w:rsidTr="00B75DD2">
        <w:tc>
          <w:tcPr>
            <w:tcW w:w="3873" w:type="dxa"/>
            <w:tcBorders>
              <w:top w:val="single" w:sz="1" w:space="0" w:color="808080"/>
              <w:left w:val="single" w:sz="1" w:space="0" w:color="808080"/>
              <w:bottom w:val="single" w:sz="1" w:space="0" w:color="808080"/>
              <w:right w:val="single" w:sz="1" w:space="0" w:color="808080"/>
            </w:tcBorders>
            <w:shd w:val="clear" w:color="auto" w:fill="D9E2F3"/>
          </w:tcPr>
          <w:p w14:paraId="7E27B72D" w14:textId="77777777" w:rsidR="00BF7500" w:rsidRPr="000F7337" w:rsidRDefault="00BF7500" w:rsidP="00EC0FF7">
            <w:pPr>
              <w:jc w:val="center"/>
            </w:pPr>
            <w:r w:rsidRPr="000F7337">
              <w:rPr>
                <w:b/>
                <w:bCs/>
                <w:sz w:val="22"/>
                <w:szCs w:val="22"/>
              </w:rPr>
              <w:t>Barrier</w:t>
            </w:r>
          </w:p>
        </w:tc>
        <w:tc>
          <w:tcPr>
            <w:tcW w:w="1165" w:type="dxa"/>
            <w:tcBorders>
              <w:top w:val="single" w:sz="1" w:space="0" w:color="808080"/>
              <w:left w:val="single" w:sz="1" w:space="0" w:color="808080"/>
              <w:bottom w:val="single" w:sz="1" w:space="0" w:color="808080"/>
              <w:right w:val="single" w:sz="1" w:space="0" w:color="808080"/>
            </w:tcBorders>
            <w:shd w:val="clear" w:color="auto" w:fill="D9E2F3"/>
          </w:tcPr>
          <w:p w14:paraId="54AB2492" w14:textId="77777777" w:rsidR="00BF7500" w:rsidRPr="000F7337" w:rsidRDefault="00BF7500" w:rsidP="00EC0FF7">
            <w:pPr>
              <w:jc w:val="center"/>
            </w:pPr>
            <w:r w:rsidRPr="000F7337">
              <w:rPr>
                <w:b/>
                <w:bCs/>
                <w:sz w:val="22"/>
                <w:szCs w:val="22"/>
              </w:rPr>
              <w:t>Mean</w:t>
            </w:r>
          </w:p>
        </w:tc>
        <w:tc>
          <w:tcPr>
            <w:tcW w:w="1160" w:type="dxa"/>
            <w:tcBorders>
              <w:top w:val="single" w:sz="1" w:space="0" w:color="808080"/>
              <w:left w:val="single" w:sz="1" w:space="0" w:color="808080"/>
              <w:bottom w:val="single" w:sz="1" w:space="0" w:color="808080"/>
              <w:right w:val="single" w:sz="1" w:space="0" w:color="808080"/>
            </w:tcBorders>
            <w:shd w:val="clear" w:color="auto" w:fill="D9E2F3"/>
          </w:tcPr>
          <w:p w14:paraId="44A6CC2E" w14:textId="77777777" w:rsidR="00BF7500" w:rsidRPr="000F7337" w:rsidRDefault="00BF7500" w:rsidP="00EC0FF7">
            <w:pPr>
              <w:jc w:val="center"/>
            </w:pPr>
            <w:r w:rsidRPr="000F7337">
              <w:rPr>
                <w:b/>
                <w:bCs/>
                <w:sz w:val="22"/>
                <w:szCs w:val="22"/>
              </w:rPr>
              <w:t>SD</w:t>
            </w:r>
          </w:p>
        </w:tc>
        <w:tc>
          <w:tcPr>
            <w:tcW w:w="2826" w:type="dxa"/>
            <w:tcBorders>
              <w:top w:val="single" w:sz="1" w:space="0" w:color="808080"/>
              <w:left w:val="single" w:sz="1" w:space="0" w:color="808080"/>
              <w:bottom w:val="single" w:sz="1" w:space="0" w:color="808080"/>
              <w:right w:val="single" w:sz="1" w:space="0" w:color="808080"/>
            </w:tcBorders>
            <w:shd w:val="clear" w:color="auto" w:fill="D9E2F3"/>
          </w:tcPr>
          <w:p w14:paraId="4DF3E411" w14:textId="77D1A676" w:rsidR="00BF7500" w:rsidRPr="000F7337" w:rsidRDefault="00BF7500" w:rsidP="00EC0FF7">
            <w:pPr>
              <w:jc w:val="center"/>
            </w:pPr>
            <w:r w:rsidRPr="000F7337">
              <w:rPr>
                <w:b/>
                <w:bCs/>
                <w:sz w:val="22"/>
                <w:szCs w:val="22"/>
              </w:rPr>
              <w:t xml:space="preserve">% </w:t>
            </w:r>
            <w:r w:rsidR="009A1499">
              <w:rPr>
                <w:b/>
                <w:bCs/>
                <w:sz w:val="22"/>
                <w:szCs w:val="22"/>
              </w:rPr>
              <w:t>Mod+</w:t>
            </w:r>
          </w:p>
        </w:tc>
      </w:tr>
      <w:tr w:rsidR="00B75DD2" w:rsidRPr="000F7337" w14:paraId="60C243B4" w14:textId="77777777" w:rsidTr="00B75DD2">
        <w:tc>
          <w:tcPr>
            <w:tcW w:w="3873" w:type="dxa"/>
            <w:tcBorders>
              <w:top w:val="single" w:sz="1" w:space="0" w:color="808080"/>
              <w:left w:val="single" w:sz="1" w:space="0" w:color="808080"/>
              <w:bottom w:val="single" w:sz="1" w:space="0" w:color="808080"/>
              <w:right w:val="single" w:sz="1" w:space="0" w:color="808080"/>
            </w:tcBorders>
          </w:tcPr>
          <w:p w14:paraId="17C6C6B3" w14:textId="3E630340" w:rsidR="00B75DD2" w:rsidRPr="000F7337" w:rsidRDefault="00B75DD2" w:rsidP="00B75DD2">
            <w:r w:rsidRPr="000F7337">
              <w:rPr>
                <w:sz w:val="22"/>
                <w:szCs w:val="22"/>
              </w:rPr>
              <w:t>Lack of standardised APIs</w:t>
            </w:r>
          </w:p>
        </w:tc>
        <w:tc>
          <w:tcPr>
            <w:tcW w:w="1165" w:type="dxa"/>
            <w:tcBorders>
              <w:top w:val="single" w:sz="1" w:space="0" w:color="808080"/>
              <w:left w:val="single" w:sz="1" w:space="0" w:color="808080"/>
              <w:bottom w:val="single" w:sz="1" w:space="0" w:color="808080"/>
              <w:right w:val="single" w:sz="1" w:space="0" w:color="808080"/>
            </w:tcBorders>
          </w:tcPr>
          <w:p w14:paraId="3FC1721B" w14:textId="16B2C5E5" w:rsidR="00B75DD2" w:rsidRPr="000F7337" w:rsidRDefault="00B75DD2" w:rsidP="00B75DD2">
            <w:pPr>
              <w:jc w:val="center"/>
            </w:pPr>
            <w:r w:rsidRPr="000F7337">
              <w:rPr>
                <w:sz w:val="22"/>
                <w:szCs w:val="22"/>
              </w:rPr>
              <w:t>3.33</w:t>
            </w:r>
          </w:p>
        </w:tc>
        <w:tc>
          <w:tcPr>
            <w:tcW w:w="1160" w:type="dxa"/>
            <w:tcBorders>
              <w:top w:val="single" w:sz="1" w:space="0" w:color="808080"/>
              <w:left w:val="single" w:sz="1" w:space="0" w:color="808080"/>
              <w:bottom w:val="single" w:sz="1" w:space="0" w:color="808080"/>
              <w:right w:val="single" w:sz="1" w:space="0" w:color="808080"/>
            </w:tcBorders>
          </w:tcPr>
          <w:p w14:paraId="7B434EAC" w14:textId="415DF33D" w:rsidR="00B75DD2" w:rsidRPr="000F7337" w:rsidRDefault="00B75DD2" w:rsidP="00B75DD2">
            <w:pPr>
              <w:jc w:val="center"/>
            </w:pPr>
            <w:r w:rsidRPr="000F7337">
              <w:rPr>
                <w:sz w:val="22"/>
                <w:szCs w:val="22"/>
              </w:rPr>
              <w:t>0.</w:t>
            </w:r>
            <w:r>
              <w:rPr>
                <w:sz w:val="22"/>
                <w:szCs w:val="22"/>
              </w:rPr>
              <w:t>61</w:t>
            </w:r>
          </w:p>
        </w:tc>
        <w:tc>
          <w:tcPr>
            <w:tcW w:w="2826" w:type="dxa"/>
            <w:tcBorders>
              <w:top w:val="single" w:sz="1" w:space="0" w:color="808080"/>
              <w:left w:val="single" w:sz="1" w:space="0" w:color="808080"/>
              <w:bottom w:val="single" w:sz="1" w:space="0" w:color="808080"/>
              <w:right w:val="single" w:sz="1" w:space="0" w:color="808080"/>
            </w:tcBorders>
          </w:tcPr>
          <w:p w14:paraId="602E06A8" w14:textId="30A1316B" w:rsidR="00B75DD2" w:rsidRPr="000F7337" w:rsidRDefault="00B75DD2" w:rsidP="00B75DD2">
            <w:pPr>
              <w:jc w:val="center"/>
            </w:pPr>
            <w:r>
              <w:t>98.9</w:t>
            </w:r>
          </w:p>
        </w:tc>
      </w:tr>
      <w:tr w:rsidR="00B75DD2" w:rsidRPr="000F7337" w14:paraId="1DA46AEE" w14:textId="77777777" w:rsidTr="00B75DD2">
        <w:tc>
          <w:tcPr>
            <w:tcW w:w="3873" w:type="dxa"/>
            <w:tcBorders>
              <w:top w:val="single" w:sz="1" w:space="0" w:color="808080"/>
              <w:left w:val="single" w:sz="1" w:space="0" w:color="808080"/>
              <w:bottom w:val="single" w:sz="1" w:space="0" w:color="808080"/>
              <w:right w:val="single" w:sz="1" w:space="0" w:color="808080"/>
            </w:tcBorders>
          </w:tcPr>
          <w:p w14:paraId="17AC4714" w14:textId="209A1692" w:rsidR="00B75DD2" w:rsidRPr="000F7337" w:rsidRDefault="00B75DD2" w:rsidP="00B75DD2">
            <w:r w:rsidRPr="000F7337">
              <w:rPr>
                <w:sz w:val="22"/>
                <w:szCs w:val="22"/>
              </w:rPr>
              <w:t>Data ownership/privacy</w:t>
            </w:r>
          </w:p>
        </w:tc>
        <w:tc>
          <w:tcPr>
            <w:tcW w:w="1165" w:type="dxa"/>
            <w:tcBorders>
              <w:top w:val="single" w:sz="1" w:space="0" w:color="808080"/>
              <w:left w:val="single" w:sz="1" w:space="0" w:color="808080"/>
              <w:bottom w:val="single" w:sz="1" w:space="0" w:color="808080"/>
              <w:right w:val="single" w:sz="1" w:space="0" w:color="808080"/>
            </w:tcBorders>
          </w:tcPr>
          <w:p w14:paraId="472F9951" w14:textId="5FC1AE07" w:rsidR="00B75DD2" w:rsidRPr="000F7337" w:rsidRDefault="00B75DD2" w:rsidP="00B75DD2">
            <w:pPr>
              <w:jc w:val="center"/>
            </w:pPr>
            <w:r w:rsidRPr="000F7337">
              <w:rPr>
                <w:sz w:val="22"/>
                <w:szCs w:val="22"/>
              </w:rPr>
              <w:t>3.45</w:t>
            </w:r>
          </w:p>
        </w:tc>
        <w:tc>
          <w:tcPr>
            <w:tcW w:w="1160" w:type="dxa"/>
            <w:tcBorders>
              <w:top w:val="single" w:sz="1" w:space="0" w:color="808080"/>
              <w:left w:val="single" w:sz="1" w:space="0" w:color="808080"/>
              <w:bottom w:val="single" w:sz="1" w:space="0" w:color="808080"/>
              <w:right w:val="single" w:sz="1" w:space="0" w:color="808080"/>
            </w:tcBorders>
          </w:tcPr>
          <w:p w14:paraId="0819841B" w14:textId="7E1B8A09" w:rsidR="00B75DD2" w:rsidRPr="000F7337" w:rsidRDefault="00B75DD2" w:rsidP="00B75DD2">
            <w:pPr>
              <w:jc w:val="center"/>
            </w:pPr>
            <w:r w:rsidRPr="000F7337">
              <w:rPr>
                <w:sz w:val="22"/>
                <w:szCs w:val="22"/>
              </w:rPr>
              <w:t>0.</w:t>
            </w:r>
            <w:r>
              <w:rPr>
                <w:sz w:val="22"/>
                <w:szCs w:val="22"/>
              </w:rPr>
              <w:t>74</w:t>
            </w:r>
          </w:p>
        </w:tc>
        <w:tc>
          <w:tcPr>
            <w:tcW w:w="2826" w:type="dxa"/>
            <w:tcBorders>
              <w:top w:val="single" w:sz="1" w:space="0" w:color="808080"/>
              <w:left w:val="single" w:sz="1" w:space="0" w:color="808080"/>
              <w:bottom w:val="single" w:sz="1" w:space="0" w:color="808080"/>
              <w:right w:val="single" w:sz="1" w:space="0" w:color="808080"/>
            </w:tcBorders>
          </w:tcPr>
          <w:p w14:paraId="55EDC4D1" w14:textId="60CA2EBB" w:rsidR="00B75DD2" w:rsidRPr="000F7337" w:rsidRDefault="00B75DD2" w:rsidP="00B75DD2">
            <w:pPr>
              <w:jc w:val="center"/>
            </w:pPr>
            <w:r>
              <w:rPr>
                <w:sz w:val="22"/>
                <w:szCs w:val="22"/>
              </w:rPr>
              <w:t>97.7</w:t>
            </w:r>
          </w:p>
        </w:tc>
      </w:tr>
      <w:tr w:rsidR="00B75DD2" w:rsidRPr="000F7337" w14:paraId="039C5E64" w14:textId="77777777" w:rsidTr="00B75DD2">
        <w:tc>
          <w:tcPr>
            <w:tcW w:w="3873" w:type="dxa"/>
            <w:tcBorders>
              <w:top w:val="single" w:sz="1" w:space="0" w:color="808080"/>
              <w:left w:val="single" w:sz="1" w:space="0" w:color="808080"/>
              <w:bottom w:val="single" w:sz="1" w:space="0" w:color="808080"/>
              <w:right w:val="single" w:sz="1" w:space="0" w:color="808080"/>
            </w:tcBorders>
          </w:tcPr>
          <w:p w14:paraId="47A7009B" w14:textId="2EAFEF41" w:rsidR="00B75DD2" w:rsidRPr="000F7337" w:rsidRDefault="00B75DD2" w:rsidP="00B75DD2">
            <w:r w:rsidRPr="000F7337">
              <w:rPr>
                <w:sz w:val="22"/>
                <w:szCs w:val="22"/>
              </w:rPr>
              <w:t>Lack of staff training/skills</w:t>
            </w:r>
          </w:p>
        </w:tc>
        <w:tc>
          <w:tcPr>
            <w:tcW w:w="1165" w:type="dxa"/>
            <w:tcBorders>
              <w:top w:val="single" w:sz="1" w:space="0" w:color="808080"/>
              <w:left w:val="single" w:sz="1" w:space="0" w:color="808080"/>
              <w:bottom w:val="single" w:sz="1" w:space="0" w:color="808080"/>
              <w:right w:val="single" w:sz="1" w:space="0" w:color="808080"/>
            </w:tcBorders>
          </w:tcPr>
          <w:p w14:paraId="6CCF1379" w14:textId="2858A111" w:rsidR="00B75DD2" w:rsidRPr="000F7337" w:rsidRDefault="00B75DD2" w:rsidP="00B75DD2">
            <w:pPr>
              <w:jc w:val="center"/>
            </w:pPr>
            <w:r w:rsidRPr="000F7337">
              <w:rPr>
                <w:sz w:val="22"/>
                <w:szCs w:val="22"/>
              </w:rPr>
              <w:t>3.55</w:t>
            </w:r>
          </w:p>
        </w:tc>
        <w:tc>
          <w:tcPr>
            <w:tcW w:w="1160" w:type="dxa"/>
            <w:tcBorders>
              <w:top w:val="single" w:sz="1" w:space="0" w:color="808080"/>
              <w:left w:val="single" w:sz="1" w:space="0" w:color="808080"/>
              <w:bottom w:val="single" w:sz="1" w:space="0" w:color="808080"/>
              <w:right w:val="single" w:sz="1" w:space="0" w:color="808080"/>
            </w:tcBorders>
          </w:tcPr>
          <w:p w14:paraId="5F2AE8A4" w14:textId="7068AE39" w:rsidR="00B75DD2" w:rsidRPr="000F7337" w:rsidRDefault="00B75DD2" w:rsidP="00B75DD2">
            <w:pPr>
              <w:jc w:val="center"/>
            </w:pPr>
            <w:r>
              <w:t>1.29</w:t>
            </w:r>
          </w:p>
        </w:tc>
        <w:tc>
          <w:tcPr>
            <w:tcW w:w="2826" w:type="dxa"/>
            <w:tcBorders>
              <w:top w:val="single" w:sz="1" w:space="0" w:color="808080"/>
              <w:left w:val="single" w:sz="1" w:space="0" w:color="808080"/>
              <w:bottom w:val="single" w:sz="1" w:space="0" w:color="808080"/>
              <w:right w:val="single" w:sz="1" w:space="0" w:color="808080"/>
            </w:tcBorders>
          </w:tcPr>
          <w:p w14:paraId="0C2BB3C6" w14:textId="7EF7D57A" w:rsidR="00B75DD2" w:rsidRPr="000F7337" w:rsidRDefault="00B75DD2" w:rsidP="00B75DD2">
            <w:pPr>
              <w:jc w:val="center"/>
            </w:pPr>
            <w:r>
              <w:rPr>
                <w:sz w:val="22"/>
                <w:szCs w:val="22"/>
              </w:rPr>
              <w:t>82.8</w:t>
            </w:r>
          </w:p>
        </w:tc>
      </w:tr>
      <w:tr w:rsidR="00B75DD2" w:rsidRPr="000F7337" w14:paraId="50500C3E" w14:textId="77777777" w:rsidTr="00B75DD2">
        <w:tc>
          <w:tcPr>
            <w:tcW w:w="3873" w:type="dxa"/>
            <w:tcBorders>
              <w:top w:val="single" w:sz="1" w:space="0" w:color="808080"/>
              <w:left w:val="single" w:sz="1" w:space="0" w:color="808080"/>
              <w:bottom w:val="single" w:sz="1" w:space="0" w:color="808080"/>
              <w:right w:val="single" w:sz="1" w:space="0" w:color="808080"/>
            </w:tcBorders>
          </w:tcPr>
          <w:p w14:paraId="20DDE34B" w14:textId="6371459E" w:rsidR="00B75DD2" w:rsidRPr="000F7337" w:rsidRDefault="00B75DD2" w:rsidP="00B75DD2">
            <w:r w:rsidRPr="000F7337">
              <w:rPr>
                <w:sz w:val="22"/>
                <w:szCs w:val="22"/>
              </w:rPr>
              <w:t>Incompatible legacy systems</w:t>
            </w:r>
          </w:p>
        </w:tc>
        <w:tc>
          <w:tcPr>
            <w:tcW w:w="1165" w:type="dxa"/>
            <w:tcBorders>
              <w:top w:val="single" w:sz="1" w:space="0" w:color="808080"/>
              <w:left w:val="single" w:sz="1" w:space="0" w:color="808080"/>
              <w:bottom w:val="single" w:sz="1" w:space="0" w:color="808080"/>
              <w:right w:val="single" w:sz="1" w:space="0" w:color="808080"/>
            </w:tcBorders>
          </w:tcPr>
          <w:p w14:paraId="7B657A3A" w14:textId="1453362B" w:rsidR="00B75DD2" w:rsidRPr="000F7337" w:rsidRDefault="00B75DD2" w:rsidP="00B75DD2">
            <w:pPr>
              <w:jc w:val="center"/>
            </w:pPr>
            <w:r w:rsidRPr="000F7337">
              <w:rPr>
                <w:sz w:val="22"/>
                <w:szCs w:val="22"/>
              </w:rPr>
              <w:t>3.56</w:t>
            </w:r>
          </w:p>
        </w:tc>
        <w:tc>
          <w:tcPr>
            <w:tcW w:w="1160" w:type="dxa"/>
            <w:tcBorders>
              <w:top w:val="single" w:sz="1" w:space="0" w:color="808080"/>
              <w:left w:val="single" w:sz="1" w:space="0" w:color="808080"/>
              <w:bottom w:val="single" w:sz="1" w:space="0" w:color="808080"/>
              <w:right w:val="single" w:sz="1" w:space="0" w:color="808080"/>
            </w:tcBorders>
          </w:tcPr>
          <w:p w14:paraId="7F0EF5EF" w14:textId="789C31E5" w:rsidR="00B75DD2" w:rsidRPr="000F7337" w:rsidRDefault="00B75DD2" w:rsidP="00B75DD2">
            <w:pPr>
              <w:jc w:val="center"/>
            </w:pPr>
            <w:r w:rsidRPr="000F7337">
              <w:rPr>
                <w:sz w:val="22"/>
                <w:szCs w:val="22"/>
              </w:rPr>
              <w:t>0.</w:t>
            </w:r>
            <w:r>
              <w:rPr>
                <w:sz w:val="22"/>
                <w:szCs w:val="22"/>
              </w:rPr>
              <w:t>94</w:t>
            </w:r>
          </w:p>
        </w:tc>
        <w:tc>
          <w:tcPr>
            <w:tcW w:w="2826" w:type="dxa"/>
            <w:tcBorders>
              <w:top w:val="single" w:sz="1" w:space="0" w:color="808080"/>
              <w:left w:val="single" w:sz="1" w:space="0" w:color="808080"/>
              <w:bottom w:val="single" w:sz="1" w:space="0" w:color="808080"/>
              <w:right w:val="single" w:sz="1" w:space="0" w:color="808080"/>
            </w:tcBorders>
          </w:tcPr>
          <w:p w14:paraId="7BFDBD31" w14:textId="122D8582" w:rsidR="00B75DD2" w:rsidRPr="000F7337" w:rsidRDefault="00B75DD2" w:rsidP="00B75DD2">
            <w:pPr>
              <w:jc w:val="center"/>
            </w:pPr>
            <w:r>
              <w:t>93.1</w:t>
            </w:r>
          </w:p>
        </w:tc>
      </w:tr>
      <w:tr w:rsidR="00B75DD2" w:rsidRPr="000F7337" w14:paraId="5A63AA44" w14:textId="77777777" w:rsidTr="00B75DD2">
        <w:tc>
          <w:tcPr>
            <w:tcW w:w="3873" w:type="dxa"/>
            <w:tcBorders>
              <w:top w:val="single" w:sz="1" w:space="0" w:color="808080"/>
              <w:left w:val="single" w:sz="1" w:space="0" w:color="808080"/>
              <w:bottom w:val="single" w:sz="1" w:space="0" w:color="808080"/>
              <w:right w:val="single" w:sz="1" w:space="0" w:color="808080"/>
            </w:tcBorders>
          </w:tcPr>
          <w:p w14:paraId="29F281B6" w14:textId="0B7AA419" w:rsidR="00B75DD2" w:rsidRPr="000F7337" w:rsidRDefault="00B75DD2" w:rsidP="00B75DD2">
            <w:r w:rsidRPr="000F7337">
              <w:rPr>
                <w:sz w:val="22"/>
                <w:szCs w:val="22"/>
              </w:rPr>
              <w:t>Cybersecurity concerns</w:t>
            </w:r>
          </w:p>
        </w:tc>
        <w:tc>
          <w:tcPr>
            <w:tcW w:w="1165" w:type="dxa"/>
            <w:tcBorders>
              <w:top w:val="single" w:sz="1" w:space="0" w:color="808080"/>
              <w:left w:val="single" w:sz="1" w:space="0" w:color="808080"/>
              <w:bottom w:val="single" w:sz="1" w:space="0" w:color="808080"/>
              <w:right w:val="single" w:sz="1" w:space="0" w:color="808080"/>
            </w:tcBorders>
          </w:tcPr>
          <w:p w14:paraId="5766FF21" w14:textId="4CA29F65" w:rsidR="00B75DD2" w:rsidRPr="000F7337" w:rsidRDefault="00B75DD2" w:rsidP="00B75DD2">
            <w:pPr>
              <w:jc w:val="center"/>
            </w:pPr>
            <w:r w:rsidRPr="000F7337">
              <w:rPr>
                <w:sz w:val="22"/>
                <w:szCs w:val="22"/>
              </w:rPr>
              <w:t>3.67</w:t>
            </w:r>
          </w:p>
        </w:tc>
        <w:tc>
          <w:tcPr>
            <w:tcW w:w="1160" w:type="dxa"/>
            <w:tcBorders>
              <w:top w:val="single" w:sz="1" w:space="0" w:color="808080"/>
              <w:left w:val="single" w:sz="1" w:space="0" w:color="808080"/>
              <w:bottom w:val="single" w:sz="1" w:space="0" w:color="808080"/>
              <w:right w:val="single" w:sz="1" w:space="0" w:color="808080"/>
            </w:tcBorders>
          </w:tcPr>
          <w:p w14:paraId="255670ED" w14:textId="78C28AB2" w:rsidR="00B75DD2" w:rsidRPr="000F7337" w:rsidRDefault="00B75DD2" w:rsidP="00B75DD2">
            <w:pPr>
              <w:jc w:val="center"/>
            </w:pPr>
            <w:r w:rsidRPr="000F7337">
              <w:rPr>
                <w:sz w:val="22"/>
                <w:szCs w:val="22"/>
              </w:rPr>
              <w:t>0.8</w:t>
            </w:r>
            <w:r>
              <w:rPr>
                <w:sz w:val="22"/>
                <w:szCs w:val="22"/>
              </w:rPr>
              <w:t>8</w:t>
            </w:r>
          </w:p>
        </w:tc>
        <w:tc>
          <w:tcPr>
            <w:tcW w:w="2826" w:type="dxa"/>
            <w:tcBorders>
              <w:top w:val="single" w:sz="1" w:space="0" w:color="808080"/>
              <w:left w:val="single" w:sz="1" w:space="0" w:color="808080"/>
              <w:bottom w:val="single" w:sz="1" w:space="0" w:color="808080"/>
              <w:right w:val="single" w:sz="1" w:space="0" w:color="808080"/>
            </w:tcBorders>
          </w:tcPr>
          <w:p w14:paraId="00370912" w14:textId="4013CB2D" w:rsidR="00B75DD2" w:rsidRPr="000F7337" w:rsidRDefault="00B75DD2" w:rsidP="00B75DD2">
            <w:pPr>
              <w:jc w:val="center"/>
            </w:pPr>
            <w:r>
              <w:t>94.3</w:t>
            </w:r>
          </w:p>
        </w:tc>
      </w:tr>
      <w:tr w:rsidR="00B75DD2" w:rsidRPr="000F7337" w14:paraId="232DC1A7" w14:textId="77777777" w:rsidTr="00B75DD2">
        <w:tc>
          <w:tcPr>
            <w:tcW w:w="3873" w:type="dxa"/>
            <w:tcBorders>
              <w:top w:val="single" w:sz="1" w:space="0" w:color="808080"/>
              <w:left w:val="single" w:sz="1" w:space="0" w:color="808080"/>
              <w:bottom w:val="single" w:sz="1" w:space="0" w:color="808080"/>
              <w:right w:val="single" w:sz="1" w:space="0" w:color="808080"/>
            </w:tcBorders>
          </w:tcPr>
          <w:p w14:paraId="3C87CB6C" w14:textId="38F050EA" w:rsidR="00B75DD2" w:rsidRPr="000F7337" w:rsidRDefault="00B75DD2" w:rsidP="00B75DD2">
            <w:r w:rsidRPr="000F7337">
              <w:rPr>
                <w:sz w:val="22"/>
                <w:szCs w:val="22"/>
              </w:rPr>
              <w:t>Cost/budget constraints</w:t>
            </w:r>
          </w:p>
        </w:tc>
        <w:tc>
          <w:tcPr>
            <w:tcW w:w="1165" w:type="dxa"/>
            <w:tcBorders>
              <w:top w:val="single" w:sz="1" w:space="0" w:color="808080"/>
              <w:left w:val="single" w:sz="1" w:space="0" w:color="808080"/>
              <w:bottom w:val="single" w:sz="1" w:space="0" w:color="808080"/>
              <w:right w:val="single" w:sz="1" w:space="0" w:color="808080"/>
            </w:tcBorders>
          </w:tcPr>
          <w:p w14:paraId="4093B27F" w14:textId="68D39FB5" w:rsidR="00B75DD2" w:rsidRPr="000F7337" w:rsidRDefault="00B75DD2" w:rsidP="00B75DD2">
            <w:pPr>
              <w:jc w:val="center"/>
            </w:pPr>
            <w:r w:rsidRPr="000F7337">
              <w:rPr>
                <w:sz w:val="22"/>
                <w:szCs w:val="22"/>
              </w:rPr>
              <w:t>3.</w:t>
            </w:r>
            <w:r>
              <w:rPr>
                <w:sz w:val="22"/>
                <w:szCs w:val="22"/>
              </w:rPr>
              <w:t>17</w:t>
            </w:r>
          </w:p>
        </w:tc>
        <w:tc>
          <w:tcPr>
            <w:tcW w:w="1160" w:type="dxa"/>
            <w:tcBorders>
              <w:top w:val="single" w:sz="1" w:space="0" w:color="808080"/>
              <w:left w:val="single" w:sz="1" w:space="0" w:color="808080"/>
              <w:bottom w:val="single" w:sz="1" w:space="0" w:color="808080"/>
              <w:right w:val="single" w:sz="1" w:space="0" w:color="808080"/>
            </w:tcBorders>
          </w:tcPr>
          <w:p w14:paraId="7D3377D1" w14:textId="171DB75F" w:rsidR="00B75DD2" w:rsidRPr="000F7337" w:rsidRDefault="00B75DD2" w:rsidP="00B75DD2">
            <w:pPr>
              <w:jc w:val="center"/>
            </w:pPr>
            <w:r w:rsidRPr="000F7337">
              <w:rPr>
                <w:sz w:val="22"/>
                <w:szCs w:val="22"/>
              </w:rPr>
              <w:t>0.7</w:t>
            </w:r>
            <w:r>
              <w:rPr>
                <w:sz w:val="22"/>
                <w:szCs w:val="22"/>
              </w:rPr>
              <w:t>3</w:t>
            </w:r>
          </w:p>
        </w:tc>
        <w:tc>
          <w:tcPr>
            <w:tcW w:w="2826" w:type="dxa"/>
            <w:tcBorders>
              <w:top w:val="single" w:sz="1" w:space="0" w:color="808080"/>
              <w:left w:val="single" w:sz="1" w:space="0" w:color="808080"/>
              <w:bottom w:val="single" w:sz="1" w:space="0" w:color="808080"/>
              <w:right w:val="single" w:sz="1" w:space="0" w:color="808080"/>
            </w:tcBorders>
          </w:tcPr>
          <w:p w14:paraId="3A888A48" w14:textId="13E7F1F2" w:rsidR="00B75DD2" w:rsidRPr="000F7337" w:rsidRDefault="00B75DD2" w:rsidP="00B75DD2">
            <w:pPr>
              <w:jc w:val="center"/>
            </w:pPr>
            <w:r w:rsidRPr="000F7337">
              <w:rPr>
                <w:sz w:val="22"/>
                <w:szCs w:val="22"/>
              </w:rPr>
              <w:t>92.0</w:t>
            </w:r>
          </w:p>
        </w:tc>
      </w:tr>
    </w:tbl>
    <w:p w14:paraId="2D6AE0D0" w14:textId="77777777" w:rsidR="00BF7500" w:rsidRDefault="00BF7500" w:rsidP="00BF7500">
      <w:pPr>
        <w:spacing w:after="200"/>
      </w:pPr>
    </w:p>
    <w:p w14:paraId="4FDE6243" w14:textId="2D6DBB3F" w:rsidR="0025438A" w:rsidRDefault="00E2767C" w:rsidP="00BF7500">
      <w:pPr>
        <w:spacing w:after="200"/>
      </w:pPr>
      <w:r>
        <w:rPr>
          <w:noProof/>
        </w:rPr>
        <w:drawing>
          <wp:inline distT="0" distB="0" distL="0" distR="0" wp14:anchorId="4BF9D505" wp14:editId="2F088491">
            <wp:extent cx="5749290" cy="2560320"/>
            <wp:effectExtent l="0" t="0" r="3810" b="11430"/>
            <wp:docPr id="1549639603" name="Chart 1">
              <a:extLst xmlns:a="http://schemas.openxmlformats.org/drawingml/2006/main">
                <a:ext uri="{FF2B5EF4-FFF2-40B4-BE49-F238E27FC236}">
                  <a16:creationId xmlns:a16="http://schemas.microsoft.com/office/drawing/2014/main" id="{3C7E4560-8B0E-A217-05E6-63CDB023DB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3"/>
              </a:graphicData>
            </a:graphic>
          </wp:inline>
        </w:drawing>
      </w:r>
    </w:p>
    <w:p w14:paraId="319DCCAD" w14:textId="77777777" w:rsidR="001A5A4E" w:rsidRPr="000F7337" w:rsidRDefault="001A5A4E" w:rsidP="00BF7500">
      <w:pPr>
        <w:spacing w:after="200"/>
      </w:pPr>
    </w:p>
    <w:p w14:paraId="783F476D" w14:textId="77777777" w:rsidR="00BF7500" w:rsidRPr="000F7337" w:rsidRDefault="00BF7500" w:rsidP="00BF7500">
      <w:pPr>
        <w:spacing w:before="150" w:after="100"/>
      </w:pPr>
      <w:r w:rsidRPr="000F7337">
        <w:rPr>
          <w:b/>
          <w:bCs/>
          <w:i/>
          <w:iCs/>
          <w:sz w:val="22"/>
          <w:szCs w:val="22"/>
        </w:rPr>
        <w:t>Table G.5: Organisational Readiness (n=87)</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847"/>
        <w:gridCol w:w="1434"/>
        <w:gridCol w:w="1444"/>
        <w:gridCol w:w="2299"/>
      </w:tblGrid>
      <w:tr w:rsidR="00BF7500" w:rsidRPr="000F7337" w14:paraId="38568F44" w14:textId="77777777" w:rsidTr="00B75DD2">
        <w:tc>
          <w:tcPr>
            <w:tcW w:w="3847" w:type="dxa"/>
            <w:tcBorders>
              <w:top w:val="single" w:sz="1" w:space="0" w:color="808080"/>
              <w:left w:val="single" w:sz="1" w:space="0" w:color="808080"/>
              <w:bottom w:val="single" w:sz="1" w:space="0" w:color="808080"/>
              <w:right w:val="single" w:sz="1" w:space="0" w:color="808080"/>
            </w:tcBorders>
            <w:shd w:val="clear" w:color="auto" w:fill="D9E2F3"/>
          </w:tcPr>
          <w:p w14:paraId="2EA425D2" w14:textId="77777777" w:rsidR="00BF7500" w:rsidRPr="000F7337" w:rsidRDefault="00BF7500" w:rsidP="00EC0FF7">
            <w:pPr>
              <w:jc w:val="center"/>
            </w:pPr>
            <w:r w:rsidRPr="000F7337">
              <w:rPr>
                <w:b/>
                <w:bCs/>
                <w:sz w:val="22"/>
                <w:szCs w:val="22"/>
              </w:rPr>
              <w:t>Readiness Level</w:t>
            </w:r>
          </w:p>
        </w:tc>
        <w:tc>
          <w:tcPr>
            <w:tcW w:w="1434" w:type="dxa"/>
            <w:tcBorders>
              <w:top w:val="single" w:sz="1" w:space="0" w:color="808080"/>
              <w:left w:val="single" w:sz="1" w:space="0" w:color="808080"/>
              <w:bottom w:val="single" w:sz="1" w:space="0" w:color="808080"/>
              <w:right w:val="single" w:sz="1" w:space="0" w:color="808080"/>
            </w:tcBorders>
            <w:shd w:val="clear" w:color="auto" w:fill="D9E2F3"/>
          </w:tcPr>
          <w:p w14:paraId="6A4BC1A1" w14:textId="77777777" w:rsidR="00BF7500" w:rsidRPr="000F7337" w:rsidRDefault="00BF7500" w:rsidP="00EC0FF7">
            <w:pPr>
              <w:jc w:val="center"/>
            </w:pPr>
            <w:r w:rsidRPr="000F7337">
              <w:rPr>
                <w:b/>
                <w:bCs/>
                <w:sz w:val="22"/>
                <w:szCs w:val="22"/>
              </w:rPr>
              <w:t>n</w:t>
            </w:r>
          </w:p>
        </w:tc>
        <w:tc>
          <w:tcPr>
            <w:tcW w:w="1444" w:type="dxa"/>
            <w:tcBorders>
              <w:top w:val="single" w:sz="1" w:space="0" w:color="808080"/>
              <w:left w:val="single" w:sz="1" w:space="0" w:color="808080"/>
              <w:bottom w:val="single" w:sz="1" w:space="0" w:color="808080"/>
              <w:right w:val="single" w:sz="1" w:space="0" w:color="808080"/>
            </w:tcBorders>
            <w:shd w:val="clear" w:color="auto" w:fill="D9E2F3"/>
          </w:tcPr>
          <w:p w14:paraId="77501D3E" w14:textId="77777777" w:rsidR="00BF7500" w:rsidRPr="000F7337" w:rsidRDefault="00BF7500" w:rsidP="00EC0FF7">
            <w:pPr>
              <w:jc w:val="center"/>
            </w:pPr>
            <w:r w:rsidRPr="000F7337">
              <w:rPr>
                <w:b/>
                <w:bCs/>
                <w:sz w:val="22"/>
                <w:szCs w:val="22"/>
              </w:rPr>
              <w:t>%</w:t>
            </w:r>
          </w:p>
        </w:tc>
        <w:tc>
          <w:tcPr>
            <w:tcW w:w="2299" w:type="dxa"/>
            <w:tcBorders>
              <w:top w:val="single" w:sz="1" w:space="0" w:color="808080"/>
              <w:left w:val="single" w:sz="1" w:space="0" w:color="808080"/>
              <w:bottom w:val="single" w:sz="1" w:space="0" w:color="808080"/>
              <w:right w:val="single" w:sz="1" w:space="0" w:color="808080"/>
            </w:tcBorders>
            <w:shd w:val="clear" w:color="auto" w:fill="D9E2F3"/>
          </w:tcPr>
          <w:p w14:paraId="577ED8F8" w14:textId="77777777" w:rsidR="00BF7500" w:rsidRPr="000F7337" w:rsidRDefault="00BF7500" w:rsidP="00EC0FF7">
            <w:pPr>
              <w:jc w:val="center"/>
            </w:pPr>
            <w:r w:rsidRPr="000F7337">
              <w:rPr>
                <w:b/>
                <w:bCs/>
                <w:sz w:val="22"/>
                <w:szCs w:val="22"/>
              </w:rPr>
              <w:t>Cumulative %</w:t>
            </w:r>
          </w:p>
        </w:tc>
      </w:tr>
      <w:tr w:rsidR="00B75DD2" w:rsidRPr="000F7337" w14:paraId="59380D04" w14:textId="77777777" w:rsidTr="00B75DD2">
        <w:tc>
          <w:tcPr>
            <w:tcW w:w="3847" w:type="dxa"/>
            <w:tcBorders>
              <w:top w:val="single" w:sz="1" w:space="0" w:color="808080"/>
              <w:left w:val="single" w:sz="1" w:space="0" w:color="808080"/>
              <w:bottom w:val="single" w:sz="1" w:space="0" w:color="808080"/>
              <w:right w:val="single" w:sz="1" w:space="0" w:color="808080"/>
            </w:tcBorders>
          </w:tcPr>
          <w:p w14:paraId="6BC2F021" w14:textId="3221F7A4" w:rsidR="00B75DD2" w:rsidRPr="000F7337" w:rsidRDefault="00B75DD2" w:rsidP="00B75DD2">
            <w:r w:rsidRPr="000F7337">
              <w:rPr>
                <w:sz w:val="22"/>
                <w:szCs w:val="22"/>
              </w:rPr>
              <w:t>Very High</w:t>
            </w:r>
          </w:p>
        </w:tc>
        <w:tc>
          <w:tcPr>
            <w:tcW w:w="1434" w:type="dxa"/>
            <w:tcBorders>
              <w:top w:val="single" w:sz="1" w:space="0" w:color="808080"/>
              <w:left w:val="single" w:sz="1" w:space="0" w:color="808080"/>
              <w:bottom w:val="single" w:sz="1" w:space="0" w:color="808080"/>
              <w:right w:val="single" w:sz="1" w:space="0" w:color="808080"/>
            </w:tcBorders>
          </w:tcPr>
          <w:p w14:paraId="30830652" w14:textId="3B76EA3F" w:rsidR="00B75DD2" w:rsidRPr="000F7337" w:rsidRDefault="00B75DD2" w:rsidP="00B75DD2">
            <w:pPr>
              <w:jc w:val="center"/>
            </w:pPr>
            <w:r w:rsidRPr="000F7337">
              <w:rPr>
                <w:sz w:val="22"/>
                <w:szCs w:val="22"/>
              </w:rPr>
              <w:t>13</w:t>
            </w:r>
          </w:p>
        </w:tc>
        <w:tc>
          <w:tcPr>
            <w:tcW w:w="1444" w:type="dxa"/>
            <w:tcBorders>
              <w:top w:val="single" w:sz="1" w:space="0" w:color="808080"/>
              <w:left w:val="single" w:sz="1" w:space="0" w:color="808080"/>
              <w:bottom w:val="single" w:sz="1" w:space="0" w:color="808080"/>
              <w:right w:val="single" w:sz="1" w:space="0" w:color="808080"/>
            </w:tcBorders>
          </w:tcPr>
          <w:p w14:paraId="2D9633A9" w14:textId="522C6F71" w:rsidR="00B75DD2" w:rsidRPr="000F7337" w:rsidRDefault="00B75DD2" w:rsidP="00B75DD2">
            <w:pPr>
              <w:jc w:val="center"/>
            </w:pPr>
            <w:r w:rsidRPr="000F7337">
              <w:rPr>
                <w:sz w:val="22"/>
                <w:szCs w:val="22"/>
              </w:rPr>
              <w:t>14.9</w:t>
            </w:r>
          </w:p>
        </w:tc>
        <w:tc>
          <w:tcPr>
            <w:tcW w:w="2299" w:type="dxa"/>
            <w:tcBorders>
              <w:top w:val="single" w:sz="1" w:space="0" w:color="808080"/>
              <w:left w:val="single" w:sz="1" w:space="0" w:color="808080"/>
              <w:bottom w:val="single" w:sz="1" w:space="0" w:color="808080"/>
              <w:right w:val="single" w:sz="1" w:space="0" w:color="808080"/>
            </w:tcBorders>
          </w:tcPr>
          <w:p w14:paraId="764892E3" w14:textId="0375B7CA" w:rsidR="00B75DD2" w:rsidRPr="000F7337" w:rsidRDefault="00B75DD2" w:rsidP="00B75DD2">
            <w:pPr>
              <w:jc w:val="center"/>
            </w:pPr>
            <w:r w:rsidRPr="000F7337">
              <w:rPr>
                <w:sz w:val="22"/>
                <w:szCs w:val="22"/>
              </w:rPr>
              <w:t>100.0</w:t>
            </w:r>
          </w:p>
        </w:tc>
      </w:tr>
      <w:tr w:rsidR="00B75DD2" w:rsidRPr="000F7337" w14:paraId="521834BD" w14:textId="77777777" w:rsidTr="00B75DD2">
        <w:tc>
          <w:tcPr>
            <w:tcW w:w="3847" w:type="dxa"/>
            <w:tcBorders>
              <w:top w:val="single" w:sz="1" w:space="0" w:color="808080"/>
              <w:left w:val="single" w:sz="1" w:space="0" w:color="808080"/>
              <w:bottom w:val="single" w:sz="1" w:space="0" w:color="808080"/>
              <w:right w:val="single" w:sz="1" w:space="0" w:color="808080"/>
            </w:tcBorders>
          </w:tcPr>
          <w:p w14:paraId="56584AB6" w14:textId="0F42E948" w:rsidR="00B75DD2" w:rsidRPr="000F7337" w:rsidRDefault="00B75DD2" w:rsidP="00B75DD2">
            <w:r w:rsidRPr="000F7337">
              <w:rPr>
                <w:sz w:val="22"/>
                <w:szCs w:val="22"/>
              </w:rPr>
              <w:t>High</w:t>
            </w:r>
          </w:p>
        </w:tc>
        <w:tc>
          <w:tcPr>
            <w:tcW w:w="1434" w:type="dxa"/>
            <w:tcBorders>
              <w:top w:val="single" w:sz="1" w:space="0" w:color="808080"/>
              <w:left w:val="single" w:sz="1" w:space="0" w:color="808080"/>
              <w:bottom w:val="single" w:sz="1" w:space="0" w:color="808080"/>
              <w:right w:val="single" w:sz="1" w:space="0" w:color="808080"/>
            </w:tcBorders>
          </w:tcPr>
          <w:p w14:paraId="1437166A" w14:textId="26E65CBE" w:rsidR="00B75DD2" w:rsidRPr="000F7337" w:rsidRDefault="00B75DD2" w:rsidP="00B75DD2">
            <w:pPr>
              <w:jc w:val="center"/>
            </w:pPr>
            <w:r w:rsidRPr="000F7337">
              <w:rPr>
                <w:sz w:val="22"/>
                <w:szCs w:val="22"/>
              </w:rPr>
              <w:t>12</w:t>
            </w:r>
          </w:p>
        </w:tc>
        <w:tc>
          <w:tcPr>
            <w:tcW w:w="1444" w:type="dxa"/>
            <w:tcBorders>
              <w:top w:val="single" w:sz="1" w:space="0" w:color="808080"/>
              <w:left w:val="single" w:sz="1" w:space="0" w:color="808080"/>
              <w:bottom w:val="single" w:sz="1" w:space="0" w:color="808080"/>
              <w:right w:val="single" w:sz="1" w:space="0" w:color="808080"/>
            </w:tcBorders>
          </w:tcPr>
          <w:p w14:paraId="2063A25F" w14:textId="5921B8BF" w:rsidR="00B75DD2" w:rsidRPr="000F7337" w:rsidRDefault="00B75DD2" w:rsidP="00B75DD2">
            <w:pPr>
              <w:jc w:val="center"/>
            </w:pPr>
            <w:r w:rsidRPr="000F7337">
              <w:rPr>
                <w:sz w:val="22"/>
                <w:szCs w:val="22"/>
              </w:rPr>
              <w:t>13.8</w:t>
            </w:r>
          </w:p>
        </w:tc>
        <w:tc>
          <w:tcPr>
            <w:tcW w:w="2299" w:type="dxa"/>
            <w:tcBorders>
              <w:top w:val="single" w:sz="1" w:space="0" w:color="808080"/>
              <w:left w:val="single" w:sz="1" w:space="0" w:color="808080"/>
              <w:bottom w:val="single" w:sz="1" w:space="0" w:color="808080"/>
              <w:right w:val="single" w:sz="1" w:space="0" w:color="808080"/>
            </w:tcBorders>
          </w:tcPr>
          <w:p w14:paraId="2958E364" w14:textId="48C7373E" w:rsidR="00B75DD2" w:rsidRPr="000F7337" w:rsidRDefault="00B75DD2" w:rsidP="00B75DD2">
            <w:pPr>
              <w:jc w:val="center"/>
            </w:pPr>
            <w:r w:rsidRPr="000F7337">
              <w:rPr>
                <w:sz w:val="22"/>
                <w:szCs w:val="22"/>
              </w:rPr>
              <w:t>85.0</w:t>
            </w:r>
          </w:p>
        </w:tc>
      </w:tr>
      <w:tr w:rsidR="00BF7500" w:rsidRPr="000F7337" w14:paraId="6287C650" w14:textId="77777777" w:rsidTr="00B75DD2">
        <w:tc>
          <w:tcPr>
            <w:tcW w:w="3847" w:type="dxa"/>
            <w:tcBorders>
              <w:top w:val="single" w:sz="1" w:space="0" w:color="808080"/>
              <w:left w:val="single" w:sz="1" w:space="0" w:color="808080"/>
              <w:bottom w:val="single" w:sz="1" w:space="0" w:color="808080"/>
              <w:right w:val="single" w:sz="1" w:space="0" w:color="808080"/>
            </w:tcBorders>
          </w:tcPr>
          <w:p w14:paraId="05AC2675" w14:textId="77777777" w:rsidR="00BF7500" w:rsidRPr="000F7337" w:rsidRDefault="00BF7500" w:rsidP="00EC0FF7">
            <w:r w:rsidRPr="000F7337">
              <w:rPr>
                <w:sz w:val="22"/>
                <w:szCs w:val="22"/>
              </w:rPr>
              <w:t>Moderate</w:t>
            </w:r>
          </w:p>
        </w:tc>
        <w:tc>
          <w:tcPr>
            <w:tcW w:w="1434" w:type="dxa"/>
            <w:tcBorders>
              <w:top w:val="single" w:sz="1" w:space="0" w:color="808080"/>
              <w:left w:val="single" w:sz="1" w:space="0" w:color="808080"/>
              <w:bottom w:val="single" w:sz="1" w:space="0" w:color="808080"/>
              <w:right w:val="single" w:sz="1" w:space="0" w:color="808080"/>
            </w:tcBorders>
          </w:tcPr>
          <w:p w14:paraId="384C0A48" w14:textId="77777777" w:rsidR="00BF7500" w:rsidRPr="000F7337" w:rsidRDefault="00BF7500" w:rsidP="00EC0FF7">
            <w:pPr>
              <w:jc w:val="center"/>
            </w:pPr>
            <w:r w:rsidRPr="000F7337">
              <w:rPr>
                <w:sz w:val="22"/>
                <w:szCs w:val="22"/>
              </w:rPr>
              <w:t>33</w:t>
            </w:r>
          </w:p>
        </w:tc>
        <w:tc>
          <w:tcPr>
            <w:tcW w:w="1444" w:type="dxa"/>
            <w:tcBorders>
              <w:top w:val="single" w:sz="1" w:space="0" w:color="808080"/>
              <w:left w:val="single" w:sz="1" w:space="0" w:color="808080"/>
              <w:bottom w:val="single" w:sz="1" w:space="0" w:color="808080"/>
              <w:right w:val="single" w:sz="1" w:space="0" w:color="808080"/>
            </w:tcBorders>
          </w:tcPr>
          <w:p w14:paraId="58333356" w14:textId="77777777" w:rsidR="00BF7500" w:rsidRPr="000F7337" w:rsidRDefault="00BF7500" w:rsidP="00EC0FF7">
            <w:pPr>
              <w:jc w:val="center"/>
            </w:pPr>
            <w:r w:rsidRPr="000F7337">
              <w:rPr>
                <w:sz w:val="22"/>
                <w:szCs w:val="22"/>
              </w:rPr>
              <w:t>37.9</w:t>
            </w:r>
          </w:p>
        </w:tc>
        <w:tc>
          <w:tcPr>
            <w:tcW w:w="2299" w:type="dxa"/>
            <w:tcBorders>
              <w:top w:val="single" w:sz="1" w:space="0" w:color="808080"/>
              <w:left w:val="single" w:sz="1" w:space="0" w:color="808080"/>
              <w:bottom w:val="single" w:sz="1" w:space="0" w:color="808080"/>
              <w:right w:val="single" w:sz="1" w:space="0" w:color="808080"/>
            </w:tcBorders>
          </w:tcPr>
          <w:p w14:paraId="3F455983" w14:textId="77777777" w:rsidR="00BF7500" w:rsidRPr="000F7337" w:rsidRDefault="00BF7500" w:rsidP="00EC0FF7">
            <w:pPr>
              <w:jc w:val="center"/>
            </w:pPr>
            <w:r w:rsidRPr="000F7337">
              <w:rPr>
                <w:sz w:val="22"/>
                <w:szCs w:val="22"/>
              </w:rPr>
              <w:t>71.2</w:t>
            </w:r>
          </w:p>
        </w:tc>
      </w:tr>
      <w:tr w:rsidR="00B75DD2" w:rsidRPr="000F7337" w14:paraId="3D024A58" w14:textId="77777777" w:rsidTr="00B75DD2">
        <w:tc>
          <w:tcPr>
            <w:tcW w:w="3847" w:type="dxa"/>
            <w:tcBorders>
              <w:top w:val="single" w:sz="1" w:space="0" w:color="808080"/>
              <w:left w:val="single" w:sz="1" w:space="0" w:color="808080"/>
              <w:bottom w:val="single" w:sz="1" w:space="0" w:color="808080"/>
              <w:right w:val="single" w:sz="1" w:space="0" w:color="808080"/>
            </w:tcBorders>
          </w:tcPr>
          <w:p w14:paraId="0DCFCF18" w14:textId="18EA6745" w:rsidR="00B75DD2" w:rsidRPr="000F7337" w:rsidRDefault="00B75DD2" w:rsidP="00B75DD2">
            <w:r w:rsidRPr="000F7337">
              <w:rPr>
                <w:sz w:val="22"/>
                <w:szCs w:val="22"/>
              </w:rPr>
              <w:t>Low</w:t>
            </w:r>
          </w:p>
        </w:tc>
        <w:tc>
          <w:tcPr>
            <w:tcW w:w="1434" w:type="dxa"/>
            <w:tcBorders>
              <w:top w:val="single" w:sz="1" w:space="0" w:color="808080"/>
              <w:left w:val="single" w:sz="1" w:space="0" w:color="808080"/>
              <w:bottom w:val="single" w:sz="1" w:space="0" w:color="808080"/>
              <w:right w:val="single" w:sz="1" w:space="0" w:color="808080"/>
            </w:tcBorders>
          </w:tcPr>
          <w:p w14:paraId="78489200" w14:textId="582003FD" w:rsidR="00B75DD2" w:rsidRPr="000F7337" w:rsidRDefault="00B75DD2" w:rsidP="00B75DD2">
            <w:pPr>
              <w:jc w:val="center"/>
            </w:pPr>
            <w:r w:rsidRPr="000F7337">
              <w:rPr>
                <w:sz w:val="22"/>
                <w:szCs w:val="22"/>
              </w:rPr>
              <w:t>27</w:t>
            </w:r>
          </w:p>
        </w:tc>
        <w:tc>
          <w:tcPr>
            <w:tcW w:w="1444" w:type="dxa"/>
            <w:tcBorders>
              <w:top w:val="single" w:sz="1" w:space="0" w:color="808080"/>
              <w:left w:val="single" w:sz="1" w:space="0" w:color="808080"/>
              <w:bottom w:val="single" w:sz="1" w:space="0" w:color="808080"/>
              <w:right w:val="single" w:sz="1" w:space="0" w:color="808080"/>
            </w:tcBorders>
          </w:tcPr>
          <w:p w14:paraId="1315F261" w14:textId="1A581636" w:rsidR="00B75DD2" w:rsidRPr="000F7337" w:rsidRDefault="00B75DD2" w:rsidP="00B75DD2">
            <w:pPr>
              <w:jc w:val="center"/>
            </w:pPr>
            <w:r w:rsidRPr="000F7337">
              <w:rPr>
                <w:sz w:val="22"/>
                <w:szCs w:val="22"/>
              </w:rPr>
              <w:t>31.0</w:t>
            </w:r>
          </w:p>
        </w:tc>
        <w:tc>
          <w:tcPr>
            <w:tcW w:w="2299" w:type="dxa"/>
            <w:tcBorders>
              <w:top w:val="single" w:sz="1" w:space="0" w:color="808080"/>
              <w:left w:val="single" w:sz="1" w:space="0" w:color="808080"/>
              <w:bottom w:val="single" w:sz="1" w:space="0" w:color="808080"/>
              <w:right w:val="single" w:sz="1" w:space="0" w:color="808080"/>
            </w:tcBorders>
          </w:tcPr>
          <w:p w14:paraId="4C0027C3" w14:textId="2BBC91A6" w:rsidR="00B75DD2" w:rsidRPr="000F7337" w:rsidRDefault="00B75DD2" w:rsidP="00B75DD2">
            <w:pPr>
              <w:jc w:val="center"/>
            </w:pPr>
            <w:r w:rsidRPr="000F7337">
              <w:rPr>
                <w:sz w:val="22"/>
                <w:szCs w:val="22"/>
              </w:rPr>
              <w:t>33.3</w:t>
            </w:r>
          </w:p>
        </w:tc>
      </w:tr>
      <w:tr w:rsidR="00B75DD2" w:rsidRPr="000F7337" w14:paraId="63810247" w14:textId="77777777" w:rsidTr="00B75DD2">
        <w:tc>
          <w:tcPr>
            <w:tcW w:w="3847" w:type="dxa"/>
            <w:tcBorders>
              <w:top w:val="single" w:sz="1" w:space="0" w:color="808080"/>
              <w:left w:val="single" w:sz="1" w:space="0" w:color="808080"/>
              <w:bottom w:val="single" w:sz="1" w:space="0" w:color="808080"/>
              <w:right w:val="single" w:sz="1" w:space="0" w:color="808080"/>
            </w:tcBorders>
          </w:tcPr>
          <w:p w14:paraId="1BEAD807" w14:textId="3B7E50EE" w:rsidR="00B75DD2" w:rsidRPr="000F7337" w:rsidRDefault="00B75DD2" w:rsidP="00B75DD2">
            <w:r w:rsidRPr="000F7337">
              <w:rPr>
                <w:sz w:val="22"/>
                <w:szCs w:val="22"/>
              </w:rPr>
              <w:t>Very Low</w:t>
            </w:r>
          </w:p>
        </w:tc>
        <w:tc>
          <w:tcPr>
            <w:tcW w:w="1434" w:type="dxa"/>
            <w:tcBorders>
              <w:top w:val="single" w:sz="1" w:space="0" w:color="808080"/>
              <w:left w:val="single" w:sz="1" w:space="0" w:color="808080"/>
              <w:bottom w:val="single" w:sz="1" w:space="0" w:color="808080"/>
              <w:right w:val="single" w:sz="1" w:space="0" w:color="808080"/>
            </w:tcBorders>
          </w:tcPr>
          <w:p w14:paraId="1B6E5804" w14:textId="52ECA96A" w:rsidR="00B75DD2" w:rsidRPr="000F7337" w:rsidRDefault="00B75DD2" w:rsidP="00B75DD2">
            <w:pPr>
              <w:jc w:val="center"/>
            </w:pPr>
            <w:r w:rsidRPr="000F7337">
              <w:rPr>
                <w:sz w:val="22"/>
                <w:szCs w:val="22"/>
              </w:rPr>
              <w:t>2</w:t>
            </w:r>
          </w:p>
        </w:tc>
        <w:tc>
          <w:tcPr>
            <w:tcW w:w="1444" w:type="dxa"/>
            <w:tcBorders>
              <w:top w:val="single" w:sz="1" w:space="0" w:color="808080"/>
              <w:left w:val="single" w:sz="1" w:space="0" w:color="808080"/>
              <w:bottom w:val="single" w:sz="1" w:space="0" w:color="808080"/>
              <w:right w:val="single" w:sz="1" w:space="0" w:color="808080"/>
            </w:tcBorders>
          </w:tcPr>
          <w:p w14:paraId="73335243" w14:textId="27FBF77C" w:rsidR="00B75DD2" w:rsidRPr="000F7337" w:rsidRDefault="00B75DD2" w:rsidP="00B75DD2">
            <w:pPr>
              <w:jc w:val="center"/>
            </w:pPr>
            <w:r w:rsidRPr="000F7337">
              <w:rPr>
                <w:sz w:val="22"/>
                <w:szCs w:val="22"/>
              </w:rPr>
              <w:t>2.3</w:t>
            </w:r>
          </w:p>
        </w:tc>
        <w:tc>
          <w:tcPr>
            <w:tcW w:w="2299" w:type="dxa"/>
            <w:tcBorders>
              <w:top w:val="single" w:sz="1" w:space="0" w:color="808080"/>
              <w:left w:val="single" w:sz="1" w:space="0" w:color="808080"/>
              <w:bottom w:val="single" w:sz="1" w:space="0" w:color="808080"/>
              <w:right w:val="single" w:sz="1" w:space="0" w:color="808080"/>
            </w:tcBorders>
          </w:tcPr>
          <w:p w14:paraId="12E7D91E" w14:textId="4E60B1B6" w:rsidR="00B75DD2" w:rsidRPr="000F7337" w:rsidRDefault="00B75DD2" w:rsidP="00B75DD2">
            <w:pPr>
              <w:jc w:val="center"/>
            </w:pPr>
            <w:r w:rsidRPr="000F7337">
              <w:rPr>
                <w:sz w:val="22"/>
                <w:szCs w:val="22"/>
              </w:rPr>
              <w:t>2.3</w:t>
            </w:r>
          </w:p>
        </w:tc>
      </w:tr>
    </w:tbl>
    <w:p w14:paraId="67414857" w14:textId="77777777" w:rsidR="00BF7500" w:rsidRDefault="00BF7500" w:rsidP="00BF7500">
      <w:pPr>
        <w:spacing w:after="300"/>
      </w:pPr>
    </w:p>
    <w:p w14:paraId="29D79200" w14:textId="46822D68" w:rsidR="00E2767C" w:rsidRPr="000F7337" w:rsidRDefault="00E2767C" w:rsidP="00BF7500">
      <w:pPr>
        <w:spacing w:after="300"/>
      </w:pPr>
      <w:r>
        <w:rPr>
          <w:noProof/>
        </w:rPr>
        <w:drawing>
          <wp:inline distT="0" distB="0" distL="0" distR="0" wp14:anchorId="2C08F96C" wp14:editId="16AA8E93">
            <wp:extent cx="5698490" cy="2589580"/>
            <wp:effectExtent l="0" t="0" r="16510" b="1270"/>
            <wp:docPr id="361269458" name="Chart 1">
              <a:extLst xmlns:a="http://schemas.openxmlformats.org/drawingml/2006/main">
                <a:ext uri="{FF2B5EF4-FFF2-40B4-BE49-F238E27FC236}">
                  <a16:creationId xmlns:a16="http://schemas.microsoft.com/office/drawing/2014/main" id="{07A36B20-6A02-1482-4512-AA061BFFA6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4"/>
              </a:graphicData>
            </a:graphic>
          </wp:inline>
        </w:drawing>
      </w:r>
    </w:p>
    <w:p w14:paraId="4E8116AF" w14:textId="77777777" w:rsidR="00BF7500" w:rsidRPr="000F7337" w:rsidRDefault="00BF7500" w:rsidP="00BF7500">
      <w:pPr>
        <w:pStyle w:val="Heading2"/>
        <w:spacing w:before="300" w:after="150"/>
        <w:rPr>
          <w:rFonts w:ascii="Arial" w:hAnsi="Arial" w:cs="Arial"/>
        </w:rPr>
      </w:pPr>
      <w:bookmarkStart w:id="249" w:name="_Toc220152289"/>
      <w:r w:rsidRPr="000F7337">
        <w:rPr>
          <w:rFonts w:ascii="Arial" w:hAnsi="Arial" w:cs="Arial"/>
          <w:b/>
          <w:bCs/>
        </w:rPr>
        <w:lastRenderedPageBreak/>
        <w:t>G.3 Qualitative Theme Coding Framework</w:t>
      </w:r>
      <w:bookmarkEnd w:id="249"/>
    </w:p>
    <w:p w14:paraId="495012B0" w14:textId="77777777" w:rsidR="00BF7500" w:rsidRPr="000F7337" w:rsidRDefault="00BF7500" w:rsidP="00BF7500">
      <w:pPr>
        <w:spacing w:before="150" w:after="100"/>
      </w:pPr>
      <w:r w:rsidRPr="000F7337">
        <w:rPr>
          <w:b/>
          <w:bCs/>
          <w:i/>
          <w:iCs/>
          <w:sz w:val="22"/>
          <w:szCs w:val="22"/>
        </w:rPr>
        <w:t>Table G.6: Thematic Coding from Interview Data</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966"/>
        <w:gridCol w:w="3358"/>
        <w:gridCol w:w="3700"/>
      </w:tblGrid>
      <w:tr w:rsidR="00BF7500" w:rsidRPr="000F7337" w14:paraId="74A27982" w14:textId="77777777" w:rsidTr="00B75DD2">
        <w:tc>
          <w:tcPr>
            <w:tcW w:w="1966" w:type="dxa"/>
            <w:tcBorders>
              <w:top w:val="single" w:sz="1" w:space="0" w:color="808080"/>
              <w:left w:val="single" w:sz="1" w:space="0" w:color="808080"/>
              <w:bottom w:val="single" w:sz="1" w:space="0" w:color="808080"/>
              <w:right w:val="single" w:sz="1" w:space="0" w:color="808080"/>
            </w:tcBorders>
            <w:shd w:val="clear" w:color="auto" w:fill="D9E2F3"/>
          </w:tcPr>
          <w:p w14:paraId="1FE9BEFC" w14:textId="77777777" w:rsidR="00BF7500" w:rsidRPr="000F7337" w:rsidRDefault="00BF7500" w:rsidP="00EC0FF7">
            <w:pPr>
              <w:jc w:val="center"/>
            </w:pPr>
            <w:r w:rsidRPr="000F7337">
              <w:rPr>
                <w:b/>
                <w:bCs/>
                <w:sz w:val="22"/>
                <w:szCs w:val="22"/>
              </w:rPr>
              <w:t>Theme</w:t>
            </w:r>
          </w:p>
        </w:tc>
        <w:tc>
          <w:tcPr>
            <w:tcW w:w="3358" w:type="dxa"/>
            <w:tcBorders>
              <w:top w:val="single" w:sz="1" w:space="0" w:color="808080"/>
              <w:left w:val="single" w:sz="1" w:space="0" w:color="808080"/>
              <w:bottom w:val="single" w:sz="1" w:space="0" w:color="808080"/>
              <w:right w:val="single" w:sz="1" w:space="0" w:color="808080"/>
            </w:tcBorders>
            <w:shd w:val="clear" w:color="auto" w:fill="D9E2F3"/>
          </w:tcPr>
          <w:p w14:paraId="6550833D" w14:textId="77777777" w:rsidR="00BF7500" w:rsidRPr="000F7337" w:rsidRDefault="00BF7500" w:rsidP="00EC0FF7">
            <w:pPr>
              <w:jc w:val="center"/>
            </w:pPr>
            <w:r w:rsidRPr="000F7337">
              <w:rPr>
                <w:b/>
                <w:bCs/>
                <w:sz w:val="22"/>
                <w:szCs w:val="22"/>
              </w:rPr>
              <w:t>Description</w:t>
            </w:r>
          </w:p>
        </w:tc>
        <w:tc>
          <w:tcPr>
            <w:tcW w:w="3700" w:type="dxa"/>
            <w:tcBorders>
              <w:top w:val="single" w:sz="1" w:space="0" w:color="808080"/>
              <w:left w:val="single" w:sz="1" w:space="0" w:color="808080"/>
              <w:bottom w:val="single" w:sz="1" w:space="0" w:color="808080"/>
              <w:right w:val="single" w:sz="1" w:space="0" w:color="808080"/>
            </w:tcBorders>
            <w:shd w:val="clear" w:color="auto" w:fill="D9E2F3"/>
          </w:tcPr>
          <w:p w14:paraId="5CC7B61E" w14:textId="77777777" w:rsidR="00BF7500" w:rsidRPr="000F7337" w:rsidRDefault="00BF7500" w:rsidP="00EC0FF7">
            <w:pPr>
              <w:jc w:val="center"/>
            </w:pPr>
            <w:r w:rsidRPr="000F7337">
              <w:rPr>
                <w:b/>
                <w:bCs/>
                <w:sz w:val="22"/>
                <w:szCs w:val="22"/>
              </w:rPr>
              <w:t>Key Codes</w:t>
            </w:r>
          </w:p>
        </w:tc>
      </w:tr>
      <w:tr w:rsidR="00B75DD2" w:rsidRPr="000F7337" w14:paraId="0862D48C" w14:textId="77777777" w:rsidTr="00B75DD2">
        <w:tc>
          <w:tcPr>
            <w:tcW w:w="1966" w:type="dxa"/>
            <w:tcBorders>
              <w:top w:val="single" w:sz="1" w:space="0" w:color="808080"/>
              <w:left w:val="single" w:sz="1" w:space="0" w:color="808080"/>
              <w:bottom w:val="single" w:sz="1" w:space="0" w:color="808080"/>
              <w:right w:val="single" w:sz="1" w:space="0" w:color="808080"/>
            </w:tcBorders>
            <w:vAlign w:val="center"/>
          </w:tcPr>
          <w:p w14:paraId="181C5D8D" w14:textId="27C3CBAA" w:rsidR="00B75DD2" w:rsidRPr="000F7337" w:rsidRDefault="00B75DD2" w:rsidP="00B75DD2">
            <w:pPr>
              <w:ind w:left="272" w:hanging="272"/>
            </w:pPr>
            <w:r w:rsidRPr="000F7337">
              <w:rPr>
                <w:sz w:val="22"/>
                <w:szCs w:val="22"/>
              </w:rPr>
              <w:t>Structural</w:t>
            </w:r>
            <w:r>
              <w:rPr>
                <w:sz w:val="22"/>
                <w:szCs w:val="22"/>
              </w:rPr>
              <w:t xml:space="preserve"> </w:t>
            </w:r>
            <w:r w:rsidRPr="000F7337">
              <w:rPr>
                <w:sz w:val="22"/>
                <w:szCs w:val="22"/>
              </w:rPr>
              <w:t>Barriers</w:t>
            </w:r>
          </w:p>
        </w:tc>
        <w:tc>
          <w:tcPr>
            <w:tcW w:w="3358" w:type="dxa"/>
            <w:tcBorders>
              <w:top w:val="single" w:sz="1" w:space="0" w:color="808080"/>
              <w:left w:val="single" w:sz="1" w:space="0" w:color="808080"/>
              <w:bottom w:val="single" w:sz="1" w:space="0" w:color="808080"/>
              <w:right w:val="single" w:sz="1" w:space="0" w:color="808080"/>
            </w:tcBorders>
            <w:vAlign w:val="center"/>
          </w:tcPr>
          <w:p w14:paraId="133D9E4D" w14:textId="3686260B" w:rsidR="00B75DD2" w:rsidRPr="000F7337" w:rsidRDefault="00B75DD2" w:rsidP="00B75DD2">
            <w:r w:rsidRPr="000F7337">
              <w:rPr>
                <w:sz w:val="22"/>
                <w:szCs w:val="22"/>
              </w:rPr>
              <w:t>Funding and procurement constraints</w:t>
            </w:r>
          </w:p>
        </w:tc>
        <w:tc>
          <w:tcPr>
            <w:tcW w:w="3700" w:type="dxa"/>
            <w:tcBorders>
              <w:top w:val="single" w:sz="1" w:space="0" w:color="808080"/>
              <w:left w:val="single" w:sz="1" w:space="0" w:color="808080"/>
              <w:bottom w:val="single" w:sz="1" w:space="0" w:color="808080"/>
              <w:right w:val="single" w:sz="1" w:space="0" w:color="808080"/>
            </w:tcBorders>
            <w:vAlign w:val="center"/>
          </w:tcPr>
          <w:p w14:paraId="3DEEACAA" w14:textId="46E9BC3A" w:rsidR="00B75DD2" w:rsidRPr="000F7337" w:rsidRDefault="00B75DD2" w:rsidP="00B75DD2">
            <w:r w:rsidRPr="000F7337">
              <w:rPr>
                <w:sz w:val="22"/>
                <w:szCs w:val="22"/>
              </w:rPr>
              <w:t>Value engineering; annual budgets; lowest-cost procurement; ROI uncertainty</w:t>
            </w:r>
          </w:p>
        </w:tc>
      </w:tr>
      <w:tr w:rsidR="00B75DD2" w:rsidRPr="000F7337" w14:paraId="079DDFF7" w14:textId="77777777" w:rsidTr="00B75DD2">
        <w:tc>
          <w:tcPr>
            <w:tcW w:w="1966" w:type="dxa"/>
            <w:tcBorders>
              <w:top w:val="single" w:sz="1" w:space="0" w:color="808080"/>
              <w:left w:val="single" w:sz="1" w:space="0" w:color="808080"/>
              <w:bottom w:val="single" w:sz="1" w:space="0" w:color="808080"/>
              <w:right w:val="single" w:sz="1" w:space="0" w:color="808080"/>
            </w:tcBorders>
            <w:vAlign w:val="center"/>
          </w:tcPr>
          <w:p w14:paraId="5280A9B8" w14:textId="78DFB3E2" w:rsidR="00B75DD2" w:rsidRPr="000F7337" w:rsidRDefault="00B75DD2" w:rsidP="00B75DD2">
            <w:r w:rsidRPr="000F7337">
              <w:rPr>
                <w:sz w:val="22"/>
                <w:szCs w:val="22"/>
              </w:rPr>
              <w:t>Sustainability</w:t>
            </w:r>
          </w:p>
        </w:tc>
        <w:tc>
          <w:tcPr>
            <w:tcW w:w="3358" w:type="dxa"/>
            <w:tcBorders>
              <w:top w:val="single" w:sz="1" w:space="0" w:color="808080"/>
              <w:left w:val="single" w:sz="1" w:space="0" w:color="808080"/>
              <w:bottom w:val="single" w:sz="1" w:space="0" w:color="808080"/>
              <w:right w:val="single" w:sz="1" w:space="0" w:color="808080"/>
            </w:tcBorders>
            <w:vAlign w:val="center"/>
          </w:tcPr>
          <w:p w14:paraId="2CFBCDCA" w14:textId="5914A887" w:rsidR="00B75DD2" w:rsidRPr="000F7337" w:rsidRDefault="00B75DD2" w:rsidP="00B75DD2">
            <w:r w:rsidRPr="000F7337">
              <w:rPr>
                <w:sz w:val="22"/>
                <w:szCs w:val="22"/>
              </w:rPr>
              <w:t>Measurable benefits were implemented</w:t>
            </w:r>
          </w:p>
        </w:tc>
        <w:tc>
          <w:tcPr>
            <w:tcW w:w="3700" w:type="dxa"/>
            <w:tcBorders>
              <w:top w:val="single" w:sz="1" w:space="0" w:color="808080"/>
              <w:left w:val="single" w:sz="1" w:space="0" w:color="808080"/>
              <w:bottom w:val="single" w:sz="1" w:space="0" w:color="808080"/>
              <w:right w:val="single" w:sz="1" w:space="0" w:color="808080"/>
            </w:tcBorders>
            <w:vAlign w:val="center"/>
          </w:tcPr>
          <w:p w14:paraId="53127EF8" w14:textId="67C9E303" w:rsidR="00B75DD2" w:rsidRPr="000F7337" w:rsidRDefault="00B75DD2" w:rsidP="00B75DD2">
            <w:r w:rsidRPr="000F7337">
              <w:rPr>
                <w:sz w:val="22"/>
                <w:szCs w:val="22"/>
              </w:rPr>
              <w:t>Energy savings (18%); Salix funding; schedule optimisation; M&amp;V evidence</w:t>
            </w:r>
          </w:p>
        </w:tc>
      </w:tr>
      <w:tr w:rsidR="00B75DD2" w:rsidRPr="000F7337" w14:paraId="0E7CAA4F" w14:textId="77777777" w:rsidTr="00B75DD2">
        <w:tc>
          <w:tcPr>
            <w:tcW w:w="1966" w:type="dxa"/>
            <w:tcBorders>
              <w:top w:val="single" w:sz="1" w:space="0" w:color="808080"/>
              <w:left w:val="single" w:sz="1" w:space="0" w:color="808080"/>
              <w:bottom w:val="single" w:sz="1" w:space="0" w:color="808080"/>
              <w:right w:val="single" w:sz="1" w:space="0" w:color="808080"/>
            </w:tcBorders>
            <w:vAlign w:val="center"/>
          </w:tcPr>
          <w:p w14:paraId="4EA5C179" w14:textId="6A4EFA33" w:rsidR="00B75DD2" w:rsidRPr="000F7337" w:rsidRDefault="00B75DD2" w:rsidP="00B75DD2">
            <w:r w:rsidRPr="000F7337">
              <w:rPr>
                <w:sz w:val="22"/>
                <w:szCs w:val="22"/>
              </w:rPr>
              <w:t>Skills &amp; Culture</w:t>
            </w:r>
          </w:p>
        </w:tc>
        <w:tc>
          <w:tcPr>
            <w:tcW w:w="3358" w:type="dxa"/>
            <w:tcBorders>
              <w:top w:val="single" w:sz="1" w:space="0" w:color="808080"/>
              <w:left w:val="single" w:sz="1" w:space="0" w:color="808080"/>
              <w:bottom w:val="single" w:sz="1" w:space="0" w:color="808080"/>
              <w:right w:val="single" w:sz="1" w:space="0" w:color="808080"/>
            </w:tcBorders>
            <w:vAlign w:val="center"/>
          </w:tcPr>
          <w:p w14:paraId="47FC2862" w14:textId="747E7D70" w:rsidR="00B75DD2" w:rsidRPr="000F7337" w:rsidRDefault="00B75DD2" w:rsidP="00B75DD2">
            <w:r w:rsidRPr="000F7337">
              <w:rPr>
                <w:sz w:val="22"/>
                <w:szCs w:val="22"/>
              </w:rPr>
              <w:t>Digital confidence varies; leadership critical</w:t>
            </w:r>
          </w:p>
        </w:tc>
        <w:tc>
          <w:tcPr>
            <w:tcW w:w="3700" w:type="dxa"/>
            <w:tcBorders>
              <w:top w:val="single" w:sz="1" w:space="0" w:color="808080"/>
              <w:left w:val="single" w:sz="1" w:space="0" w:color="808080"/>
              <w:bottom w:val="single" w:sz="1" w:space="0" w:color="808080"/>
              <w:right w:val="single" w:sz="1" w:space="0" w:color="808080"/>
            </w:tcBorders>
            <w:vAlign w:val="center"/>
          </w:tcPr>
          <w:p w14:paraId="2FA600E2" w14:textId="7A6CCA7A" w:rsidR="00B75DD2" w:rsidRPr="000F7337" w:rsidRDefault="00B75DD2" w:rsidP="00B75DD2">
            <w:r w:rsidRPr="000F7337">
              <w:rPr>
                <w:sz w:val="22"/>
                <w:szCs w:val="22"/>
              </w:rPr>
              <w:t>Generational differences; peer learning; champions at multiple levels</w:t>
            </w:r>
          </w:p>
        </w:tc>
      </w:tr>
      <w:tr w:rsidR="00B75DD2" w:rsidRPr="000F7337" w14:paraId="7A6F544B" w14:textId="77777777" w:rsidTr="00B75DD2">
        <w:tc>
          <w:tcPr>
            <w:tcW w:w="1966" w:type="dxa"/>
            <w:tcBorders>
              <w:top w:val="single" w:sz="1" w:space="0" w:color="808080"/>
              <w:left w:val="single" w:sz="1" w:space="0" w:color="808080"/>
              <w:bottom w:val="single" w:sz="1" w:space="0" w:color="808080"/>
              <w:right w:val="single" w:sz="1" w:space="0" w:color="808080"/>
            </w:tcBorders>
            <w:vAlign w:val="center"/>
          </w:tcPr>
          <w:p w14:paraId="5F9E41C2" w14:textId="620377D5" w:rsidR="00B75DD2" w:rsidRPr="000F7337" w:rsidRDefault="00B75DD2" w:rsidP="00B75DD2">
            <w:r w:rsidRPr="000F7337">
              <w:rPr>
                <w:sz w:val="22"/>
                <w:szCs w:val="22"/>
              </w:rPr>
              <w:t>Governance</w:t>
            </w:r>
          </w:p>
        </w:tc>
        <w:tc>
          <w:tcPr>
            <w:tcW w:w="3358" w:type="dxa"/>
            <w:tcBorders>
              <w:top w:val="single" w:sz="1" w:space="0" w:color="808080"/>
              <w:left w:val="single" w:sz="1" w:space="0" w:color="808080"/>
              <w:bottom w:val="single" w:sz="1" w:space="0" w:color="808080"/>
              <w:right w:val="single" w:sz="1" w:space="0" w:color="808080"/>
            </w:tcBorders>
            <w:vAlign w:val="center"/>
          </w:tcPr>
          <w:p w14:paraId="554D9DFF" w14:textId="36AD7C81" w:rsidR="00B75DD2" w:rsidRPr="000F7337" w:rsidRDefault="00B75DD2" w:rsidP="00B75DD2">
            <w:r w:rsidRPr="000F7337">
              <w:rPr>
                <w:sz w:val="22"/>
                <w:szCs w:val="22"/>
              </w:rPr>
              <w:t>IT-led security; growing cloud/IoT concerns</w:t>
            </w:r>
          </w:p>
        </w:tc>
        <w:tc>
          <w:tcPr>
            <w:tcW w:w="3700" w:type="dxa"/>
            <w:tcBorders>
              <w:top w:val="single" w:sz="1" w:space="0" w:color="808080"/>
              <w:left w:val="single" w:sz="1" w:space="0" w:color="808080"/>
              <w:bottom w:val="single" w:sz="1" w:space="0" w:color="808080"/>
              <w:right w:val="single" w:sz="1" w:space="0" w:color="808080"/>
            </w:tcBorders>
            <w:vAlign w:val="center"/>
          </w:tcPr>
          <w:p w14:paraId="1DB31668" w14:textId="44A26F3A" w:rsidR="00B75DD2" w:rsidRPr="000F7337" w:rsidRDefault="00B75DD2" w:rsidP="00B75DD2">
            <w:r w:rsidRPr="000F7337">
              <w:rPr>
                <w:sz w:val="22"/>
                <w:szCs w:val="22"/>
              </w:rPr>
              <w:t>Cybersecurity confidence; API security; risk-averse IT culture</w:t>
            </w:r>
          </w:p>
        </w:tc>
      </w:tr>
      <w:tr w:rsidR="00B75DD2" w:rsidRPr="000F7337" w14:paraId="156B6BCA" w14:textId="77777777" w:rsidTr="00B75DD2">
        <w:tc>
          <w:tcPr>
            <w:tcW w:w="1966" w:type="dxa"/>
            <w:tcBorders>
              <w:top w:val="single" w:sz="1" w:space="0" w:color="808080"/>
              <w:left w:val="single" w:sz="1" w:space="0" w:color="808080"/>
              <w:bottom w:val="single" w:sz="1" w:space="0" w:color="808080"/>
              <w:right w:val="single" w:sz="1" w:space="0" w:color="808080"/>
            </w:tcBorders>
            <w:vAlign w:val="center"/>
          </w:tcPr>
          <w:p w14:paraId="1C01AA26" w14:textId="00273279" w:rsidR="00B75DD2" w:rsidRPr="000F7337" w:rsidRDefault="00B75DD2" w:rsidP="00B75DD2">
            <w:r w:rsidRPr="000F7337">
              <w:rPr>
                <w:sz w:val="22"/>
                <w:szCs w:val="22"/>
              </w:rPr>
              <w:t>Interoperability</w:t>
            </w:r>
          </w:p>
        </w:tc>
        <w:tc>
          <w:tcPr>
            <w:tcW w:w="3358" w:type="dxa"/>
            <w:tcBorders>
              <w:top w:val="single" w:sz="1" w:space="0" w:color="808080"/>
              <w:left w:val="single" w:sz="1" w:space="0" w:color="808080"/>
              <w:bottom w:val="single" w:sz="1" w:space="0" w:color="808080"/>
              <w:right w:val="single" w:sz="1" w:space="0" w:color="808080"/>
            </w:tcBorders>
            <w:vAlign w:val="center"/>
          </w:tcPr>
          <w:p w14:paraId="06E932AC" w14:textId="1D70F354" w:rsidR="00B75DD2" w:rsidRPr="000F7337" w:rsidRDefault="00B75DD2" w:rsidP="00B75DD2">
            <w:r w:rsidRPr="000F7337">
              <w:rPr>
                <w:sz w:val="22"/>
                <w:szCs w:val="22"/>
              </w:rPr>
              <w:t>Legacy systems and vendor lock-in challenges</w:t>
            </w:r>
          </w:p>
        </w:tc>
        <w:tc>
          <w:tcPr>
            <w:tcW w:w="3700" w:type="dxa"/>
            <w:tcBorders>
              <w:top w:val="single" w:sz="1" w:space="0" w:color="808080"/>
              <w:left w:val="single" w:sz="1" w:space="0" w:color="808080"/>
              <w:bottom w:val="single" w:sz="1" w:space="0" w:color="808080"/>
              <w:right w:val="single" w:sz="1" w:space="0" w:color="808080"/>
            </w:tcBorders>
            <w:vAlign w:val="center"/>
          </w:tcPr>
          <w:p w14:paraId="3B49B32C" w14:textId="05A10BAB" w:rsidR="00B75DD2" w:rsidRPr="000F7337" w:rsidRDefault="00B75DD2" w:rsidP="00B75DD2">
            <w:r w:rsidRPr="000F7337">
              <w:rPr>
                <w:sz w:val="22"/>
                <w:szCs w:val="22"/>
              </w:rPr>
              <w:t>Data silos; proprietary protocols; middleware needs; multi-vendor estates</w:t>
            </w:r>
          </w:p>
        </w:tc>
      </w:tr>
      <w:tr w:rsidR="00B75DD2" w:rsidRPr="000F7337" w14:paraId="253C75C2" w14:textId="77777777" w:rsidTr="00B75DD2">
        <w:tc>
          <w:tcPr>
            <w:tcW w:w="1966" w:type="dxa"/>
            <w:tcBorders>
              <w:top w:val="single" w:sz="1" w:space="0" w:color="808080"/>
              <w:left w:val="single" w:sz="1" w:space="0" w:color="808080"/>
              <w:bottom w:val="single" w:sz="1" w:space="0" w:color="808080"/>
              <w:right w:val="single" w:sz="1" w:space="0" w:color="808080"/>
            </w:tcBorders>
            <w:vAlign w:val="center"/>
          </w:tcPr>
          <w:p w14:paraId="5512DED3" w14:textId="5811876B" w:rsidR="00B75DD2" w:rsidRPr="000F7337" w:rsidRDefault="00B75DD2" w:rsidP="00B75DD2">
            <w:pPr>
              <w:ind w:left="271" w:hanging="283"/>
            </w:pPr>
            <w:r w:rsidRPr="000F7337">
              <w:rPr>
                <w:sz w:val="22"/>
                <w:szCs w:val="22"/>
              </w:rPr>
              <w:t>Digital Maturity</w:t>
            </w:r>
          </w:p>
        </w:tc>
        <w:tc>
          <w:tcPr>
            <w:tcW w:w="3358" w:type="dxa"/>
            <w:tcBorders>
              <w:top w:val="single" w:sz="1" w:space="0" w:color="808080"/>
              <w:left w:val="single" w:sz="1" w:space="0" w:color="808080"/>
              <w:bottom w:val="single" w:sz="1" w:space="0" w:color="808080"/>
              <w:right w:val="single" w:sz="1" w:space="0" w:color="808080"/>
            </w:tcBorders>
            <w:vAlign w:val="center"/>
          </w:tcPr>
          <w:p w14:paraId="4FFB3891" w14:textId="6C8D51E7" w:rsidR="00B75DD2" w:rsidRPr="000F7337" w:rsidRDefault="00B75DD2" w:rsidP="00B75DD2">
            <w:r w:rsidRPr="000F7337">
              <w:rPr>
                <w:sz w:val="22"/>
                <w:szCs w:val="22"/>
              </w:rPr>
              <w:t>Early-stage adoption; BMS as precursor to DT</w:t>
            </w:r>
          </w:p>
        </w:tc>
        <w:tc>
          <w:tcPr>
            <w:tcW w:w="3700" w:type="dxa"/>
            <w:tcBorders>
              <w:top w:val="single" w:sz="1" w:space="0" w:color="808080"/>
              <w:left w:val="single" w:sz="1" w:space="0" w:color="808080"/>
              <w:bottom w:val="single" w:sz="1" w:space="0" w:color="808080"/>
              <w:right w:val="single" w:sz="1" w:space="0" w:color="808080"/>
            </w:tcBorders>
            <w:vAlign w:val="center"/>
          </w:tcPr>
          <w:p w14:paraId="73B5EC70" w14:textId="0B8516BC" w:rsidR="00B75DD2" w:rsidRPr="000F7337" w:rsidRDefault="00B75DD2" w:rsidP="00B75DD2">
            <w:r w:rsidRPr="000F7337">
              <w:rPr>
                <w:sz w:val="22"/>
                <w:szCs w:val="22"/>
              </w:rPr>
              <w:t>Incremental progress; pilot tools; reactive to proactive transition</w:t>
            </w:r>
          </w:p>
        </w:tc>
      </w:tr>
    </w:tbl>
    <w:p w14:paraId="3BEFCCE7" w14:textId="77777777" w:rsidR="00E2767C" w:rsidRDefault="00E2767C" w:rsidP="00BF7500"/>
    <w:p w14:paraId="2B77C0B5" w14:textId="77777777" w:rsidR="001A5A4E" w:rsidRDefault="001A5A4E" w:rsidP="00BF7500"/>
    <w:p w14:paraId="55373CAA" w14:textId="47DB783E" w:rsidR="00E2767C" w:rsidRDefault="00E2767C" w:rsidP="00BF7500">
      <w:r>
        <w:rPr>
          <w:noProof/>
        </w:rPr>
        <w:drawing>
          <wp:inline distT="0" distB="0" distL="0" distR="0" wp14:anchorId="49A0CA60" wp14:editId="30394A84">
            <wp:extent cx="5734685" cy="2443277"/>
            <wp:effectExtent l="0" t="0" r="18415" b="14605"/>
            <wp:docPr id="397893081" name="Chart 1">
              <a:extLst xmlns:a="http://schemas.openxmlformats.org/drawingml/2006/main">
                <a:ext uri="{FF2B5EF4-FFF2-40B4-BE49-F238E27FC236}">
                  <a16:creationId xmlns:a16="http://schemas.microsoft.com/office/drawing/2014/main" id="{AEAEC7F3-25B4-3FA8-AAB4-FF5A10D241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inline>
        </w:drawing>
      </w:r>
    </w:p>
    <w:p w14:paraId="74576CDC" w14:textId="77777777" w:rsidR="00E2767C" w:rsidRDefault="00E2767C" w:rsidP="00BF7500"/>
    <w:p w14:paraId="1B7E4AB4" w14:textId="79949C25" w:rsidR="00BF7500" w:rsidRPr="000F7337" w:rsidRDefault="00BF7500" w:rsidP="00BF7500">
      <w:r w:rsidRPr="000F7337">
        <w:br w:type="page"/>
      </w:r>
    </w:p>
    <w:p w14:paraId="570489D8" w14:textId="77777777" w:rsidR="00BF7500" w:rsidRPr="000F7337" w:rsidRDefault="00BF7500" w:rsidP="00BF7500">
      <w:pPr>
        <w:pStyle w:val="Heading1"/>
        <w:spacing w:before="400" w:after="200"/>
        <w:rPr>
          <w:rFonts w:ascii="Arial" w:hAnsi="Arial" w:cs="Arial"/>
        </w:rPr>
      </w:pPr>
      <w:bookmarkStart w:id="250" w:name="_Toc220152290"/>
      <w:r w:rsidRPr="000F7337">
        <w:rPr>
          <w:rFonts w:ascii="Arial" w:hAnsi="Arial" w:cs="Arial"/>
          <w:b/>
          <w:bCs/>
        </w:rPr>
        <w:lastRenderedPageBreak/>
        <w:t>Appendix H: AI Use Acknowledgement</w:t>
      </w:r>
      <w:bookmarkEnd w:id="250"/>
    </w:p>
    <w:p w14:paraId="642914FC" w14:textId="2D69E60D" w:rsidR="00BF7500" w:rsidRPr="000F7337" w:rsidRDefault="005C7250" w:rsidP="00BF7500">
      <w:pPr>
        <w:spacing w:after="200" w:line="276" w:lineRule="auto"/>
      </w:pPr>
      <w:r w:rsidRPr="000F7337">
        <w:t>Following</w:t>
      </w:r>
      <w:r w:rsidR="00BF7500" w:rsidRPr="000F7337">
        <w:t xml:space="preserve"> the UWTSD Learning and Teaching Generative Artificial Intelligence Guidance (</w:t>
      </w:r>
      <w:r w:rsidR="00DD1F6E" w:rsidRPr="000F7337">
        <w:t xml:space="preserve">Updated </w:t>
      </w:r>
      <w:r w:rsidR="00BF7500" w:rsidRPr="000F7337">
        <w:t>May 2025) and the assessment requirements for the MSc Sustainable Construction programme, this appendix provides a transparent account of how AI tools supported the research and writing process for this dissertation.</w:t>
      </w:r>
    </w:p>
    <w:p w14:paraId="1716E882" w14:textId="77777777" w:rsidR="00BF7500" w:rsidRPr="000F7337" w:rsidRDefault="00BF7500" w:rsidP="00BF7500">
      <w:pPr>
        <w:pStyle w:val="Heading2"/>
        <w:spacing w:before="300" w:after="150"/>
        <w:rPr>
          <w:rFonts w:ascii="Arial" w:hAnsi="Arial" w:cs="Arial"/>
        </w:rPr>
      </w:pPr>
      <w:bookmarkStart w:id="251" w:name="_Toc220152291"/>
      <w:r w:rsidRPr="000F7337">
        <w:rPr>
          <w:rFonts w:ascii="Arial" w:hAnsi="Arial" w:cs="Arial"/>
          <w:b/>
          <w:bCs/>
        </w:rPr>
        <w:t>Acknowledgement 1: Systematic Literature Review</w:t>
      </w:r>
      <w:bookmarkEnd w:id="251"/>
    </w:p>
    <w:p w14:paraId="64E27859" w14:textId="0F6B3918" w:rsidR="00BF7500" w:rsidRPr="000F7337" w:rsidRDefault="00BF7500" w:rsidP="00BF7500">
      <w:pPr>
        <w:spacing w:after="200" w:line="276" w:lineRule="auto"/>
      </w:pPr>
      <w:r w:rsidRPr="000F7337">
        <w:t xml:space="preserve">I acknowledge the use of Elicit (https://elicit.com) during </w:t>
      </w:r>
      <w:r w:rsidR="009E502E" w:rsidRPr="000F7337">
        <w:t>J</w:t>
      </w:r>
      <w:r w:rsidR="00942B3D" w:rsidRPr="000F7337">
        <w:t>uly</w:t>
      </w:r>
      <w:r w:rsidR="009E502E" w:rsidRPr="000F7337">
        <w:t xml:space="preserve"> </w:t>
      </w:r>
      <w:r w:rsidR="00942B3D" w:rsidRPr="000F7337">
        <w:t>-</w:t>
      </w:r>
      <w:r w:rsidR="009E502E" w:rsidRPr="000F7337">
        <w:t xml:space="preserve"> </w:t>
      </w:r>
      <w:r w:rsidR="00942B3D" w:rsidRPr="000F7337">
        <w:t>September</w:t>
      </w:r>
      <w:r w:rsidR="009E502E" w:rsidRPr="000F7337">
        <w:t xml:space="preserve"> </w:t>
      </w:r>
      <w:r w:rsidRPr="000F7337">
        <w:t>2025 to support the systematic literature review process. I used the following prompts:</w:t>
      </w:r>
    </w:p>
    <w:p w14:paraId="5F2FE637" w14:textId="3E6EE231" w:rsidR="00BF7500" w:rsidRPr="000F7337" w:rsidRDefault="00BF7500" w:rsidP="00BF7500">
      <w:pPr>
        <w:spacing w:after="80"/>
        <w:ind w:left="720" w:hanging="360"/>
      </w:pPr>
      <w:r w:rsidRPr="000F7337">
        <w:t xml:space="preserve">1. "Research papers on sustainable construction relating to Digital Twins with AI and API integration on M&amp;E </w:t>
      </w:r>
      <w:r w:rsidR="006A1981" w:rsidRPr="000F7337">
        <w:t>systems”.</w:t>
      </w:r>
    </w:p>
    <w:p w14:paraId="4B9FBDCC" w14:textId="04ACF8FD" w:rsidR="00BF7500" w:rsidRPr="000F7337" w:rsidRDefault="00BF7500" w:rsidP="00BF7500">
      <w:pPr>
        <w:spacing w:after="80"/>
        <w:ind w:left="720" w:hanging="360"/>
      </w:pPr>
      <w:r w:rsidRPr="000F7337">
        <w:t xml:space="preserve">2. "Studies examining energy savings from AI-enabled building management </w:t>
      </w:r>
      <w:r w:rsidR="006A1981" w:rsidRPr="000F7337">
        <w:t>systems”.</w:t>
      </w:r>
    </w:p>
    <w:p w14:paraId="4A411194" w14:textId="77777777" w:rsidR="00BF7500" w:rsidRPr="000F7337" w:rsidRDefault="00BF7500" w:rsidP="00BF7500">
      <w:pPr>
        <w:spacing w:after="80"/>
        <w:ind w:left="720" w:hanging="360"/>
      </w:pPr>
      <w:r w:rsidRPr="000F7337">
        <w:t>3. "Peer-reviewed articles on BIM to Digital Twin evolution in existing buildings"</w:t>
      </w:r>
    </w:p>
    <w:p w14:paraId="3D4C25C5" w14:textId="77777777" w:rsidR="00BF7500" w:rsidRPr="000F7337" w:rsidRDefault="00BF7500" w:rsidP="00BF7500">
      <w:pPr>
        <w:spacing w:after="80"/>
        <w:ind w:left="720" w:hanging="360"/>
      </w:pPr>
      <w:r w:rsidRPr="000F7337">
        <w:t>4. "API integration specifications for building automation systems"</w:t>
      </w:r>
    </w:p>
    <w:p w14:paraId="2D51C997" w14:textId="77777777" w:rsidR="00BF7500" w:rsidRPr="000F7337" w:rsidRDefault="00BF7500" w:rsidP="00BF7500">
      <w:pPr>
        <w:pStyle w:val="Heading2"/>
        <w:spacing w:before="300" w:after="150"/>
        <w:rPr>
          <w:rFonts w:ascii="Arial" w:hAnsi="Arial" w:cs="Arial"/>
        </w:rPr>
      </w:pPr>
      <w:bookmarkStart w:id="252" w:name="_Toc220152292"/>
      <w:r w:rsidRPr="000F7337">
        <w:rPr>
          <w:rFonts w:ascii="Arial" w:hAnsi="Arial" w:cs="Arial"/>
          <w:b/>
          <w:bCs/>
        </w:rPr>
        <w:t>Acknowledgement 2: Research Exploration and Structure</w:t>
      </w:r>
      <w:bookmarkEnd w:id="252"/>
    </w:p>
    <w:p w14:paraId="35AF6339" w14:textId="27364535" w:rsidR="00BF7500" w:rsidRPr="000F7337" w:rsidRDefault="00BF7500" w:rsidP="00BF7500">
      <w:pPr>
        <w:spacing w:after="200" w:line="276" w:lineRule="auto"/>
      </w:pPr>
      <w:r w:rsidRPr="000F7337">
        <w:t xml:space="preserve">I acknowledge the use of ChatGPT (https://chatgpt.com) during </w:t>
      </w:r>
      <w:r w:rsidR="009E502E" w:rsidRPr="000F7337">
        <w:t xml:space="preserve">October 2025 </w:t>
      </w:r>
      <w:r w:rsidR="00942B3D" w:rsidRPr="000F7337">
        <w:t>-</w:t>
      </w:r>
      <w:r w:rsidR="009E502E" w:rsidRPr="000F7337">
        <w:t xml:space="preserve"> February</w:t>
      </w:r>
      <w:r w:rsidRPr="000F7337">
        <w:t xml:space="preserve"> 202</w:t>
      </w:r>
      <w:r w:rsidR="009E502E" w:rsidRPr="000F7337">
        <w:t>6</w:t>
      </w:r>
      <w:r w:rsidRPr="000F7337">
        <w:t xml:space="preserve"> to support research exploration and structural planning. I used the following prompts:</w:t>
      </w:r>
    </w:p>
    <w:p w14:paraId="247E527B" w14:textId="77777777" w:rsidR="00BF7500" w:rsidRPr="000F7337" w:rsidRDefault="00BF7500" w:rsidP="00BF7500">
      <w:pPr>
        <w:spacing w:after="80"/>
        <w:ind w:left="720" w:hanging="360"/>
      </w:pPr>
      <w:r w:rsidRPr="000F7337">
        <w:t>1. "What are the key components of the Technology Acceptance Model and how might they apply to Digital Twin adoption in buildings?"</w:t>
      </w:r>
    </w:p>
    <w:p w14:paraId="1D2F0B2F" w14:textId="77777777" w:rsidR="00BF7500" w:rsidRPr="000F7337" w:rsidRDefault="00BF7500" w:rsidP="00BF7500">
      <w:pPr>
        <w:spacing w:after="80"/>
        <w:ind w:left="720" w:hanging="360"/>
      </w:pPr>
      <w:r w:rsidRPr="000F7337">
        <w:t>2. "Can you suggest a logical structure for a methodology chapter using mixed methods research?"</w:t>
      </w:r>
    </w:p>
    <w:p w14:paraId="30CCBD07" w14:textId="77777777" w:rsidR="00BF7500" w:rsidRPr="000F7337" w:rsidRDefault="00BF7500" w:rsidP="00BF7500">
      <w:pPr>
        <w:spacing w:after="80"/>
        <w:ind w:left="720" w:hanging="360"/>
      </w:pPr>
      <w:r w:rsidRPr="000F7337">
        <w:t>3. "What are the main differences between convergent and explanatory sequential mixed methods designs?"</w:t>
      </w:r>
    </w:p>
    <w:p w14:paraId="397C7CCD" w14:textId="79AB2152" w:rsidR="00BF7500" w:rsidRPr="000F7337" w:rsidRDefault="00BF7500" w:rsidP="00BF7500">
      <w:pPr>
        <w:spacing w:after="80"/>
        <w:ind w:left="720" w:hanging="360"/>
      </w:pPr>
      <w:r w:rsidRPr="000F7337">
        <w:t xml:space="preserve">4. "Explain Rogers' Diffusion of Innovations theory and its relevance to technology adoption in </w:t>
      </w:r>
      <w:r w:rsidR="006A1981" w:rsidRPr="000F7337">
        <w:t>organisations”.</w:t>
      </w:r>
    </w:p>
    <w:p w14:paraId="77CC9458" w14:textId="77777777" w:rsidR="00BF7500" w:rsidRPr="000F7337" w:rsidRDefault="00BF7500" w:rsidP="00BF7500">
      <w:pPr>
        <w:spacing w:after="80"/>
        <w:ind w:left="720" w:hanging="360"/>
      </w:pPr>
      <w:r w:rsidRPr="000F7337">
        <w:t>5. "What are the key barriers to Digital Twin adoption identified in recent literature?"</w:t>
      </w:r>
    </w:p>
    <w:p w14:paraId="7E63E5EE" w14:textId="77777777" w:rsidR="00BF7500" w:rsidRPr="000F7337" w:rsidRDefault="00BF7500" w:rsidP="00BF7500">
      <w:pPr>
        <w:pStyle w:val="Heading2"/>
        <w:spacing w:before="300" w:after="150"/>
        <w:rPr>
          <w:rFonts w:ascii="Arial" w:hAnsi="Arial" w:cs="Arial"/>
        </w:rPr>
      </w:pPr>
      <w:bookmarkStart w:id="253" w:name="_Toc220152293"/>
      <w:r w:rsidRPr="000F7337">
        <w:rPr>
          <w:rFonts w:ascii="Arial" w:hAnsi="Arial" w:cs="Arial"/>
          <w:b/>
          <w:bCs/>
        </w:rPr>
        <w:t>Acknowledgement 3: Drafting and Document Preparation</w:t>
      </w:r>
      <w:bookmarkEnd w:id="253"/>
    </w:p>
    <w:p w14:paraId="5978E64D" w14:textId="27C28840" w:rsidR="00BF7500" w:rsidRPr="000F7337" w:rsidRDefault="00BF7500" w:rsidP="00BF7500">
      <w:pPr>
        <w:spacing w:after="200" w:line="276" w:lineRule="auto"/>
      </w:pPr>
      <w:r w:rsidRPr="000F7337">
        <w:t xml:space="preserve">I acknowledge the use of Claude (https://claude.ai) during </w:t>
      </w:r>
      <w:r w:rsidR="009E502E" w:rsidRPr="000F7337">
        <w:t xml:space="preserve">January </w:t>
      </w:r>
      <w:r w:rsidR="00942B3D" w:rsidRPr="000F7337">
        <w:t>-</w:t>
      </w:r>
      <w:r w:rsidR="009E502E" w:rsidRPr="000F7337">
        <w:t xml:space="preserve"> </w:t>
      </w:r>
      <w:r w:rsidR="00E40CBF" w:rsidRPr="000F7337">
        <w:t>February</w:t>
      </w:r>
      <w:r w:rsidRPr="000F7337">
        <w:t xml:space="preserve"> 202</w:t>
      </w:r>
      <w:r w:rsidR="009E502E" w:rsidRPr="000F7337">
        <w:t>6</w:t>
      </w:r>
      <w:r w:rsidRPr="000F7337">
        <w:t xml:space="preserve"> to support chapter development, critical analysis refinement, and professional document formatting. I used the following prompts:</w:t>
      </w:r>
    </w:p>
    <w:p w14:paraId="0E280825" w14:textId="1E642F78" w:rsidR="00BF7500" w:rsidRPr="000F7337" w:rsidRDefault="00BF7500" w:rsidP="00BF7500">
      <w:pPr>
        <w:spacing w:after="80"/>
        <w:ind w:left="720" w:hanging="360"/>
      </w:pPr>
      <w:r w:rsidRPr="000F7337">
        <w:t xml:space="preserve">1. "Help me develop a conceptual framework linking technological capability, organisational readiness, and policy alignment for Digital Twin </w:t>
      </w:r>
      <w:r w:rsidR="006A1981" w:rsidRPr="000F7337">
        <w:t>adoption”.</w:t>
      </w:r>
    </w:p>
    <w:p w14:paraId="30CD23B2" w14:textId="40567F1C" w:rsidR="00BF7500" w:rsidRPr="000F7337" w:rsidRDefault="00BF7500" w:rsidP="00BF7500">
      <w:pPr>
        <w:spacing w:after="80"/>
        <w:ind w:left="720" w:hanging="360"/>
      </w:pPr>
      <w:r w:rsidRPr="000F7337">
        <w:t xml:space="preserve">2. "Review this methodology section and suggest how to strengthen the justification for a pragmatist philosophical </w:t>
      </w:r>
      <w:r w:rsidR="006A1981" w:rsidRPr="000F7337">
        <w:t>position”?</w:t>
      </w:r>
    </w:p>
    <w:p w14:paraId="48DF3C9B" w14:textId="533D68A4" w:rsidR="00BF7500" w:rsidRPr="000F7337" w:rsidRDefault="00BF7500" w:rsidP="00BF7500">
      <w:pPr>
        <w:spacing w:after="80"/>
        <w:ind w:left="720" w:hanging="360"/>
      </w:pPr>
      <w:r w:rsidRPr="000F7337">
        <w:lastRenderedPageBreak/>
        <w:t xml:space="preserve">3. "Create a professional table summarising the barriers to adoption with mean scores and percentages from my survey </w:t>
      </w:r>
      <w:r w:rsidR="006A1981" w:rsidRPr="000F7337">
        <w:t>data”.</w:t>
      </w:r>
    </w:p>
    <w:p w14:paraId="3724D117" w14:textId="552E6119" w:rsidR="00BF7500" w:rsidRPr="000F7337" w:rsidRDefault="00BF7500" w:rsidP="00BF7500">
      <w:pPr>
        <w:spacing w:after="80"/>
        <w:ind w:left="720" w:hanging="360"/>
      </w:pPr>
      <w:r w:rsidRPr="000F7337">
        <w:t xml:space="preserve">4. "Generate charts showing survey response distributions using a consistent colour </w:t>
      </w:r>
      <w:r w:rsidR="006A1981" w:rsidRPr="000F7337">
        <w:t>scheme”.</w:t>
      </w:r>
    </w:p>
    <w:p w14:paraId="1A761D79" w14:textId="4790062D" w:rsidR="00BF7500" w:rsidRPr="000F7337" w:rsidRDefault="00BF7500" w:rsidP="00BF7500">
      <w:pPr>
        <w:spacing w:after="80"/>
        <w:ind w:left="720" w:hanging="360"/>
      </w:pPr>
      <w:r w:rsidRPr="000F7337">
        <w:t xml:space="preserve">5. "Check this discussion chapter for consistency with the findings presented in Chapter </w:t>
      </w:r>
      <w:r w:rsidR="006A1981" w:rsidRPr="000F7337">
        <w:t>4”.</w:t>
      </w:r>
    </w:p>
    <w:p w14:paraId="405574B0" w14:textId="0D5BC607" w:rsidR="00BF7500" w:rsidRPr="000F7337" w:rsidRDefault="00BF7500" w:rsidP="00BF7500">
      <w:pPr>
        <w:spacing w:after="80"/>
        <w:ind w:left="720" w:hanging="360"/>
      </w:pPr>
      <w:r w:rsidRPr="000F7337">
        <w:t xml:space="preserve">6. "Help me structure the thematic analysis of interview responses using Braun and Clarke's </w:t>
      </w:r>
      <w:r w:rsidR="006A1981" w:rsidRPr="000F7337">
        <w:t>framework”.</w:t>
      </w:r>
    </w:p>
    <w:p w14:paraId="296A5397" w14:textId="77777777" w:rsidR="00BF7500" w:rsidRPr="000F7337" w:rsidRDefault="00BF7500" w:rsidP="00BF7500">
      <w:pPr>
        <w:pStyle w:val="Heading2"/>
        <w:spacing w:before="300" w:after="150"/>
        <w:rPr>
          <w:rFonts w:ascii="Arial" w:hAnsi="Arial" w:cs="Arial"/>
        </w:rPr>
      </w:pPr>
      <w:bookmarkStart w:id="254" w:name="_Toc220152294"/>
      <w:r w:rsidRPr="000F7337">
        <w:rPr>
          <w:rFonts w:ascii="Arial" w:hAnsi="Arial" w:cs="Arial"/>
          <w:b/>
          <w:bCs/>
        </w:rPr>
        <w:t>Acknowledgement 4: Proofreading and Formatting</w:t>
      </w:r>
      <w:bookmarkEnd w:id="254"/>
    </w:p>
    <w:p w14:paraId="6F157E8D" w14:textId="22079692" w:rsidR="00BF7500" w:rsidRPr="000F7337" w:rsidRDefault="00BF7500" w:rsidP="00BF7500">
      <w:pPr>
        <w:spacing w:after="200" w:line="276" w:lineRule="auto"/>
      </w:pPr>
      <w:r w:rsidRPr="000F7337">
        <w:t xml:space="preserve">I acknowledge the use of Microsoft Copilot during </w:t>
      </w:r>
      <w:r w:rsidR="00B27CE7">
        <w:t>February</w:t>
      </w:r>
      <w:r w:rsidR="009E502E" w:rsidRPr="000F7337">
        <w:t xml:space="preserve"> </w:t>
      </w:r>
      <w:r w:rsidR="00942B3D" w:rsidRPr="000F7337">
        <w:t>-</w:t>
      </w:r>
      <w:r w:rsidR="009E502E" w:rsidRPr="000F7337">
        <w:t xml:space="preserve"> </w:t>
      </w:r>
      <w:r w:rsidR="00B27CE7">
        <w:t>March</w:t>
      </w:r>
      <w:r w:rsidRPr="000F7337">
        <w:t xml:space="preserve"> 202</w:t>
      </w:r>
      <w:r w:rsidR="009E502E" w:rsidRPr="000F7337">
        <w:t>6</w:t>
      </w:r>
      <w:r w:rsidRPr="000F7337">
        <w:t xml:space="preserve"> for grammar checking, proofreading, and formatting assistance. I used the following prompts:</w:t>
      </w:r>
    </w:p>
    <w:p w14:paraId="26A4D7FE" w14:textId="51BDE58B" w:rsidR="00BF7500" w:rsidRPr="000F7337" w:rsidRDefault="00BF7500" w:rsidP="00BF7500">
      <w:pPr>
        <w:spacing w:after="80"/>
        <w:ind w:left="720" w:hanging="360"/>
      </w:pPr>
      <w:r w:rsidRPr="000F7337">
        <w:t xml:space="preserve">1. "Check this text for grammatical errors and suggest </w:t>
      </w:r>
      <w:r w:rsidR="006A1981" w:rsidRPr="000F7337">
        <w:t>corrections”.</w:t>
      </w:r>
    </w:p>
    <w:p w14:paraId="1CFEECFD" w14:textId="752DD52E" w:rsidR="00BF7500" w:rsidRPr="000F7337" w:rsidRDefault="00BF7500" w:rsidP="00BF7500">
      <w:pPr>
        <w:spacing w:after="80"/>
        <w:ind w:left="720" w:hanging="360"/>
      </w:pPr>
      <w:r w:rsidRPr="000F7337">
        <w:t xml:space="preserve">2. "Review this paragraph for clarity and academic </w:t>
      </w:r>
      <w:r w:rsidR="006A1981" w:rsidRPr="000F7337">
        <w:t>tone”.</w:t>
      </w:r>
    </w:p>
    <w:p w14:paraId="7AD664D9" w14:textId="77777777" w:rsidR="00BF7500" w:rsidRPr="000F7337" w:rsidRDefault="00BF7500" w:rsidP="00BF7500">
      <w:pPr>
        <w:spacing w:after="80"/>
        <w:ind w:left="720" w:hanging="360"/>
      </w:pPr>
      <w:r w:rsidRPr="000F7337">
        <w:t>3. "Check spelling and punctuation in this section"</w:t>
      </w:r>
    </w:p>
    <w:p w14:paraId="0DE7C8DA" w14:textId="77777777" w:rsidR="00BF7500" w:rsidRPr="000F7337" w:rsidRDefault="00BF7500" w:rsidP="00BF7500">
      <w:pPr>
        <w:pStyle w:val="Heading2"/>
        <w:spacing w:before="300" w:after="150"/>
        <w:rPr>
          <w:rFonts w:ascii="Arial" w:hAnsi="Arial" w:cs="Arial"/>
        </w:rPr>
      </w:pPr>
      <w:bookmarkStart w:id="255" w:name="_Toc220152295"/>
      <w:r w:rsidRPr="000F7337">
        <w:rPr>
          <w:rFonts w:ascii="Arial" w:hAnsi="Arial" w:cs="Arial"/>
          <w:b/>
          <w:bCs/>
        </w:rPr>
        <w:t>Scope of AI Assistance</w:t>
      </w:r>
      <w:bookmarkEnd w:id="255"/>
    </w:p>
    <w:p w14:paraId="10111BF4" w14:textId="77777777" w:rsidR="00BF7500" w:rsidRPr="000F7337" w:rsidRDefault="00BF7500" w:rsidP="00BF7500">
      <w:pPr>
        <w:spacing w:after="200" w:line="276" w:lineRule="auto"/>
      </w:pPr>
      <w:r w:rsidRPr="000F7337">
        <w:t>Throughout this dissertation, AI tools were employed as assistive technologies to support, rather than replace, my own academic work:</w:t>
      </w:r>
    </w:p>
    <w:p w14:paraId="7B6A216D" w14:textId="77777777" w:rsidR="00BF7500" w:rsidRPr="000F7337" w:rsidRDefault="00BF7500" w:rsidP="00BF7500">
      <w:pPr>
        <w:spacing w:before="150" w:after="80"/>
      </w:pPr>
      <w:r w:rsidRPr="000F7337">
        <w:rPr>
          <w:b/>
          <w:bCs/>
        </w:rPr>
        <w:t>AI tools supported:</w:t>
      </w:r>
    </w:p>
    <w:p w14:paraId="31913EDF" w14:textId="77777777" w:rsidR="00BF7500" w:rsidRPr="000F7337" w:rsidRDefault="00BF7500" w:rsidP="00BF7500">
      <w:pPr>
        <w:spacing w:after="80"/>
        <w:ind w:left="720" w:hanging="360"/>
      </w:pPr>
      <w:r w:rsidRPr="000F7337">
        <w:t>• Literature searching, screening, and identifying relevant sources</w:t>
      </w:r>
    </w:p>
    <w:p w14:paraId="2C25B69F" w14:textId="77777777" w:rsidR="00BF7500" w:rsidRPr="000F7337" w:rsidRDefault="00BF7500" w:rsidP="00BF7500">
      <w:pPr>
        <w:spacing w:after="80"/>
        <w:ind w:left="720" w:hanging="360"/>
      </w:pPr>
      <w:r w:rsidRPr="000F7337">
        <w:t>• Exploring theoretical frameworks and understanding their application</w:t>
      </w:r>
    </w:p>
    <w:p w14:paraId="3DDBC1C9" w14:textId="77777777" w:rsidR="00BF7500" w:rsidRPr="000F7337" w:rsidRDefault="00BF7500" w:rsidP="00BF7500">
      <w:pPr>
        <w:spacing w:after="80"/>
        <w:ind w:left="720" w:hanging="360"/>
      </w:pPr>
      <w:r w:rsidRPr="000F7337">
        <w:t>• Structural planning and chapter organisation</w:t>
      </w:r>
    </w:p>
    <w:p w14:paraId="32A6158F" w14:textId="77777777" w:rsidR="00BF7500" w:rsidRPr="000F7337" w:rsidRDefault="00BF7500" w:rsidP="00BF7500">
      <w:pPr>
        <w:spacing w:after="80"/>
        <w:ind w:left="720" w:hanging="360"/>
      </w:pPr>
      <w:r w:rsidRPr="000F7337">
        <w:t>• Refining academic prose based on my own notes, analysis, and ideas</w:t>
      </w:r>
    </w:p>
    <w:p w14:paraId="2895EB1D" w14:textId="77777777" w:rsidR="00BF7500" w:rsidRPr="000F7337" w:rsidRDefault="00BF7500" w:rsidP="00BF7500">
      <w:pPr>
        <w:spacing w:after="80"/>
        <w:ind w:left="720" w:hanging="360"/>
      </w:pPr>
      <w:r w:rsidRPr="000F7337">
        <w:t>• Creating professional tables, charts, and document formatting</w:t>
      </w:r>
    </w:p>
    <w:p w14:paraId="1A697B0C" w14:textId="77777777" w:rsidR="00BF7500" w:rsidRPr="000F7337" w:rsidRDefault="00BF7500" w:rsidP="00BF7500">
      <w:pPr>
        <w:spacing w:after="80"/>
        <w:ind w:left="720" w:hanging="360"/>
      </w:pPr>
      <w:r w:rsidRPr="000F7337">
        <w:t>• Grammar, spelling, and readability checks</w:t>
      </w:r>
    </w:p>
    <w:p w14:paraId="5BA24816" w14:textId="77777777" w:rsidR="00BF7500" w:rsidRPr="000F7337" w:rsidRDefault="00BF7500" w:rsidP="00BF7500">
      <w:pPr>
        <w:spacing w:before="200" w:after="80"/>
      </w:pPr>
      <w:r w:rsidRPr="000F7337">
        <w:rPr>
          <w:b/>
          <w:bCs/>
        </w:rPr>
        <w:t>AI tools were NOT used for:</w:t>
      </w:r>
    </w:p>
    <w:p w14:paraId="7BB44DD4" w14:textId="77777777" w:rsidR="00BF7500" w:rsidRPr="000F7337" w:rsidRDefault="00BF7500" w:rsidP="00BF7500">
      <w:pPr>
        <w:spacing w:after="80"/>
        <w:ind w:left="720" w:hanging="360"/>
      </w:pPr>
      <w:r w:rsidRPr="000F7337">
        <w:t>• Primary data collection – surveys were conducted via Microsoft Forms</w:t>
      </w:r>
    </w:p>
    <w:p w14:paraId="4F1AB60D" w14:textId="77777777" w:rsidR="00BF7500" w:rsidRPr="000F7337" w:rsidRDefault="00BF7500" w:rsidP="00BF7500">
      <w:pPr>
        <w:spacing w:after="80"/>
        <w:ind w:left="720" w:hanging="360"/>
      </w:pPr>
      <w:r w:rsidRPr="000F7337">
        <w:t>• Interview data gathering – responses were received directly from participants</w:t>
      </w:r>
    </w:p>
    <w:p w14:paraId="4EC6EA43" w14:textId="77777777" w:rsidR="00BF7500" w:rsidRPr="000F7337" w:rsidRDefault="00BF7500" w:rsidP="00BF7500">
      <w:pPr>
        <w:spacing w:after="80"/>
        <w:ind w:left="720" w:hanging="360"/>
      </w:pPr>
      <w:r w:rsidRPr="000F7337">
        <w:t>• Statistical calculations – performed independently in Microsoft Excel</w:t>
      </w:r>
    </w:p>
    <w:p w14:paraId="4015E881" w14:textId="77777777" w:rsidR="00BF7500" w:rsidRPr="000F7337" w:rsidRDefault="00BF7500" w:rsidP="00BF7500">
      <w:pPr>
        <w:spacing w:after="80"/>
        <w:ind w:left="720" w:hanging="360"/>
      </w:pPr>
      <w:r w:rsidRPr="000F7337">
        <w:t>• Fabrication of data, quotations, or sources</w:t>
      </w:r>
    </w:p>
    <w:p w14:paraId="23856060" w14:textId="77777777" w:rsidR="00BF7500" w:rsidRPr="000F7337" w:rsidRDefault="00BF7500" w:rsidP="00BF7500">
      <w:pPr>
        <w:spacing w:after="80"/>
        <w:ind w:left="720" w:hanging="360"/>
      </w:pPr>
      <w:r w:rsidRPr="000F7337">
        <w:t>• Final analytical judgements – all conclusions represent my own interpretation</w:t>
      </w:r>
    </w:p>
    <w:p w14:paraId="4ECF0F9A" w14:textId="77777777" w:rsidR="00BF7500" w:rsidRPr="000F7337" w:rsidRDefault="00BF7500" w:rsidP="00BF7500">
      <w:pPr>
        <w:pStyle w:val="Heading2"/>
        <w:spacing w:before="300" w:after="150"/>
        <w:rPr>
          <w:rFonts w:ascii="Arial" w:hAnsi="Arial" w:cs="Arial"/>
        </w:rPr>
      </w:pPr>
      <w:bookmarkStart w:id="256" w:name="_Toc220152296"/>
      <w:r w:rsidRPr="000F7337">
        <w:rPr>
          <w:rFonts w:ascii="Arial" w:hAnsi="Arial" w:cs="Arial"/>
          <w:b/>
          <w:bCs/>
        </w:rPr>
        <w:t>Quality Assurance Process</w:t>
      </w:r>
      <w:bookmarkEnd w:id="256"/>
    </w:p>
    <w:p w14:paraId="789660C8" w14:textId="77777777" w:rsidR="00BF7500" w:rsidRPr="000F7337" w:rsidRDefault="00BF7500" w:rsidP="00BF7500">
      <w:pPr>
        <w:spacing w:after="200" w:line="276" w:lineRule="auto"/>
      </w:pPr>
      <w:r w:rsidRPr="000F7337">
        <w:t>All content generated with AI assistance was subject to critical review and substantial editing. This quality assurance process included:</w:t>
      </w:r>
    </w:p>
    <w:p w14:paraId="3C0BD0B1" w14:textId="77777777" w:rsidR="00BF7500" w:rsidRPr="000F7337" w:rsidRDefault="00BF7500" w:rsidP="00BF7500">
      <w:pPr>
        <w:spacing w:after="80"/>
        <w:ind w:left="720" w:hanging="360"/>
      </w:pPr>
      <w:r w:rsidRPr="000F7337">
        <w:t>• Verifying factual accuracy against primary academic sources</w:t>
      </w:r>
    </w:p>
    <w:p w14:paraId="2C51EFD7" w14:textId="77777777" w:rsidR="00BF7500" w:rsidRPr="000F7337" w:rsidRDefault="00BF7500" w:rsidP="00BF7500">
      <w:pPr>
        <w:spacing w:after="80"/>
        <w:ind w:left="720" w:hanging="360"/>
      </w:pPr>
      <w:r w:rsidRPr="000F7337">
        <w:t>• Cross-checking statistical findings against original survey data in Excel</w:t>
      </w:r>
    </w:p>
    <w:p w14:paraId="5E6AE744" w14:textId="77777777" w:rsidR="00BF7500" w:rsidRPr="000F7337" w:rsidRDefault="00BF7500" w:rsidP="00BF7500">
      <w:pPr>
        <w:spacing w:after="80"/>
        <w:ind w:left="720" w:hanging="360"/>
      </w:pPr>
      <w:r w:rsidRPr="000F7337">
        <w:lastRenderedPageBreak/>
        <w:t>• Ensuring all citations were accurate and traceable to genuine sources</w:t>
      </w:r>
    </w:p>
    <w:p w14:paraId="46370594" w14:textId="77777777" w:rsidR="00BF7500" w:rsidRPr="000F7337" w:rsidRDefault="00BF7500" w:rsidP="00BF7500">
      <w:pPr>
        <w:spacing w:after="80"/>
        <w:ind w:left="720" w:hanging="360"/>
      </w:pPr>
      <w:r w:rsidRPr="000F7337">
        <w:t>• Confirming analysis and conclusions reflected my own understanding</w:t>
      </w:r>
    </w:p>
    <w:p w14:paraId="47DDCB7E" w14:textId="77777777" w:rsidR="00BF7500" w:rsidRPr="000F7337" w:rsidRDefault="00BF7500" w:rsidP="00BF7500">
      <w:pPr>
        <w:spacing w:after="80"/>
        <w:ind w:left="720" w:hanging="360"/>
      </w:pPr>
      <w:r w:rsidRPr="000F7337">
        <w:t>• Reviewing AI suggestions critically and rejecting those that did not fit</w:t>
      </w:r>
    </w:p>
    <w:p w14:paraId="22D47A9D" w14:textId="77777777" w:rsidR="00BF7500" w:rsidRPr="000F7337" w:rsidRDefault="00BF7500" w:rsidP="00BF7500">
      <w:pPr>
        <w:spacing w:after="80"/>
        <w:ind w:left="720" w:hanging="360"/>
      </w:pPr>
      <w:r w:rsidRPr="000F7337">
        <w:t>• Maintaining iterative drafts showing the evolution of my thinking</w:t>
      </w:r>
    </w:p>
    <w:p w14:paraId="4C70AAB5" w14:textId="77777777" w:rsidR="00BF7500" w:rsidRPr="000F7337" w:rsidRDefault="00BF7500" w:rsidP="00BF7500">
      <w:pPr>
        <w:pStyle w:val="Heading2"/>
        <w:spacing w:before="300" w:after="150"/>
        <w:rPr>
          <w:rFonts w:ascii="Arial" w:hAnsi="Arial" w:cs="Arial"/>
        </w:rPr>
      </w:pPr>
      <w:bookmarkStart w:id="257" w:name="_Toc220152297"/>
      <w:r w:rsidRPr="000F7337">
        <w:rPr>
          <w:rFonts w:ascii="Arial" w:hAnsi="Arial" w:cs="Arial"/>
          <w:b/>
          <w:bCs/>
        </w:rPr>
        <w:t>Supporting Documentation</w:t>
      </w:r>
      <w:bookmarkEnd w:id="257"/>
    </w:p>
    <w:p w14:paraId="1951BB25" w14:textId="77777777" w:rsidR="00BF7500" w:rsidRPr="000F7337" w:rsidRDefault="00BF7500" w:rsidP="00BF7500">
      <w:pPr>
        <w:spacing w:after="200" w:line="276" w:lineRule="auto"/>
      </w:pPr>
      <w:r w:rsidRPr="000F7337">
        <w:t>In compliance with UWTSD requirements, I have retained the following materials which demonstrate my working process and can be provided as evidence if requested:</w:t>
      </w:r>
    </w:p>
    <w:p w14:paraId="6F8548AA" w14:textId="77777777" w:rsidR="00BF7500" w:rsidRPr="000F7337" w:rsidRDefault="00BF7500" w:rsidP="00BF7500">
      <w:pPr>
        <w:spacing w:after="80"/>
        <w:ind w:left="720" w:hanging="360"/>
      </w:pPr>
      <w:r w:rsidRPr="000F7337">
        <w:t>• Handwritten notes from initial supervisor meetings and research planning</w:t>
      </w:r>
    </w:p>
    <w:p w14:paraId="59D2C46D" w14:textId="77777777" w:rsidR="00BF7500" w:rsidRPr="000F7337" w:rsidRDefault="00BF7500" w:rsidP="00BF7500">
      <w:pPr>
        <w:spacing w:after="80"/>
        <w:ind w:left="720" w:hanging="360"/>
      </w:pPr>
      <w:r w:rsidRPr="000F7337">
        <w:t>• Early draft outlines showing chapter structure development</w:t>
      </w:r>
    </w:p>
    <w:p w14:paraId="05C67174" w14:textId="77777777" w:rsidR="00BF7500" w:rsidRPr="000F7337" w:rsidRDefault="00BF7500" w:rsidP="00BF7500">
      <w:pPr>
        <w:spacing w:after="80"/>
        <w:ind w:left="720" w:hanging="360"/>
      </w:pPr>
      <w:r w:rsidRPr="000F7337">
        <w:t>• Microsoft Excel workbook containing raw survey data and calculations</w:t>
      </w:r>
    </w:p>
    <w:p w14:paraId="4401A95E" w14:textId="77777777" w:rsidR="00BF7500" w:rsidRPr="000F7337" w:rsidRDefault="00BF7500" w:rsidP="00BF7500">
      <w:pPr>
        <w:spacing w:after="80"/>
        <w:ind w:left="720" w:hanging="360"/>
      </w:pPr>
      <w:r w:rsidRPr="000F7337">
        <w:t>• Iterative chapter drafts showing progression of analysis and writing</w:t>
      </w:r>
    </w:p>
    <w:p w14:paraId="26CADF24" w14:textId="0E76E943" w:rsidR="00BF7500" w:rsidRPr="000F7337" w:rsidRDefault="00BF7500" w:rsidP="00BF7500">
      <w:pPr>
        <w:spacing w:after="200" w:line="276" w:lineRule="auto"/>
      </w:pPr>
      <w:r w:rsidRPr="000F7337">
        <w:t xml:space="preserve">These materials </w:t>
      </w:r>
      <w:r w:rsidR="005C7250" w:rsidRPr="000F7337">
        <w:t>show</w:t>
      </w:r>
      <w:r w:rsidRPr="000F7337">
        <w:t xml:space="preserve"> that AI tools were used to refine and present my own research, analysis, and ideas – not to generate original content or substitute for critical thinking.</w:t>
      </w:r>
    </w:p>
    <w:p w14:paraId="4FDF2332" w14:textId="77777777" w:rsidR="00BF7500" w:rsidRPr="000F7337" w:rsidRDefault="00BF7500" w:rsidP="00BF7500">
      <w:pPr>
        <w:pStyle w:val="Heading2"/>
        <w:spacing w:before="300" w:after="150"/>
        <w:rPr>
          <w:rFonts w:ascii="Arial" w:hAnsi="Arial" w:cs="Arial"/>
        </w:rPr>
      </w:pPr>
      <w:bookmarkStart w:id="258" w:name="_Toc220152298"/>
      <w:r w:rsidRPr="000F7337">
        <w:rPr>
          <w:rFonts w:ascii="Arial" w:hAnsi="Arial" w:cs="Arial"/>
          <w:b/>
          <w:bCs/>
        </w:rPr>
        <w:t>Confirmation Statement</w:t>
      </w:r>
      <w:bookmarkEnd w:id="258"/>
    </w:p>
    <w:p w14:paraId="3E561B11" w14:textId="77777777" w:rsidR="00BF7500" w:rsidRPr="000F7337" w:rsidRDefault="00BF7500" w:rsidP="00BF7500">
      <w:pPr>
        <w:spacing w:after="200" w:line="276" w:lineRule="auto"/>
      </w:pPr>
      <w:r w:rsidRPr="000F7337">
        <w:t>I confirm that this dissertation represents my own work and intellectual contribution. The research questions, methodology design, primary data collection, analysis, and conclusions are the product of my own academic effort. AI tools were employed as assistive technologies to support the research and writing process, in accordance with UWTSD guidance, not as substitutes for critical thinking or original scholarship.</w:t>
      </w:r>
    </w:p>
    <w:p w14:paraId="08593638" w14:textId="77777777" w:rsidR="00BF7500" w:rsidRPr="000F7337" w:rsidRDefault="00BF7500" w:rsidP="00BF7500">
      <w:pPr>
        <w:spacing w:after="200" w:line="276" w:lineRule="auto"/>
      </w:pPr>
      <w:r w:rsidRPr="000F7337">
        <w:t>I confirm that I have not presented any AI generated text as my own work. I confirm I have copies of my drafts, notes, and other resources I used before and after the use of AI tools which I may be asked to provide in evidence.</w:t>
      </w:r>
    </w:p>
    <w:p w14:paraId="4665BF44" w14:textId="51DC5201" w:rsidR="00BF7500" w:rsidRPr="000F7337" w:rsidRDefault="00BF7500" w:rsidP="0025438A">
      <w:pPr>
        <w:spacing w:after="200" w:line="276" w:lineRule="auto"/>
      </w:pPr>
      <w:r w:rsidRPr="000F7337">
        <w:t>I understand that the use of AI tools beyond what is permitted, or failure to acknowledge such use, constitutes academic misconduct.</w:t>
      </w:r>
    </w:p>
    <w:p w14:paraId="486767EC" w14:textId="77777777" w:rsidR="00BF7500" w:rsidRPr="000F7337" w:rsidRDefault="00BF7500" w:rsidP="00BF7500">
      <w:pPr>
        <w:spacing w:after="120" w:line="276" w:lineRule="auto"/>
      </w:pPr>
      <w:r w:rsidRPr="000F7337">
        <w:rPr>
          <w:b/>
          <w:bCs/>
        </w:rPr>
        <w:t xml:space="preserve">Name: </w:t>
      </w:r>
      <w:r w:rsidRPr="000F7337">
        <w:t>Paul Davies</w:t>
      </w:r>
    </w:p>
    <w:p w14:paraId="420AA8DE" w14:textId="77777777" w:rsidR="00BF7500" w:rsidRPr="000F7337" w:rsidRDefault="00BF7500" w:rsidP="00BF7500">
      <w:pPr>
        <w:spacing w:after="120" w:line="276" w:lineRule="auto"/>
      </w:pPr>
      <w:r w:rsidRPr="000F7337">
        <w:rPr>
          <w:b/>
          <w:bCs/>
        </w:rPr>
        <w:t xml:space="preserve">Student ID: </w:t>
      </w:r>
      <w:r w:rsidRPr="000F7337">
        <w:t>2203997</w:t>
      </w:r>
    </w:p>
    <w:p w14:paraId="2DFD2836" w14:textId="77777777" w:rsidR="00BF7500" w:rsidRPr="000F7337" w:rsidRDefault="00BF7500" w:rsidP="00BF7500">
      <w:pPr>
        <w:spacing w:after="120" w:line="276" w:lineRule="auto"/>
      </w:pPr>
      <w:r w:rsidRPr="000F7337">
        <w:rPr>
          <w:b/>
          <w:bCs/>
        </w:rPr>
        <w:t xml:space="preserve">Programme: </w:t>
      </w:r>
      <w:r w:rsidRPr="000F7337">
        <w:t>MSc Sustainable Construction</w:t>
      </w:r>
    </w:p>
    <w:p w14:paraId="63FC781B" w14:textId="77777777" w:rsidR="00BF7500" w:rsidRPr="000F7337" w:rsidRDefault="00BF7500" w:rsidP="00BF7500">
      <w:pPr>
        <w:spacing w:after="120" w:line="276" w:lineRule="auto"/>
      </w:pPr>
      <w:r w:rsidRPr="000F7337">
        <w:rPr>
          <w:b/>
          <w:bCs/>
        </w:rPr>
        <w:t xml:space="preserve">Institution: </w:t>
      </w:r>
      <w:r w:rsidRPr="000F7337">
        <w:t>University of Wales Trinity Saint David</w:t>
      </w:r>
    </w:p>
    <w:p w14:paraId="67989180" w14:textId="12628F1E" w:rsidR="00BF7500" w:rsidRPr="000F7337" w:rsidRDefault="00BF7500" w:rsidP="00BF7500">
      <w:pPr>
        <w:spacing w:after="120" w:line="276" w:lineRule="auto"/>
      </w:pPr>
      <w:r w:rsidRPr="000F7337">
        <w:rPr>
          <w:b/>
          <w:bCs/>
        </w:rPr>
        <w:t xml:space="preserve">Date: </w:t>
      </w:r>
      <w:r w:rsidRPr="000F7337">
        <w:t>M</w:t>
      </w:r>
      <w:r w:rsidR="00942B3D" w:rsidRPr="000F7337">
        <w:t>arch</w:t>
      </w:r>
      <w:r w:rsidRPr="000F7337">
        <w:t xml:space="preserve"> 202</w:t>
      </w:r>
      <w:r w:rsidR="00942B3D" w:rsidRPr="000F7337">
        <w:t>6</w:t>
      </w:r>
    </w:p>
    <w:p w14:paraId="6312D8B4" w14:textId="77777777" w:rsidR="00BF7500" w:rsidRPr="000F7337" w:rsidRDefault="00BF7500" w:rsidP="00BF7500">
      <w:pPr>
        <w:spacing w:after="200"/>
      </w:pPr>
    </w:p>
    <w:p w14:paraId="32906FA8" w14:textId="72AF20D9" w:rsidR="00BF7500" w:rsidRPr="003E7704" w:rsidRDefault="00BF7500" w:rsidP="0025438A">
      <w:pPr>
        <w:spacing w:after="200" w:line="276" w:lineRule="auto"/>
        <w:rPr>
          <w:u w:val="single"/>
        </w:rPr>
      </w:pPr>
      <w:r w:rsidRPr="000F7337">
        <w:t xml:space="preserve">Signature: </w:t>
      </w:r>
      <w:r w:rsidR="003E7704">
        <w:rPr>
          <w:u w:val="single"/>
        </w:rPr>
        <w:tab/>
      </w:r>
      <w:r w:rsidR="003E7704" w:rsidRPr="003E7704">
        <w:rPr>
          <w:rFonts w:ascii="Lucida Handwriting" w:hAnsi="Lucida Handwriting"/>
          <w:sz w:val="32"/>
          <w:szCs w:val="32"/>
          <w:u w:val="single"/>
        </w:rPr>
        <w:t>P. A. Davies</w:t>
      </w:r>
      <w:r w:rsidR="003E7704">
        <w:rPr>
          <w:u w:val="single"/>
        </w:rPr>
        <w:tab/>
      </w:r>
      <w:r w:rsidR="003E7704">
        <w:rPr>
          <w:u w:val="single"/>
        </w:rPr>
        <w:tab/>
      </w:r>
      <w:r w:rsidR="003E7704">
        <w:rPr>
          <w:u w:val="single"/>
        </w:rPr>
        <w:tab/>
      </w:r>
      <w:r w:rsidR="003E7704">
        <w:rPr>
          <w:u w:val="single"/>
        </w:rPr>
        <w:tab/>
      </w:r>
    </w:p>
    <w:sectPr w:rsidR="00BF7500" w:rsidRPr="003E7704" w:rsidSect="00211E6E">
      <w:footerReference w:type="default" r:id="rId76"/>
      <w:pgSz w:w="11906" w:h="16838"/>
      <w:pgMar w:top="1134"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49D09F" w14:textId="77777777" w:rsidR="0039274C" w:rsidRDefault="0039274C">
      <w:r>
        <w:separator/>
      </w:r>
    </w:p>
  </w:endnote>
  <w:endnote w:type="continuationSeparator" w:id="0">
    <w:p w14:paraId="0FC95B3D" w14:textId="77777777" w:rsidR="0039274C" w:rsidRDefault="003927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D47B87" w14:textId="56C349AC" w:rsidR="008A4121" w:rsidRPr="00CD56E9" w:rsidRDefault="008A4121">
    <w:pPr>
      <w:jc w:val="center"/>
      <w:rPr>
        <w:b/>
        <w:bCs/>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A03916" w14:textId="77777777" w:rsidR="00CD56E9" w:rsidRPr="00CD56E9" w:rsidRDefault="00CD56E9">
    <w:pPr>
      <w:jc w:val="center"/>
      <w:rPr>
        <w:b/>
        <w:bCs/>
      </w:rPr>
    </w:pPr>
    <w:r w:rsidRPr="00CD56E9">
      <w:rPr>
        <w:b/>
        <w:bCs/>
      </w:rPr>
      <w:fldChar w:fldCharType="begin"/>
    </w:r>
    <w:r w:rsidRPr="00CD56E9">
      <w:rPr>
        <w:b/>
        <w:bCs/>
      </w:rPr>
      <w:instrText>PAGE</w:instrText>
    </w:r>
    <w:r w:rsidRPr="00CD56E9">
      <w:rPr>
        <w:b/>
        <w:bCs/>
      </w:rPr>
      <w:fldChar w:fldCharType="separate"/>
    </w:r>
    <w:r w:rsidRPr="00CD56E9">
      <w:rPr>
        <w:b/>
        <w:bCs/>
        <w:noProof/>
      </w:rPr>
      <w:t>1</w:t>
    </w:r>
    <w:r w:rsidRPr="00CD56E9">
      <w:rPr>
        <w:b/>
        <w:bCs/>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367C62" w14:textId="77777777" w:rsidR="00211E6E" w:rsidRPr="00624BBC" w:rsidRDefault="00211E6E">
    <w:pPr>
      <w:jc w:val="center"/>
      <w:rPr>
        <w:b/>
        <w:bCs/>
        <w:sz w:val="20"/>
        <w:szCs w:val="20"/>
      </w:rPr>
    </w:pPr>
    <w:r w:rsidRPr="00624BBC">
      <w:rPr>
        <w:b/>
        <w:bCs/>
        <w:sz w:val="20"/>
        <w:szCs w:val="20"/>
      </w:rPr>
      <w:fldChar w:fldCharType="begin"/>
    </w:r>
    <w:r w:rsidRPr="00624BBC">
      <w:rPr>
        <w:b/>
        <w:bCs/>
        <w:sz w:val="20"/>
        <w:szCs w:val="20"/>
      </w:rPr>
      <w:instrText>PAGE</w:instrText>
    </w:r>
    <w:r w:rsidRPr="00624BBC">
      <w:rPr>
        <w:b/>
        <w:bCs/>
        <w:sz w:val="20"/>
        <w:szCs w:val="20"/>
      </w:rPr>
      <w:fldChar w:fldCharType="separate"/>
    </w:r>
    <w:r w:rsidRPr="00624BBC">
      <w:rPr>
        <w:b/>
        <w:bCs/>
        <w:noProof/>
        <w:sz w:val="20"/>
        <w:szCs w:val="20"/>
      </w:rPr>
      <w:t>1</w:t>
    </w:r>
    <w:r w:rsidRPr="00624BBC">
      <w:rPr>
        <w:b/>
        <w:bCs/>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8C80CD" w14:textId="77777777" w:rsidR="0039274C" w:rsidRDefault="0039274C">
      <w:r>
        <w:separator/>
      </w:r>
    </w:p>
  </w:footnote>
  <w:footnote w:type="continuationSeparator" w:id="0">
    <w:p w14:paraId="0E641B87" w14:textId="77777777" w:rsidR="0039274C" w:rsidRDefault="003927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6F75A9" w14:textId="5CCDA037" w:rsidR="008A4121" w:rsidRDefault="008A4121">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6D7C71"/>
    <w:multiLevelType w:val="hybridMultilevel"/>
    <w:tmpl w:val="90EE682A"/>
    <w:lvl w:ilvl="0" w:tplc="B148A2E6">
      <w:start w:val="1"/>
      <w:numFmt w:val="decimal"/>
      <w:lvlText w:val="%1."/>
      <w:lvlJc w:val="left"/>
      <w:pPr>
        <w:ind w:left="720" w:hanging="360"/>
      </w:pPr>
    </w:lvl>
    <w:lvl w:ilvl="1" w:tplc="CA84BFCC">
      <w:numFmt w:val="decimal"/>
      <w:lvlText w:val=""/>
      <w:lvlJc w:val="left"/>
    </w:lvl>
    <w:lvl w:ilvl="2" w:tplc="9F841B1C">
      <w:numFmt w:val="decimal"/>
      <w:lvlText w:val=""/>
      <w:lvlJc w:val="left"/>
    </w:lvl>
    <w:lvl w:ilvl="3" w:tplc="62FA99E6">
      <w:numFmt w:val="decimal"/>
      <w:lvlText w:val=""/>
      <w:lvlJc w:val="left"/>
    </w:lvl>
    <w:lvl w:ilvl="4" w:tplc="9B221660">
      <w:numFmt w:val="decimal"/>
      <w:lvlText w:val=""/>
      <w:lvlJc w:val="left"/>
    </w:lvl>
    <w:lvl w:ilvl="5" w:tplc="B3684750">
      <w:numFmt w:val="decimal"/>
      <w:lvlText w:val=""/>
      <w:lvlJc w:val="left"/>
    </w:lvl>
    <w:lvl w:ilvl="6" w:tplc="5BE282D0">
      <w:numFmt w:val="decimal"/>
      <w:lvlText w:val=""/>
      <w:lvlJc w:val="left"/>
    </w:lvl>
    <w:lvl w:ilvl="7" w:tplc="FF2CEF2C">
      <w:numFmt w:val="decimal"/>
      <w:lvlText w:val=""/>
      <w:lvlJc w:val="left"/>
    </w:lvl>
    <w:lvl w:ilvl="8" w:tplc="0C6CC9C8">
      <w:numFmt w:val="decimal"/>
      <w:lvlText w:val=""/>
      <w:lvlJc w:val="left"/>
    </w:lvl>
  </w:abstractNum>
  <w:abstractNum w:abstractNumId="1" w15:restartNumberingAfterBreak="0">
    <w:nsid w:val="28BD2651"/>
    <w:multiLevelType w:val="hybridMultilevel"/>
    <w:tmpl w:val="7C54341C"/>
    <w:lvl w:ilvl="0" w:tplc="6A84C71E">
      <w:start w:val="1"/>
      <w:numFmt w:val="bullet"/>
      <w:lvlText w:val="•"/>
      <w:lvlJc w:val="left"/>
      <w:pPr>
        <w:ind w:left="720" w:hanging="360"/>
      </w:pPr>
    </w:lvl>
    <w:lvl w:ilvl="1" w:tplc="47D4239A">
      <w:numFmt w:val="decimal"/>
      <w:lvlText w:val=""/>
      <w:lvlJc w:val="left"/>
    </w:lvl>
    <w:lvl w:ilvl="2" w:tplc="376EE6F0">
      <w:numFmt w:val="decimal"/>
      <w:lvlText w:val=""/>
      <w:lvlJc w:val="left"/>
    </w:lvl>
    <w:lvl w:ilvl="3" w:tplc="2744AF60">
      <w:numFmt w:val="decimal"/>
      <w:lvlText w:val=""/>
      <w:lvlJc w:val="left"/>
    </w:lvl>
    <w:lvl w:ilvl="4" w:tplc="9C7CD268">
      <w:numFmt w:val="decimal"/>
      <w:lvlText w:val=""/>
      <w:lvlJc w:val="left"/>
    </w:lvl>
    <w:lvl w:ilvl="5" w:tplc="6C4ADAE4">
      <w:numFmt w:val="decimal"/>
      <w:lvlText w:val=""/>
      <w:lvlJc w:val="left"/>
    </w:lvl>
    <w:lvl w:ilvl="6" w:tplc="10841726">
      <w:numFmt w:val="decimal"/>
      <w:lvlText w:val=""/>
      <w:lvlJc w:val="left"/>
    </w:lvl>
    <w:lvl w:ilvl="7" w:tplc="7A186A66">
      <w:numFmt w:val="decimal"/>
      <w:lvlText w:val=""/>
      <w:lvlJc w:val="left"/>
    </w:lvl>
    <w:lvl w:ilvl="8" w:tplc="59824F50">
      <w:numFmt w:val="decimal"/>
      <w:lvlText w:val=""/>
      <w:lvlJc w:val="left"/>
    </w:lvl>
  </w:abstractNum>
  <w:abstractNum w:abstractNumId="2" w15:restartNumberingAfterBreak="0">
    <w:nsid w:val="556423D2"/>
    <w:multiLevelType w:val="hybridMultilevel"/>
    <w:tmpl w:val="CAD837D0"/>
    <w:lvl w:ilvl="0" w:tplc="91F4A3DA">
      <w:start w:val="1"/>
      <w:numFmt w:val="decimal"/>
      <w:lvlText w:val="%1."/>
      <w:lvlJc w:val="left"/>
      <w:pPr>
        <w:ind w:left="720" w:hanging="360"/>
      </w:pPr>
    </w:lvl>
    <w:lvl w:ilvl="1" w:tplc="6FDE0482">
      <w:numFmt w:val="decimal"/>
      <w:lvlText w:val=""/>
      <w:lvlJc w:val="left"/>
    </w:lvl>
    <w:lvl w:ilvl="2" w:tplc="2B0CC682">
      <w:numFmt w:val="decimal"/>
      <w:lvlText w:val=""/>
      <w:lvlJc w:val="left"/>
    </w:lvl>
    <w:lvl w:ilvl="3" w:tplc="108C396C">
      <w:numFmt w:val="decimal"/>
      <w:lvlText w:val=""/>
      <w:lvlJc w:val="left"/>
    </w:lvl>
    <w:lvl w:ilvl="4" w:tplc="517689F0">
      <w:numFmt w:val="decimal"/>
      <w:lvlText w:val=""/>
      <w:lvlJc w:val="left"/>
    </w:lvl>
    <w:lvl w:ilvl="5" w:tplc="3D88FB2C">
      <w:numFmt w:val="decimal"/>
      <w:lvlText w:val=""/>
      <w:lvlJc w:val="left"/>
    </w:lvl>
    <w:lvl w:ilvl="6" w:tplc="5B9E217C">
      <w:numFmt w:val="decimal"/>
      <w:lvlText w:val=""/>
      <w:lvlJc w:val="left"/>
    </w:lvl>
    <w:lvl w:ilvl="7" w:tplc="02ACD612">
      <w:numFmt w:val="decimal"/>
      <w:lvlText w:val=""/>
      <w:lvlJc w:val="left"/>
    </w:lvl>
    <w:lvl w:ilvl="8" w:tplc="0E1A59C4">
      <w:numFmt w:val="decimal"/>
      <w:lvlText w:val=""/>
      <w:lvlJc w:val="left"/>
    </w:lvl>
  </w:abstractNum>
  <w:abstractNum w:abstractNumId="3" w15:restartNumberingAfterBreak="0">
    <w:nsid w:val="74152690"/>
    <w:multiLevelType w:val="hybridMultilevel"/>
    <w:tmpl w:val="384885A0"/>
    <w:lvl w:ilvl="0" w:tplc="CC08E114">
      <w:start w:val="1"/>
      <w:numFmt w:val="bullet"/>
      <w:lvlText w:val="•"/>
      <w:lvlJc w:val="left"/>
      <w:pPr>
        <w:ind w:left="720" w:hanging="360"/>
      </w:pPr>
    </w:lvl>
    <w:lvl w:ilvl="1" w:tplc="5CBAE0D2">
      <w:numFmt w:val="decimal"/>
      <w:lvlText w:val=""/>
      <w:lvlJc w:val="left"/>
    </w:lvl>
    <w:lvl w:ilvl="2" w:tplc="965CD64A">
      <w:numFmt w:val="decimal"/>
      <w:lvlText w:val=""/>
      <w:lvlJc w:val="left"/>
    </w:lvl>
    <w:lvl w:ilvl="3" w:tplc="7F847F9C">
      <w:numFmt w:val="decimal"/>
      <w:lvlText w:val=""/>
      <w:lvlJc w:val="left"/>
    </w:lvl>
    <w:lvl w:ilvl="4" w:tplc="132A858E">
      <w:numFmt w:val="decimal"/>
      <w:lvlText w:val=""/>
      <w:lvlJc w:val="left"/>
    </w:lvl>
    <w:lvl w:ilvl="5" w:tplc="2E04B940">
      <w:numFmt w:val="decimal"/>
      <w:lvlText w:val=""/>
      <w:lvlJc w:val="left"/>
    </w:lvl>
    <w:lvl w:ilvl="6" w:tplc="3A5C336C">
      <w:numFmt w:val="decimal"/>
      <w:lvlText w:val=""/>
      <w:lvlJc w:val="left"/>
    </w:lvl>
    <w:lvl w:ilvl="7" w:tplc="2AD818C6">
      <w:numFmt w:val="decimal"/>
      <w:lvlText w:val=""/>
      <w:lvlJc w:val="left"/>
    </w:lvl>
    <w:lvl w:ilvl="8" w:tplc="D82A7676">
      <w:numFmt w:val="decimal"/>
      <w:lvlText w:val=""/>
      <w:lvlJc w:val="left"/>
    </w:lvl>
  </w:abstractNum>
  <w:num w:numId="1" w16cid:durableId="1589659840">
    <w:abstractNumId w:val="0"/>
    <w:lvlOverride w:ilvl="0">
      <w:startOverride w:val="1"/>
    </w:lvlOverride>
  </w:num>
  <w:num w:numId="2" w16cid:durableId="1845319668">
    <w:abstractNumId w:val="2"/>
    <w:lvlOverride w:ilvl="0">
      <w:startOverride w:val="1"/>
    </w:lvlOverride>
  </w:num>
  <w:num w:numId="3" w16cid:durableId="1774864201">
    <w:abstractNumId w:val="1"/>
    <w:lvlOverride w:ilvl="0">
      <w:startOverride w:val="1"/>
    </w:lvlOverride>
  </w:num>
  <w:num w:numId="4" w16cid:durableId="475027858">
    <w:abstractNumId w:val="3"/>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121"/>
    <w:rsid w:val="0001682F"/>
    <w:rsid w:val="00024369"/>
    <w:rsid w:val="00024598"/>
    <w:rsid w:val="00025A4C"/>
    <w:rsid w:val="000302F0"/>
    <w:rsid w:val="00032E99"/>
    <w:rsid w:val="00037856"/>
    <w:rsid w:val="000413A7"/>
    <w:rsid w:val="0004354D"/>
    <w:rsid w:val="000520F8"/>
    <w:rsid w:val="00057D40"/>
    <w:rsid w:val="00076519"/>
    <w:rsid w:val="00086DC5"/>
    <w:rsid w:val="000A2EC6"/>
    <w:rsid w:val="000A4C2E"/>
    <w:rsid w:val="000A677D"/>
    <w:rsid w:val="000A77AB"/>
    <w:rsid w:val="000B6A03"/>
    <w:rsid w:val="000C19DA"/>
    <w:rsid w:val="000C6A4D"/>
    <w:rsid w:val="000C6CD2"/>
    <w:rsid w:val="000C79B8"/>
    <w:rsid w:val="000D1A00"/>
    <w:rsid w:val="000D3B13"/>
    <w:rsid w:val="000D7487"/>
    <w:rsid w:val="000E6C0B"/>
    <w:rsid w:val="000F19D9"/>
    <w:rsid w:val="000F4A28"/>
    <w:rsid w:val="000F6BAF"/>
    <w:rsid w:val="000F7337"/>
    <w:rsid w:val="0010076A"/>
    <w:rsid w:val="0011072E"/>
    <w:rsid w:val="00125C2C"/>
    <w:rsid w:val="001341B8"/>
    <w:rsid w:val="00134F5B"/>
    <w:rsid w:val="00136163"/>
    <w:rsid w:val="00142B54"/>
    <w:rsid w:val="00153E4E"/>
    <w:rsid w:val="0016691A"/>
    <w:rsid w:val="00171005"/>
    <w:rsid w:val="00174C7D"/>
    <w:rsid w:val="001820B5"/>
    <w:rsid w:val="001847F6"/>
    <w:rsid w:val="001862B8"/>
    <w:rsid w:val="001931DE"/>
    <w:rsid w:val="00194FD5"/>
    <w:rsid w:val="00195607"/>
    <w:rsid w:val="001965F0"/>
    <w:rsid w:val="001969E4"/>
    <w:rsid w:val="001A5A4E"/>
    <w:rsid w:val="001C1DB9"/>
    <w:rsid w:val="001C4993"/>
    <w:rsid w:val="001C693C"/>
    <w:rsid w:val="001E7B2F"/>
    <w:rsid w:val="00202541"/>
    <w:rsid w:val="00211E6E"/>
    <w:rsid w:val="002129C6"/>
    <w:rsid w:val="00212A7E"/>
    <w:rsid w:val="002156E3"/>
    <w:rsid w:val="0021751F"/>
    <w:rsid w:val="00225B36"/>
    <w:rsid w:val="00231D4F"/>
    <w:rsid w:val="00237F05"/>
    <w:rsid w:val="00241BB6"/>
    <w:rsid w:val="00246567"/>
    <w:rsid w:val="002519B2"/>
    <w:rsid w:val="0025438A"/>
    <w:rsid w:val="00257E57"/>
    <w:rsid w:val="00267E3F"/>
    <w:rsid w:val="0027690E"/>
    <w:rsid w:val="00284C66"/>
    <w:rsid w:val="00286813"/>
    <w:rsid w:val="00294D20"/>
    <w:rsid w:val="002A1DD2"/>
    <w:rsid w:val="002B1E74"/>
    <w:rsid w:val="002C18F0"/>
    <w:rsid w:val="002C1D4A"/>
    <w:rsid w:val="002D533C"/>
    <w:rsid w:val="002E073C"/>
    <w:rsid w:val="002F4F2A"/>
    <w:rsid w:val="00303CA9"/>
    <w:rsid w:val="00306EDB"/>
    <w:rsid w:val="00310A5F"/>
    <w:rsid w:val="00314839"/>
    <w:rsid w:val="003167A9"/>
    <w:rsid w:val="00320FB6"/>
    <w:rsid w:val="00346FAB"/>
    <w:rsid w:val="00356289"/>
    <w:rsid w:val="0036082F"/>
    <w:rsid w:val="0039274C"/>
    <w:rsid w:val="003A1273"/>
    <w:rsid w:val="003A2A6A"/>
    <w:rsid w:val="003A7E82"/>
    <w:rsid w:val="003B5CCB"/>
    <w:rsid w:val="003B5D08"/>
    <w:rsid w:val="003C5DBC"/>
    <w:rsid w:val="003D122C"/>
    <w:rsid w:val="003D617D"/>
    <w:rsid w:val="003E06D7"/>
    <w:rsid w:val="003E2818"/>
    <w:rsid w:val="003E7704"/>
    <w:rsid w:val="003F12BA"/>
    <w:rsid w:val="003F3CAE"/>
    <w:rsid w:val="003F64AE"/>
    <w:rsid w:val="00410F94"/>
    <w:rsid w:val="0041627A"/>
    <w:rsid w:val="00432BD6"/>
    <w:rsid w:val="004535EA"/>
    <w:rsid w:val="00492285"/>
    <w:rsid w:val="00494B18"/>
    <w:rsid w:val="004B5EFE"/>
    <w:rsid w:val="004B616E"/>
    <w:rsid w:val="004B6518"/>
    <w:rsid w:val="004C480E"/>
    <w:rsid w:val="004C5B4F"/>
    <w:rsid w:val="004C7138"/>
    <w:rsid w:val="004D19E2"/>
    <w:rsid w:val="004D44EC"/>
    <w:rsid w:val="004D4AE1"/>
    <w:rsid w:val="004E1011"/>
    <w:rsid w:val="004E1399"/>
    <w:rsid w:val="004F2AD7"/>
    <w:rsid w:val="00502E8E"/>
    <w:rsid w:val="0050340A"/>
    <w:rsid w:val="00517ED3"/>
    <w:rsid w:val="0052395C"/>
    <w:rsid w:val="00523CE1"/>
    <w:rsid w:val="00524F36"/>
    <w:rsid w:val="00531518"/>
    <w:rsid w:val="00531DE7"/>
    <w:rsid w:val="005417A4"/>
    <w:rsid w:val="00545140"/>
    <w:rsid w:val="00546300"/>
    <w:rsid w:val="00546416"/>
    <w:rsid w:val="005713EA"/>
    <w:rsid w:val="00587AC3"/>
    <w:rsid w:val="00591541"/>
    <w:rsid w:val="00594B6C"/>
    <w:rsid w:val="005B0B61"/>
    <w:rsid w:val="005B2EE6"/>
    <w:rsid w:val="005C7250"/>
    <w:rsid w:val="005D0832"/>
    <w:rsid w:val="005D22FB"/>
    <w:rsid w:val="005F6B63"/>
    <w:rsid w:val="00602FB0"/>
    <w:rsid w:val="00605601"/>
    <w:rsid w:val="00607DB8"/>
    <w:rsid w:val="00624BBC"/>
    <w:rsid w:val="00625527"/>
    <w:rsid w:val="0064050D"/>
    <w:rsid w:val="006476D2"/>
    <w:rsid w:val="0065179D"/>
    <w:rsid w:val="00651A9F"/>
    <w:rsid w:val="00654EE4"/>
    <w:rsid w:val="006627CC"/>
    <w:rsid w:val="0066358C"/>
    <w:rsid w:val="0066477E"/>
    <w:rsid w:val="0068634B"/>
    <w:rsid w:val="00697CD8"/>
    <w:rsid w:val="006A1981"/>
    <w:rsid w:val="006B0A17"/>
    <w:rsid w:val="006B47B3"/>
    <w:rsid w:val="006B7BA3"/>
    <w:rsid w:val="006D73A7"/>
    <w:rsid w:val="006D74B8"/>
    <w:rsid w:val="006E0411"/>
    <w:rsid w:val="006E4CC9"/>
    <w:rsid w:val="006F0590"/>
    <w:rsid w:val="006F62AB"/>
    <w:rsid w:val="007034AB"/>
    <w:rsid w:val="00705B4B"/>
    <w:rsid w:val="007066BC"/>
    <w:rsid w:val="00712D42"/>
    <w:rsid w:val="007137CA"/>
    <w:rsid w:val="007203F5"/>
    <w:rsid w:val="00726697"/>
    <w:rsid w:val="00731DF2"/>
    <w:rsid w:val="0073749D"/>
    <w:rsid w:val="00744926"/>
    <w:rsid w:val="00745360"/>
    <w:rsid w:val="0075045D"/>
    <w:rsid w:val="00757BE0"/>
    <w:rsid w:val="00765730"/>
    <w:rsid w:val="00767FCC"/>
    <w:rsid w:val="007701D7"/>
    <w:rsid w:val="0077073A"/>
    <w:rsid w:val="0077262C"/>
    <w:rsid w:val="00787A2B"/>
    <w:rsid w:val="007900BB"/>
    <w:rsid w:val="00791050"/>
    <w:rsid w:val="00796A2C"/>
    <w:rsid w:val="007B564C"/>
    <w:rsid w:val="007B72F3"/>
    <w:rsid w:val="007D3AAA"/>
    <w:rsid w:val="007F32A2"/>
    <w:rsid w:val="007F5EFA"/>
    <w:rsid w:val="007F6AC7"/>
    <w:rsid w:val="00812920"/>
    <w:rsid w:val="00814767"/>
    <w:rsid w:val="00815B76"/>
    <w:rsid w:val="008177D6"/>
    <w:rsid w:val="00844BFA"/>
    <w:rsid w:val="00854952"/>
    <w:rsid w:val="008603BA"/>
    <w:rsid w:val="00861778"/>
    <w:rsid w:val="0086733B"/>
    <w:rsid w:val="00875E74"/>
    <w:rsid w:val="00876F44"/>
    <w:rsid w:val="00887510"/>
    <w:rsid w:val="008A24B5"/>
    <w:rsid w:val="008A383B"/>
    <w:rsid w:val="008A4121"/>
    <w:rsid w:val="008C55EA"/>
    <w:rsid w:val="008C69D7"/>
    <w:rsid w:val="008D1927"/>
    <w:rsid w:val="008D46A2"/>
    <w:rsid w:val="008D6920"/>
    <w:rsid w:val="008E75C6"/>
    <w:rsid w:val="008F0056"/>
    <w:rsid w:val="008F11EB"/>
    <w:rsid w:val="008F5185"/>
    <w:rsid w:val="00911421"/>
    <w:rsid w:val="009116B0"/>
    <w:rsid w:val="00942B3D"/>
    <w:rsid w:val="00944B8B"/>
    <w:rsid w:val="0094604D"/>
    <w:rsid w:val="009462E6"/>
    <w:rsid w:val="009541C2"/>
    <w:rsid w:val="00955C7A"/>
    <w:rsid w:val="00962151"/>
    <w:rsid w:val="00963A58"/>
    <w:rsid w:val="00966BDE"/>
    <w:rsid w:val="009673C1"/>
    <w:rsid w:val="009710EE"/>
    <w:rsid w:val="00971BF6"/>
    <w:rsid w:val="009825AC"/>
    <w:rsid w:val="009866A4"/>
    <w:rsid w:val="009950F7"/>
    <w:rsid w:val="009A1499"/>
    <w:rsid w:val="009A179B"/>
    <w:rsid w:val="009B151B"/>
    <w:rsid w:val="009B48E4"/>
    <w:rsid w:val="009B7DA7"/>
    <w:rsid w:val="009B7E07"/>
    <w:rsid w:val="009C0C92"/>
    <w:rsid w:val="009C7098"/>
    <w:rsid w:val="009E502E"/>
    <w:rsid w:val="009F1F7F"/>
    <w:rsid w:val="00A04BE7"/>
    <w:rsid w:val="00A100DE"/>
    <w:rsid w:val="00A20E29"/>
    <w:rsid w:val="00A333CE"/>
    <w:rsid w:val="00A61A14"/>
    <w:rsid w:val="00A659B3"/>
    <w:rsid w:val="00A74078"/>
    <w:rsid w:val="00A7521B"/>
    <w:rsid w:val="00A83A4E"/>
    <w:rsid w:val="00A938D7"/>
    <w:rsid w:val="00AA6404"/>
    <w:rsid w:val="00AB3BEE"/>
    <w:rsid w:val="00AB3F4E"/>
    <w:rsid w:val="00AB76D0"/>
    <w:rsid w:val="00AC4438"/>
    <w:rsid w:val="00AE1D21"/>
    <w:rsid w:val="00AE38FE"/>
    <w:rsid w:val="00AE4BD9"/>
    <w:rsid w:val="00AF1678"/>
    <w:rsid w:val="00B23E79"/>
    <w:rsid w:val="00B27CE7"/>
    <w:rsid w:val="00B32B92"/>
    <w:rsid w:val="00B46DBA"/>
    <w:rsid w:val="00B65651"/>
    <w:rsid w:val="00B71FB3"/>
    <w:rsid w:val="00B74435"/>
    <w:rsid w:val="00B75DD2"/>
    <w:rsid w:val="00B762B7"/>
    <w:rsid w:val="00B84C94"/>
    <w:rsid w:val="00B87231"/>
    <w:rsid w:val="00B979CC"/>
    <w:rsid w:val="00BA2F5A"/>
    <w:rsid w:val="00BA42FA"/>
    <w:rsid w:val="00BA4322"/>
    <w:rsid w:val="00BA6E21"/>
    <w:rsid w:val="00BB263A"/>
    <w:rsid w:val="00BB2B8A"/>
    <w:rsid w:val="00BC51C8"/>
    <w:rsid w:val="00BD4FA1"/>
    <w:rsid w:val="00BD59EA"/>
    <w:rsid w:val="00BE1056"/>
    <w:rsid w:val="00BE2DA0"/>
    <w:rsid w:val="00BE4239"/>
    <w:rsid w:val="00BF3E8F"/>
    <w:rsid w:val="00BF586B"/>
    <w:rsid w:val="00BF7500"/>
    <w:rsid w:val="00C01AF6"/>
    <w:rsid w:val="00C12279"/>
    <w:rsid w:val="00C22A5E"/>
    <w:rsid w:val="00C43D8E"/>
    <w:rsid w:val="00C46CCA"/>
    <w:rsid w:val="00C520F4"/>
    <w:rsid w:val="00C67F36"/>
    <w:rsid w:val="00C77E96"/>
    <w:rsid w:val="00C81451"/>
    <w:rsid w:val="00C819C5"/>
    <w:rsid w:val="00C832A6"/>
    <w:rsid w:val="00C84325"/>
    <w:rsid w:val="00C93396"/>
    <w:rsid w:val="00C93B70"/>
    <w:rsid w:val="00C95909"/>
    <w:rsid w:val="00CA4E9C"/>
    <w:rsid w:val="00CA4EFD"/>
    <w:rsid w:val="00CA7AAB"/>
    <w:rsid w:val="00CB0805"/>
    <w:rsid w:val="00CC5107"/>
    <w:rsid w:val="00CD0E8E"/>
    <w:rsid w:val="00CD5076"/>
    <w:rsid w:val="00CD56E9"/>
    <w:rsid w:val="00CF2F4B"/>
    <w:rsid w:val="00CF3069"/>
    <w:rsid w:val="00D073C2"/>
    <w:rsid w:val="00D16EFE"/>
    <w:rsid w:val="00D26E7E"/>
    <w:rsid w:val="00D31620"/>
    <w:rsid w:val="00D33A1C"/>
    <w:rsid w:val="00D41ED1"/>
    <w:rsid w:val="00D4449C"/>
    <w:rsid w:val="00D4606C"/>
    <w:rsid w:val="00D46AD1"/>
    <w:rsid w:val="00D52D8F"/>
    <w:rsid w:val="00D5611E"/>
    <w:rsid w:val="00D57A93"/>
    <w:rsid w:val="00D85967"/>
    <w:rsid w:val="00D86CC1"/>
    <w:rsid w:val="00D87C20"/>
    <w:rsid w:val="00D905B6"/>
    <w:rsid w:val="00D936FE"/>
    <w:rsid w:val="00D975FC"/>
    <w:rsid w:val="00DB608F"/>
    <w:rsid w:val="00DC3A70"/>
    <w:rsid w:val="00DD1F6E"/>
    <w:rsid w:val="00DD206E"/>
    <w:rsid w:val="00DE66B5"/>
    <w:rsid w:val="00DF23BB"/>
    <w:rsid w:val="00DF4910"/>
    <w:rsid w:val="00DF5437"/>
    <w:rsid w:val="00DF6AE9"/>
    <w:rsid w:val="00E0160C"/>
    <w:rsid w:val="00E10041"/>
    <w:rsid w:val="00E106AE"/>
    <w:rsid w:val="00E107E4"/>
    <w:rsid w:val="00E11E37"/>
    <w:rsid w:val="00E14BE1"/>
    <w:rsid w:val="00E21564"/>
    <w:rsid w:val="00E2767C"/>
    <w:rsid w:val="00E312F2"/>
    <w:rsid w:val="00E40CBF"/>
    <w:rsid w:val="00E440E8"/>
    <w:rsid w:val="00E44722"/>
    <w:rsid w:val="00E62E86"/>
    <w:rsid w:val="00E6666A"/>
    <w:rsid w:val="00E669E8"/>
    <w:rsid w:val="00E67B0B"/>
    <w:rsid w:val="00E7125A"/>
    <w:rsid w:val="00E771A7"/>
    <w:rsid w:val="00E82E7C"/>
    <w:rsid w:val="00E97A2F"/>
    <w:rsid w:val="00EB21E0"/>
    <w:rsid w:val="00EB30E7"/>
    <w:rsid w:val="00EB3564"/>
    <w:rsid w:val="00EC468A"/>
    <w:rsid w:val="00EC57AF"/>
    <w:rsid w:val="00ED42C1"/>
    <w:rsid w:val="00EE0029"/>
    <w:rsid w:val="00EE1F36"/>
    <w:rsid w:val="00EE4960"/>
    <w:rsid w:val="00EE5301"/>
    <w:rsid w:val="00F00547"/>
    <w:rsid w:val="00F01430"/>
    <w:rsid w:val="00F0175D"/>
    <w:rsid w:val="00F056E8"/>
    <w:rsid w:val="00F3429E"/>
    <w:rsid w:val="00F34AAE"/>
    <w:rsid w:val="00F413BE"/>
    <w:rsid w:val="00F44556"/>
    <w:rsid w:val="00F4752A"/>
    <w:rsid w:val="00F51536"/>
    <w:rsid w:val="00F51E5C"/>
    <w:rsid w:val="00F53DE6"/>
    <w:rsid w:val="00F576EB"/>
    <w:rsid w:val="00F6248A"/>
    <w:rsid w:val="00F81CC0"/>
    <w:rsid w:val="00F90FE6"/>
    <w:rsid w:val="00F91905"/>
    <w:rsid w:val="00FA6718"/>
    <w:rsid w:val="00FB1BFF"/>
    <w:rsid w:val="00FB45BF"/>
    <w:rsid w:val="00FB6993"/>
    <w:rsid w:val="00FD6B48"/>
    <w:rsid w:val="00FE27CC"/>
    <w:rsid w:val="00FE7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7F8930"/>
  <w15:chartTrackingRefBased/>
  <w15:docId w15:val="{1C7CD77D-7D70-4F06-8D1D-84CD2D966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08F"/>
    <w:pPr>
      <w:spacing w:after="0" w:line="240" w:lineRule="auto"/>
    </w:pPr>
    <w:rPr>
      <w:rFonts w:ascii="Arial" w:eastAsia="Arial" w:hAnsi="Arial" w:cs="Arial"/>
      <w:sz w:val="24"/>
      <w:szCs w:val="24"/>
      <w:lang w:eastAsia="en-GB"/>
    </w:rPr>
  </w:style>
  <w:style w:type="paragraph" w:styleId="Heading1">
    <w:name w:val="heading 1"/>
    <w:basedOn w:val="Normal"/>
    <w:next w:val="Normal"/>
    <w:link w:val="Heading1Char"/>
    <w:uiPriority w:val="9"/>
    <w:qFormat/>
    <w:rsid w:val="008A41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41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41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41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41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412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412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412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412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1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41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41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41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41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41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41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41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4121"/>
    <w:rPr>
      <w:rFonts w:eastAsiaTheme="majorEastAsia" w:cstheme="majorBidi"/>
      <w:color w:val="272727" w:themeColor="text1" w:themeTint="D8"/>
    </w:rPr>
  </w:style>
  <w:style w:type="paragraph" w:styleId="Title">
    <w:name w:val="Title"/>
    <w:basedOn w:val="Normal"/>
    <w:next w:val="Normal"/>
    <w:link w:val="TitleChar"/>
    <w:uiPriority w:val="10"/>
    <w:qFormat/>
    <w:rsid w:val="008A412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41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41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41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4121"/>
    <w:pPr>
      <w:spacing w:before="160"/>
      <w:jc w:val="center"/>
    </w:pPr>
    <w:rPr>
      <w:i/>
      <w:iCs/>
      <w:color w:val="404040" w:themeColor="text1" w:themeTint="BF"/>
    </w:rPr>
  </w:style>
  <w:style w:type="character" w:customStyle="1" w:styleId="QuoteChar">
    <w:name w:val="Quote Char"/>
    <w:basedOn w:val="DefaultParagraphFont"/>
    <w:link w:val="Quote"/>
    <w:uiPriority w:val="29"/>
    <w:rsid w:val="008A4121"/>
    <w:rPr>
      <w:i/>
      <w:iCs/>
      <w:color w:val="404040" w:themeColor="text1" w:themeTint="BF"/>
    </w:rPr>
  </w:style>
  <w:style w:type="paragraph" w:styleId="ListParagraph">
    <w:name w:val="List Paragraph"/>
    <w:basedOn w:val="Normal"/>
    <w:qFormat/>
    <w:rsid w:val="008A4121"/>
    <w:pPr>
      <w:ind w:left="720"/>
      <w:contextualSpacing/>
    </w:pPr>
  </w:style>
  <w:style w:type="character" w:styleId="IntenseEmphasis">
    <w:name w:val="Intense Emphasis"/>
    <w:basedOn w:val="DefaultParagraphFont"/>
    <w:uiPriority w:val="21"/>
    <w:qFormat/>
    <w:rsid w:val="008A4121"/>
    <w:rPr>
      <w:i/>
      <w:iCs/>
      <w:color w:val="0F4761" w:themeColor="accent1" w:themeShade="BF"/>
    </w:rPr>
  </w:style>
  <w:style w:type="paragraph" w:styleId="IntenseQuote">
    <w:name w:val="Intense Quote"/>
    <w:basedOn w:val="Normal"/>
    <w:next w:val="Normal"/>
    <w:link w:val="IntenseQuoteChar"/>
    <w:uiPriority w:val="30"/>
    <w:qFormat/>
    <w:rsid w:val="008A41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4121"/>
    <w:rPr>
      <w:i/>
      <w:iCs/>
      <w:color w:val="0F4761" w:themeColor="accent1" w:themeShade="BF"/>
    </w:rPr>
  </w:style>
  <w:style w:type="character" w:styleId="IntenseReference">
    <w:name w:val="Intense Reference"/>
    <w:basedOn w:val="DefaultParagraphFont"/>
    <w:uiPriority w:val="32"/>
    <w:qFormat/>
    <w:rsid w:val="008A4121"/>
    <w:rPr>
      <w:b/>
      <w:bCs/>
      <w:smallCaps/>
      <w:color w:val="0F4761" w:themeColor="accent1" w:themeShade="BF"/>
      <w:spacing w:val="5"/>
    </w:rPr>
  </w:style>
  <w:style w:type="paragraph" w:styleId="Header">
    <w:name w:val="header"/>
    <w:basedOn w:val="Normal"/>
    <w:link w:val="HeaderChar"/>
    <w:uiPriority w:val="99"/>
    <w:unhideWhenUsed/>
    <w:rsid w:val="00DF6AE9"/>
    <w:pPr>
      <w:tabs>
        <w:tab w:val="center" w:pos="4513"/>
        <w:tab w:val="right" w:pos="9026"/>
      </w:tabs>
    </w:pPr>
  </w:style>
  <w:style w:type="character" w:customStyle="1" w:styleId="HeaderChar">
    <w:name w:val="Header Char"/>
    <w:basedOn w:val="DefaultParagraphFont"/>
    <w:link w:val="Header"/>
    <w:uiPriority w:val="99"/>
    <w:rsid w:val="00DF6AE9"/>
    <w:rPr>
      <w:rFonts w:ascii="Arial" w:eastAsia="Arial" w:hAnsi="Arial" w:cs="Arial"/>
      <w:sz w:val="24"/>
      <w:szCs w:val="24"/>
      <w:lang w:eastAsia="en-GB"/>
    </w:rPr>
  </w:style>
  <w:style w:type="paragraph" w:styleId="Footer">
    <w:name w:val="footer"/>
    <w:basedOn w:val="Normal"/>
    <w:link w:val="FooterChar"/>
    <w:uiPriority w:val="99"/>
    <w:unhideWhenUsed/>
    <w:rsid w:val="00DF6AE9"/>
    <w:pPr>
      <w:tabs>
        <w:tab w:val="center" w:pos="4513"/>
        <w:tab w:val="right" w:pos="9026"/>
      </w:tabs>
    </w:pPr>
  </w:style>
  <w:style w:type="character" w:customStyle="1" w:styleId="FooterChar">
    <w:name w:val="Footer Char"/>
    <w:basedOn w:val="DefaultParagraphFont"/>
    <w:link w:val="Footer"/>
    <w:uiPriority w:val="99"/>
    <w:rsid w:val="00DF6AE9"/>
    <w:rPr>
      <w:rFonts w:ascii="Arial" w:eastAsia="Arial" w:hAnsi="Arial" w:cs="Arial"/>
      <w:sz w:val="24"/>
      <w:szCs w:val="24"/>
      <w:lang w:eastAsia="en-GB"/>
    </w:rPr>
  </w:style>
  <w:style w:type="paragraph" w:styleId="BodyText">
    <w:name w:val="Body Text"/>
    <w:link w:val="BodyTextChar"/>
    <w:rsid w:val="00C520F4"/>
    <w:pPr>
      <w:spacing w:after="200" w:line="360" w:lineRule="auto"/>
      <w:jc w:val="both"/>
    </w:pPr>
    <w:rPr>
      <w:rFonts w:ascii="Arial" w:eastAsia="Arial" w:hAnsi="Arial" w:cs="Arial"/>
      <w:sz w:val="24"/>
      <w:szCs w:val="24"/>
      <w:lang w:eastAsia="en-GB"/>
    </w:rPr>
  </w:style>
  <w:style w:type="character" w:customStyle="1" w:styleId="BodyTextChar">
    <w:name w:val="Body Text Char"/>
    <w:basedOn w:val="DefaultParagraphFont"/>
    <w:link w:val="BodyText"/>
    <w:rsid w:val="00C520F4"/>
    <w:rPr>
      <w:rFonts w:ascii="Arial" w:eastAsia="Arial" w:hAnsi="Arial" w:cs="Arial"/>
      <w:sz w:val="24"/>
      <w:szCs w:val="24"/>
      <w:lang w:eastAsia="en-GB"/>
    </w:rPr>
  </w:style>
  <w:style w:type="paragraph" w:styleId="TOC1">
    <w:name w:val="toc 1"/>
    <w:basedOn w:val="Normal"/>
    <w:next w:val="Normal"/>
    <w:autoRedefine/>
    <w:uiPriority w:val="39"/>
    <w:unhideWhenUsed/>
    <w:rsid w:val="00861778"/>
    <w:pPr>
      <w:tabs>
        <w:tab w:val="right" w:leader="dot" w:pos="9016"/>
      </w:tabs>
      <w:spacing w:line="360" w:lineRule="auto"/>
    </w:pPr>
    <w:rPr>
      <w:noProof/>
    </w:rPr>
  </w:style>
  <w:style w:type="paragraph" w:styleId="TOC2">
    <w:name w:val="toc 2"/>
    <w:basedOn w:val="Normal"/>
    <w:next w:val="Normal"/>
    <w:autoRedefine/>
    <w:uiPriority w:val="39"/>
    <w:unhideWhenUsed/>
    <w:rsid w:val="00037856"/>
    <w:pPr>
      <w:tabs>
        <w:tab w:val="right" w:leader="dot" w:pos="9016"/>
      </w:tabs>
      <w:spacing w:line="360" w:lineRule="auto"/>
      <w:ind w:left="238"/>
    </w:pPr>
  </w:style>
  <w:style w:type="paragraph" w:styleId="TOC3">
    <w:name w:val="toc 3"/>
    <w:basedOn w:val="Normal"/>
    <w:next w:val="Normal"/>
    <w:autoRedefine/>
    <w:uiPriority w:val="39"/>
    <w:unhideWhenUsed/>
    <w:rsid w:val="00CC5107"/>
    <w:pPr>
      <w:spacing w:after="100"/>
      <w:ind w:left="480"/>
    </w:pPr>
  </w:style>
  <w:style w:type="paragraph" w:styleId="TOC4">
    <w:name w:val="toc 4"/>
    <w:basedOn w:val="Normal"/>
    <w:next w:val="Normal"/>
    <w:autoRedefine/>
    <w:uiPriority w:val="39"/>
    <w:unhideWhenUsed/>
    <w:rsid w:val="00CC5107"/>
    <w:pPr>
      <w:spacing w:after="100" w:line="278" w:lineRule="auto"/>
      <w:ind w:left="720"/>
    </w:pPr>
    <w:rPr>
      <w:rFonts w:asciiTheme="minorHAnsi" w:eastAsiaTheme="minorEastAsia" w:hAnsiTheme="minorHAnsi" w:cstheme="minorBidi"/>
      <w:kern w:val="2"/>
      <w14:ligatures w14:val="standardContextual"/>
    </w:rPr>
  </w:style>
  <w:style w:type="paragraph" w:styleId="TOC5">
    <w:name w:val="toc 5"/>
    <w:basedOn w:val="Normal"/>
    <w:next w:val="Normal"/>
    <w:autoRedefine/>
    <w:uiPriority w:val="39"/>
    <w:unhideWhenUsed/>
    <w:rsid w:val="00CC5107"/>
    <w:pPr>
      <w:spacing w:after="100" w:line="278" w:lineRule="auto"/>
      <w:ind w:left="960"/>
    </w:pPr>
    <w:rPr>
      <w:rFonts w:asciiTheme="minorHAnsi" w:eastAsiaTheme="minorEastAsia" w:hAnsiTheme="minorHAnsi" w:cstheme="minorBidi"/>
      <w:kern w:val="2"/>
      <w14:ligatures w14:val="standardContextual"/>
    </w:rPr>
  </w:style>
  <w:style w:type="paragraph" w:styleId="TOC6">
    <w:name w:val="toc 6"/>
    <w:basedOn w:val="Normal"/>
    <w:next w:val="Normal"/>
    <w:autoRedefine/>
    <w:uiPriority w:val="39"/>
    <w:unhideWhenUsed/>
    <w:rsid w:val="00CC5107"/>
    <w:pPr>
      <w:spacing w:after="100" w:line="278" w:lineRule="auto"/>
      <w:ind w:left="1200"/>
    </w:pPr>
    <w:rPr>
      <w:rFonts w:asciiTheme="minorHAnsi" w:eastAsiaTheme="minorEastAsia" w:hAnsiTheme="minorHAnsi" w:cstheme="minorBidi"/>
      <w:kern w:val="2"/>
      <w14:ligatures w14:val="standardContextual"/>
    </w:rPr>
  </w:style>
  <w:style w:type="paragraph" w:styleId="TOC7">
    <w:name w:val="toc 7"/>
    <w:basedOn w:val="Normal"/>
    <w:next w:val="Normal"/>
    <w:autoRedefine/>
    <w:uiPriority w:val="39"/>
    <w:unhideWhenUsed/>
    <w:rsid w:val="00CC5107"/>
    <w:pPr>
      <w:spacing w:after="100" w:line="278" w:lineRule="auto"/>
      <w:ind w:left="1440"/>
    </w:pPr>
    <w:rPr>
      <w:rFonts w:asciiTheme="minorHAnsi" w:eastAsiaTheme="minorEastAsia" w:hAnsiTheme="minorHAnsi" w:cstheme="minorBidi"/>
      <w:kern w:val="2"/>
      <w14:ligatures w14:val="standardContextual"/>
    </w:rPr>
  </w:style>
  <w:style w:type="paragraph" w:styleId="TOC8">
    <w:name w:val="toc 8"/>
    <w:basedOn w:val="Normal"/>
    <w:next w:val="Normal"/>
    <w:autoRedefine/>
    <w:uiPriority w:val="39"/>
    <w:unhideWhenUsed/>
    <w:rsid w:val="00CC5107"/>
    <w:pPr>
      <w:spacing w:after="100" w:line="278" w:lineRule="auto"/>
      <w:ind w:left="1680"/>
    </w:pPr>
    <w:rPr>
      <w:rFonts w:asciiTheme="minorHAnsi" w:eastAsiaTheme="minorEastAsia" w:hAnsiTheme="minorHAnsi" w:cstheme="minorBidi"/>
      <w:kern w:val="2"/>
      <w14:ligatures w14:val="standardContextual"/>
    </w:rPr>
  </w:style>
  <w:style w:type="paragraph" w:styleId="TOC9">
    <w:name w:val="toc 9"/>
    <w:basedOn w:val="Normal"/>
    <w:next w:val="Normal"/>
    <w:autoRedefine/>
    <w:uiPriority w:val="39"/>
    <w:unhideWhenUsed/>
    <w:rsid w:val="00CC5107"/>
    <w:pPr>
      <w:spacing w:after="100" w:line="278" w:lineRule="auto"/>
      <w:ind w:left="1920"/>
    </w:pPr>
    <w:rPr>
      <w:rFonts w:asciiTheme="minorHAnsi" w:eastAsiaTheme="minorEastAsia" w:hAnsiTheme="minorHAnsi" w:cstheme="minorBidi"/>
      <w:kern w:val="2"/>
      <w14:ligatures w14:val="standardContextual"/>
    </w:rPr>
  </w:style>
  <w:style w:type="character" w:styleId="Hyperlink">
    <w:name w:val="Hyperlink"/>
    <w:basedOn w:val="DefaultParagraphFont"/>
    <w:uiPriority w:val="99"/>
    <w:unhideWhenUsed/>
    <w:rsid w:val="00CC5107"/>
    <w:rPr>
      <w:color w:val="467886" w:themeColor="hyperlink"/>
      <w:u w:val="single"/>
    </w:rPr>
  </w:style>
  <w:style w:type="character" w:styleId="UnresolvedMention">
    <w:name w:val="Unresolved Mention"/>
    <w:basedOn w:val="DefaultParagraphFont"/>
    <w:uiPriority w:val="99"/>
    <w:semiHidden/>
    <w:unhideWhenUsed/>
    <w:rsid w:val="00CC5107"/>
    <w:rPr>
      <w:color w:val="605E5C"/>
      <w:shd w:val="clear" w:color="auto" w:fill="E1DFDD"/>
    </w:rPr>
  </w:style>
  <w:style w:type="paragraph" w:styleId="Caption">
    <w:name w:val="caption"/>
    <w:basedOn w:val="Normal"/>
    <w:next w:val="Normal"/>
    <w:uiPriority w:val="35"/>
    <w:unhideWhenUsed/>
    <w:qFormat/>
    <w:rsid w:val="009673C1"/>
    <w:pPr>
      <w:spacing w:after="200"/>
    </w:pPr>
    <w:rPr>
      <w:i/>
      <w:iCs/>
      <w:color w:val="0E2841" w:themeColor="text2"/>
      <w:sz w:val="18"/>
      <w:szCs w:val="18"/>
    </w:rPr>
  </w:style>
  <w:style w:type="paragraph" w:styleId="TableofFigures">
    <w:name w:val="table of figures"/>
    <w:basedOn w:val="Normal"/>
    <w:next w:val="Normal"/>
    <w:uiPriority w:val="99"/>
    <w:unhideWhenUsed/>
    <w:rsid w:val="009673C1"/>
  </w:style>
  <w:style w:type="character" w:styleId="FollowedHyperlink">
    <w:name w:val="FollowedHyperlink"/>
    <w:basedOn w:val="DefaultParagraphFont"/>
    <w:uiPriority w:val="99"/>
    <w:semiHidden/>
    <w:unhideWhenUsed/>
    <w:rsid w:val="0025438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hyperlink" Target="https://doi.org/10.1016/j.rser.2016.11.083" TargetMode="External"/><Relationship Id="rId47" Type="http://schemas.openxmlformats.org/officeDocument/2006/relationships/hyperlink" Target="https://www.gov.uk/government/publications/transforming-infrastructure-performance-roadmap-to-2030" TargetMode="External"/><Relationship Id="rId63" Type="http://schemas.openxmlformats.org/officeDocument/2006/relationships/hyperlink" Target="https://www.gov.uk/government/publications/net-zero-strategy" TargetMode="External"/><Relationship Id="rId68" Type="http://schemas.openxmlformats.org/officeDocument/2006/relationships/hyperlink" Target="https://doi.org/10.3390/buildings15071030" TargetMode="External"/><Relationship Id="rId16" Type="http://schemas.openxmlformats.org/officeDocument/2006/relationships/image" Target="media/image6.tmp"/><Relationship Id="rId11" Type="http://schemas.openxmlformats.org/officeDocument/2006/relationships/image" Target="media/image1.png"/><Relationship Id="rId24" Type="http://schemas.openxmlformats.org/officeDocument/2006/relationships/image" Target="media/image14.tmp"/><Relationship Id="rId32" Type="http://schemas.openxmlformats.org/officeDocument/2006/relationships/hyperlink" Target="https://www.cdbb.cam.ac.uk/DFTG/GeminiPrinciples" TargetMode="External"/><Relationship Id="rId37" Type="http://schemas.openxmlformats.org/officeDocument/2006/relationships/hyperlink" Target="https://www.theccc.org.uk/publication/2023-progress-report-to-parliament" TargetMode="External"/><Relationship Id="rId40" Type="http://schemas.openxmlformats.org/officeDocument/2006/relationships/hyperlink" Target="https://doi.org/10.36680/j.itcon.2021.005" TargetMode="External"/><Relationship Id="rId45" Type="http://schemas.openxmlformats.org/officeDocument/2006/relationships/hyperlink" Target="https://www.gov.uk/government/publications/construction-2025-strategy" TargetMode="External"/><Relationship Id="rId53" Type="http://schemas.openxmlformats.org/officeDocument/2006/relationships/hyperlink" Target="https://doi.org/10.1109/ACCESS.2020.2984461" TargetMode="External"/><Relationship Id="rId58" Type="http://schemas.openxmlformats.org/officeDocument/2006/relationships/hyperlink" Target="https://sensative.com/iot-use-cases-by-sensative/digital-twin/" TargetMode="External"/><Relationship Id="rId66" Type="http://schemas.openxmlformats.org/officeDocument/2006/relationships/hyperlink" Target="https://www.legislation.gov.uk/anaw/2015/2/contents" TargetMode="External"/><Relationship Id="rId74" Type="http://schemas.openxmlformats.org/officeDocument/2006/relationships/chart" Target="charts/chart5.xml"/><Relationship Id="rId5" Type="http://schemas.openxmlformats.org/officeDocument/2006/relationships/webSettings" Target="webSettings.xml"/><Relationship Id="rId61" Type="http://schemas.openxmlformats.org/officeDocument/2006/relationships/hyperlink" Target="https://doi.org/10.1016/j.autcon.2019.01.020" TargetMode="External"/><Relationship Id="rId19" Type="http://schemas.openxmlformats.org/officeDocument/2006/relationships/image" Target="media/image9.tmp"/><Relationship Id="rId14" Type="http://schemas.openxmlformats.org/officeDocument/2006/relationships/image" Target="media/image4.tmp"/><Relationship Id="rId22" Type="http://schemas.openxmlformats.org/officeDocument/2006/relationships/image" Target="media/image12.tmp"/><Relationship Id="rId27" Type="http://schemas.openxmlformats.org/officeDocument/2006/relationships/image" Target="media/image17.tmp"/><Relationship Id="rId30" Type="http://schemas.openxmlformats.org/officeDocument/2006/relationships/hyperlink" Target="https://www.aoc.co.uk/publications" TargetMode="External"/><Relationship Id="rId35" Type="http://schemas.openxmlformats.org/officeDocument/2006/relationships/hyperlink" Target="https://doi.org/10.1186/s42162-024-00313-7" TargetMode="External"/><Relationship Id="rId43" Type="http://schemas.openxmlformats.org/officeDocument/2006/relationships/hyperlink" Target="https://doi.org/10.1177/1525822X05279903" TargetMode="External"/><Relationship Id="rId48" Type="http://schemas.openxmlformats.org/officeDocument/2006/relationships/hyperlink" Target="https://www.iea.org/reports/buildings" TargetMode="External"/><Relationship Id="rId56" Type="http://schemas.openxmlformats.org/officeDocument/2006/relationships/hyperlink" Target="https://doi.org/10.1109/ICAPAI61893.2024.10541224" TargetMode="External"/><Relationship Id="rId64" Type="http://schemas.openxmlformats.org/officeDocument/2006/relationships/hyperlink" Target="https://doi.org/10.2307/30036540" TargetMode="External"/><Relationship Id="rId69" Type="http://schemas.openxmlformats.org/officeDocument/2006/relationships/hyperlink" Target="https://doi.org/10.3390/buildings14041113" TargetMode="External"/><Relationship Id="rId77" Type="http://schemas.openxmlformats.org/officeDocument/2006/relationships/fontTable" Target="fontTable.xml"/><Relationship Id="rId8" Type="http://schemas.openxmlformats.org/officeDocument/2006/relationships/header" Target="header1.xml"/><Relationship Id="rId51" Type="http://schemas.openxmlformats.org/officeDocument/2006/relationships/hyperlink" Target="https://doi.org/10.1016/j.jobe.2019.100755" TargetMode="External"/><Relationship Id="rId72" Type="http://schemas.openxmlformats.org/officeDocument/2006/relationships/chart" Target="charts/chart3.xml"/><Relationship Id="rId3" Type="http://schemas.openxmlformats.org/officeDocument/2006/relationships/styles" Target="styles.xml"/><Relationship Id="rId12" Type="http://schemas.openxmlformats.org/officeDocument/2006/relationships/image" Target="media/image2.tmp"/><Relationship Id="rId17" Type="http://schemas.openxmlformats.org/officeDocument/2006/relationships/image" Target="media/image7.tmp"/><Relationship Id="rId25" Type="http://schemas.openxmlformats.org/officeDocument/2006/relationships/image" Target="media/image15.tmp"/><Relationship Id="rId33" Type="http://schemas.openxmlformats.org/officeDocument/2006/relationships/hyperlink" Target="https://doi.org/10.1109/ACCESS.2024.3498107" TargetMode="External"/><Relationship Id="rId38" Type="http://schemas.openxmlformats.org/officeDocument/2006/relationships/hyperlink" Target="https://doi.org/10.2307/249008" TargetMode="External"/><Relationship Id="rId46" Type="http://schemas.openxmlformats.org/officeDocument/2006/relationships/hyperlink" Target="https://doi.org/10.1016/j.enbuild.2013.07.026" TargetMode="External"/><Relationship Id="rId59" Type="http://schemas.openxmlformats.org/officeDocument/2006/relationships/hyperlink" Target="https://doi.org/10.3390/buildings11040151" TargetMode="External"/><Relationship Id="rId67" Type="http://schemas.openxmlformats.org/officeDocument/2006/relationships/hyperlink" Target="https://www.gov.wales/net-zero-wales-carbon-budget-2-2021-2025" TargetMode="External"/><Relationship Id="rId20" Type="http://schemas.openxmlformats.org/officeDocument/2006/relationships/image" Target="media/image10.tmp"/><Relationship Id="rId41" Type="http://schemas.openxmlformats.org/officeDocument/2006/relationships/hyperlink" Target="https://constructingexcellence.org.uk/resources/rethinking-construction-the-egan-report" TargetMode="External"/><Relationship Id="rId54" Type="http://schemas.openxmlformats.org/officeDocument/2006/relationships/hyperlink" Target="https://doi.org/10.1109/JIOT.2017.2647881" TargetMode="External"/><Relationship Id="rId62" Type="http://schemas.openxmlformats.org/officeDocument/2006/relationships/hyperlink" Target="https://ukgbc.org/resources/net-zero-carbon-buildings-a-framework-definition" TargetMode="External"/><Relationship Id="rId70" Type="http://schemas.openxmlformats.org/officeDocument/2006/relationships/chart" Target="charts/chart1.xml"/><Relationship Id="rId75" Type="http://schemas.openxmlformats.org/officeDocument/2006/relationships/chart" Target="charts/chart6.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tmp"/><Relationship Id="rId23" Type="http://schemas.openxmlformats.org/officeDocument/2006/relationships/image" Target="media/image13.tmp"/><Relationship Id="rId28" Type="http://schemas.openxmlformats.org/officeDocument/2006/relationships/hyperlink" Target="https://doi.org/10.3390/s25175265" TargetMode="External"/><Relationship Id="rId36" Type="http://schemas.openxmlformats.org/officeDocument/2006/relationships/hyperlink" Target="https://www.cibse.org/knowledge-research/knowledge-portal/tm65-embodied-carbon-in-building-services" TargetMode="External"/><Relationship Id="rId49" Type="http://schemas.openxmlformats.org/officeDocument/2006/relationships/hyperlink" Target="https://doi.org/10.1016/j.autcon.2019.01.023" TargetMode="External"/><Relationship Id="rId57" Type="http://schemas.openxmlformats.org/officeDocument/2006/relationships/hyperlink" Target="https://doi.org/10.1016/j.apenergy.2019.114107" TargetMode="External"/><Relationship Id="rId10" Type="http://schemas.openxmlformats.org/officeDocument/2006/relationships/footer" Target="footer2.xml"/><Relationship Id="rId31" Type="http://schemas.openxmlformats.org/officeDocument/2006/relationships/hyperlink" Target="https://doi.org/10.1016/j.autcon.2020.103179" TargetMode="External"/><Relationship Id="rId44" Type="http://schemas.openxmlformats.org/officeDocument/2006/relationships/hyperlink" Target="https://doi.org/10.1016/j.enbuild.2022.111988" TargetMode="External"/><Relationship Id="rId52" Type="http://schemas.openxmlformats.org/officeDocument/2006/relationships/hyperlink" Target="https://doi.org/10.1016/j.apenergy.2011.11.075" TargetMode="External"/><Relationship Id="rId60" Type="http://schemas.openxmlformats.org/officeDocument/2006/relationships/hyperlink" Target="https://doi.org/10.1016/j.autcon.2008.10.003" TargetMode="External"/><Relationship Id="rId65" Type="http://schemas.openxmlformats.org/officeDocument/2006/relationships/hyperlink" Target="https://doi.org/10.1016/j.autcon.2013.10.023" TargetMode="External"/><Relationship Id="rId73" Type="http://schemas.openxmlformats.org/officeDocument/2006/relationships/chart" Target="charts/chart4.xm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3.tmp"/><Relationship Id="rId18" Type="http://schemas.openxmlformats.org/officeDocument/2006/relationships/image" Target="media/image8.tmp"/><Relationship Id="rId39" Type="http://schemas.openxmlformats.org/officeDocument/2006/relationships/hyperlink" Target="https://doi.org/10.1016/j.autcon.2014.02.009" TargetMode="External"/><Relationship Id="rId34" Type="http://schemas.openxmlformats.org/officeDocument/2006/relationships/hyperlink" Target="https://www.carbontrust.com/resources/guides/sector-based-advice/further-and-higher-education" TargetMode="External"/><Relationship Id="rId50" Type="http://schemas.openxmlformats.org/officeDocument/2006/relationships/hyperlink" Target="https://doi.org/10.3390/buildings5030899" TargetMode="External"/><Relationship Id="rId55" Type="http://schemas.openxmlformats.org/officeDocument/2006/relationships/hyperlink" Target="https://doi.org/10.1016/j.autcon.2016.12.003" TargetMode="External"/><Relationship Id="rId76" Type="http://schemas.openxmlformats.org/officeDocument/2006/relationships/footer" Target="footer3.xml"/><Relationship Id="rId7" Type="http://schemas.openxmlformats.org/officeDocument/2006/relationships/endnotes" Target="endnotes.xml"/><Relationship Id="rId71" Type="http://schemas.openxmlformats.org/officeDocument/2006/relationships/chart" Target="charts/chart2.xml"/><Relationship Id="rId2" Type="http://schemas.openxmlformats.org/officeDocument/2006/relationships/numbering" Target="numbering.xml"/><Relationship Id="rId29" Type="http://schemas.openxmlformats.org/officeDocument/2006/relationships/hyperlink" Target="https://doi.org/10.1016/j.enbuild.2023.112851"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padav\Desktop\Final%20Dissertation%20files\Final%20-%20Final%20Dissertation\Data_Analysis%20varian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padav\Desktop\Final%20Dissertation%20files\Final%20-%20Final%20Dissertation\Data_Analysis%20variant.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padav\Desktop\Final%20Dissertation%20files\Final%20-%20Final%20Dissertation\Data_Analysis%20variant.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padav\Desktop\Final%20Dissertation%20files\Final%20-%20Final%20Dissertation\Data_Analysis%20variant.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padav\Desktop\Final%20Dissertation%20files\Final%20-%20Final%20Dissertation\Data_Analysis%20variant.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padav\Desktop\Final%20Dissertation%20files\Final%20-%20Final%20Dissertation\Data_Analysis%20varian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000" b="1">
                <a:solidFill>
                  <a:srgbClr val="404040"/>
                </a:solidFill>
                <a:latin typeface="Arial"/>
              </a:rPr>
              <a:t>Figure G.1: Professional Profile of Respondents (n=87)</a:t>
            </a:r>
          </a:p>
        </c:rich>
      </c:tx>
      <c:overlay val="0"/>
    </c:title>
    <c:autoTitleDeleted val="0"/>
    <c:plotArea>
      <c:layout/>
      <c:barChart>
        <c:barDir val="bar"/>
        <c:grouping val="clustered"/>
        <c:varyColors val="0"/>
        <c:ser>
          <c:idx val="0"/>
          <c:order val="0"/>
          <c:invertIfNegative val="0"/>
          <c:dPt>
            <c:idx val="0"/>
            <c:invertIfNegative val="0"/>
            <c:bubble3D val="0"/>
            <c:spPr>
              <a:solidFill>
                <a:srgbClr val="1F3864"/>
              </a:solidFill>
            </c:spPr>
            <c:extLst>
              <c:ext xmlns:c16="http://schemas.microsoft.com/office/drawing/2014/chart" uri="{C3380CC4-5D6E-409C-BE32-E72D297353CC}">
                <c16:uniqueId val="{00000001-FCFB-4312-8D60-727EFFE2B298}"/>
              </c:ext>
            </c:extLst>
          </c:dPt>
          <c:dPt>
            <c:idx val="1"/>
            <c:invertIfNegative val="0"/>
            <c:bubble3D val="0"/>
            <c:spPr>
              <a:solidFill>
                <a:srgbClr val="2B4F8A"/>
              </a:solidFill>
            </c:spPr>
            <c:extLst>
              <c:ext xmlns:c16="http://schemas.microsoft.com/office/drawing/2014/chart" uri="{C3380CC4-5D6E-409C-BE32-E72D297353CC}">
                <c16:uniqueId val="{00000003-FCFB-4312-8D60-727EFFE2B298}"/>
              </c:ext>
            </c:extLst>
          </c:dPt>
          <c:dPt>
            <c:idx val="2"/>
            <c:invertIfNegative val="0"/>
            <c:bubble3D val="0"/>
            <c:spPr>
              <a:solidFill>
                <a:srgbClr val="3768AB"/>
              </a:solidFill>
            </c:spPr>
            <c:extLst>
              <c:ext xmlns:c16="http://schemas.microsoft.com/office/drawing/2014/chart" uri="{C3380CC4-5D6E-409C-BE32-E72D297353CC}">
                <c16:uniqueId val="{00000005-FCFB-4312-8D60-727EFFE2B298}"/>
              </c:ext>
            </c:extLst>
          </c:dPt>
          <c:dPt>
            <c:idx val="3"/>
            <c:invertIfNegative val="0"/>
            <c:bubble3D val="0"/>
            <c:spPr>
              <a:solidFill>
                <a:srgbClr val="4A80C4"/>
              </a:solidFill>
            </c:spPr>
            <c:extLst>
              <c:ext xmlns:c16="http://schemas.microsoft.com/office/drawing/2014/chart" uri="{C3380CC4-5D6E-409C-BE32-E72D297353CC}">
                <c16:uniqueId val="{00000007-FCFB-4312-8D60-727EFFE2B298}"/>
              </c:ext>
            </c:extLst>
          </c:dPt>
          <c:dPt>
            <c:idx val="4"/>
            <c:invertIfNegative val="0"/>
            <c:bubble3D val="0"/>
            <c:spPr>
              <a:solidFill>
                <a:srgbClr val="6A9AD8"/>
              </a:solidFill>
            </c:spPr>
            <c:extLst>
              <c:ext xmlns:c16="http://schemas.microsoft.com/office/drawing/2014/chart" uri="{C3380CC4-5D6E-409C-BE32-E72D297353CC}">
                <c16:uniqueId val="{00000009-FCFB-4312-8D60-727EFFE2B298}"/>
              </c:ext>
            </c:extLst>
          </c:dPt>
          <c:dPt>
            <c:idx val="5"/>
            <c:invertIfNegative val="0"/>
            <c:bubble3D val="0"/>
            <c:spPr>
              <a:solidFill>
                <a:srgbClr val="8FB4E5"/>
              </a:solidFill>
            </c:spPr>
            <c:extLst>
              <c:ext xmlns:c16="http://schemas.microsoft.com/office/drawing/2014/chart" uri="{C3380CC4-5D6E-409C-BE32-E72D297353CC}">
                <c16:uniqueId val="{0000000B-FCFB-4312-8D60-727EFFE2B298}"/>
              </c:ext>
            </c:extLst>
          </c:dPt>
          <c:dPt>
            <c:idx val="6"/>
            <c:invertIfNegative val="0"/>
            <c:bubble3D val="0"/>
            <c:spPr>
              <a:solidFill>
                <a:srgbClr val="B4CEF0"/>
              </a:solidFill>
            </c:spPr>
            <c:extLst>
              <c:ext xmlns:c16="http://schemas.microsoft.com/office/drawing/2014/chart" uri="{C3380CC4-5D6E-409C-BE32-E72D297353CC}">
                <c16:uniqueId val="{0000000D-FCFB-4312-8D60-727EFFE2B298}"/>
              </c:ext>
            </c:extLst>
          </c:dPt>
          <c:dLbls>
            <c:spPr>
              <a:noFill/>
              <a:ln>
                <a:noFill/>
              </a:ln>
              <a:effectLst/>
            </c:spPr>
            <c:txPr>
              <a:bodyPr lIns="38100" tIns="19050" rIns="38100" bIns="19050">
                <a:spAutoFit/>
              </a:bodyPr>
              <a:lstStyle/>
              <a:p>
                <a:pPr>
                  <a:defRPr sz="900" b="1">
                    <a:solidFill>
                      <a:srgbClr val="1F3864"/>
                    </a:solidFill>
                    <a:latin typeface="Arial"/>
                    <a:ea typeface="Arial"/>
                    <a:cs typeface="Arial"/>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'Aditional Charts'!$A$6:$A$12</c:f>
              <c:strCache>
                <c:ptCount val="7"/>
                <c:pt idx="0">
                  <c:v>M&amp;E Engineer</c:v>
                </c:pt>
                <c:pt idx="1">
                  <c:v>Facility Manager</c:v>
                </c:pt>
                <c:pt idx="2">
                  <c:v>Building Consultant</c:v>
                </c:pt>
                <c:pt idx="3">
                  <c:v>Sustainability Officer</c:v>
                </c:pt>
                <c:pt idx="4">
                  <c:v>Academic/Researcher</c:v>
                </c:pt>
                <c:pt idx="5">
                  <c:v>BIM Coordinator</c:v>
                </c:pt>
                <c:pt idx="6">
                  <c:v>Other</c:v>
                </c:pt>
              </c:strCache>
            </c:strRef>
          </c:cat>
          <c:val>
            <c:numRef>
              <c:f>'Aditional Charts'!$B$6:$B$12</c:f>
              <c:numCache>
                <c:formatCode>General</c:formatCode>
                <c:ptCount val="7"/>
                <c:pt idx="0">
                  <c:v>22</c:v>
                </c:pt>
                <c:pt idx="1">
                  <c:v>20</c:v>
                </c:pt>
                <c:pt idx="2">
                  <c:v>17</c:v>
                </c:pt>
                <c:pt idx="3">
                  <c:v>10</c:v>
                </c:pt>
                <c:pt idx="4">
                  <c:v>7</c:v>
                </c:pt>
                <c:pt idx="5">
                  <c:v>6</c:v>
                </c:pt>
                <c:pt idx="6">
                  <c:v>5</c:v>
                </c:pt>
              </c:numCache>
            </c:numRef>
          </c:val>
          <c:extLst>
            <c:ext xmlns:c16="http://schemas.microsoft.com/office/drawing/2014/chart" uri="{C3380CC4-5D6E-409C-BE32-E72D297353CC}">
              <c16:uniqueId val="{0000000E-FCFB-4312-8D60-727EFFE2B298}"/>
            </c:ext>
          </c:extLst>
        </c:ser>
        <c:dLbls>
          <c:dLblPos val="inEnd"/>
          <c:showLegendKey val="0"/>
          <c:showVal val="1"/>
          <c:showCatName val="0"/>
          <c:showSerName val="0"/>
          <c:showPercent val="0"/>
          <c:showBubbleSize val="0"/>
        </c:dLbls>
        <c:gapWidth val="100"/>
        <c:axId val="621948560"/>
        <c:axId val="621955760"/>
      </c:barChart>
      <c:catAx>
        <c:axId val="621948560"/>
        <c:scaling>
          <c:orientation val="minMax"/>
        </c:scaling>
        <c:delete val="0"/>
        <c:axPos val="l"/>
        <c:numFmt formatCode="General" sourceLinked="1"/>
        <c:majorTickMark val="none"/>
        <c:minorTickMark val="none"/>
        <c:tickLblPos val="nextTo"/>
        <c:spPr>
          <a:ln>
            <a:solidFill>
              <a:srgbClr val="EEEEEE"/>
            </a:solidFill>
            <a:prstDash val="solid"/>
          </a:ln>
        </c:spPr>
        <c:txPr>
          <a:bodyPr/>
          <a:lstStyle/>
          <a:p>
            <a:pPr>
              <a:defRPr sz="900">
                <a:solidFill>
                  <a:srgbClr val="595959"/>
                </a:solidFill>
                <a:latin typeface="Arial"/>
                <a:ea typeface="Arial"/>
                <a:cs typeface="Arial"/>
              </a:defRPr>
            </a:pPr>
            <a:endParaRPr lang="en-US"/>
          </a:p>
        </c:txPr>
        <c:crossAx val="621955760"/>
        <c:crosses val="autoZero"/>
        <c:auto val="1"/>
        <c:lblAlgn val="ctr"/>
        <c:lblOffset val="100"/>
        <c:noMultiLvlLbl val="0"/>
      </c:catAx>
      <c:valAx>
        <c:axId val="621955760"/>
        <c:scaling>
          <c:orientation val="minMax"/>
        </c:scaling>
        <c:delete val="0"/>
        <c:axPos val="b"/>
        <c:majorGridlines>
          <c:spPr>
            <a:ln>
              <a:solidFill>
                <a:srgbClr val="EEEEEE"/>
              </a:solidFill>
              <a:prstDash val="solid"/>
            </a:ln>
          </c:spPr>
        </c:majorGridlines>
        <c:numFmt formatCode="General" sourceLinked="1"/>
        <c:majorTickMark val="none"/>
        <c:minorTickMark val="none"/>
        <c:tickLblPos val="nextTo"/>
        <c:spPr>
          <a:ln>
            <a:solidFill>
              <a:srgbClr val="EEEEEE"/>
            </a:solidFill>
            <a:prstDash val="solid"/>
          </a:ln>
        </c:spPr>
        <c:txPr>
          <a:bodyPr/>
          <a:lstStyle/>
          <a:p>
            <a:pPr>
              <a:defRPr sz="900">
                <a:solidFill>
                  <a:srgbClr val="595959"/>
                </a:solidFill>
                <a:latin typeface="Arial"/>
                <a:ea typeface="Arial"/>
                <a:cs typeface="Arial"/>
              </a:defRPr>
            </a:pPr>
            <a:endParaRPr lang="en-US"/>
          </a:p>
        </c:txPr>
        <c:crossAx val="621948560"/>
        <c:crosses val="autoZero"/>
        <c:crossBetween val="between"/>
      </c:valAx>
      <c:spPr>
        <a:solidFill>
          <a:srgbClr val="FFFFFF"/>
        </a:solidFill>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rgbClr val="FFFFFF"/>
    </a:solidFill>
    <a:ln>
      <a:solidFill>
        <a:srgbClr val="D9D9D9"/>
      </a:solidFill>
      <a:prstDash val="solid"/>
    </a:ln>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000" b="1">
                <a:solidFill>
                  <a:srgbClr val="404040"/>
                </a:solidFill>
                <a:latin typeface="Arial"/>
              </a:rPr>
              <a:t>Figure G.2: Technology Familiarity Ratings — Mean (n=87)</a:t>
            </a:r>
          </a:p>
        </c:rich>
      </c:tx>
      <c:overlay val="0"/>
    </c:title>
    <c:autoTitleDeleted val="0"/>
    <c:plotArea>
      <c:layout/>
      <c:barChart>
        <c:barDir val="bar"/>
        <c:grouping val="clustered"/>
        <c:varyColors val="0"/>
        <c:ser>
          <c:idx val="0"/>
          <c:order val="0"/>
          <c:spPr>
            <a:solidFill>
              <a:srgbClr val="4472C4"/>
            </a:solidFill>
          </c:spPr>
          <c:invertIfNegative val="0"/>
          <c:dPt>
            <c:idx val="0"/>
            <c:invertIfNegative val="0"/>
            <c:bubble3D val="0"/>
            <c:spPr>
              <a:solidFill>
                <a:srgbClr val="1F3864"/>
              </a:solidFill>
            </c:spPr>
            <c:extLst>
              <c:ext xmlns:c16="http://schemas.microsoft.com/office/drawing/2014/chart" uri="{C3380CC4-5D6E-409C-BE32-E72D297353CC}">
                <c16:uniqueId val="{00000001-4115-47A5-BC23-30A6359B62EC}"/>
              </c:ext>
            </c:extLst>
          </c:dPt>
          <c:dPt>
            <c:idx val="1"/>
            <c:invertIfNegative val="0"/>
            <c:bubble3D val="0"/>
            <c:spPr>
              <a:solidFill>
                <a:srgbClr val="4A80C4"/>
              </a:solidFill>
            </c:spPr>
            <c:extLst>
              <c:ext xmlns:c16="http://schemas.microsoft.com/office/drawing/2014/chart" uri="{C3380CC4-5D6E-409C-BE32-E72D297353CC}">
                <c16:uniqueId val="{00000003-4115-47A5-BC23-30A6359B62EC}"/>
              </c:ext>
            </c:extLst>
          </c:dPt>
          <c:dPt>
            <c:idx val="2"/>
            <c:invertIfNegative val="0"/>
            <c:bubble3D val="0"/>
            <c:spPr>
              <a:solidFill>
                <a:srgbClr val="B4CEF0"/>
              </a:solidFill>
            </c:spPr>
            <c:extLst>
              <c:ext xmlns:c16="http://schemas.microsoft.com/office/drawing/2014/chart" uri="{C3380CC4-5D6E-409C-BE32-E72D297353CC}">
                <c16:uniqueId val="{00000005-4115-47A5-BC23-30A6359B62EC}"/>
              </c:ext>
            </c:extLst>
          </c:dPt>
          <c:dLbls>
            <c:spPr>
              <a:noFill/>
              <a:ln>
                <a:noFill/>
              </a:ln>
              <a:effectLst/>
            </c:spPr>
            <c:txPr>
              <a:bodyPr wrap="square" lIns="38100" tIns="19050" rIns="38100" bIns="19050" anchor="ctr">
                <a:spAutoFit/>
              </a:bodyPr>
              <a:lstStyle/>
              <a:p>
                <a:pPr>
                  <a:defRPr sz="900" b="1">
                    <a:solidFill>
                      <a:srgbClr val="1F3864"/>
                    </a:solidFill>
                    <a:latin typeface="Arial"/>
                    <a:ea typeface="Arial"/>
                    <a:cs typeface="Arial"/>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'Aditional Charts'!$A$17:$A$19</c:f>
              <c:strCache>
                <c:ptCount val="3"/>
                <c:pt idx="0">
                  <c:v>Artificial Intelligence</c:v>
                </c:pt>
                <c:pt idx="1">
                  <c:v>Digital Twins</c:v>
                </c:pt>
                <c:pt idx="2">
                  <c:v>APIs</c:v>
                </c:pt>
              </c:strCache>
            </c:strRef>
          </c:cat>
          <c:val>
            <c:numRef>
              <c:f>'Aditional Charts'!$B$17:$B$19</c:f>
              <c:numCache>
                <c:formatCode>General</c:formatCode>
                <c:ptCount val="3"/>
                <c:pt idx="0">
                  <c:v>3.4</c:v>
                </c:pt>
                <c:pt idx="1">
                  <c:v>3.14</c:v>
                </c:pt>
                <c:pt idx="2">
                  <c:v>2.95</c:v>
                </c:pt>
              </c:numCache>
            </c:numRef>
          </c:val>
          <c:extLst>
            <c:ext xmlns:c16="http://schemas.microsoft.com/office/drawing/2014/chart" uri="{C3380CC4-5D6E-409C-BE32-E72D297353CC}">
              <c16:uniqueId val="{00000006-4115-47A5-BC23-30A6359B62EC}"/>
            </c:ext>
          </c:extLst>
        </c:ser>
        <c:dLbls>
          <c:showLegendKey val="0"/>
          <c:showVal val="0"/>
          <c:showCatName val="0"/>
          <c:showSerName val="0"/>
          <c:showPercent val="0"/>
          <c:showBubbleSize val="0"/>
        </c:dLbls>
        <c:gapWidth val="182"/>
        <c:axId val="621992240"/>
        <c:axId val="621984080"/>
      </c:barChart>
      <c:catAx>
        <c:axId val="621992240"/>
        <c:scaling>
          <c:orientation val="minMax"/>
        </c:scaling>
        <c:delete val="0"/>
        <c:axPos val="l"/>
        <c:numFmt formatCode="General" sourceLinked="1"/>
        <c:majorTickMark val="none"/>
        <c:minorTickMark val="none"/>
        <c:tickLblPos val="nextTo"/>
        <c:spPr>
          <a:ln>
            <a:solidFill>
              <a:srgbClr val="EEEEEE"/>
            </a:solidFill>
            <a:prstDash val="solid"/>
          </a:ln>
        </c:spPr>
        <c:txPr>
          <a:bodyPr/>
          <a:lstStyle/>
          <a:p>
            <a:pPr>
              <a:defRPr sz="900" b="0">
                <a:solidFill>
                  <a:srgbClr val="595959"/>
                </a:solidFill>
                <a:latin typeface="Arial"/>
                <a:ea typeface="Arial"/>
                <a:cs typeface="Arial"/>
              </a:defRPr>
            </a:pPr>
            <a:endParaRPr lang="en-US"/>
          </a:p>
        </c:txPr>
        <c:crossAx val="621984080"/>
        <c:crosses val="autoZero"/>
        <c:auto val="1"/>
        <c:lblAlgn val="ctr"/>
        <c:lblOffset val="100"/>
        <c:noMultiLvlLbl val="0"/>
      </c:catAx>
      <c:valAx>
        <c:axId val="621984080"/>
        <c:scaling>
          <c:orientation val="minMax"/>
        </c:scaling>
        <c:delete val="0"/>
        <c:axPos val="b"/>
        <c:majorGridlines>
          <c:spPr>
            <a:ln>
              <a:solidFill>
                <a:srgbClr val="EEEEEE"/>
              </a:solidFill>
              <a:prstDash val="solid"/>
            </a:ln>
          </c:spPr>
        </c:majorGridlines>
        <c:numFmt formatCode="General" sourceLinked="1"/>
        <c:majorTickMark val="none"/>
        <c:minorTickMark val="none"/>
        <c:tickLblPos val="nextTo"/>
        <c:spPr>
          <a:ln>
            <a:solidFill>
              <a:srgbClr val="EEEEEE"/>
            </a:solidFill>
            <a:prstDash val="solid"/>
          </a:ln>
        </c:spPr>
        <c:txPr>
          <a:bodyPr/>
          <a:lstStyle/>
          <a:p>
            <a:pPr>
              <a:defRPr sz="900">
                <a:solidFill>
                  <a:srgbClr val="595959"/>
                </a:solidFill>
                <a:latin typeface="Arial"/>
                <a:ea typeface="Arial"/>
                <a:cs typeface="Arial"/>
              </a:defRPr>
            </a:pPr>
            <a:endParaRPr lang="en-US"/>
          </a:p>
        </c:txPr>
        <c:crossAx val="621992240"/>
        <c:crosses val="autoZero"/>
        <c:crossBetween val="between"/>
      </c:valAx>
      <c:spPr>
        <a:solidFill>
          <a:srgbClr val="FFFFFF"/>
        </a:solidFill>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rgbClr val="FFFFFF"/>
    </a:solidFill>
    <a:ln>
      <a:solidFill>
        <a:srgbClr val="D9D9D9"/>
      </a:solidFill>
      <a:prstDash val="solid"/>
    </a:ln>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000" b="1">
                <a:solidFill>
                  <a:srgbClr val="404040"/>
                </a:solidFill>
                <a:latin typeface="Arial"/>
              </a:rPr>
              <a:t>Figure G.3: Implementation Status (n=87)</a:t>
            </a:r>
          </a:p>
        </c:rich>
      </c:tx>
      <c:overlay val="0"/>
    </c:title>
    <c:autoTitleDeleted val="0"/>
    <c:plotArea>
      <c:layout/>
      <c:barChart>
        <c:barDir val="bar"/>
        <c:grouping val="clustered"/>
        <c:varyColors val="0"/>
        <c:ser>
          <c:idx val="0"/>
          <c:order val="0"/>
          <c:tx>
            <c:strRef>
              <c:f>'Aditional Charts'!$B$23</c:f>
              <c:strCache>
                <c:ptCount val="1"/>
                <c:pt idx="0">
                  <c:v>n</c:v>
                </c:pt>
              </c:strCache>
            </c:strRef>
          </c:tx>
          <c:invertIfNegative val="0"/>
          <c:dPt>
            <c:idx val="0"/>
            <c:invertIfNegative val="0"/>
            <c:bubble3D val="0"/>
            <c:spPr>
              <a:solidFill>
                <a:srgbClr val="1F3864"/>
              </a:solidFill>
            </c:spPr>
            <c:extLst>
              <c:ext xmlns:c16="http://schemas.microsoft.com/office/drawing/2014/chart" uri="{C3380CC4-5D6E-409C-BE32-E72D297353CC}">
                <c16:uniqueId val="{00000001-CB0C-4371-B995-2FE970440DC8}"/>
              </c:ext>
            </c:extLst>
          </c:dPt>
          <c:dPt>
            <c:idx val="1"/>
            <c:invertIfNegative val="0"/>
            <c:bubble3D val="0"/>
            <c:spPr>
              <a:solidFill>
                <a:srgbClr val="3768AB"/>
              </a:solidFill>
            </c:spPr>
            <c:extLst>
              <c:ext xmlns:c16="http://schemas.microsoft.com/office/drawing/2014/chart" uri="{C3380CC4-5D6E-409C-BE32-E72D297353CC}">
                <c16:uniqueId val="{00000003-CB0C-4371-B995-2FE970440DC8}"/>
              </c:ext>
            </c:extLst>
          </c:dPt>
          <c:dPt>
            <c:idx val="2"/>
            <c:invertIfNegative val="0"/>
            <c:bubble3D val="0"/>
            <c:spPr>
              <a:solidFill>
                <a:srgbClr val="6A9AD8"/>
              </a:solidFill>
            </c:spPr>
            <c:extLst>
              <c:ext xmlns:c16="http://schemas.microsoft.com/office/drawing/2014/chart" uri="{C3380CC4-5D6E-409C-BE32-E72D297353CC}">
                <c16:uniqueId val="{00000005-CB0C-4371-B995-2FE970440DC8}"/>
              </c:ext>
            </c:extLst>
          </c:dPt>
          <c:dPt>
            <c:idx val="3"/>
            <c:invertIfNegative val="0"/>
            <c:bubble3D val="0"/>
            <c:spPr>
              <a:solidFill>
                <a:srgbClr val="B4CEF0"/>
              </a:solidFill>
            </c:spPr>
            <c:extLst>
              <c:ext xmlns:c16="http://schemas.microsoft.com/office/drawing/2014/chart" uri="{C3380CC4-5D6E-409C-BE32-E72D297353CC}">
                <c16:uniqueId val="{00000007-CB0C-4371-B995-2FE970440DC8}"/>
              </c:ext>
            </c:extLst>
          </c:dPt>
          <c:dLbls>
            <c:spPr>
              <a:noFill/>
              <a:ln>
                <a:noFill/>
              </a:ln>
              <a:effectLst/>
            </c:spPr>
            <c:txPr>
              <a:bodyPr wrap="square" lIns="38100" tIns="19050" rIns="38100" bIns="19050" anchor="ctr">
                <a:spAutoFit/>
              </a:bodyPr>
              <a:lstStyle/>
              <a:p>
                <a:pPr>
                  <a:defRPr sz="900" b="1">
                    <a:solidFill>
                      <a:srgbClr val="1F3864"/>
                    </a:solidFill>
                    <a:latin typeface="Arial"/>
                    <a:ea typeface="Arial"/>
                    <a:cs typeface="Arial"/>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'Aditional Charts'!$A$24:$A$27</c:f>
              <c:strCache>
                <c:ptCount val="4"/>
                <c:pt idx="0">
                  <c:v>Yes – Full integration</c:v>
                </c:pt>
                <c:pt idx="1">
                  <c:v>Partial integration</c:v>
                </c:pt>
                <c:pt idx="2">
                  <c:v>Planning to implement within 12 months</c:v>
                </c:pt>
                <c:pt idx="3">
                  <c:v>No current implementation</c:v>
                </c:pt>
              </c:strCache>
            </c:strRef>
          </c:cat>
          <c:val>
            <c:numRef>
              <c:f>'Aditional Charts'!$B$24:$B$27</c:f>
              <c:numCache>
                <c:formatCode>General</c:formatCode>
                <c:ptCount val="4"/>
                <c:pt idx="0">
                  <c:v>6</c:v>
                </c:pt>
                <c:pt idx="1">
                  <c:v>35</c:v>
                </c:pt>
                <c:pt idx="2">
                  <c:v>24</c:v>
                </c:pt>
                <c:pt idx="3">
                  <c:v>22</c:v>
                </c:pt>
              </c:numCache>
            </c:numRef>
          </c:val>
          <c:extLst>
            <c:ext xmlns:c16="http://schemas.microsoft.com/office/drawing/2014/chart" uri="{C3380CC4-5D6E-409C-BE32-E72D297353CC}">
              <c16:uniqueId val="{00000008-CB0C-4371-B995-2FE970440DC8}"/>
            </c:ext>
          </c:extLst>
        </c:ser>
        <c:dLbls>
          <c:showLegendKey val="0"/>
          <c:showVal val="0"/>
          <c:showCatName val="0"/>
          <c:showSerName val="0"/>
          <c:showPercent val="0"/>
          <c:showBubbleSize val="0"/>
        </c:dLbls>
        <c:gapWidth val="182"/>
        <c:axId val="621917360"/>
        <c:axId val="621919760"/>
      </c:barChart>
      <c:catAx>
        <c:axId val="621917360"/>
        <c:scaling>
          <c:orientation val="minMax"/>
        </c:scaling>
        <c:delete val="0"/>
        <c:axPos val="l"/>
        <c:numFmt formatCode="General" sourceLinked="1"/>
        <c:majorTickMark val="none"/>
        <c:minorTickMark val="none"/>
        <c:tickLblPos val="nextTo"/>
        <c:spPr>
          <a:ln>
            <a:solidFill>
              <a:srgbClr val="EEEEEE"/>
            </a:solidFill>
            <a:prstDash val="solid"/>
          </a:ln>
        </c:spPr>
        <c:txPr>
          <a:bodyPr/>
          <a:lstStyle/>
          <a:p>
            <a:pPr>
              <a:defRPr sz="900" b="0">
                <a:solidFill>
                  <a:srgbClr val="595959"/>
                </a:solidFill>
                <a:latin typeface="Arial"/>
                <a:ea typeface="Arial"/>
                <a:cs typeface="Arial"/>
              </a:defRPr>
            </a:pPr>
            <a:endParaRPr lang="en-US"/>
          </a:p>
        </c:txPr>
        <c:crossAx val="621919760"/>
        <c:crosses val="autoZero"/>
        <c:auto val="1"/>
        <c:lblAlgn val="ctr"/>
        <c:lblOffset val="100"/>
        <c:noMultiLvlLbl val="0"/>
      </c:catAx>
      <c:valAx>
        <c:axId val="621919760"/>
        <c:scaling>
          <c:orientation val="minMax"/>
        </c:scaling>
        <c:delete val="0"/>
        <c:axPos val="b"/>
        <c:majorGridlines>
          <c:spPr>
            <a:ln>
              <a:solidFill>
                <a:srgbClr val="EEEEEE"/>
              </a:solidFill>
              <a:prstDash val="solid"/>
            </a:ln>
          </c:spPr>
        </c:majorGridlines>
        <c:numFmt formatCode="General" sourceLinked="1"/>
        <c:majorTickMark val="none"/>
        <c:minorTickMark val="none"/>
        <c:tickLblPos val="nextTo"/>
        <c:spPr>
          <a:ln>
            <a:solidFill>
              <a:srgbClr val="EEEEEE"/>
            </a:solidFill>
            <a:prstDash val="solid"/>
          </a:ln>
        </c:spPr>
        <c:txPr>
          <a:bodyPr/>
          <a:lstStyle/>
          <a:p>
            <a:pPr>
              <a:defRPr sz="900">
                <a:solidFill>
                  <a:srgbClr val="595959"/>
                </a:solidFill>
                <a:latin typeface="Arial"/>
                <a:ea typeface="Arial"/>
                <a:cs typeface="Arial"/>
              </a:defRPr>
            </a:pPr>
            <a:endParaRPr lang="en-US"/>
          </a:p>
        </c:txPr>
        <c:crossAx val="621917360"/>
        <c:crosses val="autoZero"/>
        <c:crossBetween val="between"/>
      </c:valAx>
      <c:spPr>
        <a:solidFill>
          <a:srgbClr val="FFFFFF"/>
        </a:solidFill>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rgbClr val="FFFFFF"/>
    </a:solidFill>
    <a:ln>
      <a:solidFill>
        <a:srgbClr val="D9D9D9"/>
      </a:solidFill>
      <a:prstDash val="solid"/>
    </a:ln>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000" b="1">
                <a:solidFill>
                  <a:srgbClr val="404040"/>
                </a:solidFill>
                <a:latin typeface="Arial"/>
              </a:rPr>
              <a:t>Figure G.4: Barriers to Adoption — Mean Rating (n=87)</a:t>
            </a:r>
          </a:p>
        </c:rich>
      </c:tx>
      <c:overlay val="0"/>
    </c:title>
    <c:autoTitleDeleted val="0"/>
    <c:plotArea>
      <c:layout/>
      <c:barChart>
        <c:barDir val="bar"/>
        <c:grouping val="clustered"/>
        <c:varyColors val="0"/>
        <c:ser>
          <c:idx val="0"/>
          <c:order val="0"/>
          <c:spPr>
            <a:solidFill>
              <a:srgbClr val="C0504D"/>
            </a:solidFill>
          </c:spPr>
          <c:invertIfNegative val="0"/>
          <c:dPt>
            <c:idx val="0"/>
            <c:invertIfNegative val="0"/>
            <c:bubble3D val="0"/>
            <c:spPr>
              <a:solidFill>
                <a:srgbClr val="1F3864"/>
              </a:solidFill>
            </c:spPr>
            <c:extLst>
              <c:ext xmlns:c16="http://schemas.microsoft.com/office/drawing/2014/chart" uri="{C3380CC4-5D6E-409C-BE32-E72D297353CC}">
                <c16:uniqueId val="{00000001-C091-40BE-B9D6-ACE257AD6811}"/>
              </c:ext>
            </c:extLst>
          </c:dPt>
          <c:dPt>
            <c:idx val="1"/>
            <c:invertIfNegative val="0"/>
            <c:bubble3D val="0"/>
            <c:spPr>
              <a:solidFill>
                <a:srgbClr val="2B4F8A"/>
              </a:solidFill>
            </c:spPr>
            <c:extLst>
              <c:ext xmlns:c16="http://schemas.microsoft.com/office/drawing/2014/chart" uri="{C3380CC4-5D6E-409C-BE32-E72D297353CC}">
                <c16:uniqueId val="{00000003-C091-40BE-B9D6-ACE257AD6811}"/>
              </c:ext>
            </c:extLst>
          </c:dPt>
          <c:dPt>
            <c:idx val="2"/>
            <c:invertIfNegative val="0"/>
            <c:bubble3D val="0"/>
            <c:spPr>
              <a:solidFill>
                <a:srgbClr val="3768AB"/>
              </a:solidFill>
            </c:spPr>
            <c:extLst>
              <c:ext xmlns:c16="http://schemas.microsoft.com/office/drawing/2014/chart" uri="{C3380CC4-5D6E-409C-BE32-E72D297353CC}">
                <c16:uniqueId val="{00000005-C091-40BE-B9D6-ACE257AD6811}"/>
              </c:ext>
            </c:extLst>
          </c:dPt>
          <c:dPt>
            <c:idx val="3"/>
            <c:invertIfNegative val="0"/>
            <c:bubble3D val="0"/>
            <c:spPr>
              <a:solidFill>
                <a:srgbClr val="6A9AD8"/>
              </a:solidFill>
            </c:spPr>
            <c:extLst>
              <c:ext xmlns:c16="http://schemas.microsoft.com/office/drawing/2014/chart" uri="{C3380CC4-5D6E-409C-BE32-E72D297353CC}">
                <c16:uniqueId val="{00000007-C091-40BE-B9D6-ACE257AD6811}"/>
              </c:ext>
            </c:extLst>
          </c:dPt>
          <c:dPt>
            <c:idx val="4"/>
            <c:invertIfNegative val="0"/>
            <c:bubble3D val="0"/>
            <c:spPr>
              <a:solidFill>
                <a:srgbClr val="8FB4E5"/>
              </a:solidFill>
            </c:spPr>
            <c:extLst>
              <c:ext xmlns:c16="http://schemas.microsoft.com/office/drawing/2014/chart" uri="{C3380CC4-5D6E-409C-BE32-E72D297353CC}">
                <c16:uniqueId val="{00000009-C091-40BE-B9D6-ACE257AD6811}"/>
              </c:ext>
            </c:extLst>
          </c:dPt>
          <c:dPt>
            <c:idx val="5"/>
            <c:invertIfNegative val="0"/>
            <c:bubble3D val="0"/>
            <c:spPr>
              <a:solidFill>
                <a:srgbClr val="B4CEF0"/>
              </a:solidFill>
            </c:spPr>
            <c:extLst>
              <c:ext xmlns:c16="http://schemas.microsoft.com/office/drawing/2014/chart" uri="{C3380CC4-5D6E-409C-BE32-E72D297353CC}">
                <c16:uniqueId val="{0000000B-C091-40BE-B9D6-ACE257AD6811}"/>
              </c:ext>
            </c:extLst>
          </c:dPt>
          <c:dLbls>
            <c:spPr>
              <a:noFill/>
              <a:ln>
                <a:noFill/>
              </a:ln>
              <a:effectLst/>
            </c:spPr>
            <c:txPr>
              <a:bodyPr wrap="square" lIns="38100" tIns="19050" rIns="38100" bIns="19050" anchor="ctr">
                <a:spAutoFit/>
              </a:bodyPr>
              <a:lstStyle/>
              <a:p>
                <a:pPr>
                  <a:defRPr sz="900" b="1">
                    <a:solidFill>
                      <a:srgbClr val="1F3864"/>
                    </a:solidFill>
                    <a:latin typeface="Arial"/>
                    <a:ea typeface="Arial"/>
                    <a:cs typeface="Arial"/>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'Aditional Charts'!$A$32:$A$37</c:f>
              <c:strCache>
                <c:ptCount val="6"/>
                <c:pt idx="0">
                  <c:v>Cost/budget constraints</c:v>
                </c:pt>
                <c:pt idx="1">
                  <c:v>Cybersecurity concerns</c:v>
                </c:pt>
                <c:pt idx="2">
                  <c:v>Incompatible legacy systems</c:v>
                </c:pt>
                <c:pt idx="3">
                  <c:v>Lack of staff training/skills</c:v>
                </c:pt>
                <c:pt idx="4">
                  <c:v>Data ownership/privacy</c:v>
                </c:pt>
                <c:pt idx="5">
                  <c:v>Lack of standardised APIs</c:v>
                </c:pt>
              </c:strCache>
            </c:strRef>
          </c:cat>
          <c:val>
            <c:numRef>
              <c:f>'Aditional Charts'!$B$32:$B$37</c:f>
              <c:numCache>
                <c:formatCode>General</c:formatCode>
                <c:ptCount val="6"/>
                <c:pt idx="0">
                  <c:v>3.17</c:v>
                </c:pt>
                <c:pt idx="1">
                  <c:v>3.67</c:v>
                </c:pt>
                <c:pt idx="2">
                  <c:v>3.56</c:v>
                </c:pt>
                <c:pt idx="3">
                  <c:v>3.55</c:v>
                </c:pt>
                <c:pt idx="4">
                  <c:v>3.45</c:v>
                </c:pt>
                <c:pt idx="5">
                  <c:v>3.33</c:v>
                </c:pt>
              </c:numCache>
            </c:numRef>
          </c:val>
          <c:extLst>
            <c:ext xmlns:c16="http://schemas.microsoft.com/office/drawing/2014/chart" uri="{C3380CC4-5D6E-409C-BE32-E72D297353CC}">
              <c16:uniqueId val="{0000000C-C091-40BE-B9D6-ACE257AD6811}"/>
            </c:ext>
          </c:extLst>
        </c:ser>
        <c:dLbls>
          <c:showLegendKey val="0"/>
          <c:showVal val="0"/>
          <c:showCatName val="0"/>
          <c:showSerName val="0"/>
          <c:showPercent val="0"/>
          <c:showBubbleSize val="0"/>
        </c:dLbls>
        <c:gapWidth val="182"/>
        <c:axId val="621998000"/>
        <c:axId val="621998480"/>
      </c:barChart>
      <c:catAx>
        <c:axId val="621998000"/>
        <c:scaling>
          <c:orientation val="minMax"/>
        </c:scaling>
        <c:delete val="0"/>
        <c:axPos val="l"/>
        <c:numFmt formatCode="General" sourceLinked="1"/>
        <c:majorTickMark val="none"/>
        <c:minorTickMark val="none"/>
        <c:tickLblPos val="nextTo"/>
        <c:spPr>
          <a:ln>
            <a:solidFill>
              <a:srgbClr val="EEEEEE"/>
            </a:solidFill>
            <a:prstDash val="solid"/>
          </a:ln>
        </c:spPr>
        <c:txPr>
          <a:bodyPr/>
          <a:lstStyle/>
          <a:p>
            <a:pPr>
              <a:defRPr sz="900" b="0">
                <a:solidFill>
                  <a:srgbClr val="595959"/>
                </a:solidFill>
                <a:latin typeface="Arial"/>
                <a:ea typeface="Arial"/>
                <a:cs typeface="Arial"/>
              </a:defRPr>
            </a:pPr>
            <a:endParaRPr lang="en-US"/>
          </a:p>
        </c:txPr>
        <c:crossAx val="621998480"/>
        <c:crosses val="autoZero"/>
        <c:auto val="1"/>
        <c:lblAlgn val="ctr"/>
        <c:lblOffset val="100"/>
        <c:noMultiLvlLbl val="0"/>
      </c:catAx>
      <c:valAx>
        <c:axId val="621998480"/>
        <c:scaling>
          <c:orientation val="minMax"/>
        </c:scaling>
        <c:delete val="0"/>
        <c:axPos val="b"/>
        <c:majorGridlines>
          <c:spPr>
            <a:ln>
              <a:solidFill>
                <a:srgbClr val="EEEEEE"/>
              </a:solidFill>
              <a:prstDash val="solid"/>
            </a:ln>
          </c:spPr>
        </c:majorGridlines>
        <c:numFmt formatCode="General" sourceLinked="1"/>
        <c:majorTickMark val="none"/>
        <c:minorTickMark val="none"/>
        <c:tickLblPos val="nextTo"/>
        <c:spPr>
          <a:ln>
            <a:solidFill>
              <a:srgbClr val="EEEEEE"/>
            </a:solidFill>
            <a:prstDash val="solid"/>
          </a:ln>
        </c:spPr>
        <c:txPr>
          <a:bodyPr/>
          <a:lstStyle/>
          <a:p>
            <a:pPr>
              <a:defRPr sz="900">
                <a:solidFill>
                  <a:srgbClr val="595959"/>
                </a:solidFill>
                <a:latin typeface="Arial"/>
                <a:ea typeface="Arial"/>
                <a:cs typeface="Arial"/>
              </a:defRPr>
            </a:pPr>
            <a:endParaRPr lang="en-US"/>
          </a:p>
        </c:txPr>
        <c:crossAx val="621998000"/>
        <c:crosses val="autoZero"/>
        <c:crossBetween val="between"/>
      </c:valAx>
      <c:spPr>
        <a:solidFill>
          <a:srgbClr val="FFFFFF"/>
        </a:solidFill>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rgbClr val="FFFFFF"/>
    </a:solidFill>
    <a:ln>
      <a:solidFill>
        <a:srgbClr val="D9D9D9"/>
      </a:solidFill>
      <a:prstDash val="solid"/>
    </a:ln>
  </c:sp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000" b="1">
                <a:solidFill>
                  <a:srgbClr val="404040"/>
                </a:solidFill>
                <a:latin typeface="Arial"/>
              </a:rPr>
              <a:t>Figure G.5: Organisational Readiness (n=87)</a:t>
            </a:r>
          </a:p>
        </c:rich>
      </c:tx>
      <c:overlay val="0"/>
    </c:title>
    <c:autoTitleDeleted val="0"/>
    <c:plotArea>
      <c:layout/>
      <c:barChart>
        <c:barDir val="bar"/>
        <c:grouping val="clustered"/>
        <c:varyColors val="0"/>
        <c:ser>
          <c:idx val="0"/>
          <c:order val="0"/>
          <c:tx>
            <c:strRef>
              <c:f>'Aditional Charts'!$B$41</c:f>
              <c:strCache>
                <c:ptCount val="1"/>
                <c:pt idx="0">
                  <c:v>n</c:v>
                </c:pt>
              </c:strCache>
            </c:strRef>
          </c:tx>
          <c:invertIfNegative val="0"/>
          <c:dPt>
            <c:idx val="0"/>
            <c:invertIfNegative val="0"/>
            <c:bubble3D val="0"/>
            <c:spPr>
              <a:solidFill>
                <a:srgbClr val="1F3864"/>
              </a:solidFill>
            </c:spPr>
            <c:extLst>
              <c:ext xmlns:c16="http://schemas.microsoft.com/office/drawing/2014/chart" uri="{C3380CC4-5D6E-409C-BE32-E72D297353CC}">
                <c16:uniqueId val="{00000001-43B0-4009-8C1B-3519DE885347}"/>
              </c:ext>
            </c:extLst>
          </c:dPt>
          <c:dPt>
            <c:idx val="1"/>
            <c:invertIfNegative val="0"/>
            <c:bubble3D val="0"/>
            <c:spPr>
              <a:solidFill>
                <a:srgbClr val="3768AB"/>
              </a:solidFill>
            </c:spPr>
            <c:extLst>
              <c:ext xmlns:c16="http://schemas.microsoft.com/office/drawing/2014/chart" uri="{C3380CC4-5D6E-409C-BE32-E72D297353CC}">
                <c16:uniqueId val="{00000003-43B0-4009-8C1B-3519DE885347}"/>
              </c:ext>
            </c:extLst>
          </c:dPt>
          <c:dPt>
            <c:idx val="2"/>
            <c:invertIfNegative val="0"/>
            <c:bubble3D val="0"/>
            <c:spPr>
              <a:solidFill>
                <a:srgbClr val="4A80C4"/>
              </a:solidFill>
            </c:spPr>
            <c:extLst>
              <c:ext xmlns:c16="http://schemas.microsoft.com/office/drawing/2014/chart" uri="{C3380CC4-5D6E-409C-BE32-E72D297353CC}">
                <c16:uniqueId val="{00000005-43B0-4009-8C1B-3519DE885347}"/>
              </c:ext>
            </c:extLst>
          </c:dPt>
          <c:dPt>
            <c:idx val="3"/>
            <c:invertIfNegative val="0"/>
            <c:bubble3D val="0"/>
            <c:spPr>
              <a:solidFill>
                <a:srgbClr val="8FB4E5"/>
              </a:solidFill>
            </c:spPr>
            <c:extLst>
              <c:ext xmlns:c16="http://schemas.microsoft.com/office/drawing/2014/chart" uri="{C3380CC4-5D6E-409C-BE32-E72D297353CC}">
                <c16:uniqueId val="{00000007-43B0-4009-8C1B-3519DE885347}"/>
              </c:ext>
            </c:extLst>
          </c:dPt>
          <c:dPt>
            <c:idx val="4"/>
            <c:invertIfNegative val="0"/>
            <c:bubble3D val="0"/>
            <c:spPr>
              <a:solidFill>
                <a:srgbClr val="B4CEF0"/>
              </a:solidFill>
            </c:spPr>
            <c:extLst>
              <c:ext xmlns:c16="http://schemas.microsoft.com/office/drawing/2014/chart" uri="{C3380CC4-5D6E-409C-BE32-E72D297353CC}">
                <c16:uniqueId val="{00000009-43B0-4009-8C1B-3519DE885347}"/>
              </c:ext>
            </c:extLst>
          </c:dPt>
          <c:dLbls>
            <c:spPr>
              <a:noFill/>
              <a:ln>
                <a:noFill/>
              </a:ln>
              <a:effectLst/>
            </c:spPr>
            <c:txPr>
              <a:bodyPr wrap="square" lIns="38100" tIns="19050" rIns="38100" bIns="19050" anchor="ctr">
                <a:spAutoFit/>
              </a:bodyPr>
              <a:lstStyle/>
              <a:p>
                <a:pPr>
                  <a:defRPr sz="900" b="1">
                    <a:solidFill>
                      <a:srgbClr val="1F3864"/>
                    </a:solidFill>
                    <a:latin typeface="Arial"/>
                    <a:ea typeface="Arial"/>
                    <a:cs typeface="Arial"/>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'Aditional Charts'!$A$42:$A$46</c:f>
              <c:strCache>
                <c:ptCount val="5"/>
                <c:pt idx="0">
                  <c:v>Very Low</c:v>
                </c:pt>
                <c:pt idx="1">
                  <c:v>Low</c:v>
                </c:pt>
                <c:pt idx="2">
                  <c:v>Moderate</c:v>
                </c:pt>
                <c:pt idx="3">
                  <c:v>High</c:v>
                </c:pt>
                <c:pt idx="4">
                  <c:v>Very High</c:v>
                </c:pt>
              </c:strCache>
            </c:strRef>
          </c:cat>
          <c:val>
            <c:numRef>
              <c:f>'Aditional Charts'!$B$42:$B$46</c:f>
              <c:numCache>
                <c:formatCode>General</c:formatCode>
                <c:ptCount val="5"/>
                <c:pt idx="0">
                  <c:v>2</c:v>
                </c:pt>
                <c:pt idx="1">
                  <c:v>27</c:v>
                </c:pt>
                <c:pt idx="2">
                  <c:v>33</c:v>
                </c:pt>
                <c:pt idx="3">
                  <c:v>12</c:v>
                </c:pt>
                <c:pt idx="4">
                  <c:v>13</c:v>
                </c:pt>
              </c:numCache>
            </c:numRef>
          </c:val>
          <c:extLst>
            <c:ext xmlns:c16="http://schemas.microsoft.com/office/drawing/2014/chart" uri="{C3380CC4-5D6E-409C-BE32-E72D297353CC}">
              <c16:uniqueId val="{0000000A-43B0-4009-8C1B-3519DE885347}"/>
            </c:ext>
          </c:extLst>
        </c:ser>
        <c:dLbls>
          <c:showLegendKey val="0"/>
          <c:showVal val="0"/>
          <c:showCatName val="0"/>
          <c:showSerName val="0"/>
          <c:showPercent val="0"/>
          <c:showBubbleSize val="0"/>
        </c:dLbls>
        <c:gapWidth val="182"/>
        <c:axId val="621932720"/>
        <c:axId val="621917840"/>
      </c:barChart>
      <c:catAx>
        <c:axId val="621932720"/>
        <c:scaling>
          <c:orientation val="minMax"/>
        </c:scaling>
        <c:delete val="0"/>
        <c:axPos val="l"/>
        <c:numFmt formatCode="General" sourceLinked="1"/>
        <c:majorTickMark val="none"/>
        <c:minorTickMark val="none"/>
        <c:tickLblPos val="nextTo"/>
        <c:spPr>
          <a:ln>
            <a:solidFill>
              <a:srgbClr val="EEEEEE"/>
            </a:solidFill>
            <a:prstDash val="solid"/>
          </a:ln>
        </c:spPr>
        <c:txPr>
          <a:bodyPr/>
          <a:lstStyle/>
          <a:p>
            <a:pPr>
              <a:defRPr sz="900" b="0">
                <a:solidFill>
                  <a:srgbClr val="595959"/>
                </a:solidFill>
                <a:latin typeface="Arial"/>
                <a:ea typeface="Arial"/>
                <a:cs typeface="Arial"/>
              </a:defRPr>
            </a:pPr>
            <a:endParaRPr lang="en-US"/>
          </a:p>
        </c:txPr>
        <c:crossAx val="621917840"/>
        <c:crosses val="autoZero"/>
        <c:auto val="1"/>
        <c:lblAlgn val="ctr"/>
        <c:lblOffset val="100"/>
        <c:noMultiLvlLbl val="0"/>
      </c:catAx>
      <c:valAx>
        <c:axId val="621917840"/>
        <c:scaling>
          <c:orientation val="minMax"/>
        </c:scaling>
        <c:delete val="0"/>
        <c:axPos val="b"/>
        <c:majorGridlines>
          <c:spPr>
            <a:ln>
              <a:solidFill>
                <a:srgbClr val="EEEEEE"/>
              </a:solidFill>
              <a:prstDash val="solid"/>
            </a:ln>
          </c:spPr>
        </c:majorGridlines>
        <c:numFmt formatCode="General" sourceLinked="1"/>
        <c:majorTickMark val="none"/>
        <c:minorTickMark val="none"/>
        <c:tickLblPos val="nextTo"/>
        <c:spPr>
          <a:ln>
            <a:solidFill>
              <a:srgbClr val="EEEEEE"/>
            </a:solidFill>
            <a:prstDash val="solid"/>
          </a:ln>
        </c:spPr>
        <c:txPr>
          <a:bodyPr/>
          <a:lstStyle/>
          <a:p>
            <a:pPr>
              <a:defRPr sz="900">
                <a:solidFill>
                  <a:srgbClr val="595959"/>
                </a:solidFill>
                <a:latin typeface="Arial"/>
                <a:ea typeface="Arial"/>
                <a:cs typeface="Arial"/>
              </a:defRPr>
            </a:pPr>
            <a:endParaRPr lang="en-US"/>
          </a:p>
        </c:txPr>
        <c:crossAx val="621932720"/>
        <c:crosses val="autoZero"/>
        <c:crossBetween val="between"/>
      </c:valAx>
      <c:spPr>
        <a:solidFill>
          <a:srgbClr val="FFFFFF"/>
        </a:solidFill>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rgbClr val="FFFFFF"/>
    </a:solidFill>
    <a:ln>
      <a:solidFill>
        <a:srgbClr val="D9D9D9"/>
      </a:solidFill>
      <a:prstDash val="solid"/>
    </a:ln>
  </c:sp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000" b="1">
                <a:solidFill>
                  <a:srgbClr val="404040"/>
                </a:solidFill>
                <a:latin typeface="Arial"/>
              </a:rPr>
              <a:t>Figure G.6: Thematic Coding — Key Codes per Theme (n=6)</a:t>
            </a:r>
          </a:p>
        </c:rich>
      </c:tx>
      <c:overlay val="0"/>
    </c:title>
    <c:autoTitleDeleted val="0"/>
    <c:plotArea>
      <c:layout/>
      <c:barChart>
        <c:barDir val="bar"/>
        <c:grouping val="clustered"/>
        <c:varyColors val="0"/>
        <c:ser>
          <c:idx val="0"/>
          <c:order val="0"/>
          <c:tx>
            <c:strRef>
              <c:f>'Aditional Charts'!$F$50</c:f>
              <c:strCache>
                <c:ptCount val="1"/>
                <c:pt idx="0">
                  <c:v>No. of Key Codes</c:v>
                </c:pt>
              </c:strCache>
            </c:strRef>
          </c:tx>
          <c:spPr>
            <a:solidFill>
              <a:srgbClr val="548235"/>
            </a:solidFill>
          </c:spPr>
          <c:invertIfNegative val="0"/>
          <c:dPt>
            <c:idx val="0"/>
            <c:invertIfNegative val="0"/>
            <c:bubble3D val="0"/>
            <c:spPr>
              <a:solidFill>
                <a:srgbClr val="1F3864"/>
              </a:solidFill>
            </c:spPr>
            <c:extLst>
              <c:ext xmlns:c16="http://schemas.microsoft.com/office/drawing/2014/chart" uri="{C3380CC4-5D6E-409C-BE32-E72D297353CC}">
                <c16:uniqueId val="{00000001-7F95-439A-8E2E-6349A4D02194}"/>
              </c:ext>
            </c:extLst>
          </c:dPt>
          <c:dPt>
            <c:idx val="1"/>
            <c:invertIfNegative val="0"/>
            <c:bubble3D val="0"/>
            <c:spPr>
              <a:solidFill>
                <a:srgbClr val="2B4F8A"/>
              </a:solidFill>
            </c:spPr>
            <c:extLst>
              <c:ext xmlns:c16="http://schemas.microsoft.com/office/drawing/2014/chart" uri="{C3380CC4-5D6E-409C-BE32-E72D297353CC}">
                <c16:uniqueId val="{00000003-7F95-439A-8E2E-6349A4D02194}"/>
              </c:ext>
            </c:extLst>
          </c:dPt>
          <c:dPt>
            <c:idx val="2"/>
            <c:invertIfNegative val="0"/>
            <c:bubble3D val="0"/>
            <c:spPr>
              <a:solidFill>
                <a:srgbClr val="3768AB"/>
              </a:solidFill>
            </c:spPr>
            <c:extLst>
              <c:ext xmlns:c16="http://schemas.microsoft.com/office/drawing/2014/chart" uri="{C3380CC4-5D6E-409C-BE32-E72D297353CC}">
                <c16:uniqueId val="{00000005-7F95-439A-8E2E-6349A4D02194}"/>
              </c:ext>
            </c:extLst>
          </c:dPt>
          <c:dPt>
            <c:idx val="3"/>
            <c:invertIfNegative val="0"/>
            <c:bubble3D val="0"/>
            <c:spPr>
              <a:solidFill>
                <a:srgbClr val="6A9AD8"/>
              </a:solidFill>
            </c:spPr>
            <c:extLst>
              <c:ext xmlns:c16="http://schemas.microsoft.com/office/drawing/2014/chart" uri="{C3380CC4-5D6E-409C-BE32-E72D297353CC}">
                <c16:uniqueId val="{00000007-7F95-439A-8E2E-6349A4D02194}"/>
              </c:ext>
            </c:extLst>
          </c:dPt>
          <c:dPt>
            <c:idx val="4"/>
            <c:invertIfNegative val="0"/>
            <c:bubble3D val="0"/>
            <c:spPr>
              <a:solidFill>
                <a:srgbClr val="8FB4E5"/>
              </a:solidFill>
            </c:spPr>
            <c:extLst>
              <c:ext xmlns:c16="http://schemas.microsoft.com/office/drawing/2014/chart" uri="{C3380CC4-5D6E-409C-BE32-E72D297353CC}">
                <c16:uniqueId val="{00000009-7F95-439A-8E2E-6349A4D02194}"/>
              </c:ext>
            </c:extLst>
          </c:dPt>
          <c:dPt>
            <c:idx val="5"/>
            <c:invertIfNegative val="0"/>
            <c:bubble3D val="0"/>
            <c:spPr>
              <a:solidFill>
                <a:srgbClr val="B4CEF0"/>
              </a:solidFill>
            </c:spPr>
            <c:extLst>
              <c:ext xmlns:c16="http://schemas.microsoft.com/office/drawing/2014/chart" uri="{C3380CC4-5D6E-409C-BE32-E72D297353CC}">
                <c16:uniqueId val="{0000000B-7F95-439A-8E2E-6349A4D02194}"/>
              </c:ext>
            </c:extLst>
          </c:dPt>
          <c:dLbls>
            <c:spPr>
              <a:noFill/>
              <a:ln>
                <a:noFill/>
              </a:ln>
              <a:effectLst/>
            </c:spPr>
            <c:txPr>
              <a:bodyPr wrap="square" lIns="38100" tIns="19050" rIns="38100" bIns="19050" anchor="ctr">
                <a:spAutoFit/>
              </a:bodyPr>
              <a:lstStyle/>
              <a:p>
                <a:pPr>
                  <a:defRPr sz="900" b="1">
                    <a:solidFill>
                      <a:srgbClr val="1F3864"/>
                    </a:solidFill>
                    <a:latin typeface="Arial"/>
                    <a:ea typeface="Arial"/>
                    <a:cs typeface="Arial"/>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'Aditional Charts'!$E$51:$E$56</c:f>
              <c:strCache>
                <c:ptCount val="6"/>
                <c:pt idx="0">
                  <c:v>Digital Maturity</c:v>
                </c:pt>
                <c:pt idx="1">
                  <c:v>Interoperability</c:v>
                </c:pt>
                <c:pt idx="2">
                  <c:v>Governance</c:v>
                </c:pt>
                <c:pt idx="3">
                  <c:v>Skills &amp; Culture</c:v>
                </c:pt>
                <c:pt idx="4">
                  <c:v>Sustainability</c:v>
                </c:pt>
                <c:pt idx="5">
                  <c:v>Structural Barriers</c:v>
                </c:pt>
              </c:strCache>
            </c:strRef>
          </c:cat>
          <c:val>
            <c:numRef>
              <c:f>'Aditional Charts'!$F$51:$F$56</c:f>
              <c:numCache>
                <c:formatCode>General</c:formatCode>
                <c:ptCount val="6"/>
                <c:pt idx="0">
                  <c:v>3</c:v>
                </c:pt>
                <c:pt idx="1">
                  <c:v>4</c:v>
                </c:pt>
                <c:pt idx="2">
                  <c:v>3</c:v>
                </c:pt>
                <c:pt idx="3">
                  <c:v>3</c:v>
                </c:pt>
                <c:pt idx="4">
                  <c:v>4</c:v>
                </c:pt>
                <c:pt idx="5">
                  <c:v>4</c:v>
                </c:pt>
              </c:numCache>
            </c:numRef>
          </c:val>
          <c:extLst>
            <c:ext xmlns:c16="http://schemas.microsoft.com/office/drawing/2014/chart" uri="{C3380CC4-5D6E-409C-BE32-E72D297353CC}">
              <c16:uniqueId val="{0000000C-7F95-439A-8E2E-6349A4D02194}"/>
            </c:ext>
          </c:extLst>
        </c:ser>
        <c:dLbls>
          <c:showLegendKey val="0"/>
          <c:showVal val="0"/>
          <c:showCatName val="0"/>
          <c:showSerName val="0"/>
          <c:showPercent val="0"/>
          <c:showBubbleSize val="0"/>
        </c:dLbls>
        <c:gapWidth val="182"/>
        <c:axId val="622004720"/>
        <c:axId val="622005200"/>
      </c:barChart>
      <c:catAx>
        <c:axId val="622004720"/>
        <c:scaling>
          <c:orientation val="minMax"/>
        </c:scaling>
        <c:delete val="0"/>
        <c:axPos val="l"/>
        <c:numFmt formatCode="General" sourceLinked="1"/>
        <c:majorTickMark val="none"/>
        <c:minorTickMark val="none"/>
        <c:tickLblPos val="nextTo"/>
        <c:spPr>
          <a:ln>
            <a:solidFill>
              <a:srgbClr val="EEEEEE"/>
            </a:solidFill>
            <a:prstDash val="solid"/>
          </a:ln>
        </c:spPr>
        <c:txPr>
          <a:bodyPr/>
          <a:lstStyle/>
          <a:p>
            <a:pPr>
              <a:defRPr sz="900" b="0">
                <a:solidFill>
                  <a:srgbClr val="595959"/>
                </a:solidFill>
                <a:latin typeface="Arial"/>
                <a:ea typeface="Arial"/>
                <a:cs typeface="Arial"/>
              </a:defRPr>
            </a:pPr>
            <a:endParaRPr lang="en-US"/>
          </a:p>
        </c:txPr>
        <c:crossAx val="622005200"/>
        <c:crosses val="autoZero"/>
        <c:auto val="1"/>
        <c:lblAlgn val="ctr"/>
        <c:lblOffset val="100"/>
        <c:noMultiLvlLbl val="0"/>
      </c:catAx>
      <c:valAx>
        <c:axId val="622005200"/>
        <c:scaling>
          <c:orientation val="minMax"/>
        </c:scaling>
        <c:delete val="0"/>
        <c:axPos val="b"/>
        <c:majorGridlines>
          <c:spPr>
            <a:ln>
              <a:solidFill>
                <a:srgbClr val="EEEEEE"/>
              </a:solidFill>
              <a:prstDash val="solid"/>
            </a:ln>
          </c:spPr>
        </c:majorGridlines>
        <c:numFmt formatCode="General" sourceLinked="1"/>
        <c:majorTickMark val="none"/>
        <c:minorTickMark val="none"/>
        <c:tickLblPos val="nextTo"/>
        <c:spPr>
          <a:ln>
            <a:solidFill>
              <a:srgbClr val="EEEEEE"/>
            </a:solidFill>
            <a:prstDash val="solid"/>
          </a:ln>
        </c:spPr>
        <c:txPr>
          <a:bodyPr/>
          <a:lstStyle/>
          <a:p>
            <a:pPr>
              <a:defRPr sz="900">
                <a:solidFill>
                  <a:srgbClr val="595959"/>
                </a:solidFill>
                <a:latin typeface="Arial"/>
                <a:ea typeface="Arial"/>
                <a:cs typeface="Arial"/>
              </a:defRPr>
            </a:pPr>
            <a:endParaRPr lang="en-US"/>
          </a:p>
        </c:txPr>
        <c:crossAx val="622004720"/>
        <c:crosses val="autoZero"/>
        <c:crossBetween val="between"/>
      </c:valAx>
      <c:spPr>
        <a:solidFill>
          <a:srgbClr val="FFFFFF"/>
        </a:solidFill>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rgbClr val="FFFFFF"/>
    </a:solidFill>
    <a:ln>
      <a:solidFill>
        <a:srgbClr val="D9D9D9"/>
      </a:solidFill>
      <a:prstDash val="solid"/>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220293D-9D5F-4011-ACA2-54E47CE20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1603</TotalTime>
  <Pages>1</Pages>
  <Words>27795</Words>
  <Characters>194291</Characters>
  <Application>Microsoft Office Word</Application>
  <DocSecurity>0</DocSecurity>
  <Lines>4625</Lines>
  <Paragraphs>2135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Davies (Eng &amp; IT)</dc:creator>
  <cp:keywords/>
  <dc:description/>
  <cp:lastModifiedBy>Paul Davies (Eng &amp; IT)</cp:lastModifiedBy>
  <cp:revision>186</cp:revision>
  <dcterms:created xsi:type="dcterms:W3CDTF">2025-12-29T09:46:00Z</dcterms:created>
  <dcterms:modified xsi:type="dcterms:W3CDTF">2026-03-13T17:22:00Z</dcterms:modified>
</cp:coreProperties>
</file>