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50C7991"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FE53D0">
        <w:rPr>
          <w:rFonts w:ascii="Arial" w:hAnsi="Arial" w:cs="Arial"/>
          <w:sz w:val="28"/>
          <w:szCs w:val="28"/>
        </w:rPr>
        <w:t>2335890</w:t>
      </w:r>
    </w:p>
    <w:p w14:paraId="01D5D8DB" w14:textId="03ED09ED" w:rsidR="00FF5B70" w:rsidRDefault="00FF5B70" w:rsidP="00041A5A">
      <w:pPr>
        <w:spacing w:line="360" w:lineRule="auto"/>
        <w:rPr>
          <w:rFonts w:ascii="Arial" w:hAnsi="Arial" w:cs="Arial"/>
          <w:sz w:val="28"/>
          <w:szCs w:val="28"/>
        </w:rPr>
      </w:pPr>
    </w:p>
    <w:p w14:paraId="37A27DB3" w14:textId="7CCDBA60"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FE53D0">
        <w:rPr>
          <w:rFonts w:ascii="Arial" w:hAnsi="Arial" w:cs="Arial"/>
          <w:sz w:val="28"/>
          <w:szCs w:val="28"/>
        </w:rPr>
        <w:t>Cristina Apostol</w:t>
      </w:r>
    </w:p>
    <w:p w14:paraId="638A4615" w14:textId="77777777" w:rsidR="00715990" w:rsidRPr="00260277" w:rsidRDefault="00715990" w:rsidP="00041A5A">
      <w:pPr>
        <w:spacing w:line="360" w:lineRule="auto"/>
        <w:rPr>
          <w:rFonts w:ascii="Arial" w:hAnsi="Arial" w:cs="Arial"/>
          <w:sz w:val="28"/>
          <w:szCs w:val="28"/>
        </w:rPr>
      </w:pPr>
    </w:p>
    <w:p w14:paraId="19AA26A9" w14:textId="453FBC07" w:rsidR="00FF5B70" w:rsidRDefault="00FE53D0" w:rsidP="00041A5A">
      <w:pPr>
        <w:spacing w:line="360" w:lineRule="auto"/>
        <w:rPr>
          <w:rFonts w:ascii="Arial" w:hAnsi="Arial" w:cs="Arial"/>
          <w:sz w:val="28"/>
          <w:szCs w:val="28"/>
        </w:rPr>
      </w:pPr>
      <w:r>
        <w:rPr>
          <w:rFonts w:ascii="Arial" w:hAnsi="Arial" w:cs="Arial"/>
          <w:b/>
          <w:bCs/>
          <w:sz w:val="28"/>
          <w:szCs w:val="28"/>
        </w:rPr>
        <w:t>L</w:t>
      </w:r>
      <w:r w:rsidR="00655F97">
        <w:rPr>
          <w:rFonts w:ascii="Arial" w:hAnsi="Arial" w:cs="Arial"/>
          <w:b/>
          <w:bCs/>
          <w:sz w:val="28"/>
          <w:szCs w:val="28"/>
        </w:rPr>
        <w:t xml:space="preserve">ecture’s </w:t>
      </w:r>
      <w:proofErr w:type="gramStart"/>
      <w:r w:rsidR="00655F97">
        <w:rPr>
          <w:rFonts w:ascii="Arial" w:hAnsi="Arial" w:cs="Arial"/>
          <w:b/>
          <w:bCs/>
          <w:sz w:val="28"/>
          <w:szCs w:val="28"/>
        </w:rPr>
        <w:t>name :</w:t>
      </w:r>
      <w:proofErr w:type="gramEnd"/>
      <w:r w:rsidR="00655F97">
        <w:rPr>
          <w:rFonts w:ascii="Arial" w:hAnsi="Arial" w:cs="Arial"/>
          <w:b/>
          <w:bCs/>
          <w:sz w:val="28"/>
          <w:szCs w:val="28"/>
        </w:rPr>
        <w:t xml:space="preserve"> Bianca </w:t>
      </w:r>
      <w:r w:rsidR="004920BC">
        <w:rPr>
          <w:rFonts w:ascii="Arial" w:hAnsi="Arial" w:cs="Arial"/>
          <w:b/>
          <w:bCs/>
          <w:sz w:val="28"/>
          <w:szCs w:val="28"/>
        </w:rPr>
        <w:t>Sanfilippo</w:t>
      </w:r>
      <w:r w:rsidR="002857E8">
        <w:rPr>
          <w:rFonts w:ascii="Arial" w:hAnsi="Arial" w:cs="Arial"/>
          <w:b/>
          <w:bCs/>
          <w:sz w:val="28"/>
          <w:szCs w:val="28"/>
        </w:rPr>
        <w:t xml:space="preserve">/ Jolly </w:t>
      </w:r>
      <w:r w:rsidR="00E2231E" w:rsidRPr="00E2231E">
        <w:rPr>
          <w:rFonts w:ascii="Arial" w:hAnsi="Arial" w:cs="Arial"/>
          <w:b/>
          <w:bCs/>
          <w:sz w:val="28"/>
          <w:szCs w:val="28"/>
        </w:rPr>
        <w:t>Nwankwo</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24BD4B42" w14:textId="236DB6E9" w:rsidR="00D769F0" w:rsidRPr="00D769F0" w:rsidRDefault="00FF5B70" w:rsidP="00784670">
      <w:pPr>
        <w:pStyle w:val="Heading2"/>
      </w:pPr>
      <w:r>
        <w:t>My p</w:t>
      </w:r>
      <w:r w:rsidR="00D769F0" w:rsidRPr="00D769F0">
        <w:t xml:space="preserve">roject title: </w:t>
      </w:r>
    </w:p>
    <w:p w14:paraId="5D831BF1" w14:textId="77777777" w:rsidR="00727C28" w:rsidRDefault="00055ED0">
      <w:pPr>
        <w:spacing w:after="120" w:line="360" w:lineRule="auto"/>
        <w:rPr>
          <w:rFonts w:ascii="Arial" w:hAnsi="Arial" w:cs="Arial"/>
          <w:sz w:val="22"/>
        </w:rPr>
      </w:pPr>
      <w:r>
        <w:rPr>
          <w:rFonts w:ascii="Arial" w:hAnsi="Arial" w:cs="Arial"/>
          <w:b/>
          <w:bCs/>
          <w:szCs w:val="24"/>
        </w:rPr>
        <w:t>Exploring Systemic Barriers and Facilitators to Accessing and Delivering Effective Obesity Management Services in UK Primary Care</w:t>
      </w:r>
    </w:p>
    <w:p w14:paraId="40C7BB25" w14:textId="63754B6D" w:rsidR="00784670" w:rsidRPr="00784670" w:rsidRDefault="00FF5B70" w:rsidP="00784670">
      <w:pPr>
        <w:pStyle w:val="Heading2"/>
      </w:pPr>
      <w:r>
        <w:t>1</w:t>
      </w:r>
      <w:r w:rsidR="00784670" w:rsidRPr="00784670">
        <w:t xml:space="preserve">) </w:t>
      </w:r>
      <w:r w:rsidR="00545684" w:rsidRPr="00784670">
        <w:t>Aim</w:t>
      </w:r>
      <w:r w:rsidR="00784670" w:rsidRPr="00784670">
        <w:t>:</w:t>
      </w:r>
    </w:p>
    <w:p w14:paraId="09D3DFB8" w14:textId="77777777" w:rsidR="00727C28" w:rsidRDefault="00055ED0">
      <w:pPr>
        <w:spacing w:after="120" w:line="360" w:lineRule="auto"/>
        <w:jc w:val="both"/>
        <w:rPr>
          <w:rFonts w:ascii="Arial" w:hAnsi="Arial" w:cs="Arial"/>
          <w:sz w:val="22"/>
        </w:rPr>
      </w:pPr>
      <w:r>
        <w:rPr>
          <w:rFonts w:ascii="Arial" w:hAnsi="Arial" w:cs="Arial"/>
          <w:sz w:val="22"/>
        </w:rPr>
        <w:t>To explore the system-level barriers and facilitators that affect access to, and delivery of, obesity management services in UK primary care.</w:t>
      </w:r>
    </w:p>
    <w:p w14:paraId="4C6858D8" w14:textId="77777777" w:rsidR="00784670" w:rsidRPr="00FB4301" w:rsidRDefault="00784670" w:rsidP="00FB4301">
      <w:pPr>
        <w:spacing w:line="360" w:lineRule="auto"/>
        <w:rPr>
          <w:rFonts w:ascii="Arial" w:hAnsi="Arial" w:cs="Arial"/>
        </w:rPr>
      </w:pPr>
    </w:p>
    <w:p w14:paraId="2B00F95C" w14:textId="7302587D" w:rsidR="00545684" w:rsidRPr="00260277" w:rsidRDefault="00FF5B70" w:rsidP="00784670">
      <w:pPr>
        <w:pStyle w:val="Heading2"/>
      </w:pPr>
      <w:r>
        <w:t>2</w:t>
      </w:r>
      <w:r w:rsidR="00784670">
        <w:t>) O</w:t>
      </w:r>
      <w:r w:rsidR="00545684" w:rsidRPr="00260277">
        <w:t>bjectives:</w:t>
      </w:r>
    </w:p>
    <w:p w14:paraId="203A504A" w14:textId="77777777" w:rsidR="00727C28" w:rsidRDefault="00055ED0">
      <w:pPr>
        <w:numPr>
          <w:ilvl w:val="0"/>
          <w:numId w:val="2"/>
        </w:numPr>
        <w:spacing w:after="80" w:line="360" w:lineRule="auto"/>
        <w:jc w:val="both"/>
        <w:rPr>
          <w:rFonts w:ascii="Arial" w:hAnsi="Arial" w:cs="Arial"/>
          <w:sz w:val="22"/>
        </w:rPr>
      </w:pPr>
      <w:r>
        <w:rPr>
          <w:rFonts w:ascii="Arial" w:hAnsi="Arial" w:cs="Arial"/>
          <w:sz w:val="22"/>
        </w:rPr>
        <w:t>To identify the main barriers that stop adults with obesity from accessing weight management support in primary care.</w:t>
      </w:r>
    </w:p>
    <w:p w14:paraId="7826F46E" w14:textId="77777777" w:rsidR="00727C28" w:rsidRDefault="00055ED0">
      <w:pPr>
        <w:numPr>
          <w:ilvl w:val="0"/>
          <w:numId w:val="2"/>
        </w:numPr>
        <w:spacing w:after="80" w:line="360" w:lineRule="auto"/>
        <w:jc w:val="both"/>
        <w:rPr>
          <w:rFonts w:ascii="Arial" w:hAnsi="Arial" w:cs="Arial"/>
          <w:sz w:val="22"/>
        </w:rPr>
      </w:pPr>
      <w:r>
        <w:rPr>
          <w:rFonts w:ascii="Arial" w:hAnsi="Arial" w:cs="Arial"/>
          <w:sz w:val="22"/>
        </w:rPr>
        <w:t>To explore the barriers and facilitators that primary care staff face when delivering weight management care.</w:t>
      </w:r>
    </w:p>
    <w:p w14:paraId="097C2018" w14:textId="77777777" w:rsidR="00727C28" w:rsidRDefault="00055ED0">
      <w:pPr>
        <w:numPr>
          <w:ilvl w:val="0"/>
          <w:numId w:val="2"/>
        </w:numPr>
        <w:spacing w:after="80" w:line="360" w:lineRule="auto"/>
        <w:jc w:val="both"/>
        <w:rPr>
          <w:rFonts w:ascii="Arial" w:hAnsi="Arial" w:cs="Arial"/>
          <w:sz w:val="22"/>
        </w:rPr>
      </w:pPr>
      <w:r>
        <w:rPr>
          <w:rFonts w:ascii="Arial" w:hAnsi="Arial" w:cs="Arial"/>
          <w:sz w:val="22"/>
        </w:rPr>
        <w:t>To examine how national policies and new weight-loss medicines affect access to obesity care.</w:t>
      </w:r>
    </w:p>
    <w:p w14:paraId="79E7DD35" w14:textId="77777777" w:rsidR="00727C28" w:rsidRDefault="00055ED0">
      <w:pPr>
        <w:numPr>
          <w:ilvl w:val="0"/>
          <w:numId w:val="2"/>
        </w:numPr>
        <w:spacing w:after="80" w:line="360" w:lineRule="auto"/>
        <w:jc w:val="both"/>
        <w:rPr>
          <w:rFonts w:ascii="Arial" w:hAnsi="Arial" w:cs="Arial"/>
          <w:sz w:val="22"/>
        </w:rPr>
      </w:pPr>
      <w:r>
        <w:rPr>
          <w:rFonts w:ascii="Arial" w:hAnsi="Arial" w:cs="Arial"/>
          <w:sz w:val="22"/>
        </w:rPr>
        <w:t>To suggest practical recommendations to improve obesity services in UK primary care.</w:t>
      </w:r>
    </w:p>
    <w:p w14:paraId="4DE92F51" w14:textId="77777777" w:rsidR="00041A5A" w:rsidRPr="00260277" w:rsidRDefault="00041A5A" w:rsidP="00041A5A">
      <w:pPr>
        <w:spacing w:line="360" w:lineRule="auto"/>
        <w:rPr>
          <w:rFonts w:ascii="Arial" w:hAnsi="Arial" w:cs="Arial"/>
        </w:rPr>
      </w:pPr>
    </w:p>
    <w:p w14:paraId="3AC96963" w14:textId="42E0D23A" w:rsidR="00545684" w:rsidRPr="00260277" w:rsidRDefault="00FF5B70" w:rsidP="00784670">
      <w:pPr>
        <w:pStyle w:val="Heading2"/>
      </w:pPr>
      <w:r>
        <w:t>3</w:t>
      </w:r>
      <w:r w:rsidR="008E5015" w:rsidRPr="00260277">
        <w:t xml:space="preserve">) </w:t>
      </w:r>
      <w:r w:rsidR="00545684" w:rsidRPr="00260277">
        <w:t>Background</w:t>
      </w:r>
      <w:r w:rsidR="00FB4301">
        <w:t>/Rationale</w:t>
      </w:r>
      <w:r w:rsidR="00545684" w:rsidRPr="00260277">
        <w:t>:</w:t>
      </w:r>
    </w:p>
    <w:p w14:paraId="4F1E25B3" w14:textId="77777777" w:rsidR="00727C28" w:rsidRDefault="00055ED0">
      <w:pPr>
        <w:spacing w:after="120" w:line="360" w:lineRule="auto"/>
        <w:jc w:val="both"/>
        <w:rPr>
          <w:rFonts w:ascii="Arial" w:hAnsi="Arial" w:cs="Arial"/>
          <w:sz w:val="22"/>
        </w:rPr>
      </w:pPr>
      <w:r>
        <w:rPr>
          <w:rFonts w:ascii="Arial" w:hAnsi="Arial" w:cs="Arial"/>
          <w:sz w:val="22"/>
        </w:rPr>
        <w:t>Obesity is a common long-term condition in the UK that needs ongoing care (Hughes et al., 2021). GPs and nurses are usually the first point of contact and play a key role in raising the topic of weight and referring patients (Warr et al., 2021). However, access remains low: only about 3% of 1.8 million adults in England with recorded overweight or obesity were referred to weight management, with large regional differences (Coulman et al., 2023).</w:t>
      </w:r>
    </w:p>
    <w:p w14:paraId="52993026" w14:textId="77777777" w:rsidR="00727C28" w:rsidRDefault="00055ED0">
      <w:pPr>
        <w:spacing w:after="120" w:line="360" w:lineRule="auto"/>
        <w:jc w:val="both"/>
        <w:rPr>
          <w:rFonts w:ascii="Arial" w:hAnsi="Arial" w:cs="Arial"/>
          <w:sz w:val="22"/>
        </w:rPr>
      </w:pPr>
      <w:r>
        <w:rPr>
          <w:rFonts w:ascii="Arial" w:hAnsi="Arial" w:cs="Arial"/>
          <w:sz w:val="22"/>
        </w:rPr>
        <w:t>Many patients wait years before a professional discusses their weight, and few get a follow-up appointment (Hughes et al., 2021). Staff report that short appointments, heavy workload, poor referral systems, limited training and fear of upsetting patients make this work hard (Warr et al., 2021; Joyce et al., 2025). In contrast, strong practice leadership and clear national policy can help (Joyce et al., 2025). New weight-loss medicines also raise concerns about staff time, cost and fair access (Keating et al., 2025). Understanding these factors can help make obesity care fairer and more effective.</w:t>
      </w:r>
    </w:p>
    <w:p w14:paraId="48B3D1A4" w14:textId="77777777" w:rsidR="00041A5A" w:rsidRPr="00260277" w:rsidRDefault="00041A5A" w:rsidP="00041A5A">
      <w:pPr>
        <w:spacing w:line="360" w:lineRule="auto"/>
        <w:rPr>
          <w:rFonts w:ascii="Arial" w:hAnsi="Arial" w:cs="Arial"/>
        </w:rPr>
      </w:pPr>
    </w:p>
    <w:p w14:paraId="332E5A12" w14:textId="051972BF" w:rsidR="00545684" w:rsidRPr="00260277" w:rsidRDefault="00FF5B70" w:rsidP="00784670">
      <w:pPr>
        <w:pStyle w:val="Heading2"/>
      </w:pPr>
      <w:r>
        <w:t>4</w:t>
      </w:r>
      <w:r w:rsidR="008E5015" w:rsidRPr="00260277">
        <w:t xml:space="preserve">) </w:t>
      </w:r>
      <w:r w:rsidR="00545684" w:rsidRPr="00260277">
        <w:t>Methods:</w:t>
      </w:r>
    </w:p>
    <w:p w14:paraId="59D8FFC3" w14:textId="77777777" w:rsidR="00727C28" w:rsidRDefault="00055ED0">
      <w:pPr>
        <w:spacing w:after="120" w:line="360" w:lineRule="auto"/>
        <w:jc w:val="both"/>
        <w:rPr>
          <w:rFonts w:ascii="Arial" w:hAnsi="Arial" w:cs="Arial"/>
          <w:sz w:val="22"/>
        </w:rPr>
      </w:pPr>
      <w:r>
        <w:rPr>
          <w:rFonts w:ascii="Arial" w:hAnsi="Arial" w:cs="Arial"/>
          <w:sz w:val="22"/>
        </w:rPr>
        <w:t>This project will use secondary research: a systematic literature review of around 10 peer-reviewed journal articles published between 2016 and 2026. This approach avoids direct contact with patients and fits the time available.</w:t>
      </w:r>
    </w:p>
    <w:p w14:paraId="74D8D37F" w14:textId="77777777" w:rsidR="00727C28" w:rsidRDefault="00055ED0">
      <w:pPr>
        <w:spacing w:after="120" w:line="360" w:lineRule="auto"/>
        <w:jc w:val="both"/>
        <w:rPr>
          <w:rFonts w:ascii="Arial" w:hAnsi="Arial" w:cs="Arial"/>
          <w:sz w:val="22"/>
        </w:rPr>
      </w:pPr>
      <w:r>
        <w:rPr>
          <w:rFonts w:ascii="Arial" w:hAnsi="Arial" w:cs="Arial"/>
          <w:b/>
          <w:bCs/>
          <w:sz w:val="22"/>
        </w:rPr>
        <w:t xml:space="preserve">Search strategy: </w:t>
      </w:r>
      <w:r>
        <w:rPr>
          <w:rFonts w:ascii="Arial" w:hAnsi="Arial" w:cs="Arial"/>
          <w:sz w:val="22"/>
        </w:rPr>
        <w:t>PubMed, CINAHL and Google Scholar will be searched using keywords such as “obesity”, “weight management”, “primary care”, “barriers”, “facilitators” and “UK”, combined with AND/OR.</w:t>
      </w:r>
    </w:p>
    <w:p w14:paraId="3D36B269" w14:textId="77777777" w:rsidR="00727C28" w:rsidRDefault="00055ED0">
      <w:pPr>
        <w:spacing w:after="120" w:line="360" w:lineRule="auto"/>
        <w:jc w:val="both"/>
        <w:rPr>
          <w:rFonts w:ascii="Arial" w:hAnsi="Arial" w:cs="Arial"/>
          <w:sz w:val="22"/>
        </w:rPr>
      </w:pPr>
      <w:r>
        <w:rPr>
          <w:rFonts w:ascii="Arial" w:hAnsi="Arial" w:cs="Arial"/>
          <w:b/>
          <w:bCs/>
          <w:sz w:val="22"/>
        </w:rPr>
        <w:t xml:space="preserve">Inclusion criteria: </w:t>
      </w:r>
      <w:r>
        <w:rPr>
          <w:rFonts w:ascii="Arial" w:hAnsi="Arial" w:cs="Arial"/>
          <w:sz w:val="22"/>
        </w:rPr>
        <w:t>English language; published 2016–2026; adults; UK primary care; studies about barriers or facilitators.</w:t>
      </w:r>
    </w:p>
    <w:p w14:paraId="766748F9" w14:textId="77777777" w:rsidR="00727C28" w:rsidRDefault="00055ED0">
      <w:pPr>
        <w:spacing w:after="120" w:line="360" w:lineRule="auto"/>
        <w:jc w:val="both"/>
        <w:rPr>
          <w:rFonts w:ascii="Arial" w:hAnsi="Arial" w:cs="Arial"/>
          <w:sz w:val="22"/>
        </w:rPr>
      </w:pPr>
      <w:r>
        <w:rPr>
          <w:rFonts w:ascii="Arial" w:hAnsi="Arial" w:cs="Arial"/>
          <w:b/>
          <w:bCs/>
          <w:sz w:val="22"/>
        </w:rPr>
        <w:t xml:space="preserve">Exclusion criteria: </w:t>
      </w:r>
      <w:r>
        <w:rPr>
          <w:rFonts w:ascii="Arial" w:hAnsi="Arial" w:cs="Arial"/>
          <w:sz w:val="22"/>
        </w:rPr>
        <w:t>children only; hospital-only services; non-UK studies; opinion pieces; no full text.</w:t>
      </w:r>
    </w:p>
    <w:p w14:paraId="736768B2" w14:textId="77777777" w:rsidR="00727C28" w:rsidRDefault="00055ED0">
      <w:pPr>
        <w:spacing w:after="120" w:line="360" w:lineRule="auto"/>
        <w:jc w:val="both"/>
        <w:rPr>
          <w:rFonts w:ascii="Arial" w:hAnsi="Arial" w:cs="Arial"/>
          <w:sz w:val="22"/>
        </w:rPr>
      </w:pPr>
      <w:r>
        <w:rPr>
          <w:rFonts w:ascii="Arial" w:hAnsi="Arial" w:cs="Arial"/>
          <w:sz w:val="22"/>
        </w:rPr>
        <w:t>A PRISMA flow diagram will show the search process, CASP checklists will assess article quality, and thematic analysis will identify common themes. No participants are involved, but the university’s ethical guidelines will be followed.</w:t>
      </w:r>
    </w:p>
    <w:p w14:paraId="08437629" w14:textId="77777777" w:rsidR="0061260B" w:rsidRPr="00260277" w:rsidRDefault="0061260B" w:rsidP="0061260B">
      <w:pPr>
        <w:rPr>
          <w:rFonts w:ascii="Arial" w:hAnsi="Arial" w:cs="Arial"/>
        </w:rPr>
      </w:pPr>
    </w:p>
    <w:p w14:paraId="232DCC93" w14:textId="74A66EC3" w:rsidR="0061260B" w:rsidRPr="00260277" w:rsidRDefault="00FF5B70" w:rsidP="00784670">
      <w:pPr>
        <w:pStyle w:val="Heading2"/>
      </w:pPr>
      <w:r>
        <w:t>5</w:t>
      </w:r>
      <w:r w:rsidR="0061260B" w:rsidRPr="00260277">
        <w:t>) Resources</w:t>
      </w:r>
      <w:r w:rsidR="00260277">
        <w:t>:</w:t>
      </w:r>
      <w:r w:rsidR="0061260B" w:rsidRPr="00260277">
        <w:t xml:space="preserve"> </w:t>
      </w:r>
    </w:p>
    <w:p w14:paraId="612878C3" w14:textId="77777777" w:rsidR="00727C28" w:rsidRDefault="00055ED0">
      <w:pPr>
        <w:numPr>
          <w:ilvl w:val="0"/>
          <w:numId w:val="3"/>
        </w:numPr>
        <w:spacing w:after="60" w:line="360" w:lineRule="auto"/>
        <w:rPr>
          <w:rFonts w:ascii="Arial" w:hAnsi="Arial" w:cs="Arial"/>
          <w:sz w:val="22"/>
        </w:rPr>
      </w:pPr>
      <w:r>
        <w:rPr>
          <w:rFonts w:ascii="Arial" w:hAnsi="Arial" w:cs="Arial"/>
          <w:sz w:val="22"/>
        </w:rPr>
        <w:t>University library and online databases (PubMed, CINAHL, Google Scholar)</w:t>
      </w:r>
    </w:p>
    <w:p w14:paraId="68ADB3AB" w14:textId="77777777" w:rsidR="00727C28" w:rsidRDefault="00055ED0">
      <w:pPr>
        <w:numPr>
          <w:ilvl w:val="0"/>
          <w:numId w:val="3"/>
        </w:numPr>
        <w:spacing w:after="60" w:line="360" w:lineRule="auto"/>
        <w:rPr>
          <w:rFonts w:ascii="Arial" w:hAnsi="Arial" w:cs="Arial"/>
          <w:sz w:val="22"/>
        </w:rPr>
      </w:pPr>
      <w:r>
        <w:rPr>
          <w:rFonts w:ascii="Arial" w:hAnsi="Arial" w:cs="Arial"/>
          <w:sz w:val="22"/>
        </w:rPr>
        <w:t>Laptop, internet and Microsoft Word/Excel</w:t>
      </w:r>
    </w:p>
    <w:p w14:paraId="6AD2975D" w14:textId="77777777" w:rsidR="00727C28" w:rsidRDefault="00055ED0">
      <w:pPr>
        <w:numPr>
          <w:ilvl w:val="0"/>
          <w:numId w:val="3"/>
        </w:numPr>
        <w:spacing w:after="60" w:line="360" w:lineRule="auto"/>
        <w:rPr>
          <w:rFonts w:ascii="Arial" w:hAnsi="Arial" w:cs="Arial"/>
          <w:sz w:val="22"/>
        </w:rPr>
      </w:pPr>
      <w:r>
        <w:rPr>
          <w:rFonts w:ascii="Arial" w:hAnsi="Arial" w:cs="Arial"/>
          <w:sz w:val="22"/>
        </w:rPr>
        <w:t>CASP checklists and a PRISMA flow diagram template</w:t>
      </w:r>
    </w:p>
    <w:p w14:paraId="2C05A85F" w14:textId="77777777" w:rsidR="00727C28" w:rsidRDefault="00055ED0">
      <w:pPr>
        <w:numPr>
          <w:ilvl w:val="0"/>
          <w:numId w:val="3"/>
        </w:numPr>
        <w:spacing w:after="60" w:line="360" w:lineRule="auto"/>
        <w:rPr>
          <w:rFonts w:ascii="Arial" w:hAnsi="Arial" w:cs="Arial"/>
          <w:sz w:val="22"/>
        </w:rPr>
      </w:pPr>
      <w:r>
        <w:rPr>
          <w:rFonts w:ascii="Arial" w:hAnsi="Arial" w:cs="Arial"/>
          <w:sz w:val="22"/>
        </w:rPr>
        <w:t>Supervisor support and Moodle guidance</w:t>
      </w:r>
    </w:p>
    <w:p w14:paraId="376E10FA" w14:textId="77777777" w:rsidR="00260277" w:rsidRPr="00260277" w:rsidRDefault="00260277" w:rsidP="00260277">
      <w:pPr>
        <w:rPr>
          <w:rFonts w:ascii="Arial" w:hAnsi="Arial" w:cs="Arial"/>
        </w:rPr>
      </w:pPr>
    </w:p>
    <w:p w14:paraId="0FE77585" w14:textId="45EB88AC" w:rsidR="00545684" w:rsidRPr="00260277" w:rsidRDefault="00FF5B70" w:rsidP="00784670">
      <w:pPr>
        <w:pStyle w:val="Heading2"/>
      </w:pPr>
      <w:r>
        <w:t>6</w:t>
      </w:r>
      <w:r w:rsidR="0061260B" w:rsidRPr="00260277">
        <w:t>) Timescale:</w:t>
      </w:r>
    </w:p>
    <w:tbl>
      <w:tblPr>
        <w:tblStyle w:val="TableGrid"/>
        <w:tblW w:w="9026" w:type="dxa"/>
        <w:tblLook w:val="04A0" w:firstRow="1" w:lastRow="0" w:firstColumn="1" w:lastColumn="0" w:noHBand="0" w:noVBand="1"/>
      </w:tblPr>
      <w:tblGrid>
        <w:gridCol w:w="2600"/>
        <w:gridCol w:w="6426"/>
      </w:tblGrid>
      <w:tr w:rsidR="00727C28" w14:paraId="08E275FB" w14:textId="77777777">
        <w:trPr>
          <w:tblHeader/>
        </w:trPr>
        <w:tc>
          <w:tcPr>
            <w:tcW w:w="2600" w:type="dxa"/>
            <w:shd w:val="clear" w:color="auto" w:fill="D9E2F3"/>
          </w:tcPr>
          <w:p w14:paraId="0DF07CE8" w14:textId="77777777" w:rsidR="00727C28" w:rsidRDefault="00055ED0">
            <w:pPr>
              <w:spacing w:before="60" w:after="60" w:line="276" w:lineRule="auto"/>
              <w:rPr>
                <w:rFonts w:ascii="Arial" w:hAnsi="Arial" w:cs="Arial"/>
                <w:b/>
                <w:bCs/>
                <w:sz w:val="22"/>
                <w:szCs w:val="22"/>
              </w:rPr>
            </w:pPr>
            <w:r>
              <w:rPr>
                <w:rFonts w:ascii="Arial" w:hAnsi="Arial" w:cs="Arial"/>
                <w:b/>
                <w:bCs/>
                <w:sz w:val="22"/>
                <w:szCs w:val="22"/>
              </w:rPr>
              <w:t>Month</w:t>
            </w:r>
          </w:p>
        </w:tc>
        <w:tc>
          <w:tcPr>
            <w:tcW w:w="6426" w:type="dxa"/>
            <w:shd w:val="clear" w:color="auto" w:fill="D9E2F3"/>
          </w:tcPr>
          <w:p w14:paraId="5DF486C1" w14:textId="77777777" w:rsidR="00727C28" w:rsidRDefault="00055ED0">
            <w:pPr>
              <w:spacing w:before="60" w:after="60" w:line="276" w:lineRule="auto"/>
              <w:rPr>
                <w:rFonts w:ascii="Arial" w:hAnsi="Arial" w:cs="Arial"/>
                <w:b/>
                <w:bCs/>
                <w:sz w:val="22"/>
                <w:szCs w:val="22"/>
              </w:rPr>
            </w:pPr>
            <w:r>
              <w:rPr>
                <w:rFonts w:ascii="Arial" w:hAnsi="Arial" w:cs="Arial"/>
                <w:b/>
                <w:bCs/>
                <w:sz w:val="22"/>
                <w:szCs w:val="22"/>
              </w:rPr>
              <w:t>Task</w:t>
            </w:r>
          </w:p>
        </w:tc>
      </w:tr>
      <w:tr w:rsidR="00727C28" w14:paraId="485894D7" w14:textId="77777777">
        <w:trPr>
          <w:cantSplit/>
        </w:trPr>
        <w:tc>
          <w:tcPr>
            <w:tcW w:w="2600" w:type="dxa"/>
          </w:tcPr>
          <w:p w14:paraId="72D4C5D1" w14:textId="77777777" w:rsidR="00727C28" w:rsidRDefault="00055ED0">
            <w:pPr>
              <w:spacing w:before="60" w:after="60" w:line="276" w:lineRule="auto"/>
              <w:rPr>
                <w:rFonts w:ascii="Arial" w:hAnsi="Arial" w:cs="Arial"/>
                <w:sz w:val="22"/>
                <w:szCs w:val="22"/>
              </w:rPr>
            </w:pPr>
            <w:r>
              <w:rPr>
                <w:rFonts w:ascii="Arial" w:hAnsi="Arial" w:cs="Arial"/>
                <w:sz w:val="22"/>
                <w:szCs w:val="22"/>
              </w:rPr>
              <w:t>October 2026</w:t>
            </w:r>
          </w:p>
        </w:tc>
        <w:tc>
          <w:tcPr>
            <w:tcW w:w="6426" w:type="dxa"/>
          </w:tcPr>
          <w:p w14:paraId="67B5E67F" w14:textId="77777777" w:rsidR="00727C28" w:rsidRDefault="00055ED0">
            <w:pPr>
              <w:spacing w:before="60" w:after="60" w:line="276" w:lineRule="auto"/>
              <w:rPr>
                <w:rFonts w:ascii="Arial" w:hAnsi="Arial" w:cs="Arial"/>
                <w:sz w:val="22"/>
                <w:szCs w:val="22"/>
              </w:rPr>
            </w:pPr>
            <w:r>
              <w:rPr>
                <w:rFonts w:ascii="Arial" w:hAnsi="Arial" w:cs="Arial"/>
                <w:sz w:val="22"/>
                <w:szCs w:val="22"/>
              </w:rPr>
              <w:t>Write and submit the project proposal</w:t>
            </w:r>
          </w:p>
        </w:tc>
      </w:tr>
      <w:tr w:rsidR="00727C28" w14:paraId="311ADF3F" w14:textId="77777777">
        <w:trPr>
          <w:cantSplit/>
        </w:trPr>
        <w:tc>
          <w:tcPr>
            <w:tcW w:w="2600" w:type="dxa"/>
          </w:tcPr>
          <w:p w14:paraId="0952DBDE" w14:textId="77777777" w:rsidR="00727C28" w:rsidRDefault="00055ED0">
            <w:pPr>
              <w:spacing w:before="60" w:after="60" w:line="276" w:lineRule="auto"/>
              <w:rPr>
                <w:rFonts w:ascii="Arial" w:hAnsi="Arial" w:cs="Arial"/>
                <w:sz w:val="22"/>
                <w:szCs w:val="22"/>
              </w:rPr>
            </w:pPr>
            <w:r>
              <w:rPr>
                <w:rFonts w:ascii="Arial" w:hAnsi="Arial" w:cs="Arial"/>
                <w:sz w:val="22"/>
                <w:szCs w:val="22"/>
              </w:rPr>
              <w:t>November 2026</w:t>
            </w:r>
          </w:p>
        </w:tc>
        <w:tc>
          <w:tcPr>
            <w:tcW w:w="6426" w:type="dxa"/>
          </w:tcPr>
          <w:p w14:paraId="4AC98C5E" w14:textId="77777777" w:rsidR="00727C28" w:rsidRDefault="00055ED0">
            <w:pPr>
              <w:spacing w:before="60" w:after="60" w:line="276" w:lineRule="auto"/>
              <w:rPr>
                <w:rFonts w:ascii="Arial" w:hAnsi="Arial" w:cs="Arial"/>
                <w:sz w:val="22"/>
                <w:szCs w:val="22"/>
              </w:rPr>
            </w:pPr>
            <w:r>
              <w:rPr>
                <w:rFonts w:ascii="Arial" w:hAnsi="Arial" w:cs="Arial"/>
                <w:sz w:val="22"/>
                <w:szCs w:val="22"/>
              </w:rPr>
              <w:t>Search databases and screen articles</w:t>
            </w:r>
          </w:p>
        </w:tc>
      </w:tr>
      <w:tr w:rsidR="00727C28" w14:paraId="083463CE" w14:textId="77777777">
        <w:trPr>
          <w:cantSplit/>
        </w:trPr>
        <w:tc>
          <w:tcPr>
            <w:tcW w:w="2600" w:type="dxa"/>
          </w:tcPr>
          <w:p w14:paraId="6EF33958" w14:textId="77777777" w:rsidR="00727C28" w:rsidRDefault="00055ED0">
            <w:pPr>
              <w:spacing w:before="60" w:after="60" w:line="276" w:lineRule="auto"/>
              <w:rPr>
                <w:rFonts w:ascii="Arial" w:hAnsi="Arial" w:cs="Arial"/>
                <w:sz w:val="22"/>
                <w:szCs w:val="22"/>
              </w:rPr>
            </w:pPr>
            <w:r>
              <w:rPr>
                <w:rFonts w:ascii="Arial" w:hAnsi="Arial" w:cs="Arial"/>
                <w:sz w:val="22"/>
                <w:szCs w:val="22"/>
              </w:rPr>
              <w:t>December 2026</w:t>
            </w:r>
          </w:p>
        </w:tc>
        <w:tc>
          <w:tcPr>
            <w:tcW w:w="6426" w:type="dxa"/>
          </w:tcPr>
          <w:p w14:paraId="03EBCD6C" w14:textId="77777777" w:rsidR="00727C28" w:rsidRDefault="00055ED0">
            <w:pPr>
              <w:spacing w:before="60" w:after="60" w:line="276" w:lineRule="auto"/>
              <w:rPr>
                <w:rFonts w:ascii="Arial" w:hAnsi="Arial" w:cs="Arial"/>
                <w:sz w:val="22"/>
                <w:szCs w:val="22"/>
              </w:rPr>
            </w:pPr>
            <w:r>
              <w:rPr>
                <w:rFonts w:ascii="Arial" w:hAnsi="Arial" w:cs="Arial"/>
                <w:sz w:val="22"/>
                <w:szCs w:val="22"/>
              </w:rPr>
              <w:t>Select about 10 articles and check quality (CASP)</w:t>
            </w:r>
          </w:p>
        </w:tc>
      </w:tr>
      <w:tr w:rsidR="00727C28" w14:paraId="6A0D0C0D" w14:textId="77777777">
        <w:trPr>
          <w:cantSplit/>
        </w:trPr>
        <w:tc>
          <w:tcPr>
            <w:tcW w:w="2600" w:type="dxa"/>
          </w:tcPr>
          <w:p w14:paraId="5CE598D2" w14:textId="77777777" w:rsidR="00727C28" w:rsidRDefault="00055ED0">
            <w:pPr>
              <w:spacing w:before="60" w:after="60" w:line="276" w:lineRule="auto"/>
              <w:rPr>
                <w:rFonts w:ascii="Arial" w:hAnsi="Arial" w:cs="Arial"/>
                <w:sz w:val="22"/>
                <w:szCs w:val="22"/>
              </w:rPr>
            </w:pPr>
            <w:r>
              <w:rPr>
                <w:rFonts w:ascii="Arial" w:hAnsi="Arial" w:cs="Arial"/>
                <w:sz w:val="22"/>
                <w:szCs w:val="22"/>
              </w:rPr>
              <w:t>January 2027</w:t>
            </w:r>
          </w:p>
        </w:tc>
        <w:tc>
          <w:tcPr>
            <w:tcW w:w="6426" w:type="dxa"/>
          </w:tcPr>
          <w:p w14:paraId="6F2498F6" w14:textId="77777777" w:rsidR="00727C28" w:rsidRDefault="00055ED0">
            <w:pPr>
              <w:spacing w:before="60" w:after="60" w:line="276" w:lineRule="auto"/>
              <w:rPr>
                <w:rFonts w:ascii="Arial" w:hAnsi="Arial" w:cs="Arial"/>
                <w:sz w:val="22"/>
                <w:szCs w:val="22"/>
              </w:rPr>
            </w:pPr>
            <w:r>
              <w:rPr>
                <w:rFonts w:ascii="Arial" w:hAnsi="Arial" w:cs="Arial"/>
                <w:sz w:val="22"/>
                <w:szCs w:val="22"/>
              </w:rPr>
              <w:t>Thematic analysis; prepare the methodology poster</w:t>
            </w:r>
          </w:p>
        </w:tc>
      </w:tr>
      <w:tr w:rsidR="00727C28" w14:paraId="1DC2EDB4" w14:textId="77777777">
        <w:trPr>
          <w:cantSplit/>
        </w:trPr>
        <w:tc>
          <w:tcPr>
            <w:tcW w:w="2600" w:type="dxa"/>
          </w:tcPr>
          <w:p w14:paraId="11944423" w14:textId="77777777" w:rsidR="00727C28" w:rsidRDefault="00055ED0">
            <w:pPr>
              <w:spacing w:before="60" w:after="60" w:line="276" w:lineRule="auto"/>
              <w:rPr>
                <w:rFonts w:ascii="Arial" w:hAnsi="Arial" w:cs="Arial"/>
                <w:sz w:val="22"/>
                <w:szCs w:val="22"/>
              </w:rPr>
            </w:pPr>
            <w:r>
              <w:rPr>
                <w:rFonts w:ascii="Arial" w:hAnsi="Arial" w:cs="Arial"/>
                <w:sz w:val="22"/>
                <w:szCs w:val="22"/>
              </w:rPr>
              <w:t>February–March 2027</w:t>
            </w:r>
          </w:p>
        </w:tc>
        <w:tc>
          <w:tcPr>
            <w:tcW w:w="6426" w:type="dxa"/>
          </w:tcPr>
          <w:p w14:paraId="0006BE66" w14:textId="77777777" w:rsidR="00727C28" w:rsidRDefault="00055ED0">
            <w:pPr>
              <w:spacing w:before="60" w:after="60" w:line="276" w:lineRule="auto"/>
              <w:rPr>
                <w:rFonts w:ascii="Arial" w:hAnsi="Arial" w:cs="Arial"/>
                <w:sz w:val="22"/>
                <w:szCs w:val="22"/>
              </w:rPr>
            </w:pPr>
            <w:r>
              <w:rPr>
                <w:rFonts w:ascii="Arial" w:hAnsi="Arial" w:cs="Arial"/>
                <w:sz w:val="22"/>
                <w:szCs w:val="22"/>
              </w:rPr>
              <w:t>Write the dissertation chapters</w:t>
            </w:r>
          </w:p>
        </w:tc>
      </w:tr>
      <w:tr w:rsidR="00727C28" w14:paraId="283A985A" w14:textId="77777777">
        <w:trPr>
          <w:cantSplit/>
        </w:trPr>
        <w:tc>
          <w:tcPr>
            <w:tcW w:w="2600" w:type="dxa"/>
          </w:tcPr>
          <w:p w14:paraId="5A25D108" w14:textId="77777777" w:rsidR="00727C28" w:rsidRDefault="00055ED0">
            <w:pPr>
              <w:spacing w:before="60" w:after="60" w:line="276" w:lineRule="auto"/>
              <w:rPr>
                <w:rFonts w:ascii="Arial" w:hAnsi="Arial" w:cs="Arial"/>
                <w:sz w:val="22"/>
                <w:szCs w:val="22"/>
              </w:rPr>
            </w:pPr>
            <w:r>
              <w:rPr>
                <w:rFonts w:ascii="Arial" w:hAnsi="Arial" w:cs="Arial"/>
                <w:sz w:val="22"/>
                <w:szCs w:val="22"/>
              </w:rPr>
              <w:t>April 2027</w:t>
            </w:r>
          </w:p>
        </w:tc>
        <w:tc>
          <w:tcPr>
            <w:tcW w:w="6426" w:type="dxa"/>
          </w:tcPr>
          <w:p w14:paraId="77D101AF" w14:textId="77777777" w:rsidR="00727C28" w:rsidRDefault="00055ED0">
            <w:pPr>
              <w:spacing w:before="60" w:after="60" w:line="276" w:lineRule="auto"/>
              <w:rPr>
                <w:rFonts w:ascii="Arial" w:hAnsi="Arial" w:cs="Arial"/>
                <w:sz w:val="22"/>
                <w:szCs w:val="22"/>
              </w:rPr>
            </w:pPr>
            <w:r>
              <w:rPr>
                <w:rFonts w:ascii="Arial" w:hAnsi="Arial" w:cs="Arial"/>
                <w:sz w:val="22"/>
                <w:szCs w:val="22"/>
              </w:rPr>
              <w:t>Proofread, check references and submit</w:t>
            </w:r>
          </w:p>
        </w:tc>
      </w:tr>
    </w:tbl>
    <w:p w14:paraId="41BD97AB" w14:textId="77777777" w:rsidR="00260277" w:rsidRPr="00260277" w:rsidRDefault="00260277" w:rsidP="00041A5A">
      <w:pPr>
        <w:spacing w:line="360" w:lineRule="auto"/>
        <w:rPr>
          <w:rFonts w:ascii="Arial" w:hAnsi="Arial" w:cs="Arial"/>
        </w:rPr>
      </w:pPr>
    </w:p>
    <w:p w14:paraId="5713A915" w14:textId="60566118" w:rsidR="00FF5B70" w:rsidRPr="00FF5B70" w:rsidRDefault="00FF5B70" w:rsidP="00041A5A">
      <w:pPr>
        <w:spacing w:line="360" w:lineRule="auto"/>
        <w:rPr>
          <w:rFonts w:ascii="Arial" w:hAnsi="Arial" w:cs="Arial"/>
          <w:b/>
          <w:bCs/>
          <w:i/>
          <w:iCs/>
          <w:sz w:val="28"/>
          <w:szCs w:val="28"/>
        </w:rPr>
      </w:pPr>
      <w:r>
        <w:rPr>
          <w:rFonts w:ascii="Arial" w:hAnsi="Arial" w:cs="Arial"/>
          <w:b/>
          <w:bCs/>
          <w:i/>
          <w:iCs/>
          <w:sz w:val="28"/>
          <w:szCs w:val="28"/>
        </w:rPr>
        <w:lastRenderedPageBreak/>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p w14:paraId="6AF37F3F" w14:textId="77777777" w:rsidR="00727C28" w:rsidRDefault="00055ED0">
      <w:pPr>
        <w:spacing w:after="120" w:line="360" w:lineRule="auto"/>
        <w:jc w:val="both"/>
        <w:rPr>
          <w:rFonts w:ascii="Arial" w:hAnsi="Arial" w:cs="Arial"/>
          <w:sz w:val="22"/>
        </w:rPr>
      </w:pPr>
      <w:r>
        <w:rPr>
          <w:rFonts w:ascii="Arial" w:hAnsi="Arial" w:cs="Arial"/>
          <w:sz w:val="22"/>
        </w:rPr>
        <w:t>I am organised and motivated, and I have improved my database searching skills during my course. My main challenges may be finding enough recent UK articles, managing my time and learning critical appraisal. I will use CASP guides, a weekly plan and regular supervisor feedback to manage this.</w:t>
      </w: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4D2FF9E1" w:rsidR="00545684" w:rsidRPr="00260277" w:rsidRDefault="00545684" w:rsidP="00FF5B70">
      <w:pPr>
        <w:pStyle w:val="Heading1"/>
      </w:pPr>
      <w:r w:rsidRPr="00260277">
        <w:lastRenderedPageBreak/>
        <w:t>References</w:t>
      </w:r>
    </w:p>
    <w:p w14:paraId="1A6589D4" w14:textId="77777777" w:rsidR="00727C28" w:rsidRDefault="00055ED0">
      <w:pPr>
        <w:spacing w:after="200" w:line="360" w:lineRule="auto"/>
        <w:ind w:left="567" w:hanging="567"/>
        <w:rPr>
          <w:rFonts w:ascii="Arial" w:hAnsi="Arial" w:cs="Arial"/>
          <w:sz w:val="22"/>
        </w:rPr>
      </w:pPr>
      <w:r>
        <w:rPr>
          <w:rFonts w:ascii="Arial" w:hAnsi="Arial" w:cs="Arial"/>
          <w:sz w:val="22"/>
        </w:rPr>
        <w:t xml:space="preserve">Coulman, K.D., </w:t>
      </w:r>
      <w:proofErr w:type="spellStart"/>
      <w:r>
        <w:rPr>
          <w:rFonts w:ascii="Arial" w:hAnsi="Arial" w:cs="Arial"/>
          <w:sz w:val="22"/>
        </w:rPr>
        <w:t>Margelyte</w:t>
      </w:r>
      <w:proofErr w:type="spellEnd"/>
      <w:r>
        <w:rPr>
          <w:rFonts w:ascii="Arial" w:hAnsi="Arial" w:cs="Arial"/>
          <w:sz w:val="22"/>
        </w:rPr>
        <w:t xml:space="preserve">, R., Jones, T., </w:t>
      </w:r>
      <w:proofErr w:type="spellStart"/>
      <w:r>
        <w:rPr>
          <w:rFonts w:ascii="Arial" w:hAnsi="Arial" w:cs="Arial"/>
          <w:sz w:val="22"/>
        </w:rPr>
        <w:t>Blazeby</w:t>
      </w:r>
      <w:proofErr w:type="spellEnd"/>
      <w:r>
        <w:rPr>
          <w:rFonts w:ascii="Arial" w:hAnsi="Arial" w:cs="Arial"/>
          <w:sz w:val="22"/>
        </w:rPr>
        <w:t xml:space="preserve">, J.M., Macleod, J., Owen-Smith, A., </w:t>
      </w:r>
      <w:proofErr w:type="spellStart"/>
      <w:r>
        <w:rPr>
          <w:rFonts w:ascii="Arial" w:hAnsi="Arial" w:cs="Arial"/>
          <w:sz w:val="22"/>
        </w:rPr>
        <w:t>Parretti</w:t>
      </w:r>
      <w:proofErr w:type="spellEnd"/>
      <w:r>
        <w:rPr>
          <w:rFonts w:ascii="Arial" w:hAnsi="Arial" w:cs="Arial"/>
          <w:sz w:val="22"/>
        </w:rPr>
        <w:t xml:space="preserve">, H., Welbourn, R., </w:t>
      </w:r>
      <w:proofErr w:type="spellStart"/>
      <w:r>
        <w:rPr>
          <w:rFonts w:ascii="Arial" w:hAnsi="Arial" w:cs="Arial"/>
          <w:sz w:val="22"/>
        </w:rPr>
        <w:t>Redaniel</w:t>
      </w:r>
      <w:proofErr w:type="spellEnd"/>
      <w:r>
        <w:rPr>
          <w:rFonts w:ascii="Arial" w:hAnsi="Arial" w:cs="Arial"/>
          <w:sz w:val="22"/>
        </w:rPr>
        <w:t xml:space="preserve">, M.T. and Judge, A. (2023) ‘Access to publicly funded weight management services in England using routine data from primary and secondary care (2007–2020): an observational cohort study’, </w:t>
      </w:r>
      <w:r>
        <w:rPr>
          <w:rFonts w:ascii="Arial" w:hAnsi="Arial" w:cs="Arial"/>
          <w:i/>
          <w:iCs/>
          <w:sz w:val="22"/>
        </w:rPr>
        <w:t>PLOS Medicine</w:t>
      </w:r>
      <w:r>
        <w:rPr>
          <w:rFonts w:ascii="Arial" w:hAnsi="Arial" w:cs="Arial"/>
          <w:sz w:val="22"/>
        </w:rPr>
        <w:t>, 20(9), e1004282. Available at: https://doi.org/10.1371/journal.pmed.1004282 (Accessed: 30 September 2026).</w:t>
      </w:r>
    </w:p>
    <w:p w14:paraId="446539E5" w14:textId="77777777" w:rsidR="00727C28" w:rsidRDefault="00055ED0">
      <w:pPr>
        <w:spacing w:after="200" w:line="360" w:lineRule="auto"/>
        <w:ind w:left="567" w:hanging="567"/>
        <w:rPr>
          <w:rFonts w:ascii="Arial" w:hAnsi="Arial" w:cs="Arial"/>
          <w:sz w:val="22"/>
        </w:rPr>
      </w:pPr>
      <w:r>
        <w:rPr>
          <w:rFonts w:ascii="Arial" w:hAnsi="Arial" w:cs="Arial"/>
          <w:sz w:val="22"/>
        </w:rPr>
        <w:t xml:space="preserve">Hughes, C.A., Ahern, A.L., Kasetty, H., McGowan, B.M., </w:t>
      </w:r>
      <w:proofErr w:type="spellStart"/>
      <w:r>
        <w:rPr>
          <w:rFonts w:ascii="Arial" w:hAnsi="Arial" w:cs="Arial"/>
          <w:sz w:val="22"/>
        </w:rPr>
        <w:t>Parretti</w:t>
      </w:r>
      <w:proofErr w:type="spellEnd"/>
      <w:r>
        <w:rPr>
          <w:rFonts w:ascii="Arial" w:hAnsi="Arial" w:cs="Arial"/>
          <w:sz w:val="22"/>
        </w:rPr>
        <w:t xml:space="preserve">, H.M., Vincent, A. and Halford, J.C.G. (2021) ‘Changing the narrative around obesity in the UK: a survey of people with obesity and healthcare professionals from the ACTION-IO study’, </w:t>
      </w:r>
      <w:r>
        <w:rPr>
          <w:rFonts w:ascii="Arial" w:hAnsi="Arial" w:cs="Arial"/>
          <w:i/>
          <w:iCs/>
          <w:sz w:val="22"/>
        </w:rPr>
        <w:t>BMJ Open</w:t>
      </w:r>
      <w:r>
        <w:rPr>
          <w:rFonts w:ascii="Arial" w:hAnsi="Arial" w:cs="Arial"/>
          <w:sz w:val="22"/>
        </w:rPr>
        <w:t>, 11(6), e045616. Available at: https://doi.org/10.1136/bmjopen-2020-045616 (Accessed: 30 September 2026).</w:t>
      </w:r>
    </w:p>
    <w:p w14:paraId="7A6AE2A6" w14:textId="77777777" w:rsidR="00727C28" w:rsidRDefault="00055ED0">
      <w:pPr>
        <w:spacing w:after="200" w:line="360" w:lineRule="auto"/>
        <w:ind w:left="567" w:hanging="567"/>
        <w:rPr>
          <w:rFonts w:ascii="Arial" w:hAnsi="Arial" w:cs="Arial"/>
          <w:sz w:val="22"/>
        </w:rPr>
      </w:pPr>
      <w:r>
        <w:rPr>
          <w:rFonts w:ascii="Arial" w:hAnsi="Arial" w:cs="Arial"/>
          <w:sz w:val="22"/>
        </w:rPr>
        <w:t xml:space="preserve">Joyce, J.B., Hajizadeh, A., </w:t>
      </w:r>
      <w:proofErr w:type="spellStart"/>
      <w:r>
        <w:rPr>
          <w:rFonts w:ascii="Arial" w:hAnsi="Arial" w:cs="Arial"/>
          <w:sz w:val="22"/>
        </w:rPr>
        <w:t>Begh</w:t>
      </w:r>
      <w:proofErr w:type="spellEnd"/>
      <w:r>
        <w:rPr>
          <w:rFonts w:ascii="Arial" w:hAnsi="Arial" w:cs="Arial"/>
          <w:sz w:val="22"/>
        </w:rPr>
        <w:t xml:space="preserve">, R., Jolly, K., Jebb, S.A. and Aveyard, P. (2025) ‘The implementation of a Nationally Enhanced Service incentive for weight management: a longitudinal qualitative study of the perceptions and experiences of UK primary care staff on weight management using normalisation process theory’, </w:t>
      </w:r>
      <w:r>
        <w:rPr>
          <w:rFonts w:ascii="Arial" w:hAnsi="Arial" w:cs="Arial"/>
          <w:i/>
          <w:iCs/>
          <w:sz w:val="22"/>
        </w:rPr>
        <w:t>Clinical Obesity</w:t>
      </w:r>
      <w:r>
        <w:rPr>
          <w:rFonts w:ascii="Arial" w:hAnsi="Arial" w:cs="Arial"/>
          <w:sz w:val="22"/>
        </w:rPr>
        <w:t>, 15(5), e70020. Available at: https://doi.org/10.1111/cob.70020 (Accessed: 30 September 2026).</w:t>
      </w:r>
    </w:p>
    <w:p w14:paraId="7186000D" w14:textId="77777777" w:rsidR="00727C28" w:rsidRDefault="00055ED0">
      <w:pPr>
        <w:spacing w:after="200" w:line="360" w:lineRule="auto"/>
        <w:ind w:left="567" w:hanging="567"/>
        <w:rPr>
          <w:rFonts w:ascii="Arial" w:hAnsi="Arial" w:cs="Arial"/>
          <w:sz w:val="22"/>
        </w:rPr>
      </w:pPr>
      <w:r>
        <w:rPr>
          <w:rFonts w:ascii="Arial" w:hAnsi="Arial" w:cs="Arial"/>
          <w:sz w:val="22"/>
        </w:rPr>
        <w:t xml:space="preserve">Keating, S., Wild, C., Scragg, J., Dixon, S., Treadwell, J., Hinton, L. and Jebb, S.A. (2025) ‘GPs’ perspectives on GLP-1RAs for obesity management: a qualitative study in England’, </w:t>
      </w:r>
      <w:r>
        <w:rPr>
          <w:rFonts w:ascii="Arial" w:hAnsi="Arial" w:cs="Arial"/>
          <w:i/>
          <w:iCs/>
          <w:sz w:val="22"/>
        </w:rPr>
        <w:t>British Journal of General Practice</w:t>
      </w:r>
      <w:r>
        <w:rPr>
          <w:rFonts w:ascii="Arial" w:hAnsi="Arial" w:cs="Arial"/>
          <w:sz w:val="22"/>
        </w:rPr>
        <w:t>, 75(760), pp. e759–e767. Available at: https://doi.org/10.3399/BJGP.2025.0065 (Accessed: 30 September 2026).</w:t>
      </w:r>
    </w:p>
    <w:p w14:paraId="3CBCD567" w14:textId="77777777" w:rsidR="00727C28" w:rsidRDefault="00055ED0">
      <w:pPr>
        <w:spacing w:after="200" w:line="360" w:lineRule="auto"/>
        <w:ind w:left="567" w:hanging="567"/>
        <w:rPr>
          <w:rFonts w:ascii="Arial" w:hAnsi="Arial" w:cs="Arial"/>
          <w:sz w:val="22"/>
        </w:rPr>
      </w:pPr>
      <w:r>
        <w:rPr>
          <w:rFonts w:ascii="Arial" w:hAnsi="Arial" w:cs="Arial"/>
          <w:sz w:val="22"/>
        </w:rPr>
        <w:t xml:space="preserve">Warr, W., Aveyard, P., Albury, C., Nicholson, B., Tudor, K., Hobbs, R., Roberts, N. and </w:t>
      </w:r>
      <w:proofErr w:type="spellStart"/>
      <w:r>
        <w:rPr>
          <w:rFonts w:ascii="Arial" w:hAnsi="Arial" w:cs="Arial"/>
          <w:sz w:val="22"/>
        </w:rPr>
        <w:t>Ziebland</w:t>
      </w:r>
      <w:proofErr w:type="spellEnd"/>
      <w:r>
        <w:rPr>
          <w:rFonts w:ascii="Arial" w:hAnsi="Arial" w:cs="Arial"/>
          <w:sz w:val="22"/>
        </w:rPr>
        <w:t xml:space="preserve">, S. (2021) ‘A systematic review and thematic synthesis of qualitative studies exploring GPs’ and nurses’ perspectives on discussing weight with patients with overweight and obesity in primary care’, </w:t>
      </w:r>
      <w:r>
        <w:rPr>
          <w:rFonts w:ascii="Arial" w:hAnsi="Arial" w:cs="Arial"/>
          <w:i/>
          <w:iCs/>
          <w:sz w:val="22"/>
        </w:rPr>
        <w:t>Obesity Reviews</w:t>
      </w:r>
      <w:r>
        <w:rPr>
          <w:rFonts w:ascii="Arial" w:hAnsi="Arial" w:cs="Arial"/>
          <w:sz w:val="22"/>
        </w:rPr>
        <w:t>, 22(4), e13151. Available at: https://doi.org/10.1111/obr.13151 (Accessed: 30 September 2026).</w:t>
      </w: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7F32C" w14:textId="77777777" w:rsidR="00214F65" w:rsidRDefault="00214F65" w:rsidP="00545684">
      <w:pPr>
        <w:spacing w:after="0" w:line="240" w:lineRule="auto"/>
      </w:pPr>
      <w:r>
        <w:separator/>
      </w:r>
    </w:p>
  </w:endnote>
  <w:endnote w:type="continuationSeparator" w:id="0">
    <w:p w14:paraId="2FD8780F" w14:textId="77777777" w:rsidR="00214F65" w:rsidRDefault="00214F6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69F62" w14:textId="77777777" w:rsidR="00214F65" w:rsidRDefault="00214F65" w:rsidP="00545684">
      <w:pPr>
        <w:spacing w:after="0" w:line="240" w:lineRule="auto"/>
      </w:pPr>
      <w:r>
        <w:separator/>
      </w:r>
    </w:p>
  </w:footnote>
  <w:footnote w:type="continuationSeparator" w:id="0">
    <w:p w14:paraId="7E28E355" w14:textId="77777777" w:rsidR="00214F65" w:rsidRDefault="00214F6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57FF1"/>
    <w:multiLevelType w:val="hybridMultilevel"/>
    <w:tmpl w:val="490A7506"/>
    <w:lvl w:ilvl="0" w:tplc="F54ABFAC">
      <w:start w:val="1"/>
      <w:numFmt w:val="decimal"/>
      <w:lvlText w:val="%1."/>
      <w:lvlJc w:val="left"/>
      <w:pPr>
        <w:ind w:left="720" w:hanging="360"/>
      </w:pPr>
      <w:rPr>
        <w:rFonts w:ascii="Arial" w:hAnsi="Arial" w:cs="Arial"/>
      </w:rPr>
    </w:lvl>
    <w:lvl w:ilvl="1" w:tplc="A044BE5C">
      <w:numFmt w:val="decimal"/>
      <w:lvlText w:val=""/>
      <w:lvlJc w:val="left"/>
    </w:lvl>
    <w:lvl w:ilvl="2" w:tplc="801ACF88">
      <w:numFmt w:val="decimal"/>
      <w:lvlText w:val=""/>
      <w:lvlJc w:val="left"/>
    </w:lvl>
    <w:lvl w:ilvl="3" w:tplc="1D1E92E4">
      <w:numFmt w:val="decimal"/>
      <w:lvlText w:val=""/>
      <w:lvlJc w:val="left"/>
    </w:lvl>
    <w:lvl w:ilvl="4" w:tplc="CD04C48A">
      <w:numFmt w:val="decimal"/>
      <w:lvlText w:val=""/>
      <w:lvlJc w:val="left"/>
    </w:lvl>
    <w:lvl w:ilvl="5" w:tplc="614E73DC">
      <w:numFmt w:val="decimal"/>
      <w:lvlText w:val=""/>
      <w:lvlJc w:val="left"/>
    </w:lvl>
    <w:lvl w:ilvl="6" w:tplc="5A3E9782">
      <w:numFmt w:val="decimal"/>
      <w:lvlText w:val=""/>
      <w:lvlJc w:val="left"/>
    </w:lvl>
    <w:lvl w:ilvl="7" w:tplc="CD62D188">
      <w:numFmt w:val="decimal"/>
      <w:lvlText w:val=""/>
      <w:lvlJc w:val="left"/>
    </w:lvl>
    <w:lvl w:ilvl="8" w:tplc="CAD4BB3A">
      <w:numFmt w:val="decimal"/>
      <w:lvlText w:val=""/>
      <w:lvlJc w:val="left"/>
    </w:lvl>
  </w:abstractNum>
  <w:abstractNum w:abstractNumId="1" w15:restartNumberingAfterBreak="0">
    <w:nsid w:val="6CCF0894"/>
    <w:multiLevelType w:val="hybridMultilevel"/>
    <w:tmpl w:val="7F04644A"/>
    <w:lvl w:ilvl="0" w:tplc="CDEEB49C">
      <w:start w:val="1"/>
      <w:numFmt w:val="bullet"/>
      <w:lvlText w:val="•"/>
      <w:lvlJc w:val="left"/>
      <w:pPr>
        <w:ind w:left="720" w:hanging="360"/>
      </w:pPr>
      <w:rPr>
        <w:rFonts w:ascii="Arial" w:hAnsi="Arial" w:hint="default"/>
      </w:rPr>
    </w:lvl>
    <w:lvl w:ilvl="1" w:tplc="7A64ED56">
      <w:numFmt w:val="decimal"/>
      <w:lvlText w:val=""/>
      <w:lvlJc w:val="left"/>
    </w:lvl>
    <w:lvl w:ilvl="2" w:tplc="AE92AF30">
      <w:numFmt w:val="decimal"/>
      <w:lvlText w:val=""/>
      <w:lvlJc w:val="left"/>
    </w:lvl>
    <w:lvl w:ilvl="3" w:tplc="75BC4AFC">
      <w:numFmt w:val="decimal"/>
      <w:lvlText w:val=""/>
      <w:lvlJc w:val="left"/>
    </w:lvl>
    <w:lvl w:ilvl="4" w:tplc="FD345452">
      <w:numFmt w:val="decimal"/>
      <w:lvlText w:val=""/>
      <w:lvlJc w:val="left"/>
    </w:lvl>
    <w:lvl w:ilvl="5" w:tplc="5FA4999C">
      <w:numFmt w:val="decimal"/>
      <w:lvlText w:val=""/>
      <w:lvlJc w:val="left"/>
    </w:lvl>
    <w:lvl w:ilvl="6" w:tplc="A2287DC8">
      <w:numFmt w:val="decimal"/>
      <w:lvlText w:val=""/>
      <w:lvlJc w:val="left"/>
    </w:lvl>
    <w:lvl w:ilvl="7" w:tplc="C6343874">
      <w:numFmt w:val="decimal"/>
      <w:lvlText w:val=""/>
      <w:lvlJc w:val="left"/>
    </w:lvl>
    <w:lvl w:ilvl="8" w:tplc="49DAAE42">
      <w:numFmt w:val="decimal"/>
      <w:lvlText w:val=""/>
      <w:lvlJc w:val="left"/>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1039093168">
    <w:abstractNumId w:val="0"/>
  </w:num>
  <w:num w:numId="3" w16cid:durableId="599216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3E84"/>
    <w:rsid w:val="00055ED0"/>
    <w:rsid w:val="000A5161"/>
    <w:rsid w:val="000B7CD5"/>
    <w:rsid w:val="00214F65"/>
    <w:rsid w:val="00216C85"/>
    <w:rsid w:val="00260277"/>
    <w:rsid w:val="00273EDD"/>
    <w:rsid w:val="002857E8"/>
    <w:rsid w:val="002A15DA"/>
    <w:rsid w:val="002C3965"/>
    <w:rsid w:val="00321C4C"/>
    <w:rsid w:val="003B5B7F"/>
    <w:rsid w:val="004903AA"/>
    <w:rsid w:val="004920BC"/>
    <w:rsid w:val="004E6C3B"/>
    <w:rsid w:val="00545684"/>
    <w:rsid w:val="00597F02"/>
    <w:rsid w:val="005D1D88"/>
    <w:rsid w:val="0061260B"/>
    <w:rsid w:val="00655F97"/>
    <w:rsid w:val="00715990"/>
    <w:rsid w:val="00727C28"/>
    <w:rsid w:val="00784670"/>
    <w:rsid w:val="00856261"/>
    <w:rsid w:val="00866B7B"/>
    <w:rsid w:val="008E5015"/>
    <w:rsid w:val="009D1D1E"/>
    <w:rsid w:val="00A035FD"/>
    <w:rsid w:val="00BF38F4"/>
    <w:rsid w:val="00D769F0"/>
    <w:rsid w:val="00E2231E"/>
    <w:rsid w:val="00E614D4"/>
    <w:rsid w:val="00EC5B1E"/>
    <w:rsid w:val="00EC68DA"/>
    <w:rsid w:val="00F278D4"/>
    <w:rsid w:val="00FB4301"/>
    <w:rsid w:val="00FE53D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Beniamin Apostol</cp:lastModifiedBy>
  <cp:revision>12</cp:revision>
  <dcterms:created xsi:type="dcterms:W3CDTF">2022-10-08T13:19:00Z</dcterms:created>
  <dcterms:modified xsi:type="dcterms:W3CDTF">2026-10-25T10:11:00Z</dcterms:modified>
</cp:coreProperties>
</file>