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10"/>
          <w:position w:val="0"/>
          <w:sz w:val="36"/>
          <w:shd w:fill="auto" w:val="clear"/>
        </w:rPr>
      </w:pPr>
      <w:r>
        <w:rPr>
          <w:rFonts w:ascii="Times New Roman" w:hAnsi="Times New Roman" w:cs="Times New Roman" w:eastAsia="Times New Roman"/>
          <w:color w:val="auto"/>
          <w:spacing w:val="-10"/>
          <w:position w:val="0"/>
          <w:sz w:val="36"/>
          <w:shd w:fill="auto" w:val="clear"/>
        </w:rPr>
        <w:t xml:space="preserve">A2: Essay- Exploring New Dimensions of Network Programmability and its Significance</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Mihail Milchov  2022635</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Throughout the recent year, the demand for network scalability, flexibility as well as agility had determined to be increased exponentially, with the rapid evolvement of technical landscape, which would be beneficial for driving automation and efficiency in the network management. The following essay would be focused on exploring various dimensions of network programmability and would also discuss about its significance with context to the current automated world </w:t>
      </w:r>
      <w:r>
        <w:rPr>
          <w:rFonts w:ascii="Times New Roman" w:hAnsi="Times New Roman" w:cs="Times New Roman" w:eastAsia="Times New Roman"/>
          <w:color w:val="auto"/>
          <w:spacing w:val="0"/>
          <w:position w:val="0"/>
          <w:sz w:val="24"/>
          <w:shd w:fill="auto" w:val="clear"/>
        </w:rPr>
        <w:t xml:space="preserve">[3]</w:t>
      </w:r>
      <w:r>
        <w:rPr>
          <w:rFonts w:ascii="Times New Roman" w:hAnsi="Times New Roman" w:cs="Times New Roman" w:eastAsia="Times New Roman"/>
          <w:color w:val="000000"/>
          <w:spacing w:val="0"/>
          <w:position w:val="0"/>
          <w:sz w:val="24"/>
          <w:shd w:fill="auto" w:val="clear"/>
        </w:rPr>
        <w:t xml:space="preserve">. Furthermore, the following essay would further be throwing its light on the availability resource at the developers. cisco while identifying other relevant resources that had been determined to be related with Sandbox, Code Exchange and Ecosystem Exchange.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One of the fundamental dimensions of Network Programmability, which had been found to revolutionize the network management task is Network Automation. This dimension had been involved with the process of automating different objectives processes, like that of device provisioning, monitoring as well as configuration management. The process of Automated device provision generally enables the rapid development of network devices which also eliminated the extreme need for manual configuration so as to ensure with a consistency across the network </w:t>
      </w:r>
      <w:r>
        <w:rPr>
          <w:rFonts w:ascii="Times New Roman" w:hAnsi="Times New Roman" w:cs="Times New Roman" w:eastAsia="Times New Roman"/>
          <w:color w:val="auto"/>
          <w:spacing w:val="0"/>
          <w:position w:val="0"/>
          <w:sz w:val="24"/>
          <w:shd w:fill="auto" w:val="clear"/>
        </w:rPr>
        <w:t xml:space="preserve">[4]</w:t>
      </w:r>
      <w:r>
        <w:rPr>
          <w:rFonts w:ascii="Times New Roman" w:hAnsi="Times New Roman" w:cs="Times New Roman" w:eastAsia="Times New Roman"/>
          <w:color w:val="000000"/>
          <w:spacing w:val="0"/>
          <w:position w:val="0"/>
          <w:sz w:val="24"/>
          <w:shd w:fill="auto" w:val="clear"/>
        </w:rPr>
        <w:t xml:space="preserve">. The configuration management automation is also determined to allow various administrators for centrally manage as well as enforce configuration changes so as to minimize all misconfiguration.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Network APIs were further is determined to play an important role in network programmability, as it enables several external applications to successively interact with the network interface. A Network APIs generally exposes a limited set of interfaces as well as protocol, which had been subjected to allow the developers to automate their network operation, while being integrated with the third-party tools for create an innovative application that could leverage network capabilities </w:t>
      </w:r>
      <w:r>
        <w:rPr>
          <w:rFonts w:ascii="Times New Roman" w:hAnsi="Times New Roman" w:cs="Times New Roman" w:eastAsia="Times New Roman"/>
          <w:color w:val="auto"/>
          <w:spacing w:val="0"/>
          <w:position w:val="0"/>
          <w:sz w:val="24"/>
          <w:shd w:fill="auto" w:val="clear"/>
        </w:rPr>
        <w:t xml:space="preserve">[1]</w:t>
      </w:r>
      <w:r>
        <w:rPr>
          <w:rFonts w:ascii="Times New Roman" w:hAnsi="Times New Roman" w:cs="Times New Roman" w:eastAsia="Times New Roman"/>
          <w:color w:val="000000"/>
          <w:spacing w:val="0"/>
          <w:position w:val="0"/>
          <w:sz w:val="24"/>
          <w:shd w:fill="auto" w:val="clear"/>
        </w:rPr>
        <w:t xml:space="preserve">. With the utilization of the network APIs, the interacting administrators as well as developers could even control the network devices, programmatically, while retrieving various kinds of data from real-time network, while could further configure their crucial elements, simultaneously.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While speaking about their significance, the Network Programmability tends to enable the dynamic scaling of the network resources for meeting the frequent changing demands of the users. While automating the process or resource provisioning and deprovisioning, the network could must quickly adapt to the frequently changing workloads, which would further make sure of optimal resource utilization, so as to further minimize their operational costs. Certain Automated Scaling Mechanism, which happens to be based on the predefined policies and triggers, helps in enabling any targeted network to expand exponentially, while successively aligning witj the resource allocation followed by the actual requirements. This scalability is further beneficial for ensuing that the network capacity could meet the demands of rapidly growing businesses and changes in user’s need.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Network programmability further helps to provide their respective organization with the agility and flexibility for sufficiently respond to the frequent changes that had been occurring with their business needs, so as to deploy new services, simultaneously. With the automated provisioning and configuration procedures, certain manual bottleneck and extreme time-to-market for deployment is reduced, significantly. Thus, with the implementation of programmable networks, each organization could define their service requirements and could even configure various network elements on-demands, which would further enable them to rapidly deliver their services so as to enhance their competitive edge </w:t>
      </w:r>
      <w:r>
        <w:rPr>
          <w:rFonts w:ascii="Times New Roman" w:hAnsi="Times New Roman" w:cs="Times New Roman" w:eastAsia="Times New Roman"/>
          <w:color w:val="auto"/>
          <w:spacing w:val="0"/>
          <w:position w:val="0"/>
          <w:sz w:val="24"/>
          <w:shd w:fill="auto" w:val="clear"/>
        </w:rPr>
        <w:t xml:space="preserve">[5]</w:t>
      </w: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Network Programmability further fosters the collaboration among the network and software development teams, which had been subjected to promote the principles of DevOps. While considering a network like a code, any organization could align their network changes with the deployment of any sophisticated application, which would further be beneficial for ensuring a consistent network configuration and faster troubleshooting. With the collaboration with DevOps, different aspects of network engineers gain an advantage of collaborating with each other, which further allows them to work together in a seamlessly and iterative working environment.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had been several kinds of automation frameworks and tools available that happens to play with a crucial role in the network programmability, which had been associated with providing with all kinds of necessary infrastructure and capabilities, that had been associated with implementing various kinds of automation practices, effectively. Based on the analysis being conducted here, some of the popular automation framework as well as tools to be used in network programmability had been summarized below:</w:t>
      </w:r>
    </w:p>
    <w:p>
      <w:pPr>
        <w:numPr>
          <w:ilvl w:val="0"/>
          <w:numId w:val="6"/>
        </w:numPr>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u w:val="single"/>
          <w:shd w:fill="auto" w:val="clear"/>
        </w:rPr>
        <w:t xml:space="preserve">Ansible</w:t>
      </w:r>
      <w:r>
        <w:rPr>
          <w:rFonts w:ascii="Times New Roman" w:hAnsi="Times New Roman" w:cs="Times New Roman" w:eastAsia="Times New Roman"/>
          <w:b/>
          <w:i/>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Ansible had been determined to be as an Open-source, automation platform that had been determined beneficial for simplifying the provisioning, orchestration and configuration of a network devices. This had been determined to utilize a declarative statement and requires no external agent’s architecture, which helps it in automating an extremely complex network task.  This further used module for defining their desire states and also tends to perform the tasks based on those defines statements </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000000"/>
          <w:spacing w:val="0"/>
          <w:position w:val="0"/>
          <w:sz w:val="24"/>
          <w:shd w:fill="auto" w:val="clear"/>
        </w:rPr>
        <w:t xml:space="preserve">. </w:t>
      </w:r>
    </w:p>
    <w:p>
      <w:pPr>
        <w:numPr>
          <w:ilvl w:val="0"/>
          <w:numId w:val="6"/>
        </w:numPr>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u w:val="single"/>
          <w:shd w:fill="auto" w:val="clear"/>
        </w:rPr>
        <w:t xml:space="preserve">Cisco DNS Center</w:t>
      </w:r>
      <w:r>
        <w:rPr>
          <w:rFonts w:ascii="Times New Roman" w:hAnsi="Times New Roman" w:cs="Times New Roman" w:eastAsia="Times New Roman"/>
          <w:b/>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Cisco DNA Center is identified as an automation platform, which generally is designed for Cisco network infrastructure. This further tends to provide a centralized management console and APIs for automating the overall network provisioning. This tool had been considered crucial for simplifying any network operation, thus enhancing their security aspects and optimizing the performance of network, based on policy automation. </w:t>
      </w:r>
    </w:p>
    <w:p>
      <w:pPr>
        <w:numPr>
          <w:ilvl w:val="0"/>
          <w:numId w:val="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u w:val="single"/>
          <w:shd w:fill="auto" w:val="clear"/>
        </w:rPr>
        <w:t xml:space="preserve">Puppet:</w:t>
      </w:r>
      <w:r>
        <w:rPr>
          <w:rFonts w:ascii="Times New Roman" w:hAnsi="Times New Roman" w:cs="Times New Roman" w:eastAsia="Times New Roman"/>
          <w:color w:val="auto"/>
          <w:spacing w:val="0"/>
          <w:position w:val="0"/>
          <w:sz w:val="24"/>
          <w:shd w:fill="auto" w:val="clear"/>
        </w:rPr>
        <w:t xml:space="preserve"> Puppet is a very reliable platform in the process of providing configuration capabilities in the automated network, it offers a very flexible and efficient approach to processing the task. It helps organizations to ensure that they will be equipped with a consistent setup and it also applies the desired configuration all across the network infrastructure of the organization [10]. It allows the network administrator of the organization to establish a central configuration model for their organization and this configuration can get very easily applied to various devices within the organization. </w:t>
      </w:r>
    </w:p>
    <w:p>
      <w:pPr>
        <w:numPr>
          <w:ilvl w:val="0"/>
          <w:numId w:val="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u w:val="single"/>
          <w:shd w:fill="auto" w:val="clear"/>
        </w:rPr>
        <w:t xml:space="preserve">Chef:</w:t>
      </w:r>
      <w:r>
        <w:rPr>
          <w:rFonts w:ascii="Times New Roman" w:hAnsi="Times New Roman" w:cs="Times New Roman" w:eastAsia="Times New Roman"/>
          <w:color w:val="auto"/>
          <w:spacing w:val="0"/>
          <w:position w:val="0"/>
          <w:sz w:val="24"/>
          <w:shd w:fill="auto" w:val="clear"/>
        </w:rPr>
        <w:t xml:space="preserve"> Chef is another automation framework, it is a very strong automation framework that aids its user by providing capabilities like creating recipes and cookbooks that are reusable in nature, which plays a very big role in the management of resources within the network. If a developer uses the Chef framework, then will have the ability to create both repeatable as well as standardized automation processes, which will further contribute to providing consistent provisioning and configurational abilities to the network infrastructure. Chef can play a very vital role for the organization by equipping them with enhanced control over their network capabilities and will promote scalability and agility within the network infrastructure [13].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Now, coming on the discussion of API standards and architecture, these are very important components of a network. It helps to create seamless interaction between the different platforms and systems which are comprised within the network. They are also valuable guidelines that are very essential in designing of any APIs. And with the advancement in IT technology has given rise to some prominent standards and architectures in this process such as Representational State Transfer (REST), GraphQL, Open API Specification (OAS), and WebSocket. Where to begin with REST, it is helpful in providing design and approach that contribute in the creation of new network APIs, which are very simple and capable of making adaptations while taken in use. REST uses the protocols provided by HTTP, which helps it to the establishment of operations like POST, GET, DELETE, and PUT in order to make interactions and exchange of resources [7]. The most appreciable feature of APIs which are built on the standards of REST is, they are very easy to use, are also capable of handling large-scale application, it has no compatibility issues with different types of programming languages or frameworks.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Second, it comes to OAS which is also known as Swagger. OAS is counted among one of the most famous standards that has proven its quality in the process of documenting and API designing. Where it works on providing a format for its design which is also readable for machines. This format provides valuable insight on the endpoints of APIs, from where the data is getting received or being sent, methods of authentication, and other necessary information. It helps to create a bridge between the one have created the API and the one who are using it [8]. Going to the third API standard is GraphQL, it is a kind of question or query language and system, where developers use this language to extract the necessary information which they require from an API, and it works on almost every API. It allows users to give commands to specify what data they want to extract from the API and helps to avoid the problem of getting too much or too little data like in RESTful APIs. GraphQl is very help in retrieving data from any single-page and mobile applications [6].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Last but not least is WebSocket. It is a type of communication protocol which makes it possible for both the client as well as the server to send and receive data in the same time over a strong and single connection. Its working principle is very different from the HTTP protocols, where it is very efficient in the creation of real-time communication which comes with very less delay in communication [9]. This feature of WebSocket is very useful for applications those need to make collaborations or updates in very less time.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very true that if automation gets implemented within a network infrastructure, then it will surely going to deliver greater advantages to an organization. But, along with the advantage, it is very important for organizations to also give priority to strong security measures within the network to maintain the security of the automated network. To achieve this there are various of measures that can be implemented by the organization [11]. In this process, the organization has to first check whether their network standards are complying with Security policies. The rules and policies which are listed within this play a crucial role in providing proper protection to network infrastructure. Organizations can make it possible by automating their security policies, this can help organizations to apply a security measure within a network in a consistent manner [14]. where it will help in automating tasks like the management of patches, which will contribute in applying the necessary updates to process and fixation of any present bugs and will help in to protect the network against any vulnerability.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API Security is one of the most important aspects to stay protected against unauthorized access along with data breaches. Secure coding practices are to be practiced along with an attempt of employing measures that clarify the integrity and confidentiality of data and this has to be maintained throughout the development phase. Below discussed are some of the common aspects relating to API security: </w:t>
      </w:r>
    </w:p>
    <w:p>
      <w:pPr>
        <w:numPr>
          <w:ilvl w:val="0"/>
          <w:numId w:val="8"/>
        </w:numPr>
        <w:spacing w:before="0" w:after="16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Secure Coding Practices: </w:t>
      </w:r>
      <w:r>
        <w:rPr>
          <w:rFonts w:ascii="Times New Roman" w:hAnsi="Times New Roman" w:cs="Times New Roman" w:eastAsia="Times New Roman"/>
          <w:color w:val="auto"/>
          <w:spacing w:val="0"/>
          <w:position w:val="0"/>
          <w:sz w:val="24"/>
          <w:shd w:fill="auto" w:val="clear"/>
        </w:rPr>
        <w:t xml:space="preserve">Writing codes in such a way that it eliminates vulnerability along with preventing common security flaws is a simple definition of secure coding 15]. The total procedure of secure coding involves establishing validation to prevent injection attacks, output encoding to be done for preventing cross-site scripting, and proactive handling of errors for ensuring the safeguarding of information and eliminating information disclosure. </w:t>
      </w:r>
    </w:p>
    <w:p>
      <w:pPr>
        <w:numPr>
          <w:ilvl w:val="0"/>
          <w:numId w:val="8"/>
        </w:numPr>
        <w:spacing w:before="0" w:after="16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Robust Authentication Mechanism: </w:t>
      </w:r>
      <w:r>
        <w:rPr>
          <w:rFonts w:ascii="Times New Roman" w:hAnsi="Times New Roman" w:cs="Times New Roman" w:eastAsia="Times New Roman"/>
          <w:color w:val="auto"/>
          <w:spacing w:val="0"/>
          <w:position w:val="0"/>
          <w:sz w:val="24"/>
          <w:shd w:fill="auto" w:val="clear"/>
        </w:rPr>
        <w:t xml:space="preserve">The process of verifying the user identity by following certain protocols is commonly known as authentication at the time of accessing an API. Practicing robust authentication measures ensures that API can be accessed by the authorized user only. This can be ensured by the implementation of multi-factor authentication procedures, that provide an extra layer of security in the attempt of accessing the API as it prefers to send personalized code on mobile for verification ultimately reducing the chances of unauthorized access [20]. Therefore, the implementation of proactive approaches reduces the risk associated with API security.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Maintaining the privacy of the user data has to be a topmost priority while using APIs. And to be successful in reducing the associated risk by establishing techniques that enhance the privacy of data such as, ensuring secure transmission and storage of data and ensuring that the process involve should comply with the data protection and regulations. Maintaining the privacy of customer data enhances the customer trust and belief in the organization and by enhancing the concern regarding the privacy of customer data allows the organization to be reliable and faithful and comply with the privacy standards [16].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DevNet is one of the most reliable platforms in terms of programmability, automation and even in attempt of exploring the resources. A range of resources tailored is presented by DevNet for developers who are interested in network programmability. It performs the role of a hub for accessing various tools and features that provide the exploration and implementation of Cisco APIs and technologies. One such important resource provided by DevNet is the Sandbox environment that enables developers to practice and experiment with Cisco APIs and technologies in a secure and isolated environment along with ensuring that the production unit does not get any kind of impact due to the experiment and providing the developers to go in depth of coding and explore all functionalities for gaining experience [19]. Utilization of a sandbox ensures the improvement of the skills of developers and enhances the performance of developers, checking the developed product before deploying on any server without causing any disruption to others.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Code Exchange is one more effective aspect of DevNet, through the proper utilization of this platform developers can gain ideas about knowledge sharing inside the developer community along with fostering collaboration and developers have share to access code repositories. By discussing the code and solution developers can come up with proper ideas of innovation and efficiency in the programming network. Integration with their-party applications is to be performed by the help of the DevNet Ecosystem Exchange. The platforms perform the role of a marketplace where a developer can choose from a range of available third-party offerings. Developers can use this for developing their expertise and enhance their creativity by producing tailored solutions. The platform outlines standards that enhance collaboration and with certain approaches, developers can provide an impressive network solution.  Along with developer.cisco.com that allows suffering from a range of product there are certain kind of similar platforms available that generates high functionalities relating to network programming, Similar to the discussed one developers can also use these platforms for exploring more and gaining more ideas in the relatable field. Juniper Network DevZone, for instance, is a development site for Juniper. It provides tools for investigating Juniper’s network programmability, including sandboxes, code repositories, and development environments. Developers have access to the tools they need through DevZone to create and alter solutions utilizing Juniper networking technology [18].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platform Arista network also provide similar EOS+ development platform which provides APIs, SDKs, and documentation to make its network operating system EOS more efficient and programmable. developers can produce a tailored solution as per the requirement through the proper utilization of the proposed platforms and its functionalities. Similarly, ONF open networking platform promotes open source and open standards-based network solutions, additionally, it is a non-profit platform. it allows developers to go through a major range of resources, such as open-source project reference design, and APIs [17]. Through the proper utilization of the resources provided by the platform developers can gain insight and they can access the tools required for the usage of open-source technologies and standards to promote network programmability.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 time the demand for the development of network programmability has also increased in the recent era.  Specially relating to the characteristics of network programmability in terms of automation and APIs. Organizations can surely utilize the available automation frameworks for along with utilizing the network programmability complying the standards and architecture of the APIs, by allocating strong security measures. With the speed of development and modification of the steps involved the developers can also use the modern-day tools that are made available to them by bodies like developer.cisco.com and many others to be in the race of technological atmosphere. The tools can be utilized by the developer for increasing their in-depth knowledge along with it also promote innovation, streamline business processes and help in creating robust secure network solution.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(IEEE)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E. Municio, S. Latre, and J. M. Marquez-Barja, “Extending network programmability to the things overlay using distributed industrial IOT protocols,” </w:t>
      </w:r>
      <w:r>
        <w:rPr>
          <w:rFonts w:ascii="Times New Roman" w:hAnsi="Times New Roman" w:cs="Times New Roman" w:eastAsia="Times New Roman"/>
          <w:i/>
          <w:color w:val="auto"/>
          <w:spacing w:val="0"/>
          <w:position w:val="0"/>
          <w:sz w:val="24"/>
          <w:shd w:fill="auto" w:val="clear"/>
        </w:rPr>
        <w:t xml:space="preserve">IEEE Transactions on Industrial Informatics</w:t>
      </w:r>
      <w:r>
        <w:rPr>
          <w:rFonts w:ascii="Times New Roman" w:hAnsi="Times New Roman" w:cs="Times New Roman" w:eastAsia="Times New Roman"/>
          <w:color w:val="auto"/>
          <w:spacing w:val="0"/>
          <w:position w:val="0"/>
          <w:sz w:val="24"/>
          <w:shd w:fill="auto" w:val="clear"/>
        </w:rPr>
        <w:t xml:space="preserve">, vol. 17, no. 1, pp. 251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259, 2021. doi:10.1109/tii.2020.2972613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F. Cugini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“Applications of P4-based network programmability in optical networks,” </w:t>
      </w:r>
      <w:r>
        <w:rPr>
          <w:rFonts w:ascii="Times New Roman" w:hAnsi="Times New Roman" w:cs="Times New Roman" w:eastAsia="Times New Roman"/>
          <w:i/>
          <w:color w:val="auto"/>
          <w:spacing w:val="0"/>
          <w:position w:val="0"/>
          <w:sz w:val="24"/>
          <w:shd w:fill="auto" w:val="clear"/>
        </w:rPr>
        <w:t xml:space="preserve">Optical Fiber Communication Conference (OFC) 2022</w:t>
      </w:r>
      <w:r>
        <w:rPr>
          <w:rFonts w:ascii="Times New Roman" w:hAnsi="Times New Roman" w:cs="Times New Roman" w:eastAsia="Times New Roman"/>
          <w:color w:val="auto"/>
          <w:spacing w:val="0"/>
          <w:position w:val="0"/>
          <w:sz w:val="24"/>
          <w:shd w:fill="auto" w:val="clear"/>
        </w:rPr>
        <w:t xml:space="preserve">, 2022. doi:10.1364/ofc.2022.m4f.3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G. Salazar-Chacon and L. Marrone, “Open networking for modern data centers infrastructures: Vxlan Proof-of-concept emulation using LNV and EVPN under Cumulus Linux,” </w:t>
      </w:r>
      <w:r>
        <w:rPr>
          <w:rFonts w:ascii="Times New Roman" w:hAnsi="Times New Roman" w:cs="Times New Roman" w:eastAsia="Times New Roman"/>
          <w:i/>
          <w:color w:val="auto"/>
          <w:spacing w:val="0"/>
          <w:position w:val="0"/>
          <w:sz w:val="24"/>
          <w:shd w:fill="auto" w:val="clear"/>
        </w:rPr>
        <w:t xml:space="preserve">2022 IEEE Sixth Ecuador Technical Chapters Meeting (ETCM)</w:t>
      </w:r>
      <w:r>
        <w:rPr>
          <w:rFonts w:ascii="Times New Roman" w:hAnsi="Times New Roman" w:cs="Times New Roman" w:eastAsia="Times New Roman"/>
          <w:color w:val="auto"/>
          <w:spacing w:val="0"/>
          <w:position w:val="0"/>
          <w:sz w:val="24"/>
          <w:shd w:fill="auto" w:val="clear"/>
        </w:rPr>
        <w:t xml:space="preserve">, 2022. doi:10.1109/etcm56276.2022.9935681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 L. Bonati, M. Polese, S. D’Oro, S. Basagni, and T. Melodia, “Open, programmable, and virtualized 5G networks: State-of-the-art and The road ahead,” </w:t>
      </w:r>
      <w:r>
        <w:rPr>
          <w:rFonts w:ascii="Times New Roman" w:hAnsi="Times New Roman" w:cs="Times New Roman" w:eastAsia="Times New Roman"/>
          <w:i/>
          <w:color w:val="auto"/>
          <w:spacing w:val="0"/>
          <w:position w:val="0"/>
          <w:sz w:val="24"/>
          <w:shd w:fill="auto" w:val="clear"/>
        </w:rPr>
        <w:t xml:space="preserve">Computer Networks</w:t>
      </w:r>
      <w:r>
        <w:rPr>
          <w:rFonts w:ascii="Times New Roman" w:hAnsi="Times New Roman" w:cs="Times New Roman" w:eastAsia="Times New Roman"/>
          <w:color w:val="auto"/>
          <w:spacing w:val="0"/>
          <w:position w:val="0"/>
          <w:sz w:val="24"/>
          <w:shd w:fill="auto" w:val="clear"/>
        </w:rPr>
        <w:t xml:space="preserve">, vol. 182, p. 107516, 2020. doi:10.1016/j.comnet.2020.107516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[5] S. Tang, J. Kong, B. Niu, and Z. Zhu, “Programmable multilayer int: An enabler for AI-Assisted Network Automation,” </w:t>
      </w:r>
      <w:r>
        <w:rPr>
          <w:rFonts w:ascii="Times New Roman" w:hAnsi="Times New Roman" w:cs="Times New Roman" w:eastAsia="Times New Roman"/>
          <w:i/>
          <w:color w:val="auto"/>
          <w:spacing w:val="0"/>
          <w:position w:val="0"/>
          <w:sz w:val="24"/>
          <w:shd w:fill="auto" w:val="clear"/>
        </w:rPr>
        <w:t xml:space="preserve">IEEE Communications Magazine</w:t>
      </w:r>
      <w:r>
        <w:rPr>
          <w:rFonts w:ascii="Times New Roman" w:hAnsi="Times New Roman" w:cs="Times New Roman" w:eastAsia="Times New Roman"/>
          <w:color w:val="auto"/>
          <w:spacing w:val="0"/>
          <w:position w:val="0"/>
          <w:sz w:val="24"/>
          <w:shd w:fill="auto" w:val="clear"/>
        </w:rPr>
        <w:t xml:space="preserve">, vol. 58, no. 1, pp. 26</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32, 2020. doi:10.1109/mcom.001.1900365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[6] J. Sayago Heredia, E. Flores-García, and A. R. Solano, “Comparative analysis between standards oriented to web services: SOAP, rest and GRAPHQL,” </w:t>
      </w:r>
      <w:r>
        <w:rPr>
          <w:rFonts w:ascii="Times New Roman" w:hAnsi="Times New Roman" w:cs="Times New Roman" w:eastAsia="Times New Roman"/>
          <w:i/>
          <w:color w:val="auto"/>
          <w:spacing w:val="0"/>
          <w:position w:val="0"/>
          <w:sz w:val="24"/>
          <w:shd w:fill="auto" w:val="clear"/>
        </w:rPr>
        <w:t xml:space="preserve">Communications in Computer and Information Science</w:t>
      </w:r>
      <w:r>
        <w:rPr>
          <w:rFonts w:ascii="Times New Roman" w:hAnsi="Times New Roman" w:cs="Times New Roman" w:eastAsia="Times New Roman"/>
          <w:color w:val="auto"/>
          <w:spacing w:val="0"/>
          <w:position w:val="0"/>
          <w:sz w:val="24"/>
          <w:shd w:fill="auto" w:val="clear"/>
        </w:rPr>
        <w:t xml:space="preserve">, pp. 286</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300, 2020. doi:10.1007/978-3-030-42517-3_22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[7] I. Ahmad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“Implementation of restful API web services architecture in takeaway application development,” </w:t>
      </w:r>
      <w:r>
        <w:rPr>
          <w:rFonts w:ascii="Times New Roman" w:hAnsi="Times New Roman" w:cs="Times New Roman" w:eastAsia="Times New Roman"/>
          <w:i/>
          <w:color w:val="auto"/>
          <w:spacing w:val="0"/>
          <w:position w:val="0"/>
          <w:sz w:val="24"/>
          <w:shd w:fill="auto" w:val="clear"/>
        </w:rPr>
        <w:t xml:space="preserve">2021 1st International Conference on Electronic and Electrical Engineering and Intelligent System (ICE3IS)</w:t>
      </w:r>
      <w:r>
        <w:rPr>
          <w:rFonts w:ascii="Times New Roman" w:hAnsi="Times New Roman" w:cs="Times New Roman" w:eastAsia="Times New Roman"/>
          <w:color w:val="auto"/>
          <w:spacing w:val="0"/>
          <w:position w:val="0"/>
          <w:sz w:val="24"/>
          <w:shd w:fill="auto" w:val="clear"/>
        </w:rPr>
        <w:t xml:space="preserve">, 2021. doi:10.1109/ice3is54102.2021.9649679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[8] S. Serbout, F. D. Lauro, and C. Pautasso, “Web apis structures and data models analysis,” </w:t>
      </w:r>
      <w:r>
        <w:rPr>
          <w:rFonts w:ascii="Times New Roman" w:hAnsi="Times New Roman" w:cs="Times New Roman" w:eastAsia="Times New Roman"/>
          <w:i/>
          <w:color w:val="auto"/>
          <w:spacing w:val="0"/>
          <w:position w:val="0"/>
          <w:sz w:val="24"/>
          <w:shd w:fill="auto" w:val="clear"/>
        </w:rPr>
        <w:t xml:space="preserve">2022 IEEE 19th International Conference on Software Architecture Companion (ICSA-C)</w:t>
      </w:r>
      <w:r>
        <w:rPr>
          <w:rFonts w:ascii="Times New Roman" w:hAnsi="Times New Roman" w:cs="Times New Roman" w:eastAsia="Times New Roman"/>
          <w:color w:val="auto"/>
          <w:spacing w:val="0"/>
          <w:position w:val="0"/>
          <w:sz w:val="24"/>
          <w:shd w:fill="auto" w:val="clear"/>
        </w:rPr>
        <w:t xml:space="preserve">, 2022. doi:10.1109/icsa-c54293.2022.00059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[9] A. Furda, L. van den Berg, G. Reid, G. Camera, and M. Pinasco, “Developing a microservices integration layer for next-generation Rail Operations Centers,” </w:t>
      </w:r>
      <w:r>
        <w:rPr>
          <w:rFonts w:ascii="Times New Roman" w:hAnsi="Times New Roman" w:cs="Times New Roman" w:eastAsia="Times New Roman"/>
          <w:i/>
          <w:color w:val="auto"/>
          <w:spacing w:val="0"/>
          <w:position w:val="0"/>
          <w:sz w:val="24"/>
          <w:shd w:fill="auto" w:val="clear"/>
        </w:rPr>
        <w:t xml:space="preserve">IEEE Software</w:t>
      </w:r>
      <w:r>
        <w:rPr>
          <w:rFonts w:ascii="Times New Roman" w:hAnsi="Times New Roman" w:cs="Times New Roman" w:eastAsia="Times New Roman"/>
          <w:color w:val="auto"/>
          <w:spacing w:val="0"/>
          <w:position w:val="0"/>
          <w:sz w:val="24"/>
          <w:shd w:fill="auto" w:val="clear"/>
        </w:rPr>
        <w:t xml:space="preserve">, vol. 39, no. 5, pp. 9</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16, 2022. doi:10.1109/ms.2022.3179030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[10] L. Qiao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“Tools of centralized management platform based on puppet and Ansible,” </w:t>
      </w:r>
      <w:r>
        <w:rPr>
          <w:rFonts w:ascii="Times New Roman" w:hAnsi="Times New Roman" w:cs="Times New Roman" w:eastAsia="Times New Roman"/>
          <w:i/>
          <w:color w:val="auto"/>
          <w:spacing w:val="0"/>
          <w:position w:val="0"/>
          <w:sz w:val="24"/>
          <w:shd w:fill="auto" w:val="clear"/>
        </w:rPr>
        <w:t xml:space="preserve">IOP Conference Series: Materials Science and Engineering</w:t>
      </w:r>
      <w:r>
        <w:rPr>
          <w:rFonts w:ascii="Times New Roman" w:hAnsi="Times New Roman" w:cs="Times New Roman" w:eastAsia="Times New Roman"/>
          <w:color w:val="auto"/>
          <w:spacing w:val="0"/>
          <w:position w:val="0"/>
          <w:sz w:val="24"/>
          <w:shd w:fill="auto" w:val="clear"/>
        </w:rPr>
        <w:t xml:space="preserve">, vol. 750, no. 1, p. 012226, 2020. doi:10.1088/1757-899x/750/1/012226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[12] “Automated decision making and security,” </w:t>
      </w:r>
      <w:r>
        <w:rPr>
          <w:rFonts w:ascii="Times New Roman" w:hAnsi="Times New Roman" w:cs="Times New Roman" w:eastAsia="Times New Roman"/>
          <w:i/>
          <w:color w:val="auto"/>
          <w:spacing w:val="0"/>
          <w:position w:val="0"/>
          <w:sz w:val="24"/>
          <w:shd w:fill="auto" w:val="clear"/>
        </w:rPr>
        <w:t xml:space="preserve">AccessScience</w:t>
      </w:r>
      <w:r>
        <w:rPr>
          <w:rFonts w:ascii="Times New Roman" w:hAnsi="Times New Roman" w:cs="Times New Roman" w:eastAsia="Times New Roman"/>
          <w:color w:val="auto"/>
          <w:spacing w:val="0"/>
          <w:position w:val="0"/>
          <w:sz w:val="24"/>
          <w:shd w:fill="auto" w:val="clear"/>
        </w:rPr>
        <w:t xml:space="preserve">. doi:10.1036/1097-8542.757505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[13] S. Pandya and R. Guha Thakurta, “Introduction to infrastructure as code with chef,” </w:t>
      </w:r>
      <w:r>
        <w:rPr>
          <w:rFonts w:ascii="Times New Roman" w:hAnsi="Times New Roman" w:cs="Times New Roman" w:eastAsia="Times New Roman"/>
          <w:i/>
          <w:color w:val="auto"/>
          <w:spacing w:val="0"/>
          <w:position w:val="0"/>
          <w:sz w:val="24"/>
          <w:shd w:fill="auto" w:val="clear"/>
        </w:rPr>
        <w:t xml:space="preserve">Introduction to Infrastructure as Code</w:t>
      </w:r>
      <w:r>
        <w:rPr>
          <w:rFonts w:ascii="Times New Roman" w:hAnsi="Times New Roman" w:cs="Times New Roman" w:eastAsia="Times New Roman"/>
          <w:color w:val="auto"/>
          <w:spacing w:val="0"/>
          <w:position w:val="0"/>
          <w:sz w:val="24"/>
          <w:shd w:fill="auto" w:val="clear"/>
        </w:rPr>
        <w:t xml:space="preserve">, pp. 165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176, 2022. doi:10.1007/978-1-4842-8689-0_8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[14] I. Urtamo and A. Costin, “On tools for practical and effective security policy management and vulnerability scanning,” </w:t>
      </w:r>
      <w:r>
        <w:rPr>
          <w:rFonts w:ascii="Times New Roman" w:hAnsi="Times New Roman" w:cs="Times New Roman" w:eastAsia="Times New Roman"/>
          <w:i/>
          <w:color w:val="auto"/>
          <w:spacing w:val="0"/>
          <w:position w:val="0"/>
          <w:sz w:val="24"/>
          <w:shd w:fill="auto" w:val="clear"/>
        </w:rPr>
        <w:t xml:space="preserve">Lecture Notes in Business Information Processing</w:t>
      </w:r>
      <w:r>
        <w:rPr>
          <w:rFonts w:ascii="Times New Roman" w:hAnsi="Times New Roman" w:cs="Times New Roman" w:eastAsia="Times New Roman"/>
          <w:color w:val="auto"/>
          <w:spacing w:val="0"/>
          <w:position w:val="0"/>
          <w:sz w:val="24"/>
          <w:shd w:fill="auto" w:val="clear"/>
        </w:rPr>
        <w:t xml:space="preserve">, pp. 375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382, 2023. doi:10.1007/978-3-031-36757-1_28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[15] F. Setaki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“The Netapps Certification Environment for 5G and beyond vertical ecosystems: The evolved-5G approach,” </w:t>
      </w:r>
      <w:r>
        <w:rPr>
          <w:rFonts w:ascii="Times New Roman" w:hAnsi="Times New Roman" w:cs="Times New Roman" w:eastAsia="Times New Roman"/>
          <w:i/>
          <w:color w:val="auto"/>
          <w:spacing w:val="0"/>
          <w:position w:val="0"/>
          <w:sz w:val="24"/>
          <w:shd w:fill="auto" w:val="clear"/>
        </w:rPr>
        <w:t xml:space="preserve">2022 IEEE Globecom Workshops (GC Wkshps)</w:t>
      </w:r>
      <w:r>
        <w:rPr>
          <w:rFonts w:ascii="Times New Roman" w:hAnsi="Times New Roman" w:cs="Times New Roman" w:eastAsia="Times New Roman"/>
          <w:color w:val="auto"/>
          <w:spacing w:val="0"/>
          <w:position w:val="0"/>
          <w:sz w:val="24"/>
          <w:shd w:fill="auto" w:val="clear"/>
        </w:rPr>
        <w:t xml:space="preserve">, 2022. doi:10.1109/gcwkshps56602.2022.10008597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[16] D. V. Kornienko, S. V. Mishina, and M. O. Melnikov, “The single Page Application Architecture when developing secure web services,” </w:t>
      </w:r>
      <w:r>
        <w:rPr>
          <w:rFonts w:ascii="Times New Roman" w:hAnsi="Times New Roman" w:cs="Times New Roman" w:eastAsia="Times New Roman"/>
          <w:i/>
          <w:color w:val="auto"/>
          <w:spacing w:val="0"/>
          <w:position w:val="0"/>
          <w:sz w:val="24"/>
          <w:shd w:fill="auto" w:val="clear"/>
        </w:rPr>
        <w:t xml:space="preserve">Journal of Physics: Conference Series</w:t>
      </w:r>
      <w:r>
        <w:rPr>
          <w:rFonts w:ascii="Times New Roman" w:hAnsi="Times New Roman" w:cs="Times New Roman" w:eastAsia="Times New Roman"/>
          <w:color w:val="auto"/>
          <w:spacing w:val="0"/>
          <w:position w:val="0"/>
          <w:sz w:val="24"/>
          <w:shd w:fill="auto" w:val="clear"/>
        </w:rPr>
        <w:t xml:space="preserve">, vol. 2091, no. 1, p. 012065, 2021. doi:10.1088/1742-6596/2091/1/012065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[17] Y. Zhang, M. M. Kabir, Y. Xiao, D. Yao, and N. Meng, “Automatic detection of Java Cryptographic API misuses: Are we there yet?,” </w:t>
      </w:r>
      <w:r>
        <w:rPr>
          <w:rFonts w:ascii="Times New Roman" w:hAnsi="Times New Roman" w:cs="Times New Roman" w:eastAsia="Times New Roman"/>
          <w:i/>
          <w:color w:val="auto"/>
          <w:spacing w:val="0"/>
          <w:position w:val="0"/>
          <w:sz w:val="24"/>
          <w:shd w:fill="auto" w:val="clear"/>
        </w:rPr>
        <w:t xml:space="preserve">IEEE Transactions on Software Engineering</w:t>
      </w:r>
      <w:r>
        <w:rPr>
          <w:rFonts w:ascii="Times New Roman" w:hAnsi="Times New Roman" w:cs="Times New Roman" w:eastAsia="Times New Roman"/>
          <w:color w:val="auto"/>
          <w:spacing w:val="0"/>
          <w:position w:val="0"/>
          <w:sz w:val="24"/>
          <w:shd w:fill="auto" w:val="clear"/>
        </w:rPr>
        <w:t xml:space="preserve">, vol. 49, no. 1, pp. 288</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303, 2023. doi:10.1109/tse.2022.3150302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[18] S. Abdullah, J. Arshad, M. M. Khan, M. Alazab, and K. Salah, “Prised tangle: A privacy-aware framework for Smart Healthcare Data Sharing using iota tangle,” </w:t>
      </w:r>
      <w:r>
        <w:rPr>
          <w:rFonts w:ascii="Times New Roman" w:hAnsi="Times New Roman" w:cs="Times New Roman" w:eastAsia="Times New Roman"/>
          <w:i/>
          <w:color w:val="auto"/>
          <w:spacing w:val="0"/>
          <w:position w:val="0"/>
          <w:sz w:val="24"/>
          <w:shd w:fill="auto" w:val="clear"/>
        </w:rPr>
        <w:t xml:space="preserve">Complex &amp;amp; Intelligent Systems</w:t>
      </w:r>
      <w:r>
        <w:rPr>
          <w:rFonts w:ascii="Times New Roman" w:hAnsi="Times New Roman" w:cs="Times New Roman" w:eastAsia="Times New Roman"/>
          <w:color w:val="auto"/>
          <w:spacing w:val="0"/>
          <w:position w:val="0"/>
          <w:sz w:val="24"/>
          <w:shd w:fill="auto" w:val="clear"/>
        </w:rPr>
        <w:t xml:space="preserve">, vol. 9, no. 3, pp. 3023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3041, 2022. doi:10.1007/s40747-021-00610-8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[19] S. Nyamweno, P. Morin, C. Buchmann, A. Dugas, and F. Poulin, “Infrastructure as code at CBC/Radio-Canada’s media-over-IP data center,” </w:t>
      </w:r>
      <w:r>
        <w:rPr>
          <w:rFonts w:ascii="Times New Roman" w:hAnsi="Times New Roman" w:cs="Times New Roman" w:eastAsia="Times New Roman"/>
          <w:i/>
          <w:color w:val="auto"/>
          <w:spacing w:val="0"/>
          <w:position w:val="0"/>
          <w:sz w:val="24"/>
          <w:shd w:fill="auto" w:val="clear"/>
        </w:rPr>
        <w:t xml:space="preserve">SMPTE Motion Imaging Journal</w:t>
      </w:r>
      <w:r>
        <w:rPr>
          <w:rFonts w:ascii="Times New Roman" w:hAnsi="Times New Roman" w:cs="Times New Roman" w:eastAsia="Times New Roman"/>
          <w:color w:val="auto"/>
          <w:spacing w:val="0"/>
          <w:position w:val="0"/>
          <w:sz w:val="24"/>
          <w:shd w:fill="auto" w:val="clear"/>
        </w:rPr>
        <w:t xml:space="preserve">, vol. 131, no. 5, pp. 30</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37, 2022. doi:10.5594/jmi.2022.3167779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[20] P. Porambage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“The roadmap to 6G security and privacy,” </w:t>
      </w:r>
      <w:r>
        <w:rPr>
          <w:rFonts w:ascii="Times New Roman" w:hAnsi="Times New Roman" w:cs="Times New Roman" w:eastAsia="Times New Roman"/>
          <w:i/>
          <w:color w:val="auto"/>
          <w:spacing w:val="0"/>
          <w:position w:val="0"/>
          <w:sz w:val="24"/>
          <w:shd w:fill="auto" w:val="clear"/>
        </w:rPr>
        <w:t xml:space="preserve">IEEE Open Journal of the Communications Society</w:t>
      </w:r>
      <w:r>
        <w:rPr>
          <w:rFonts w:ascii="Times New Roman" w:hAnsi="Times New Roman" w:cs="Times New Roman" w:eastAsia="Times New Roman"/>
          <w:color w:val="auto"/>
          <w:spacing w:val="0"/>
          <w:position w:val="0"/>
          <w:sz w:val="24"/>
          <w:shd w:fill="auto" w:val="clear"/>
        </w:rPr>
        <w:t xml:space="preserve">, vol. 2, pp. 1094</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1122, 2021. doi:10.1109/ojcoms.2021.3078081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6">
    <w:abstractNumId w:val="6"/>
  </w:num>
  <w:num w:numId="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