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0669626"/>
        <w:docPartObj>
          <w:docPartGallery w:val="Cover Pages"/>
          <w:docPartUnique/>
        </w:docPartObj>
      </w:sdtPr>
      <w:sdtEndPr/>
      <w:sdtContent>
        <w:sdt>
          <w:sdtPr>
            <w:id w:val="1483580529"/>
            <w:docPartObj>
              <w:docPartGallery w:val="Cover Pages"/>
              <w:docPartUnique/>
            </w:docPartObj>
          </w:sdtPr>
          <w:sdtEndPr/>
          <w:sdtContent>
            <w:p w14:paraId="0AABD43C" w14:textId="77777777" w:rsidR="00330431" w:rsidRDefault="00330431" w:rsidP="00330431">
              <w:r>
                <w:rPr>
                  <w:noProof/>
                  <w:lang w:val="en-US" w:eastAsia="en-US"/>
                </w:rPr>
                <w:drawing>
                  <wp:inline distT="0" distB="0" distL="0" distR="0" wp14:anchorId="2076DDC0" wp14:editId="0B25C899">
                    <wp:extent cx="2386965" cy="949960"/>
                    <wp:effectExtent l="0" t="0" r="0" b="0"/>
                    <wp:docPr id="1036277651" name="Picture 6"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6965" cy="949960"/>
                            </a:xfrm>
                            <a:prstGeom prst="rect">
                              <a:avLst/>
                            </a:prstGeom>
                            <a:noFill/>
                            <a:ln>
                              <a:noFill/>
                            </a:ln>
                          </pic:spPr>
                        </pic:pic>
                      </a:graphicData>
                    </a:graphic>
                  </wp:inline>
                </w:drawing>
              </w:r>
            </w:p>
            <w:p w14:paraId="7CF9B8B7" w14:textId="77777777" w:rsidR="00330431" w:rsidRDefault="00330431" w:rsidP="00330431"/>
            <w:p w14:paraId="13304A28" w14:textId="77777777" w:rsidR="00330431" w:rsidRDefault="004A5D25" w:rsidP="00330431"/>
          </w:sdtContent>
        </w:sdt>
        <w:p w14:paraId="3E9995CE" w14:textId="77777777" w:rsidR="00330431" w:rsidRPr="00F67448" w:rsidRDefault="00330431" w:rsidP="00330431">
          <w:pPr>
            <w:spacing w:line="480" w:lineRule="auto"/>
            <w:jc w:val="center"/>
            <w:rPr>
              <w:rFonts w:ascii="Arial" w:hAnsi="Arial" w:cs="Arial"/>
              <w:b/>
              <w:bCs/>
              <w:sz w:val="32"/>
              <w:szCs w:val="32"/>
            </w:rPr>
          </w:pPr>
          <w:r w:rsidRPr="00F67448">
            <w:rPr>
              <w:rFonts w:ascii="Arial" w:hAnsi="Arial" w:cs="Arial"/>
              <w:b/>
              <w:bCs/>
              <w:sz w:val="32"/>
              <w:szCs w:val="32"/>
            </w:rPr>
            <w:t>Task 1 Poster and Task 2 Essay</w:t>
          </w:r>
        </w:p>
        <w:p w14:paraId="2514DF4C" w14:textId="77777777" w:rsidR="00330431" w:rsidRPr="00F67448" w:rsidRDefault="00330431" w:rsidP="00330431">
          <w:pPr>
            <w:spacing w:line="480" w:lineRule="auto"/>
            <w:jc w:val="center"/>
            <w:rPr>
              <w:rFonts w:ascii="Arial" w:hAnsi="Arial" w:cs="Arial"/>
              <w:b/>
              <w:bCs/>
              <w:sz w:val="32"/>
              <w:szCs w:val="32"/>
            </w:rPr>
          </w:pPr>
          <w:r w:rsidRPr="00F67448">
            <w:rPr>
              <w:rFonts w:ascii="Arial" w:hAnsi="Arial" w:cs="Arial"/>
              <w:b/>
              <w:bCs/>
              <w:sz w:val="32"/>
              <w:szCs w:val="32"/>
            </w:rPr>
            <w:t>Health and Social Care Services</w:t>
          </w:r>
        </w:p>
        <w:p w14:paraId="2CC729D2" w14:textId="77777777" w:rsidR="00330431" w:rsidRDefault="00330431" w:rsidP="00330431"/>
        <w:p w14:paraId="6F9C3481" w14:textId="77777777" w:rsidR="00330431" w:rsidRDefault="00330431" w:rsidP="00330431"/>
        <w:p w14:paraId="5697232F" w14:textId="77777777" w:rsidR="00330431" w:rsidRDefault="00330431" w:rsidP="00330431"/>
        <w:p w14:paraId="7F2DB8AF" w14:textId="77777777" w:rsidR="00330431" w:rsidRDefault="00330431" w:rsidP="00330431"/>
        <w:p w14:paraId="18130005" w14:textId="77777777" w:rsidR="00330431" w:rsidRDefault="00330431" w:rsidP="00330431"/>
        <w:p w14:paraId="2BF48FC4" w14:textId="77777777" w:rsidR="00330431" w:rsidRDefault="00330431" w:rsidP="00330431"/>
        <w:p w14:paraId="603C24C6" w14:textId="77777777" w:rsidR="00330431" w:rsidRDefault="00330431" w:rsidP="00330431"/>
        <w:p w14:paraId="7E5BA036" w14:textId="77777777" w:rsidR="00330431" w:rsidRDefault="00330431" w:rsidP="00330431"/>
        <w:p w14:paraId="1C1E211E" w14:textId="77777777" w:rsidR="00330431" w:rsidRDefault="00330431" w:rsidP="00330431"/>
        <w:p w14:paraId="4AE94C25" w14:textId="77777777" w:rsidR="00330431" w:rsidRDefault="00330431" w:rsidP="00330431"/>
        <w:p w14:paraId="731B15E2" w14:textId="77777777" w:rsidR="00330431" w:rsidRDefault="00330431" w:rsidP="00330431"/>
        <w:p w14:paraId="71237543" w14:textId="77777777" w:rsidR="00330431" w:rsidRDefault="00330431" w:rsidP="00330431"/>
        <w:p w14:paraId="78567669" w14:textId="77777777" w:rsidR="00330431" w:rsidRDefault="00330431" w:rsidP="00330431"/>
        <w:p w14:paraId="280989B7" w14:textId="07F0925E" w:rsidR="00330431" w:rsidRPr="00F67448" w:rsidRDefault="00330431" w:rsidP="00330431">
          <w:pPr>
            <w:spacing w:line="480" w:lineRule="auto"/>
            <w:jc w:val="both"/>
            <w:rPr>
              <w:rFonts w:ascii="Arial" w:hAnsi="Arial" w:cs="Arial"/>
              <w:sz w:val="22"/>
              <w:szCs w:val="22"/>
            </w:rPr>
          </w:pPr>
          <w:r w:rsidRPr="00F67448">
            <w:rPr>
              <w:rFonts w:ascii="Arial" w:hAnsi="Arial" w:cs="Arial"/>
              <w:sz w:val="22"/>
              <w:szCs w:val="22"/>
            </w:rPr>
            <w:t>Student name: _</w:t>
          </w:r>
          <w:proofErr w:type="spellStart"/>
          <w:r w:rsidR="0066552B">
            <w:rPr>
              <w:rFonts w:ascii="Arial" w:hAnsi="Arial" w:cs="Arial"/>
              <w:sz w:val="22"/>
              <w:szCs w:val="22"/>
            </w:rPr>
            <w:t>Robius</w:t>
          </w:r>
          <w:proofErr w:type="spellEnd"/>
          <w:r w:rsidR="0066552B">
            <w:rPr>
              <w:rFonts w:ascii="Arial" w:hAnsi="Arial" w:cs="Arial"/>
              <w:sz w:val="22"/>
              <w:szCs w:val="22"/>
            </w:rPr>
            <w:t xml:space="preserve"> </w:t>
          </w:r>
          <w:proofErr w:type="spellStart"/>
          <w:r w:rsidR="0066552B">
            <w:rPr>
              <w:rFonts w:ascii="Arial" w:hAnsi="Arial" w:cs="Arial"/>
              <w:sz w:val="22"/>
              <w:szCs w:val="22"/>
            </w:rPr>
            <w:t>Sany</w:t>
          </w:r>
          <w:proofErr w:type="spellEnd"/>
          <w:r w:rsidRPr="00F67448">
            <w:rPr>
              <w:rFonts w:ascii="Arial" w:hAnsi="Arial" w:cs="Arial"/>
              <w:sz w:val="22"/>
              <w:szCs w:val="22"/>
            </w:rPr>
            <w:t xml:space="preserve">_____________________________________________ </w:t>
          </w:r>
        </w:p>
        <w:p w14:paraId="10F4F6CB" w14:textId="2A592352" w:rsidR="00330431" w:rsidRPr="00F67448" w:rsidRDefault="00330431" w:rsidP="00330431">
          <w:pPr>
            <w:spacing w:line="480" w:lineRule="auto"/>
            <w:jc w:val="both"/>
            <w:rPr>
              <w:rFonts w:ascii="Arial" w:hAnsi="Arial" w:cs="Arial"/>
              <w:sz w:val="22"/>
              <w:szCs w:val="22"/>
            </w:rPr>
          </w:pPr>
          <w:r w:rsidRPr="00F67448">
            <w:rPr>
              <w:rFonts w:ascii="Arial" w:hAnsi="Arial" w:cs="Arial"/>
              <w:sz w:val="22"/>
              <w:szCs w:val="22"/>
            </w:rPr>
            <w:t>Student ID: _</w:t>
          </w:r>
          <w:r w:rsidR="0066552B">
            <w:rPr>
              <w:rFonts w:ascii="Arial" w:hAnsi="Arial" w:cs="Arial"/>
              <w:sz w:val="22"/>
              <w:szCs w:val="22"/>
            </w:rPr>
            <w:t>2523192</w:t>
          </w:r>
          <w:r w:rsidRPr="00F67448">
            <w:rPr>
              <w:rFonts w:ascii="Arial" w:hAnsi="Arial" w:cs="Arial"/>
              <w:sz w:val="22"/>
              <w:szCs w:val="22"/>
            </w:rPr>
            <w:t xml:space="preserve">_____________________________________________ </w:t>
          </w:r>
        </w:p>
        <w:p w14:paraId="20AC7DE6" w14:textId="08B10296" w:rsidR="00330431" w:rsidRPr="00F67448" w:rsidRDefault="0066552B" w:rsidP="00330431">
          <w:pPr>
            <w:spacing w:line="480" w:lineRule="auto"/>
            <w:jc w:val="both"/>
            <w:rPr>
              <w:rFonts w:ascii="Arial" w:hAnsi="Arial" w:cs="Arial"/>
              <w:sz w:val="22"/>
              <w:szCs w:val="22"/>
            </w:rPr>
          </w:pPr>
          <w:r>
            <w:rPr>
              <w:rFonts w:ascii="Arial" w:hAnsi="Arial" w:cs="Arial"/>
              <w:sz w:val="22"/>
              <w:szCs w:val="22"/>
            </w:rPr>
            <w:t>Module name: Introduction to Health and social care</w:t>
          </w:r>
          <w:r w:rsidR="00330431" w:rsidRPr="00F67448">
            <w:rPr>
              <w:rFonts w:ascii="Arial" w:hAnsi="Arial" w:cs="Arial"/>
              <w:sz w:val="22"/>
              <w:szCs w:val="22"/>
            </w:rPr>
            <w:t>_</w:t>
          </w:r>
          <w:r>
            <w:rPr>
              <w:rFonts w:ascii="Arial" w:hAnsi="Arial" w:cs="Arial"/>
              <w:sz w:val="22"/>
              <w:szCs w:val="22"/>
            </w:rPr>
            <w:t xml:space="preserve"> </w:t>
          </w:r>
          <w:r w:rsidR="00330431" w:rsidRPr="00F67448">
            <w:rPr>
              <w:rFonts w:ascii="Arial" w:hAnsi="Arial" w:cs="Arial"/>
              <w:sz w:val="22"/>
              <w:szCs w:val="22"/>
            </w:rPr>
            <w:t xml:space="preserve">_________________________________________ </w:t>
          </w:r>
        </w:p>
        <w:p w14:paraId="1466A438" w14:textId="5046F876" w:rsidR="00330431" w:rsidRPr="00F67448" w:rsidRDefault="00330431" w:rsidP="00330431">
          <w:pPr>
            <w:spacing w:line="480" w:lineRule="auto"/>
            <w:jc w:val="both"/>
            <w:rPr>
              <w:rFonts w:ascii="Arial" w:hAnsi="Arial" w:cs="Arial"/>
              <w:sz w:val="22"/>
              <w:szCs w:val="22"/>
            </w:rPr>
          </w:pPr>
          <w:r w:rsidRPr="00F67448">
            <w:rPr>
              <w:rFonts w:ascii="Arial" w:hAnsi="Arial" w:cs="Arial"/>
              <w:sz w:val="22"/>
              <w:szCs w:val="22"/>
            </w:rPr>
            <w:t>Module code: __</w:t>
          </w:r>
          <w:r w:rsidR="0066552B">
            <w:rPr>
              <w:rFonts w:ascii="Arial" w:hAnsi="Arial" w:cs="Arial"/>
              <w:sz w:val="22"/>
              <w:szCs w:val="22"/>
            </w:rPr>
            <w:t>LCHS4003</w:t>
          </w:r>
          <w:r w:rsidRPr="00F67448">
            <w:rPr>
              <w:rFonts w:ascii="Arial" w:hAnsi="Arial" w:cs="Arial"/>
              <w:sz w:val="22"/>
              <w:szCs w:val="22"/>
            </w:rPr>
            <w:t xml:space="preserve">____________________________________________ </w:t>
          </w:r>
        </w:p>
        <w:p w14:paraId="40B6ACA5" w14:textId="680EF97C" w:rsidR="00330431" w:rsidRPr="00F67448" w:rsidRDefault="0066552B" w:rsidP="00330431">
          <w:pPr>
            <w:spacing w:line="480" w:lineRule="auto"/>
            <w:jc w:val="both"/>
            <w:rPr>
              <w:rFonts w:ascii="Arial" w:hAnsi="Arial" w:cs="Arial"/>
              <w:sz w:val="22"/>
              <w:szCs w:val="22"/>
            </w:rPr>
          </w:pPr>
          <w:r>
            <w:rPr>
              <w:rFonts w:ascii="Arial" w:hAnsi="Arial" w:cs="Arial"/>
              <w:sz w:val="22"/>
              <w:szCs w:val="22"/>
            </w:rPr>
            <w:t xml:space="preserve">Lecturer name: </w:t>
          </w:r>
          <w:r w:rsidR="00330431" w:rsidRPr="00F67448">
            <w:rPr>
              <w:rFonts w:ascii="Arial" w:hAnsi="Arial" w:cs="Arial"/>
              <w:sz w:val="22"/>
              <w:szCs w:val="22"/>
            </w:rPr>
            <w:t>_</w:t>
          </w:r>
          <w:r>
            <w:rPr>
              <w:rFonts w:ascii="Arial" w:hAnsi="Arial" w:cs="Arial"/>
              <w:sz w:val="22"/>
              <w:szCs w:val="22"/>
            </w:rPr>
            <w:t xml:space="preserve">Muhammad </w:t>
          </w:r>
          <w:proofErr w:type="spellStart"/>
          <w:r>
            <w:rPr>
              <w:rFonts w:ascii="Arial" w:hAnsi="Arial" w:cs="Arial"/>
              <w:sz w:val="22"/>
              <w:szCs w:val="22"/>
            </w:rPr>
            <w:t>Aliyu</w:t>
          </w:r>
          <w:proofErr w:type="spellEnd"/>
          <w:r w:rsidR="00330431" w:rsidRPr="00F67448">
            <w:rPr>
              <w:rFonts w:ascii="Arial" w:hAnsi="Arial" w:cs="Arial"/>
              <w:sz w:val="22"/>
              <w:szCs w:val="22"/>
            </w:rPr>
            <w:t xml:space="preserve">_______________________________________ </w:t>
          </w:r>
        </w:p>
        <w:p w14:paraId="3B0A078A" w14:textId="1F7BEA6B" w:rsidR="00330431" w:rsidRPr="00F67448" w:rsidRDefault="00330431" w:rsidP="00330431">
          <w:pPr>
            <w:spacing w:line="480" w:lineRule="auto"/>
            <w:jc w:val="both"/>
            <w:rPr>
              <w:rFonts w:ascii="Arial" w:hAnsi="Arial" w:cs="Arial"/>
              <w:sz w:val="22"/>
              <w:szCs w:val="22"/>
            </w:rPr>
          </w:pPr>
          <w:r w:rsidRPr="00F67448">
            <w:rPr>
              <w:rFonts w:ascii="Arial" w:hAnsi="Arial" w:cs="Arial"/>
              <w:sz w:val="22"/>
              <w:szCs w:val="22"/>
            </w:rPr>
            <w:t>Submission date: ____</w:t>
          </w:r>
          <w:r w:rsidR="0066552B">
            <w:rPr>
              <w:rFonts w:ascii="Arial" w:hAnsi="Arial" w:cs="Arial"/>
              <w:sz w:val="22"/>
              <w:szCs w:val="22"/>
            </w:rPr>
            <w:t xml:space="preserve">12 </w:t>
          </w:r>
          <w:proofErr w:type="spellStart"/>
          <w:proofErr w:type="gramStart"/>
          <w:r w:rsidR="0066552B">
            <w:rPr>
              <w:rFonts w:ascii="Arial" w:hAnsi="Arial" w:cs="Arial"/>
              <w:sz w:val="22"/>
              <w:szCs w:val="22"/>
            </w:rPr>
            <w:t>th</w:t>
          </w:r>
          <w:proofErr w:type="spellEnd"/>
          <w:proofErr w:type="gramEnd"/>
          <w:r w:rsidR="0066552B">
            <w:rPr>
              <w:rFonts w:ascii="Arial" w:hAnsi="Arial" w:cs="Arial"/>
              <w:sz w:val="22"/>
              <w:szCs w:val="22"/>
            </w:rPr>
            <w:t xml:space="preserve"> july</w:t>
          </w:r>
          <w:bookmarkStart w:id="0" w:name="_GoBack"/>
          <w:bookmarkEnd w:id="0"/>
          <w:r w:rsidRPr="00F67448">
            <w:rPr>
              <w:rFonts w:ascii="Arial" w:hAnsi="Arial" w:cs="Arial"/>
              <w:sz w:val="22"/>
              <w:szCs w:val="22"/>
            </w:rPr>
            <w:t>__________________________________________</w:t>
          </w:r>
        </w:p>
        <w:p w14:paraId="0AD00B8F" w14:textId="77777777" w:rsidR="00330431" w:rsidRDefault="00330431" w:rsidP="00330431"/>
        <w:p w14:paraId="32A7FB5C" w14:textId="1836D2F0" w:rsidR="00330431" w:rsidRDefault="00330431" w:rsidP="00330431">
          <w:r>
            <w:br w:type="page"/>
          </w:r>
        </w:p>
      </w:sdtContent>
    </w:sdt>
    <w:sdt>
      <w:sdtPr>
        <w:rPr>
          <w:rFonts w:ascii="Calibri" w:eastAsia="Calibri" w:hAnsi="Calibri" w:cs="Calibri"/>
          <w:color w:val="auto"/>
          <w:sz w:val="20"/>
          <w:szCs w:val="20"/>
        </w:rPr>
        <w:id w:val="-1159301786"/>
        <w:docPartObj>
          <w:docPartGallery w:val="Table of Contents"/>
          <w:docPartUnique/>
        </w:docPartObj>
      </w:sdtPr>
      <w:sdtEndPr>
        <w:rPr>
          <w:b/>
          <w:bCs/>
        </w:rPr>
      </w:sdtEndPr>
      <w:sdtContent>
        <w:p w14:paraId="6762004F" w14:textId="794B6BCE" w:rsidR="00EB6C24" w:rsidRPr="00C9592B" w:rsidRDefault="00EB6C24" w:rsidP="00C9592B">
          <w:pPr>
            <w:pStyle w:val="TOCHeading"/>
            <w:jc w:val="center"/>
            <w:rPr>
              <w:b/>
              <w:bCs/>
            </w:rPr>
          </w:pPr>
          <w:r w:rsidRPr="00C9592B">
            <w:rPr>
              <w:b/>
              <w:bCs/>
            </w:rPr>
            <w:t>Table of Contents</w:t>
          </w:r>
        </w:p>
        <w:p w14:paraId="26D67F9F" w14:textId="5552B3F7" w:rsidR="005D2F67" w:rsidRPr="005D2F67" w:rsidRDefault="00EB6C24" w:rsidP="005D2F67">
          <w:pPr>
            <w:pStyle w:val="TOC1"/>
            <w:tabs>
              <w:tab w:val="right" w:leader="dot" w:pos="9016"/>
            </w:tabs>
            <w:spacing w:line="360" w:lineRule="auto"/>
            <w:jc w:val="both"/>
            <w:rPr>
              <w:rFonts w:ascii="Arial" w:eastAsiaTheme="minorEastAsia" w:hAnsi="Arial" w:cs="Arial"/>
              <w:noProof/>
              <w:kern w:val="2"/>
              <w:sz w:val="22"/>
              <w:szCs w:val="22"/>
              <w14:ligatures w14:val="standardContextual"/>
            </w:rPr>
          </w:pPr>
          <w:r w:rsidRPr="005D2F67">
            <w:rPr>
              <w:rFonts w:ascii="Arial" w:hAnsi="Arial" w:cs="Arial"/>
              <w:sz w:val="22"/>
              <w:szCs w:val="22"/>
            </w:rPr>
            <w:fldChar w:fldCharType="begin"/>
          </w:r>
          <w:r w:rsidRPr="005D2F67">
            <w:rPr>
              <w:rFonts w:ascii="Arial" w:hAnsi="Arial" w:cs="Arial"/>
              <w:sz w:val="22"/>
              <w:szCs w:val="22"/>
            </w:rPr>
            <w:instrText xml:space="preserve"> TOC \o "1-3" \h \z \u </w:instrText>
          </w:r>
          <w:r w:rsidRPr="005D2F67">
            <w:rPr>
              <w:rFonts w:ascii="Arial" w:hAnsi="Arial" w:cs="Arial"/>
              <w:sz w:val="22"/>
              <w:szCs w:val="22"/>
            </w:rPr>
            <w:fldChar w:fldCharType="separate"/>
          </w:r>
          <w:hyperlink w:anchor="_Toc234464052" w:history="1">
            <w:r w:rsidR="005D2F67" w:rsidRPr="005D2F67">
              <w:rPr>
                <w:rStyle w:val="Hyperlink"/>
                <w:rFonts w:ascii="Arial" w:hAnsi="Arial" w:cs="Arial"/>
                <w:noProof/>
                <w:sz w:val="22"/>
                <w:szCs w:val="22"/>
              </w:rPr>
              <w:t>Task 1: Poster: Pharmacy Services in the UK</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_Toc234464052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1</w:t>
            </w:r>
            <w:r w:rsidR="005D2F67" w:rsidRPr="005D2F67">
              <w:rPr>
                <w:rFonts w:ascii="Arial" w:hAnsi="Arial" w:cs="Arial"/>
                <w:noProof/>
                <w:webHidden/>
                <w:sz w:val="22"/>
                <w:szCs w:val="22"/>
              </w:rPr>
              <w:fldChar w:fldCharType="end"/>
            </w:r>
          </w:hyperlink>
        </w:p>
        <w:p w14:paraId="0DEAAF56" w14:textId="7DCCF391" w:rsidR="005D2F67" w:rsidRPr="005D2F67" w:rsidRDefault="004A5D25" w:rsidP="005D2F67">
          <w:pPr>
            <w:pStyle w:val="TOC1"/>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3" w:history="1">
            <w:r w:rsidR="005D2F67" w:rsidRPr="005D2F67">
              <w:rPr>
                <w:rStyle w:val="Hyperlink"/>
                <w:rFonts w:ascii="Arial" w:hAnsi="Arial" w:cs="Arial"/>
                <w:noProof/>
                <w:sz w:val="22"/>
                <w:szCs w:val="22"/>
              </w:rPr>
              <w:t>Task 2: Domiciliary Care Services: Origins, Current Practice and Significance for Quality of Life</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_Toc234464053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0</w:t>
            </w:r>
            <w:r w:rsidR="005D2F67" w:rsidRPr="005D2F67">
              <w:rPr>
                <w:rFonts w:ascii="Arial" w:hAnsi="Arial" w:cs="Arial"/>
                <w:noProof/>
                <w:webHidden/>
                <w:sz w:val="22"/>
                <w:szCs w:val="22"/>
              </w:rPr>
              <w:fldChar w:fldCharType="end"/>
            </w:r>
          </w:hyperlink>
        </w:p>
        <w:p w14:paraId="7F552F09" w14:textId="013E208A" w:rsidR="005D2F67" w:rsidRPr="005D2F67" w:rsidRDefault="004A5D25" w:rsidP="005D2F67">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4" w:history="1">
            <w:r w:rsidR="005D2F67" w:rsidRPr="005D2F67">
              <w:rPr>
                <w:rStyle w:val="Hyperlink"/>
                <w:rFonts w:ascii="Arial" w:hAnsi="Arial" w:cs="Arial"/>
                <w:noProof/>
                <w:sz w:val="22"/>
                <w:szCs w:val="22"/>
              </w:rPr>
              <w:t>Introduction</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_Toc234464054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0</w:t>
            </w:r>
            <w:r w:rsidR="005D2F67" w:rsidRPr="005D2F67">
              <w:rPr>
                <w:rFonts w:ascii="Arial" w:hAnsi="Arial" w:cs="Arial"/>
                <w:noProof/>
                <w:webHidden/>
                <w:sz w:val="22"/>
                <w:szCs w:val="22"/>
              </w:rPr>
              <w:fldChar w:fldCharType="end"/>
            </w:r>
          </w:hyperlink>
        </w:p>
        <w:p w14:paraId="01FA6056" w14:textId="2361E037" w:rsidR="005D2F67" w:rsidRPr="005D2F67" w:rsidRDefault="004A5D25" w:rsidP="005D2F67">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5" w:history="1">
            <w:r w:rsidR="005D2F67" w:rsidRPr="005D2F67">
              <w:rPr>
                <w:rStyle w:val="Hyperlink"/>
                <w:rFonts w:ascii="Arial" w:hAnsi="Arial" w:cs="Arial"/>
                <w:noProof/>
                <w:sz w:val="22"/>
                <w:szCs w:val="22"/>
              </w:rPr>
              <w:t>Origins and Historical Context</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_Toc234464055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0</w:t>
            </w:r>
            <w:r w:rsidR="005D2F67" w:rsidRPr="005D2F67">
              <w:rPr>
                <w:rFonts w:ascii="Arial" w:hAnsi="Arial" w:cs="Arial"/>
                <w:noProof/>
                <w:webHidden/>
                <w:sz w:val="22"/>
                <w:szCs w:val="22"/>
              </w:rPr>
              <w:fldChar w:fldCharType="end"/>
            </w:r>
          </w:hyperlink>
        </w:p>
        <w:p w14:paraId="7D4E84A7" w14:textId="3BDA9796" w:rsidR="005D2F67" w:rsidRPr="005D2F67" w:rsidRDefault="004A5D25" w:rsidP="005D2F67">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6" w:history="1">
            <w:r w:rsidR="005D2F67" w:rsidRPr="005D2F67">
              <w:rPr>
                <w:rStyle w:val="Hyperlink"/>
                <w:rFonts w:ascii="Arial" w:hAnsi="Arial" w:cs="Arial"/>
                <w:noProof/>
                <w:sz w:val="22"/>
                <w:szCs w:val="22"/>
              </w:rPr>
              <w:t>Current Functioning</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_Toc234464056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0</w:t>
            </w:r>
            <w:r w:rsidR="005D2F67" w:rsidRPr="005D2F67">
              <w:rPr>
                <w:rFonts w:ascii="Arial" w:hAnsi="Arial" w:cs="Arial"/>
                <w:noProof/>
                <w:webHidden/>
                <w:sz w:val="22"/>
                <w:szCs w:val="22"/>
              </w:rPr>
              <w:fldChar w:fldCharType="end"/>
            </w:r>
          </w:hyperlink>
        </w:p>
        <w:p w14:paraId="4843EA77" w14:textId="3B69453F" w:rsidR="005D2F67" w:rsidRPr="005D2F67" w:rsidRDefault="004A5D25" w:rsidP="005D2F67">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7" w:history="1">
            <w:r w:rsidR="005D2F67" w:rsidRPr="005D2F67">
              <w:rPr>
                <w:rStyle w:val="Hyperlink"/>
                <w:rFonts w:ascii="Arial" w:hAnsi="Arial" w:cs="Arial"/>
                <w:noProof/>
                <w:sz w:val="22"/>
                <w:szCs w:val="22"/>
              </w:rPr>
              <w:t>Significance for Quality of Life</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_Toc234464057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1</w:t>
            </w:r>
            <w:r w:rsidR="005D2F67" w:rsidRPr="005D2F67">
              <w:rPr>
                <w:rFonts w:ascii="Arial" w:hAnsi="Arial" w:cs="Arial"/>
                <w:noProof/>
                <w:webHidden/>
                <w:sz w:val="22"/>
                <w:szCs w:val="22"/>
              </w:rPr>
              <w:fldChar w:fldCharType="end"/>
            </w:r>
          </w:hyperlink>
        </w:p>
        <w:p w14:paraId="7086A215" w14:textId="17BF184D" w:rsidR="005D2F67" w:rsidRPr="005D2F67" w:rsidRDefault="004A5D25" w:rsidP="005D2F67">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8" w:history="1">
            <w:r w:rsidR="005D2F67" w:rsidRPr="005D2F67">
              <w:rPr>
                <w:rStyle w:val="Hyperlink"/>
                <w:rFonts w:ascii="Arial" w:hAnsi="Arial" w:cs="Arial"/>
                <w:noProof/>
                <w:sz w:val="22"/>
                <w:szCs w:val="22"/>
              </w:rPr>
              <w:t>Conclusion</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_Toc234464058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1</w:t>
            </w:r>
            <w:r w:rsidR="005D2F67" w:rsidRPr="005D2F67">
              <w:rPr>
                <w:rFonts w:ascii="Arial" w:hAnsi="Arial" w:cs="Arial"/>
                <w:noProof/>
                <w:webHidden/>
                <w:sz w:val="22"/>
                <w:szCs w:val="22"/>
              </w:rPr>
              <w:fldChar w:fldCharType="end"/>
            </w:r>
          </w:hyperlink>
        </w:p>
        <w:p w14:paraId="7804EB13" w14:textId="2D8E1085" w:rsidR="005D2F67" w:rsidRPr="005D2F67" w:rsidRDefault="004A5D25" w:rsidP="005D2F67">
          <w:pPr>
            <w:pStyle w:val="TOC2"/>
            <w:tabs>
              <w:tab w:val="right" w:leader="dot" w:pos="9016"/>
            </w:tabs>
            <w:spacing w:line="360" w:lineRule="auto"/>
            <w:jc w:val="both"/>
            <w:rPr>
              <w:rFonts w:ascii="Arial" w:eastAsiaTheme="minorEastAsia" w:hAnsi="Arial" w:cs="Arial"/>
              <w:noProof/>
              <w:kern w:val="2"/>
              <w:sz w:val="22"/>
              <w:szCs w:val="22"/>
              <w14:ligatures w14:val="standardContextual"/>
            </w:rPr>
          </w:pPr>
          <w:hyperlink w:anchor="_Toc234464059" w:history="1">
            <w:r w:rsidR="005D2F67" w:rsidRPr="005D2F67">
              <w:rPr>
                <w:rStyle w:val="Hyperlink"/>
                <w:rFonts w:ascii="Arial" w:hAnsi="Arial" w:cs="Arial"/>
                <w:noProof/>
                <w:sz w:val="22"/>
                <w:szCs w:val="22"/>
              </w:rPr>
              <w:t>References</w:t>
            </w:r>
            <w:r w:rsidR="005D2F67" w:rsidRPr="005D2F67">
              <w:rPr>
                <w:rFonts w:ascii="Arial" w:hAnsi="Arial" w:cs="Arial"/>
                <w:noProof/>
                <w:webHidden/>
                <w:sz w:val="22"/>
                <w:szCs w:val="22"/>
              </w:rPr>
              <w:tab/>
            </w:r>
            <w:r w:rsidR="005D2F67" w:rsidRPr="005D2F67">
              <w:rPr>
                <w:rFonts w:ascii="Arial" w:hAnsi="Arial" w:cs="Arial"/>
                <w:noProof/>
                <w:webHidden/>
                <w:sz w:val="22"/>
                <w:szCs w:val="22"/>
              </w:rPr>
              <w:fldChar w:fldCharType="begin"/>
            </w:r>
            <w:r w:rsidR="005D2F67" w:rsidRPr="005D2F67">
              <w:rPr>
                <w:rFonts w:ascii="Arial" w:hAnsi="Arial" w:cs="Arial"/>
                <w:noProof/>
                <w:webHidden/>
                <w:sz w:val="22"/>
                <w:szCs w:val="22"/>
              </w:rPr>
              <w:instrText xml:space="preserve"> PAGEREF _Toc234464059 \h </w:instrText>
            </w:r>
            <w:r w:rsidR="005D2F67" w:rsidRPr="005D2F67">
              <w:rPr>
                <w:rFonts w:ascii="Arial" w:hAnsi="Arial" w:cs="Arial"/>
                <w:noProof/>
                <w:webHidden/>
                <w:sz w:val="22"/>
                <w:szCs w:val="22"/>
              </w:rPr>
            </w:r>
            <w:r w:rsidR="005D2F67" w:rsidRPr="005D2F67">
              <w:rPr>
                <w:rFonts w:ascii="Arial" w:hAnsi="Arial" w:cs="Arial"/>
                <w:noProof/>
                <w:webHidden/>
                <w:sz w:val="22"/>
                <w:szCs w:val="22"/>
              </w:rPr>
              <w:fldChar w:fldCharType="separate"/>
            </w:r>
            <w:r w:rsidR="005D2F67" w:rsidRPr="005D2F67">
              <w:rPr>
                <w:rFonts w:ascii="Arial" w:hAnsi="Arial" w:cs="Arial"/>
                <w:noProof/>
                <w:webHidden/>
                <w:sz w:val="22"/>
                <w:szCs w:val="22"/>
              </w:rPr>
              <w:t>1</w:t>
            </w:r>
            <w:r w:rsidR="005D2F67" w:rsidRPr="005D2F67">
              <w:rPr>
                <w:rFonts w:ascii="Arial" w:hAnsi="Arial" w:cs="Arial"/>
                <w:noProof/>
                <w:webHidden/>
                <w:sz w:val="22"/>
                <w:szCs w:val="22"/>
              </w:rPr>
              <w:fldChar w:fldCharType="end"/>
            </w:r>
          </w:hyperlink>
        </w:p>
        <w:p w14:paraId="35B2C837" w14:textId="6FBB2405" w:rsidR="00EB6C24" w:rsidRDefault="00EB6C24" w:rsidP="005D2F67">
          <w:pPr>
            <w:spacing w:line="360" w:lineRule="auto"/>
            <w:jc w:val="both"/>
          </w:pPr>
          <w:r w:rsidRPr="005D2F67">
            <w:rPr>
              <w:rFonts w:ascii="Arial" w:hAnsi="Arial" w:cs="Arial"/>
              <w:b/>
              <w:bCs/>
              <w:sz w:val="22"/>
              <w:szCs w:val="22"/>
            </w:rPr>
            <w:fldChar w:fldCharType="end"/>
          </w:r>
        </w:p>
      </w:sdtContent>
    </w:sdt>
    <w:p w14:paraId="4AADF00F" w14:textId="7162D974" w:rsidR="00BE73D2" w:rsidRDefault="00BE73D2" w:rsidP="00330431">
      <w:pPr>
        <w:sectPr w:rsidR="00BE73D2" w:rsidSect="00BE73D2">
          <w:footerReference w:type="default" r:id="rId8"/>
          <w:pgSz w:w="11906" w:h="16838"/>
          <w:pgMar w:top="1440" w:right="1440" w:bottom="1440" w:left="1440" w:header="706" w:footer="706" w:gutter="0"/>
          <w:pgNumType w:start="0"/>
          <w:cols w:space="720"/>
          <w:titlePg/>
          <w:docGrid w:linePitch="360"/>
        </w:sectPr>
      </w:pPr>
    </w:p>
    <w:p w14:paraId="4C95B6F4" w14:textId="53174D03" w:rsidR="00BE73D2" w:rsidRDefault="00BE73D2" w:rsidP="00BE73D2">
      <w:pPr>
        <w:pStyle w:val="Heading1"/>
      </w:pPr>
      <w:bookmarkStart w:id="1" w:name="_Toc234464052"/>
      <w:r>
        <w:lastRenderedPageBreak/>
        <w:t>Task 1:</w:t>
      </w:r>
      <w:r w:rsidR="00330431">
        <w:t xml:space="preserve"> Poster: Pharmacy Services in the UK</w:t>
      </w:r>
      <w:bookmarkEnd w:id="1"/>
    </w:p>
    <w:tbl>
      <w:tblPr>
        <w:tblW w:w="10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393"/>
        <w:gridCol w:w="5393"/>
      </w:tblGrid>
      <w:tr w:rsidR="00D33326" w14:paraId="2B92E3B5" w14:textId="77777777">
        <w:trPr>
          <w:cantSplit/>
        </w:trPr>
        <w:tc>
          <w:tcPr>
            <w:tcW w:w="10786" w:type="dxa"/>
            <w:gridSpan w:val="2"/>
            <w:shd w:val="clear" w:color="auto" w:fill="0F766E"/>
            <w:tcMar>
              <w:top w:w="90" w:type="dxa"/>
              <w:left w:w="130" w:type="dxa"/>
              <w:bottom w:w="90" w:type="dxa"/>
              <w:right w:w="130" w:type="dxa"/>
            </w:tcMar>
          </w:tcPr>
          <w:p w14:paraId="75BD751B" w14:textId="77777777" w:rsidR="00D33326" w:rsidRPr="00330431" w:rsidRDefault="004A5D25">
            <w:pPr>
              <w:spacing w:after="60" w:line="258" w:lineRule="auto"/>
              <w:rPr>
                <w:rFonts w:ascii="Arial" w:hAnsi="Arial" w:cs="Arial"/>
              </w:rPr>
            </w:pPr>
            <w:r w:rsidRPr="00330431">
              <w:rPr>
                <w:rFonts w:ascii="Arial" w:hAnsi="Arial" w:cs="Arial"/>
                <w:b/>
                <w:bCs/>
                <w:color w:val="FFFFFF"/>
                <w:sz w:val="30"/>
                <w:szCs w:val="30"/>
              </w:rPr>
              <w:t>Pharmacy Services in the UK</w:t>
            </w:r>
          </w:p>
          <w:p w14:paraId="00428B24" w14:textId="77777777" w:rsidR="00D33326" w:rsidRPr="00330431" w:rsidRDefault="004A5D25">
            <w:pPr>
              <w:spacing w:after="100" w:line="258" w:lineRule="auto"/>
              <w:rPr>
                <w:rFonts w:ascii="Arial" w:hAnsi="Arial" w:cs="Arial"/>
              </w:rPr>
            </w:pPr>
            <w:r w:rsidRPr="00330431">
              <w:rPr>
                <w:rFonts w:ascii="Arial" w:hAnsi="Arial" w:cs="Arial"/>
                <w:i/>
                <w:iCs/>
                <w:color w:val="E9EEF5"/>
              </w:rPr>
              <w:t>Role, Development and Current Challenges</w:t>
            </w:r>
          </w:p>
          <w:p w14:paraId="13E0A126" w14:textId="77777777" w:rsidR="00D33326" w:rsidRPr="00330431" w:rsidRDefault="004A5D25">
            <w:pPr>
              <w:spacing w:line="258" w:lineRule="auto"/>
              <w:rPr>
                <w:rFonts w:ascii="Arial" w:hAnsi="Arial" w:cs="Arial"/>
              </w:rPr>
            </w:pPr>
            <w:r w:rsidRPr="00330431">
              <w:rPr>
                <w:rFonts w:ascii="Arial" w:hAnsi="Arial" w:cs="Arial"/>
                <w:color w:val="D8DEE8"/>
                <w:sz w:val="17"/>
                <w:szCs w:val="17"/>
              </w:rPr>
              <w:t xml:space="preserve">[Your Name]  |  </w:t>
            </w:r>
            <w:r w:rsidRPr="00330431">
              <w:rPr>
                <w:rFonts w:ascii="Arial" w:hAnsi="Arial" w:cs="Arial"/>
                <w:color w:val="D8DEE8"/>
                <w:sz w:val="17"/>
                <w:szCs w:val="17"/>
              </w:rPr>
              <w:t>[Student ID]  |  LCHS4003</w:t>
            </w:r>
          </w:p>
        </w:tc>
      </w:tr>
      <w:tr w:rsidR="00D33326" w14:paraId="5DC674B7" w14:textId="77777777">
        <w:trPr>
          <w:cantSplit/>
        </w:trPr>
        <w:tc>
          <w:tcPr>
            <w:tcW w:w="5393" w:type="dxa"/>
            <w:tcBorders>
              <w:top w:val="single" w:sz="4" w:space="0" w:color="0F766E"/>
              <w:left w:val="single" w:sz="4" w:space="0" w:color="0F766E"/>
              <w:bottom w:val="single" w:sz="4" w:space="0" w:color="0F766E"/>
              <w:right w:val="single" w:sz="4" w:space="0" w:color="0F766E"/>
            </w:tcBorders>
            <w:shd w:val="clear" w:color="auto" w:fill="FFFFFF"/>
            <w:tcMar>
              <w:top w:w="90" w:type="dxa"/>
              <w:left w:w="130" w:type="dxa"/>
              <w:bottom w:w="90" w:type="dxa"/>
              <w:right w:w="130" w:type="dxa"/>
            </w:tcMar>
          </w:tcPr>
          <w:p w14:paraId="3D3661BD" w14:textId="77777777" w:rsidR="00D33326" w:rsidRPr="00330431" w:rsidRDefault="004A5D25">
            <w:pPr>
              <w:spacing w:after="100"/>
              <w:rPr>
                <w:rFonts w:ascii="Arial" w:hAnsi="Arial" w:cs="Arial"/>
              </w:rPr>
            </w:pPr>
            <w:r w:rsidRPr="00330431">
              <w:rPr>
                <w:rFonts w:ascii="Arial" w:hAnsi="Arial" w:cs="Arial"/>
                <w:b/>
                <w:bCs/>
                <w:color w:val="0F766E"/>
                <w:sz w:val="19"/>
                <w:szCs w:val="19"/>
              </w:rPr>
              <w:t>WHAT IS THE SERVICE?</w:t>
            </w:r>
          </w:p>
          <w:p w14:paraId="6A506A8C" w14:textId="77777777" w:rsidR="00D33326" w:rsidRPr="00330431" w:rsidRDefault="004A5D25" w:rsidP="00D22176">
            <w:pPr>
              <w:spacing w:after="100" w:line="258" w:lineRule="auto"/>
              <w:jc w:val="both"/>
              <w:rPr>
                <w:rFonts w:ascii="Arial" w:hAnsi="Arial" w:cs="Arial"/>
              </w:rPr>
            </w:pPr>
            <w:r w:rsidRPr="00330431">
              <w:rPr>
                <w:rFonts w:ascii="Arial" w:hAnsi="Arial" w:cs="Arial"/>
                <w:color w:val="1A1A1A"/>
              </w:rPr>
              <w:t>The selected health care service is a community pharmacy. This is a service that assists people by providing them with prescriptions, selling over-the-counter medications, and providing expert and confidentia</w:t>
            </w:r>
            <w:r w:rsidRPr="00330431">
              <w:rPr>
                <w:rFonts w:ascii="Arial" w:hAnsi="Arial" w:cs="Arial"/>
                <w:color w:val="1A1A1A"/>
              </w:rPr>
              <w:t>l health information, typically without appointment. It is delivered from high street premises, firmly rooted in the community, not a hospital or clinic and is one of the most accessible areas of the NHS. It's used by almost everyone at some stage, from pa</w:t>
            </w:r>
            <w:r w:rsidRPr="00330431">
              <w:rPr>
                <w:rFonts w:ascii="Arial" w:hAnsi="Arial" w:cs="Arial"/>
                <w:color w:val="1A1A1A"/>
              </w:rPr>
              <w:t>rents dealing with a coughing child, to older people who take multiple longer term medications. Pharmacists are very well trained clinicians having spent approximately 5 years studying medicines, minor illnesses and patient safety. Pharmacies are increasin</w:t>
            </w:r>
            <w:r w:rsidRPr="00330431">
              <w:rPr>
                <w:rFonts w:ascii="Arial" w:hAnsi="Arial" w:cs="Arial"/>
                <w:color w:val="1A1A1A"/>
              </w:rPr>
              <w:t>gly providing clinical services that would have traditionally been provided by GP surgeries such as dealing with common infections, running seasonal vaccination clinics, carrying out blood pressure monitoring, dispensing emergency contraception, and provid</w:t>
            </w:r>
            <w:r w:rsidRPr="00330431">
              <w:rPr>
                <w:rFonts w:ascii="Arial" w:hAnsi="Arial" w:cs="Arial"/>
                <w:color w:val="1A1A1A"/>
              </w:rPr>
              <w:t>ing post-hospital care. There are currently slightly more than 10,500 community pharmacies operating under a single national NHS contract in England (House of Commons Library, 2025).</w:t>
            </w:r>
          </w:p>
          <w:p w14:paraId="2A14635D" w14:textId="7C74E787" w:rsidR="00D33326" w:rsidRPr="00330431" w:rsidRDefault="00D22176">
            <w:pPr>
              <w:spacing w:after="20"/>
              <w:jc w:val="center"/>
              <w:rPr>
                <w:rFonts w:ascii="Arial" w:hAnsi="Arial" w:cs="Arial"/>
              </w:rPr>
            </w:pPr>
            <w:r w:rsidRPr="00330431">
              <w:rPr>
                <w:rFonts w:ascii="Arial" w:hAnsi="Arial" w:cs="Arial"/>
                <w:noProof/>
                <w:color w:val="1A1A1A"/>
                <w:lang w:val="en-US" w:eastAsia="en-US"/>
              </w:rPr>
              <w:drawing>
                <wp:inline distT="0" distB="0" distL="0" distR="0" wp14:anchorId="2BE31CCE" wp14:editId="28070E36">
                  <wp:extent cx="3133725" cy="1066800"/>
                  <wp:effectExtent l="0" t="0" r="0" b="0"/>
                  <wp:docPr id="117685341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34ACD7" w14:textId="77777777" w:rsidR="00D33326" w:rsidRPr="00330431" w:rsidRDefault="004A5D25">
            <w:pPr>
              <w:spacing w:after="60"/>
              <w:jc w:val="center"/>
              <w:rPr>
                <w:rFonts w:ascii="Arial" w:hAnsi="Arial" w:cs="Arial"/>
              </w:rPr>
            </w:pPr>
            <w:r w:rsidRPr="00330431">
              <w:rPr>
                <w:rFonts w:ascii="Arial" w:hAnsi="Arial" w:cs="Arial"/>
                <w:i/>
                <w:iCs/>
                <w:color w:val="666666"/>
                <w:sz w:val="13"/>
                <w:szCs w:val="13"/>
              </w:rPr>
              <w:t>Source: Department of Health and Social Care (2026).</w:t>
            </w:r>
          </w:p>
        </w:tc>
        <w:tc>
          <w:tcPr>
            <w:tcW w:w="5393" w:type="dxa"/>
            <w:tcBorders>
              <w:top w:val="single" w:sz="4" w:space="0" w:color="0F766E"/>
              <w:left w:val="single" w:sz="4" w:space="0" w:color="0F766E"/>
              <w:bottom w:val="single" w:sz="4" w:space="0" w:color="0F766E"/>
              <w:right w:val="single" w:sz="4" w:space="0" w:color="0F766E"/>
            </w:tcBorders>
            <w:shd w:val="clear" w:color="auto" w:fill="FFFFFF"/>
            <w:tcMar>
              <w:top w:w="90" w:type="dxa"/>
              <w:left w:w="130" w:type="dxa"/>
              <w:bottom w:w="90" w:type="dxa"/>
              <w:right w:w="130" w:type="dxa"/>
            </w:tcMar>
          </w:tcPr>
          <w:p w14:paraId="5ED7ADF0" w14:textId="77777777" w:rsidR="00D33326" w:rsidRPr="00330431" w:rsidRDefault="004A5D25">
            <w:pPr>
              <w:spacing w:after="100"/>
              <w:rPr>
                <w:rFonts w:ascii="Arial" w:hAnsi="Arial" w:cs="Arial"/>
              </w:rPr>
            </w:pPr>
            <w:r w:rsidRPr="00330431">
              <w:rPr>
                <w:rFonts w:ascii="Arial" w:hAnsi="Arial" w:cs="Arial"/>
                <w:b/>
                <w:bCs/>
                <w:color w:val="0F766E"/>
                <w:sz w:val="19"/>
                <w:szCs w:val="19"/>
              </w:rPr>
              <w:t>BRIEF HISTORY</w:t>
            </w:r>
          </w:p>
          <w:p w14:paraId="1338B784" w14:textId="77777777" w:rsidR="00D33326" w:rsidRPr="00330431" w:rsidRDefault="004A5D25" w:rsidP="00D22176">
            <w:pPr>
              <w:spacing w:after="80" w:line="258" w:lineRule="auto"/>
              <w:jc w:val="both"/>
              <w:rPr>
                <w:rFonts w:ascii="Arial" w:hAnsi="Arial" w:cs="Arial"/>
              </w:rPr>
            </w:pPr>
            <w:r w:rsidRPr="00330431">
              <w:rPr>
                <w:rFonts w:ascii="Arial" w:hAnsi="Arial" w:cs="Arial"/>
                <w:color w:val="1A1A1A"/>
              </w:rPr>
              <w:t xml:space="preserve">The </w:t>
            </w:r>
            <w:r w:rsidRPr="00330431">
              <w:rPr>
                <w:rFonts w:ascii="Arial" w:hAnsi="Arial" w:cs="Arial"/>
                <w:color w:val="1A1A1A"/>
              </w:rPr>
              <w:t>service has evolved over time to enable practitioners to utilise the clinical skills of pharmacists to the fullest extent, beyond mere counting and labelling of medicines.</w:t>
            </w:r>
          </w:p>
          <w:p w14:paraId="01E508F1" w14:textId="5993C537" w:rsidR="00D33326" w:rsidRPr="00330431" w:rsidRDefault="004A5D25" w:rsidP="00D22176">
            <w:pPr>
              <w:pStyle w:val="ListParagraph"/>
              <w:numPr>
                <w:ilvl w:val="0"/>
                <w:numId w:val="2"/>
              </w:numPr>
              <w:spacing w:after="40" w:line="258" w:lineRule="auto"/>
              <w:jc w:val="both"/>
              <w:rPr>
                <w:rFonts w:ascii="Arial" w:hAnsi="Arial" w:cs="Arial"/>
              </w:rPr>
            </w:pPr>
            <w:r w:rsidRPr="00330431">
              <w:rPr>
                <w:rFonts w:ascii="Arial" w:hAnsi="Arial" w:cs="Arial"/>
                <w:b/>
                <w:bCs/>
                <w:color w:val="1A1A1A"/>
              </w:rPr>
              <w:t>Traditionally:</w:t>
            </w:r>
            <w:r w:rsidRPr="00330431">
              <w:rPr>
                <w:rFonts w:ascii="Arial" w:hAnsi="Arial" w:cs="Arial"/>
                <w:color w:val="1A1A1A"/>
              </w:rPr>
              <w:t xml:space="preserve"> Pharmacy was primarily oriented towards delivery of medicine, with li</w:t>
            </w:r>
            <w:r w:rsidRPr="00330431">
              <w:rPr>
                <w:rFonts w:ascii="Arial" w:hAnsi="Arial" w:cs="Arial"/>
                <w:color w:val="1A1A1A"/>
              </w:rPr>
              <w:t>mited formal clinical involvement.</w:t>
            </w:r>
          </w:p>
          <w:p w14:paraId="4A94ABB0" w14:textId="7DA79B96" w:rsidR="00D33326" w:rsidRPr="00330431" w:rsidRDefault="004A5D25" w:rsidP="00D22176">
            <w:pPr>
              <w:pStyle w:val="ListParagraph"/>
              <w:numPr>
                <w:ilvl w:val="0"/>
                <w:numId w:val="2"/>
              </w:numPr>
              <w:spacing w:after="40" w:line="258" w:lineRule="auto"/>
              <w:jc w:val="both"/>
              <w:rPr>
                <w:rFonts w:ascii="Arial" w:hAnsi="Arial" w:cs="Arial"/>
              </w:rPr>
            </w:pPr>
            <w:r w:rsidRPr="00330431">
              <w:rPr>
                <w:rFonts w:ascii="Arial" w:hAnsi="Arial" w:cs="Arial"/>
                <w:b/>
                <w:bCs/>
                <w:color w:val="1A1A1A"/>
              </w:rPr>
              <w:t>2005:</w:t>
            </w:r>
            <w:r w:rsidRPr="00330431">
              <w:rPr>
                <w:rFonts w:ascii="Arial" w:hAnsi="Arial" w:cs="Arial"/>
                <w:color w:val="1A1A1A"/>
              </w:rPr>
              <w:t xml:space="preserve"> a new contractual arrangement for the whole country was established, which included 'essential', 'advanced' and 'enhanced' service tiers and acknowledged pharmacies as advice providers, not just medicine suppliers.</w:t>
            </w:r>
          </w:p>
          <w:p w14:paraId="448B6A3D" w14:textId="42C1CAEE" w:rsidR="00D33326" w:rsidRPr="00330431" w:rsidRDefault="004A5D25" w:rsidP="00D22176">
            <w:pPr>
              <w:pStyle w:val="ListParagraph"/>
              <w:numPr>
                <w:ilvl w:val="0"/>
                <w:numId w:val="2"/>
              </w:numPr>
              <w:spacing w:after="40" w:line="258" w:lineRule="auto"/>
              <w:jc w:val="both"/>
              <w:rPr>
                <w:rFonts w:ascii="Arial" w:hAnsi="Arial" w:cs="Arial"/>
              </w:rPr>
            </w:pPr>
            <w:r w:rsidRPr="00330431">
              <w:rPr>
                <w:rFonts w:ascii="Arial" w:hAnsi="Arial" w:cs="Arial"/>
                <w:b/>
                <w:bCs/>
                <w:color w:val="1A1A1A"/>
              </w:rPr>
              <w:t xml:space="preserve">2019: </w:t>
            </w:r>
            <w:r w:rsidRPr="00330431">
              <w:rPr>
                <w:rFonts w:ascii="Arial" w:hAnsi="Arial" w:cs="Arial"/>
                <w:color w:val="1A1A1A"/>
              </w:rPr>
              <w:t>the Community Pharmacist Consultation Service enabled GP Practices and NHS 111 to divert cases of minor illness cases straight to a pharmacist.</w:t>
            </w:r>
          </w:p>
          <w:p w14:paraId="337774D6" w14:textId="62438203" w:rsidR="00D33326" w:rsidRPr="00330431" w:rsidRDefault="004A5D25" w:rsidP="00D22176">
            <w:pPr>
              <w:pStyle w:val="ListParagraph"/>
              <w:numPr>
                <w:ilvl w:val="0"/>
                <w:numId w:val="2"/>
              </w:numPr>
              <w:spacing w:after="40" w:line="258" w:lineRule="auto"/>
              <w:jc w:val="both"/>
              <w:rPr>
                <w:rFonts w:ascii="Arial" w:hAnsi="Arial" w:cs="Arial"/>
              </w:rPr>
            </w:pPr>
            <w:r w:rsidRPr="00330431">
              <w:rPr>
                <w:rFonts w:ascii="Arial" w:hAnsi="Arial" w:cs="Arial"/>
                <w:b/>
                <w:bCs/>
                <w:color w:val="1A1A1A"/>
              </w:rPr>
              <w:t>2024:</w:t>
            </w:r>
            <w:r w:rsidRPr="00330431">
              <w:rPr>
                <w:rFonts w:ascii="Arial" w:hAnsi="Arial" w:cs="Arial"/>
                <w:color w:val="1A1A1A"/>
              </w:rPr>
              <w:t xml:space="preserve"> Pharmacy </w:t>
            </w:r>
            <w:proofErr w:type="gramStart"/>
            <w:r w:rsidRPr="00330431">
              <w:rPr>
                <w:rFonts w:ascii="Arial" w:hAnsi="Arial" w:cs="Arial"/>
                <w:color w:val="1A1A1A"/>
              </w:rPr>
              <w:t>First</w:t>
            </w:r>
            <w:proofErr w:type="gramEnd"/>
            <w:r w:rsidRPr="00330431">
              <w:rPr>
                <w:rFonts w:ascii="Arial" w:hAnsi="Arial" w:cs="Arial"/>
                <w:color w:val="1A1A1A"/>
              </w:rPr>
              <w:t xml:space="preserve"> starts on 31 January, which will allow pharmacists to provide prescription-only treat</w:t>
            </w:r>
            <w:r w:rsidRPr="00330431">
              <w:rPr>
                <w:rFonts w:ascii="Arial" w:hAnsi="Arial" w:cs="Arial"/>
                <w:color w:val="1A1A1A"/>
              </w:rPr>
              <w:t>ment directly for seven common conditions without a GP referral.</w:t>
            </w:r>
          </w:p>
          <w:p w14:paraId="08CA04F2" w14:textId="68055F11" w:rsidR="00D33326" w:rsidRPr="00330431" w:rsidRDefault="004A5D25" w:rsidP="00D22176">
            <w:pPr>
              <w:pStyle w:val="ListParagraph"/>
              <w:numPr>
                <w:ilvl w:val="0"/>
                <w:numId w:val="2"/>
              </w:numPr>
              <w:spacing w:after="40" w:line="258" w:lineRule="auto"/>
              <w:jc w:val="both"/>
              <w:rPr>
                <w:rFonts w:ascii="Arial" w:hAnsi="Arial" w:cs="Arial"/>
              </w:rPr>
            </w:pPr>
            <w:r w:rsidRPr="00330431">
              <w:rPr>
                <w:rFonts w:ascii="Arial" w:hAnsi="Arial" w:cs="Arial"/>
                <w:b/>
                <w:bCs/>
                <w:color w:val="1A1A1A"/>
              </w:rPr>
              <w:t>2026 onwards:</w:t>
            </w:r>
            <w:r w:rsidRPr="00330431">
              <w:rPr>
                <w:rFonts w:ascii="Arial" w:hAnsi="Arial" w:cs="Arial"/>
                <w:color w:val="1A1A1A"/>
              </w:rPr>
              <w:t xml:space="preserve"> independent prescribing is a national roll-out in the autumn of 2026, allowing more qualified pharmacists to prescribe for more conditions.</w:t>
            </w:r>
          </w:p>
          <w:p w14:paraId="492C6B2A" w14:textId="2A8820C4" w:rsidR="00D33326" w:rsidRPr="00330431" w:rsidRDefault="00D22176">
            <w:pPr>
              <w:spacing w:after="20"/>
              <w:jc w:val="center"/>
              <w:rPr>
                <w:rFonts w:ascii="Arial" w:hAnsi="Arial" w:cs="Arial"/>
              </w:rPr>
            </w:pPr>
            <w:r w:rsidRPr="00330431">
              <w:rPr>
                <w:rFonts w:ascii="Arial" w:hAnsi="Arial" w:cs="Arial"/>
                <w:noProof/>
                <w:lang w:val="en-US" w:eastAsia="en-US"/>
              </w:rPr>
              <w:drawing>
                <wp:inline distT="0" distB="0" distL="0" distR="0" wp14:anchorId="435DC962" wp14:editId="482316CF">
                  <wp:extent cx="3182112" cy="681990"/>
                  <wp:effectExtent l="0" t="0" r="0" b="137160"/>
                  <wp:docPr id="2395386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8180D63" w14:textId="052EE25D" w:rsidR="00D33326" w:rsidRPr="00330431" w:rsidRDefault="004A5D25">
            <w:pPr>
              <w:spacing w:after="60"/>
              <w:jc w:val="center"/>
              <w:rPr>
                <w:rFonts w:ascii="Arial" w:hAnsi="Arial" w:cs="Arial"/>
              </w:rPr>
            </w:pPr>
            <w:r w:rsidRPr="00330431">
              <w:rPr>
                <w:rFonts w:ascii="Arial" w:hAnsi="Arial" w:cs="Arial"/>
                <w:i/>
                <w:iCs/>
                <w:color w:val="666666"/>
                <w:sz w:val="13"/>
                <w:szCs w:val="13"/>
              </w:rPr>
              <w:t>Source: Compiled from House of Comm</w:t>
            </w:r>
            <w:r w:rsidRPr="00330431">
              <w:rPr>
                <w:rFonts w:ascii="Arial" w:hAnsi="Arial" w:cs="Arial"/>
                <w:i/>
                <w:iCs/>
                <w:color w:val="666666"/>
                <w:sz w:val="13"/>
                <w:szCs w:val="13"/>
              </w:rPr>
              <w:t>ons Library (2026).</w:t>
            </w:r>
          </w:p>
        </w:tc>
      </w:tr>
      <w:tr w:rsidR="00D33326" w14:paraId="6489D1D6" w14:textId="77777777">
        <w:trPr>
          <w:cantSplit/>
        </w:trPr>
        <w:tc>
          <w:tcPr>
            <w:tcW w:w="10786" w:type="dxa"/>
            <w:gridSpan w:val="2"/>
            <w:tcBorders>
              <w:top w:val="single" w:sz="4" w:space="0" w:color="0F766E"/>
              <w:left w:val="single" w:sz="4" w:space="0" w:color="0F766E"/>
              <w:bottom w:val="single" w:sz="4" w:space="0" w:color="0F766E"/>
              <w:right w:val="single" w:sz="4" w:space="0" w:color="0F766E"/>
            </w:tcBorders>
            <w:shd w:val="clear" w:color="auto" w:fill="FFFFFF"/>
            <w:tcMar>
              <w:top w:w="90" w:type="dxa"/>
              <w:left w:w="130" w:type="dxa"/>
              <w:bottom w:w="90" w:type="dxa"/>
              <w:right w:w="130" w:type="dxa"/>
            </w:tcMar>
          </w:tcPr>
          <w:p w14:paraId="217883F2" w14:textId="77777777" w:rsidR="00D33326" w:rsidRPr="00330431" w:rsidRDefault="004A5D25">
            <w:pPr>
              <w:spacing w:after="100"/>
              <w:rPr>
                <w:rFonts w:ascii="Arial" w:hAnsi="Arial" w:cs="Arial"/>
              </w:rPr>
            </w:pPr>
            <w:r w:rsidRPr="00330431">
              <w:rPr>
                <w:rFonts w:ascii="Arial" w:hAnsi="Arial" w:cs="Arial"/>
                <w:b/>
                <w:bCs/>
                <w:color w:val="0F766E"/>
                <w:sz w:val="19"/>
                <w:szCs w:val="19"/>
              </w:rPr>
              <w:lastRenderedPageBreak/>
              <w:t>HOW IT WORKS TODAY</w:t>
            </w:r>
          </w:p>
          <w:p w14:paraId="276AB13C" w14:textId="77777777" w:rsidR="00D33326" w:rsidRPr="00330431" w:rsidRDefault="004A5D25" w:rsidP="002B3CEB">
            <w:pPr>
              <w:spacing w:after="100" w:line="258" w:lineRule="auto"/>
              <w:jc w:val="both"/>
              <w:rPr>
                <w:rFonts w:ascii="Arial" w:hAnsi="Arial" w:cs="Arial"/>
              </w:rPr>
            </w:pPr>
            <w:r w:rsidRPr="00330431">
              <w:rPr>
                <w:rFonts w:ascii="Arial" w:hAnsi="Arial" w:cs="Arial"/>
                <w:color w:val="1A1A1A"/>
              </w:rPr>
              <w:t xml:space="preserve">Patients today can pop into a participating pharmacy and receive an assessment for seven common conditions, including sinusitis, sore throat, earache, infected insect bites, impetigo, shingles and uncomplicated UTI </w:t>
            </w:r>
            <w:r w:rsidRPr="00330431">
              <w:rPr>
                <w:rFonts w:ascii="Arial" w:hAnsi="Arial" w:cs="Arial"/>
                <w:color w:val="1A1A1A"/>
              </w:rPr>
              <w:t>(urinary tract infection) in women without having to see a GP first. Care is also joined up, with pharmacists able to get e-referrals straight from GP surgeries, NHS 111 and urgent care services. The pharmacy informs the GP the same or following working da</w:t>
            </w:r>
            <w:r w:rsidRPr="00330431">
              <w:rPr>
                <w:rFonts w:ascii="Arial" w:hAnsi="Arial" w:cs="Arial"/>
                <w:color w:val="1A1A1A"/>
              </w:rPr>
              <w:t>y after a consultation, so that records are accurate and complete. The uptake has rapidly expanded; from March 2025 to February 2026, more than 3.3 million Pharmacy First consultations were delivered, 43% higher than in the previous year, and approximately</w:t>
            </w:r>
            <w:r w:rsidRPr="00330431">
              <w:rPr>
                <w:rFonts w:ascii="Arial" w:hAnsi="Arial" w:cs="Arial"/>
                <w:color w:val="1A1A1A"/>
              </w:rPr>
              <w:t xml:space="preserve"> 86% of patients were satisfied with the service (Department of Health and Social Care, 2026). The concept of the pharmacist as a first point of contact in the primary care system will be further enhanced from autumn 2026 when pharmacists with independent </w:t>
            </w:r>
            <w:r w:rsidRPr="00330431">
              <w:rPr>
                <w:rFonts w:ascii="Arial" w:hAnsi="Arial" w:cs="Arial"/>
                <w:color w:val="1A1A1A"/>
              </w:rPr>
              <w:t>prescribing qualifications will be able to assess and prescribe themselves for an even broader range of conditions.</w:t>
            </w:r>
          </w:p>
          <w:p w14:paraId="431E07DD" w14:textId="45B0E963" w:rsidR="00D33326" w:rsidRPr="00330431" w:rsidRDefault="00444C61">
            <w:pPr>
              <w:spacing w:after="20"/>
              <w:jc w:val="center"/>
              <w:rPr>
                <w:rFonts w:ascii="Arial" w:hAnsi="Arial" w:cs="Arial"/>
              </w:rPr>
            </w:pPr>
            <w:r w:rsidRPr="00330431">
              <w:rPr>
                <w:rFonts w:ascii="Arial" w:hAnsi="Arial" w:cs="Arial"/>
                <w:noProof/>
                <w:color w:val="006666"/>
                <w:lang w:val="en-US" w:eastAsia="en-US"/>
              </w:rPr>
              <w:drawing>
                <wp:inline distT="0" distB="0" distL="0" distR="0" wp14:anchorId="2EF64E96" wp14:editId="17A1AF52">
                  <wp:extent cx="4114800" cy="1718441"/>
                  <wp:effectExtent l="0" t="0" r="0" b="15240"/>
                  <wp:docPr id="141416701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220848C" w14:textId="77777777" w:rsidR="00D33326" w:rsidRPr="00330431" w:rsidRDefault="004A5D25">
            <w:pPr>
              <w:spacing w:after="60"/>
              <w:jc w:val="center"/>
              <w:rPr>
                <w:rFonts w:ascii="Arial" w:hAnsi="Arial" w:cs="Arial"/>
              </w:rPr>
            </w:pPr>
            <w:r w:rsidRPr="00330431">
              <w:rPr>
                <w:rFonts w:ascii="Arial" w:hAnsi="Arial" w:cs="Arial"/>
                <w:i/>
                <w:iCs/>
                <w:color w:val="666666"/>
                <w:sz w:val="13"/>
                <w:szCs w:val="13"/>
              </w:rPr>
              <w:t>Source: Department of Health and Social Care (2026).</w:t>
            </w:r>
          </w:p>
        </w:tc>
      </w:tr>
      <w:tr w:rsidR="00D33326" w14:paraId="0864210F" w14:textId="77777777">
        <w:trPr>
          <w:cantSplit/>
        </w:trPr>
        <w:tc>
          <w:tcPr>
            <w:tcW w:w="10786" w:type="dxa"/>
            <w:gridSpan w:val="2"/>
            <w:tcBorders>
              <w:top w:val="single" w:sz="4" w:space="0" w:color="0F766E"/>
              <w:left w:val="single" w:sz="4" w:space="0" w:color="0F766E"/>
              <w:bottom w:val="single" w:sz="4" w:space="0" w:color="0F766E"/>
              <w:right w:val="single" w:sz="4" w:space="0" w:color="0F766E"/>
            </w:tcBorders>
            <w:shd w:val="clear" w:color="auto" w:fill="FFFFFF"/>
            <w:tcMar>
              <w:top w:w="100" w:type="dxa"/>
              <w:left w:w="140" w:type="dxa"/>
              <w:bottom w:w="40" w:type="dxa"/>
              <w:right w:w="140" w:type="dxa"/>
            </w:tcMar>
          </w:tcPr>
          <w:p w14:paraId="1643FD00" w14:textId="517096EE" w:rsidR="00D33326" w:rsidRPr="00330431" w:rsidRDefault="006F3854">
            <w:pPr>
              <w:spacing w:after="100"/>
              <w:rPr>
                <w:rFonts w:ascii="Arial" w:hAnsi="Arial" w:cs="Arial"/>
              </w:rPr>
            </w:pPr>
            <w:r w:rsidRPr="00330431">
              <w:rPr>
                <w:rFonts w:ascii="Arial" w:hAnsi="Arial" w:cs="Arial"/>
                <w:noProof/>
                <w:color w:val="006666"/>
                <w:lang w:val="en-US" w:eastAsia="en-US"/>
              </w:rPr>
              <w:drawing>
                <wp:anchor distT="0" distB="0" distL="114300" distR="114300" simplePos="0" relativeHeight="251659264" behindDoc="1" locked="0" layoutInCell="1" allowOverlap="1" wp14:anchorId="729F36C6" wp14:editId="4B042DE8">
                  <wp:simplePos x="0" y="0"/>
                  <wp:positionH relativeFrom="column">
                    <wp:posOffset>1329055</wp:posOffset>
                  </wp:positionH>
                  <wp:positionV relativeFrom="paragraph">
                    <wp:posOffset>195580</wp:posOffset>
                  </wp:positionV>
                  <wp:extent cx="4019550" cy="1802765"/>
                  <wp:effectExtent l="0" t="0" r="0" b="6985"/>
                  <wp:wrapTight wrapText="bothSides">
                    <wp:wrapPolygon edited="0">
                      <wp:start x="0" y="0"/>
                      <wp:lineTo x="0" y="21455"/>
                      <wp:lineTo x="21498" y="21455"/>
                      <wp:lineTo x="21498" y="0"/>
                      <wp:lineTo x="0" y="0"/>
                    </wp:wrapPolygon>
                  </wp:wrapTight>
                  <wp:docPr id="176470374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Pr="00330431">
              <w:rPr>
                <w:rFonts w:ascii="Arial" w:hAnsi="Arial" w:cs="Arial"/>
                <w:b/>
                <w:bCs/>
                <w:color w:val="0F766E"/>
                <w:sz w:val="19"/>
                <w:szCs w:val="19"/>
              </w:rPr>
              <w:t>TWO CURRENT CHALLENGES</w:t>
            </w:r>
          </w:p>
          <w:p w14:paraId="1712F783" w14:textId="7F2BE156" w:rsidR="006F3854" w:rsidRPr="00330431" w:rsidRDefault="006F3854" w:rsidP="006F3854">
            <w:pPr>
              <w:spacing w:after="20"/>
              <w:rPr>
                <w:rFonts w:ascii="Arial" w:hAnsi="Arial" w:cs="Arial"/>
              </w:rPr>
            </w:pPr>
          </w:p>
          <w:p w14:paraId="53EFCBDA" w14:textId="061460EC" w:rsidR="006F3854" w:rsidRPr="00330431" w:rsidRDefault="006F3854">
            <w:pPr>
              <w:spacing w:after="60"/>
              <w:jc w:val="center"/>
              <w:rPr>
                <w:rFonts w:ascii="Arial" w:hAnsi="Arial" w:cs="Arial"/>
                <w:i/>
                <w:iCs/>
                <w:color w:val="666666"/>
                <w:sz w:val="13"/>
                <w:szCs w:val="13"/>
              </w:rPr>
            </w:pPr>
          </w:p>
          <w:p w14:paraId="25353402" w14:textId="77777777" w:rsidR="006F3854" w:rsidRPr="00330431" w:rsidRDefault="006F3854">
            <w:pPr>
              <w:spacing w:after="60"/>
              <w:jc w:val="center"/>
              <w:rPr>
                <w:rFonts w:ascii="Arial" w:hAnsi="Arial" w:cs="Arial"/>
                <w:i/>
                <w:iCs/>
                <w:color w:val="666666"/>
                <w:sz w:val="13"/>
                <w:szCs w:val="13"/>
              </w:rPr>
            </w:pPr>
          </w:p>
          <w:p w14:paraId="28D49B19" w14:textId="77777777" w:rsidR="006F3854" w:rsidRPr="00330431" w:rsidRDefault="006F3854">
            <w:pPr>
              <w:spacing w:after="60"/>
              <w:jc w:val="center"/>
              <w:rPr>
                <w:rFonts w:ascii="Arial" w:hAnsi="Arial" w:cs="Arial"/>
                <w:i/>
                <w:iCs/>
                <w:color w:val="666666"/>
                <w:sz w:val="13"/>
                <w:szCs w:val="13"/>
              </w:rPr>
            </w:pPr>
          </w:p>
          <w:p w14:paraId="0C4A5247" w14:textId="77777777" w:rsidR="006F3854" w:rsidRPr="00330431" w:rsidRDefault="006F3854">
            <w:pPr>
              <w:spacing w:after="60"/>
              <w:jc w:val="center"/>
              <w:rPr>
                <w:rFonts w:ascii="Arial" w:hAnsi="Arial" w:cs="Arial"/>
                <w:i/>
                <w:iCs/>
                <w:color w:val="666666"/>
                <w:sz w:val="13"/>
                <w:szCs w:val="13"/>
              </w:rPr>
            </w:pPr>
          </w:p>
          <w:p w14:paraId="1EAA8B5C" w14:textId="77777777" w:rsidR="006F3854" w:rsidRPr="00330431" w:rsidRDefault="006F3854">
            <w:pPr>
              <w:spacing w:after="60"/>
              <w:jc w:val="center"/>
              <w:rPr>
                <w:rFonts w:ascii="Arial" w:hAnsi="Arial" w:cs="Arial"/>
                <w:i/>
                <w:iCs/>
                <w:color w:val="666666"/>
                <w:sz w:val="13"/>
                <w:szCs w:val="13"/>
              </w:rPr>
            </w:pPr>
          </w:p>
          <w:p w14:paraId="1429B351" w14:textId="77777777" w:rsidR="006F3854" w:rsidRPr="00330431" w:rsidRDefault="006F3854">
            <w:pPr>
              <w:spacing w:after="60"/>
              <w:jc w:val="center"/>
              <w:rPr>
                <w:rFonts w:ascii="Arial" w:hAnsi="Arial" w:cs="Arial"/>
                <w:i/>
                <w:iCs/>
                <w:color w:val="666666"/>
                <w:sz w:val="13"/>
                <w:szCs w:val="13"/>
              </w:rPr>
            </w:pPr>
          </w:p>
          <w:p w14:paraId="4D53BECC" w14:textId="77777777" w:rsidR="006F3854" w:rsidRPr="00330431" w:rsidRDefault="006F3854">
            <w:pPr>
              <w:spacing w:after="60"/>
              <w:jc w:val="center"/>
              <w:rPr>
                <w:rFonts w:ascii="Arial" w:hAnsi="Arial" w:cs="Arial"/>
                <w:i/>
                <w:iCs/>
                <w:color w:val="666666"/>
                <w:sz w:val="13"/>
                <w:szCs w:val="13"/>
              </w:rPr>
            </w:pPr>
          </w:p>
          <w:p w14:paraId="38B3FF61" w14:textId="77777777" w:rsidR="006F3854" w:rsidRPr="00330431" w:rsidRDefault="006F3854">
            <w:pPr>
              <w:spacing w:after="60"/>
              <w:jc w:val="center"/>
              <w:rPr>
                <w:rFonts w:ascii="Arial" w:hAnsi="Arial" w:cs="Arial"/>
                <w:i/>
                <w:iCs/>
                <w:color w:val="666666"/>
                <w:sz w:val="13"/>
                <w:szCs w:val="13"/>
              </w:rPr>
            </w:pPr>
          </w:p>
          <w:p w14:paraId="2E847C5A" w14:textId="77777777" w:rsidR="006F3854" w:rsidRPr="00330431" w:rsidRDefault="006F3854">
            <w:pPr>
              <w:spacing w:after="60"/>
              <w:jc w:val="center"/>
              <w:rPr>
                <w:rFonts w:ascii="Arial" w:hAnsi="Arial" w:cs="Arial"/>
                <w:i/>
                <w:iCs/>
                <w:color w:val="666666"/>
                <w:sz w:val="13"/>
                <w:szCs w:val="13"/>
              </w:rPr>
            </w:pPr>
          </w:p>
          <w:p w14:paraId="3521FDCA" w14:textId="77777777" w:rsidR="006F3854" w:rsidRPr="00330431" w:rsidRDefault="006F3854">
            <w:pPr>
              <w:spacing w:after="60"/>
              <w:jc w:val="center"/>
              <w:rPr>
                <w:rFonts w:ascii="Arial" w:hAnsi="Arial" w:cs="Arial"/>
                <w:i/>
                <w:iCs/>
                <w:color w:val="666666"/>
                <w:sz w:val="13"/>
                <w:szCs w:val="13"/>
              </w:rPr>
            </w:pPr>
          </w:p>
          <w:p w14:paraId="475BE2DF" w14:textId="77777777" w:rsidR="006F3854" w:rsidRPr="00330431" w:rsidRDefault="006F3854" w:rsidP="006F3854">
            <w:pPr>
              <w:spacing w:after="60"/>
              <w:rPr>
                <w:rFonts w:ascii="Arial" w:hAnsi="Arial" w:cs="Arial"/>
                <w:i/>
                <w:iCs/>
                <w:color w:val="666666"/>
                <w:sz w:val="13"/>
                <w:szCs w:val="13"/>
              </w:rPr>
            </w:pPr>
          </w:p>
          <w:p w14:paraId="5288D496" w14:textId="77777777" w:rsidR="006F3854" w:rsidRPr="00330431" w:rsidRDefault="006F3854">
            <w:pPr>
              <w:spacing w:after="60"/>
              <w:jc w:val="center"/>
              <w:rPr>
                <w:rFonts w:ascii="Arial" w:hAnsi="Arial" w:cs="Arial"/>
                <w:i/>
                <w:iCs/>
                <w:color w:val="666666"/>
                <w:sz w:val="13"/>
                <w:szCs w:val="13"/>
              </w:rPr>
            </w:pPr>
          </w:p>
          <w:p w14:paraId="41D7A1BA" w14:textId="2B1B5496" w:rsidR="00D33326" w:rsidRPr="00330431" w:rsidRDefault="004A5D25">
            <w:pPr>
              <w:spacing w:after="60"/>
              <w:jc w:val="center"/>
              <w:rPr>
                <w:rFonts w:ascii="Arial" w:hAnsi="Arial" w:cs="Arial"/>
              </w:rPr>
            </w:pPr>
            <w:r w:rsidRPr="00330431">
              <w:rPr>
                <w:rFonts w:ascii="Arial" w:hAnsi="Arial" w:cs="Arial"/>
                <w:i/>
                <w:iCs/>
                <w:color w:val="666666"/>
                <w:sz w:val="13"/>
                <w:szCs w:val="13"/>
              </w:rPr>
              <w:t xml:space="preserve">Source: House of Commons Library (2026) </w:t>
            </w:r>
            <w:r w:rsidRPr="00330431">
              <w:rPr>
                <w:rFonts w:ascii="Arial" w:hAnsi="Arial" w:cs="Arial"/>
                <w:i/>
                <w:iCs/>
                <w:color w:val="666666"/>
                <w:sz w:val="13"/>
                <w:szCs w:val="13"/>
              </w:rPr>
              <w:t>Community pharmacy in England.</w:t>
            </w:r>
          </w:p>
        </w:tc>
      </w:tr>
      <w:tr w:rsidR="00D33326" w14:paraId="6BFF87EF" w14:textId="77777777">
        <w:trPr>
          <w:cantSplit/>
        </w:trPr>
        <w:tc>
          <w:tcPr>
            <w:tcW w:w="10786" w:type="dxa"/>
            <w:gridSpan w:val="2"/>
            <w:tcBorders>
              <w:top w:val="single" w:sz="4" w:space="0" w:color="0F766E"/>
              <w:left w:val="single" w:sz="4" w:space="0" w:color="0F766E"/>
              <w:bottom w:val="single" w:sz="4" w:space="0" w:color="0F766E"/>
              <w:right w:val="single" w:sz="4" w:space="0" w:color="0F766E"/>
            </w:tcBorders>
            <w:tcMar>
              <w:top w:w="40" w:type="dxa"/>
              <w:left w:w="140" w:type="dxa"/>
              <w:bottom w:w="120" w:type="dxa"/>
              <w:right w:w="140" w:type="dxa"/>
            </w:tcMar>
          </w:tcPr>
          <w:tbl>
            <w:tblPr>
              <w:tblW w:w="104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233"/>
              <w:gridCol w:w="5233"/>
            </w:tblGrid>
            <w:tr w:rsidR="00D33326" w:rsidRPr="00330431" w14:paraId="449CF3E0" w14:textId="77777777">
              <w:trPr>
                <w:cantSplit/>
              </w:trPr>
              <w:tc>
                <w:tcPr>
                  <w:tcW w:w="5233" w:type="dxa"/>
                  <w:tcBorders>
                    <w:top w:val="single" w:sz="4" w:space="0" w:color="0F766E"/>
                    <w:left w:val="single" w:sz="4" w:space="0" w:color="0F766E"/>
                    <w:bottom w:val="single" w:sz="4" w:space="0" w:color="0F766E"/>
                    <w:right w:val="single" w:sz="4" w:space="0" w:color="0F766E"/>
                  </w:tcBorders>
                  <w:shd w:val="clear" w:color="auto" w:fill="E7F8F5"/>
                  <w:tcMar>
                    <w:top w:w="100" w:type="dxa"/>
                    <w:left w:w="120" w:type="dxa"/>
                    <w:bottom w:w="100" w:type="dxa"/>
                    <w:right w:w="120" w:type="dxa"/>
                  </w:tcMar>
                </w:tcPr>
                <w:p w14:paraId="0454F0AE" w14:textId="77777777" w:rsidR="00D33326" w:rsidRPr="00330431" w:rsidRDefault="004A5D25">
                  <w:pPr>
                    <w:spacing w:after="60" w:line="258" w:lineRule="auto"/>
                    <w:rPr>
                      <w:rFonts w:ascii="Arial" w:hAnsi="Arial" w:cs="Arial"/>
                    </w:rPr>
                  </w:pPr>
                  <w:r w:rsidRPr="00330431">
                    <w:rPr>
                      <w:rFonts w:ascii="Arial" w:hAnsi="Arial" w:cs="Arial"/>
                      <w:b/>
                      <w:bCs/>
                      <w:color w:val="0F766E"/>
                      <w:sz w:val="22"/>
                      <w:szCs w:val="22"/>
                    </w:rPr>
                    <w:t>1. Workforce shortages &amp; closures</w:t>
                  </w:r>
                </w:p>
                <w:p w14:paraId="49A1E77A" w14:textId="77777777" w:rsidR="00D33326" w:rsidRPr="00330431" w:rsidRDefault="004A5D25" w:rsidP="006F3854">
                  <w:pPr>
                    <w:spacing w:after="70" w:line="258" w:lineRule="auto"/>
                    <w:jc w:val="both"/>
                    <w:rPr>
                      <w:rFonts w:ascii="Arial" w:hAnsi="Arial" w:cs="Arial"/>
                    </w:rPr>
                  </w:pPr>
                  <w:r w:rsidRPr="00330431">
                    <w:rPr>
                      <w:rFonts w:ascii="Arial" w:hAnsi="Arial" w:cs="Arial"/>
                      <w:color w:val="1A1A1A"/>
                    </w:rPr>
                    <w:t>A big challenge for this service is having fewer workers coupled with fewer pharmacies. A lack of workforce expansion has, however, accompanied an increasing clinical workload, and sector an</w:t>
                  </w:r>
                  <w:r w:rsidRPr="00330431">
                    <w:rPr>
                      <w:rFonts w:ascii="Arial" w:hAnsi="Arial" w:cs="Arial"/>
                      <w:color w:val="1A1A1A"/>
                    </w:rPr>
                    <w:t xml:space="preserve">alysis has predicted a shortfall of several thousand community pharmacists over the next 10 years, at current staffing rates. Over one thousand pharmacies have closed in England over the past decade, due to financial and staffing pressures, and the number </w:t>
                  </w:r>
                  <w:r w:rsidRPr="00330431">
                    <w:rPr>
                      <w:rFonts w:ascii="Arial" w:hAnsi="Arial" w:cs="Arial"/>
                      <w:color w:val="1A1A1A"/>
                    </w:rPr>
                    <w:t>of pharmacies has reduced from approximately 11,600 to more than 10,500 (House of Commons Library, 2026). This is important because it may have an impact on those who use the services, for example people who live in rural communities or more deprived areas</w:t>
                  </w:r>
                  <w:r w:rsidRPr="00330431">
                    <w:rPr>
                      <w:rFonts w:ascii="Arial" w:hAnsi="Arial" w:cs="Arial"/>
                      <w:color w:val="1A1A1A"/>
                    </w:rPr>
                    <w:t xml:space="preserve"> may have a pharmacy that is closing down as the only convenient provider of healthcare, resulting in patients having to travel further for their prescriptions and any clinical support they need.</w:t>
                  </w:r>
                </w:p>
              </w:tc>
              <w:tc>
                <w:tcPr>
                  <w:tcW w:w="5233" w:type="dxa"/>
                  <w:tcBorders>
                    <w:top w:val="single" w:sz="4" w:space="0" w:color="0F766E"/>
                    <w:left w:val="single" w:sz="4" w:space="0" w:color="0F766E"/>
                    <w:bottom w:val="single" w:sz="4" w:space="0" w:color="0F766E"/>
                    <w:right w:val="single" w:sz="4" w:space="0" w:color="0F766E"/>
                  </w:tcBorders>
                  <w:shd w:val="clear" w:color="auto" w:fill="E7F8F5"/>
                  <w:tcMar>
                    <w:top w:w="100" w:type="dxa"/>
                    <w:left w:w="120" w:type="dxa"/>
                    <w:bottom w:w="100" w:type="dxa"/>
                    <w:right w:w="120" w:type="dxa"/>
                  </w:tcMar>
                </w:tcPr>
                <w:p w14:paraId="633A09DC" w14:textId="77777777" w:rsidR="00D33326" w:rsidRPr="00330431" w:rsidRDefault="004A5D25">
                  <w:pPr>
                    <w:spacing w:after="60" w:line="258" w:lineRule="auto"/>
                    <w:rPr>
                      <w:rFonts w:ascii="Arial" w:hAnsi="Arial" w:cs="Arial"/>
                    </w:rPr>
                  </w:pPr>
                  <w:r w:rsidRPr="00330431">
                    <w:rPr>
                      <w:rFonts w:ascii="Arial" w:hAnsi="Arial" w:cs="Arial"/>
                      <w:b/>
                      <w:bCs/>
                      <w:color w:val="0F766E"/>
                      <w:sz w:val="22"/>
                      <w:szCs w:val="22"/>
                    </w:rPr>
                    <w:t>2. Referral funding &amp; IT gaps</w:t>
                  </w:r>
                </w:p>
                <w:p w14:paraId="44993542" w14:textId="77777777" w:rsidR="00D33326" w:rsidRPr="00330431" w:rsidRDefault="004A5D25" w:rsidP="006F3854">
                  <w:pPr>
                    <w:spacing w:after="70" w:line="258" w:lineRule="auto"/>
                    <w:jc w:val="both"/>
                    <w:rPr>
                      <w:rFonts w:ascii="Arial" w:hAnsi="Arial" w:cs="Arial"/>
                    </w:rPr>
                  </w:pPr>
                  <w:r w:rsidRPr="00330431">
                    <w:rPr>
                      <w:rFonts w:ascii="Arial" w:hAnsi="Arial" w:cs="Arial"/>
                      <w:color w:val="1A1A1A"/>
                    </w:rPr>
                    <w:t>A second challenge is that a s</w:t>
                  </w:r>
                  <w:r w:rsidRPr="00330431">
                    <w:rPr>
                      <w:rFonts w:ascii="Arial" w:hAnsi="Arial" w:cs="Arial"/>
                      <w:color w:val="1A1A1A"/>
                    </w:rPr>
                    <w:t>ignificant proportion of the additional clinical income generated by pharmacies remains reliant on referral from GP practices, hospitals and NHS 111 and that this is inconsistent and inconsistent in many locations, as noted by independent reviewers in a Ho</w:t>
                  </w:r>
                  <w:r w:rsidRPr="00330431">
                    <w:rPr>
                      <w:rFonts w:ascii="Arial" w:hAnsi="Arial" w:cs="Arial"/>
                      <w:color w:val="1A1A1A"/>
                    </w:rPr>
                    <w:t>use of Commons Library report (House of Commons Library, 2026). Poor IT interoperability, for instance, with hospital systems in the context of discharge medicine reviews, makes genuinely joined-up, safe patient care more difficult to achieve and burdens p</w:t>
                  </w:r>
                  <w:r w:rsidRPr="00330431">
                    <w:rPr>
                      <w:rFonts w:ascii="Arial" w:hAnsi="Arial" w:cs="Arial"/>
                      <w:color w:val="1A1A1A"/>
                    </w:rPr>
                    <w:t>harmacy staff, already stretched thin. That can impact on service users when they are delayed, access information that is repeated or missing from their medicines record when they are referred from one part of the health system to another and can place pha</w:t>
                  </w:r>
                  <w:r w:rsidRPr="00330431">
                    <w:rPr>
                      <w:rFonts w:ascii="Arial" w:hAnsi="Arial" w:cs="Arial"/>
                      <w:color w:val="1A1A1A"/>
                    </w:rPr>
                    <w:t>rmacists at financial risk for clinical activity where referral patterns are beyond their control.</w:t>
                  </w:r>
                </w:p>
              </w:tc>
            </w:tr>
          </w:tbl>
          <w:p w14:paraId="5444BC7A" w14:textId="77777777" w:rsidR="00D33326" w:rsidRPr="00330431" w:rsidRDefault="00D33326">
            <w:pPr>
              <w:rPr>
                <w:rFonts w:ascii="Arial" w:hAnsi="Arial" w:cs="Arial"/>
              </w:rPr>
            </w:pPr>
          </w:p>
        </w:tc>
      </w:tr>
      <w:tr w:rsidR="00D33326" w14:paraId="1C3FC122" w14:textId="77777777">
        <w:trPr>
          <w:cantSplit/>
        </w:trPr>
        <w:tc>
          <w:tcPr>
            <w:tcW w:w="10786" w:type="dxa"/>
            <w:gridSpan w:val="2"/>
            <w:tcBorders>
              <w:top w:val="single" w:sz="4" w:space="0" w:color="0F766E"/>
              <w:left w:val="single" w:sz="4" w:space="0" w:color="0F766E"/>
              <w:bottom w:val="single" w:sz="4" w:space="0" w:color="0F766E"/>
              <w:right w:val="single" w:sz="4" w:space="0" w:color="0F766E"/>
            </w:tcBorders>
            <w:shd w:val="clear" w:color="auto" w:fill="E7F8F5"/>
            <w:tcMar>
              <w:top w:w="90" w:type="dxa"/>
              <w:left w:w="130" w:type="dxa"/>
              <w:bottom w:w="90" w:type="dxa"/>
              <w:right w:w="130" w:type="dxa"/>
            </w:tcMar>
          </w:tcPr>
          <w:p w14:paraId="450EC014" w14:textId="77777777" w:rsidR="00D33326" w:rsidRPr="00330431" w:rsidRDefault="004A5D25">
            <w:pPr>
              <w:spacing w:after="100"/>
              <w:rPr>
                <w:rFonts w:ascii="Arial" w:hAnsi="Arial" w:cs="Arial"/>
                <w:b/>
                <w:bCs/>
                <w:color w:val="0F766E"/>
                <w:sz w:val="19"/>
                <w:szCs w:val="19"/>
              </w:rPr>
            </w:pPr>
            <w:r w:rsidRPr="00330431">
              <w:rPr>
                <w:rFonts w:ascii="Arial" w:hAnsi="Arial" w:cs="Arial"/>
                <w:b/>
                <w:bCs/>
                <w:color w:val="0F766E"/>
                <w:sz w:val="19"/>
                <w:szCs w:val="19"/>
              </w:rPr>
              <w:lastRenderedPageBreak/>
              <w:t>SERVICE PATHWAY &amp; REFERENCES</w:t>
            </w:r>
          </w:p>
          <w:p w14:paraId="533FCFF8" w14:textId="2BE88621" w:rsidR="0095353C" w:rsidRPr="00330431" w:rsidRDefault="0095353C" w:rsidP="0095353C">
            <w:pPr>
              <w:spacing w:after="100"/>
              <w:jc w:val="center"/>
              <w:rPr>
                <w:rFonts w:ascii="Arial" w:hAnsi="Arial" w:cs="Arial"/>
                <w:b/>
                <w:bCs/>
                <w:color w:val="009999"/>
                <w:sz w:val="16"/>
                <w:szCs w:val="16"/>
              </w:rPr>
            </w:pPr>
            <w:r w:rsidRPr="00330431">
              <w:rPr>
                <w:rFonts w:ascii="Arial" w:hAnsi="Arial" w:cs="Arial"/>
                <w:b/>
                <w:bCs/>
                <w:color w:val="009999"/>
                <w:sz w:val="16"/>
                <w:szCs w:val="16"/>
              </w:rPr>
              <w:t>Typical Pharmacy First Service Pathway</w:t>
            </w:r>
          </w:p>
          <w:p w14:paraId="61EB9A9A" w14:textId="2D982C81" w:rsidR="00D33326" w:rsidRPr="00330431" w:rsidRDefault="0095353C">
            <w:pPr>
              <w:spacing w:after="20"/>
              <w:jc w:val="center"/>
              <w:rPr>
                <w:rFonts w:ascii="Arial" w:hAnsi="Arial" w:cs="Arial"/>
              </w:rPr>
            </w:pPr>
            <w:r w:rsidRPr="00330431">
              <w:rPr>
                <w:rFonts w:ascii="Arial" w:hAnsi="Arial" w:cs="Arial"/>
                <w:noProof/>
                <w:lang w:val="en-US" w:eastAsia="en-US"/>
              </w:rPr>
              <w:drawing>
                <wp:inline distT="0" distB="0" distL="0" distR="0" wp14:anchorId="41F0101B" wp14:editId="639627B4">
                  <wp:extent cx="3519555" cy="1261242"/>
                  <wp:effectExtent l="0" t="0" r="5080" b="0"/>
                  <wp:docPr id="1422583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583845" name="Picture 2"/>
                          <pic:cNvPicPr/>
                        </pic:nvPicPr>
                        <pic:blipFill rotWithShape="1">
                          <a:blip r:embed="rId17" cstate="print">
                            <a:extLst>
                              <a:ext uri="{28A0092B-C50C-407E-A947-70E740481C1C}">
                                <a14:useLocalDpi xmlns:a14="http://schemas.microsoft.com/office/drawing/2010/main" val="0"/>
                              </a:ext>
                            </a:extLst>
                          </a:blip>
                          <a:srcRect l="15769" t="23015" r="17064" b="16806"/>
                          <a:stretch>
                            <a:fillRect/>
                          </a:stretch>
                        </pic:blipFill>
                        <pic:spPr bwMode="auto">
                          <a:xfrm>
                            <a:off x="0" y="0"/>
                            <a:ext cx="3552441" cy="1273027"/>
                          </a:xfrm>
                          <a:prstGeom prst="rect">
                            <a:avLst/>
                          </a:prstGeom>
                          <a:ln>
                            <a:noFill/>
                          </a:ln>
                          <a:extLst>
                            <a:ext uri="{53640926-AAD7-44D8-BBD7-CCE9431645EC}">
                              <a14:shadowObscured xmlns:a14="http://schemas.microsoft.com/office/drawing/2010/main"/>
                            </a:ext>
                          </a:extLst>
                        </pic:spPr>
                      </pic:pic>
                    </a:graphicData>
                  </a:graphic>
                </wp:inline>
              </w:drawing>
            </w:r>
          </w:p>
          <w:p w14:paraId="2696EFE5" w14:textId="473FA746" w:rsidR="00D33326" w:rsidRPr="00330431" w:rsidRDefault="004A5D25">
            <w:pPr>
              <w:spacing w:after="60"/>
              <w:jc w:val="center"/>
              <w:rPr>
                <w:rFonts w:ascii="Arial" w:hAnsi="Arial" w:cs="Arial"/>
              </w:rPr>
            </w:pPr>
            <w:r w:rsidRPr="00330431">
              <w:rPr>
                <w:rFonts w:ascii="Arial" w:hAnsi="Arial" w:cs="Arial"/>
                <w:i/>
                <w:iCs/>
                <w:color w:val="666666"/>
                <w:sz w:val="13"/>
                <w:szCs w:val="13"/>
              </w:rPr>
              <w:t>Source: Compiled from Department of Health and Social Care (2026).</w:t>
            </w:r>
          </w:p>
          <w:p w14:paraId="077DF7E4" w14:textId="77777777" w:rsidR="00D33326" w:rsidRPr="00330431" w:rsidRDefault="004A5D25">
            <w:pPr>
              <w:spacing w:after="60" w:line="258" w:lineRule="auto"/>
              <w:rPr>
                <w:rFonts w:ascii="Arial" w:hAnsi="Arial" w:cs="Arial"/>
              </w:rPr>
            </w:pPr>
            <w:r w:rsidRPr="00330431">
              <w:rPr>
                <w:rFonts w:ascii="Arial" w:hAnsi="Arial" w:cs="Arial"/>
                <w:b/>
                <w:bCs/>
                <w:color w:val="0F766E"/>
                <w:sz w:val="19"/>
                <w:szCs w:val="19"/>
              </w:rPr>
              <w:t xml:space="preserve">References </w:t>
            </w:r>
            <w:r w:rsidRPr="00330431">
              <w:rPr>
                <w:rFonts w:ascii="Arial" w:hAnsi="Arial" w:cs="Arial"/>
                <w:b/>
                <w:bCs/>
                <w:color w:val="0F766E"/>
                <w:sz w:val="19"/>
                <w:szCs w:val="19"/>
              </w:rPr>
              <w:t>(Harvard style)</w:t>
            </w:r>
          </w:p>
          <w:p w14:paraId="069B9530" w14:textId="77777777" w:rsidR="00D33326" w:rsidRPr="00330431" w:rsidRDefault="004A5D25">
            <w:pPr>
              <w:spacing w:after="60" w:line="258" w:lineRule="auto"/>
              <w:rPr>
                <w:rFonts w:ascii="Arial" w:hAnsi="Arial" w:cs="Arial"/>
              </w:rPr>
            </w:pPr>
            <w:r w:rsidRPr="00330431">
              <w:rPr>
                <w:rFonts w:ascii="Arial" w:hAnsi="Arial" w:cs="Arial"/>
                <w:color w:val="1A1A1A"/>
                <w:sz w:val="16"/>
                <w:szCs w:val="16"/>
              </w:rPr>
              <w:t xml:space="preserve">Department of Health and Social Care (2026) £340 million pharmacy boost brings faster care to the high street, Gov.uk. Available at: https://www.gov.uk/government/news/340m-pharmacy-boost-brings-faster-care-to-your-high-street (Accessed: 7 </w:t>
            </w:r>
            <w:r w:rsidRPr="00330431">
              <w:rPr>
                <w:rFonts w:ascii="Arial" w:hAnsi="Arial" w:cs="Arial"/>
                <w:color w:val="1A1A1A"/>
                <w:sz w:val="16"/>
                <w:szCs w:val="16"/>
              </w:rPr>
              <w:t>July 2026).</w:t>
            </w:r>
          </w:p>
          <w:p w14:paraId="19B6FE20" w14:textId="77777777" w:rsidR="00D33326" w:rsidRPr="00330431" w:rsidRDefault="004A5D25">
            <w:pPr>
              <w:spacing w:after="60" w:line="258" w:lineRule="auto"/>
              <w:rPr>
                <w:rFonts w:ascii="Arial" w:hAnsi="Arial" w:cs="Arial"/>
              </w:rPr>
            </w:pPr>
            <w:r w:rsidRPr="00330431">
              <w:rPr>
                <w:rFonts w:ascii="Arial" w:hAnsi="Arial" w:cs="Arial"/>
                <w:color w:val="1A1A1A"/>
                <w:sz w:val="16"/>
                <w:szCs w:val="16"/>
              </w:rPr>
              <w:t>House of Commons Library (2026) Community pharmacy in England. Available at: https://commonslibrary.parliament.uk/research-briefings/cbp-9854/ (Accessed: 7 July 2026).</w:t>
            </w:r>
          </w:p>
        </w:tc>
      </w:tr>
    </w:tbl>
    <w:p w14:paraId="54E0EEF8" w14:textId="09A34F7C" w:rsidR="00BE73D2" w:rsidRDefault="00BE73D2"/>
    <w:p w14:paraId="592D088F" w14:textId="77777777" w:rsidR="00BE73D2" w:rsidRDefault="00BE73D2">
      <w:r>
        <w:br w:type="page"/>
      </w:r>
    </w:p>
    <w:p w14:paraId="2FAE3EDA" w14:textId="77777777" w:rsidR="00BE73D2" w:rsidRDefault="00BE73D2">
      <w:pPr>
        <w:sectPr w:rsidR="00BE73D2" w:rsidSect="005D2F67">
          <w:footerReference w:type="first" r:id="rId18"/>
          <w:pgSz w:w="11906" w:h="16838"/>
          <w:pgMar w:top="560" w:right="560" w:bottom="560" w:left="560" w:header="708" w:footer="0" w:gutter="0"/>
          <w:pgNumType w:start="1"/>
          <w:cols w:space="720"/>
          <w:titlePg/>
          <w:docGrid w:linePitch="360"/>
        </w:sectPr>
      </w:pPr>
    </w:p>
    <w:p w14:paraId="5A3A113E" w14:textId="118059A7" w:rsidR="00304C31" w:rsidRPr="00867C3D" w:rsidRDefault="00EB6C24" w:rsidP="00304C31">
      <w:pPr>
        <w:pStyle w:val="Heading1"/>
        <w:rPr>
          <w:rFonts w:cs="Arial"/>
        </w:rPr>
      </w:pPr>
      <w:bookmarkStart w:id="2" w:name="_Toc234464053"/>
      <w:r>
        <w:rPr>
          <w:rFonts w:cs="Arial"/>
        </w:rPr>
        <w:lastRenderedPageBreak/>
        <w:t xml:space="preserve">Task 2: </w:t>
      </w:r>
      <w:r w:rsidR="00304C31" w:rsidRPr="00867C3D">
        <w:rPr>
          <w:rFonts w:cs="Arial"/>
        </w:rPr>
        <w:t>Domiciliary Care Services: Origins, Current Practice and Significance for Quality of Life</w:t>
      </w:r>
      <w:bookmarkEnd w:id="2"/>
    </w:p>
    <w:p w14:paraId="00B45723" w14:textId="77777777" w:rsidR="00304C31" w:rsidRPr="00867C3D" w:rsidRDefault="00304C31" w:rsidP="00304C31">
      <w:pPr>
        <w:pStyle w:val="Heading2"/>
        <w:spacing w:before="160" w:after="100"/>
        <w:rPr>
          <w:rFonts w:cs="Arial"/>
        </w:rPr>
      </w:pPr>
      <w:bookmarkStart w:id="3" w:name="_Toc234464054"/>
      <w:r w:rsidRPr="00867C3D">
        <w:rPr>
          <w:rFonts w:cs="Arial"/>
        </w:rPr>
        <w:t>Introduction</w:t>
      </w:r>
      <w:bookmarkEnd w:id="3"/>
    </w:p>
    <w:p w14:paraId="217F8480" w14:textId="1AA71333" w:rsidR="00304C31" w:rsidRPr="00867C3D" w:rsidRDefault="00304C31" w:rsidP="00304C31">
      <w:pPr>
        <w:spacing w:after="160" w:line="360" w:lineRule="auto"/>
        <w:jc w:val="both"/>
        <w:rPr>
          <w:rFonts w:ascii="Arial" w:hAnsi="Arial" w:cs="Arial"/>
          <w:sz w:val="22"/>
          <w:szCs w:val="22"/>
        </w:rPr>
      </w:pPr>
      <w:r w:rsidRPr="00867C3D">
        <w:rPr>
          <w:rFonts w:ascii="Arial" w:hAnsi="Arial" w:cs="Arial"/>
          <w:sz w:val="22"/>
          <w:szCs w:val="22"/>
        </w:rPr>
        <w:t>This essay focuses on domiciliary care, which is sometimes referred to as home care and is providing care and support to help people to live independently at home instead of in residential care. It will explore the background to the service and the past which has influenced its evolution, question its current effectiveness, and give consideration to its role in increasing independence, dignity and quality of life.</w:t>
      </w:r>
    </w:p>
    <w:p w14:paraId="340AF17A" w14:textId="77777777" w:rsidR="00304C31" w:rsidRPr="00867C3D" w:rsidRDefault="00304C31" w:rsidP="00304C31">
      <w:pPr>
        <w:pStyle w:val="Heading2"/>
        <w:spacing w:before="160" w:after="100"/>
        <w:rPr>
          <w:rFonts w:cs="Arial"/>
        </w:rPr>
      </w:pPr>
      <w:bookmarkStart w:id="4" w:name="_Toc234464055"/>
      <w:r w:rsidRPr="00867C3D">
        <w:rPr>
          <w:rFonts w:cs="Arial"/>
        </w:rPr>
        <w:t>Origins and Historical Context</w:t>
      </w:r>
      <w:bookmarkEnd w:id="4"/>
    </w:p>
    <w:p w14:paraId="196AA55E" w14:textId="7A65DE54" w:rsidR="00304C31" w:rsidRPr="00867C3D" w:rsidRDefault="006704BF" w:rsidP="00304C31">
      <w:pPr>
        <w:spacing w:after="160" w:line="360" w:lineRule="auto"/>
        <w:jc w:val="both"/>
        <w:rPr>
          <w:rFonts w:ascii="Arial" w:hAnsi="Arial" w:cs="Arial"/>
          <w:sz w:val="22"/>
          <w:szCs w:val="22"/>
        </w:rPr>
      </w:pPr>
      <w:r w:rsidRPr="00867C3D">
        <w:rPr>
          <w:rFonts w:ascii="Arial" w:hAnsi="Arial" w:cs="Arial"/>
          <w:sz w:val="22"/>
          <w:szCs w:val="22"/>
        </w:rPr>
        <w:t xml:space="preserve">The origins of this service can be linked </w:t>
      </w:r>
      <w:r w:rsidR="00304C31" w:rsidRPr="00867C3D">
        <w:rPr>
          <w:rFonts w:ascii="Arial" w:hAnsi="Arial" w:cs="Arial"/>
          <w:sz w:val="22"/>
          <w:szCs w:val="22"/>
        </w:rPr>
        <w:t xml:space="preserve">to the National Assistance Act 1948 that set up local authority home help services for older and disabled adults and the establishment of the NHS. </w:t>
      </w:r>
      <w:r w:rsidRPr="00867C3D">
        <w:rPr>
          <w:rFonts w:ascii="Arial" w:hAnsi="Arial" w:cs="Arial"/>
          <w:sz w:val="22"/>
          <w:szCs w:val="22"/>
        </w:rPr>
        <w:t>Historically, this service developed because of</w:t>
      </w:r>
      <w:r w:rsidR="00304C31" w:rsidRPr="00867C3D">
        <w:rPr>
          <w:rFonts w:ascii="Arial" w:hAnsi="Arial" w:cs="Arial"/>
          <w:sz w:val="22"/>
          <w:szCs w:val="22"/>
        </w:rPr>
        <w:t xml:space="preserve"> a result of the changing nature of the service over time, from the institutional care provided earlier to supporting people at home, with the National Health Service and Community Care Act 1990 bringing care management and providing for the emergence of a mixed economy of providers (not just local authorities) into the picture (Legislation UK, 1990). Along with the rising cost of institutional care, the ageing population and the focus on rights and independent living, this shift was promoted. Subsequently, the Care Act 2014 put personalisation, wellbeing and choice at the heart of adult social care law (Legislation UK, 2014).</w:t>
      </w:r>
    </w:p>
    <w:p w14:paraId="52812A2F" w14:textId="77777777" w:rsidR="00304C31" w:rsidRPr="00867C3D" w:rsidRDefault="00304C31" w:rsidP="00304C31">
      <w:pPr>
        <w:pStyle w:val="Heading2"/>
        <w:spacing w:before="160" w:after="100"/>
        <w:rPr>
          <w:rFonts w:cs="Arial"/>
        </w:rPr>
      </w:pPr>
      <w:bookmarkStart w:id="5" w:name="_Toc234464056"/>
      <w:r w:rsidRPr="00867C3D">
        <w:rPr>
          <w:rFonts w:cs="Arial"/>
        </w:rPr>
        <w:t>Current Functioning</w:t>
      </w:r>
      <w:bookmarkEnd w:id="5"/>
    </w:p>
    <w:p w14:paraId="7C6B2598" w14:textId="2F370AD8" w:rsidR="0003265F" w:rsidRPr="00867C3D" w:rsidRDefault="00867C3D" w:rsidP="00304C31">
      <w:pPr>
        <w:spacing w:after="160" w:line="360" w:lineRule="auto"/>
        <w:jc w:val="both"/>
        <w:rPr>
          <w:rFonts w:ascii="Arial" w:hAnsi="Arial" w:cs="Arial"/>
          <w:sz w:val="22"/>
          <w:szCs w:val="22"/>
        </w:rPr>
      </w:pPr>
      <w:r w:rsidRPr="00867C3D">
        <w:rPr>
          <w:rFonts w:ascii="Arial" w:hAnsi="Arial" w:cs="Arial"/>
          <w:sz w:val="22"/>
          <w:szCs w:val="22"/>
        </w:rPr>
        <w:t xml:space="preserve">In current practice, the service functions by </w:t>
      </w:r>
      <w:r w:rsidR="0003265F" w:rsidRPr="00867C3D">
        <w:rPr>
          <w:rFonts w:ascii="Arial" w:hAnsi="Arial" w:cs="Arial"/>
          <w:sz w:val="22"/>
          <w:szCs w:val="22"/>
        </w:rPr>
        <w:t xml:space="preserve">a care worker or personal assistant going into the person's home, where they provide care and support, as part of an assessment with a local authority or provided privately. The Care Quality Commission regulated more than 15,000 domiciliary care organisations in England in March 2025 than the year before, indicating an increase in the preference for home as opposed to residential care (Skills for Care, 2025). </w:t>
      </w:r>
      <w:r w:rsidRPr="00867C3D">
        <w:rPr>
          <w:rFonts w:ascii="Arial" w:hAnsi="Arial" w:cs="Arial"/>
          <w:sz w:val="22"/>
          <w:szCs w:val="22"/>
        </w:rPr>
        <w:t>A</w:t>
      </w:r>
      <w:r w:rsidR="0003265F" w:rsidRPr="00867C3D">
        <w:rPr>
          <w:rFonts w:ascii="Arial" w:hAnsi="Arial" w:cs="Arial"/>
          <w:sz w:val="22"/>
          <w:szCs w:val="22"/>
        </w:rPr>
        <w:t xml:space="preserve"> strength of the current service is that it provides a flexible service where children can receive the support that is most helpful to them, and this support can be adapted as their needs evolve, without the need to leave their home environment. </w:t>
      </w:r>
      <w:r w:rsidRPr="00867C3D">
        <w:rPr>
          <w:rFonts w:ascii="Arial" w:hAnsi="Arial" w:cs="Arial"/>
          <w:sz w:val="22"/>
          <w:szCs w:val="22"/>
        </w:rPr>
        <w:t>However, a limitation or challenge is</w:t>
      </w:r>
      <w:r w:rsidR="0003265F" w:rsidRPr="00867C3D">
        <w:rPr>
          <w:rFonts w:ascii="Arial" w:hAnsi="Arial" w:cs="Arial"/>
          <w:sz w:val="22"/>
          <w:szCs w:val="22"/>
        </w:rPr>
        <w:t xml:space="preserve"> vacancy rates are higher in domiciliary than residential care and approximately three quarters of home care organisations face issues with staff recruitment, and frequent rota changes impact on continuity of care (King's Fund, 2026; House of Commons Library, 202</w:t>
      </w:r>
      <w:r w:rsidR="00FF3896">
        <w:rPr>
          <w:rFonts w:ascii="Arial" w:hAnsi="Arial" w:cs="Arial"/>
          <w:sz w:val="22"/>
          <w:szCs w:val="22"/>
        </w:rPr>
        <w:t>4</w:t>
      </w:r>
      <w:r w:rsidR="0003265F" w:rsidRPr="00867C3D">
        <w:rPr>
          <w:rFonts w:ascii="Arial" w:hAnsi="Arial" w:cs="Arial"/>
          <w:sz w:val="22"/>
          <w:szCs w:val="22"/>
        </w:rPr>
        <w:t>). Limited, short-term visits, underpinned by a commissioning budget, can also turn person-centred care into a list of physical actions.</w:t>
      </w:r>
    </w:p>
    <w:p w14:paraId="605B6D62" w14:textId="77777777" w:rsidR="00304C31" w:rsidRPr="00867C3D" w:rsidRDefault="00304C31" w:rsidP="00304C31">
      <w:pPr>
        <w:pStyle w:val="Heading2"/>
        <w:spacing w:before="160" w:after="100"/>
        <w:rPr>
          <w:rFonts w:cs="Arial"/>
        </w:rPr>
      </w:pPr>
      <w:bookmarkStart w:id="6" w:name="_Toc234464057"/>
      <w:r w:rsidRPr="00867C3D">
        <w:rPr>
          <w:rFonts w:cs="Arial"/>
        </w:rPr>
        <w:lastRenderedPageBreak/>
        <w:t>Significance for Quality of Life</w:t>
      </w:r>
      <w:bookmarkEnd w:id="6"/>
    </w:p>
    <w:p w14:paraId="7EC6E1D6" w14:textId="3D33B0AE" w:rsidR="00177F2B" w:rsidRPr="00867C3D" w:rsidRDefault="00177F2B" w:rsidP="00177F2B">
      <w:pPr>
        <w:spacing w:after="160" w:line="360" w:lineRule="auto"/>
        <w:jc w:val="both"/>
        <w:rPr>
          <w:rFonts w:ascii="Arial" w:hAnsi="Arial" w:cs="Arial"/>
          <w:sz w:val="22"/>
          <w:szCs w:val="22"/>
        </w:rPr>
      </w:pPr>
      <w:r w:rsidRPr="00867C3D">
        <w:rPr>
          <w:rFonts w:ascii="Arial" w:hAnsi="Arial" w:cs="Arial"/>
          <w:sz w:val="22"/>
          <w:szCs w:val="22"/>
        </w:rPr>
        <w:t>This service helps to improve the quality of life of individuals and help them stay in their community, in familiar surroundings, close to family and friends, and maintain emotional wellbeing and physical health. There is a whole range of services that provide domiciliary care, enabling everyone to maintain their independence and choice, especially when benefiting from personal budgets or direct payments to enable service users to decide who provides care to them and when and how. Flexible hours may also provide individuals with more dignity in their daily life routine, as opposed to rigid institutional schedules for washing, eating, etc. It also indirectly helps unpaid family carers by taking the practical burden for everyday care and helping to keep family relationships alive. However, such gains are reliant on consistency and adequate visit time and where such factors as staff shortages result in rushed or frequently changing carers, service users may suffer a loss of dignity and safety rather than the independence that should be promoted by the service.</w:t>
      </w:r>
    </w:p>
    <w:p w14:paraId="04D2D96F" w14:textId="77777777" w:rsidR="00304C31" w:rsidRPr="00867C3D" w:rsidRDefault="00304C31" w:rsidP="00304C31">
      <w:pPr>
        <w:pStyle w:val="Heading2"/>
        <w:spacing w:before="160" w:after="100"/>
        <w:rPr>
          <w:rFonts w:cs="Arial"/>
        </w:rPr>
      </w:pPr>
      <w:bookmarkStart w:id="7" w:name="_Toc234464058"/>
      <w:r w:rsidRPr="00867C3D">
        <w:rPr>
          <w:rFonts w:cs="Arial"/>
        </w:rPr>
        <w:t>Conclusion</w:t>
      </w:r>
      <w:bookmarkEnd w:id="7"/>
    </w:p>
    <w:p w14:paraId="7C40DDB3" w14:textId="19E85A53" w:rsidR="00177F2B" w:rsidRPr="00867C3D" w:rsidRDefault="00867C3D" w:rsidP="00304C31">
      <w:pPr>
        <w:spacing w:after="160" w:line="360" w:lineRule="auto"/>
        <w:jc w:val="both"/>
        <w:rPr>
          <w:rFonts w:ascii="Arial" w:hAnsi="Arial" w:cs="Arial"/>
          <w:sz w:val="22"/>
          <w:szCs w:val="22"/>
        </w:rPr>
      </w:pPr>
      <w:r w:rsidRPr="00867C3D">
        <w:rPr>
          <w:rFonts w:ascii="Arial" w:hAnsi="Arial" w:cs="Arial"/>
          <w:sz w:val="22"/>
          <w:szCs w:val="22"/>
        </w:rPr>
        <w:t xml:space="preserve">Overall, the service remains significant </w:t>
      </w:r>
      <w:r w:rsidR="00177F2B" w:rsidRPr="00867C3D">
        <w:rPr>
          <w:rFonts w:ascii="Arial" w:hAnsi="Arial" w:cs="Arial"/>
          <w:sz w:val="22"/>
          <w:szCs w:val="22"/>
        </w:rPr>
        <w:t>in terms of helping an increasing number of older and disabled individuals to age in place as opposed to institutionalization. Despite ongoing workforce and funding pressures, it is likely that the role of domiciliary care will continue to support person centred adult social care and that this will continue to grow as the need for support in people's homes increases.</w:t>
      </w:r>
    </w:p>
    <w:p w14:paraId="7265115E" w14:textId="77777777" w:rsidR="00536225" w:rsidRDefault="00536225"/>
    <w:p w14:paraId="20138A3D" w14:textId="4840A0C9" w:rsidR="00536225" w:rsidRDefault="00536225" w:rsidP="00536225">
      <w:pPr>
        <w:pStyle w:val="Heading2"/>
      </w:pPr>
      <w:bookmarkStart w:id="8" w:name="_Toc234464059"/>
      <w:r>
        <w:t>References</w:t>
      </w:r>
      <w:bookmarkEnd w:id="8"/>
    </w:p>
    <w:p w14:paraId="7BCC976C" w14:textId="77777777" w:rsidR="00536225" w:rsidRPr="00536225" w:rsidRDefault="00536225" w:rsidP="00536225">
      <w:pPr>
        <w:spacing w:before="100" w:beforeAutospacing="1" w:after="100" w:afterAutospacing="1" w:line="360" w:lineRule="auto"/>
        <w:jc w:val="both"/>
        <w:rPr>
          <w:rFonts w:ascii="Arial" w:eastAsia="Times New Roman" w:hAnsi="Arial" w:cs="Arial"/>
          <w:color w:val="000000"/>
          <w:sz w:val="22"/>
          <w:szCs w:val="22"/>
        </w:rPr>
      </w:pPr>
      <w:r w:rsidRPr="00536225">
        <w:rPr>
          <w:rFonts w:ascii="Arial" w:eastAsia="Times New Roman" w:hAnsi="Arial" w:cs="Arial"/>
          <w:color w:val="000000"/>
          <w:sz w:val="22"/>
          <w:szCs w:val="22"/>
        </w:rPr>
        <w:t>Care Quality Commission (2025) </w:t>
      </w:r>
      <w:proofErr w:type="gramStart"/>
      <w:r w:rsidRPr="00536225">
        <w:rPr>
          <w:rFonts w:ascii="Arial" w:eastAsia="Times New Roman" w:hAnsi="Arial" w:cs="Arial"/>
          <w:i/>
          <w:iCs/>
          <w:color w:val="000000"/>
          <w:sz w:val="22"/>
          <w:szCs w:val="22"/>
        </w:rPr>
        <w:t>The</w:t>
      </w:r>
      <w:proofErr w:type="gramEnd"/>
      <w:r w:rsidRPr="00536225">
        <w:rPr>
          <w:rFonts w:ascii="Arial" w:eastAsia="Times New Roman" w:hAnsi="Arial" w:cs="Arial"/>
          <w:i/>
          <w:iCs/>
          <w:color w:val="000000"/>
          <w:sz w:val="22"/>
          <w:szCs w:val="22"/>
        </w:rPr>
        <w:t xml:space="preserve"> state of health care and adult social care in England 2024/25</w:t>
      </w:r>
      <w:r w:rsidRPr="00536225">
        <w:rPr>
          <w:rFonts w:ascii="Arial" w:eastAsia="Times New Roman" w:hAnsi="Arial" w:cs="Arial"/>
          <w:color w:val="000000"/>
          <w:sz w:val="22"/>
          <w:szCs w:val="22"/>
        </w:rPr>
        <w:t>. Available at: https://www.cqc.org.uk/publications/major-report/state-care/2024-2025.</w:t>
      </w:r>
    </w:p>
    <w:p w14:paraId="07454255" w14:textId="5FA5EEF2" w:rsidR="00536225" w:rsidRPr="00536225" w:rsidRDefault="00536225" w:rsidP="00536225">
      <w:pPr>
        <w:spacing w:before="100" w:beforeAutospacing="1" w:after="100" w:afterAutospacing="1" w:line="360" w:lineRule="auto"/>
        <w:jc w:val="both"/>
        <w:rPr>
          <w:rFonts w:ascii="Arial" w:eastAsia="Times New Roman" w:hAnsi="Arial" w:cs="Arial"/>
          <w:color w:val="000000"/>
          <w:sz w:val="22"/>
          <w:szCs w:val="22"/>
        </w:rPr>
      </w:pPr>
      <w:r w:rsidRPr="00536225">
        <w:rPr>
          <w:rFonts w:ascii="Arial" w:eastAsia="Times New Roman" w:hAnsi="Arial" w:cs="Arial"/>
          <w:color w:val="000000"/>
          <w:sz w:val="22"/>
          <w:szCs w:val="22"/>
        </w:rPr>
        <w:t>House of Commons Library (2024) </w:t>
      </w:r>
      <w:r w:rsidRPr="00536225">
        <w:rPr>
          <w:rFonts w:ascii="Arial" w:eastAsia="Times New Roman" w:hAnsi="Arial" w:cs="Arial"/>
          <w:i/>
          <w:iCs/>
          <w:color w:val="000000"/>
          <w:sz w:val="22"/>
          <w:szCs w:val="22"/>
        </w:rPr>
        <w:t>Adult social care workforce in England</w:t>
      </w:r>
      <w:r w:rsidRPr="00536225">
        <w:rPr>
          <w:rFonts w:ascii="Arial" w:eastAsia="Times New Roman" w:hAnsi="Arial" w:cs="Arial"/>
          <w:color w:val="000000"/>
          <w:sz w:val="22"/>
          <w:szCs w:val="22"/>
        </w:rPr>
        <w:t>. Available at: https://researchbriefings.files.parliament.uk/documents/CBP-9615/CBP-9615.pdf.</w:t>
      </w:r>
    </w:p>
    <w:p w14:paraId="660E3642" w14:textId="79333D4B" w:rsidR="00536225" w:rsidRPr="00536225" w:rsidRDefault="00536225" w:rsidP="00536225">
      <w:pPr>
        <w:pStyle w:val="NormalWeb"/>
        <w:spacing w:line="360" w:lineRule="auto"/>
        <w:jc w:val="both"/>
        <w:rPr>
          <w:rFonts w:ascii="Arial" w:hAnsi="Arial" w:cs="Arial"/>
          <w:sz w:val="22"/>
          <w:szCs w:val="22"/>
        </w:rPr>
      </w:pPr>
      <w:r w:rsidRPr="00536225">
        <w:rPr>
          <w:rFonts w:ascii="Arial" w:hAnsi="Arial" w:cs="Arial"/>
          <w:sz w:val="22"/>
          <w:szCs w:val="22"/>
        </w:rPr>
        <w:t>King’s Fund (2026) </w:t>
      </w:r>
      <w:r w:rsidRPr="00536225">
        <w:rPr>
          <w:rFonts w:ascii="Arial" w:hAnsi="Arial" w:cs="Arial"/>
          <w:i/>
          <w:iCs/>
          <w:sz w:val="22"/>
          <w:szCs w:val="22"/>
        </w:rPr>
        <w:t>Social care 360: Workforce and Carers</w:t>
      </w:r>
      <w:r w:rsidRPr="00536225">
        <w:rPr>
          <w:rFonts w:ascii="Arial" w:hAnsi="Arial" w:cs="Arial"/>
          <w:sz w:val="22"/>
          <w:szCs w:val="22"/>
        </w:rPr>
        <w:t>, </w:t>
      </w:r>
      <w:r w:rsidRPr="00536225">
        <w:rPr>
          <w:rFonts w:ascii="Arial" w:hAnsi="Arial" w:cs="Arial"/>
          <w:i/>
          <w:iCs/>
          <w:sz w:val="22"/>
          <w:szCs w:val="22"/>
        </w:rPr>
        <w:t>The King’s Fund</w:t>
      </w:r>
      <w:r w:rsidRPr="00536225">
        <w:rPr>
          <w:rFonts w:ascii="Arial" w:hAnsi="Arial" w:cs="Arial"/>
          <w:sz w:val="22"/>
          <w:szCs w:val="22"/>
        </w:rPr>
        <w:t>. Available at: https://www.kingsfund.org.uk/insight-and-analysis/long-reads/social-care-360-workforce-carers (Accessed: July 8, 2026).</w:t>
      </w:r>
    </w:p>
    <w:p w14:paraId="070E7D51" w14:textId="7992C334" w:rsidR="00536225" w:rsidRPr="00536225" w:rsidRDefault="00536225" w:rsidP="00536225">
      <w:pPr>
        <w:pStyle w:val="NormalWeb"/>
        <w:spacing w:line="360" w:lineRule="auto"/>
        <w:jc w:val="both"/>
        <w:rPr>
          <w:rFonts w:ascii="Arial" w:hAnsi="Arial" w:cs="Arial"/>
          <w:sz w:val="22"/>
          <w:szCs w:val="22"/>
        </w:rPr>
      </w:pPr>
      <w:r w:rsidRPr="00536225">
        <w:rPr>
          <w:rFonts w:ascii="Arial" w:hAnsi="Arial" w:cs="Arial"/>
          <w:sz w:val="22"/>
          <w:szCs w:val="22"/>
        </w:rPr>
        <w:t>Legislation UK (1990) </w:t>
      </w:r>
      <w:r w:rsidRPr="00536225">
        <w:rPr>
          <w:rFonts w:ascii="Arial" w:hAnsi="Arial" w:cs="Arial"/>
          <w:i/>
          <w:iCs/>
          <w:sz w:val="22"/>
          <w:szCs w:val="22"/>
        </w:rPr>
        <w:t>National Health Service and community care Act 1990</w:t>
      </w:r>
      <w:r w:rsidRPr="00536225">
        <w:rPr>
          <w:rFonts w:ascii="Arial" w:hAnsi="Arial" w:cs="Arial"/>
          <w:sz w:val="22"/>
          <w:szCs w:val="22"/>
        </w:rPr>
        <w:t>. London. Available at: https://www.legislation.gov.uk/ukpga/1990/19/contents (Accessed: July 8, 2026).</w:t>
      </w:r>
    </w:p>
    <w:p w14:paraId="2126E3AA" w14:textId="0D88ACBB" w:rsidR="00536225" w:rsidRPr="00536225" w:rsidRDefault="00536225" w:rsidP="00536225">
      <w:pPr>
        <w:spacing w:before="100" w:beforeAutospacing="1" w:after="100" w:afterAutospacing="1" w:line="360" w:lineRule="auto"/>
        <w:jc w:val="both"/>
        <w:rPr>
          <w:rFonts w:ascii="Arial" w:eastAsia="Times New Roman" w:hAnsi="Arial" w:cs="Arial"/>
          <w:color w:val="000000"/>
          <w:sz w:val="22"/>
          <w:szCs w:val="22"/>
        </w:rPr>
      </w:pPr>
      <w:r w:rsidRPr="00536225">
        <w:rPr>
          <w:rFonts w:ascii="Arial" w:eastAsia="Times New Roman" w:hAnsi="Arial" w:cs="Arial"/>
          <w:color w:val="000000"/>
          <w:sz w:val="22"/>
          <w:szCs w:val="22"/>
        </w:rPr>
        <w:lastRenderedPageBreak/>
        <w:t>Legislation UK (2010) </w:t>
      </w:r>
      <w:r w:rsidRPr="00536225">
        <w:rPr>
          <w:rFonts w:ascii="Arial" w:eastAsia="Times New Roman" w:hAnsi="Arial" w:cs="Arial"/>
          <w:i/>
          <w:iCs/>
          <w:color w:val="000000"/>
          <w:sz w:val="22"/>
          <w:szCs w:val="22"/>
        </w:rPr>
        <w:t>Care Act 2014</w:t>
      </w:r>
      <w:r w:rsidRPr="00536225">
        <w:rPr>
          <w:rFonts w:ascii="Arial" w:eastAsia="Times New Roman" w:hAnsi="Arial" w:cs="Arial"/>
          <w:color w:val="000000"/>
          <w:sz w:val="22"/>
          <w:szCs w:val="22"/>
        </w:rPr>
        <w:t>, </w:t>
      </w:r>
      <w:r w:rsidRPr="00536225">
        <w:rPr>
          <w:rFonts w:ascii="Arial" w:eastAsia="Times New Roman" w:hAnsi="Arial" w:cs="Arial"/>
          <w:i/>
          <w:iCs/>
          <w:color w:val="000000"/>
          <w:sz w:val="22"/>
          <w:szCs w:val="22"/>
        </w:rPr>
        <w:t>Legislation- Gov UK</w:t>
      </w:r>
      <w:r w:rsidRPr="00536225">
        <w:rPr>
          <w:rFonts w:ascii="Arial" w:eastAsia="Times New Roman" w:hAnsi="Arial" w:cs="Arial"/>
          <w:color w:val="000000"/>
          <w:sz w:val="22"/>
          <w:szCs w:val="22"/>
        </w:rPr>
        <w:t>. London: The Stationery Office. Available at: https://www.legislation.gov.uk/ukpga/2014/23/contents (Accessed: July 8, 2026).</w:t>
      </w:r>
    </w:p>
    <w:p w14:paraId="6BF8AAAD" w14:textId="77777777" w:rsidR="00536225" w:rsidRPr="00536225" w:rsidRDefault="00536225" w:rsidP="00536225">
      <w:pPr>
        <w:spacing w:before="100" w:beforeAutospacing="1" w:after="100" w:afterAutospacing="1" w:line="360" w:lineRule="auto"/>
        <w:jc w:val="both"/>
        <w:rPr>
          <w:rFonts w:ascii="Arial" w:eastAsia="Times New Roman" w:hAnsi="Arial" w:cs="Arial"/>
          <w:color w:val="000000"/>
          <w:sz w:val="22"/>
          <w:szCs w:val="22"/>
        </w:rPr>
      </w:pPr>
      <w:r w:rsidRPr="00536225">
        <w:rPr>
          <w:rFonts w:ascii="Arial" w:eastAsia="Times New Roman" w:hAnsi="Arial" w:cs="Arial"/>
          <w:color w:val="000000"/>
          <w:sz w:val="22"/>
          <w:szCs w:val="22"/>
        </w:rPr>
        <w:t>Skills for Care (2025) </w:t>
      </w:r>
      <w:proofErr w:type="gramStart"/>
      <w:r w:rsidRPr="00536225">
        <w:rPr>
          <w:rFonts w:ascii="Arial" w:eastAsia="Times New Roman" w:hAnsi="Arial" w:cs="Arial"/>
          <w:i/>
          <w:iCs/>
          <w:color w:val="000000"/>
          <w:sz w:val="22"/>
          <w:szCs w:val="22"/>
        </w:rPr>
        <w:t>The</w:t>
      </w:r>
      <w:proofErr w:type="gramEnd"/>
      <w:r w:rsidRPr="00536225">
        <w:rPr>
          <w:rFonts w:ascii="Arial" w:eastAsia="Times New Roman" w:hAnsi="Arial" w:cs="Arial"/>
          <w:i/>
          <w:iCs/>
          <w:color w:val="000000"/>
          <w:sz w:val="22"/>
          <w:szCs w:val="22"/>
        </w:rPr>
        <w:t xml:space="preserve"> state of the adult social care sector and workforce in England 2025</w:t>
      </w:r>
      <w:r w:rsidRPr="00536225">
        <w:rPr>
          <w:rFonts w:ascii="Arial" w:eastAsia="Times New Roman" w:hAnsi="Arial" w:cs="Arial"/>
          <w:color w:val="000000"/>
          <w:sz w:val="22"/>
          <w:szCs w:val="22"/>
        </w:rPr>
        <w:t>, </w:t>
      </w:r>
      <w:r w:rsidRPr="00536225">
        <w:rPr>
          <w:rFonts w:ascii="Arial" w:eastAsia="Times New Roman" w:hAnsi="Arial" w:cs="Arial"/>
          <w:i/>
          <w:iCs/>
          <w:color w:val="000000"/>
          <w:sz w:val="22"/>
          <w:szCs w:val="22"/>
        </w:rPr>
        <w:t>Skills for Care</w:t>
      </w:r>
      <w:r w:rsidRPr="00536225">
        <w:rPr>
          <w:rFonts w:ascii="Arial" w:eastAsia="Times New Roman" w:hAnsi="Arial" w:cs="Arial"/>
          <w:color w:val="000000"/>
          <w:sz w:val="22"/>
          <w:szCs w:val="22"/>
        </w:rPr>
        <w:t>. Leeds: Skills for Care. Available at: https://www.skillsforcare.org.uk/Adult-Social-Care-Workforce-Data/workforceintelligence/resources/Reports/National/The-state-of-the-adult-social-care-sector-and-workforce-in-England-2025.pdf (Accessed: July 8, 2026).</w:t>
      </w:r>
    </w:p>
    <w:p w14:paraId="3DB89859" w14:textId="77777777" w:rsidR="00536225" w:rsidRPr="00536225" w:rsidRDefault="00536225" w:rsidP="00536225">
      <w:pPr>
        <w:rPr>
          <w:rFonts w:ascii="Helvetica" w:eastAsia="Times New Roman" w:hAnsi="Helvetica" w:cs="Times New Roman"/>
          <w:color w:val="000000"/>
          <w:sz w:val="24"/>
          <w:szCs w:val="24"/>
        </w:rPr>
      </w:pPr>
    </w:p>
    <w:p w14:paraId="4D985F76" w14:textId="77777777" w:rsidR="00536225" w:rsidRPr="00536225" w:rsidRDefault="00536225" w:rsidP="00536225">
      <w:pPr>
        <w:rPr>
          <w:rFonts w:ascii="Helvetica" w:eastAsia="Times New Roman" w:hAnsi="Helvetica" w:cs="Times New Roman"/>
          <w:color w:val="000000"/>
          <w:sz w:val="24"/>
          <w:szCs w:val="24"/>
        </w:rPr>
      </w:pPr>
    </w:p>
    <w:p w14:paraId="149577FD" w14:textId="77777777" w:rsidR="00536225" w:rsidRDefault="00536225"/>
    <w:sectPr w:rsidR="00536225" w:rsidSect="00C905B4">
      <w:pgSz w:w="11906" w:h="16838"/>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16CAB6" w14:textId="77777777" w:rsidR="004A5D25" w:rsidRDefault="004A5D25" w:rsidP="005D2F67">
      <w:r>
        <w:separator/>
      </w:r>
    </w:p>
  </w:endnote>
  <w:endnote w:type="continuationSeparator" w:id="0">
    <w:p w14:paraId="6C22F1A1" w14:textId="77777777" w:rsidR="004A5D25" w:rsidRDefault="004A5D25" w:rsidP="005D2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Helvetica">
    <w:panose1 w:val="020B05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47510"/>
      <w:docPartObj>
        <w:docPartGallery w:val="Page Numbers (Bottom of Page)"/>
        <w:docPartUnique/>
      </w:docPartObj>
    </w:sdtPr>
    <w:sdtEndPr>
      <w:rPr>
        <w:color w:val="7F7F7F" w:themeColor="background1" w:themeShade="7F"/>
        <w:spacing w:val="60"/>
      </w:rPr>
    </w:sdtEndPr>
    <w:sdtContent>
      <w:p w14:paraId="4AE5A4D6" w14:textId="533054AC" w:rsidR="00C905B4" w:rsidRDefault="00C905B4">
        <w:pPr>
          <w:pStyle w:val="Footer"/>
          <w:pBdr>
            <w:top w:val="single" w:sz="4" w:space="1" w:color="D9D9D9" w:themeColor="background1" w:themeShade="D9"/>
          </w:pBdr>
          <w:jc w:val="right"/>
        </w:pPr>
        <w:r>
          <w:fldChar w:fldCharType="begin"/>
        </w:r>
        <w:r>
          <w:instrText>PAGE   \* MERGEFORMAT</w:instrText>
        </w:r>
        <w:r>
          <w:fldChar w:fldCharType="separate"/>
        </w:r>
        <w:r w:rsidR="0066552B">
          <w:rPr>
            <w:noProof/>
          </w:rPr>
          <w:t>6</w:t>
        </w:r>
        <w:r>
          <w:fldChar w:fldCharType="end"/>
        </w:r>
        <w:r>
          <w:t xml:space="preserve"> | </w:t>
        </w:r>
        <w:r>
          <w:rPr>
            <w:color w:val="7F7F7F" w:themeColor="background1" w:themeShade="7F"/>
            <w:spacing w:val="60"/>
          </w:rPr>
          <w:t>Page</w:t>
        </w:r>
      </w:p>
    </w:sdtContent>
  </w:sdt>
  <w:p w14:paraId="7C25BE17" w14:textId="77777777" w:rsidR="00C905B4" w:rsidRDefault="00C905B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6735297"/>
      <w:docPartObj>
        <w:docPartGallery w:val="Page Numbers (Bottom of Page)"/>
        <w:docPartUnique/>
      </w:docPartObj>
    </w:sdtPr>
    <w:sdtEndPr>
      <w:rPr>
        <w:color w:val="7F7F7F" w:themeColor="background1" w:themeShade="7F"/>
        <w:spacing w:val="60"/>
      </w:rPr>
    </w:sdtEndPr>
    <w:sdtContent>
      <w:p w14:paraId="68AFAEF3" w14:textId="77777777" w:rsidR="005D2F67" w:rsidRDefault="005D2F67">
        <w:pPr>
          <w:pStyle w:val="Footer"/>
          <w:pBdr>
            <w:top w:val="single" w:sz="4" w:space="1" w:color="D9D9D9" w:themeColor="background1" w:themeShade="D9"/>
          </w:pBdr>
          <w:jc w:val="right"/>
        </w:pPr>
        <w:r>
          <w:fldChar w:fldCharType="begin"/>
        </w:r>
        <w:r>
          <w:instrText>PAGE   \* MERGEFORMAT</w:instrText>
        </w:r>
        <w:r>
          <w:fldChar w:fldCharType="separate"/>
        </w:r>
        <w:r w:rsidR="0066552B">
          <w:rPr>
            <w:noProof/>
          </w:rPr>
          <w:t>4</w:t>
        </w:r>
        <w:r>
          <w:fldChar w:fldCharType="end"/>
        </w:r>
        <w:r>
          <w:t xml:space="preserve"> | </w:t>
        </w:r>
        <w:r>
          <w:rPr>
            <w:color w:val="7F7F7F" w:themeColor="background1" w:themeShade="7F"/>
            <w:spacing w:val="60"/>
          </w:rPr>
          <w:t>Page</w:t>
        </w:r>
      </w:p>
    </w:sdtContent>
  </w:sdt>
  <w:p w14:paraId="36D786DB" w14:textId="77777777" w:rsidR="005D2F67" w:rsidRDefault="005D2F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2BE37E" w14:textId="77777777" w:rsidR="004A5D25" w:rsidRDefault="004A5D25" w:rsidP="005D2F67">
      <w:r>
        <w:separator/>
      </w:r>
    </w:p>
  </w:footnote>
  <w:footnote w:type="continuationSeparator" w:id="0">
    <w:p w14:paraId="7699CF52" w14:textId="77777777" w:rsidR="004A5D25" w:rsidRDefault="004A5D25" w:rsidP="005D2F6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EC594F"/>
    <w:multiLevelType w:val="hybridMultilevel"/>
    <w:tmpl w:val="00A40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78014E"/>
    <w:multiLevelType w:val="hybridMultilevel"/>
    <w:tmpl w:val="678CC954"/>
    <w:lvl w:ilvl="0" w:tplc="3690C12E">
      <w:start w:val="1"/>
      <w:numFmt w:val="bullet"/>
      <w:lvlText w:val="●"/>
      <w:lvlJc w:val="left"/>
      <w:pPr>
        <w:ind w:left="720" w:hanging="360"/>
      </w:pPr>
    </w:lvl>
    <w:lvl w:ilvl="1" w:tplc="8BACBC38">
      <w:start w:val="1"/>
      <w:numFmt w:val="bullet"/>
      <w:lvlText w:val="○"/>
      <w:lvlJc w:val="left"/>
      <w:pPr>
        <w:ind w:left="1440" w:hanging="360"/>
      </w:pPr>
    </w:lvl>
    <w:lvl w:ilvl="2" w:tplc="4C1AF448">
      <w:start w:val="1"/>
      <w:numFmt w:val="bullet"/>
      <w:lvlText w:val="■"/>
      <w:lvlJc w:val="left"/>
      <w:pPr>
        <w:ind w:left="2160" w:hanging="360"/>
      </w:pPr>
    </w:lvl>
    <w:lvl w:ilvl="3" w:tplc="0B7AB920">
      <w:start w:val="1"/>
      <w:numFmt w:val="bullet"/>
      <w:lvlText w:val="●"/>
      <w:lvlJc w:val="left"/>
      <w:pPr>
        <w:ind w:left="2880" w:hanging="360"/>
      </w:pPr>
    </w:lvl>
    <w:lvl w:ilvl="4" w:tplc="7D4C4D0E">
      <w:start w:val="1"/>
      <w:numFmt w:val="bullet"/>
      <w:lvlText w:val="○"/>
      <w:lvlJc w:val="left"/>
      <w:pPr>
        <w:ind w:left="3600" w:hanging="360"/>
      </w:pPr>
    </w:lvl>
    <w:lvl w:ilvl="5" w:tplc="7A08EE6A">
      <w:start w:val="1"/>
      <w:numFmt w:val="bullet"/>
      <w:lvlText w:val="■"/>
      <w:lvlJc w:val="left"/>
      <w:pPr>
        <w:ind w:left="4320" w:hanging="360"/>
      </w:pPr>
    </w:lvl>
    <w:lvl w:ilvl="6" w:tplc="D9E25254">
      <w:start w:val="1"/>
      <w:numFmt w:val="bullet"/>
      <w:lvlText w:val="●"/>
      <w:lvlJc w:val="left"/>
      <w:pPr>
        <w:ind w:left="5040" w:hanging="360"/>
      </w:pPr>
    </w:lvl>
    <w:lvl w:ilvl="7" w:tplc="B5F86760">
      <w:start w:val="1"/>
      <w:numFmt w:val="bullet"/>
      <w:lvlText w:val="●"/>
      <w:lvlJc w:val="left"/>
      <w:pPr>
        <w:ind w:left="5760" w:hanging="360"/>
      </w:pPr>
    </w:lvl>
    <w:lvl w:ilvl="8" w:tplc="59801582">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326"/>
    <w:rsid w:val="0003265F"/>
    <w:rsid w:val="00177F2B"/>
    <w:rsid w:val="002B3CEB"/>
    <w:rsid w:val="00304C31"/>
    <w:rsid w:val="00330431"/>
    <w:rsid w:val="00444C61"/>
    <w:rsid w:val="004A5D25"/>
    <w:rsid w:val="00536225"/>
    <w:rsid w:val="0055118F"/>
    <w:rsid w:val="005D2F67"/>
    <w:rsid w:val="00640F45"/>
    <w:rsid w:val="0066552B"/>
    <w:rsid w:val="006704BF"/>
    <w:rsid w:val="006F3854"/>
    <w:rsid w:val="00867C3D"/>
    <w:rsid w:val="0095353C"/>
    <w:rsid w:val="009673AD"/>
    <w:rsid w:val="00BE73D2"/>
    <w:rsid w:val="00C905B4"/>
    <w:rsid w:val="00C9592B"/>
    <w:rsid w:val="00D22176"/>
    <w:rsid w:val="00D33326"/>
    <w:rsid w:val="00E240DF"/>
    <w:rsid w:val="00EB6C24"/>
    <w:rsid w:val="00F22778"/>
    <w:rsid w:val="00FF3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CAE0C"/>
  <w15:docId w15:val="{8A050E65-99B3-45F8-BCD4-AFD58DF6A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rsid w:val="00330431"/>
    <w:pPr>
      <w:spacing w:line="360" w:lineRule="auto"/>
      <w:jc w:val="both"/>
      <w:outlineLvl w:val="0"/>
    </w:pPr>
    <w:rPr>
      <w:rFonts w:ascii="Arial" w:hAnsi="Arial"/>
      <w:b/>
      <w:color w:val="000000" w:themeColor="text1"/>
      <w:sz w:val="32"/>
      <w:szCs w:val="32"/>
    </w:rPr>
  </w:style>
  <w:style w:type="paragraph" w:styleId="Heading2">
    <w:name w:val="heading 2"/>
    <w:uiPriority w:val="9"/>
    <w:unhideWhenUsed/>
    <w:qFormat/>
    <w:rsid w:val="00536225"/>
    <w:pPr>
      <w:spacing w:line="360" w:lineRule="auto"/>
      <w:jc w:val="both"/>
      <w:outlineLvl w:val="1"/>
    </w:pPr>
    <w:rPr>
      <w:rFonts w:ascii="Arial" w:hAnsi="Arial"/>
      <w:b/>
      <w:color w:val="000000" w:themeColor="text1"/>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BE73D2"/>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E73D2"/>
    <w:rPr>
      <w:rFonts w:asciiTheme="minorHAnsi" w:eastAsiaTheme="minorEastAsia" w:hAnsiTheme="minorHAnsi" w:cstheme="minorBidi"/>
      <w:sz w:val="22"/>
      <w:szCs w:val="22"/>
    </w:rPr>
  </w:style>
  <w:style w:type="paragraph" w:styleId="TOCHeading">
    <w:name w:val="TOC Heading"/>
    <w:basedOn w:val="Heading1"/>
    <w:next w:val="Normal"/>
    <w:uiPriority w:val="39"/>
    <w:unhideWhenUsed/>
    <w:qFormat/>
    <w:rsid w:val="00330431"/>
    <w:pPr>
      <w:keepNext/>
      <w:keepLines/>
      <w:spacing w:before="240" w:line="259" w:lineRule="auto"/>
      <w:jc w:val="left"/>
      <w:outlineLvl w:val="9"/>
    </w:pPr>
    <w:rPr>
      <w:rFonts w:asciiTheme="majorHAnsi" w:eastAsiaTheme="majorEastAsia" w:hAnsiTheme="majorHAnsi" w:cstheme="majorBidi"/>
      <w:b w:val="0"/>
      <w:color w:val="0F4761" w:themeColor="accent1" w:themeShade="BF"/>
    </w:rPr>
  </w:style>
  <w:style w:type="paragraph" w:styleId="TOC1">
    <w:name w:val="toc 1"/>
    <w:basedOn w:val="Normal"/>
    <w:next w:val="Normal"/>
    <w:autoRedefine/>
    <w:uiPriority w:val="39"/>
    <w:unhideWhenUsed/>
    <w:rsid w:val="00330431"/>
    <w:pPr>
      <w:spacing w:after="100"/>
    </w:pPr>
  </w:style>
  <w:style w:type="paragraph" w:styleId="TOC2">
    <w:name w:val="toc 2"/>
    <w:basedOn w:val="Normal"/>
    <w:next w:val="Normal"/>
    <w:autoRedefine/>
    <w:uiPriority w:val="39"/>
    <w:unhideWhenUsed/>
    <w:rsid w:val="00330431"/>
    <w:pPr>
      <w:spacing w:after="100"/>
      <w:ind w:left="200"/>
    </w:pPr>
  </w:style>
  <w:style w:type="paragraph" w:styleId="NormalWeb">
    <w:name w:val="Normal (Web)"/>
    <w:basedOn w:val="Normal"/>
    <w:uiPriority w:val="99"/>
    <w:unhideWhenUsed/>
    <w:rsid w:val="00536225"/>
    <w:pPr>
      <w:spacing w:before="100" w:beforeAutospacing="1" w:after="100" w:afterAutospacing="1"/>
    </w:pPr>
    <w:rPr>
      <w:rFonts w:ascii="Times New Roman" w:eastAsia="Times New Roman" w:hAnsi="Times New Roman" w:cs="Times New Roman"/>
      <w:sz w:val="24"/>
      <w:szCs w:val="24"/>
    </w:rPr>
  </w:style>
  <w:style w:type="character" w:customStyle="1" w:styleId="UnresolvedMention">
    <w:name w:val="Unresolved Mention"/>
    <w:basedOn w:val="DefaultParagraphFont"/>
    <w:uiPriority w:val="99"/>
    <w:semiHidden/>
    <w:unhideWhenUsed/>
    <w:rsid w:val="00536225"/>
    <w:rPr>
      <w:color w:val="605E5C"/>
      <w:shd w:val="clear" w:color="auto" w:fill="E1DFDD"/>
    </w:rPr>
  </w:style>
  <w:style w:type="paragraph" w:styleId="Header">
    <w:name w:val="header"/>
    <w:basedOn w:val="Normal"/>
    <w:link w:val="HeaderChar"/>
    <w:uiPriority w:val="99"/>
    <w:unhideWhenUsed/>
    <w:rsid w:val="005D2F67"/>
    <w:pPr>
      <w:tabs>
        <w:tab w:val="center" w:pos="4513"/>
        <w:tab w:val="right" w:pos="9026"/>
      </w:tabs>
    </w:pPr>
  </w:style>
  <w:style w:type="character" w:customStyle="1" w:styleId="HeaderChar">
    <w:name w:val="Header Char"/>
    <w:basedOn w:val="DefaultParagraphFont"/>
    <w:link w:val="Header"/>
    <w:uiPriority w:val="99"/>
    <w:rsid w:val="005D2F67"/>
  </w:style>
  <w:style w:type="paragraph" w:styleId="Footer">
    <w:name w:val="footer"/>
    <w:basedOn w:val="Normal"/>
    <w:link w:val="FooterChar"/>
    <w:uiPriority w:val="99"/>
    <w:unhideWhenUsed/>
    <w:rsid w:val="005D2F67"/>
    <w:pPr>
      <w:tabs>
        <w:tab w:val="center" w:pos="4513"/>
        <w:tab w:val="right" w:pos="9026"/>
      </w:tabs>
    </w:pPr>
  </w:style>
  <w:style w:type="character" w:customStyle="1" w:styleId="FooterChar">
    <w:name w:val="Footer Char"/>
    <w:basedOn w:val="DefaultParagraphFont"/>
    <w:link w:val="Footer"/>
    <w:uiPriority w:val="99"/>
    <w:rsid w:val="005D2F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chart" Target="charts/chart2.xml"/><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microsoft.com/office/2007/relationships/diagramDrawing" Target="diagrams/drawing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Calibri" panose="020F0502020204030204" pitchFamily="34" charset="0"/>
                <a:cs typeface="Calibri" panose="020F0502020204030204" pitchFamily="34" charset="0"/>
              </a:defRPr>
            </a:pPr>
            <a:r>
              <a:rPr lang="en-US" sz="1000">
                <a:latin typeface="Calibri" panose="020F0502020204030204" pitchFamily="34" charset="0"/>
                <a:ea typeface="Calibri" panose="020F0502020204030204" pitchFamily="34" charset="0"/>
                <a:cs typeface="Calibri" panose="020F0502020204030204" pitchFamily="34" charset="0"/>
              </a:rPr>
              <a:t>Patient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Calibri" panose="020F0502020204030204" pitchFamily="34" charset="0"/>
              <a:cs typeface="Calibri" panose="020F0502020204030204" pitchFamily="34" charset="0"/>
            </a:defRPr>
          </a:pPr>
          <a:endParaRPr lang="en-US"/>
        </a:p>
      </c:txPr>
    </c:title>
    <c:autoTitleDeleted val="0"/>
    <c:plotArea>
      <c:layout>
        <c:manualLayout>
          <c:layoutTarget val="inner"/>
          <c:xMode val="edge"/>
          <c:yMode val="edge"/>
          <c:x val="0.35349669980449555"/>
          <c:y val="0.24156725918242256"/>
          <c:w val="0.26956421422121996"/>
          <c:h val="0.68857246137645955"/>
        </c:manualLayout>
      </c:layout>
      <c:doughnutChart>
        <c:varyColors val="1"/>
        <c:ser>
          <c:idx val="0"/>
          <c:order val="0"/>
          <c:tx>
            <c:strRef>
              <c:f>Sheet1!$B$1</c:f>
              <c:strCache>
                <c:ptCount val="1"/>
                <c:pt idx="0">
                  <c:v>Patient Satisfaction</c:v>
                </c:pt>
              </c:strCache>
            </c:strRef>
          </c:tx>
          <c:spPr>
            <a:ln>
              <a:solidFill>
                <a:schemeClr val="accent2"/>
              </a:solidFill>
            </a:ln>
          </c:spPr>
          <c:dPt>
            <c:idx val="0"/>
            <c:bubble3D val="0"/>
            <c:spPr>
              <a:solidFill>
                <a:srgbClr val="009999"/>
              </a:solidFill>
              <a:ln w="19050">
                <a:solidFill>
                  <a:schemeClr val="tx1">
                    <a:lumMod val="50000"/>
                    <a:lumOff val="50000"/>
                  </a:schemeClr>
                </a:solidFill>
              </a:ln>
              <a:effectLst/>
            </c:spPr>
            <c:extLst xmlns:c16r2="http://schemas.microsoft.com/office/drawing/2015/06/chart">
              <c:ext xmlns:c16="http://schemas.microsoft.com/office/drawing/2014/chart" uri="{C3380CC4-5D6E-409C-BE32-E72D297353CC}">
                <c16:uniqueId val="{00000001-16D6-4891-AF0B-562A32453641}"/>
              </c:ext>
            </c:extLst>
          </c:dPt>
          <c:dPt>
            <c:idx val="1"/>
            <c:bubble3D val="0"/>
            <c:spPr>
              <a:solidFill>
                <a:schemeClr val="bg2">
                  <a:lumMod val="90000"/>
                </a:schemeClr>
              </a:solidFill>
              <a:ln w="19050">
                <a:solidFill>
                  <a:schemeClr val="tx1">
                    <a:lumMod val="50000"/>
                    <a:lumOff val="50000"/>
                  </a:schemeClr>
                </a:solidFill>
              </a:ln>
              <a:effectLst/>
            </c:spPr>
            <c:extLst xmlns:c16r2="http://schemas.microsoft.com/office/drawing/2015/06/chart">
              <c:ext xmlns:c16="http://schemas.microsoft.com/office/drawing/2014/chart" uri="{C3380CC4-5D6E-409C-BE32-E72D297353CC}">
                <c16:uniqueId val="{00000003-16D6-4891-AF0B-562A32453641}"/>
              </c:ext>
            </c:extLst>
          </c:dPt>
          <c:dLbls>
            <c:dLbl>
              <c:idx val="0"/>
              <c:layout>
                <c:manualLayout>
                  <c:x val="-5.0791170150420076E-2"/>
                  <c:y val="-0.24950099800399211"/>
                </c:manualLayout>
              </c:layout>
              <c:tx>
                <c:rich>
                  <a:bodyPr rot="0" spcFirstLastPara="1" vertOverflow="ellipsis" vert="horz" wrap="square" lIns="38100" tIns="19050" rIns="38100" bIns="19050" anchor="ctr" anchorCtr="1">
                    <a:spAutoFit/>
                  </a:bodyPr>
                  <a:lstStyle/>
                  <a:p>
                    <a:pPr>
                      <a:defRPr sz="1600" b="0" i="0" u="none" strike="noStrike" kern="1200" baseline="0">
                        <a:solidFill>
                          <a:schemeClr val="tx1">
                            <a:lumMod val="75000"/>
                            <a:lumOff val="25000"/>
                          </a:schemeClr>
                        </a:solidFill>
                        <a:latin typeface="Aharoni" panose="02010803020104030203" pitchFamily="2" charset="-79"/>
                        <a:ea typeface="ADLaM Display" panose="02010000000000000000" pitchFamily="2" charset="0"/>
                        <a:cs typeface="Aharoni" panose="02010803020104030203" pitchFamily="2" charset="-79"/>
                      </a:defRPr>
                    </a:pPr>
                    <a:r>
                      <a:rPr lang="en-US" sz="1600" b="1">
                        <a:solidFill>
                          <a:srgbClr val="009999"/>
                        </a:solidFill>
                        <a:latin typeface="Aharoni" panose="02010803020104030203" pitchFamily="2" charset="-79"/>
                        <a:ea typeface="ADLaM Display" panose="02010000000000000000" pitchFamily="2" charset="0"/>
                        <a:cs typeface="Aharoni" panose="02010803020104030203" pitchFamily="2" charset="-79"/>
                      </a:rPr>
                      <a:t>86%</a:t>
                    </a:r>
                  </a:p>
                </c:rich>
              </c:tx>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tx1">
                          <a:lumMod val="75000"/>
                          <a:lumOff val="25000"/>
                        </a:schemeClr>
                      </a:solidFill>
                      <a:latin typeface="Aharoni" panose="02010803020104030203" pitchFamily="2" charset="-79"/>
                      <a:ea typeface="ADLaM Display" panose="02010000000000000000" pitchFamily="2" charset="0"/>
                      <a:cs typeface="Aharoni" panose="02010803020104030203" pitchFamily="2" charset="-79"/>
                    </a:defRPr>
                  </a:pPr>
                  <a:endParaRPr lang="en-US"/>
                </a:p>
              </c:txP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16D6-4891-AF0B-562A32453641}"/>
                </c:ext>
                <c:ext xmlns:c15="http://schemas.microsoft.com/office/drawing/2012/chart" uri="{CE6537A1-D6FC-4f65-9D91-7224C49458BB}"/>
              </c:extLst>
            </c:dLbl>
            <c:dLbl>
              <c:idx val="1"/>
              <c:delete val="1"/>
              <c:extLst xmlns:c16r2="http://schemas.microsoft.com/office/drawing/2015/06/chart">
                <c:ext xmlns:c16="http://schemas.microsoft.com/office/drawing/2014/chart" uri="{C3380CC4-5D6E-409C-BE32-E72D297353CC}">
                  <c16:uniqueId val="{00000003-16D6-4891-AF0B-562A32453641}"/>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extLst>
          </c:dLbls>
          <c:cat>
            <c:strRef>
              <c:f>Sheet1!$A$2:$A$3</c:f>
              <c:strCache>
                <c:ptCount val="1"/>
                <c:pt idx="0">
                  <c:v>Patients satisfied with Pharmacy First</c:v>
                </c:pt>
              </c:strCache>
            </c:strRef>
          </c:cat>
          <c:val>
            <c:numRef>
              <c:f>Sheet1!$B$2:$B$3</c:f>
              <c:numCache>
                <c:formatCode>General</c:formatCode>
                <c:ptCount val="2"/>
                <c:pt idx="0" formatCode="0%">
                  <c:v>86</c:v>
                </c:pt>
                <c:pt idx="1">
                  <c:v>14</c:v>
                </c:pt>
              </c:numCache>
            </c:numRef>
          </c:val>
          <c:extLst xmlns:c16r2="http://schemas.microsoft.com/office/drawing/2015/06/chart">
            <c:ext xmlns:c16="http://schemas.microsoft.com/office/drawing/2014/chart" uri="{C3380CC4-5D6E-409C-BE32-E72D297353CC}">
              <c16:uniqueId val="{00000004-16D6-4891-AF0B-562A32453641}"/>
            </c:ext>
          </c:extLst>
        </c:ser>
        <c:dLbls>
          <c:showLegendKey val="0"/>
          <c:showVal val="0"/>
          <c:showCatName val="0"/>
          <c:showSerName val="0"/>
          <c:showPercent val="0"/>
          <c:showBubbleSize val="0"/>
          <c:showLeaderLines val="0"/>
        </c:dLbls>
        <c:firstSliceAng val="0"/>
        <c:holeSize val="75"/>
      </c:doughnutChart>
      <c:spPr>
        <a:noFill/>
        <a:ln>
          <a:noFill/>
        </a:ln>
        <a:effectLst/>
      </c:spPr>
    </c:plotArea>
    <c:legend>
      <c:legendPos val="r"/>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US" sz="1000" b="1">
                <a:solidFill>
                  <a:srgbClr val="009999"/>
                </a:solidFill>
              </a:rPr>
              <a:t>Pharmacy First</a:t>
            </a:r>
            <a:r>
              <a:rPr lang="en-US" sz="1000" b="1" baseline="0">
                <a:solidFill>
                  <a:srgbClr val="009999"/>
                </a:solidFill>
              </a:rPr>
              <a:t> Consultations: Year-on-Year Growth</a:t>
            </a:r>
            <a:endParaRPr lang="en-US" sz="1000" b="1">
              <a:solidFill>
                <a:srgbClr val="009999"/>
              </a:solidFill>
            </a:endParaRP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NHS Ambulance Response Time Targets by Category</c:v>
                </c:pt>
              </c:strCache>
            </c:strRef>
          </c:tx>
          <c:spPr>
            <a:solidFill>
              <a:srgbClr val="006666"/>
            </a:solidFill>
            <a:ln>
              <a:noFill/>
            </a:ln>
            <a:effectLst/>
          </c:spPr>
          <c:invertIfNegative val="0"/>
          <c:dPt>
            <c:idx val="1"/>
            <c:invertIfNegative val="0"/>
            <c:bubble3D val="0"/>
            <c:spPr>
              <a:solidFill>
                <a:srgbClr val="FF6600"/>
              </a:solidFill>
              <a:ln>
                <a:noFill/>
              </a:ln>
              <a:effectLst/>
            </c:spPr>
            <c:extLst xmlns:c16r2="http://schemas.microsoft.com/office/drawing/2015/06/chart">
              <c:ext xmlns:c16="http://schemas.microsoft.com/office/drawing/2014/chart" uri="{C3380CC4-5D6E-409C-BE32-E72D297353CC}">
                <c16:uniqueId val="{00000001-1AEA-43B1-8AEF-0B85F28C9236}"/>
              </c:ext>
            </c:extLst>
          </c:dPt>
          <c:dLbls>
            <c:dLbl>
              <c:idx val="0"/>
              <c:tx>
                <c:rich>
                  <a:bodyPr/>
                  <a:lstStyle/>
                  <a:p>
                    <a:r>
                      <a:rPr lang="en-US"/>
                      <a:t>approx</a:t>
                    </a:r>
                    <a:r>
                      <a:rPr lang="en-US" baseline="0"/>
                      <a:t>. </a:t>
                    </a:r>
                    <a:fld id="{622FD6F7-26E4-4DE5-A22F-491A7EC454D2}" type="VALUE">
                      <a:rPr lang="en-US"/>
                      <a:pPr/>
                      <a:t>[VALUE]</a:t>
                    </a:fld>
                    <a:r>
                      <a:rPr lang="en-US"/>
                      <a:t>m</a:t>
                    </a:r>
                  </a:p>
                </c:rich>
              </c:tx>
              <c:dLblPos val="outEnd"/>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1AEA-43B1-8AEF-0B85F28C9236}"/>
                </c:ext>
                <c:ext xmlns:c15="http://schemas.microsoft.com/office/drawing/2012/chart" uri="{CE6537A1-D6FC-4f65-9D91-7224C49458BB}">
                  <c15:dlblFieldTable/>
                  <c15:showDataLabelsRange val="0"/>
                </c:ext>
              </c:extLst>
            </c:dLbl>
            <c:dLbl>
              <c:idx val="1"/>
              <c:tx>
                <c:rich>
                  <a:bodyPr/>
                  <a:lstStyle/>
                  <a:p>
                    <a:fld id="{FABA1E05-63B0-40E4-9E54-7C9314086DB4}" type="VALUE">
                      <a:rPr lang="en-US"/>
                      <a:pPr/>
                      <a:t>[VALUE]</a:t>
                    </a:fld>
                    <a:r>
                      <a:rPr lang="en-US"/>
                      <a:t>m (+43%)</a:t>
                    </a:r>
                  </a:p>
                </c:rich>
              </c:tx>
              <c:dLblPos val="outEnd"/>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1AEA-43B1-8AEF-0B85F28C9236}"/>
                </c:ex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2024/25 (approx.)</c:v>
                </c:pt>
                <c:pt idx="1">
                  <c:v>2025/26</c:v>
                </c:pt>
              </c:strCache>
            </c:strRef>
          </c:cat>
          <c:val>
            <c:numRef>
              <c:f>Sheet1!$B$2:$B$3</c:f>
              <c:numCache>
                <c:formatCode>General</c:formatCode>
                <c:ptCount val="2"/>
                <c:pt idx="0">
                  <c:v>2.2999999999999998</c:v>
                </c:pt>
                <c:pt idx="1">
                  <c:v>3.3</c:v>
                </c:pt>
              </c:numCache>
            </c:numRef>
          </c:val>
          <c:extLst xmlns:c16r2="http://schemas.microsoft.com/office/drawing/2015/06/chart">
            <c:ext xmlns:c16="http://schemas.microsoft.com/office/drawing/2014/chart" uri="{C3380CC4-5D6E-409C-BE32-E72D297353CC}">
              <c16:uniqueId val="{00000003-1AEA-43B1-8AEF-0B85F28C9236}"/>
            </c:ext>
          </c:extLst>
        </c:ser>
        <c:dLbls>
          <c:dLblPos val="outEnd"/>
          <c:showLegendKey val="0"/>
          <c:showVal val="1"/>
          <c:showCatName val="0"/>
          <c:showSerName val="0"/>
          <c:showPercent val="0"/>
          <c:showBubbleSize val="0"/>
        </c:dLbls>
        <c:gapWidth val="219"/>
        <c:overlap val="-27"/>
        <c:axId val="-281687680"/>
        <c:axId val="-281682240"/>
      </c:barChart>
      <c:catAx>
        <c:axId val="-281687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682240"/>
        <c:crosses val="autoZero"/>
        <c:auto val="1"/>
        <c:lblAlgn val="ctr"/>
        <c:lblOffset val="100"/>
        <c:noMultiLvlLbl val="0"/>
      </c:catAx>
      <c:valAx>
        <c:axId val="-281682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Pharmacy First</a:t>
                </a:r>
                <a:r>
                  <a:rPr lang="en-GB" baseline="0"/>
                  <a:t> Consultations (million)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68768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1" i="0" u="none" strike="noStrike" baseline="0">
                <a:solidFill>
                  <a:srgbClr val="009999"/>
                </a:solidFill>
                <a:effectLst/>
              </a:rPr>
              <a:t>Community Pharmacies in England: Then vs Now </a:t>
            </a:r>
            <a:endParaRPr lang="en-US" sz="1000" b="1">
              <a:solidFill>
                <a:srgbClr val="009999"/>
              </a:solidFill>
            </a:endParaRP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Community Pharmacies in England: Then vs Now</c:v>
                </c:pt>
              </c:strCache>
            </c:strRef>
          </c:tx>
          <c:spPr>
            <a:solidFill>
              <a:srgbClr val="006666"/>
            </a:solidFill>
            <a:ln>
              <a:noFill/>
            </a:ln>
            <a:effectLst/>
          </c:spPr>
          <c:invertIfNegative val="0"/>
          <c:dPt>
            <c:idx val="1"/>
            <c:invertIfNegative val="0"/>
            <c:bubble3D val="0"/>
            <c:spPr>
              <a:solidFill>
                <a:srgbClr val="FF6600"/>
              </a:solidFill>
              <a:ln>
                <a:noFill/>
              </a:ln>
              <a:effectLst/>
            </c:spPr>
            <c:extLst xmlns:c16r2="http://schemas.microsoft.com/office/drawing/2015/06/chart">
              <c:ext xmlns:c16="http://schemas.microsoft.com/office/drawing/2014/chart" uri="{C3380CC4-5D6E-409C-BE32-E72D297353CC}">
                <c16:uniqueId val="{00000001-4BF1-4B0E-B3B5-5857B66DC2BA}"/>
              </c:ext>
            </c:extLst>
          </c:dPt>
          <c:dLbls>
            <c:dLbl>
              <c:idx val="0"/>
              <c:tx>
                <c:rich>
                  <a:bodyPr/>
                  <a:lstStyle/>
                  <a:p>
                    <a:r>
                      <a:rPr lang="en-US"/>
                      <a:t>approx</a:t>
                    </a:r>
                    <a:r>
                      <a:rPr lang="en-US" baseline="0"/>
                      <a:t>. </a:t>
                    </a:r>
                    <a:fld id="{622FD6F7-26E4-4DE5-A22F-491A7EC454D2}" type="VALUE">
                      <a:rPr lang="en-US"/>
                      <a:pPr/>
                      <a:t>[VALUE]</a:t>
                    </a:fld>
                    <a:endParaRPr lang="en-US" baseline="0"/>
                  </a:p>
                </c:rich>
              </c:tx>
              <c:dLblPos val="outEnd"/>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4BF1-4B0E-B3B5-5857B66DC2BA}"/>
                </c:ext>
                <c:ext xmlns:c15="http://schemas.microsoft.com/office/drawing/2012/chart" uri="{CE6537A1-D6FC-4f65-9D91-7224C49458BB}">
                  <c15:dlblFieldTable/>
                  <c15:showDataLabelsRange val="0"/>
                </c:ext>
              </c:extLst>
            </c:dLbl>
            <c:dLbl>
              <c:idx val="1"/>
              <c:tx>
                <c:rich>
                  <a:bodyPr/>
                  <a:lstStyle/>
                  <a:p>
                    <a:r>
                      <a:rPr lang="en-US"/>
                      <a:t>approx. </a:t>
                    </a:r>
                    <a:fld id="{FABA1E05-63B0-40E4-9E54-7C9314086DB4}" type="VALUE">
                      <a:rPr lang="en-US"/>
                      <a:pPr/>
                      <a:t>[VALUE]</a:t>
                    </a:fld>
                    <a:r>
                      <a:rPr lang="en-US"/>
                      <a:t> </a:t>
                    </a:r>
                  </a:p>
                </c:rich>
              </c:tx>
              <c:dLblPos val="outEnd"/>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4BF1-4B0E-B3B5-5857B66DC2BA}"/>
                </c:ex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10 years ago</c:v>
                </c:pt>
                <c:pt idx="1">
                  <c:v>Now</c:v>
                </c:pt>
              </c:strCache>
            </c:strRef>
          </c:cat>
          <c:val>
            <c:numRef>
              <c:f>Sheet1!$B$2:$B$3</c:f>
              <c:numCache>
                <c:formatCode>General</c:formatCode>
                <c:ptCount val="2"/>
                <c:pt idx="0">
                  <c:v>11600</c:v>
                </c:pt>
                <c:pt idx="1">
                  <c:v>10500</c:v>
                </c:pt>
              </c:numCache>
            </c:numRef>
          </c:val>
          <c:extLst xmlns:c16r2="http://schemas.microsoft.com/office/drawing/2015/06/chart">
            <c:ext xmlns:c16="http://schemas.microsoft.com/office/drawing/2014/chart" uri="{C3380CC4-5D6E-409C-BE32-E72D297353CC}">
              <c16:uniqueId val="{00000003-4BF1-4B0E-B3B5-5857B66DC2BA}"/>
            </c:ext>
          </c:extLst>
        </c:ser>
        <c:dLbls>
          <c:dLblPos val="outEnd"/>
          <c:showLegendKey val="0"/>
          <c:showVal val="1"/>
          <c:showCatName val="0"/>
          <c:showSerName val="0"/>
          <c:showPercent val="0"/>
          <c:showBubbleSize val="0"/>
        </c:dLbls>
        <c:gapWidth val="219"/>
        <c:overlap val="-27"/>
        <c:axId val="-281681696"/>
        <c:axId val="-281685504"/>
      </c:barChart>
      <c:catAx>
        <c:axId val="-281681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685504"/>
        <c:crosses val="autoZero"/>
        <c:auto val="1"/>
        <c:lblAlgn val="ctr"/>
        <c:lblOffset val="100"/>
        <c:noMultiLvlLbl val="0"/>
      </c:catAx>
      <c:valAx>
        <c:axId val="-281685504"/>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Community pharmacies</a:t>
                </a:r>
                <a:r>
                  <a:rPr lang="en-GB" baseline="0"/>
                  <a:t> in England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681696"/>
        <c:crosses val="autoZero"/>
        <c:crossBetween val="between"/>
        <c:majorUnit val="200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F66196-DD7B-43E8-88A2-5718EB1AD829}" type="doc">
      <dgm:prSet loTypeId="urn:microsoft.com/office/officeart/2024/layout/BulletTimelineInverted" loCatId="timeline" qsTypeId="urn:microsoft.com/office/officeart/2005/8/quickstyle/simple1" qsCatId="simple" csTypeId="urn:microsoft.com/office/officeart/2005/8/colors/accent2_1" csCatId="accent2" phldr="1"/>
      <dgm:spPr/>
      <dgm:t>
        <a:bodyPr/>
        <a:lstStyle/>
        <a:p>
          <a:endParaRPr lang="en-GB"/>
        </a:p>
      </dgm:t>
    </dgm:pt>
    <dgm:pt modelId="{0B85A805-0E02-49EB-A736-E15EE7068BA4}">
      <dgm:prSet phldrT="Add an event" custT="1"/>
      <dgm:spPr/>
      <dgm:t>
        <a:bodyPr/>
        <a:lstStyle/>
        <a:p>
          <a:pPr>
            <a:defRPr b="1"/>
          </a:pPr>
          <a:r>
            <a:rPr lang="en-GB" sz="800"/>
            <a:t>Traditional</a:t>
          </a:r>
        </a:p>
      </dgm:t>
    </dgm:pt>
    <dgm:pt modelId="{1ACB1E43-D119-4B20-A46B-F8B8EF87C6A3}" type="parTrans" cxnId="{A753C618-52DB-4862-BB1C-EB72CA8ED60A}">
      <dgm:prSet/>
      <dgm:spPr/>
      <dgm:t>
        <a:bodyPr/>
        <a:lstStyle/>
        <a:p>
          <a:pPr algn="ctr"/>
          <a:endParaRPr lang="en-GB" sz="800"/>
        </a:p>
      </dgm:t>
    </dgm:pt>
    <dgm:pt modelId="{AE8AD8DC-7EEB-45BB-8400-CD4DE000AEC9}" type="sibTrans" cxnId="{A753C618-52DB-4862-BB1C-EB72CA8ED60A}">
      <dgm:prSet/>
      <dgm:spPr/>
      <dgm:t>
        <a:bodyPr/>
        <a:lstStyle/>
        <a:p>
          <a:pPr algn="ctr"/>
          <a:endParaRPr lang="en-GB" sz="800"/>
        </a:p>
      </dgm:t>
    </dgm:pt>
    <dgm:pt modelId="{3A6729B0-C218-4D01-9E99-2DA65D5A46FE}">
      <dgm:prSet phldrT="Write a description of the significance of this event" custT="1"/>
      <dgm:spPr/>
      <dgm:t>
        <a:bodyPr/>
        <a:lstStyle/>
        <a:p>
          <a:pPr>
            <a:defRPr b="1"/>
          </a:pPr>
          <a:r>
            <a:rPr lang="en-GB" sz="800"/>
            <a:t>2005</a:t>
          </a:r>
        </a:p>
      </dgm:t>
    </dgm:pt>
    <dgm:pt modelId="{30B4B015-2CAE-43D9-AE95-D0A181D7F5C3}" type="parTrans" cxnId="{004AA1CF-575B-4C42-83F0-870B5486BE64}">
      <dgm:prSet/>
      <dgm:spPr/>
      <dgm:t>
        <a:bodyPr/>
        <a:lstStyle/>
        <a:p>
          <a:pPr algn="ctr"/>
          <a:endParaRPr lang="en-GB" sz="800"/>
        </a:p>
      </dgm:t>
    </dgm:pt>
    <dgm:pt modelId="{3C9FFFC9-ACD9-46D0-BF7D-819241B6CC00}" type="sibTrans" cxnId="{004AA1CF-575B-4C42-83F0-870B5486BE64}">
      <dgm:prSet/>
      <dgm:spPr/>
      <dgm:t>
        <a:bodyPr/>
        <a:lstStyle/>
        <a:p>
          <a:pPr algn="ctr"/>
          <a:endParaRPr lang="en-GB" sz="800"/>
        </a:p>
      </dgm:t>
    </dgm:pt>
    <dgm:pt modelId="{5CAC1D8D-566D-4740-9ED6-1D6555ADBD33}">
      <dgm:prSet phldrT="Write a description of the significance of this event" custT="1"/>
      <dgm:spPr/>
      <dgm:t>
        <a:bodyPr/>
        <a:lstStyle/>
        <a:p>
          <a:pPr>
            <a:defRPr b="1"/>
          </a:pPr>
          <a:r>
            <a:rPr lang="en-GB" sz="800"/>
            <a:t>2026</a:t>
          </a:r>
        </a:p>
      </dgm:t>
    </dgm:pt>
    <dgm:pt modelId="{1303714C-64F7-4C7D-B809-C35FDA376753}" type="parTrans" cxnId="{D6A51E80-7037-4451-8EE0-83310D2CDDEA}">
      <dgm:prSet/>
      <dgm:spPr/>
      <dgm:t>
        <a:bodyPr/>
        <a:lstStyle/>
        <a:p>
          <a:pPr algn="ctr"/>
          <a:endParaRPr lang="en-GB" sz="800"/>
        </a:p>
      </dgm:t>
    </dgm:pt>
    <dgm:pt modelId="{F496B7EA-94F5-4745-8C53-98B16268E56A}" type="sibTrans" cxnId="{D6A51E80-7037-4451-8EE0-83310D2CDDEA}">
      <dgm:prSet/>
      <dgm:spPr/>
      <dgm:t>
        <a:bodyPr/>
        <a:lstStyle/>
        <a:p>
          <a:pPr algn="ctr"/>
          <a:endParaRPr lang="en-GB" sz="800"/>
        </a:p>
      </dgm:t>
    </dgm:pt>
    <dgm:pt modelId="{9FA5FFFE-D800-4E9B-8DB8-76980670064D}">
      <dgm:prSet phldrT="Write a description of the significance of this event" custT="1"/>
      <dgm:spPr/>
      <dgm:t>
        <a:bodyPr/>
        <a:lstStyle/>
        <a:p>
          <a:pPr>
            <a:defRPr b="1"/>
          </a:pPr>
          <a:r>
            <a:rPr lang="en-GB" sz="800"/>
            <a:t>2019</a:t>
          </a:r>
        </a:p>
      </dgm:t>
    </dgm:pt>
    <dgm:pt modelId="{DEDB6E34-1F78-448B-9B23-FCEC582B4476}" type="parTrans" cxnId="{220F48F1-0A32-4963-B0F4-A9F58A9E1F16}">
      <dgm:prSet/>
      <dgm:spPr/>
      <dgm:t>
        <a:bodyPr/>
        <a:lstStyle/>
        <a:p>
          <a:endParaRPr lang="en-GB" sz="800"/>
        </a:p>
      </dgm:t>
    </dgm:pt>
    <dgm:pt modelId="{3BF6532C-A491-4F8B-86A7-95E3FC28605D}" type="sibTrans" cxnId="{220F48F1-0A32-4963-B0F4-A9F58A9E1F16}">
      <dgm:prSet/>
      <dgm:spPr/>
      <dgm:t>
        <a:bodyPr/>
        <a:lstStyle/>
        <a:p>
          <a:endParaRPr lang="en-GB" sz="800"/>
        </a:p>
      </dgm:t>
    </dgm:pt>
    <dgm:pt modelId="{EC9B4D4C-D53F-4E56-BA56-764C33577DD9}">
      <dgm:prSet phldrT="Write a description of the significance of this event" custT="1"/>
      <dgm:spPr/>
      <dgm:t>
        <a:bodyPr/>
        <a:lstStyle/>
        <a:p>
          <a:pPr>
            <a:defRPr b="1"/>
          </a:pPr>
          <a:r>
            <a:rPr lang="en-GB" sz="800"/>
            <a:t>2024</a:t>
          </a:r>
        </a:p>
      </dgm:t>
    </dgm:pt>
    <dgm:pt modelId="{F099F984-8F18-40A4-A362-3591A421AFBB}" type="parTrans" cxnId="{0B90947A-56C8-4492-BA6F-CAF63E87CDB3}">
      <dgm:prSet/>
      <dgm:spPr/>
      <dgm:t>
        <a:bodyPr/>
        <a:lstStyle/>
        <a:p>
          <a:endParaRPr lang="en-GB" sz="800"/>
        </a:p>
      </dgm:t>
    </dgm:pt>
    <dgm:pt modelId="{E7A08BEA-6852-4CAD-B786-C0F0DB18656F}" type="sibTrans" cxnId="{0B90947A-56C8-4492-BA6F-CAF63E87CDB3}">
      <dgm:prSet/>
      <dgm:spPr/>
      <dgm:t>
        <a:bodyPr/>
        <a:lstStyle/>
        <a:p>
          <a:endParaRPr lang="en-GB" sz="800"/>
        </a:p>
      </dgm:t>
    </dgm:pt>
    <dgm:pt modelId="{DC8E2DBA-D0D4-4C51-BB25-34F5B8509414}">
      <dgm:prSet phldrT="Write a description of the significance of this event" custT="1"/>
      <dgm:spPr/>
      <dgm:t>
        <a:bodyPr/>
        <a:lstStyle/>
        <a:p>
          <a:r>
            <a:rPr lang="en-GB" sz="800"/>
            <a:t>Pharmacy First</a:t>
          </a:r>
        </a:p>
      </dgm:t>
    </dgm:pt>
    <dgm:pt modelId="{D74E4495-5020-4047-9CEF-4208BDC4610E}" type="parTrans" cxnId="{B8A21941-2CC7-44B2-BB80-F033914C0636}">
      <dgm:prSet/>
      <dgm:spPr/>
      <dgm:t>
        <a:bodyPr/>
        <a:lstStyle/>
        <a:p>
          <a:endParaRPr lang="en-GB" sz="800"/>
        </a:p>
      </dgm:t>
    </dgm:pt>
    <dgm:pt modelId="{75163FFD-2A56-4CCE-B8FA-8C00DBC648BB}" type="sibTrans" cxnId="{B8A21941-2CC7-44B2-BB80-F033914C0636}">
      <dgm:prSet/>
      <dgm:spPr/>
      <dgm:t>
        <a:bodyPr/>
        <a:lstStyle/>
        <a:p>
          <a:endParaRPr lang="en-GB" sz="800"/>
        </a:p>
      </dgm:t>
    </dgm:pt>
    <dgm:pt modelId="{8A45117D-2FB1-4F92-A2FC-825E03C35A2C}">
      <dgm:prSet phldrT="Write a description of the significance of this event" custT="1"/>
      <dgm:spPr/>
      <dgm:t>
        <a:bodyPr/>
        <a:lstStyle/>
        <a:p>
          <a:r>
            <a:rPr lang="en-GB" sz="800"/>
            <a:t>CPCS</a:t>
          </a:r>
        </a:p>
      </dgm:t>
    </dgm:pt>
    <dgm:pt modelId="{C2B510C6-A7F3-4A95-9BBA-939ECA01C87A}" type="parTrans" cxnId="{18C8BAC2-84BA-4BEF-AA65-75DD75827232}">
      <dgm:prSet/>
      <dgm:spPr/>
      <dgm:t>
        <a:bodyPr/>
        <a:lstStyle/>
        <a:p>
          <a:endParaRPr lang="en-GB" sz="800"/>
        </a:p>
      </dgm:t>
    </dgm:pt>
    <dgm:pt modelId="{8ABCB8BF-BBEB-4446-BAFD-F5D3CBC447B1}" type="sibTrans" cxnId="{18C8BAC2-84BA-4BEF-AA65-75DD75827232}">
      <dgm:prSet/>
      <dgm:spPr/>
      <dgm:t>
        <a:bodyPr/>
        <a:lstStyle/>
        <a:p>
          <a:endParaRPr lang="en-GB" sz="800"/>
        </a:p>
      </dgm:t>
    </dgm:pt>
    <dgm:pt modelId="{0ED3401F-7786-4F84-A45A-878532E3BFAB}">
      <dgm:prSet phldrT="Write a description of the significance of this event" custT="1"/>
      <dgm:spPr/>
      <dgm:t>
        <a:bodyPr/>
        <a:lstStyle/>
        <a:p>
          <a:r>
            <a:rPr lang="en-GB" sz="800"/>
            <a:t>New Contractual Arrangement</a:t>
          </a:r>
        </a:p>
      </dgm:t>
    </dgm:pt>
    <dgm:pt modelId="{78D7A65C-DBAF-4975-8E3A-D71974D20DD9}" type="parTrans" cxnId="{9B0EFBD1-7180-4325-B56B-76E508021884}">
      <dgm:prSet/>
      <dgm:spPr/>
      <dgm:t>
        <a:bodyPr/>
        <a:lstStyle/>
        <a:p>
          <a:endParaRPr lang="en-GB" sz="800"/>
        </a:p>
      </dgm:t>
    </dgm:pt>
    <dgm:pt modelId="{3A5951B7-7B3B-4220-8949-D2AFFBF6C7A3}" type="sibTrans" cxnId="{9B0EFBD1-7180-4325-B56B-76E508021884}">
      <dgm:prSet/>
      <dgm:spPr/>
      <dgm:t>
        <a:bodyPr/>
        <a:lstStyle/>
        <a:p>
          <a:endParaRPr lang="en-GB" sz="800"/>
        </a:p>
      </dgm:t>
    </dgm:pt>
    <dgm:pt modelId="{CC4D57E1-DE2E-497F-BBBB-48AC5A7E1F19}">
      <dgm:prSet phldrT="Add an event" custT="1"/>
      <dgm:spPr/>
      <dgm:t>
        <a:bodyPr/>
        <a:lstStyle/>
        <a:p>
          <a:r>
            <a:rPr lang="en-GB" sz="800"/>
            <a:t>No Formal Clinical Involvement</a:t>
          </a:r>
        </a:p>
      </dgm:t>
    </dgm:pt>
    <dgm:pt modelId="{001D5869-F525-4A9B-9F8E-F19ABCB57C65}" type="parTrans" cxnId="{B676C40D-B16D-4C4E-9CA8-068ED3E3D7D0}">
      <dgm:prSet/>
      <dgm:spPr/>
      <dgm:t>
        <a:bodyPr/>
        <a:lstStyle/>
        <a:p>
          <a:endParaRPr lang="en-GB" sz="800"/>
        </a:p>
      </dgm:t>
    </dgm:pt>
    <dgm:pt modelId="{C85E8E3E-79A4-4C3E-B421-5416FA2FEE26}" type="sibTrans" cxnId="{B676C40D-B16D-4C4E-9CA8-068ED3E3D7D0}">
      <dgm:prSet/>
      <dgm:spPr/>
      <dgm:t>
        <a:bodyPr/>
        <a:lstStyle/>
        <a:p>
          <a:endParaRPr lang="en-GB" sz="800"/>
        </a:p>
      </dgm:t>
    </dgm:pt>
    <dgm:pt modelId="{7F9B81AD-55BC-4739-B99A-D1DA223D57F2}">
      <dgm:prSet phldrT="Write a description of the significance of this event" custT="1"/>
      <dgm:spPr/>
      <dgm:t>
        <a:bodyPr/>
        <a:lstStyle/>
        <a:p>
          <a:r>
            <a:rPr lang="en-GB" sz="800"/>
            <a:t>Independent Prescribing</a:t>
          </a:r>
        </a:p>
      </dgm:t>
    </dgm:pt>
    <dgm:pt modelId="{9314664A-1773-4457-B532-4CEC4A53D007}" type="parTrans" cxnId="{EA57E6CD-8F73-47C7-9546-72CA054DA2B4}">
      <dgm:prSet/>
      <dgm:spPr/>
      <dgm:t>
        <a:bodyPr/>
        <a:lstStyle/>
        <a:p>
          <a:endParaRPr lang="en-GB" sz="800"/>
        </a:p>
      </dgm:t>
    </dgm:pt>
    <dgm:pt modelId="{46E52434-A467-428D-934F-F4F1543309F8}" type="sibTrans" cxnId="{EA57E6CD-8F73-47C7-9546-72CA054DA2B4}">
      <dgm:prSet/>
      <dgm:spPr/>
      <dgm:t>
        <a:bodyPr/>
        <a:lstStyle/>
        <a:p>
          <a:endParaRPr lang="en-GB" sz="800"/>
        </a:p>
      </dgm:t>
    </dgm:pt>
    <dgm:pt modelId="{1A62DA63-7889-464D-AB4A-AB2ABEB126F1}" type="pres">
      <dgm:prSet presAssocID="{01F66196-DD7B-43E8-88A2-5718EB1AD829}" presName="root" presStyleCnt="0">
        <dgm:presLayoutVars>
          <dgm:dir/>
          <dgm:animLvl val="lvl"/>
        </dgm:presLayoutVars>
      </dgm:prSet>
      <dgm:spPr/>
      <dgm:t>
        <a:bodyPr/>
        <a:lstStyle/>
        <a:p>
          <a:endParaRPr lang="en-US"/>
        </a:p>
      </dgm:t>
    </dgm:pt>
    <dgm:pt modelId="{A6D4315F-B985-4BC8-BCA9-7D3CED783920}" type="pres">
      <dgm:prSet presAssocID="{01F66196-DD7B-43E8-88A2-5718EB1AD829}" presName="divider" presStyleCnt="0"/>
      <dgm:spPr/>
    </dgm:pt>
    <dgm:pt modelId="{F51030CB-CFFD-43CC-9AB6-913997230FF0}" type="pres">
      <dgm:prSet presAssocID="{01F66196-DD7B-43E8-88A2-5718EB1AD829}" presName="rectBar" presStyleLbl="dkBgShp" presStyleIdx="0" presStyleCnt="7"/>
      <dgm:spPr>
        <a:gradFill rotWithShape="0">
          <a:gsLst>
            <a:gs pos="0">
              <a:schemeClr val="accent2">
                <a:tint val="76000"/>
              </a:schemeClr>
            </a:gs>
            <a:gs pos="100000">
              <a:schemeClr val="accent2">
                <a:tint val="76000"/>
              </a:schemeClr>
            </a:gs>
          </a:gsLst>
          <a:lin ang="0" scaled="0"/>
        </a:gradFill>
        <a:ln>
          <a:noFill/>
        </a:ln>
        <a:effectLst/>
      </dgm:spPr>
    </dgm:pt>
    <dgm:pt modelId="{662CD87B-2AA8-4307-BB2D-4684C18ED74B}" type="pres">
      <dgm:prSet presAssocID="{01F66196-DD7B-43E8-88A2-5718EB1AD829}" presName="chevronArrow" presStyleLbl="dkBgShp" presStyleIdx="1" presStyleCnt="7"/>
      <dgm:spPr>
        <a:gradFill rotWithShape="0">
          <a:gsLst>
            <a:gs pos="0">
              <a:schemeClr val="accent2">
                <a:tint val="76000"/>
              </a:schemeClr>
            </a:gs>
            <a:gs pos="100000">
              <a:schemeClr val="accent2">
                <a:tint val="76000"/>
              </a:schemeClr>
            </a:gs>
          </a:gsLst>
          <a:lin ang="0" scaled="0"/>
        </a:gradFill>
        <a:ln>
          <a:noFill/>
        </a:ln>
        <a:effectLst/>
      </dgm:spPr>
    </dgm:pt>
    <dgm:pt modelId="{8DD11EA8-1545-4652-8A21-6F2B82A459AF}" type="pres">
      <dgm:prSet presAssocID="{01F66196-DD7B-43E8-88A2-5718EB1AD829}" presName="nodes" presStyleCnt="0">
        <dgm:presLayoutVars>
          <dgm:chMax/>
          <dgm:chPref/>
          <dgm:animLvl val="lvl"/>
        </dgm:presLayoutVars>
      </dgm:prSet>
      <dgm:spPr/>
    </dgm:pt>
    <dgm:pt modelId="{0D01256B-1F9F-47BD-B090-2333BC34F07D}" type="pres">
      <dgm:prSet presAssocID="{0B85A805-0E02-49EB-A736-E15EE7068BA4}" presName="composite" presStyleCnt="0"/>
      <dgm:spPr/>
    </dgm:pt>
    <dgm:pt modelId="{F10B7BE8-F6CE-4E75-ABA4-9AC024681145}" type="pres">
      <dgm:prSet presAssocID="{0B85A805-0E02-49EB-A736-E15EE7068BA4}" presName="DropPinPlaceHolder" presStyleCnt="0"/>
      <dgm:spPr/>
    </dgm:pt>
    <dgm:pt modelId="{81CF0352-9B9C-4E52-8861-947C9E3E17F7}" type="pres">
      <dgm:prSet presAssocID="{0B85A805-0E02-49EB-A736-E15EE7068BA4}" presName="DropPin" presStyleLbl="alignNode1" presStyleIdx="0" presStyleCnt="5"/>
      <dgm:spPr/>
    </dgm:pt>
    <dgm:pt modelId="{2A4F2A4D-DDC0-4A7C-93F7-4309CF3B34B4}" type="pres">
      <dgm:prSet presAssocID="{0B85A805-0E02-49EB-A736-E15EE7068BA4}" presName="Ellipse" presStyleLbl="fgAcc1" presStyleIdx="0" presStyleCnt="5"/>
      <dgm:spPr/>
    </dgm:pt>
    <dgm:pt modelId="{ED7F40A2-6153-4633-9C39-A5963DD957B2}" type="pres">
      <dgm:prSet presAssocID="{0B85A805-0E02-49EB-A736-E15EE7068BA4}" presName="L2TextContainer" presStyleLbl="revTx" presStyleIdx="0" presStyleCnt="10">
        <dgm:presLayoutVars>
          <dgm:bulletEnabled val="1"/>
        </dgm:presLayoutVars>
      </dgm:prSet>
      <dgm:spPr/>
      <dgm:t>
        <a:bodyPr/>
        <a:lstStyle/>
        <a:p>
          <a:endParaRPr lang="en-US"/>
        </a:p>
      </dgm:t>
    </dgm:pt>
    <dgm:pt modelId="{C2FE322F-A50C-4629-87D5-2757006B47F8}" type="pres">
      <dgm:prSet presAssocID="{0B85A805-0E02-49EB-A736-E15EE7068BA4}" presName="L1TextContainer" presStyleLbl="revTx" presStyleIdx="1" presStyleCnt="10">
        <dgm:presLayoutVars>
          <dgm:chMax val="1"/>
          <dgm:chPref val="1"/>
          <dgm:bulletEnabled val="1"/>
        </dgm:presLayoutVars>
      </dgm:prSet>
      <dgm:spPr/>
      <dgm:t>
        <a:bodyPr/>
        <a:lstStyle/>
        <a:p>
          <a:endParaRPr lang="en-US"/>
        </a:p>
      </dgm:t>
    </dgm:pt>
    <dgm:pt modelId="{78CED4CC-CF74-40F0-95C6-461A63F6FFAE}" type="pres">
      <dgm:prSet presAssocID="{0B85A805-0E02-49EB-A736-E15EE7068BA4}" presName="ConnectLine" presStyleLbl="dkBgShp" presStyleIdx="2" presStyleCnt="7"/>
      <dgm:spPr/>
    </dgm:pt>
    <dgm:pt modelId="{AE047ADF-35BF-41A7-ACE0-DE0D9AE31404}" type="pres">
      <dgm:prSet presAssocID="{0B85A805-0E02-49EB-A736-E15EE7068BA4}" presName="ConnectorPoint" presStyleCnt="0"/>
      <dgm:spPr/>
    </dgm:pt>
    <dgm:pt modelId="{F9997A25-F152-4B65-9750-6E3CD5F2E44C}" type="pres">
      <dgm:prSet presAssocID="{0B85A805-0E02-49EB-A736-E15EE7068BA4}" presName="Bullet" presStyleLbl="lnNode1" presStyleIdx="0" presStyleCnt="5"/>
      <dgm:spPr/>
    </dgm:pt>
    <dgm:pt modelId="{0090FD53-76AA-42F6-84B9-7688F4E008B7}" type="pres">
      <dgm:prSet presAssocID="{0B85A805-0E02-49EB-A736-E15EE7068BA4}" presName="EmptyPlaceHolder" presStyleCnt="0"/>
      <dgm:spPr/>
    </dgm:pt>
    <dgm:pt modelId="{5E53AFA5-AE18-4993-840A-600875D39D0D}" type="pres">
      <dgm:prSet presAssocID="{AE8AD8DC-7EEB-45BB-8400-CD4DE000AEC9}" presName="spaceBetweenRectangles" presStyleCnt="0"/>
      <dgm:spPr/>
    </dgm:pt>
    <dgm:pt modelId="{F2E0EA36-50C7-4AD1-A11D-FF46C332A5F5}" type="pres">
      <dgm:prSet presAssocID="{3A6729B0-C218-4D01-9E99-2DA65D5A46FE}" presName="composite" presStyleCnt="0"/>
      <dgm:spPr/>
    </dgm:pt>
    <dgm:pt modelId="{0AC7021F-E392-4495-B0F6-4791C3E08C09}" type="pres">
      <dgm:prSet presAssocID="{3A6729B0-C218-4D01-9E99-2DA65D5A46FE}" presName="DropPinPlaceHolder" presStyleCnt="0"/>
      <dgm:spPr/>
    </dgm:pt>
    <dgm:pt modelId="{6D5BC3B8-34FE-4C67-AD40-857FAECA3CB5}" type="pres">
      <dgm:prSet presAssocID="{3A6729B0-C218-4D01-9E99-2DA65D5A46FE}" presName="DropPin" presStyleLbl="alignNode1" presStyleIdx="1" presStyleCnt="5"/>
      <dgm:spPr/>
    </dgm:pt>
    <dgm:pt modelId="{6F9DE2B9-2EA1-4233-8560-8C8E649DBABC}" type="pres">
      <dgm:prSet presAssocID="{3A6729B0-C218-4D01-9E99-2DA65D5A46FE}" presName="Ellipse" presStyleLbl="fgAcc1" presStyleIdx="1" presStyleCnt="5"/>
      <dgm:spPr/>
    </dgm:pt>
    <dgm:pt modelId="{B22C2212-C8CA-41B8-86B0-3DC39A1BFD2C}" type="pres">
      <dgm:prSet presAssocID="{3A6729B0-C218-4D01-9E99-2DA65D5A46FE}" presName="L2TextContainer" presStyleLbl="revTx" presStyleIdx="2" presStyleCnt="10">
        <dgm:presLayoutVars>
          <dgm:bulletEnabled val="1"/>
        </dgm:presLayoutVars>
      </dgm:prSet>
      <dgm:spPr/>
      <dgm:t>
        <a:bodyPr/>
        <a:lstStyle/>
        <a:p>
          <a:endParaRPr lang="en-US"/>
        </a:p>
      </dgm:t>
    </dgm:pt>
    <dgm:pt modelId="{192CB435-6D35-424E-BC26-86953DF3E339}" type="pres">
      <dgm:prSet presAssocID="{3A6729B0-C218-4D01-9E99-2DA65D5A46FE}" presName="L1TextContainer" presStyleLbl="revTx" presStyleIdx="3" presStyleCnt="10">
        <dgm:presLayoutVars>
          <dgm:chMax val="1"/>
          <dgm:chPref val="1"/>
          <dgm:bulletEnabled val="1"/>
        </dgm:presLayoutVars>
      </dgm:prSet>
      <dgm:spPr/>
      <dgm:t>
        <a:bodyPr/>
        <a:lstStyle/>
        <a:p>
          <a:endParaRPr lang="en-US"/>
        </a:p>
      </dgm:t>
    </dgm:pt>
    <dgm:pt modelId="{86A8706D-556F-4426-9851-9B5E78F385D3}" type="pres">
      <dgm:prSet presAssocID="{3A6729B0-C218-4D01-9E99-2DA65D5A46FE}" presName="ConnectLine" presStyleLbl="dkBgShp" presStyleIdx="3" presStyleCnt="7"/>
      <dgm:spPr/>
    </dgm:pt>
    <dgm:pt modelId="{D1A67A9E-70BC-4EFD-978B-CC396C5E11D2}" type="pres">
      <dgm:prSet presAssocID="{3A6729B0-C218-4D01-9E99-2DA65D5A46FE}" presName="ConnectorPoint" presStyleCnt="0"/>
      <dgm:spPr/>
    </dgm:pt>
    <dgm:pt modelId="{A7BE6F9C-2D6B-4C75-870C-A3C340097656}" type="pres">
      <dgm:prSet presAssocID="{3A6729B0-C218-4D01-9E99-2DA65D5A46FE}" presName="Bullet" presStyleLbl="lnNode1" presStyleIdx="1" presStyleCnt="5"/>
      <dgm:spPr/>
    </dgm:pt>
    <dgm:pt modelId="{EB6104F4-53B3-49F4-BEE6-69B574CF0367}" type="pres">
      <dgm:prSet presAssocID="{3A6729B0-C218-4D01-9E99-2DA65D5A46FE}" presName="EmptyPlaceHolder" presStyleCnt="0"/>
      <dgm:spPr/>
    </dgm:pt>
    <dgm:pt modelId="{AB6EA6F6-A2FF-4337-A143-5E60AFCAEB9B}" type="pres">
      <dgm:prSet presAssocID="{3C9FFFC9-ACD9-46D0-BF7D-819241B6CC00}" presName="spaceBetweenRectangles" presStyleCnt="0"/>
      <dgm:spPr/>
    </dgm:pt>
    <dgm:pt modelId="{024333CD-07B1-40E8-AFB8-00C79FF57D3B}" type="pres">
      <dgm:prSet presAssocID="{9FA5FFFE-D800-4E9B-8DB8-76980670064D}" presName="composite" presStyleCnt="0"/>
      <dgm:spPr/>
    </dgm:pt>
    <dgm:pt modelId="{987E8779-9D3F-4F45-8147-5A798F925060}" type="pres">
      <dgm:prSet presAssocID="{9FA5FFFE-D800-4E9B-8DB8-76980670064D}" presName="DropPinPlaceHolder" presStyleCnt="0"/>
      <dgm:spPr/>
    </dgm:pt>
    <dgm:pt modelId="{78AEE5E8-3FFA-4652-9806-11C39D4524E0}" type="pres">
      <dgm:prSet presAssocID="{9FA5FFFE-D800-4E9B-8DB8-76980670064D}" presName="DropPin" presStyleLbl="alignNode1" presStyleIdx="2" presStyleCnt="5"/>
      <dgm:spPr/>
    </dgm:pt>
    <dgm:pt modelId="{EE255D87-089B-485B-B558-FDA51A247C25}" type="pres">
      <dgm:prSet presAssocID="{9FA5FFFE-D800-4E9B-8DB8-76980670064D}" presName="Ellipse" presStyleLbl="fgAcc1" presStyleIdx="2" presStyleCnt="5"/>
      <dgm:spPr/>
    </dgm:pt>
    <dgm:pt modelId="{A637A74F-67CB-4A4D-BF9B-1BC4B6BBDEB3}" type="pres">
      <dgm:prSet presAssocID="{9FA5FFFE-D800-4E9B-8DB8-76980670064D}" presName="L2TextContainer" presStyleLbl="revTx" presStyleIdx="4" presStyleCnt="10">
        <dgm:presLayoutVars>
          <dgm:bulletEnabled val="1"/>
        </dgm:presLayoutVars>
      </dgm:prSet>
      <dgm:spPr/>
      <dgm:t>
        <a:bodyPr/>
        <a:lstStyle/>
        <a:p>
          <a:endParaRPr lang="en-US"/>
        </a:p>
      </dgm:t>
    </dgm:pt>
    <dgm:pt modelId="{45D173E3-AE29-45E1-9197-30FF671F559B}" type="pres">
      <dgm:prSet presAssocID="{9FA5FFFE-D800-4E9B-8DB8-76980670064D}" presName="L1TextContainer" presStyleLbl="revTx" presStyleIdx="5" presStyleCnt="10">
        <dgm:presLayoutVars>
          <dgm:chMax val="1"/>
          <dgm:chPref val="1"/>
          <dgm:bulletEnabled val="1"/>
        </dgm:presLayoutVars>
      </dgm:prSet>
      <dgm:spPr/>
      <dgm:t>
        <a:bodyPr/>
        <a:lstStyle/>
        <a:p>
          <a:endParaRPr lang="en-US"/>
        </a:p>
      </dgm:t>
    </dgm:pt>
    <dgm:pt modelId="{5CF10BF5-10B3-44AC-A880-4CF04AB0ACC8}" type="pres">
      <dgm:prSet presAssocID="{9FA5FFFE-D800-4E9B-8DB8-76980670064D}" presName="ConnectLine" presStyleLbl="dkBgShp" presStyleIdx="4" presStyleCnt="7"/>
      <dgm:spPr/>
    </dgm:pt>
    <dgm:pt modelId="{26421F16-41A7-41A6-A6B4-0AE3095BB81C}" type="pres">
      <dgm:prSet presAssocID="{9FA5FFFE-D800-4E9B-8DB8-76980670064D}" presName="ConnectorPoint" presStyleCnt="0"/>
      <dgm:spPr/>
    </dgm:pt>
    <dgm:pt modelId="{3CC69FDF-A909-426A-BC37-26B96BD73787}" type="pres">
      <dgm:prSet presAssocID="{9FA5FFFE-D800-4E9B-8DB8-76980670064D}" presName="Bullet" presStyleLbl="lnNode1" presStyleIdx="2" presStyleCnt="5"/>
      <dgm:spPr/>
    </dgm:pt>
    <dgm:pt modelId="{ECE6D91C-86E2-41B2-9004-B4373FF32403}" type="pres">
      <dgm:prSet presAssocID="{9FA5FFFE-D800-4E9B-8DB8-76980670064D}" presName="EmptyPlaceHolder" presStyleCnt="0"/>
      <dgm:spPr/>
    </dgm:pt>
    <dgm:pt modelId="{C1C5B0C4-2168-4E9B-8735-25437A345083}" type="pres">
      <dgm:prSet presAssocID="{3BF6532C-A491-4F8B-86A7-95E3FC28605D}" presName="spaceBetweenRectangles" presStyleCnt="0"/>
      <dgm:spPr/>
    </dgm:pt>
    <dgm:pt modelId="{59B0D0DE-6174-4DB8-8577-FB332FBA42F6}" type="pres">
      <dgm:prSet presAssocID="{EC9B4D4C-D53F-4E56-BA56-764C33577DD9}" presName="composite" presStyleCnt="0"/>
      <dgm:spPr/>
    </dgm:pt>
    <dgm:pt modelId="{85194BBA-A63A-4F27-A054-FED7CB2A93C1}" type="pres">
      <dgm:prSet presAssocID="{EC9B4D4C-D53F-4E56-BA56-764C33577DD9}" presName="DropPinPlaceHolder" presStyleCnt="0"/>
      <dgm:spPr/>
    </dgm:pt>
    <dgm:pt modelId="{BC231060-53A3-4BA1-A314-6FAA4B49246E}" type="pres">
      <dgm:prSet presAssocID="{EC9B4D4C-D53F-4E56-BA56-764C33577DD9}" presName="DropPin" presStyleLbl="alignNode1" presStyleIdx="3" presStyleCnt="5"/>
      <dgm:spPr/>
    </dgm:pt>
    <dgm:pt modelId="{D2D580E9-AA0B-4EA8-9A52-412C7114CE60}" type="pres">
      <dgm:prSet presAssocID="{EC9B4D4C-D53F-4E56-BA56-764C33577DD9}" presName="Ellipse" presStyleLbl="fgAcc1" presStyleIdx="3" presStyleCnt="5"/>
      <dgm:spPr/>
    </dgm:pt>
    <dgm:pt modelId="{C3BD9618-788C-497B-BFF9-5BFC4BFE3112}" type="pres">
      <dgm:prSet presAssocID="{EC9B4D4C-D53F-4E56-BA56-764C33577DD9}" presName="L2TextContainer" presStyleLbl="revTx" presStyleIdx="6" presStyleCnt="10">
        <dgm:presLayoutVars>
          <dgm:bulletEnabled val="1"/>
        </dgm:presLayoutVars>
      </dgm:prSet>
      <dgm:spPr/>
      <dgm:t>
        <a:bodyPr/>
        <a:lstStyle/>
        <a:p>
          <a:endParaRPr lang="en-US"/>
        </a:p>
      </dgm:t>
    </dgm:pt>
    <dgm:pt modelId="{929C94EB-FDB1-44DD-A053-18DC147B12B1}" type="pres">
      <dgm:prSet presAssocID="{EC9B4D4C-D53F-4E56-BA56-764C33577DD9}" presName="L1TextContainer" presStyleLbl="revTx" presStyleIdx="7" presStyleCnt="10">
        <dgm:presLayoutVars>
          <dgm:chMax val="1"/>
          <dgm:chPref val="1"/>
          <dgm:bulletEnabled val="1"/>
        </dgm:presLayoutVars>
      </dgm:prSet>
      <dgm:spPr/>
      <dgm:t>
        <a:bodyPr/>
        <a:lstStyle/>
        <a:p>
          <a:endParaRPr lang="en-US"/>
        </a:p>
      </dgm:t>
    </dgm:pt>
    <dgm:pt modelId="{2FB39BC2-0741-4B9A-8C4C-7CE7E73E05AC}" type="pres">
      <dgm:prSet presAssocID="{EC9B4D4C-D53F-4E56-BA56-764C33577DD9}" presName="ConnectLine" presStyleLbl="dkBgShp" presStyleIdx="5" presStyleCnt="7"/>
      <dgm:spPr/>
    </dgm:pt>
    <dgm:pt modelId="{F30C399E-8065-4FE0-B10C-A0E034577C2A}" type="pres">
      <dgm:prSet presAssocID="{EC9B4D4C-D53F-4E56-BA56-764C33577DD9}" presName="ConnectorPoint" presStyleCnt="0"/>
      <dgm:spPr/>
    </dgm:pt>
    <dgm:pt modelId="{316269E0-9CCE-482A-AE5B-EAE6E84791FA}" type="pres">
      <dgm:prSet presAssocID="{EC9B4D4C-D53F-4E56-BA56-764C33577DD9}" presName="Bullet" presStyleLbl="lnNode1" presStyleIdx="3" presStyleCnt="5"/>
      <dgm:spPr/>
    </dgm:pt>
    <dgm:pt modelId="{50BDD6FD-C0D7-4A35-AA18-2C03AB64365A}" type="pres">
      <dgm:prSet presAssocID="{EC9B4D4C-D53F-4E56-BA56-764C33577DD9}" presName="EmptyPlaceHolder" presStyleCnt="0"/>
      <dgm:spPr/>
    </dgm:pt>
    <dgm:pt modelId="{44F2C365-7030-4844-BDF1-5516C95C4A11}" type="pres">
      <dgm:prSet presAssocID="{E7A08BEA-6852-4CAD-B786-C0F0DB18656F}" presName="spaceBetweenRectangles" presStyleCnt="0"/>
      <dgm:spPr/>
    </dgm:pt>
    <dgm:pt modelId="{B9CB8CB1-8C2A-4AD2-9846-831693C04FF8}" type="pres">
      <dgm:prSet presAssocID="{5CAC1D8D-566D-4740-9ED6-1D6555ADBD33}" presName="composite" presStyleCnt="0"/>
      <dgm:spPr/>
    </dgm:pt>
    <dgm:pt modelId="{A30EA991-20E9-4311-8222-73596EB9B312}" type="pres">
      <dgm:prSet presAssocID="{5CAC1D8D-566D-4740-9ED6-1D6555ADBD33}" presName="DropPinPlaceHolder" presStyleCnt="0"/>
      <dgm:spPr/>
    </dgm:pt>
    <dgm:pt modelId="{667A73F6-B0BF-438C-A03D-C188512F2FEF}" type="pres">
      <dgm:prSet presAssocID="{5CAC1D8D-566D-4740-9ED6-1D6555ADBD33}" presName="DropPin" presStyleLbl="alignNode1" presStyleIdx="4" presStyleCnt="5"/>
      <dgm:spPr/>
    </dgm:pt>
    <dgm:pt modelId="{33CC4E15-78C5-4679-8EDB-1BF69252164A}" type="pres">
      <dgm:prSet presAssocID="{5CAC1D8D-566D-4740-9ED6-1D6555ADBD33}" presName="Ellipse" presStyleLbl="fgAcc1" presStyleIdx="4" presStyleCnt="5"/>
      <dgm:spPr/>
    </dgm:pt>
    <dgm:pt modelId="{7BABA38A-7DBF-4A6A-AEF1-1D611D3AAE15}" type="pres">
      <dgm:prSet presAssocID="{5CAC1D8D-566D-4740-9ED6-1D6555ADBD33}" presName="L2TextContainer" presStyleLbl="revTx" presStyleIdx="8" presStyleCnt="10">
        <dgm:presLayoutVars>
          <dgm:bulletEnabled val="1"/>
        </dgm:presLayoutVars>
      </dgm:prSet>
      <dgm:spPr/>
      <dgm:t>
        <a:bodyPr/>
        <a:lstStyle/>
        <a:p>
          <a:endParaRPr lang="en-US"/>
        </a:p>
      </dgm:t>
    </dgm:pt>
    <dgm:pt modelId="{EFEFDB52-9DF9-4B16-A2CC-93BEBB483249}" type="pres">
      <dgm:prSet presAssocID="{5CAC1D8D-566D-4740-9ED6-1D6555ADBD33}" presName="L1TextContainer" presStyleLbl="revTx" presStyleIdx="9" presStyleCnt="10">
        <dgm:presLayoutVars>
          <dgm:chMax val="1"/>
          <dgm:chPref val="1"/>
          <dgm:bulletEnabled val="1"/>
        </dgm:presLayoutVars>
      </dgm:prSet>
      <dgm:spPr/>
      <dgm:t>
        <a:bodyPr/>
        <a:lstStyle/>
        <a:p>
          <a:endParaRPr lang="en-US"/>
        </a:p>
      </dgm:t>
    </dgm:pt>
    <dgm:pt modelId="{F90A6A37-083D-47E5-A33F-715AABF776B7}" type="pres">
      <dgm:prSet presAssocID="{5CAC1D8D-566D-4740-9ED6-1D6555ADBD33}" presName="ConnectLine" presStyleLbl="dkBgShp" presStyleIdx="6" presStyleCnt="7"/>
      <dgm:spPr/>
    </dgm:pt>
    <dgm:pt modelId="{1A7F2300-85DD-481A-ABC0-CE1B0CFFAD06}" type="pres">
      <dgm:prSet presAssocID="{5CAC1D8D-566D-4740-9ED6-1D6555ADBD33}" presName="ConnectorPoint" presStyleCnt="0"/>
      <dgm:spPr/>
    </dgm:pt>
    <dgm:pt modelId="{0327D2EB-C2AB-471C-8516-EDFDC9DB3D62}" type="pres">
      <dgm:prSet presAssocID="{5CAC1D8D-566D-4740-9ED6-1D6555ADBD33}" presName="Bullet" presStyleLbl="lnNode1" presStyleIdx="4" presStyleCnt="5"/>
      <dgm:spPr/>
    </dgm:pt>
    <dgm:pt modelId="{EDEDC050-4AB9-4DD6-86F3-ABC5F5138D5A}" type="pres">
      <dgm:prSet presAssocID="{5CAC1D8D-566D-4740-9ED6-1D6555ADBD33}" presName="EmptyPlaceHolder" presStyleCnt="0"/>
      <dgm:spPr/>
    </dgm:pt>
  </dgm:ptLst>
  <dgm:cxnLst>
    <dgm:cxn modelId="{7A5435ED-6122-492D-B150-A569EDD585E4}" type="presOf" srcId="{7F9B81AD-55BC-4739-B99A-D1DA223D57F2}" destId="{7BABA38A-7DBF-4A6A-AEF1-1D611D3AAE15}" srcOrd="0" destOrd="0" presId="urn:microsoft.com/office/officeart/2024/layout/BulletTimelineInverted"/>
    <dgm:cxn modelId="{9B0EFBD1-7180-4325-B56B-76E508021884}" srcId="{3A6729B0-C218-4D01-9E99-2DA65D5A46FE}" destId="{0ED3401F-7786-4F84-A45A-878532E3BFAB}" srcOrd="0" destOrd="0" parTransId="{78D7A65C-DBAF-4975-8E3A-D71974D20DD9}" sibTransId="{3A5951B7-7B3B-4220-8949-D2AFFBF6C7A3}"/>
    <dgm:cxn modelId="{24EFF77C-67BB-478F-975C-F93E2F7E80EB}" type="presOf" srcId="{CC4D57E1-DE2E-497F-BBBB-48AC5A7E1F19}" destId="{ED7F40A2-6153-4633-9C39-A5963DD957B2}" srcOrd="0" destOrd="0" presId="urn:microsoft.com/office/officeart/2024/layout/BulletTimelineInverted"/>
    <dgm:cxn modelId="{004AA1CF-575B-4C42-83F0-870B5486BE64}" srcId="{01F66196-DD7B-43E8-88A2-5718EB1AD829}" destId="{3A6729B0-C218-4D01-9E99-2DA65D5A46FE}" srcOrd="1" destOrd="0" parTransId="{30B4B015-2CAE-43D9-AE95-D0A181D7F5C3}" sibTransId="{3C9FFFC9-ACD9-46D0-BF7D-819241B6CC00}"/>
    <dgm:cxn modelId="{61888995-7987-475B-9F96-30B67EAC125A}" type="presOf" srcId="{DC8E2DBA-D0D4-4C51-BB25-34F5B8509414}" destId="{C3BD9618-788C-497B-BFF9-5BFC4BFE3112}" srcOrd="0" destOrd="0" presId="urn:microsoft.com/office/officeart/2024/layout/BulletTimelineInverted"/>
    <dgm:cxn modelId="{D6A51E80-7037-4451-8EE0-83310D2CDDEA}" srcId="{01F66196-DD7B-43E8-88A2-5718EB1AD829}" destId="{5CAC1D8D-566D-4740-9ED6-1D6555ADBD33}" srcOrd="4" destOrd="0" parTransId="{1303714C-64F7-4C7D-B809-C35FDA376753}" sibTransId="{F496B7EA-94F5-4745-8C53-98B16268E56A}"/>
    <dgm:cxn modelId="{6FEBA1E3-9052-4007-B6EE-646635643D26}" type="presOf" srcId="{8A45117D-2FB1-4F92-A2FC-825E03C35A2C}" destId="{A637A74F-67CB-4A4D-BF9B-1BC4B6BBDEB3}" srcOrd="0" destOrd="0" presId="urn:microsoft.com/office/officeart/2024/layout/BulletTimelineInverted"/>
    <dgm:cxn modelId="{F5359E49-8D8F-47D2-9DF9-694F948D3C07}" type="presOf" srcId="{01F66196-DD7B-43E8-88A2-5718EB1AD829}" destId="{1A62DA63-7889-464D-AB4A-AB2ABEB126F1}" srcOrd="0" destOrd="0" presId="urn:microsoft.com/office/officeart/2024/layout/BulletTimelineInverted"/>
    <dgm:cxn modelId="{B676C40D-B16D-4C4E-9CA8-068ED3E3D7D0}" srcId="{0B85A805-0E02-49EB-A736-E15EE7068BA4}" destId="{CC4D57E1-DE2E-497F-BBBB-48AC5A7E1F19}" srcOrd="0" destOrd="0" parTransId="{001D5869-F525-4A9B-9F8E-F19ABCB57C65}" sibTransId="{C85E8E3E-79A4-4C3E-B421-5416FA2FEE26}"/>
    <dgm:cxn modelId="{59742AD6-5706-42D5-9AF6-1F00C44AC468}" type="presOf" srcId="{9FA5FFFE-D800-4E9B-8DB8-76980670064D}" destId="{45D173E3-AE29-45E1-9197-30FF671F559B}" srcOrd="0" destOrd="0" presId="urn:microsoft.com/office/officeart/2024/layout/BulletTimelineInverted"/>
    <dgm:cxn modelId="{EEDE2D05-1C7E-44A5-8DD0-E275B5A619A5}" type="presOf" srcId="{EC9B4D4C-D53F-4E56-BA56-764C33577DD9}" destId="{929C94EB-FDB1-44DD-A053-18DC147B12B1}" srcOrd="0" destOrd="0" presId="urn:microsoft.com/office/officeart/2024/layout/BulletTimelineInverted"/>
    <dgm:cxn modelId="{117385A2-7658-4F9C-BC32-4BF270B034E6}" type="presOf" srcId="{3A6729B0-C218-4D01-9E99-2DA65D5A46FE}" destId="{192CB435-6D35-424E-BC26-86953DF3E339}" srcOrd="0" destOrd="0" presId="urn:microsoft.com/office/officeart/2024/layout/BulletTimelineInverted"/>
    <dgm:cxn modelId="{8C4BA4F3-A5D1-45AB-8386-7AAFA9CA3AD1}" type="presOf" srcId="{5CAC1D8D-566D-4740-9ED6-1D6555ADBD33}" destId="{EFEFDB52-9DF9-4B16-A2CC-93BEBB483249}" srcOrd="0" destOrd="0" presId="urn:microsoft.com/office/officeart/2024/layout/BulletTimelineInverted"/>
    <dgm:cxn modelId="{66C50E35-C981-4035-A877-E2CA8B4FECC3}" type="presOf" srcId="{0ED3401F-7786-4F84-A45A-878532E3BFAB}" destId="{B22C2212-C8CA-41B8-86B0-3DC39A1BFD2C}" srcOrd="0" destOrd="0" presId="urn:microsoft.com/office/officeart/2024/layout/BulletTimelineInverted"/>
    <dgm:cxn modelId="{EA57E6CD-8F73-47C7-9546-72CA054DA2B4}" srcId="{5CAC1D8D-566D-4740-9ED6-1D6555ADBD33}" destId="{7F9B81AD-55BC-4739-B99A-D1DA223D57F2}" srcOrd="0" destOrd="0" parTransId="{9314664A-1773-4457-B532-4CEC4A53D007}" sibTransId="{46E52434-A467-428D-934F-F4F1543309F8}"/>
    <dgm:cxn modelId="{0B90947A-56C8-4492-BA6F-CAF63E87CDB3}" srcId="{01F66196-DD7B-43E8-88A2-5718EB1AD829}" destId="{EC9B4D4C-D53F-4E56-BA56-764C33577DD9}" srcOrd="3" destOrd="0" parTransId="{F099F984-8F18-40A4-A362-3591A421AFBB}" sibTransId="{E7A08BEA-6852-4CAD-B786-C0F0DB18656F}"/>
    <dgm:cxn modelId="{220F48F1-0A32-4963-B0F4-A9F58A9E1F16}" srcId="{01F66196-DD7B-43E8-88A2-5718EB1AD829}" destId="{9FA5FFFE-D800-4E9B-8DB8-76980670064D}" srcOrd="2" destOrd="0" parTransId="{DEDB6E34-1F78-448B-9B23-FCEC582B4476}" sibTransId="{3BF6532C-A491-4F8B-86A7-95E3FC28605D}"/>
    <dgm:cxn modelId="{B8A21941-2CC7-44B2-BB80-F033914C0636}" srcId="{EC9B4D4C-D53F-4E56-BA56-764C33577DD9}" destId="{DC8E2DBA-D0D4-4C51-BB25-34F5B8509414}" srcOrd="0" destOrd="0" parTransId="{D74E4495-5020-4047-9CEF-4208BDC4610E}" sibTransId="{75163FFD-2A56-4CCE-B8FA-8C00DBC648BB}"/>
    <dgm:cxn modelId="{4D662578-4ACC-498F-872E-80AD14279CBA}" type="presOf" srcId="{0B85A805-0E02-49EB-A736-E15EE7068BA4}" destId="{C2FE322F-A50C-4629-87D5-2757006B47F8}" srcOrd="0" destOrd="0" presId="urn:microsoft.com/office/officeart/2024/layout/BulletTimelineInverted"/>
    <dgm:cxn modelId="{18C8BAC2-84BA-4BEF-AA65-75DD75827232}" srcId="{9FA5FFFE-D800-4E9B-8DB8-76980670064D}" destId="{8A45117D-2FB1-4F92-A2FC-825E03C35A2C}" srcOrd="0" destOrd="0" parTransId="{C2B510C6-A7F3-4A95-9BBA-939ECA01C87A}" sibTransId="{8ABCB8BF-BBEB-4446-BAFD-F5D3CBC447B1}"/>
    <dgm:cxn modelId="{A753C618-52DB-4862-BB1C-EB72CA8ED60A}" srcId="{01F66196-DD7B-43E8-88A2-5718EB1AD829}" destId="{0B85A805-0E02-49EB-A736-E15EE7068BA4}" srcOrd="0" destOrd="0" parTransId="{1ACB1E43-D119-4B20-A46B-F8B8EF87C6A3}" sibTransId="{AE8AD8DC-7EEB-45BB-8400-CD4DE000AEC9}"/>
    <dgm:cxn modelId="{7911C441-4F8C-4E05-8FEE-C78B534BF174}" type="presParOf" srcId="{1A62DA63-7889-464D-AB4A-AB2ABEB126F1}" destId="{A6D4315F-B985-4BC8-BCA9-7D3CED783920}" srcOrd="0" destOrd="0" presId="urn:microsoft.com/office/officeart/2024/layout/BulletTimelineInverted"/>
    <dgm:cxn modelId="{B0287212-E8C4-4870-8CDB-08878F03EE8E}" type="presParOf" srcId="{A6D4315F-B985-4BC8-BCA9-7D3CED783920}" destId="{F51030CB-CFFD-43CC-9AB6-913997230FF0}" srcOrd="0" destOrd="0" presId="urn:microsoft.com/office/officeart/2024/layout/BulletTimelineInverted"/>
    <dgm:cxn modelId="{F43DC460-D729-408D-B71D-D2FA10A5F334}" type="presParOf" srcId="{A6D4315F-B985-4BC8-BCA9-7D3CED783920}" destId="{662CD87B-2AA8-4307-BB2D-4684C18ED74B}" srcOrd="1" destOrd="0" presId="urn:microsoft.com/office/officeart/2024/layout/BulletTimelineInverted"/>
    <dgm:cxn modelId="{43D6ECF3-5F69-4ABE-A5A0-CD90A6B39A5A}" type="presParOf" srcId="{1A62DA63-7889-464D-AB4A-AB2ABEB126F1}" destId="{8DD11EA8-1545-4652-8A21-6F2B82A459AF}" srcOrd="1" destOrd="0" presId="urn:microsoft.com/office/officeart/2024/layout/BulletTimelineInverted"/>
    <dgm:cxn modelId="{4A67ECB4-7E9D-4637-BF74-7901320A699D}" type="presParOf" srcId="{8DD11EA8-1545-4652-8A21-6F2B82A459AF}" destId="{0D01256B-1F9F-47BD-B090-2333BC34F07D}" srcOrd="0" destOrd="0" presId="urn:microsoft.com/office/officeart/2024/layout/BulletTimelineInverted"/>
    <dgm:cxn modelId="{9CEAF10A-964F-4D77-9A6A-6F47BC46CDD4}" type="presParOf" srcId="{0D01256B-1F9F-47BD-B090-2333BC34F07D}" destId="{F10B7BE8-F6CE-4E75-ABA4-9AC024681145}" srcOrd="0" destOrd="0" presId="urn:microsoft.com/office/officeart/2024/layout/BulletTimelineInverted"/>
    <dgm:cxn modelId="{1EBD89C9-B17C-431F-BC9B-5EF01C44078D}" type="presParOf" srcId="{F10B7BE8-F6CE-4E75-ABA4-9AC024681145}" destId="{81CF0352-9B9C-4E52-8861-947C9E3E17F7}" srcOrd="0" destOrd="0" presId="urn:microsoft.com/office/officeart/2024/layout/BulletTimelineInverted"/>
    <dgm:cxn modelId="{D5D0174B-634E-480B-AC17-651DD73F2918}" type="presParOf" srcId="{F10B7BE8-F6CE-4E75-ABA4-9AC024681145}" destId="{2A4F2A4D-DDC0-4A7C-93F7-4309CF3B34B4}" srcOrd="1" destOrd="0" presId="urn:microsoft.com/office/officeart/2024/layout/BulletTimelineInverted"/>
    <dgm:cxn modelId="{14B84527-5B64-49C1-B322-987D147B9B7F}" type="presParOf" srcId="{0D01256B-1F9F-47BD-B090-2333BC34F07D}" destId="{ED7F40A2-6153-4633-9C39-A5963DD957B2}" srcOrd="1" destOrd="0" presId="urn:microsoft.com/office/officeart/2024/layout/BulletTimelineInverted"/>
    <dgm:cxn modelId="{E69F89BA-48D5-4015-8CBD-80DF454317CA}" type="presParOf" srcId="{0D01256B-1F9F-47BD-B090-2333BC34F07D}" destId="{C2FE322F-A50C-4629-87D5-2757006B47F8}" srcOrd="2" destOrd="0" presId="urn:microsoft.com/office/officeart/2024/layout/BulletTimelineInverted"/>
    <dgm:cxn modelId="{EE8FE869-D6AA-4064-809E-8AC6C954B7E2}" type="presParOf" srcId="{0D01256B-1F9F-47BD-B090-2333BC34F07D}" destId="{78CED4CC-CF74-40F0-95C6-461A63F6FFAE}" srcOrd="3" destOrd="0" presId="urn:microsoft.com/office/officeart/2024/layout/BulletTimelineInverted"/>
    <dgm:cxn modelId="{7CB061D4-C397-4893-94D1-3E24D696A9A7}" type="presParOf" srcId="{0D01256B-1F9F-47BD-B090-2333BC34F07D}" destId="{AE047ADF-35BF-41A7-ACE0-DE0D9AE31404}" srcOrd="4" destOrd="0" presId="urn:microsoft.com/office/officeart/2024/layout/BulletTimelineInverted"/>
    <dgm:cxn modelId="{8DA143F3-293E-45A8-B0A6-25EF4AA217C7}" type="presParOf" srcId="{AE047ADF-35BF-41A7-ACE0-DE0D9AE31404}" destId="{F9997A25-F152-4B65-9750-6E3CD5F2E44C}" srcOrd="0" destOrd="0" presId="urn:microsoft.com/office/officeart/2024/layout/BulletTimelineInverted"/>
    <dgm:cxn modelId="{FAB8C821-A45D-4E92-B6C1-3EECB7E687C1}" type="presParOf" srcId="{0D01256B-1F9F-47BD-B090-2333BC34F07D}" destId="{0090FD53-76AA-42F6-84B9-7688F4E008B7}" srcOrd="5" destOrd="0" presId="urn:microsoft.com/office/officeart/2024/layout/BulletTimelineInverted"/>
    <dgm:cxn modelId="{196245A0-BB21-4D5D-889D-1AFDD6D17E42}" type="presParOf" srcId="{8DD11EA8-1545-4652-8A21-6F2B82A459AF}" destId="{5E53AFA5-AE18-4993-840A-600875D39D0D}" srcOrd="1" destOrd="0" presId="urn:microsoft.com/office/officeart/2024/layout/BulletTimelineInverted"/>
    <dgm:cxn modelId="{6E053CFB-1789-44EC-94E6-3889802B5C11}" type="presParOf" srcId="{8DD11EA8-1545-4652-8A21-6F2B82A459AF}" destId="{F2E0EA36-50C7-4AD1-A11D-FF46C332A5F5}" srcOrd="2" destOrd="0" presId="urn:microsoft.com/office/officeart/2024/layout/BulletTimelineInverted"/>
    <dgm:cxn modelId="{7F0AC1D2-FE5A-4E21-BA34-DD7A767CC1A1}" type="presParOf" srcId="{F2E0EA36-50C7-4AD1-A11D-FF46C332A5F5}" destId="{0AC7021F-E392-4495-B0F6-4791C3E08C09}" srcOrd="0" destOrd="0" presId="urn:microsoft.com/office/officeart/2024/layout/BulletTimelineInverted"/>
    <dgm:cxn modelId="{E972A451-6F44-4F74-B1BE-71A54496ABAC}" type="presParOf" srcId="{0AC7021F-E392-4495-B0F6-4791C3E08C09}" destId="{6D5BC3B8-34FE-4C67-AD40-857FAECA3CB5}" srcOrd="0" destOrd="0" presId="urn:microsoft.com/office/officeart/2024/layout/BulletTimelineInverted"/>
    <dgm:cxn modelId="{4BC06E79-6735-4A6F-BB5F-40D28230B10F}" type="presParOf" srcId="{0AC7021F-E392-4495-B0F6-4791C3E08C09}" destId="{6F9DE2B9-2EA1-4233-8560-8C8E649DBABC}" srcOrd="1" destOrd="0" presId="urn:microsoft.com/office/officeart/2024/layout/BulletTimelineInverted"/>
    <dgm:cxn modelId="{6CF00C7F-AD59-4E40-B6A4-76CA9818E6D2}" type="presParOf" srcId="{F2E0EA36-50C7-4AD1-A11D-FF46C332A5F5}" destId="{B22C2212-C8CA-41B8-86B0-3DC39A1BFD2C}" srcOrd="1" destOrd="0" presId="urn:microsoft.com/office/officeart/2024/layout/BulletTimelineInverted"/>
    <dgm:cxn modelId="{3B754F4C-16F3-46BF-9ECF-3E2CF0E268AA}" type="presParOf" srcId="{F2E0EA36-50C7-4AD1-A11D-FF46C332A5F5}" destId="{192CB435-6D35-424E-BC26-86953DF3E339}" srcOrd="2" destOrd="0" presId="urn:microsoft.com/office/officeart/2024/layout/BulletTimelineInverted"/>
    <dgm:cxn modelId="{553F98EE-74B7-4090-B827-37BAF9F6A46C}" type="presParOf" srcId="{F2E0EA36-50C7-4AD1-A11D-FF46C332A5F5}" destId="{86A8706D-556F-4426-9851-9B5E78F385D3}" srcOrd="3" destOrd="0" presId="urn:microsoft.com/office/officeart/2024/layout/BulletTimelineInverted"/>
    <dgm:cxn modelId="{720392A7-1D36-440C-9388-D62E250C45EA}" type="presParOf" srcId="{F2E0EA36-50C7-4AD1-A11D-FF46C332A5F5}" destId="{D1A67A9E-70BC-4EFD-978B-CC396C5E11D2}" srcOrd="4" destOrd="0" presId="urn:microsoft.com/office/officeart/2024/layout/BulletTimelineInverted"/>
    <dgm:cxn modelId="{81CFF621-ECF3-492C-BCDE-68A2B0E49814}" type="presParOf" srcId="{D1A67A9E-70BC-4EFD-978B-CC396C5E11D2}" destId="{A7BE6F9C-2D6B-4C75-870C-A3C340097656}" srcOrd="0" destOrd="0" presId="urn:microsoft.com/office/officeart/2024/layout/BulletTimelineInverted"/>
    <dgm:cxn modelId="{C930D313-3FA9-4E79-80B0-C47EA1B74637}" type="presParOf" srcId="{F2E0EA36-50C7-4AD1-A11D-FF46C332A5F5}" destId="{EB6104F4-53B3-49F4-BEE6-69B574CF0367}" srcOrd="5" destOrd="0" presId="urn:microsoft.com/office/officeart/2024/layout/BulletTimelineInverted"/>
    <dgm:cxn modelId="{4D5136FF-A775-4258-ADFD-8670DDE6C0B5}" type="presParOf" srcId="{8DD11EA8-1545-4652-8A21-6F2B82A459AF}" destId="{AB6EA6F6-A2FF-4337-A143-5E60AFCAEB9B}" srcOrd="3" destOrd="0" presId="urn:microsoft.com/office/officeart/2024/layout/BulletTimelineInverted"/>
    <dgm:cxn modelId="{406766A9-DFCA-440F-A3DD-DB7784AA0BE4}" type="presParOf" srcId="{8DD11EA8-1545-4652-8A21-6F2B82A459AF}" destId="{024333CD-07B1-40E8-AFB8-00C79FF57D3B}" srcOrd="4" destOrd="0" presId="urn:microsoft.com/office/officeart/2024/layout/BulletTimelineInverted"/>
    <dgm:cxn modelId="{260546D4-E808-4BEC-B468-1C671C3634DE}" type="presParOf" srcId="{024333CD-07B1-40E8-AFB8-00C79FF57D3B}" destId="{987E8779-9D3F-4F45-8147-5A798F925060}" srcOrd="0" destOrd="0" presId="urn:microsoft.com/office/officeart/2024/layout/BulletTimelineInverted"/>
    <dgm:cxn modelId="{D26EFC7E-8886-4D65-9D76-68754540A5A7}" type="presParOf" srcId="{987E8779-9D3F-4F45-8147-5A798F925060}" destId="{78AEE5E8-3FFA-4652-9806-11C39D4524E0}" srcOrd="0" destOrd="0" presId="urn:microsoft.com/office/officeart/2024/layout/BulletTimelineInverted"/>
    <dgm:cxn modelId="{66A7EEA9-5718-4A91-A642-2383ED6626CB}" type="presParOf" srcId="{987E8779-9D3F-4F45-8147-5A798F925060}" destId="{EE255D87-089B-485B-B558-FDA51A247C25}" srcOrd="1" destOrd="0" presId="urn:microsoft.com/office/officeart/2024/layout/BulletTimelineInverted"/>
    <dgm:cxn modelId="{8AF4F3B3-BC59-4C3A-9B67-41130A12D3FB}" type="presParOf" srcId="{024333CD-07B1-40E8-AFB8-00C79FF57D3B}" destId="{A637A74F-67CB-4A4D-BF9B-1BC4B6BBDEB3}" srcOrd="1" destOrd="0" presId="urn:microsoft.com/office/officeart/2024/layout/BulletTimelineInverted"/>
    <dgm:cxn modelId="{59DE05E0-A96A-4311-A676-619FE2EED74D}" type="presParOf" srcId="{024333CD-07B1-40E8-AFB8-00C79FF57D3B}" destId="{45D173E3-AE29-45E1-9197-30FF671F559B}" srcOrd="2" destOrd="0" presId="urn:microsoft.com/office/officeart/2024/layout/BulletTimelineInverted"/>
    <dgm:cxn modelId="{B9FD9449-A9A9-4E06-A1AA-785E039399D6}" type="presParOf" srcId="{024333CD-07B1-40E8-AFB8-00C79FF57D3B}" destId="{5CF10BF5-10B3-44AC-A880-4CF04AB0ACC8}" srcOrd="3" destOrd="0" presId="urn:microsoft.com/office/officeart/2024/layout/BulletTimelineInverted"/>
    <dgm:cxn modelId="{B923F6CC-CADE-4F1E-8716-055159B9A350}" type="presParOf" srcId="{024333CD-07B1-40E8-AFB8-00C79FF57D3B}" destId="{26421F16-41A7-41A6-A6B4-0AE3095BB81C}" srcOrd="4" destOrd="0" presId="urn:microsoft.com/office/officeart/2024/layout/BulletTimelineInverted"/>
    <dgm:cxn modelId="{19926E3B-3A1C-4559-B407-F8547BDA5957}" type="presParOf" srcId="{26421F16-41A7-41A6-A6B4-0AE3095BB81C}" destId="{3CC69FDF-A909-426A-BC37-26B96BD73787}" srcOrd="0" destOrd="0" presId="urn:microsoft.com/office/officeart/2024/layout/BulletTimelineInverted"/>
    <dgm:cxn modelId="{AC433BFA-A088-4999-A5D6-23D7248FE28D}" type="presParOf" srcId="{024333CD-07B1-40E8-AFB8-00C79FF57D3B}" destId="{ECE6D91C-86E2-41B2-9004-B4373FF32403}" srcOrd="5" destOrd="0" presId="urn:microsoft.com/office/officeart/2024/layout/BulletTimelineInverted"/>
    <dgm:cxn modelId="{4A249EBF-11F9-4A1D-8BD7-333DD3EDB4A5}" type="presParOf" srcId="{8DD11EA8-1545-4652-8A21-6F2B82A459AF}" destId="{C1C5B0C4-2168-4E9B-8735-25437A345083}" srcOrd="5" destOrd="0" presId="urn:microsoft.com/office/officeart/2024/layout/BulletTimelineInverted"/>
    <dgm:cxn modelId="{9B79FD56-9AEC-4DC6-99B0-7A1EAFF844C5}" type="presParOf" srcId="{8DD11EA8-1545-4652-8A21-6F2B82A459AF}" destId="{59B0D0DE-6174-4DB8-8577-FB332FBA42F6}" srcOrd="6" destOrd="0" presId="urn:microsoft.com/office/officeart/2024/layout/BulletTimelineInverted"/>
    <dgm:cxn modelId="{96ED6D73-472A-4813-B60C-9E3B219A92F2}" type="presParOf" srcId="{59B0D0DE-6174-4DB8-8577-FB332FBA42F6}" destId="{85194BBA-A63A-4F27-A054-FED7CB2A93C1}" srcOrd="0" destOrd="0" presId="urn:microsoft.com/office/officeart/2024/layout/BulletTimelineInverted"/>
    <dgm:cxn modelId="{94A200A0-B0B1-4F8F-BA85-C106CED50A05}" type="presParOf" srcId="{85194BBA-A63A-4F27-A054-FED7CB2A93C1}" destId="{BC231060-53A3-4BA1-A314-6FAA4B49246E}" srcOrd="0" destOrd="0" presId="urn:microsoft.com/office/officeart/2024/layout/BulletTimelineInverted"/>
    <dgm:cxn modelId="{EB22AF58-5900-420F-A36A-E03EB0F45DD0}" type="presParOf" srcId="{85194BBA-A63A-4F27-A054-FED7CB2A93C1}" destId="{D2D580E9-AA0B-4EA8-9A52-412C7114CE60}" srcOrd="1" destOrd="0" presId="urn:microsoft.com/office/officeart/2024/layout/BulletTimelineInverted"/>
    <dgm:cxn modelId="{CD74FB7A-DF17-46AA-804C-950A1EB88751}" type="presParOf" srcId="{59B0D0DE-6174-4DB8-8577-FB332FBA42F6}" destId="{C3BD9618-788C-497B-BFF9-5BFC4BFE3112}" srcOrd="1" destOrd="0" presId="urn:microsoft.com/office/officeart/2024/layout/BulletTimelineInverted"/>
    <dgm:cxn modelId="{009AAC9A-99CF-412A-A975-49D8121B6F35}" type="presParOf" srcId="{59B0D0DE-6174-4DB8-8577-FB332FBA42F6}" destId="{929C94EB-FDB1-44DD-A053-18DC147B12B1}" srcOrd="2" destOrd="0" presId="urn:microsoft.com/office/officeart/2024/layout/BulletTimelineInverted"/>
    <dgm:cxn modelId="{854D3750-F150-4A87-9A23-5C4FEF47A821}" type="presParOf" srcId="{59B0D0DE-6174-4DB8-8577-FB332FBA42F6}" destId="{2FB39BC2-0741-4B9A-8C4C-7CE7E73E05AC}" srcOrd="3" destOrd="0" presId="urn:microsoft.com/office/officeart/2024/layout/BulletTimelineInverted"/>
    <dgm:cxn modelId="{DDCA052A-D23E-444C-B707-EB78FDA7E079}" type="presParOf" srcId="{59B0D0DE-6174-4DB8-8577-FB332FBA42F6}" destId="{F30C399E-8065-4FE0-B10C-A0E034577C2A}" srcOrd="4" destOrd="0" presId="urn:microsoft.com/office/officeart/2024/layout/BulletTimelineInverted"/>
    <dgm:cxn modelId="{B3CE7463-D24C-4C82-B61D-22703B47BE63}" type="presParOf" srcId="{F30C399E-8065-4FE0-B10C-A0E034577C2A}" destId="{316269E0-9CCE-482A-AE5B-EAE6E84791FA}" srcOrd="0" destOrd="0" presId="urn:microsoft.com/office/officeart/2024/layout/BulletTimelineInverted"/>
    <dgm:cxn modelId="{1F5A6CE3-E508-4274-98F2-143C074D72A7}" type="presParOf" srcId="{59B0D0DE-6174-4DB8-8577-FB332FBA42F6}" destId="{50BDD6FD-C0D7-4A35-AA18-2C03AB64365A}" srcOrd="5" destOrd="0" presId="urn:microsoft.com/office/officeart/2024/layout/BulletTimelineInverted"/>
    <dgm:cxn modelId="{C4894581-9EED-489F-B7BB-11C23DDA6272}" type="presParOf" srcId="{8DD11EA8-1545-4652-8A21-6F2B82A459AF}" destId="{44F2C365-7030-4844-BDF1-5516C95C4A11}" srcOrd="7" destOrd="0" presId="urn:microsoft.com/office/officeart/2024/layout/BulletTimelineInverted"/>
    <dgm:cxn modelId="{C9F202AD-0D01-4C24-B32F-875637D983C1}" type="presParOf" srcId="{8DD11EA8-1545-4652-8A21-6F2B82A459AF}" destId="{B9CB8CB1-8C2A-4AD2-9846-831693C04FF8}" srcOrd="8" destOrd="0" presId="urn:microsoft.com/office/officeart/2024/layout/BulletTimelineInverted"/>
    <dgm:cxn modelId="{B0C3C00D-A794-49EE-A6A2-5F44FB238164}" type="presParOf" srcId="{B9CB8CB1-8C2A-4AD2-9846-831693C04FF8}" destId="{A30EA991-20E9-4311-8222-73596EB9B312}" srcOrd="0" destOrd="0" presId="urn:microsoft.com/office/officeart/2024/layout/BulletTimelineInverted"/>
    <dgm:cxn modelId="{130A0A31-6CD3-4EEF-8686-4D9E1A20D159}" type="presParOf" srcId="{A30EA991-20E9-4311-8222-73596EB9B312}" destId="{667A73F6-B0BF-438C-A03D-C188512F2FEF}" srcOrd="0" destOrd="0" presId="urn:microsoft.com/office/officeart/2024/layout/BulletTimelineInverted"/>
    <dgm:cxn modelId="{867038FF-F66B-414F-919F-1BDA69CA9AE6}" type="presParOf" srcId="{A30EA991-20E9-4311-8222-73596EB9B312}" destId="{33CC4E15-78C5-4679-8EDB-1BF69252164A}" srcOrd="1" destOrd="0" presId="urn:microsoft.com/office/officeart/2024/layout/BulletTimelineInverted"/>
    <dgm:cxn modelId="{FAC9F79B-CA34-4295-8CA3-162602DCBE4A}" type="presParOf" srcId="{B9CB8CB1-8C2A-4AD2-9846-831693C04FF8}" destId="{7BABA38A-7DBF-4A6A-AEF1-1D611D3AAE15}" srcOrd="1" destOrd="0" presId="urn:microsoft.com/office/officeart/2024/layout/BulletTimelineInverted"/>
    <dgm:cxn modelId="{8C255873-DC99-4B90-B88C-CA60F244CA76}" type="presParOf" srcId="{B9CB8CB1-8C2A-4AD2-9846-831693C04FF8}" destId="{EFEFDB52-9DF9-4B16-A2CC-93BEBB483249}" srcOrd="2" destOrd="0" presId="urn:microsoft.com/office/officeart/2024/layout/BulletTimelineInverted"/>
    <dgm:cxn modelId="{02F66700-584A-4FCF-B879-4230C80F4DAB}" type="presParOf" srcId="{B9CB8CB1-8C2A-4AD2-9846-831693C04FF8}" destId="{F90A6A37-083D-47E5-A33F-715AABF776B7}" srcOrd="3" destOrd="0" presId="urn:microsoft.com/office/officeart/2024/layout/BulletTimelineInverted"/>
    <dgm:cxn modelId="{EB1B1EBF-AE6C-4F13-917A-4D6CF989A969}" type="presParOf" srcId="{B9CB8CB1-8C2A-4AD2-9846-831693C04FF8}" destId="{1A7F2300-85DD-481A-ABC0-CE1B0CFFAD06}" srcOrd="4" destOrd="0" presId="urn:microsoft.com/office/officeart/2024/layout/BulletTimelineInverted"/>
    <dgm:cxn modelId="{D97ED85E-4A48-4E98-9E32-D1CFC2D5CAA6}" type="presParOf" srcId="{1A7F2300-85DD-481A-ABC0-CE1B0CFFAD06}" destId="{0327D2EB-C2AB-471C-8516-EDFDC9DB3D62}" srcOrd="0" destOrd="0" presId="urn:microsoft.com/office/officeart/2024/layout/BulletTimelineInverted"/>
    <dgm:cxn modelId="{10AB415F-F068-49B9-80FC-ED796EEFD266}" type="presParOf" srcId="{B9CB8CB1-8C2A-4AD2-9846-831693C04FF8}" destId="{EDEDC050-4AB9-4DD6-86F3-ABC5F5138D5A}" srcOrd="5" destOrd="0" presId="urn:microsoft.com/office/officeart/2024/layout/BulletTimelineInverted"/>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1030CB-CFFD-43CC-9AB6-913997230FF0}">
      <dsp:nvSpPr>
        <dsp:cNvPr id="0" name=""/>
        <dsp:cNvSpPr/>
      </dsp:nvSpPr>
      <dsp:spPr>
        <a:xfrm>
          <a:off x="0" y="337585"/>
          <a:ext cx="3169383" cy="6819"/>
        </a:xfrm>
        <a:prstGeom prst="rect">
          <a:avLst/>
        </a:prstGeom>
        <a:gradFill rotWithShape="0">
          <a:gsLst>
            <a:gs pos="0">
              <a:schemeClr val="accent2">
                <a:tint val="76000"/>
              </a:schemeClr>
            </a:gs>
            <a:gs pos="100000">
              <a:schemeClr val="accent2">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662CD87B-2AA8-4307-BB2D-4684C18ED74B}">
      <dsp:nvSpPr>
        <dsp:cNvPr id="0" name=""/>
        <dsp:cNvSpPr/>
      </dsp:nvSpPr>
      <dsp:spPr>
        <a:xfrm>
          <a:off x="3141192" y="313715"/>
          <a:ext cx="40919" cy="54559"/>
        </a:xfrm>
        <a:prstGeom prst="chevron">
          <a:avLst>
            <a:gd name="adj" fmla="val 75000"/>
          </a:avLst>
        </a:prstGeom>
        <a:gradFill rotWithShape="0">
          <a:gsLst>
            <a:gs pos="0">
              <a:schemeClr val="accent2">
                <a:tint val="76000"/>
              </a:schemeClr>
            </a:gs>
            <a:gs pos="100000">
              <a:schemeClr val="accent2">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ED7F40A2-6153-4633-9C39-A5963DD957B2}">
      <dsp:nvSpPr>
        <dsp:cNvPr id="0" name=""/>
        <dsp:cNvSpPr/>
      </dsp:nvSpPr>
      <dsp:spPr>
        <a:xfrm>
          <a:off x="88848" y="171464"/>
          <a:ext cx="879524" cy="150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lvl="0" algn="l" defTabSz="355600">
            <a:lnSpc>
              <a:spcPct val="90000"/>
            </a:lnSpc>
            <a:spcBef>
              <a:spcPct val="0"/>
            </a:spcBef>
            <a:spcAft>
              <a:spcPct val="35000"/>
            </a:spcAft>
          </a:pPr>
          <a:r>
            <a:rPr lang="en-GB" sz="800" kern="1200"/>
            <a:t>No Formal Clinical Involvement</a:t>
          </a:r>
        </a:p>
      </dsp:txBody>
      <dsp:txXfrm>
        <a:off x="88848" y="171464"/>
        <a:ext cx="879524" cy="150348"/>
      </dsp:txXfrm>
    </dsp:sp>
    <dsp:sp modelId="{C2FE322F-A50C-4629-87D5-2757006B47F8}">
      <dsp:nvSpPr>
        <dsp:cNvPr id="0" name=""/>
        <dsp:cNvSpPr/>
      </dsp:nvSpPr>
      <dsp:spPr>
        <a:xfrm>
          <a:off x="88848" y="93697"/>
          <a:ext cx="879524" cy="777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l" defTabSz="355600">
            <a:lnSpc>
              <a:spcPct val="90000"/>
            </a:lnSpc>
            <a:spcBef>
              <a:spcPct val="0"/>
            </a:spcBef>
            <a:spcAft>
              <a:spcPct val="35000"/>
            </a:spcAft>
            <a:defRPr b="1"/>
          </a:pPr>
          <a:r>
            <a:rPr lang="en-GB" sz="800" kern="1200"/>
            <a:t>Traditional</a:t>
          </a:r>
        </a:p>
      </dsp:txBody>
      <dsp:txXfrm>
        <a:off x="88848" y="93697"/>
        <a:ext cx="879524" cy="77766"/>
      </dsp:txXfrm>
    </dsp:sp>
    <dsp:sp modelId="{78CED4CC-CF74-40F0-95C6-461A63F6FFAE}">
      <dsp:nvSpPr>
        <dsp:cNvPr id="0" name=""/>
        <dsp:cNvSpPr/>
      </dsp:nvSpPr>
      <dsp:spPr>
        <a:xfrm>
          <a:off x="42473" y="88513"/>
          <a:ext cx="5455" cy="254036"/>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9997A25-F152-4B65-9750-6E3CD5F2E44C}">
      <dsp:nvSpPr>
        <dsp:cNvPr id="0" name=""/>
        <dsp:cNvSpPr/>
      </dsp:nvSpPr>
      <dsp:spPr>
        <a:xfrm>
          <a:off x="31015" y="75033"/>
          <a:ext cx="28370" cy="2695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22C2212-C8CA-41B8-86B0-3DC39A1BFD2C}">
      <dsp:nvSpPr>
        <dsp:cNvPr id="0" name=""/>
        <dsp:cNvSpPr/>
      </dsp:nvSpPr>
      <dsp:spPr>
        <a:xfrm>
          <a:off x="618682" y="469682"/>
          <a:ext cx="879524" cy="1249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lvl="0" algn="l" defTabSz="355600">
            <a:lnSpc>
              <a:spcPct val="90000"/>
            </a:lnSpc>
            <a:spcBef>
              <a:spcPct val="0"/>
            </a:spcBef>
            <a:spcAft>
              <a:spcPct val="35000"/>
            </a:spcAft>
          </a:pPr>
          <a:r>
            <a:rPr lang="en-GB" sz="800" kern="1200"/>
            <a:t>New Contractual Arrangement</a:t>
          </a:r>
        </a:p>
      </dsp:txBody>
      <dsp:txXfrm>
        <a:off x="618682" y="469682"/>
        <a:ext cx="879524" cy="124965"/>
      </dsp:txXfrm>
    </dsp:sp>
    <dsp:sp modelId="{192CB435-6D35-424E-BC26-86953DF3E339}">
      <dsp:nvSpPr>
        <dsp:cNvPr id="0" name=""/>
        <dsp:cNvSpPr/>
      </dsp:nvSpPr>
      <dsp:spPr>
        <a:xfrm>
          <a:off x="618682" y="387258"/>
          <a:ext cx="879524" cy="824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l" defTabSz="355600">
            <a:lnSpc>
              <a:spcPct val="90000"/>
            </a:lnSpc>
            <a:spcBef>
              <a:spcPct val="0"/>
            </a:spcBef>
            <a:spcAft>
              <a:spcPct val="35000"/>
            </a:spcAft>
            <a:defRPr b="1"/>
          </a:pPr>
          <a:r>
            <a:rPr lang="en-GB" sz="800" kern="1200"/>
            <a:t>2005</a:t>
          </a:r>
        </a:p>
      </dsp:txBody>
      <dsp:txXfrm>
        <a:off x="618682" y="387258"/>
        <a:ext cx="879524" cy="82423"/>
      </dsp:txXfrm>
    </dsp:sp>
    <dsp:sp modelId="{86A8706D-556F-4426-9851-9B5E78F385D3}">
      <dsp:nvSpPr>
        <dsp:cNvPr id="0" name=""/>
        <dsp:cNvSpPr/>
      </dsp:nvSpPr>
      <dsp:spPr>
        <a:xfrm>
          <a:off x="572307" y="339399"/>
          <a:ext cx="5455" cy="260565"/>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7BE6F9C-2D6B-4C75-870C-A3C340097656}">
      <dsp:nvSpPr>
        <dsp:cNvPr id="0" name=""/>
        <dsp:cNvSpPr/>
      </dsp:nvSpPr>
      <dsp:spPr>
        <a:xfrm>
          <a:off x="560849" y="586139"/>
          <a:ext cx="28370" cy="27651"/>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37A74F-67CB-4A4D-BF9B-1BC4B6BBDEB3}">
      <dsp:nvSpPr>
        <dsp:cNvPr id="0" name=""/>
        <dsp:cNvSpPr/>
      </dsp:nvSpPr>
      <dsp:spPr>
        <a:xfrm>
          <a:off x="1148516" y="171464"/>
          <a:ext cx="879524" cy="150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lvl="0" algn="l" defTabSz="355600">
            <a:lnSpc>
              <a:spcPct val="90000"/>
            </a:lnSpc>
            <a:spcBef>
              <a:spcPct val="0"/>
            </a:spcBef>
            <a:spcAft>
              <a:spcPct val="35000"/>
            </a:spcAft>
          </a:pPr>
          <a:r>
            <a:rPr lang="en-GB" sz="800" kern="1200"/>
            <a:t>CPCS</a:t>
          </a:r>
        </a:p>
      </dsp:txBody>
      <dsp:txXfrm>
        <a:off x="1148516" y="171464"/>
        <a:ext cx="879524" cy="150348"/>
      </dsp:txXfrm>
    </dsp:sp>
    <dsp:sp modelId="{45D173E3-AE29-45E1-9197-30FF671F559B}">
      <dsp:nvSpPr>
        <dsp:cNvPr id="0" name=""/>
        <dsp:cNvSpPr/>
      </dsp:nvSpPr>
      <dsp:spPr>
        <a:xfrm>
          <a:off x="1148516" y="93697"/>
          <a:ext cx="879524" cy="777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l" defTabSz="355600">
            <a:lnSpc>
              <a:spcPct val="90000"/>
            </a:lnSpc>
            <a:spcBef>
              <a:spcPct val="0"/>
            </a:spcBef>
            <a:spcAft>
              <a:spcPct val="35000"/>
            </a:spcAft>
            <a:defRPr b="1"/>
          </a:pPr>
          <a:r>
            <a:rPr lang="en-GB" sz="800" kern="1200"/>
            <a:t>2019</a:t>
          </a:r>
        </a:p>
      </dsp:txBody>
      <dsp:txXfrm>
        <a:off x="1148516" y="93697"/>
        <a:ext cx="879524" cy="77766"/>
      </dsp:txXfrm>
    </dsp:sp>
    <dsp:sp modelId="{5CF10BF5-10B3-44AC-A880-4CF04AB0ACC8}">
      <dsp:nvSpPr>
        <dsp:cNvPr id="0" name=""/>
        <dsp:cNvSpPr/>
      </dsp:nvSpPr>
      <dsp:spPr>
        <a:xfrm>
          <a:off x="1102141" y="88513"/>
          <a:ext cx="5455" cy="254036"/>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CC69FDF-A909-426A-BC37-26B96BD73787}">
      <dsp:nvSpPr>
        <dsp:cNvPr id="0" name=""/>
        <dsp:cNvSpPr/>
      </dsp:nvSpPr>
      <dsp:spPr>
        <a:xfrm>
          <a:off x="1090683" y="75033"/>
          <a:ext cx="28370" cy="2695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3BD9618-788C-497B-BFF9-5BFC4BFE3112}">
      <dsp:nvSpPr>
        <dsp:cNvPr id="0" name=""/>
        <dsp:cNvSpPr/>
      </dsp:nvSpPr>
      <dsp:spPr>
        <a:xfrm>
          <a:off x="1678350" y="469682"/>
          <a:ext cx="879524" cy="1249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lvl="0" algn="l" defTabSz="355600">
            <a:lnSpc>
              <a:spcPct val="90000"/>
            </a:lnSpc>
            <a:spcBef>
              <a:spcPct val="0"/>
            </a:spcBef>
            <a:spcAft>
              <a:spcPct val="35000"/>
            </a:spcAft>
          </a:pPr>
          <a:r>
            <a:rPr lang="en-GB" sz="800" kern="1200"/>
            <a:t>Pharmacy First</a:t>
          </a:r>
        </a:p>
      </dsp:txBody>
      <dsp:txXfrm>
        <a:off x="1678350" y="469682"/>
        <a:ext cx="879524" cy="124965"/>
      </dsp:txXfrm>
    </dsp:sp>
    <dsp:sp modelId="{929C94EB-FDB1-44DD-A053-18DC147B12B1}">
      <dsp:nvSpPr>
        <dsp:cNvPr id="0" name=""/>
        <dsp:cNvSpPr/>
      </dsp:nvSpPr>
      <dsp:spPr>
        <a:xfrm>
          <a:off x="1678350" y="387258"/>
          <a:ext cx="879524" cy="824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l" defTabSz="355600">
            <a:lnSpc>
              <a:spcPct val="90000"/>
            </a:lnSpc>
            <a:spcBef>
              <a:spcPct val="0"/>
            </a:spcBef>
            <a:spcAft>
              <a:spcPct val="35000"/>
            </a:spcAft>
            <a:defRPr b="1"/>
          </a:pPr>
          <a:r>
            <a:rPr lang="en-GB" sz="800" kern="1200"/>
            <a:t>2024</a:t>
          </a:r>
        </a:p>
      </dsp:txBody>
      <dsp:txXfrm>
        <a:off x="1678350" y="387258"/>
        <a:ext cx="879524" cy="82423"/>
      </dsp:txXfrm>
    </dsp:sp>
    <dsp:sp modelId="{2FB39BC2-0741-4B9A-8C4C-7CE7E73E05AC}">
      <dsp:nvSpPr>
        <dsp:cNvPr id="0" name=""/>
        <dsp:cNvSpPr/>
      </dsp:nvSpPr>
      <dsp:spPr>
        <a:xfrm>
          <a:off x="1631975" y="339399"/>
          <a:ext cx="5455" cy="260565"/>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16269E0-9CCE-482A-AE5B-EAE6E84791FA}">
      <dsp:nvSpPr>
        <dsp:cNvPr id="0" name=""/>
        <dsp:cNvSpPr/>
      </dsp:nvSpPr>
      <dsp:spPr>
        <a:xfrm>
          <a:off x="1620517" y="586139"/>
          <a:ext cx="28370" cy="27651"/>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ABA38A-7DBF-4A6A-AEF1-1D611D3AAE15}">
      <dsp:nvSpPr>
        <dsp:cNvPr id="0" name=""/>
        <dsp:cNvSpPr/>
      </dsp:nvSpPr>
      <dsp:spPr>
        <a:xfrm>
          <a:off x="2208184" y="171464"/>
          <a:ext cx="879524" cy="150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lvl="0" algn="l" defTabSz="355600">
            <a:lnSpc>
              <a:spcPct val="90000"/>
            </a:lnSpc>
            <a:spcBef>
              <a:spcPct val="0"/>
            </a:spcBef>
            <a:spcAft>
              <a:spcPct val="35000"/>
            </a:spcAft>
          </a:pPr>
          <a:r>
            <a:rPr lang="en-GB" sz="800" kern="1200"/>
            <a:t>Independent Prescribing</a:t>
          </a:r>
        </a:p>
      </dsp:txBody>
      <dsp:txXfrm>
        <a:off x="2208184" y="171464"/>
        <a:ext cx="879524" cy="150348"/>
      </dsp:txXfrm>
    </dsp:sp>
    <dsp:sp modelId="{EFEFDB52-9DF9-4B16-A2CC-93BEBB483249}">
      <dsp:nvSpPr>
        <dsp:cNvPr id="0" name=""/>
        <dsp:cNvSpPr/>
      </dsp:nvSpPr>
      <dsp:spPr>
        <a:xfrm>
          <a:off x="2208184" y="93697"/>
          <a:ext cx="879524" cy="777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lvl="0" algn="l" defTabSz="355600">
            <a:lnSpc>
              <a:spcPct val="90000"/>
            </a:lnSpc>
            <a:spcBef>
              <a:spcPct val="0"/>
            </a:spcBef>
            <a:spcAft>
              <a:spcPct val="35000"/>
            </a:spcAft>
            <a:defRPr b="1"/>
          </a:pPr>
          <a:r>
            <a:rPr lang="en-GB" sz="800" kern="1200"/>
            <a:t>2026</a:t>
          </a:r>
        </a:p>
      </dsp:txBody>
      <dsp:txXfrm>
        <a:off x="2208184" y="93697"/>
        <a:ext cx="879524" cy="77766"/>
      </dsp:txXfrm>
    </dsp:sp>
    <dsp:sp modelId="{F90A6A37-083D-47E5-A33F-715AABF776B7}">
      <dsp:nvSpPr>
        <dsp:cNvPr id="0" name=""/>
        <dsp:cNvSpPr/>
      </dsp:nvSpPr>
      <dsp:spPr>
        <a:xfrm>
          <a:off x="2161809" y="88513"/>
          <a:ext cx="5455" cy="254036"/>
        </a:xfrm>
        <a:prstGeom prst="rect">
          <a:avLst/>
        </a:prstGeom>
        <a:solidFill>
          <a:schemeClr val="accent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327D2EB-C2AB-471C-8516-EDFDC9DB3D62}">
      <dsp:nvSpPr>
        <dsp:cNvPr id="0" name=""/>
        <dsp:cNvSpPr/>
      </dsp:nvSpPr>
      <dsp:spPr>
        <a:xfrm>
          <a:off x="2150352" y="75033"/>
          <a:ext cx="28370" cy="26959"/>
        </a:xfrm>
        <a:prstGeom prst="ellipse">
          <a:avLst/>
        </a:prstGeom>
        <a:solidFill>
          <a:schemeClr val="lt1">
            <a:hueOff val="0"/>
            <a:satOff val="0"/>
            <a:lumOff val="0"/>
            <a:alphaOff val="0"/>
          </a:schemeClr>
        </a:solidFill>
        <a:ln w="1905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24/layout/BulletTimelineInverted">
  <dgm:title val=""/>
  <dgm:desc val=""/>
  <dgm:catLst>
    <dgm:cat type="process" pri="7451"/>
    <dgm:cat type="timeline" pri="101"/>
  </dgm:catLst>
  <dgm:sampData>
    <dgm:dataModel>
      <dgm:ptLst>
        <dgm:pt modelId="0" type="doc"/>
        <dgm:pt modelId="10">
          <dgm:prSet phldrT="Add an event" phldr="1"/>
        </dgm:pt>
        <dgm:pt modelId="11">
          <dgm:prSet phldrT="Write a description of the significance of this event" phldr="1"/>
        </dgm:pt>
        <dgm:pt modelId="20">
          <dgm:prSet phldrT="Add an event" phldr="1"/>
        </dgm:pt>
        <dgm:pt modelId="21">
          <dgm:prSet phldrT="Write a description of the significance of this event" phldr="1"/>
        </dgm:pt>
        <dgm:pt modelId="30">
          <dgm:prSet phldrT="Add an event" phldr="1"/>
        </dgm:pt>
        <dgm:pt modelId="31">
          <dgm:prSet phldrT="Write a description of the significance of this event" phldr="1"/>
        </dgm:pt>
        <dgm:pt modelId="40">
          <dgm:prSet phldrT="Add an event" phldr="1"/>
        </dgm:pt>
        <dgm:pt modelId="41">
          <dgm:prSet phldrT="Write a description of the significance of this event" phldr="1"/>
        </dgm:pt>
        <dgm:pt modelId="50">
          <dgm:prSet phldrT="Add an event" phldr="1"/>
        </dgm:pt>
        <dgm:pt modelId="51">
          <dgm:prSet phldrT="Write a description of the significance of this event" phldr="1"/>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xmlns="">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xmlns="">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xmlns="">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xmlns="">
        <a:lvl1pPr>
          <a:defRPr b="1"/>
        </a:lvl1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hp</cp:lastModifiedBy>
  <cp:revision>2</cp:revision>
  <dcterms:created xsi:type="dcterms:W3CDTF">2026-07-12T22:22:00Z</dcterms:created>
  <dcterms:modified xsi:type="dcterms:W3CDTF">2026-07-12T22:22:00Z</dcterms:modified>
</cp:coreProperties>
</file>