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EF8898" w14:textId="1D04F124" w:rsidR="00AA7624" w:rsidRDefault="00752690" w:rsidP="00AA7624">
      <w:pPr>
        <w:spacing w:line="360" w:lineRule="auto"/>
        <w:rPr>
          <w:rFonts w:ascii="Arial" w:hAnsi="Arial" w:cs="Arial"/>
          <w:sz w:val="24"/>
          <w:szCs w:val="24"/>
          <w:lang w:val="en-US"/>
        </w:rPr>
      </w:pPr>
      <w:r w:rsidRPr="00752690">
        <w:rPr>
          <w:rFonts w:ascii="Arial" w:hAnsi="Arial" w:cs="Arial"/>
          <w:sz w:val="24"/>
          <w:szCs w:val="24"/>
          <w:lang w:val="en-US"/>
        </w:rPr>
        <w:t>Article 19 of the United Nations Convention on the Rights of the Child (1989) asserts that every chi</w:t>
      </w:r>
      <w:r w:rsidR="005F61F1">
        <w:rPr>
          <w:rFonts w:ascii="Arial" w:hAnsi="Arial" w:cs="Arial"/>
          <w:sz w:val="24"/>
          <w:szCs w:val="24"/>
          <w:lang w:val="en-US"/>
        </w:rPr>
        <w:t>ld has the right to protection</w:t>
      </w:r>
      <w:r w:rsidRPr="00752690">
        <w:rPr>
          <w:rFonts w:ascii="Arial" w:hAnsi="Arial" w:cs="Arial"/>
          <w:sz w:val="24"/>
          <w:szCs w:val="24"/>
          <w:lang w:val="en-US"/>
        </w:rPr>
        <w:t xml:space="preserve"> from all forms of violence, abuse, and neglect. It places a clear obligation on governments to ensure the safeguarding of children from harm, whether inflicted by parents or other caregivers. In alignment with this international framework, the Wales Safeguarding Procedures (2020)</w:t>
      </w:r>
      <w:r w:rsidR="005F61F1">
        <w:rPr>
          <w:rFonts w:ascii="Arial" w:hAnsi="Arial" w:cs="Arial"/>
          <w:sz w:val="24"/>
          <w:szCs w:val="24"/>
          <w:lang w:val="en-US"/>
        </w:rPr>
        <w:t>, emphasis</w:t>
      </w:r>
      <w:r w:rsidRPr="00752690">
        <w:rPr>
          <w:rFonts w:ascii="Arial" w:hAnsi="Arial" w:cs="Arial"/>
          <w:sz w:val="24"/>
          <w:szCs w:val="24"/>
          <w:lang w:val="en-US"/>
        </w:rPr>
        <w:t>e that safeguarding is a collective responsibility, advocating for a collaborative, multi-agency approach to child protection across Wales. This essay will critically examine the advantages and challenges of multi-agency working in safeguarding children, with particular reference to relevant policy, legislation, and theoretical perspectives wit</w:t>
      </w:r>
      <w:r w:rsidR="003D3E92">
        <w:rPr>
          <w:rFonts w:ascii="Arial" w:hAnsi="Arial" w:cs="Arial"/>
          <w:sz w:val="24"/>
          <w:szCs w:val="24"/>
          <w:lang w:val="en-US"/>
        </w:rPr>
        <w:t xml:space="preserve">hin </w:t>
      </w:r>
      <w:r w:rsidRPr="00752690">
        <w:rPr>
          <w:rFonts w:ascii="Arial" w:hAnsi="Arial" w:cs="Arial"/>
          <w:sz w:val="24"/>
          <w:szCs w:val="24"/>
          <w:lang w:val="en-US"/>
        </w:rPr>
        <w:t>education.</w:t>
      </w:r>
    </w:p>
    <w:p w14:paraId="4B57FA39" w14:textId="77777777" w:rsidR="00752690" w:rsidRPr="00F11B83" w:rsidRDefault="00752690" w:rsidP="00AA7624">
      <w:pPr>
        <w:spacing w:line="360" w:lineRule="auto"/>
        <w:rPr>
          <w:rFonts w:ascii="Arial" w:hAnsi="Arial" w:cs="Arial"/>
          <w:sz w:val="24"/>
          <w:szCs w:val="24"/>
        </w:rPr>
      </w:pPr>
    </w:p>
    <w:p w14:paraId="09272FBB" w14:textId="7D2CF47C" w:rsidR="00AA7624" w:rsidRPr="00F11B83" w:rsidRDefault="00AA7624" w:rsidP="00617B65">
      <w:pPr>
        <w:spacing w:line="360" w:lineRule="auto"/>
        <w:rPr>
          <w:rFonts w:ascii="Arial" w:hAnsi="Arial" w:cs="Arial"/>
          <w:sz w:val="24"/>
          <w:szCs w:val="24"/>
        </w:rPr>
      </w:pPr>
      <w:r w:rsidRPr="00F11B83">
        <w:rPr>
          <w:rFonts w:ascii="Arial" w:hAnsi="Arial" w:cs="Arial"/>
          <w:sz w:val="24"/>
          <w:szCs w:val="24"/>
        </w:rPr>
        <w:t>The concept of safeguarding originated</w:t>
      </w:r>
      <w:r w:rsidR="003D3E92">
        <w:rPr>
          <w:rFonts w:ascii="Arial" w:hAnsi="Arial" w:cs="Arial"/>
          <w:sz w:val="24"/>
          <w:szCs w:val="24"/>
        </w:rPr>
        <w:t xml:space="preserve"> in the 19th century </w:t>
      </w:r>
      <w:r w:rsidRPr="00F11B83">
        <w:rPr>
          <w:rFonts w:ascii="Arial" w:hAnsi="Arial" w:cs="Arial"/>
          <w:sz w:val="24"/>
          <w:szCs w:val="24"/>
        </w:rPr>
        <w:t>as a response to the risks faced by workers during the Industrial Revolution.</w:t>
      </w:r>
      <w:r w:rsidR="003D7866">
        <w:rPr>
          <w:rFonts w:ascii="Arial" w:hAnsi="Arial" w:cs="Arial"/>
          <w:sz w:val="24"/>
          <w:szCs w:val="24"/>
        </w:rPr>
        <w:t xml:space="preserve"> Over time </w:t>
      </w:r>
      <w:r w:rsidRPr="00F11B83">
        <w:rPr>
          <w:rFonts w:ascii="Arial" w:hAnsi="Arial" w:cs="Arial"/>
          <w:sz w:val="24"/>
          <w:szCs w:val="24"/>
        </w:rPr>
        <w:t>safeguarding expanded to encompass broader social welfare concerns. C</w:t>
      </w:r>
      <w:r w:rsidR="003D3E92">
        <w:rPr>
          <w:rFonts w:ascii="Arial" w:hAnsi="Arial" w:cs="Arial"/>
          <w:sz w:val="24"/>
          <w:szCs w:val="24"/>
        </w:rPr>
        <w:t>hild protection and welfare</w:t>
      </w:r>
      <w:r w:rsidRPr="00F11B83">
        <w:rPr>
          <w:rFonts w:ascii="Arial" w:hAnsi="Arial" w:cs="Arial"/>
          <w:sz w:val="24"/>
          <w:szCs w:val="24"/>
        </w:rPr>
        <w:t xml:space="preserve"> became central in the late 20th century, </w:t>
      </w:r>
      <w:r w:rsidR="00C75B8F" w:rsidRPr="00F11B83">
        <w:rPr>
          <w:rFonts w:ascii="Arial" w:hAnsi="Arial" w:cs="Arial"/>
          <w:sz w:val="24"/>
          <w:szCs w:val="24"/>
        </w:rPr>
        <w:t>with the</w:t>
      </w:r>
      <w:r w:rsidRPr="00F11B83">
        <w:rPr>
          <w:rFonts w:ascii="Arial" w:hAnsi="Arial" w:cs="Arial"/>
          <w:sz w:val="24"/>
          <w:szCs w:val="24"/>
        </w:rPr>
        <w:t xml:space="preserve"> introduction of the Children Act (1989). This legislation established a comprehensive framework for protect</w:t>
      </w:r>
      <w:r w:rsidR="00863FA3">
        <w:rPr>
          <w:rFonts w:ascii="Arial" w:hAnsi="Arial" w:cs="Arial"/>
          <w:sz w:val="24"/>
          <w:szCs w:val="24"/>
        </w:rPr>
        <w:t>ing children’s welfare, emphasis</w:t>
      </w:r>
      <w:r w:rsidR="003D3E92">
        <w:rPr>
          <w:rFonts w:ascii="Arial" w:hAnsi="Arial" w:cs="Arial"/>
          <w:sz w:val="24"/>
          <w:szCs w:val="24"/>
        </w:rPr>
        <w:t xml:space="preserve">ing the </w:t>
      </w:r>
      <w:r w:rsidRPr="00F11B83">
        <w:rPr>
          <w:rFonts w:ascii="Arial" w:hAnsi="Arial" w:cs="Arial"/>
          <w:sz w:val="24"/>
          <w:szCs w:val="24"/>
        </w:rPr>
        <w:t>importance of the child’s needs and the responsibilities of parents and the state (Shropshire County Council, n.d.).</w:t>
      </w:r>
    </w:p>
    <w:p w14:paraId="3F5ED64D" w14:textId="77777777" w:rsidR="006A2B2F" w:rsidRDefault="006A2B2F" w:rsidP="00617B65">
      <w:pPr>
        <w:spacing w:line="360" w:lineRule="auto"/>
        <w:rPr>
          <w:rFonts w:ascii="Arial" w:hAnsi="Arial" w:cs="Arial"/>
          <w:sz w:val="24"/>
          <w:szCs w:val="24"/>
        </w:rPr>
      </w:pPr>
    </w:p>
    <w:p w14:paraId="345018BF" w14:textId="3D283502" w:rsidR="000823F0" w:rsidRDefault="006A2B2F" w:rsidP="00617B65">
      <w:pPr>
        <w:spacing w:line="360" w:lineRule="auto"/>
        <w:rPr>
          <w:rFonts w:ascii="Arial" w:hAnsi="Arial" w:cs="Arial"/>
          <w:sz w:val="24"/>
          <w:szCs w:val="24"/>
        </w:rPr>
      </w:pPr>
      <w:r>
        <w:rPr>
          <w:rFonts w:ascii="Arial" w:hAnsi="Arial" w:cs="Arial"/>
          <w:sz w:val="24"/>
          <w:szCs w:val="24"/>
        </w:rPr>
        <w:t>I</w:t>
      </w:r>
      <w:r w:rsidRPr="006A2B2F">
        <w:rPr>
          <w:rFonts w:ascii="Arial" w:hAnsi="Arial" w:cs="Arial"/>
          <w:sz w:val="24"/>
          <w:szCs w:val="24"/>
        </w:rPr>
        <w:t>n recent decades, safeguarding has evolved from a reactive approach</w:t>
      </w:r>
      <w:r>
        <w:rPr>
          <w:rFonts w:ascii="Arial" w:hAnsi="Arial" w:cs="Arial"/>
          <w:sz w:val="24"/>
          <w:szCs w:val="24"/>
        </w:rPr>
        <w:t xml:space="preserve">, </w:t>
      </w:r>
      <w:r w:rsidRPr="006A2B2F">
        <w:rPr>
          <w:rFonts w:ascii="Arial" w:hAnsi="Arial" w:cs="Arial"/>
          <w:sz w:val="24"/>
          <w:szCs w:val="24"/>
        </w:rPr>
        <w:t>responding to childre</w:t>
      </w:r>
      <w:r>
        <w:rPr>
          <w:rFonts w:ascii="Arial" w:hAnsi="Arial" w:cs="Arial"/>
          <w:sz w:val="24"/>
          <w:szCs w:val="24"/>
        </w:rPr>
        <w:t xml:space="preserve">n already identified as at risk, </w:t>
      </w:r>
      <w:r w:rsidRPr="006A2B2F">
        <w:rPr>
          <w:rFonts w:ascii="Arial" w:hAnsi="Arial" w:cs="Arial"/>
          <w:sz w:val="24"/>
          <w:szCs w:val="24"/>
        </w:rPr>
        <w:t>to a more proactive and preventative model.</w:t>
      </w:r>
      <w:r w:rsidR="00EE7741">
        <w:rPr>
          <w:rFonts w:ascii="Arial" w:hAnsi="Arial" w:cs="Arial"/>
          <w:sz w:val="24"/>
          <w:szCs w:val="24"/>
        </w:rPr>
        <w:t xml:space="preserve"> </w:t>
      </w:r>
      <w:r w:rsidR="00EE7741" w:rsidRPr="00EE7741">
        <w:rPr>
          <w:rFonts w:ascii="Arial" w:hAnsi="Arial" w:cs="Arial"/>
          <w:sz w:val="24"/>
          <w:szCs w:val="24"/>
        </w:rPr>
        <w:t>Social Care Institute for Excellence (2024)</w:t>
      </w:r>
      <w:r w:rsidR="00EE7741">
        <w:rPr>
          <w:rFonts w:ascii="Arial" w:hAnsi="Arial" w:cs="Arial"/>
          <w:sz w:val="24"/>
          <w:szCs w:val="24"/>
        </w:rPr>
        <w:t xml:space="preserve"> identified prevention as </w:t>
      </w:r>
      <w:r w:rsidR="003D3E92">
        <w:rPr>
          <w:rFonts w:ascii="Arial" w:hAnsi="Arial" w:cs="Arial"/>
          <w:sz w:val="24"/>
          <w:szCs w:val="24"/>
        </w:rPr>
        <w:t>a</w:t>
      </w:r>
      <w:r w:rsidR="00EE7741">
        <w:rPr>
          <w:rFonts w:ascii="Arial" w:hAnsi="Arial" w:cs="Arial"/>
          <w:sz w:val="24"/>
          <w:szCs w:val="24"/>
        </w:rPr>
        <w:t xml:space="preserve"> key principles of modern safeguarding.</w:t>
      </w:r>
      <w:r w:rsidRPr="006A2B2F">
        <w:rPr>
          <w:rFonts w:ascii="Arial" w:hAnsi="Arial" w:cs="Arial"/>
          <w:sz w:val="24"/>
          <w:szCs w:val="24"/>
        </w:rPr>
        <w:t xml:space="preserve"> This</w:t>
      </w:r>
      <w:r>
        <w:rPr>
          <w:rFonts w:ascii="Arial" w:hAnsi="Arial" w:cs="Arial"/>
          <w:sz w:val="24"/>
          <w:szCs w:val="24"/>
        </w:rPr>
        <w:t xml:space="preserve"> approach prioritis</w:t>
      </w:r>
      <w:r w:rsidRPr="006A2B2F">
        <w:rPr>
          <w:rFonts w:ascii="Arial" w:hAnsi="Arial" w:cs="Arial"/>
          <w:sz w:val="24"/>
          <w:szCs w:val="24"/>
        </w:rPr>
        <w:t>es the creation of safe, supportive env</w:t>
      </w:r>
      <w:r w:rsidR="005F61F1">
        <w:rPr>
          <w:rFonts w:ascii="Arial" w:hAnsi="Arial" w:cs="Arial"/>
          <w:sz w:val="24"/>
          <w:szCs w:val="24"/>
        </w:rPr>
        <w:t xml:space="preserve">ironments in </w:t>
      </w:r>
      <w:r w:rsidRPr="006A2B2F">
        <w:rPr>
          <w:rFonts w:ascii="Arial" w:hAnsi="Arial" w:cs="Arial"/>
          <w:sz w:val="24"/>
          <w:szCs w:val="24"/>
        </w:rPr>
        <w:t>settings where children are</w:t>
      </w:r>
      <w:r w:rsidR="003D3E92">
        <w:rPr>
          <w:rFonts w:ascii="Arial" w:hAnsi="Arial" w:cs="Arial"/>
          <w:sz w:val="24"/>
          <w:szCs w:val="24"/>
        </w:rPr>
        <w:t xml:space="preserve"> present, particularly in </w:t>
      </w:r>
      <w:r w:rsidRPr="006A2B2F">
        <w:rPr>
          <w:rFonts w:ascii="Arial" w:hAnsi="Arial" w:cs="Arial"/>
          <w:sz w:val="24"/>
          <w:szCs w:val="24"/>
        </w:rPr>
        <w:t>schools. At the heart of this model is multi-agency working, which encourages coordinated collaboration between health, education, and social care professionals. As</w:t>
      </w:r>
      <w:r>
        <w:rPr>
          <w:rFonts w:ascii="Arial" w:hAnsi="Arial" w:cs="Arial"/>
          <w:sz w:val="24"/>
          <w:szCs w:val="24"/>
        </w:rPr>
        <w:t xml:space="preserve"> Sidebotham et al. (2016) state</w:t>
      </w:r>
      <w:r w:rsidRPr="006A2B2F">
        <w:rPr>
          <w:rFonts w:ascii="Arial" w:hAnsi="Arial" w:cs="Arial"/>
          <w:sz w:val="24"/>
          <w:szCs w:val="24"/>
        </w:rPr>
        <w:t>, “Multi-agency working is key to effective safeguarding and child protection.”</w:t>
      </w:r>
    </w:p>
    <w:p w14:paraId="4A8672A8" w14:textId="77777777" w:rsidR="003D3E92" w:rsidRPr="00F11B83" w:rsidRDefault="003D3E92" w:rsidP="00617B65">
      <w:pPr>
        <w:spacing w:line="360" w:lineRule="auto"/>
        <w:rPr>
          <w:rFonts w:ascii="Arial" w:hAnsi="Arial" w:cs="Arial"/>
          <w:sz w:val="24"/>
          <w:szCs w:val="24"/>
        </w:rPr>
      </w:pPr>
    </w:p>
    <w:p w14:paraId="7FD229E1" w14:textId="5F6AFFD6" w:rsidR="0082750E" w:rsidRPr="0082750E" w:rsidRDefault="0082750E" w:rsidP="0082750E">
      <w:pPr>
        <w:spacing w:line="360" w:lineRule="auto"/>
        <w:rPr>
          <w:rFonts w:ascii="Arial" w:hAnsi="Arial" w:cs="Arial"/>
          <w:sz w:val="24"/>
          <w:szCs w:val="24"/>
        </w:rPr>
      </w:pPr>
      <w:r w:rsidRPr="0082750E">
        <w:rPr>
          <w:rFonts w:ascii="Arial" w:hAnsi="Arial" w:cs="Arial"/>
          <w:sz w:val="24"/>
          <w:szCs w:val="24"/>
        </w:rPr>
        <w:t>This collaborative approach to service delivery has evolved, in part, as a response</w:t>
      </w:r>
      <w:r w:rsidR="006A2B2F">
        <w:rPr>
          <w:rFonts w:ascii="Arial" w:hAnsi="Arial" w:cs="Arial"/>
          <w:sz w:val="24"/>
          <w:szCs w:val="24"/>
        </w:rPr>
        <w:t xml:space="preserve"> to inquiries into several high </w:t>
      </w:r>
      <w:r w:rsidRPr="0082750E">
        <w:rPr>
          <w:rFonts w:ascii="Arial" w:hAnsi="Arial" w:cs="Arial"/>
          <w:sz w:val="24"/>
          <w:szCs w:val="24"/>
        </w:rPr>
        <w:t>profile child protection cases, most notably the death</w:t>
      </w:r>
      <w:r w:rsidR="00F0720B">
        <w:rPr>
          <w:rFonts w:ascii="Arial" w:hAnsi="Arial" w:cs="Arial"/>
          <w:sz w:val="24"/>
          <w:szCs w:val="24"/>
        </w:rPr>
        <w:t>s</w:t>
      </w:r>
      <w:r w:rsidRPr="0082750E">
        <w:rPr>
          <w:rFonts w:ascii="Arial" w:hAnsi="Arial" w:cs="Arial"/>
          <w:sz w:val="24"/>
          <w:szCs w:val="24"/>
        </w:rPr>
        <w:t xml:space="preserve"> of </w:t>
      </w:r>
      <w:r>
        <w:rPr>
          <w:rFonts w:ascii="Arial" w:hAnsi="Arial" w:cs="Arial"/>
          <w:sz w:val="24"/>
          <w:szCs w:val="24"/>
        </w:rPr>
        <w:t>Victoria Climbié (Laming, 2003) and Holly wells and J</w:t>
      </w:r>
      <w:r w:rsidRPr="0082750E">
        <w:rPr>
          <w:rFonts w:ascii="Arial" w:hAnsi="Arial" w:cs="Arial"/>
          <w:sz w:val="24"/>
          <w:szCs w:val="24"/>
        </w:rPr>
        <w:t xml:space="preserve">essica </w:t>
      </w:r>
      <w:r>
        <w:rPr>
          <w:rFonts w:ascii="Arial" w:hAnsi="Arial" w:cs="Arial"/>
          <w:sz w:val="24"/>
          <w:szCs w:val="24"/>
        </w:rPr>
        <w:t>C</w:t>
      </w:r>
      <w:r w:rsidRPr="0082750E">
        <w:rPr>
          <w:rFonts w:ascii="Arial" w:hAnsi="Arial" w:cs="Arial"/>
          <w:sz w:val="24"/>
          <w:szCs w:val="24"/>
        </w:rPr>
        <w:t>hapman</w:t>
      </w:r>
      <w:r>
        <w:rPr>
          <w:rFonts w:ascii="Arial" w:hAnsi="Arial" w:cs="Arial"/>
          <w:sz w:val="24"/>
          <w:szCs w:val="24"/>
        </w:rPr>
        <w:t xml:space="preserve"> </w:t>
      </w:r>
      <w:r w:rsidRPr="0082750E">
        <w:rPr>
          <w:rFonts w:ascii="Arial" w:hAnsi="Arial" w:cs="Arial"/>
          <w:sz w:val="24"/>
          <w:szCs w:val="24"/>
        </w:rPr>
        <w:t>(Bichard, 2004)</w:t>
      </w:r>
      <w:r>
        <w:rPr>
          <w:rFonts w:ascii="Arial" w:hAnsi="Arial" w:cs="Arial"/>
          <w:sz w:val="24"/>
          <w:szCs w:val="24"/>
        </w:rPr>
        <w:t xml:space="preserve">. </w:t>
      </w:r>
      <w:r w:rsidRPr="0082750E">
        <w:rPr>
          <w:rFonts w:ascii="Arial" w:hAnsi="Arial" w:cs="Arial"/>
          <w:sz w:val="24"/>
          <w:szCs w:val="24"/>
        </w:rPr>
        <w:t>These inquiries consistently identifie</w:t>
      </w:r>
      <w:r w:rsidR="006A2B2F">
        <w:rPr>
          <w:rFonts w:ascii="Arial" w:hAnsi="Arial" w:cs="Arial"/>
          <w:sz w:val="24"/>
          <w:szCs w:val="24"/>
        </w:rPr>
        <w:t xml:space="preserve">d significant failures in inter </w:t>
      </w:r>
      <w:r w:rsidRPr="0082750E">
        <w:rPr>
          <w:rFonts w:ascii="Arial" w:hAnsi="Arial" w:cs="Arial"/>
          <w:sz w:val="24"/>
          <w:szCs w:val="24"/>
        </w:rPr>
        <w:t xml:space="preserve">agency </w:t>
      </w:r>
      <w:r w:rsidRPr="0082750E">
        <w:rPr>
          <w:rFonts w:ascii="Arial" w:hAnsi="Arial" w:cs="Arial"/>
          <w:sz w:val="24"/>
          <w:szCs w:val="24"/>
        </w:rPr>
        <w:lastRenderedPageBreak/>
        <w:t xml:space="preserve">communication and coordination. The Children Act </w:t>
      </w:r>
      <w:r w:rsidR="003D3E92">
        <w:rPr>
          <w:rFonts w:ascii="Arial" w:hAnsi="Arial" w:cs="Arial"/>
          <w:sz w:val="24"/>
          <w:szCs w:val="24"/>
        </w:rPr>
        <w:t>(</w:t>
      </w:r>
      <w:r w:rsidRPr="0082750E">
        <w:rPr>
          <w:rFonts w:ascii="Arial" w:hAnsi="Arial" w:cs="Arial"/>
          <w:sz w:val="24"/>
          <w:szCs w:val="24"/>
        </w:rPr>
        <w:t>2004</w:t>
      </w:r>
      <w:r w:rsidR="003D3E92">
        <w:rPr>
          <w:rFonts w:ascii="Arial" w:hAnsi="Arial" w:cs="Arial"/>
          <w:sz w:val="24"/>
          <w:szCs w:val="24"/>
        </w:rPr>
        <w:t>)</w:t>
      </w:r>
      <w:r w:rsidRPr="0082750E">
        <w:rPr>
          <w:rFonts w:ascii="Arial" w:hAnsi="Arial" w:cs="Arial"/>
          <w:sz w:val="24"/>
          <w:szCs w:val="24"/>
        </w:rPr>
        <w:t xml:space="preserve"> established a statutory duty for agencies to collaborate in safeguarding and promoting the welfare of children, introducing Multi-Agency Safeguarding Arrangements (MASAs) to formalise this requirement. These arrangements ensure that all relevant agencies share joint and equal responsibility for safeguarding children within their locality, with particular emphasis on effective communication and information</w:t>
      </w:r>
      <w:r w:rsidR="006A2B2F">
        <w:rPr>
          <w:rFonts w:ascii="Arial" w:hAnsi="Arial" w:cs="Arial"/>
          <w:sz w:val="24"/>
          <w:szCs w:val="24"/>
        </w:rPr>
        <w:t xml:space="preserve"> sharing, often </w:t>
      </w:r>
      <w:r w:rsidRPr="0082750E">
        <w:rPr>
          <w:rFonts w:ascii="Arial" w:hAnsi="Arial" w:cs="Arial"/>
          <w:sz w:val="24"/>
          <w:szCs w:val="24"/>
        </w:rPr>
        <w:t>through Children and Young People’s Partnerships.</w:t>
      </w:r>
    </w:p>
    <w:p w14:paraId="3C9D9C6B" w14:textId="77777777" w:rsidR="0082750E" w:rsidRPr="0082750E" w:rsidRDefault="0082750E" w:rsidP="0082750E">
      <w:pPr>
        <w:spacing w:line="360" w:lineRule="auto"/>
        <w:rPr>
          <w:rFonts w:ascii="Arial" w:hAnsi="Arial" w:cs="Arial"/>
          <w:sz w:val="24"/>
          <w:szCs w:val="24"/>
        </w:rPr>
      </w:pPr>
    </w:p>
    <w:p w14:paraId="05867C22" w14:textId="41A87981" w:rsidR="0082250E" w:rsidRDefault="0082750E" w:rsidP="0082750E">
      <w:pPr>
        <w:spacing w:line="360" w:lineRule="auto"/>
        <w:rPr>
          <w:rFonts w:ascii="Arial" w:hAnsi="Arial" w:cs="Arial"/>
          <w:sz w:val="24"/>
          <w:szCs w:val="24"/>
        </w:rPr>
      </w:pPr>
      <w:r w:rsidRPr="0082750E">
        <w:rPr>
          <w:rFonts w:ascii="Arial" w:hAnsi="Arial" w:cs="Arial"/>
          <w:sz w:val="24"/>
          <w:szCs w:val="24"/>
        </w:rPr>
        <w:t>In Wales, the Welsh Government proposed further amendments to the Act to promote the United Nations Convention on the Rights of the Child (UNCRC, 1989) as the overarching framework for all service provision. Although this proposal was not adopted by the UK Government, it was implemented in Wales through the introduction of the Seven Core Aims (Welsh Government, 2021), which closely align with the articles of the Convention. As a result, every local authority in Wales has appointed a lead director and lead member for children and young people’s services, ensuring clear accountability and leadership for multi-agency cooperation (Save the Children, n.d.).</w:t>
      </w:r>
    </w:p>
    <w:p w14:paraId="774A1371" w14:textId="77777777" w:rsidR="003D3E92" w:rsidRDefault="003D3E92" w:rsidP="0082750E">
      <w:pPr>
        <w:spacing w:line="360" w:lineRule="auto"/>
        <w:rPr>
          <w:rFonts w:ascii="Arial" w:hAnsi="Arial" w:cs="Arial"/>
          <w:sz w:val="24"/>
          <w:szCs w:val="24"/>
        </w:rPr>
      </w:pPr>
    </w:p>
    <w:p w14:paraId="1354CDDD" w14:textId="2D3F7F6C" w:rsidR="000E4DB5" w:rsidRDefault="007B7923" w:rsidP="002938C9">
      <w:pPr>
        <w:spacing w:line="360" w:lineRule="auto"/>
        <w:rPr>
          <w:rFonts w:ascii="Arial" w:hAnsi="Arial" w:cs="Arial"/>
          <w:sz w:val="24"/>
          <w:szCs w:val="24"/>
        </w:rPr>
      </w:pPr>
      <w:r>
        <w:rPr>
          <w:rFonts w:ascii="Arial" w:hAnsi="Arial" w:cs="Arial"/>
          <w:sz w:val="24"/>
          <w:szCs w:val="24"/>
        </w:rPr>
        <w:t xml:space="preserve">Although the introduction of the Children Act (2004) was seen to be </w:t>
      </w:r>
      <w:r w:rsidR="0066592F">
        <w:rPr>
          <w:rFonts w:ascii="Arial" w:hAnsi="Arial" w:cs="Arial"/>
          <w:sz w:val="24"/>
          <w:szCs w:val="24"/>
        </w:rPr>
        <w:t>“T</w:t>
      </w:r>
      <w:r>
        <w:rPr>
          <w:rFonts w:ascii="Arial" w:hAnsi="Arial" w:cs="Arial"/>
          <w:sz w:val="24"/>
          <w:szCs w:val="24"/>
        </w:rPr>
        <w:t xml:space="preserve">he </w:t>
      </w:r>
      <w:r w:rsidR="0066592F" w:rsidRPr="0066592F">
        <w:rPr>
          <w:rFonts w:ascii="Arial" w:hAnsi="Arial" w:cs="Arial"/>
          <w:sz w:val="24"/>
          <w:szCs w:val="24"/>
        </w:rPr>
        <w:t>most comprehensive and far-reaching reform of parliament in living memory</w:t>
      </w:r>
      <w:r w:rsidR="0066592F">
        <w:rPr>
          <w:rFonts w:ascii="Arial" w:hAnsi="Arial" w:cs="Arial"/>
          <w:sz w:val="24"/>
          <w:szCs w:val="24"/>
        </w:rPr>
        <w:t xml:space="preserve">.” </w:t>
      </w:r>
      <w:r w:rsidR="0066592F" w:rsidRPr="0066592F">
        <w:rPr>
          <w:rFonts w:ascii="Arial" w:hAnsi="Arial" w:cs="Arial"/>
          <w:sz w:val="24"/>
          <w:szCs w:val="24"/>
        </w:rPr>
        <w:t>(Hansard, H.L. Vol. 502, col 488)</w:t>
      </w:r>
      <w:r w:rsidR="002938C9">
        <w:rPr>
          <w:rFonts w:ascii="Arial" w:hAnsi="Arial" w:cs="Arial"/>
          <w:sz w:val="24"/>
          <w:szCs w:val="24"/>
        </w:rPr>
        <w:t>, A serious case review following the</w:t>
      </w:r>
      <w:r>
        <w:rPr>
          <w:rFonts w:ascii="Arial" w:hAnsi="Arial" w:cs="Arial"/>
          <w:sz w:val="24"/>
          <w:szCs w:val="24"/>
        </w:rPr>
        <w:t xml:space="preserve"> death of Baby P</w:t>
      </w:r>
      <w:r w:rsidR="002938C9">
        <w:rPr>
          <w:rFonts w:ascii="Arial" w:hAnsi="Arial" w:cs="Arial"/>
          <w:sz w:val="24"/>
          <w:szCs w:val="24"/>
        </w:rPr>
        <w:t xml:space="preserve"> recognised that a lack of multi-agency working had contributed to his death leading to the introduction of Working Together to Safeguard Children </w:t>
      </w:r>
      <w:r w:rsidR="002938C9" w:rsidRPr="002938C9">
        <w:rPr>
          <w:rFonts w:ascii="Arial" w:hAnsi="Arial" w:cs="Arial"/>
          <w:sz w:val="24"/>
          <w:szCs w:val="24"/>
        </w:rPr>
        <w:t>(HM Government, 2010)</w:t>
      </w:r>
      <w:r w:rsidR="003D3E92">
        <w:rPr>
          <w:rFonts w:ascii="Arial" w:hAnsi="Arial" w:cs="Arial"/>
          <w:sz w:val="24"/>
          <w:szCs w:val="24"/>
        </w:rPr>
        <w:t xml:space="preserve"> introducing</w:t>
      </w:r>
      <w:r w:rsidR="002938C9">
        <w:rPr>
          <w:rFonts w:ascii="Arial" w:hAnsi="Arial" w:cs="Arial"/>
          <w:sz w:val="24"/>
          <w:szCs w:val="24"/>
        </w:rPr>
        <w:t xml:space="preserve"> statutory requirements for multi-agency working. </w:t>
      </w:r>
      <w:r w:rsidR="00F0720B" w:rsidRPr="0082750E">
        <w:rPr>
          <w:rFonts w:ascii="Arial" w:hAnsi="Arial" w:cs="Arial"/>
          <w:sz w:val="24"/>
          <w:szCs w:val="24"/>
        </w:rPr>
        <w:t>Consequently, a range of legislative and policy measures have since embedded multi-agency working as a fundamental principle within the child protection system</w:t>
      </w:r>
      <w:r w:rsidR="00F0720B">
        <w:rPr>
          <w:rFonts w:ascii="Arial" w:hAnsi="Arial" w:cs="Arial"/>
          <w:sz w:val="24"/>
          <w:szCs w:val="24"/>
        </w:rPr>
        <w:t xml:space="preserve">, </w:t>
      </w:r>
      <w:r w:rsidR="0082250E">
        <w:rPr>
          <w:rFonts w:ascii="Arial" w:hAnsi="Arial" w:cs="Arial"/>
          <w:sz w:val="24"/>
          <w:szCs w:val="24"/>
        </w:rPr>
        <w:t xml:space="preserve">with the Social Services &amp; Well-being (Wales) Act, </w:t>
      </w:r>
      <w:r w:rsidR="0082250E" w:rsidRPr="0082250E">
        <w:rPr>
          <w:rFonts w:ascii="Arial" w:hAnsi="Arial" w:cs="Arial"/>
          <w:sz w:val="24"/>
          <w:szCs w:val="24"/>
        </w:rPr>
        <w:t>(Welsh Government, 2014)</w:t>
      </w:r>
      <w:r w:rsidR="0082250E">
        <w:rPr>
          <w:rFonts w:ascii="Arial" w:hAnsi="Arial" w:cs="Arial"/>
          <w:sz w:val="24"/>
          <w:szCs w:val="24"/>
        </w:rPr>
        <w:t xml:space="preserve"> including multi-agency working as one of its five core principles, and </w:t>
      </w:r>
      <w:r w:rsidR="0082250E" w:rsidRPr="0082250E">
        <w:rPr>
          <w:rFonts w:ascii="Arial" w:hAnsi="Arial" w:cs="Arial"/>
          <w:sz w:val="24"/>
          <w:szCs w:val="24"/>
        </w:rPr>
        <w:t>Wales Safeguarding Procedures (2020)</w:t>
      </w:r>
      <w:r w:rsidR="0082250E">
        <w:rPr>
          <w:rFonts w:ascii="Arial" w:hAnsi="Arial" w:cs="Arial"/>
          <w:sz w:val="24"/>
          <w:szCs w:val="24"/>
        </w:rPr>
        <w:t xml:space="preserve"> </w:t>
      </w:r>
      <w:r w:rsidR="0057736F">
        <w:rPr>
          <w:rFonts w:ascii="Arial" w:hAnsi="Arial" w:cs="Arial"/>
          <w:sz w:val="24"/>
          <w:szCs w:val="24"/>
        </w:rPr>
        <w:t>providing a unified framework with an emphasis on multi-agency collaboration.</w:t>
      </w:r>
    </w:p>
    <w:p w14:paraId="376A62E3" w14:textId="77777777" w:rsidR="00F0720B" w:rsidRDefault="00F0720B" w:rsidP="002938C9">
      <w:pPr>
        <w:spacing w:line="360" w:lineRule="auto"/>
        <w:rPr>
          <w:rFonts w:ascii="Arial" w:hAnsi="Arial" w:cs="Arial"/>
          <w:sz w:val="24"/>
          <w:szCs w:val="24"/>
        </w:rPr>
      </w:pPr>
    </w:p>
    <w:p w14:paraId="6384566A" w14:textId="5BEEFE99" w:rsidR="005F61F1" w:rsidRDefault="00794F94" w:rsidP="00617B65">
      <w:pPr>
        <w:spacing w:line="360" w:lineRule="auto"/>
        <w:rPr>
          <w:rFonts w:ascii="Arial" w:hAnsi="Arial" w:cs="Arial"/>
          <w:sz w:val="24"/>
          <w:szCs w:val="24"/>
        </w:rPr>
      </w:pPr>
      <w:r>
        <w:rPr>
          <w:rFonts w:ascii="Arial" w:hAnsi="Arial" w:cs="Arial"/>
          <w:sz w:val="24"/>
          <w:szCs w:val="24"/>
        </w:rPr>
        <w:t>It is clear from this shift in policy and procedure that multi-agency working is key when working with children</w:t>
      </w:r>
      <w:r w:rsidR="00846DEA">
        <w:rPr>
          <w:rFonts w:ascii="Arial" w:hAnsi="Arial" w:cs="Arial"/>
          <w:sz w:val="24"/>
          <w:szCs w:val="24"/>
        </w:rPr>
        <w:t xml:space="preserve"> and families</w:t>
      </w:r>
      <w:r>
        <w:rPr>
          <w:rFonts w:ascii="Arial" w:hAnsi="Arial" w:cs="Arial"/>
          <w:sz w:val="24"/>
          <w:szCs w:val="24"/>
        </w:rPr>
        <w:t>. However there are multiple models that can be applied for ef</w:t>
      </w:r>
      <w:r w:rsidR="00211093">
        <w:rPr>
          <w:rFonts w:ascii="Arial" w:hAnsi="Arial" w:cs="Arial"/>
          <w:sz w:val="24"/>
          <w:szCs w:val="24"/>
        </w:rPr>
        <w:t>fective working practice. Multi-</w:t>
      </w:r>
      <w:r>
        <w:rPr>
          <w:rFonts w:ascii="Arial" w:hAnsi="Arial" w:cs="Arial"/>
          <w:sz w:val="24"/>
          <w:szCs w:val="24"/>
        </w:rPr>
        <w:t xml:space="preserve">Agency Panels </w:t>
      </w:r>
      <w:r w:rsidR="00BB0525">
        <w:rPr>
          <w:rFonts w:ascii="Arial" w:hAnsi="Arial" w:cs="Arial"/>
          <w:sz w:val="24"/>
          <w:szCs w:val="24"/>
        </w:rPr>
        <w:t>typically consist of representatives</w:t>
      </w:r>
      <w:r w:rsidR="00BB3DC2">
        <w:rPr>
          <w:rFonts w:ascii="Arial" w:hAnsi="Arial" w:cs="Arial"/>
          <w:sz w:val="24"/>
          <w:szCs w:val="24"/>
        </w:rPr>
        <w:t xml:space="preserve"> from a diverse range of </w:t>
      </w:r>
      <w:r w:rsidR="00BB0525">
        <w:rPr>
          <w:rFonts w:ascii="Arial" w:hAnsi="Arial" w:cs="Arial"/>
          <w:sz w:val="24"/>
          <w:szCs w:val="24"/>
        </w:rPr>
        <w:t xml:space="preserve">agencies </w:t>
      </w:r>
      <w:r w:rsidR="00BB0525" w:rsidRPr="00BB0525">
        <w:rPr>
          <w:rFonts w:ascii="Arial" w:hAnsi="Arial" w:cs="Arial"/>
          <w:sz w:val="24"/>
          <w:szCs w:val="24"/>
        </w:rPr>
        <w:t>with practitioners remaining employed by their own organ</w:t>
      </w:r>
      <w:r w:rsidR="00BB0525">
        <w:rPr>
          <w:rFonts w:ascii="Arial" w:hAnsi="Arial" w:cs="Arial"/>
          <w:sz w:val="24"/>
          <w:szCs w:val="24"/>
        </w:rPr>
        <w:t>is</w:t>
      </w:r>
      <w:r w:rsidR="00BB3DC2">
        <w:rPr>
          <w:rFonts w:ascii="Arial" w:hAnsi="Arial" w:cs="Arial"/>
          <w:sz w:val="24"/>
          <w:szCs w:val="24"/>
        </w:rPr>
        <w:t>a</w:t>
      </w:r>
      <w:r w:rsidR="00BB0525" w:rsidRPr="00BB0525">
        <w:rPr>
          <w:rFonts w:ascii="Arial" w:hAnsi="Arial" w:cs="Arial"/>
          <w:sz w:val="24"/>
          <w:szCs w:val="24"/>
        </w:rPr>
        <w:t xml:space="preserve">tions </w:t>
      </w:r>
      <w:r w:rsidR="00BB0525">
        <w:rPr>
          <w:rFonts w:ascii="Arial" w:hAnsi="Arial" w:cs="Arial"/>
          <w:sz w:val="24"/>
          <w:szCs w:val="24"/>
        </w:rPr>
        <w:t xml:space="preserve">meeting regularly </w:t>
      </w:r>
      <w:r w:rsidR="00BB3DC2">
        <w:rPr>
          <w:rFonts w:ascii="Arial" w:hAnsi="Arial" w:cs="Arial"/>
          <w:sz w:val="24"/>
          <w:szCs w:val="24"/>
        </w:rPr>
        <w:t>under the supervision of a chairperson</w:t>
      </w:r>
      <w:r w:rsidR="00BB0525" w:rsidRPr="00BB0525">
        <w:rPr>
          <w:rFonts w:ascii="Arial" w:hAnsi="Arial" w:cs="Arial"/>
          <w:sz w:val="24"/>
          <w:szCs w:val="24"/>
        </w:rPr>
        <w:t xml:space="preserve"> to discuss children </w:t>
      </w:r>
      <w:r w:rsidR="00BB3DC2">
        <w:rPr>
          <w:rFonts w:ascii="Arial" w:hAnsi="Arial" w:cs="Arial"/>
          <w:sz w:val="24"/>
          <w:szCs w:val="24"/>
        </w:rPr>
        <w:t xml:space="preserve">who have been identified as having a potential need for </w:t>
      </w:r>
      <w:r w:rsidR="00BB0525" w:rsidRPr="00BB0525">
        <w:rPr>
          <w:rFonts w:ascii="Arial" w:hAnsi="Arial" w:cs="Arial"/>
          <w:sz w:val="24"/>
          <w:szCs w:val="24"/>
        </w:rPr>
        <w:t>multi-agency su</w:t>
      </w:r>
      <w:r w:rsidR="0032744A">
        <w:rPr>
          <w:rFonts w:ascii="Arial" w:hAnsi="Arial" w:cs="Arial"/>
          <w:sz w:val="24"/>
          <w:szCs w:val="24"/>
        </w:rPr>
        <w:t>pport</w:t>
      </w:r>
      <w:r w:rsidR="00BB0525" w:rsidRPr="00BB0525">
        <w:rPr>
          <w:rFonts w:ascii="Arial" w:hAnsi="Arial" w:cs="Arial"/>
          <w:sz w:val="24"/>
          <w:szCs w:val="24"/>
        </w:rPr>
        <w:t>. Panel members may directly handle cases or appoint key workers to lead case management</w:t>
      </w:r>
      <w:r w:rsidR="00BB3DC2">
        <w:rPr>
          <w:rFonts w:ascii="Arial" w:hAnsi="Arial" w:cs="Arial"/>
          <w:sz w:val="24"/>
          <w:szCs w:val="24"/>
        </w:rPr>
        <w:t xml:space="preserve"> </w:t>
      </w:r>
      <w:r w:rsidR="00BB3DC2" w:rsidRPr="00BB3DC2">
        <w:rPr>
          <w:rFonts w:ascii="Arial" w:hAnsi="Arial" w:cs="Arial"/>
          <w:sz w:val="24"/>
          <w:szCs w:val="24"/>
        </w:rPr>
        <w:t>(Cheminais, 2009)</w:t>
      </w:r>
      <w:r w:rsidR="00BB3DC2">
        <w:rPr>
          <w:rFonts w:ascii="Arial" w:hAnsi="Arial" w:cs="Arial"/>
          <w:sz w:val="24"/>
          <w:szCs w:val="24"/>
        </w:rPr>
        <w:t xml:space="preserve">. Although this approach offers a wealth of experience from multiple agencies, there may be a lack of day to </w:t>
      </w:r>
      <w:r w:rsidR="0032744A">
        <w:rPr>
          <w:rFonts w:ascii="Arial" w:hAnsi="Arial" w:cs="Arial"/>
          <w:sz w:val="24"/>
          <w:szCs w:val="24"/>
        </w:rPr>
        <w:t xml:space="preserve">day integration between </w:t>
      </w:r>
      <w:r w:rsidR="00BB3DC2">
        <w:rPr>
          <w:rFonts w:ascii="Arial" w:hAnsi="Arial" w:cs="Arial"/>
          <w:sz w:val="24"/>
          <w:szCs w:val="24"/>
        </w:rPr>
        <w:t xml:space="preserve">the </w:t>
      </w:r>
      <w:r w:rsidR="0032744A">
        <w:rPr>
          <w:rFonts w:ascii="Arial" w:hAnsi="Arial" w:cs="Arial"/>
          <w:sz w:val="24"/>
          <w:szCs w:val="24"/>
        </w:rPr>
        <w:t xml:space="preserve">multiple </w:t>
      </w:r>
      <w:r w:rsidR="00BB3DC2">
        <w:rPr>
          <w:rFonts w:ascii="Arial" w:hAnsi="Arial" w:cs="Arial"/>
          <w:sz w:val="24"/>
          <w:szCs w:val="24"/>
        </w:rPr>
        <w:t>services</w:t>
      </w:r>
      <w:r w:rsidR="0032744A">
        <w:rPr>
          <w:rFonts w:ascii="Arial" w:hAnsi="Arial" w:cs="Arial"/>
          <w:sz w:val="24"/>
          <w:szCs w:val="24"/>
        </w:rPr>
        <w:t>,</w:t>
      </w:r>
      <w:r w:rsidR="00BB3DC2">
        <w:rPr>
          <w:rFonts w:ascii="Arial" w:hAnsi="Arial" w:cs="Arial"/>
          <w:sz w:val="24"/>
          <w:szCs w:val="24"/>
        </w:rPr>
        <w:t xml:space="preserve"> and between the services</w:t>
      </w:r>
      <w:r w:rsidR="0032744A">
        <w:rPr>
          <w:rFonts w:ascii="Arial" w:hAnsi="Arial" w:cs="Arial"/>
          <w:sz w:val="24"/>
          <w:szCs w:val="24"/>
        </w:rPr>
        <w:t xml:space="preserve">, families </w:t>
      </w:r>
      <w:r w:rsidR="00BB3DC2">
        <w:rPr>
          <w:rFonts w:ascii="Arial" w:hAnsi="Arial" w:cs="Arial"/>
          <w:sz w:val="24"/>
          <w:szCs w:val="24"/>
        </w:rPr>
        <w:t xml:space="preserve">and the children themselves. </w:t>
      </w:r>
    </w:p>
    <w:p w14:paraId="26CC4089" w14:textId="77777777" w:rsidR="005F61F1" w:rsidRDefault="005F61F1" w:rsidP="00617B65">
      <w:pPr>
        <w:spacing w:line="360" w:lineRule="auto"/>
        <w:rPr>
          <w:rFonts w:ascii="Arial" w:hAnsi="Arial" w:cs="Arial"/>
          <w:sz w:val="24"/>
          <w:szCs w:val="24"/>
        </w:rPr>
      </w:pPr>
    </w:p>
    <w:p w14:paraId="076082DF" w14:textId="18FAFC54" w:rsidR="00BB0525" w:rsidRDefault="00D94157" w:rsidP="00617B65">
      <w:pPr>
        <w:spacing w:line="360" w:lineRule="auto"/>
        <w:rPr>
          <w:rFonts w:ascii="Arial" w:hAnsi="Arial" w:cs="Arial"/>
          <w:sz w:val="24"/>
          <w:szCs w:val="24"/>
        </w:rPr>
      </w:pPr>
      <w:r>
        <w:rPr>
          <w:rFonts w:ascii="Arial" w:hAnsi="Arial" w:cs="Arial"/>
          <w:sz w:val="24"/>
          <w:szCs w:val="24"/>
        </w:rPr>
        <w:t xml:space="preserve">Multi-agency panels demonstrate coexistence </w:t>
      </w:r>
      <w:r w:rsidR="00DA2A02">
        <w:rPr>
          <w:rFonts w:ascii="Arial" w:hAnsi="Arial" w:cs="Arial"/>
          <w:sz w:val="24"/>
          <w:szCs w:val="24"/>
        </w:rPr>
        <w:t>and cooperation</w:t>
      </w:r>
      <w:r>
        <w:rPr>
          <w:rFonts w:ascii="Arial" w:hAnsi="Arial" w:cs="Arial"/>
          <w:sz w:val="24"/>
          <w:szCs w:val="24"/>
        </w:rPr>
        <w:t xml:space="preserve">, two of the initial degrees of multi- agency working as identified by </w:t>
      </w:r>
      <w:r w:rsidRPr="00BB3DC2">
        <w:rPr>
          <w:rFonts w:ascii="Arial" w:hAnsi="Arial" w:cs="Arial"/>
          <w:sz w:val="24"/>
          <w:szCs w:val="24"/>
        </w:rPr>
        <w:t xml:space="preserve">Cheminais, </w:t>
      </w:r>
      <w:r w:rsidR="00DA2A02">
        <w:rPr>
          <w:rFonts w:ascii="Arial" w:hAnsi="Arial" w:cs="Arial"/>
          <w:sz w:val="24"/>
          <w:szCs w:val="24"/>
        </w:rPr>
        <w:t>(</w:t>
      </w:r>
      <w:r w:rsidRPr="00BB3DC2">
        <w:rPr>
          <w:rFonts w:ascii="Arial" w:hAnsi="Arial" w:cs="Arial"/>
          <w:sz w:val="24"/>
          <w:szCs w:val="24"/>
        </w:rPr>
        <w:t>2009)</w:t>
      </w:r>
      <w:r>
        <w:rPr>
          <w:rFonts w:ascii="Arial" w:hAnsi="Arial" w:cs="Arial"/>
          <w:sz w:val="24"/>
          <w:szCs w:val="24"/>
        </w:rPr>
        <w:t>. However, multi-agency teams where individuals from different agencies work together on a daily basis with shared goals, aims and budgets also meets the degree</w:t>
      </w:r>
      <w:r w:rsidR="00DA2A02">
        <w:rPr>
          <w:rFonts w:ascii="Arial" w:hAnsi="Arial" w:cs="Arial"/>
          <w:sz w:val="24"/>
          <w:szCs w:val="24"/>
        </w:rPr>
        <w:t>s</w:t>
      </w:r>
      <w:r>
        <w:rPr>
          <w:rFonts w:ascii="Arial" w:hAnsi="Arial" w:cs="Arial"/>
          <w:sz w:val="24"/>
          <w:szCs w:val="24"/>
        </w:rPr>
        <w:t xml:space="preserve"> of </w:t>
      </w:r>
      <w:r w:rsidR="00DA2A02">
        <w:rPr>
          <w:rFonts w:ascii="Arial" w:hAnsi="Arial" w:cs="Arial"/>
          <w:sz w:val="24"/>
          <w:szCs w:val="24"/>
        </w:rPr>
        <w:t xml:space="preserve">collaboration and </w:t>
      </w:r>
      <w:r>
        <w:rPr>
          <w:rFonts w:ascii="Arial" w:hAnsi="Arial" w:cs="Arial"/>
          <w:sz w:val="24"/>
          <w:szCs w:val="24"/>
        </w:rPr>
        <w:t xml:space="preserve">co-ordination, </w:t>
      </w:r>
      <w:r w:rsidRPr="00D94157">
        <w:rPr>
          <w:rFonts w:ascii="Arial" w:hAnsi="Arial" w:cs="Arial"/>
          <w:sz w:val="24"/>
          <w:szCs w:val="24"/>
        </w:rPr>
        <w:t>Practitioners operate within a framework of shared roles and responsibilities, fostering a strong sense of team identity and collective purpose, while maintaining professional links with their home ag</w:t>
      </w:r>
      <w:r w:rsidR="005F61F1">
        <w:rPr>
          <w:rFonts w:ascii="Arial" w:hAnsi="Arial" w:cs="Arial"/>
          <w:sz w:val="24"/>
          <w:szCs w:val="24"/>
        </w:rPr>
        <w:t>encies for supervision,</w:t>
      </w:r>
      <w:r w:rsidRPr="00D94157">
        <w:rPr>
          <w:rFonts w:ascii="Arial" w:hAnsi="Arial" w:cs="Arial"/>
          <w:sz w:val="24"/>
          <w:szCs w:val="24"/>
        </w:rPr>
        <w:t xml:space="preserve"> and ongoing training.</w:t>
      </w:r>
    </w:p>
    <w:p w14:paraId="1C8967C6" w14:textId="77777777" w:rsidR="00DA2A02" w:rsidRDefault="00DA2A02" w:rsidP="00617B65">
      <w:pPr>
        <w:spacing w:line="360" w:lineRule="auto"/>
        <w:rPr>
          <w:rFonts w:ascii="Arial" w:hAnsi="Arial" w:cs="Arial"/>
          <w:sz w:val="24"/>
          <w:szCs w:val="24"/>
        </w:rPr>
      </w:pPr>
    </w:p>
    <w:p w14:paraId="5E5EEAB3" w14:textId="2C8CD578" w:rsidR="00BB0525" w:rsidRDefault="00DA2A02" w:rsidP="00617B65">
      <w:pPr>
        <w:spacing w:line="360" w:lineRule="auto"/>
        <w:rPr>
          <w:rFonts w:ascii="Arial" w:hAnsi="Arial" w:cs="Arial"/>
          <w:sz w:val="24"/>
          <w:szCs w:val="24"/>
        </w:rPr>
      </w:pPr>
      <w:r>
        <w:rPr>
          <w:rFonts w:ascii="Arial" w:hAnsi="Arial" w:cs="Arial"/>
          <w:sz w:val="24"/>
          <w:szCs w:val="24"/>
        </w:rPr>
        <w:t>In order to reach the final degree of co-ownership, integrated services are required, offering s</w:t>
      </w:r>
      <w:r w:rsidR="00EA52FF">
        <w:rPr>
          <w:rFonts w:ascii="Arial" w:hAnsi="Arial" w:cs="Arial"/>
          <w:sz w:val="24"/>
          <w:szCs w:val="24"/>
        </w:rPr>
        <w:t>eamless service delivery with</w:t>
      </w:r>
      <w:r w:rsidRPr="00DA2A02">
        <w:rPr>
          <w:rFonts w:ascii="Arial" w:hAnsi="Arial" w:cs="Arial"/>
          <w:sz w:val="24"/>
          <w:szCs w:val="24"/>
        </w:rPr>
        <w:t xml:space="preserve"> holistic support</w:t>
      </w:r>
      <w:r>
        <w:rPr>
          <w:rFonts w:ascii="Arial" w:hAnsi="Arial" w:cs="Arial"/>
          <w:sz w:val="24"/>
          <w:szCs w:val="24"/>
        </w:rPr>
        <w:t xml:space="preserve"> </w:t>
      </w:r>
      <w:r w:rsidR="00EE7741" w:rsidRPr="00EE7741">
        <w:rPr>
          <w:rFonts w:ascii="Arial" w:hAnsi="Arial" w:cs="Arial"/>
          <w:sz w:val="24"/>
          <w:szCs w:val="24"/>
        </w:rPr>
        <w:t>(Ofsted, 2008)</w:t>
      </w:r>
      <w:r w:rsidR="00EE7741">
        <w:rPr>
          <w:rFonts w:ascii="Arial" w:hAnsi="Arial" w:cs="Arial"/>
          <w:sz w:val="24"/>
          <w:szCs w:val="24"/>
        </w:rPr>
        <w:t xml:space="preserve">. </w:t>
      </w:r>
      <w:r w:rsidR="00A325C9">
        <w:rPr>
          <w:rFonts w:ascii="Arial" w:hAnsi="Arial" w:cs="Arial"/>
          <w:sz w:val="24"/>
          <w:szCs w:val="24"/>
        </w:rPr>
        <w:t>Although these services can be complex to establish and resource heavy</w:t>
      </w:r>
      <w:r w:rsidR="00EE7741">
        <w:rPr>
          <w:rFonts w:ascii="Arial" w:hAnsi="Arial" w:cs="Arial"/>
          <w:sz w:val="24"/>
          <w:szCs w:val="24"/>
        </w:rPr>
        <w:t xml:space="preserve"> </w:t>
      </w:r>
      <w:r w:rsidR="00EE7741" w:rsidRPr="00EE7741">
        <w:rPr>
          <w:rFonts w:ascii="Arial" w:hAnsi="Arial" w:cs="Arial"/>
          <w:sz w:val="24"/>
          <w:szCs w:val="24"/>
        </w:rPr>
        <w:t>(Anderson et al., 2016)</w:t>
      </w:r>
      <w:r w:rsidR="00A325C9">
        <w:rPr>
          <w:rFonts w:ascii="Arial" w:hAnsi="Arial" w:cs="Arial"/>
          <w:sz w:val="24"/>
          <w:szCs w:val="24"/>
        </w:rPr>
        <w:t>, they provide continued support to families and children who may be at risk of safeguarding issues, with early intervention and ongoing support</w:t>
      </w:r>
      <w:r w:rsidR="00EA52FF">
        <w:rPr>
          <w:rFonts w:ascii="Arial" w:hAnsi="Arial" w:cs="Arial"/>
          <w:sz w:val="24"/>
          <w:szCs w:val="24"/>
        </w:rPr>
        <w:t>, l</w:t>
      </w:r>
      <w:r w:rsidR="00EA52FF" w:rsidRPr="00EA52FF">
        <w:rPr>
          <w:rFonts w:ascii="Arial" w:hAnsi="Arial" w:cs="Arial"/>
          <w:sz w:val="24"/>
          <w:szCs w:val="24"/>
        </w:rPr>
        <w:t>ocating key prof</w:t>
      </w:r>
      <w:r w:rsidR="00EA52FF">
        <w:rPr>
          <w:rFonts w:ascii="Arial" w:hAnsi="Arial" w:cs="Arial"/>
          <w:sz w:val="24"/>
          <w:szCs w:val="24"/>
        </w:rPr>
        <w:t xml:space="preserve">essionals </w:t>
      </w:r>
      <w:r w:rsidR="00EA52FF" w:rsidRPr="00EA52FF">
        <w:rPr>
          <w:rFonts w:ascii="Arial" w:hAnsi="Arial" w:cs="Arial"/>
          <w:sz w:val="24"/>
          <w:szCs w:val="24"/>
        </w:rPr>
        <w:t>such as health workers, p</w:t>
      </w:r>
      <w:r w:rsidR="00EA52FF">
        <w:rPr>
          <w:rFonts w:ascii="Arial" w:hAnsi="Arial" w:cs="Arial"/>
          <w:sz w:val="24"/>
          <w:szCs w:val="24"/>
        </w:rPr>
        <w:t xml:space="preserve">sychologists, and youth workers </w:t>
      </w:r>
      <w:r w:rsidR="00EA52FF" w:rsidRPr="00EA52FF">
        <w:rPr>
          <w:rFonts w:ascii="Arial" w:hAnsi="Arial" w:cs="Arial"/>
          <w:sz w:val="24"/>
          <w:szCs w:val="24"/>
        </w:rPr>
        <w:t>within school settings and facilitating close collaboration w</w:t>
      </w:r>
      <w:r w:rsidR="0032744A">
        <w:rPr>
          <w:rFonts w:ascii="Arial" w:hAnsi="Arial" w:cs="Arial"/>
          <w:sz w:val="24"/>
          <w:szCs w:val="24"/>
        </w:rPr>
        <w:t xml:space="preserve">ith teaching staff enables </w:t>
      </w:r>
      <w:r w:rsidR="00EA52FF" w:rsidRPr="00EA52FF">
        <w:rPr>
          <w:rFonts w:ascii="Arial" w:hAnsi="Arial" w:cs="Arial"/>
          <w:sz w:val="24"/>
          <w:szCs w:val="24"/>
        </w:rPr>
        <w:t xml:space="preserve">effective identification and intervention in </w:t>
      </w:r>
      <w:r w:rsidR="0032744A">
        <w:rPr>
          <w:rFonts w:ascii="Arial" w:hAnsi="Arial" w:cs="Arial"/>
          <w:sz w:val="24"/>
          <w:szCs w:val="24"/>
        </w:rPr>
        <w:t xml:space="preserve">children’s issues, while minimising disruption to </w:t>
      </w:r>
      <w:r w:rsidR="00EA52FF">
        <w:rPr>
          <w:rFonts w:ascii="Arial" w:hAnsi="Arial" w:cs="Arial"/>
          <w:sz w:val="24"/>
          <w:szCs w:val="24"/>
        </w:rPr>
        <w:t>educational experience</w:t>
      </w:r>
      <w:r w:rsidR="0032744A">
        <w:rPr>
          <w:rFonts w:ascii="Arial" w:hAnsi="Arial" w:cs="Arial"/>
          <w:sz w:val="24"/>
          <w:szCs w:val="24"/>
        </w:rPr>
        <w:t>s</w:t>
      </w:r>
      <w:r w:rsidR="00EA52FF">
        <w:rPr>
          <w:rFonts w:ascii="Arial" w:hAnsi="Arial" w:cs="Arial"/>
          <w:sz w:val="24"/>
          <w:szCs w:val="24"/>
        </w:rPr>
        <w:t xml:space="preserve"> </w:t>
      </w:r>
      <w:r w:rsidR="00EA52FF" w:rsidRPr="00EA52FF">
        <w:rPr>
          <w:rFonts w:ascii="Arial" w:hAnsi="Arial" w:cs="Arial"/>
          <w:sz w:val="24"/>
          <w:szCs w:val="24"/>
        </w:rPr>
        <w:t>(Education Act, 2002)</w:t>
      </w:r>
      <w:r w:rsidR="00EA52FF">
        <w:rPr>
          <w:rFonts w:ascii="Arial" w:hAnsi="Arial" w:cs="Arial"/>
          <w:sz w:val="24"/>
          <w:szCs w:val="24"/>
        </w:rPr>
        <w:t xml:space="preserve">. </w:t>
      </w:r>
    </w:p>
    <w:p w14:paraId="7A5EB1B6" w14:textId="77777777" w:rsidR="0065324A" w:rsidRDefault="0065324A" w:rsidP="00617B65">
      <w:pPr>
        <w:spacing w:line="360" w:lineRule="auto"/>
        <w:rPr>
          <w:rFonts w:ascii="Arial" w:hAnsi="Arial" w:cs="Arial"/>
          <w:sz w:val="24"/>
          <w:szCs w:val="24"/>
        </w:rPr>
      </w:pPr>
    </w:p>
    <w:p w14:paraId="1DD48769" w14:textId="784C01AD" w:rsidR="0065324A" w:rsidRDefault="0065324A" w:rsidP="00617B65">
      <w:pPr>
        <w:spacing w:line="360" w:lineRule="auto"/>
        <w:rPr>
          <w:rFonts w:ascii="Arial" w:hAnsi="Arial" w:cs="Arial"/>
          <w:sz w:val="24"/>
          <w:szCs w:val="24"/>
        </w:rPr>
      </w:pPr>
      <w:r>
        <w:rPr>
          <w:rFonts w:ascii="Arial" w:hAnsi="Arial" w:cs="Arial"/>
          <w:sz w:val="24"/>
          <w:szCs w:val="24"/>
        </w:rPr>
        <w:t xml:space="preserve">With </w:t>
      </w:r>
      <w:r w:rsidR="00C92771" w:rsidRPr="00C92771">
        <w:rPr>
          <w:rFonts w:ascii="Arial" w:hAnsi="Arial" w:cs="Arial"/>
          <w:sz w:val="24"/>
          <w:szCs w:val="24"/>
        </w:rPr>
        <w:t>Bronfenbrenner (1979)</w:t>
      </w:r>
      <w:r w:rsidR="0099397D">
        <w:rPr>
          <w:rFonts w:ascii="Arial" w:hAnsi="Arial" w:cs="Arial"/>
          <w:sz w:val="24"/>
          <w:szCs w:val="24"/>
        </w:rPr>
        <w:t xml:space="preserve"> Ecological Systems T</w:t>
      </w:r>
      <w:r w:rsidR="00C92771">
        <w:rPr>
          <w:rFonts w:ascii="Arial" w:hAnsi="Arial" w:cs="Arial"/>
          <w:sz w:val="24"/>
          <w:szCs w:val="24"/>
        </w:rPr>
        <w:t xml:space="preserve">heory identifying the influence of a </w:t>
      </w:r>
      <w:r w:rsidR="00C92771" w:rsidRPr="00C92771">
        <w:rPr>
          <w:rFonts w:ascii="Arial" w:hAnsi="Arial" w:cs="Arial"/>
          <w:sz w:val="24"/>
          <w:szCs w:val="24"/>
        </w:rPr>
        <w:t>range o</w:t>
      </w:r>
      <w:r w:rsidR="00C92771">
        <w:rPr>
          <w:rFonts w:ascii="Arial" w:hAnsi="Arial" w:cs="Arial"/>
          <w:sz w:val="24"/>
          <w:szCs w:val="24"/>
        </w:rPr>
        <w:t>f social systems on a child’s</w:t>
      </w:r>
      <w:r w:rsidR="00C92771" w:rsidRPr="00C92771">
        <w:rPr>
          <w:rFonts w:ascii="Arial" w:hAnsi="Arial" w:cs="Arial"/>
          <w:sz w:val="24"/>
          <w:szCs w:val="24"/>
        </w:rPr>
        <w:t xml:space="preserve"> personal expe</w:t>
      </w:r>
      <w:r w:rsidR="00C92771">
        <w:rPr>
          <w:rFonts w:ascii="Arial" w:hAnsi="Arial" w:cs="Arial"/>
          <w:sz w:val="24"/>
          <w:szCs w:val="24"/>
        </w:rPr>
        <w:t>rience</w:t>
      </w:r>
      <w:r w:rsidR="00DA3732">
        <w:rPr>
          <w:rFonts w:ascii="Arial" w:hAnsi="Arial" w:cs="Arial"/>
          <w:sz w:val="24"/>
          <w:szCs w:val="24"/>
        </w:rPr>
        <w:t>s</w:t>
      </w:r>
      <w:r w:rsidR="00C92771">
        <w:rPr>
          <w:rFonts w:ascii="Arial" w:hAnsi="Arial" w:cs="Arial"/>
          <w:sz w:val="24"/>
          <w:szCs w:val="24"/>
        </w:rPr>
        <w:t xml:space="preserve">, </w:t>
      </w:r>
      <w:r w:rsidR="00DA3732">
        <w:rPr>
          <w:rFonts w:ascii="Arial" w:hAnsi="Arial" w:cs="Arial"/>
          <w:sz w:val="24"/>
          <w:szCs w:val="24"/>
        </w:rPr>
        <w:t>s</w:t>
      </w:r>
      <w:r w:rsidR="00C92771">
        <w:rPr>
          <w:rFonts w:ascii="Arial" w:hAnsi="Arial" w:cs="Arial"/>
          <w:sz w:val="24"/>
          <w:szCs w:val="24"/>
        </w:rPr>
        <w:t>afeguarding has moved away from the historical idea that risk of harm to children comes mainly from the child’s home environment</w:t>
      </w:r>
      <w:r w:rsidR="003204C3">
        <w:rPr>
          <w:rFonts w:ascii="Arial" w:hAnsi="Arial" w:cs="Arial"/>
          <w:sz w:val="24"/>
          <w:szCs w:val="24"/>
        </w:rPr>
        <w:t xml:space="preserve">. </w:t>
      </w:r>
      <w:r w:rsidR="00DA3732" w:rsidRPr="00DA3732">
        <w:rPr>
          <w:rFonts w:ascii="Arial" w:hAnsi="Arial" w:cs="Arial"/>
          <w:sz w:val="24"/>
          <w:szCs w:val="24"/>
        </w:rPr>
        <w:t>Firmin (2020)</w:t>
      </w:r>
      <w:r w:rsidR="00DA3732">
        <w:rPr>
          <w:rFonts w:ascii="Arial" w:hAnsi="Arial" w:cs="Arial"/>
          <w:sz w:val="24"/>
          <w:szCs w:val="24"/>
        </w:rPr>
        <w:t xml:space="preserve"> </w:t>
      </w:r>
      <w:r w:rsidR="003204C3">
        <w:rPr>
          <w:rFonts w:ascii="Arial" w:hAnsi="Arial" w:cs="Arial"/>
          <w:sz w:val="24"/>
          <w:szCs w:val="24"/>
        </w:rPr>
        <w:t xml:space="preserve">recognises multi-agency working as one of the four core parts to their Contextual Safeguarding Framework. Multi-agency working should not only be a key part of early intervention safeguarding </w:t>
      </w:r>
      <w:r w:rsidR="00E0304E">
        <w:rPr>
          <w:rFonts w:ascii="Arial" w:hAnsi="Arial" w:cs="Arial"/>
          <w:sz w:val="24"/>
          <w:szCs w:val="24"/>
        </w:rPr>
        <w:t>and</w:t>
      </w:r>
      <w:r w:rsidR="003204C3">
        <w:rPr>
          <w:rFonts w:ascii="Arial" w:hAnsi="Arial" w:cs="Arial"/>
          <w:sz w:val="24"/>
          <w:szCs w:val="24"/>
        </w:rPr>
        <w:t xml:space="preserve"> child protection of specific individual children, but should also should be a key element of </w:t>
      </w:r>
      <w:r w:rsidR="00DA3732">
        <w:rPr>
          <w:rFonts w:ascii="Arial" w:hAnsi="Arial" w:cs="Arial"/>
          <w:sz w:val="24"/>
          <w:szCs w:val="24"/>
        </w:rPr>
        <w:t xml:space="preserve">developing </w:t>
      </w:r>
      <w:r w:rsidR="003204C3">
        <w:rPr>
          <w:rFonts w:ascii="Arial" w:hAnsi="Arial" w:cs="Arial"/>
          <w:sz w:val="24"/>
          <w:szCs w:val="24"/>
        </w:rPr>
        <w:t>proactive safeguarding policy and procedures</w:t>
      </w:r>
      <w:r w:rsidR="00DA3732">
        <w:rPr>
          <w:rFonts w:ascii="Arial" w:hAnsi="Arial" w:cs="Arial"/>
          <w:sz w:val="24"/>
          <w:szCs w:val="24"/>
        </w:rPr>
        <w:t>, promoting</w:t>
      </w:r>
      <w:r w:rsidR="00DA3732" w:rsidRPr="00DA3732">
        <w:rPr>
          <w:rFonts w:ascii="Arial" w:hAnsi="Arial" w:cs="Arial"/>
          <w:sz w:val="24"/>
          <w:szCs w:val="24"/>
        </w:rPr>
        <w:t xml:space="preserve"> awareness </w:t>
      </w:r>
      <w:r w:rsidR="00DA3732">
        <w:rPr>
          <w:rFonts w:ascii="Arial" w:hAnsi="Arial" w:cs="Arial"/>
          <w:sz w:val="24"/>
          <w:szCs w:val="24"/>
        </w:rPr>
        <w:t xml:space="preserve">of vulnerability relating to </w:t>
      </w:r>
      <w:r w:rsidR="00DA3732" w:rsidRPr="00DA3732">
        <w:rPr>
          <w:rFonts w:ascii="Arial" w:hAnsi="Arial" w:cs="Arial"/>
          <w:sz w:val="24"/>
          <w:szCs w:val="24"/>
        </w:rPr>
        <w:t>the spaces w</w:t>
      </w:r>
      <w:r w:rsidR="00DA3732">
        <w:rPr>
          <w:rFonts w:ascii="Arial" w:hAnsi="Arial" w:cs="Arial"/>
          <w:sz w:val="24"/>
          <w:szCs w:val="24"/>
        </w:rPr>
        <w:t>here children</w:t>
      </w:r>
      <w:r w:rsidR="0032744A">
        <w:rPr>
          <w:rFonts w:ascii="Arial" w:hAnsi="Arial" w:cs="Arial"/>
          <w:sz w:val="24"/>
          <w:szCs w:val="24"/>
        </w:rPr>
        <w:t xml:space="preserve"> spend </w:t>
      </w:r>
      <w:r w:rsidR="00DA3732" w:rsidRPr="00DA3732">
        <w:rPr>
          <w:rFonts w:ascii="Arial" w:hAnsi="Arial" w:cs="Arial"/>
          <w:sz w:val="24"/>
          <w:szCs w:val="24"/>
        </w:rPr>
        <w:t>time</w:t>
      </w:r>
      <w:r w:rsidR="00DA3732">
        <w:rPr>
          <w:rFonts w:ascii="Arial" w:hAnsi="Arial" w:cs="Arial"/>
          <w:sz w:val="24"/>
          <w:szCs w:val="24"/>
        </w:rPr>
        <w:t xml:space="preserve"> </w:t>
      </w:r>
      <w:r w:rsidR="00DA3732" w:rsidRPr="00DA3732">
        <w:rPr>
          <w:rFonts w:ascii="Arial" w:hAnsi="Arial" w:cs="Arial"/>
          <w:sz w:val="24"/>
          <w:szCs w:val="24"/>
        </w:rPr>
        <w:t>(Brandon et al., 2020)</w:t>
      </w:r>
      <w:r w:rsidR="00DA3732">
        <w:rPr>
          <w:rFonts w:ascii="Arial" w:hAnsi="Arial" w:cs="Arial"/>
          <w:sz w:val="24"/>
          <w:szCs w:val="24"/>
        </w:rPr>
        <w:t>.</w:t>
      </w:r>
    </w:p>
    <w:p w14:paraId="7D5B7705" w14:textId="77777777" w:rsidR="000C5874" w:rsidRDefault="000C5874" w:rsidP="00617B65">
      <w:pPr>
        <w:spacing w:line="360" w:lineRule="auto"/>
        <w:rPr>
          <w:rFonts w:ascii="Arial" w:hAnsi="Arial" w:cs="Arial"/>
          <w:sz w:val="24"/>
          <w:szCs w:val="24"/>
        </w:rPr>
      </w:pPr>
    </w:p>
    <w:p w14:paraId="38F1FDA4" w14:textId="40782BA7" w:rsidR="000C5874" w:rsidRDefault="003D7866" w:rsidP="00690AFE">
      <w:pPr>
        <w:spacing w:line="360" w:lineRule="auto"/>
        <w:rPr>
          <w:rFonts w:ascii="Arial" w:hAnsi="Arial" w:cs="Arial"/>
          <w:sz w:val="24"/>
          <w:szCs w:val="24"/>
        </w:rPr>
      </w:pPr>
      <w:r w:rsidRPr="003D7866">
        <w:rPr>
          <w:rFonts w:ascii="Arial" w:hAnsi="Arial" w:cs="Arial"/>
          <w:sz w:val="24"/>
          <w:szCs w:val="24"/>
        </w:rPr>
        <w:t>Improved Information Sharing and Communication</w:t>
      </w:r>
      <w:r>
        <w:rPr>
          <w:rFonts w:ascii="Arial" w:hAnsi="Arial" w:cs="Arial"/>
          <w:sz w:val="24"/>
          <w:szCs w:val="24"/>
        </w:rPr>
        <w:t xml:space="preserve"> i</w:t>
      </w:r>
      <w:r w:rsidR="0032744A">
        <w:rPr>
          <w:rFonts w:ascii="Arial" w:hAnsi="Arial" w:cs="Arial"/>
          <w:sz w:val="24"/>
          <w:szCs w:val="24"/>
        </w:rPr>
        <w:t>s a key benefit of</w:t>
      </w:r>
      <w:r>
        <w:rPr>
          <w:rFonts w:ascii="Arial" w:hAnsi="Arial" w:cs="Arial"/>
          <w:sz w:val="24"/>
          <w:szCs w:val="24"/>
        </w:rPr>
        <w:t xml:space="preserve"> multi-agency working, multi-ag</w:t>
      </w:r>
      <w:r w:rsidR="005F61F1">
        <w:rPr>
          <w:rFonts w:ascii="Arial" w:hAnsi="Arial" w:cs="Arial"/>
          <w:sz w:val="24"/>
          <w:szCs w:val="24"/>
        </w:rPr>
        <w:t>ency panels</w:t>
      </w:r>
      <w:r>
        <w:rPr>
          <w:rFonts w:ascii="Arial" w:hAnsi="Arial" w:cs="Arial"/>
          <w:sz w:val="24"/>
          <w:szCs w:val="24"/>
        </w:rPr>
        <w:t xml:space="preserve"> can </w:t>
      </w:r>
      <w:r w:rsidR="00873EB9">
        <w:rPr>
          <w:rFonts w:ascii="Arial" w:hAnsi="Arial" w:cs="Arial"/>
          <w:sz w:val="24"/>
          <w:szCs w:val="24"/>
        </w:rPr>
        <w:t xml:space="preserve">gain a fuller </w:t>
      </w:r>
      <w:r w:rsidR="000206C8">
        <w:rPr>
          <w:rFonts w:ascii="Arial" w:hAnsi="Arial" w:cs="Arial"/>
          <w:sz w:val="24"/>
          <w:szCs w:val="24"/>
        </w:rPr>
        <w:t>picture of the issues affecting</w:t>
      </w:r>
      <w:r w:rsidR="00873EB9">
        <w:rPr>
          <w:rFonts w:ascii="Arial" w:hAnsi="Arial" w:cs="Arial"/>
          <w:sz w:val="24"/>
          <w:szCs w:val="24"/>
        </w:rPr>
        <w:t xml:space="preserve"> an individual child, shari</w:t>
      </w:r>
      <w:r w:rsidR="0032744A">
        <w:rPr>
          <w:rFonts w:ascii="Arial" w:hAnsi="Arial" w:cs="Arial"/>
          <w:sz w:val="24"/>
          <w:szCs w:val="24"/>
        </w:rPr>
        <w:t>ng information on</w:t>
      </w:r>
      <w:r w:rsidR="00873EB9">
        <w:rPr>
          <w:rFonts w:ascii="Arial" w:hAnsi="Arial" w:cs="Arial"/>
          <w:sz w:val="24"/>
          <w:szCs w:val="24"/>
        </w:rPr>
        <w:t xml:space="preserve"> housing</w:t>
      </w:r>
      <w:r w:rsidR="0032744A">
        <w:rPr>
          <w:rFonts w:ascii="Arial" w:hAnsi="Arial" w:cs="Arial"/>
          <w:sz w:val="24"/>
          <w:szCs w:val="24"/>
        </w:rPr>
        <w:t xml:space="preserve"> issues</w:t>
      </w:r>
      <w:r w:rsidR="00873EB9">
        <w:rPr>
          <w:rFonts w:ascii="Arial" w:hAnsi="Arial" w:cs="Arial"/>
          <w:sz w:val="24"/>
          <w:szCs w:val="24"/>
        </w:rPr>
        <w:t xml:space="preserve">, attendance and emotional needs in one forum provides a clearer </w:t>
      </w:r>
      <w:r w:rsidR="00B92BB1">
        <w:rPr>
          <w:rFonts w:ascii="Arial" w:hAnsi="Arial" w:cs="Arial"/>
          <w:sz w:val="24"/>
          <w:szCs w:val="24"/>
        </w:rPr>
        <w:t>holistic view</w:t>
      </w:r>
      <w:r w:rsidR="00873EB9">
        <w:rPr>
          <w:rFonts w:ascii="Arial" w:hAnsi="Arial" w:cs="Arial"/>
          <w:sz w:val="24"/>
          <w:szCs w:val="24"/>
        </w:rPr>
        <w:t xml:space="preserve"> of any underlying </w:t>
      </w:r>
      <w:r w:rsidR="000206C8">
        <w:rPr>
          <w:rFonts w:ascii="Arial" w:hAnsi="Arial" w:cs="Arial"/>
          <w:sz w:val="24"/>
          <w:szCs w:val="24"/>
        </w:rPr>
        <w:t>issues which allows clear pathways of support to be identified</w:t>
      </w:r>
      <w:r w:rsidR="00873EB9">
        <w:rPr>
          <w:rFonts w:ascii="Arial" w:hAnsi="Arial" w:cs="Arial"/>
          <w:sz w:val="24"/>
          <w:szCs w:val="24"/>
        </w:rPr>
        <w:t xml:space="preserve"> to</w:t>
      </w:r>
      <w:r w:rsidR="000206C8">
        <w:rPr>
          <w:rFonts w:ascii="Arial" w:hAnsi="Arial" w:cs="Arial"/>
          <w:sz w:val="24"/>
          <w:szCs w:val="24"/>
        </w:rPr>
        <w:t xml:space="preserve"> meet the needs of</w:t>
      </w:r>
      <w:r w:rsidR="00873EB9">
        <w:rPr>
          <w:rFonts w:ascii="Arial" w:hAnsi="Arial" w:cs="Arial"/>
          <w:sz w:val="24"/>
          <w:szCs w:val="24"/>
        </w:rPr>
        <w:t xml:space="preserve"> the family.</w:t>
      </w:r>
      <w:r w:rsidR="00690AFE">
        <w:rPr>
          <w:rFonts w:ascii="Arial" w:hAnsi="Arial" w:cs="Arial"/>
          <w:sz w:val="24"/>
          <w:szCs w:val="24"/>
        </w:rPr>
        <w:t xml:space="preserve"> According to a report by </w:t>
      </w:r>
      <w:r w:rsidR="00690AFE" w:rsidRPr="00690AFE">
        <w:rPr>
          <w:rFonts w:ascii="Arial" w:hAnsi="Arial" w:cs="Arial"/>
          <w:sz w:val="24"/>
          <w:szCs w:val="24"/>
        </w:rPr>
        <w:t>NSPCC (2025)</w:t>
      </w:r>
      <w:r w:rsidR="00690AFE">
        <w:rPr>
          <w:rFonts w:ascii="Arial" w:hAnsi="Arial" w:cs="Arial"/>
          <w:sz w:val="24"/>
          <w:szCs w:val="24"/>
        </w:rPr>
        <w:t xml:space="preserve"> Information sharing is</w:t>
      </w:r>
      <w:r w:rsidR="00846DEA">
        <w:rPr>
          <w:rFonts w:ascii="Arial" w:hAnsi="Arial" w:cs="Arial"/>
          <w:sz w:val="24"/>
          <w:szCs w:val="24"/>
        </w:rPr>
        <w:t xml:space="preserve"> key to getting the best </w:t>
      </w:r>
      <w:r w:rsidR="00690AFE" w:rsidRPr="00690AFE">
        <w:rPr>
          <w:rFonts w:ascii="Arial" w:hAnsi="Arial" w:cs="Arial"/>
          <w:sz w:val="24"/>
          <w:szCs w:val="24"/>
        </w:rPr>
        <w:t>outcomes for children and their families</w:t>
      </w:r>
      <w:r w:rsidR="00690AFE">
        <w:rPr>
          <w:rFonts w:ascii="Arial" w:hAnsi="Arial" w:cs="Arial"/>
          <w:sz w:val="24"/>
          <w:szCs w:val="24"/>
        </w:rPr>
        <w:t xml:space="preserve">. However, the </w:t>
      </w:r>
      <w:r w:rsidR="00690AFE" w:rsidRPr="00690AFE">
        <w:rPr>
          <w:rFonts w:ascii="Arial" w:hAnsi="Arial" w:cs="Arial"/>
          <w:sz w:val="24"/>
          <w:szCs w:val="24"/>
        </w:rPr>
        <w:t>Department for Education (2023)</w:t>
      </w:r>
      <w:r w:rsidR="00690AFE">
        <w:rPr>
          <w:rFonts w:ascii="Arial" w:hAnsi="Arial" w:cs="Arial"/>
          <w:sz w:val="24"/>
          <w:szCs w:val="24"/>
        </w:rPr>
        <w:t xml:space="preserve"> found multiple barriers to effective information sharing </w:t>
      </w:r>
      <w:r w:rsidR="0065324A">
        <w:rPr>
          <w:rFonts w:ascii="Arial" w:hAnsi="Arial" w:cs="Arial"/>
          <w:sz w:val="24"/>
          <w:szCs w:val="24"/>
        </w:rPr>
        <w:t xml:space="preserve">including issues surrounding a lack of integration between agencies technological systems, this was found to result in the process of gaining information sometimes being slow and inefficient. </w:t>
      </w:r>
      <w:r w:rsidR="00E0304E">
        <w:rPr>
          <w:rFonts w:ascii="Arial" w:hAnsi="Arial" w:cs="Arial"/>
          <w:sz w:val="24"/>
          <w:szCs w:val="24"/>
        </w:rPr>
        <w:t>These issues are less significant with multi-agency teams and integrated services who work together on a day to day basis</w:t>
      </w:r>
      <w:r w:rsidR="00846DEA">
        <w:rPr>
          <w:rFonts w:ascii="Arial" w:hAnsi="Arial" w:cs="Arial"/>
          <w:sz w:val="24"/>
          <w:szCs w:val="24"/>
        </w:rPr>
        <w:t xml:space="preserve"> sharing management, systems and goals.</w:t>
      </w:r>
      <w:r w:rsidR="000C5874">
        <w:rPr>
          <w:rFonts w:ascii="Arial" w:hAnsi="Arial" w:cs="Arial"/>
          <w:sz w:val="24"/>
          <w:szCs w:val="24"/>
        </w:rPr>
        <w:t xml:space="preserve"> </w:t>
      </w:r>
    </w:p>
    <w:p w14:paraId="369C5C1D" w14:textId="77777777" w:rsidR="002069CA" w:rsidRDefault="002069CA" w:rsidP="00690AFE">
      <w:pPr>
        <w:spacing w:line="360" w:lineRule="auto"/>
        <w:rPr>
          <w:rFonts w:ascii="Arial" w:hAnsi="Arial" w:cs="Arial"/>
          <w:sz w:val="24"/>
          <w:szCs w:val="24"/>
        </w:rPr>
      </w:pPr>
    </w:p>
    <w:p w14:paraId="27868EB7" w14:textId="77777777" w:rsidR="00AB4BDC" w:rsidRDefault="001A2F35" w:rsidP="00690AFE">
      <w:pPr>
        <w:spacing w:line="360" w:lineRule="auto"/>
        <w:rPr>
          <w:rFonts w:ascii="Arial" w:hAnsi="Arial" w:cs="Arial"/>
          <w:sz w:val="24"/>
          <w:szCs w:val="24"/>
        </w:rPr>
      </w:pPr>
      <w:r>
        <w:rPr>
          <w:rFonts w:ascii="Arial" w:hAnsi="Arial" w:cs="Arial"/>
          <w:sz w:val="24"/>
          <w:szCs w:val="24"/>
        </w:rPr>
        <w:t>Building on this</w:t>
      </w:r>
      <w:r w:rsidRPr="001A2F35">
        <w:rPr>
          <w:rFonts w:ascii="Arial" w:hAnsi="Arial" w:cs="Arial"/>
          <w:sz w:val="24"/>
          <w:szCs w:val="24"/>
        </w:rPr>
        <w:t>, multi-agen</w:t>
      </w:r>
      <w:r>
        <w:rPr>
          <w:rFonts w:ascii="Arial" w:hAnsi="Arial" w:cs="Arial"/>
          <w:sz w:val="24"/>
          <w:szCs w:val="24"/>
        </w:rPr>
        <w:t>cy working</w:t>
      </w:r>
      <w:r w:rsidRPr="001A2F35">
        <w:rPr>
          <w:rFonts w:ascii="Arial" w:hAnsi="Arial" w:cs="Arial"/>
          <w:sz w:val="24"/>
          <w:szCs w:val="24"/>
        </w:rPr>
        <w:t xml:space="preserve"> also brings significant benefits to children’s mental health and behaviour</w:t>
      </w:r>
      <w:r w:rsidR="0067693B">
        <w:rPr>
          <w:rFonts w:ascii="Arial" w:hAnsi="Arial" w:cs="Arial"/>
          <w:sz w:val="24"/>
          <w:szCs w:val="24"/>
        </w:rPr>
        <w:t>. By</w:t>
      </w:r>
      <w:r w:rsidRPr="001A2F35">
        <w:rPr>
          <w:rFonts w:ascii="Arial" w:hAnsi="Arial" w:cs="Arial"/>
          <w:sz w:val="24"/>
          <w:szCs w:val="24"/>
        </w:rPr>
        <w:t xml:space="preserve"> enabling early identification </w:t>
      </w:r>
      <w:r w:rsidR="00C42AB1">
        <w:rPr>
          <w:rFonts w:ascii="Arial" w:hAnsi="Arial" w:cs="Arial"/>
          <w:sz w:val="24"/>
          <w:szCs w:val="24"/>
        </w:rPr>
        <w:t>of issues and inte</w:t>
      </w:r>
      <w:r w:rsidR="00846DEA">
        <w:rPr>
          <w:rFonts w:ascii="Arial" w:hAnsi="Arial" w:cs="Arial"/>
          <w:sz w:val="24"/>
          <w:szCs w:val="24"/>
        </w:rPr>
        <w:t>rvention, along</w:t>
      </w:r>
      <w:r w:rsidR="00C42AB1">
        <w:rPr>
          <w:rFonts w:ascii="Arial" w:hAnsi="Arial" w:cs="Arial"/>
          <w:sz w:val="24"/>
          <w:szCs w:val="24"/>
        </w:rPr>
        <w:t xml:space="preserve"> with</w:t>
      </w:r>
      <w:r w:rsidRPr="001A2F35">
        <w:rPr>
          <w:rFonts w:ascii="Arial" w:hAnsi="Arial" w:cs="Arial"/>
          <w:sz w:val="24"/>
          <w:szCs w:val="24"/>
        </w:rPr>
        <w:t xml:space="preserve"> a holistic, coordinated approach, multi-agency teams can ensure that children receive timely and appropriate support tailored to their individual needs</w:t>
      </w:r>
      <w:r>
        <w:rPr>
          <w:rFonts w:ascii="Arial" w:hAnsi="Arial" w:cs="Arial"/>
          <w:sz w:val="24"/>
          <w:szCs w:val="24"/>
        </w:rPr>
        <w:t>. Involving multiple agencies ensures that all aspects of a child’s wellbeing are addressed</w:t>
      </w:r>
      <w:r w:rsidR="00687ABF">
        <w:rPr>
          <w:rFonts w:ascii="Arial" w:hAnsi="Arial" w:cs="Arial"/>
          <w:sz w:val="24"/>
          <w:szCs w:val="24"/>
        </w:rPr>
        <w:t xml:space="preserve"> as stipulated in the </w:t>
      </w:r>
      <w:r w:rsidR="00687ABF" w:rsidRPr="00687ABF">
        <w:rPr>
          <w:rFonts w:ascii="Arial" w:hAnsi="Arial" w:cs="Arial"/>
          <w:sz w:val="24"/>
          <w:szCs w:val="24"/>
        </w:rPr>
        <w:t>Social Services &amp; Well-being (Wales) Act, (Welsh Government, 2014)</w:t>
      </w:r>
      <w:r w:rsidR="00687ABF">
        <w:rPr>
          <w:rFonts w:ascii="Arial" w:hAnsi="Arial" w:cs="Arial"/>
          <w:sz w:val="24"/>
          <w:szCs w:val="24"/>
        </w:rPr>
        <w:t>. Integrated services remove the stigma o</w:t>
      </w:r>
      <w:r w:rsidR="003E4208">
        <w:rPr>
          <w:rFonts w:ascii="Arial" w:hAnsi="Arial" w:cs="Arial"/>
          <w:sz w:val="24"/>
          <w:szCs w:val="24"/>
        </w:rPr>
        <w:t>ften attached to receiving support, normalising interventions within the school and community environment ensure</w:t>
      </w:r>
      <w:r w:rsidR="00C42AB1">
        <w:rPr>
          <w:rFonts w:ascii="Arial" w:hAnsi="Arial" w:cs="Arial"/>
          <w:sz w:val="24"/>
          <w:szCs w:val="24"/>
        </w:rPr>
        <w:t>s</w:t>
      </w:r>
      <w:r w:rsidR="003E4208">
        <w:rPr>
          <w:rFonts w:ascii="Arial" w:hAnsi="Arial" w:cs="Arial"/>
          <w:sz w:val="24"/>
          <w:szCs w:val="24"/>
        </w:rPr>
        <w:t xml:space="preserve"> that </w:t>
      </w:r>
      <w:r w:rsidR="00C42AB1">
        <w:rPr>
          <w:rFonts w:ascii="Arial" w:hAnsi="Arial" w:cs="Arial"/>
          <w:sz w:val="24"/>
          <w:szCs w:val="24"/>
        </w:rPr>
        <w:t>children can receive discreet support in a familiar environment. A study by Henderson et al., (</w:t>
      </w:r>
      <w:r w:rsidR="00C42AB1" w:rsidRPr="00C42AB1">
        <w:rPr>
          <w:rFonts w:ascii="Arial" w:hAnsi="Arial" w:cs="Arial"/>
          <w:sz w:val="24"/>
          <w:szCs w:val="24"/>
        </w:rPr>
        <w:t>2021)</w:t>
      </w:r>
      <w:r w:rsidR="00C42AB1">
        <w:rPr>
          <w:rFonts w:ascii="Arial" w:hAnsi="Arial" w:cs="Arial"/>
          <w:sz w:val="24"/>
          <w:szCs w:val="24"/>
        </w:rPr>
        <w:t xml:space="preserve"> found this to be the preferred method of support by young people.</w:t>
      </w:r>
      <w:r w:rsidR="0067693B">
        <w:rPr>
          <w:rFonts w:ascii="Arial" w:hAnsi="Arial" w:cs="Arial"/>
          <w:sz w:val="24"/>
          <w:szCs w:val="24"/>
        </w:rPr>
        <w:t xml:space="preserve"> </w:t>
      </w:r>
    </w:p>
    <w:p w14:paraId="701DD593" w14:textId="77777777" w:rsidR="00AB4BDC" w:rsidRDefault="00AB4BDC" w:rsidP="00690AFE">
      <w:pPr>
        <w:spacing w:line="360" w:lineRule="auto"/>
        <w:rPr>
          <w:rFonts w:ascii="Arial" w:hAnsi="Arial" w:cs="Arial"/>
          <w:sz w:val="24"/>
          <w:szCs w:val="24"/>
        </w:rPr>
      </w:pPr>
    </w:p>
    <w:p w14:paraId="4397531A" w14:textId="1B322F0A" w:rsidR="00BB0525" w:rsidRDefault="00846DEA" w:rsidP="00617B65">
      <w:pPr>
        <w:spacing w:line="360" w:lineRule="auto"/>
        <w:rPr>
          <w:rFonts w:ascii="Arial" w:hAnsi="Arial" w:cs="Arial"/>
          <w:sz w:val="24"/>
          <w:szCs w:val="24"/>
        </w:rPr>
      </w:pPr>
      <w:r>
        <w:rPr>
          <w:rFonts w:ascii="Arial" w:hAnsi="Arial" w:cs="Arial"/>
          <w:sz w:val="24"/>
          <w:szCs w:val="24"/>
        </w:rPr>
        <w:t xml:space="preserve">With the positive impact of effective working on individual’s wellbeing, </w:t>
      </w:r>
      <w:r w:rsidR="005F61F1">
        <w:rPr>
          <w:rFonts w:ascii="Arial" w:hAnsi="Arial" w:cs="Arial"/>
          <w:sz w:val="24"/>
          <w:szCs w:val="24"/>
        </w:rPr>
        <w:t>m</w:t>
      </w:r>
      <w:r w:rsidR="00211093">
        <w:rPr>
          <w:rFonts w:ascii="Arial" w:hAnsi="Arial" w:cs="Arial"/>
          <w:sz w:val="24"/>
          <w:szCs w:val="24"/>
        </w:rPr>
        <w:t>ulti-</w:t>
      </w:r>
      <w:r w:rsidR="005F61F1">
        <w:rPr>
          <w:rFonts w:ascii="Arial" w:hAnsi="Arial" w:cs="Arial"/>
          <w:sz w:val="24"/>
          <w:szCs w:val="24"/>
        </w:rPr>
        <w:t>a</w:t>
      </w:r>
      <w:r w:rsidR="00211093">
        <w:rPr>
          <w:rFonts w:ascii="Arial" w:hAnsi="Arial" w:cs="Arial"/>
          <w:sz w:val="24"/>
          <w:szCs w:val="24"/>
        </w:rPr>
        <w:t xml:space="preserve">gency </w:t>
      </w:r>
      <w:r w:rsidR="005F61F1">
        <w:rPr>
          <w:rFonts w:ascii="Arial" w:hAnsi="Arial" w:cs="Arial"/>
          <w:sz w:val="24"/>
          <w:szCs w:val="24"/>
        </w:rPr>
        <w:t>t</w:t>
      </w:r>
      <w:r w:rsidR="00AB4BDC" w:rsidRPr="00AB4BDC">
        <w:rPr>
          <w:rFonts w:ascii="Arial" w:hAnsi="Arial" w:cs="Arial"/>
          <w:sz w:val="24"/>
          <w:szCs w:val="24"/>
        </w:rPr>
        <w:t>eams should carefully consider the impact that cha</w:t>
      </w:r>
      <w:r w:rsidR="00E61960">
        <w:rPr>
          <w:rFonts w:ascii="Arial" w:hAnsi="Arial" w:cs="Arial"/>
          <w:sz w:val="24"/>
          <w:szCs w:val="24"/>
        </w:rPr>
        <w:t>nges in key workers can have on the families they support</w:t>
      </w:r>
      <w:r w:rsidR="00AB4BDC" w:rsidRPr="00AB4BDC">
        <w:rPr>
          <w:rFonts w:ascii="Arial" w:hAnsi="Arial" w:cs="Arial"/>
          <w:sz w:val="24"/>
          <w:szCs w:val="24"/>
        </w:rPr>
        <w:t>. Staff vacancies across the various organisations involved in child protection contribute to workforce instability, which in turn can disrupt continuity of care and support. This instability can have a significant negative effect on the mental health and we</w:t>
      </w:r>
      <w:r w:rsidR="00E61960">
        <w:rPr>
          <w:rFonts w:ascii="Arial" w:hAnsi="Arial" w:cs="Arial"/>
          <w:sz w:val="24"/>
          <w:szCs w:val="24"/>
        </w:rPr>
        <w:t>llbeing of those they support</w:t>
      </w:r>
      <w:r w:rsidR="00AB4BDC" w:rsidRPr="00AB4BDC">
        <w:rPr>
          <w:rFonts w:ascii="Arial" w:hAnsi="Arial" w:cs="Arial"/>
          <w:sz w:val="24"/>
          <w:szCs w:val="24"/>
        </w:rPr>
        <w:t>.</w:t>
      </w:r>
      <w:r w:rsidR="00AB4BDC">
        <w:rPr>
          <w:rFonts w:ascii="Arial" w:hAnsi="Arial" w:cs="Arial"/>
          <w:sz w:val="24"/>
          <w:szCs w:val="24"/>
        </w:rPr>
        <w:t xml:space="preserve"> A study by </w:t>
      </w:r>
      <w:r w:rsidR="00AB4BDC" w:rsidRPr="00AB4BDC">
        <w:rPr>
          <w:rFonts w:ascii="Arial" w:hAnsi="Arial" w:cs="Arial"/>
          <w:sz w:val="24"/>
          <w:szCs w:val="24"/>
        </w:rPr>
        <w:t>Murphy (2023)</w:t>
      </w:r>
      <w:r w:rsidR="00AB4BDC">
        <w:rPr>
          <w:rFonts w:ascii="Arial" w:hAnsi="Arial" w:cs="Arial"/>
          <w:sz w:val="24"/>
          <w:szCs w:val="24"/>
        </w:rPr>
        <w:t xml:space="preserve"> </w:t>
      </w:r>
      <w:r w:rsidR="00DA2680">
        <w:rPr>
          <w:rFonts w:ascii="Arial" w:hAnsi="Arial" w:cs="Arial"/>
          <w:sz w:val="24"/>
          <w:szCs w:val="24"/>
        </w:rPr>
        <w:t xml:space="preserve">called for systemic changes for child protection workers, improving working conditions and </w:t>
      </w:r>
      <w:r w:rsidR="00E61960">
        <w:rPr>
          <w:rFonts w:ascii="Arial" w:hAnsi="Arial" w:cs="Arial"/>
          <w:sz w:val="24"/>
          <w:szCs w:val="24"/>
        </w:rPr>
        <w:t xml:space="preserve">employee </w:t>
      </w:r>
      <w:r w:rsidR="00DA2680">
        <w:rPr>
          <w:rFonts w:ascii="Arial" w:hAnsi="Arial" w:cs="Arial"/>
          <w:sz w:val="24"/>
          <w:szCs w:val="24"/>
        </w:rPr>
        <w:t xml:space="preserve">support to prevent increased use of agency workers which ultimately would lead to better outcomes </w:t>
      </w:r>
      <w:r w:rsidR="003D3E92">
        <w:rPr>
          <w:rFonts w:ascii="Arial" w:hAnsi="Arial" w:cs="Arial"/>
          <w:sz w:val="24"/>
          <w:szCs w:val="24"/>
        </w:rPr>
        <w:t>for children.</w:t>
      </w:r>
      <w:r w:rsidR="00F1631A">
        <w:rPr>
          <w:rFonts w:ascii="Arial" w:hAnsi="Arial" w:cs="Arial"/>
          <w:sz w:val="24"/>
          <w:szCs w:val="24"/>
        </w:rPr>
        <w:t xml:space="preserve"> </w:t>
      </w:r>
    </w:p>
    <w:p w14:paraId="1F5BD919" w14:textId="77777777" w:rsidR="00846DEA" w:rsidRDefault="00846DEA" w:rsidP="00617B65">
      <w:pPr>
        <w:spacing w:line="360" w:lineRule="auto"/>
        <w:rPr>
          <w:rFonts w:ascii="Arial" w:hAnsi="Arial" w:cs="Arial"/>
          <w:sz w:val="24"/>
          <w:szCs w:val="24"/>
        </w:rPr>
      </w:pPr>
    </w:p>
    <w:p w14:paraId="21A466F4" w14:textId="77777777" w:rsidR="00B537B1" w:rsidRPr="00B537B1" w:rsidRDefault="00B537B1" w:rsidP="00B537B1">
      <w:pPr>
        <w:spacing w:line="360" w:lineRule="auto"/>
        <w:rPr>
          <w:rFonts w:ascii="Arial" w:hAnsi="Arial" w:cs="Arial"/>
          <w:sz w:val="24"/>
          <w:szCs w:val="24"/>
        </w:rPr>
      </w:pPr>
      <w:r w:rsidRPr="00B537B1">
        <w:rPr>
          <w:rFonts w:ascii="Arial" w:hAnsi="Arial" w:cs="Arial"/>
          <w:sz w:val="24"/>
          <w:szCs w:val="24"/>
        </w:rPr>
        <w:t>Cheminais (2008) argues that multi-agency working can reduce workload pressure and improve efficiency among staff. This collaborative approach is often seen as both rewarding and intellectually enriching, as it enables professionals to gain a broader understanding of the roles and responsibilities of other agencies. However, in contrast to Cheminais’s optimistic view, practical experience suggests that multi-agency working can also result in increased workloads and rising demands on already stretched services.</w:t>
      </w:r>
    </w:p>
    <w:p w14:paraId="3B0E746F" w14:textId="77777777" w:rsidR="00B537B1" w:rsidRPr="00B537B1" w:rsidRDefault="00B537B1" w:rsidP="00B537B1">
      <w:pPr>
        <w:spacing w:line="360" w:lineRule="auto"/>
        <w:rPr>
          <w:rFonts w:ascii="Arial" w:hAnsi="Arial" w:cs="Arial"/>
          <w:sz w:val="24"/>
          <w:szCs w:val="24"/>
        </w:rPr>
      </w:pPr>
    </w:p>
    <w:p w14:paraId="34959F57" w14:textId="77777777" w:rsidR="00B537B1" w:rsidRPr="00B537B1" w:rsidRDefault="00B537B1" w:rsidP="00B537B1">
      <w:pPr>
        <w:spacing w:line="360" w:lineRule="auto"/>
        <w:rPr>
          <w:rFonts w:ascii="Arial" w:hAnsi="Arial" w:cs="Arial"/>
          <w:sz w:val="24"/>
          <w:szCs w:val="24"/>
        </w:rPr>
      </w:pPr>
      <w:r w:rsidRPr="00B537B1">
        <w:rPr>
          <w:rFonts w:ascii="Arial" w:hAnsi="Arial" w:cs="Arial"/>
          <w:sz w:val="24"/>
          <w:szCs w:val="24"/>
        </w:rPr>
        <w:t>Bilson (2022), citing data from HM Government (2021), found that since the introduction of Multi-Agency Safeguarding Hubs (MASH) in 2010, local authorities have seen a threefold increase in child protection investigations. Despite this sharp rise in activity, the number of confirmed abuse cases has remained unchanged, and there has been no corresponding decrease in serious incidents of abuse. This indicates that higher rates of investigation have not translated into improved outcomes for families, but instead have placed additional pressure on limited resources.</w:t>
      </w:r>
    </w:p>
    <w:p w14:paraId="6B0E9E5A" w14:textId="77777777" w:rsidR="00B537B1" w:rsidRPr="00B537B1" w:rsidRDefault="00B537B1" w:rsidP="00B537B1">
      <w:pPr>
        <w:spacing w:line="360" w:lineRule="auto"/>
        <w:rPr>
          <w:rFonts w:ascii="Arial" w:hAnsi="Arial" w:cs="Arial"/>
          <w:sz w:val="24"/>
          <w:szCs w:val="24"/>
        </w:rPr>
      </w:pPr>
    </w:p>
    <w:p w14:paraId="2ADDC30E" w14:textId="77777777" w:rsidR="00B537B1" w:rsidRPr="00B537B1" w:rsidRDefault="00B537B1" w:rsidP="00B537B1">
      <w:pPr>
        <w:spacing w:line="360" w:lineRule="auto"/>
        <w:rPr>
          <w:rFonts w:ascii="Arial" w:hAnsi="Arial" w:cs="Arial"/>
          <w:sz w:val="24"/>
          <w:szCs w:val="24"/>
        </w:rPr>
      </w:pPr>
      <w:r w:rsidRPr="00B537B1">
        <w:rPr>
          <w:rFonts w:ascii="Arial" w:hAnsi="Arial" w:cs="Arial"/>
          <w:sz w:val="24"/>
          <w:szCs w:val="24"/>
        </w:rPr>
        <w:t>In the wake of the national inquiry into the deaths of Arthur Labinjo-Hughes and Star Hobson (Child Safeguarding Practice Review Panel, 2022), Turner (2022) conducted a poll of social workers to explore views on improving child protection. While 16% of respondents identified enhanced multi-agency working as the most critical area for improv</w:t>
      </w:r>
      <w:r>
        <w:rPr>
          <w:rFonts w:ascii="Arial" w:hAnsi="Arial" w:cs="Arial"/>
          <w:sz w:val="24"/>
          <w:szCs w:val="24"/>
        </w:rPr>
        <w:t xml:space="preserve">ement, a much larger proportion of 63% </w:t>
      </w:r>
      <w:r w:rsidRPr="00B537B1">
        <w:rPr>
          <w:rFonts w:ascii="Arial" w:hAnsi="Arial" w:cs="Arial"/>
          <w:sz w:val="24"/>
          <w:szCs w:val="24"/>
        </w:rPr>
        <w:t>emphasised the need for reduced caseloads. These findings highlight the urgent need to tackle excessive workload pressures as a central priority in efforts to strengthen the safeguarding system.</w:t>
      </w:r>
    </w:p>
    <w:p w14:paraId="1890BA58" w14:textId="77777777" w:rsidR="0073165A" w:rsidRDefault="0073165A" w:rsidP="00617B65">
      <w:pPr>
        <w:spacing w:line="360" w:lineRule="auto"/>
        <w:rPr>
          <w:rFonts w:ascii="Arial" w:hAnsi="Arial" w:cs="Arial"/>
          <w:sz w:val="24"/>
          <w:szCs w:val="24"/>
        </w:rPr>
      </w:pPr>
    </w:p>
    <w:p w14:paraId="034975AC" w14:textId="3B9A0654" w:rsidR="002B26C7" w:rsidRDefault="0073165A" w:rsidP="00617B65">
      <w:pPr>
        <w:spacing w:line="360" w:lineRule="auto"/>
        <w:rPr>
          <w:rFonts w:ascii="Arial" w:hAnsi="Arial" w:cs="Arial"/>
          <w:sz w:val="24"/>
          <w:szCs w:val="24"/>
        </w:rPr>
      </w:pPr>
      <w:r>
        <w:rPr>
          <w:rFonts w:ascii="Arial" w:hAnsi="Arial" w:cs="Arial"/>
          <w:sz w:val="24"/>
          <w:szCs w:val="24"/>
        </w:rPr>
        <w:t xml:space="preserve">To manage and prevent the increase in serious child protection issues in England, the Every Child Matters programme </w:t>
      </w:r>
      <w:r w:rsidRPr="0073165A">
        <w:rPr>
          <w:rFonts w:ascii="Arial" w:hAnsi="Arial" w:cs="Arial"/>
          <w:sz w:val="24"/>
          <w:szCs w:val="24"/>
        </w:rPr>
        <w:t>(Department for Education, 2003)</w:t>
      </w:r>
      <w:r>
        <w:rPr>
          <w:rFonts w:ascii="Arial" w:hAnsi="Arial" w:cs="Arial"/>
          <w:sz w:val="24"/>
          <w:szCs w:val="24"/>
        </w:rPr>
        <w:t xml:space="preserve"> </w:t>
      </w:r>
      <w:r w:rsidR="000311D5">
        <w:rPr>
          <w:rFonts w:ascii="Arial" w:hAnsi="Arial" w:cs="Arial"/>
          <w:sz w:val="24"/>
          <w:szCs w:val="24"/>
        </w:rPr>
        <w:t>focused on early intervention to pre</w:t>
      </w:r>
      <w:r w:rsidR="00545BC3">
        <w:rPr>
          <w:rFonts w:ascii="Arial" w:hAnsi="Arial" w:cs="Arial"/>
          <w:sz w:val="24"/>
          <w:szCs w:val="24"/>
        </w:rPr>
        <w:t>vent serious issues for families</w:t>
      </w:r>
      <w:r w:rsidR="000311D5">
        <w:rPr>
          <w:rFonts w:ascii="Arial" w:hAnsi="Arial" w:cs="Arial"/>
          <w:sz w:val="24"/>
          <w:szCs w:val="24"/>
        </w:rPr>
        <w:t xml:space="preserve"> before they become a concern. The launch of Sure Start centres within the community saw multiple early years practitioners working together to identify and support families </w:t>
      </w:r>
      <w:r w:rsidR="00545BC3">
        <w:rPr>
          <w:rFonts w:ascii="Arial" w:hAnsi="Arial" w:cs="Arial"/>
          <w:sz w:val="24"/>
          <w:szCs w:val="24"/>
        </w:rPr>
        <w:t>to avoid</w:t>
      </w:r>
      <w:r w:rsidR="000311D5">
        <w:rPr>
          <w:rFonts w:ascii="Arial" w:hAnsi="Arial" w:cs="Arial"/>
          <w:sz w:val="24"/>
          <w:szCs w:val="24"/>
        </w:rPr>
        <w:t xml:space="preserve"> </w:t>
      </w:r>
      <w:r w:rsidR="00545BC3">
        <w:rPr>
          <w:rFonts w:ascii="Arial" w:hAnsi="Arial" w:cs="Arial"/>
          <w:sz w:val="24"/>
          <w:szCs w:val="24"/>
        </w:rPr>
        <w:t>potential</w:t>
      </w:r>
      <w:r w:rsidR="000311D5">
        <w:rPr>
          <w:rFonts w:ascii="Arial" w:hAnsi="Arial" w:cs="Arial"/>
          <w:sz w:val="24"/>
          <w:szCs w:val="24"/>
        </w:rPr>
        <w:t xml:space="preserve"> need </w:t>
      </w:r>
      <w:r w:rsidR="00545BC3">
        <w:rPr>
          <w:rFonts w:ascii="Arial" w:hAnsi="Arial" w:cs="Arial"/>
          <w:sz w:val="24"/>
          <w:szCs w:val="24"/>
        </w:rPr>
        <w:t xml:space="preserve">for </w:t>
      </w:r>
      <w:r w:rsidR="000311D5">
        <w:rPr>
          <w:rFonts w:ascii="Arial" w:hAnsi="Arial" w:cs="Arial"/>
          <w:sz w:val="24"/>
          <w:szCs w:val="24"/>
        </w:rPr>
        <w:t xml:space="preserve">intervention at a higher level in the future </w:t>
      </w:r>
      <w:r w:rsidR="000311D5" w:rsidRPr="000311D5">
        <w:rPr>
          <w:rFonts w:ascii="Arial" w:hAnsi="Arial" w:cs="Arial"/>
          <w:sz w:val="24"/>
          <w:szCs w:val="24"/>
        </w:rPr>
        <w:t>(Walker, 2018)</w:t>
      </w:r>
      <w:r w:rsidR="000311D5">
        <w:rPr>
          <w:rFonts w:ascii="Arial" w:hAnsi="Arial" w:cs="Arial"/>
          <w:sz w:val="24"/>
          <w:szCs w:val="24"/>
        </w:rPr>
        <w:t xml:space="preserve">. This model is delivered in Wales through the Flying Start programme, </w:t>
      </w:r>
      <w:r w:rsidR="003D3E92">
        <w:rPr>
          <w:rFonts w:ascii="Arial" w:hAnsi="Arial" w:cs="Arial"/>
          <w:sz w:val="24"/>
          <w:szCs w:val="24"/>
        </w:rPr>
        <w:t xml:space="preserve">an integrated service </w:t>
      </w:r>
      <w:r w:rsidR="00545BC3">
        <w:rPr>
          <w:rFonts w:ascii="Arial" w:hAnsi="Arial" w:cs="Arial"/>
          <w:sz w:val="24"/>
          <w:szCs w:val="24"/>
        </w:rPr>
        <w:t>for</w:t>
      </w:r>
      <w:r w:rsidR="000311D5">
        <w:rPr>
          <w:rFonts w:ascii="Arial" w:hAnsi="Arial" w:cs="Arial"/>
          <w:sz w:val="24"/>
          <w:szCs w:val="24"/>
        </w:rPr>
        <w:t xml:space="preserve"> families with young children in the most disadvantaged areas of Wales </w:t>
      </w:r>
      <w:r w:rsidR="000311D5" w:rsidRPr="000311D5">
        <w:rPr>
          <w:rFonts w:ascii="Arial" w:hAnsi="Arial" w:cs="Arial"/>
          <w:sz w:val="24"/>
          <w:szCs w:val="24"/>
        </w:rPr>
        <w:t>(Welsh Government, 2024)</w:t>
      </w:r>
      <w:r w:rsidR="00545BC3">
        <w:rPr>
          <w:rFonts w:ascii="Arial" w:hAnsi="Arial" w:cs="Arial"/>
          <w:sz w:val="24"/>
          <w:szCs w:val="24"/>
        </w:rPr>
        <w:t xml:space="preserve">. </w:t>
      </w:r>
      <w:r w:rsidR="00B875B0">
        <w:rPr>
          <w:rFonts w:ascii="Arial" w:hAnsi="Arial" w:cs="Arial"/>
          <w:sz w:val="24"/>
          <w:szCs w:val="24"/>
        </w:rPr>
        <w:t>Flying Start has shown to lead to improved performance at reception stage and a</w:t>
      </w:r>
      <w:r w:rsidR="00B875B0" w:rsidRPr="00B875B0">
        <w:rPr>
          <w:rFonts w:ascii="Arial" w:hAnsi="Arial" w:cs="Arial"/>
          <w:sz w:val="24"/>
          <w:szCs w:val="24"/>
        </w:rPr>
        <w:t>necdotal evidence suggests that parents believe there have been improvements in their children’s health, development, social skills, and educational</w:t>
      </w:r>
      <w:r w:rsidR="00B875B0">
        <w:rPr>
          <w:rFonts w:ascii="Arial" w:hAnsi="Arial" w:cs="Arial"/>
          <w:sz w:val="24"/>
          <w:szCs w:val="24"/>
        </w:rPr>
        <w:t xml:space="preserve"> outcomes (Adran and Oes, 2009)</w:t>
      </w:r>
      <w:r w:rsidR="00DE614F">
        <w:rPr>
          <w:rFonts w:ascii="Arial" w:hAnsi="Arial" w:cs="Arial"/>
          <w:sz w:val="24"/>
          <w:szCs w:val="24"/>
        </w:rPr>
        <w:t xml:space="preserve">. While England’s Sure Start programme has seen a significant decline in funding over recent years </w:t>
      </w:r>
      <w:r w:rsidR="00DE614F" w:rsidRPr="00DE614F">
        <w:rPr>
          <w:rFonts w:ascii="Arial" w:hAnsi="Arial" w:cs="Arial"/>
          <w:sz w:val="24"/>
          <w:szCs w:val="24"/>
        </w:rPr>
        <w:t>(Carneiro, Cattan and Ridpath, 2024)</w:t>
      </w:r>
      <w:r w:rsidR="00DE614F">
        <w:rPr>
          <w:rFonts w:ascii="Arial" w:hAnsi="Arial" w:cs="Arial"/>
          <w:sz w:val="24"/>
          <w:szCs w:val="24"/>
        </w:rPr>
        <w:t>. Welsh Government continues to recogn</w:t>
      </w:r>
      <w:r w:rsidR="003D3E92">
        <w:rPr>
          <w:rFonts w:ascii="Arial" w:hAnsi="Arial" w:cs="Arial"/>
          <w:sz w:val="24"/>
          <w:szCs w:val="24"/>
        </w:rPr>
        <w:t>ise the value of Flying S</w:t>
      </w:r>
      <w:r w:rsidR="00DE614F">
        <w:rPr>
          <w:rFonts w:ascii="Arial" w:hAnsi="Arial" w:cs="Arial"/>
          <w:sz w:val="24"/>
          <w:szCs w:val="24"/>
        </w:rPr>
        <w:t xml:space="preserve">tart with an increase in spending in recent years </w:t>
      </w:r>
      <w:r w:rsidR="00DE614F" w:rsidRPr="00DE614F">
        <w:rPr>
          <w:rFonts w:ascii="Arial" w:hAnsi="Arial" w:cs="Arial"/>
          <w:sz w:val="24"/>
          <w:szCs w:val="24"/>
        </w:rPr>
        <w:t>(Welsh Government, 2025)</w:t>
      </w:r>
      <w:r w:rsidR="00DE614F">
        <w:rPr>
          <w:rFonts w:ascii="Arial" w:hAnsi="Arial" w:cs="Arial"/>
          <w:sz w:val="24"/>
          <w:szCs w:val="24"/>
        </w:rPr>
        <w:t>.</w:t>
      </w:r>
    </w:p>
    <w:p w14:paraId="343407B3" w14:textId="77777777" w:rsidR="00BB0525" w:rsidRDefault="00BB0525" w:rsidP="00617B65">
      <w:pPr>
        <w:spacing w:line="360" w:lineRule="auto"/>
        <w:rPr>
          <w:rFonts w:ascii="Arial" w:hAnsi="Arial" w:cs="Arial"/>
          <w:sz w:val="24"/>
          <w:szCs w:val="24"/>
        </w:rPr>
      </w:pPr>
    </w:p>
    <w:p w14:paraId="4B182B0E" w14:textId="4F00A07A" w:rsidR="00BB0525" w:rsidRDefault="00752690" w:rsidP="00752690">
      <w:pPr>
        <w:spacing w:line="360" w:lineRule="auto"/>
        <w:rPr>
          <w:rFonts w:ascii="Arial" w:hAnsi="Arial" w:cs="Arial"/>
          <w:sz w:val="24"/>
          <w:szCs w:val="24"/>
        </w:rPr>
      </w:pPr>
      <w:r w:rsidRPr="00752690">
        <w:rPr>
          <w:rFonts w:ascii="Arial" w:hAnsi="Arial" w:cs="Arial"/>
          <w:sz w:val="24"/>
          <w:szCs w:val="24"/>
        </w:rPr>
        <w:t xml:space="preserve">A report by the Department for Education (2021) highlighted that inconsistencies in approach </w:t>
      </w:r>
      <w:r w:rsidR="003D3E92">
        <w:rPr>
          <w:rFonts w:ascii="Arial" w:hAnsi="Arial" w:cs="Arial"/>
          <w:sz w:val="24"/>
          <w:szCs w:val="24"/>
        </w:rPr>
        <w:t xml:space="preserve">can </w:t>
      </w:r>
      <w:r w:rsidRPr="00752690">
        <w:rPr>
          <w:rFonts w:ascii="Arial" w:hAnsi="Arial" w:cs="Arial"/>
          <w:sz w:val="24"/>
          <w:szCs w:val="24"/>
        </w:rPr>
        <w:t xml:space="preserve">present a significant barrier to effective multi-agency working. Staff often showed a limited understanding of how to implement collaborative practices, </w:t>
      </w:r>
      <w:r w:rsidR="003D3E92">
        <w:rPr>
          <w:rFonts w:ascii="Arial" w:hAnsi="Arial" w:cs="Arial"/>
          <w:sz w:val="24"/>
          <w:szCs w:val="24"/>
        </w:rPr>
        <w:t>with uncertainty surrounding</w:t>
      </w:r>
      <w:r w:rsidRPr="00752690">
        <w:rPr>
          <w:rFonts w:ascii="Arial" w:hAnsi="Arial" w:cs="Arial"/>
          <w:sz w:val="24"/>
          <w:szCs w:val="24"/>
        </w:rPr>
        <w:t xml:space="preserve"> specific roles and responsibilities of each</w:t>
      </w:r>
      <w:r w:rsidR="003D3E92">
        <w:rPr>
          <w:rFonts w:ascii="Arial" w:hAnsi="Arial" w:cs="Arial"/>
          <w:sz w:val="24"/>
          <w:szCs w:val="24"/>
        </w:rPr>
        <w:t xml:space="preserve"> agency involved</w:t>
      </w:r>
      <w:r w:rsidRPr="00752690">
        <w:rPr>
          <w:rFonts w:ascii="Arial" w:hAnsi="Arial" w:cs="Arial"/>
          <w:sz w:val="24"/>
          <w:szCs w:val="24"/>
        </w:rPr>
        <w:t xml:space="preserve">. Furthermore, variations in how procedures were applied across services contributed to fragmented practice. The report emphasised that comprehensive cross-agency training is essential to equip staff with the necessary skills, and that co-locating professionals, where possible, can help foster trust and </w:t>
      </w:r>
      <w:r>
        <w:rPr>
          <w:rFonts w:ascii="Arial" w:hAnsi="Arial" w:cs="Arial"/>
          <w:sz w:val="24"/>
          <w:szCs w:val="24"/>
        </w:rPr>
        <w:t xml:space="preserve">collaboration, </w:t>
      </w:r>
      <w:r w:rsidRPr="00752690">
        <w:rPr>
          <w:rFonts w:ascii="Arial" w:hAnsi="Arial" w:cs="Arial"/>
          <w:sz w:val="24"/>
          <w:szCs w:val="24"/>
        </w:rPr>
        <w:t>an approach closely aligned with the principles of multi-agency teams and integrated services.</w:t>
      </w:r>
    </w:p>
    <w:p w14:paraId="79389E6F" w14:textId="77777777" w:rsidR="006A2B2F" w:rsidRDefault="006A2B2F" w:rsidP="00752690">
      <w:pPr>
        <w:spacing w:line="360" w:lineRule="auto"/>
        <w:rPr>
          <w:rFonts w:ascii="Arial" w:hAnsi="Arial" w:cs="Arial"/>
          <w:sz w:val="24"/>
          <w:szCs w:val="24"/>
        </w:rPr>
      </w:pPr>
    </w:p>
    <w:p w14:paraId="0C230D2D" w14:textId="2F807A23" w:rsidR="006A2B2F" w:rsidRDefault="006A2B2F" w:rsidP="006A2B2F">
      <w:pPr>
        <w:spacing w:line="360" w:lineRule="auto"/>
        <w:rPr>
          <w:rFonts w:ascii="Arial" w:hAnsi="Arial" w:cs="Arial"/>
          <w:sz w:val="24"/>
          <w:szCs w:val="24"/>
        </w:rPr>
      </w:pPr>
      <w:r>
        <w:rPr>
          <w:rFonts w:ascii="Arial" w:hAnsi="Arial" w:cs="Arial"/>
          <w:sz w:val="24"/>
          <w:szCs w:val="24"/>
        </w:rPr>
        <w:t>If these barriers can be effectively addressed, multi-ag</w:t>
      </w:r>
      <w:r w:rsidR="00211093">
        <w:rPr>
          <w:rFonts w:ascii="Arial" w:hAnsi="Arial" w:cs="Arial"/>
          <w:sz w:val="24"/>
          <w:szCs w:val="24"/>
        </w:rPr>
        <w:t xml:space="preserve">ency working reinforces a child </w:t>
      </w:r>
      <w:r>
        <w:rPr>
          <w:rFonts w:ascii="Arial" w:hAnsi="Arial" w:cs="Arial"/>
          <w:sz w:val="24"/>
          <w:szCs w:val="24"/>
        </w:rPr>
        <w:t xml:space="preserve">centred approach which not only supports the key principles of the Wales Safeguarding Procedures (2020) allowing active participation by the child and their family, and always considering the best interests of the child, but also supports the principles of </w:t>
      </w:r>
      <w:r w:rsidRPr="000C5874">
        <w:rPr>
          <w:rFonts w:ascii="Arial" w:hAnsi="Arial" w:cs="Arial"/>
          <w:sz w:val="24"/>
          <w:szCs w:val="24"/>
        </w:rPr>
        <w:t>Bronfenbrenner</w:t>
      </w:r>
      <w:r>
        <w:rPr>
          <w:rFonts w:ascii="Arial" w:hAnsi="Arial" w:cs="Arial"/>
          <w:sz w:val="24"/>
          <w:szCs w:val="24"/>
        </w:rPr>
        <w:t>’s</w:t>
      </w:r>
      <w:r w:rsidRPr="000C5874">
        <w:rPr>
          <w:rFonts w:ascii="Arial" w:hAnsi="Arial" w:cs="Arial"/>
          <w:sz w:val="24"/>
          <w:szCs w:val="24"/>
        </w:rPr>
        <w:t xml:space="preserve"> (1979)</w:t>
      </w:r>
      <w:r>
        <w:rPr>
          <w:rFonts w:ascii="Arial" w:hAnsi="Arial" w:cs="Arial"/>
          <w:sz w:val="24"/>
          <w:szCs w:val="24"/>
        </w:rPr>
        <w:t xml:space="preserve"> Ecological Systems Theory, by not only looking at the interactions between the different microsystems such as home and school, but also through highlighting factors in the child’s exosystemic indirectly impact their development.</w:t>
      </w:r>
    </w:p>
    <w:p w14:paraId="4267DA84" w14:textId="77777777" w:rsidR="0014041B" w:rsidRDefault="0014041B" w:rsidP="006A2B2F">
      <w:pPr>
        <w:spacing w:line="360" w:lineRule="auto"/>
        <w:rPr>
          <w:rFonts w:ascii="Arial" w:hAnsi="Arial" w:cs="Arial"/>
          <w:sz w:val="24"/>
          <w:szCs w:val="24"/>
        </w:rPr>
      </w:pPr>
    </w:p>
    <w:p w14:paraId="37BD2CC6" w14:textId="65EF33CF" w:rsidR="006A2B2F" w:rsidRDefault="0014041B" w:rsidP="00752690">
      <w:pPr>
        <w:spacing w:line="360" w:lineRule="auto"/>
        <w:rPr>
          <w:rFonts w:ascii="Arial" w:hAnsi="Arial" w:cs="Arial"/>
          <w:sz w:val="24"/>
          <w:szCs w:val="24"/>
        </w:rPr>
      </w:pPr>
      <w:r w:rsidRPr="0014041B">
        <w:rPr>
          <w:rFonts w:ascii="Arial" w:hAnsi="Arial" w:cs="Arial"/>
          <w:sz w:val="24"/>
          <w:szCs w:val="24"/>
        </w:rPr>
        <w:t>In conclusion, the multi-agency model in Wales promote</w:t>
      </w:r>
      <w:r w:rsidR="00211093">
        <w:rPr>
          <w:rFonts w:ascii="Arial" w:hAnsi="Arial" w:cs="Arial"/>
          <w:sz w:val="24"/>
          <w:szCs w:val="24"/>
        </w:rPr>
        <w:t>s</w:t>
      </w:r>
      <w:r w:rsidRPr="0014041B">
        <w:rPr>
          <w:rFonts w:ascii="Arial" w:hAnsi="Arial" w:cs="Arial"/>
          <w:sz w:val="24"/>
          <w:szCs w:val="24"/>
        </w:rPr>
        <w:t xml:space="preserve"> the welfare of children and young people, aligning closely with Article 19 of the UNCRC (1989) and the principles of the Wales Safeguarding Procedures (20</w:t>
      </w:r>
      <w:r w:rsidR="005F61F1">
        <w:rPr>
          <w:rFonts w:ascii="Arial" w:hAnsi="Arial" w:cs="Arial"/>
          <w:sz w:val="24"/>
          <w:szCs w:val="24"/>
        </w:rPr>
        <w:t xml:space="preserve">20). Through integration </w:t>
      </w:r>
      <w:r w:rsidRPr="0014041B">
        <w:rPr>
          <w:rFonts w:ascii="Arial" w:hAnsi="Arial" w:cs="Arial"/>
          <w:sz w:val="24"/>
          <w:szCs w:val="24"/>
        </w:rPr>
        <w:t>between education, health, and social care sectors, the model supports a proactive and preventative approach to safeguarding, enabling timely intervention and holistic</w:t>
      </w:r>
      <w:r w:rsidR="005F61F1">
        <w:rPr>
          <w:rFonts w:ascii="Arial" w:hAnsi="Arial" w:cs="Arial"/>
          <w:sz w:val="24"/>
          <w:szCs w:val="24"/>
        </w:rPr>
        <w:t xml:space="preserve"> support. While</w:t>
      </w:r>
      <w:r w:rsidRPr="0014041B">
        <w:rPr>
          <w:rFonts w:ascii="Arial" w:hAnsi="Arial" w:cs="Arial"/>
          <w:sz w:val="24"/>
          <w:szCs w:val="24"/>
        </w:rPr>
        <w:t xml:space="preserve"> multi</w:t>
      </w:r>
      <w:r w:rsidR="005F61F1">
        <w:rPr>
          <w:rFonts w:ascii="Arial" w:hAnsi="Arial" w:cs="Arial"/>
          <w:sz w:val="24"/>
          <w:szCs w:val="24"/>
        </w:rPr>
        <w:t xml:space="preserve">-agency working has </w:t>
      </w:r>
      <w:r w:rsidR="003D3E92">
        <w:rPr>
          <w:rFonts w:ascii="Arial" w:hAnsi="Arial" w:cs="Arial"/>
          <w:sz w:val="24"/>
          <w:szCs w:val="24"/>
        </w:rPr>
        <w:t>improved</w:t>
      </w:r>
      <w:r w:rsidR="005F61F1">
        <w:rPr>
          <w:rFonts w:ascii="Arial" w:hAnsi="Arial" w:cs="Arial"/>
          <w:sz w:val="24"/>
          <w:szCs w:val="24"/>
        </w:rPr>
        <w:t xml:space="preserve"> through</w:t>
      </w:r>
      <w:r w:rsidRPr="0014041B">
        <w:rPr>
          <w:rFonts w:ascii="Arial" w:hAnsi="Arial" w:cs="Arial"/>
          <w:sz w:val="24"/>
          <w:szCs w:val="24"/>
        </w:rPr>
        <w:t xml:space="preserve"> significant policy developments and high-profile case reviews, its effectiveness is not without challenge. Issues such as inconsist</w:t>
      </w:r>
      <w:r w:rsidR="005F61F1">
        <w:rPr>
          <w:rFonts w:ascii="Arial" w:hAnsi="Arial" w:cs="Arial"/>
          <w:sz w:val="24"/>
          <w:szCs w:val="24"/>
        </w:rPr>
        <w:t xml:space="preserve">ent implementation, information </w:t>
      </w:r>
      <w:r w:rsidRPr="0014041B">
        <w:rPr>
          <w:rFonts w:ascii="Arial" w:hAnsi="Arial" w:cs="Arial"/>
          <w:sz w:val="24"/>
          <w:szCs w:val="24"/>
        </w:rPr>
        <w:t>sharing barriers, workforce instability, and rising caseloads can undermine its potential. Nevertheless, the model demonstrates clear strengths, particularly in its capacity to improve communication, provide early intervention, and support mental health and well-being</w:t>
      </w:r>
      <w:r w:rsidR="003D3E92">
        <w:rPr>
          <w:rFonts w:ascii="Arial" w:hAnsi="Arial" w:cs="Arial"/>
          <w:sz w:val="24"/>
          <w:szCs w:val="24"/>
        </w:rPr>
        <w:t xml:space="preserve"> within f</w:t>
      </w:r>
      <w:r w:rsidR="005F61F1">
        <w:rPr>
          <w:rFonts w:ascii="Arial" w:hAnsi="Arial" w:cs="Arial"/>
          <w:sz w:val="24"/>
          <w:szCs w:val="24"/>
        </w:rPr>
        <w:t>amilies</w:t>
      </w:r>
      <w:r w:rsidRPr="0014041B">
        <w:rPr>
          <w:rFonts w:ascii="Arial" w:hAnsi="Arial" w:cs="Arial"/>
          <w:sz w:val="24"/>
          <w:szCs w:val="24"/>
        </w:rPr>
        <w:t>. Progr</w:t>
      </w:r>
      <w:r w:rsidR="003D3E92">
        <w:rPr>
          <w:rFonts w:ascii="Arial" w:hAnsi="Arial" w:cs="Arial"/>
          <w:sz w:val="24"/>
          <w:szCs w:val="24"/>
        </w:rPr>
        <w:t>ammes like Flying Start showcase</w:t>
      </w:r>
      <w:r w:rsidRPr="0014041B">
        <w:rPr>
          <w:rFonts w:ascii="Arial" w:hAnsi="Arial" w:cs="Arial"/>
          <w:sz w:val="24"/>
          <w:szCs w:val="24"/>
        </w:rPr>
        <w:t xml:space="preserve"> how integrated services can achieve positive outcomes, particularly in deprived communities. For multi-agency working to fully realise its potential in safegu</w:t>
      </w:r>
      <w:r w:rsidR="003D3E92">
        <w:rPr>
          <w:rFonts w:ascii="Arial" w:hAnsi="Arial" w:cs="Arial"/>
          <w:sz w:val="24"/>
          <w:szCs w:val="24"/>
        </w:rPr>
        <w:t>arding children</w:t>
      </w:r>
      <w:r w:rsidRPr="0014041B">
        <w:rPr>
          <w:rFonts w:ascii="Arial" w:hAnsi="Arial" w:cs="Arial"/>
          <w:sz w:val="24"/>
          <w:szCs w:val="24"/>
        </w:rPr>
        <w:t>, systemic improvements in training, resource allocation, and inter-agency collaboration are essential. Ultimately, while challenges remain, the Welsh multi-agency model continues to represent a child-centred, rights-based approach that upholds the welfa</w:t>
      </w:r>
      <w:r w:rsidR="003D3E92">
        <w:rPr>
          <w:rFonts w:ascii="Arial" w:hAnsi="Arial" w:cs="Arial"/>
          <w:sz w:val="24"/>
          <w:szCs w:val="24"/>
        </w:rPr>
        <w:t xml:space="preserve">re of children </w:t>
      </w:r>
      <w:r w:rsidRPr="0014041B">
        <w:rPr>
          <w:rFonts w:ascii="Arial" w:hAnsi="Arial" w:cs="Arial"/>
          <w:sz w:val="24"/>
          <w:szCs w:val="24"/>
        </w:rPr>
        <w:t>at both policy and practice levels.</w:t>
      </w:r>
    </w:p>
    <w:p w14:paraId="2D425D1D" w14:textId="56D1650E" w:rsidR="0014041B" w:rsidRDefault="0014041B" w:rsidP="00752690">
      <w:pPr>
        <w:spacing w:line="360" w:lineRule="auto"/>
        <w:rPr>
          <w:rFonts w:ascii="Arial" w:hAnsi="Arial" w:cs="Arial"/>
          <w:sz w:val="24"/>
          <w:szCs w:val="24"/>
        </w:rPr>
      </w:pPr>
    </w:p>
    <w:p w14:paraId="3A1EB1F0" w14:textId="5B969060" w:rsidR="00624E64" w:rsidRDefault="00624E64" w:rsidP="00752690">
      <w:pPr>
        <w:spacing w:line="360" w:lineRule="auto"/>
        <w:rPr>
          <w:rFonts w:ascii="Arial" w:hAnsi="Arial" w:cs="Arial"/>
          <w:sz w:val="24"/>
          <w:szCs w:val="24"/>
        </w:rPr>
      </w:pPr>
    </w:p>
    <w:p w14:paraId="3A2DACC9" w14:textId="1EFE7DB0" w:rsidR="00624E64" w:rsidRDefault="00624E64" w:rsidP="00752690">
      <w:pPr>
        <w:spacing w:line="360" w:lineRule="auto"/>
        <w:rPr>
          <w:rFonts w:ascii="Arial" w:hAnsi="Arial" w:cs="Arial"/>
          <w:sz w:val="24"/>
          <w:szCs w:val="24"/>
        </w:rPr>
      </w:pPr>
    </w:p>
    <w:p w14:paraId="242892E5" w14:textId="03EEF38D" w:rsidR="00624E64" w:rsidRDefault="00624E64" w:rsidP="00752690">
      <w:pPr>
        <w:spacing w:line="360" w:lineRule="auto"/>
        <w:rPr>
          <w:rFonts w:ascii="Arial" w:hAnsi="Arial" w:cs="Arial"/>
          <w:sz w:val="24"/>
          <w:szCs w:val="24"/>
        </w:rPr>
      </w:pPr>
    </w:p>
    <w:p w14:paraId="01022418" w14:textId="5ADAD898" w:rsidR="00624E64" w:rsidRDefault="00624E64" w:rsidP="00752690">
      <w:pPr>
        <w:spacing w:line="360" w:lineRule="auto"/>
        <w:rPr>
          <w:rFonts w:ascii="Arial" w:hAnsi="Arial" w:cs="Arial"/>
          <w:sz w:val="24"/>
          <w:szCs w:val="24"/>
        </w:rPr>
      </w:pPr>
    </w:p>
    <w:p w14:paraId="18B41397" w14:textId="59E0E8A5" w:rsidR="00624E64" w:rsidRDefault="00624E64" w:rsidP="00752690">
      <w:pPr>
        <w:spacing w:line="360" w:lineRule="auto"/>
        <w:rPr>
          <w:rFonts w:ascii="Arial" w:hAnsi="Arial" w:cs="Arial"/>
          <w:sz w:val="24"/>
          <w:szCs w:val="24"/>
        </w:rPr>
      </w:pPr>
    </w:p>
    <w:p w14:paraId="2449E1ED" w14:textId="330E2918" w:rsidR="00624E64" w:rsidRDefault="00624E64" w:rsidP="00752690">
      <w:pPr>
        <w:spacing w:line="360" w:lineRule="auto"/>
        <w:rPr>
          <w:rFonts w:ascii="Arial" w:hAnsi="Arial" w:cs="Arial"/>
          <w:sz w:val="24"/>
          <w:szCs w:val="24"/>
        </w:rPr>
      </w:pPr>
    </w:p>
    <w:p w14:paraId="414B5277" w14:textId="25783769" w:rsidR="00624E64" w:rsidRDefault="00624E64" w:rsidP="00752690">
      <w:pPr>
        <w:spacing w:line="360" w:lineRule="auto"/>
        <w:rPr>
          <w:rFonts w:ascii="Arial" w:hAnsi="Arial" w:cs="Arial"/>
          <w:sz w:val="24"/>
          <w:szCs w:val="24"/>
        </w:rPr>
      </w:pPr>
    </w:p>
    <w:p w14:paraId="0FF27856" w14:textId="767F503A" w:rsidR="00624E64" w:rsidRDefault="00624E64" w:rsidP="00752690">
      <w:pPr>
        <w:spacing w:line="360" w:lineRule="auto"/>
        <w:rPr>
          <w:rFonts w:ascii="Arial" w:hAnsi="Arial" w:cs="Arial"/>
          <w:sz w:val="24"/>
          <w:szCs w:val="24"/>
        </w:rPr>
      </w:pPr>
    </w:p>
    <w:p w14:paraId="04DD435A" w14:textId="77777777" w:rsidR="00624E64" w:rsidRDefault="00624E64" w:rsidP="00624E64">
      <w:pPr>
        <w:pStyle w:val="Heading1"/>
        <w:spacing w:before="0" w:beforeAutospacing="0" w:after="240" w:afterAutospacing="0" w:line="360" w:lineRule="auto"/>
        <w:rPr>
          <w:sz w:val="36"/>
          <w:szCs w:val="36"/>
        </w:rPr>
      </w:pPr>
      <w:r>
        <w:rPr>
          <w:sz w:val="36"/>
          <w:szCs w:val="36"/>
        </w:rPr>
        <w:t>Reference list</w:t>
      </w:r>
    </w:p>
    <w:p w14:paraId="376D7A5C" w14:textId="77777777" w:rsidR="00624E64" w:rsidRDefault="00624E64" w:rsidP="00624E64">
      <w:pPr>
        <w:pStyle w:val="NormalWeb"/>
        <w:spacing w:before="0" w:beforeAutospacing="0" w:after="240" w:afterAutospacing="0" w:line="360" w:lineRule="auto"/>
      </w:pPr>
      <w:r>
        <w:t xml:space="preserve">Adran, Y. and Oes, G. (2009). </w:t>
      </w:r>
      <w:r>
        <w:rPr>
          <w:i/>
          <w:iCs/>
        </w:rPr>
        <w:t>Flying Start and Cymorth: An Interim Evaluation Report</w:t>
      </w:r>
      <w:r>
        <w:t>. [online] Available at: https://dera.ioe.ac.uk/id/eprint/530/7/091113flyingstartevaluationen_Redacted.pdf [Accessed 24 Apr. 2025].</w:t>
      </w:r>
    </w:p>
    <w:p w14:paraId="7DFBEAC4" w14:textId="77777777" w:rsidR="00624E64" w:rsidRDefault="00624E64" w:rsidP="00624E64">
      <w:pPr>
        <w:pStyle w:val="NormalWeb"/>
        <w:spacing w:before="0" w:beforeAutospacing="0" w:after="240" w:afterAutospacing="0" w:line="360" w:lineRule="auto"/>
      </w:pPr>
      <w:r>
        <w:t xml:space="preserve">Anderson, H., Randle, A., Billiald, S. and Kippin, H. (2016). </w:t>
      </w:r>
      <w:r>
        <w:rPr>
          <w:i/>
          <w:iCs/>
        </w:rPr>
        <w:t>Moving from the margins: The challenges of building integrated local services BY TURNING POINT AND COLLABORATE CIC</w:t>
      </w:r>
      <w:r>
        <w:t>. [online] Available at: https://amhp.org.uk/wp-content/uploads/2017/08/turning__point__collaborate_-_moving_from_the_margins.pdf [Accessed 25 Apr. 2025].</w:t>
      </w:r>
    </w:p>
    <w:p w14:paraId="446A6F1E" w14:textId="77777777" w:rsidR="00624E64" w:rsidRDefault="00624E64" w:rsidP="00624E64">
      <w:pPr>
        <w:pStyle w:val="NormalWeb"/>
        <w:spacing w:before="0" w:beforeAutospacing="0" w:after="240" w:afterAutospacing="0" w:line="360" w:lineRule="auto"/>
      </w:pPr>
      <w:r>
        <w:t xml:space="preserve">Bichard, M. (2004). </w:t>
      </w:r>
      <w:r>
        <w:rPr>
          <w:i/>
          <w:iCs/>
        </w:rPr>
        <w:t xml:space="preserve">The Bichard Inquiry </w:t>
      </w:r>
      <w:r>
        <w:t>. London: The Stationary Office.</w:t>
      </w:r>
    </w:p>
    <w:p w14:paraId="4235ACF0" w14:textId="77777777" w:rsidR="00624E64" w:rsidRDefault="00624E64" w:rsidP="00624E64">
      <w:pPr>
        <w:pStyle w:val="NormalWeb"/>
        <w:spacing w:before="0" w:beforeAutospacing="0" w:after="240" w:afterAutospacing="0" w:line="360" w:lineRule="auto"/>
      </w:pPr>
      <w:r>
        <w:t xml:space="preserve">Bilson, A. (2022). </w:t>
      </w:r>
      <w:r>
        <w:rPr>
          <w:i/>
          <w:iCs/>
        </w:rPr>
        <w:t>‘Why the evidence does not support multi-agency child protection units’</w:t>
      </w:r>
      <w:r>
        <w:t>. [online] Community Care. Available at: https://www.communitycare.co.uk/2022/06/10/why-the-evidence-does-not-support-multi-agency-child-protection-units/ [Accessed 24 Apr. 2025].</w:t>
      </w:r>
    </w:p>
    <w:p w14:paraId="20384144" w14:textId="77777777" w:rsidR="00624E64" w:rsidRDefault="00624E64" w:rsidP="00624E64">
      <w:pPr>
        <w:pStyle w:val="NormalWeb"/>
        <w:spacing w:before="0" w:beforeAutospacing="0" w:after="240" w:afterAutospacing="0" w:line="360" w:lineRule="auto"/>
      </w:pPr>
      <w:r>
        <w:t xml:space="preserve">Brandon, M., Sidebotham, P., Belderson, P., Cleaver, H., Dickens, J., Garstang, J., Harris, J., Sorensen, P. and Wate, R. (2020). </w:t>
      </w:r>
      <w:r>
        <w:rPr>
          <w:i/>
          <w:iCs/>
        </w:rPr>
        <w:t>Complexity and challenge: a triennial analysis of SCRs</w:t>
      </w:r>
      <w:r>
        <w:t>. [online] Available at: https://assets.publishing.service.gov.uk/media/5e5ce103e90e07110f9f6cab/TRIENNIAL_SCR_REPORT_2014_to_2017.pdf.</w:t>
      </w:r>
    </w:p>
    <w:p w14:paraId="292C8B85" w14:textId="77777777" w:rsidR="00624E64" w:rsidRDefault="00624E64" w:rsidP="00624E64">
      <w:pPr>
        <w:pStyle w:val="NormalWeb"/>
        <w:spacing w:before="0" w:beforeAutospacing="0" w:after="240" w:afterAutospacing="0" w:line="360" w:lineRule="auto"/>
      </w:pPr>
      <w:r>
        <w:t xml:space="preserve">Bronfenbrenner, U. (1979). </w:t>
      </w:r>
      <w:r>
        <w:rPr>
          <w:i/>
          <w:iCs/>
        </w:rPr>
        <w:t>The ecology of human development: experiments by nature and design</w:t>
      </w:r>
      <w:r>
        <w:t>. Cambridge: Harvard University Press.</w:t>
      </w:r>
    </w:p>
    <w:p w14:paraId="2CF1418A" w14:textId="77777777" w:rsidR="00624E64" w:rsidRDefault="00624E64" w:rsidP="00624E64">
      <w:pPr>
        <w:pStyle w:val="NormalWeb"/>
        <w:spacing w:before="0" w:beforeAutospacing="0" w:after="240" w:afterAutospacing="0" w:line="360" w:lineRule="auto"/>
      </w:pPr>
      <w:r>
        <w:t xml:space="preserve">Carneiro, P., Cattan, S. and Ridpath, N. (2024). </w:t>
      </w:r>
      <w:r>
        <w:rPr>
          <w:i/>
          <w:iCs/>
        </w:rPr>
        <w:t>The short- and medium-term impacts of Sure Start on educational outcomes</w:t>
      </w:r>
      <w:r>
        <w:t>. [online] Institute for Fiscal Studies. Available at: https://ifs.org.uk/publications/short-and-medium-term-impacts-sure-start-educational-outcomes [Accessed 24 Apr. 2025].</w:t>
      </w:r>
    </w:p>
    <w:p w14:paraId="3E6C04E7" w14:textId="77777777" w:rsidR="00624E64" w:rsidRDefault="00624E64" w:rsidP="00624E64">
      <w:pPr>
        <w:pStyle w:val="NormalWeb"/>
        <w:spacing w:before="0" w:beforeAutospacing="0" w:after="240" w:afterAutospacing="0" w:line="360" w:lineRule="auto"/>
      </w:pPr>
      <w:r>
        <w:t xml:space="preserve">Cheminais, R. (2008). </w:t>
      </w:r>
      <w:r>
        <w:rPr>
          <w:i/>
          <w:iCs/>
        </w:rPr>
        <w:t>The Benefits and Challenges of Collaborative Multi-Agency Working</w:t>
      </w:r>
      <w:r>
        <w:t>. [online] Available at: https://uk.sagepub.com/sites/default/files/upm-binaries/25241_02_Cheminais_Ch_02.pdf.</w:t>
      </w:r>
    </w:p>
    <w:p w14:paraId="5104ED7B" w14:textId="77777777" w:rsidR="00624E64" w:rsidRDefault="00624E64" w:rsidP="00624E64">
      <w:pPr>
        <w:pStyle w:val="NormalWeb"/>
        <w:spacing w:before="0" w:beforeAutospacing="0" w:after="240" w:afterAutospacing="0" w:line="360" w:lineRule="auto"/>
      </w:pPr>
      <w:r>
        <w:t xml:space="preserve">Cheminais, R. (2009). The Origin, Concept and Principles of Multi-Agency Partnership Working. </w:t>
      </w:r>
      <w:r>
        <w:rPr>
          <w:i/>
          <w:iCs/>
        </w:rPr>
        <w:t>Effective Multi-Agency Partnerships: Putting Every Child Matters into Practice</w:t>
      </w:r>
      <w:r>
        <w:t>, pp.1–22. doi:https://doi.org/10.4135/9781446288269.n1.</w:t>
      </w:r>
    </w:p>
    <w:p w14:paraId="4517602D" w14:textId="77777777" w:rsidR="00624E64" w:rsidRDefault="00624E64" w:rsidP="00624E64">
      <w:pPr>
        <w:pStyle w:val="NormalWeb"/>
        <w:spacing w:before="0" w:beforeAutospacing="0" w:after="240" w:afterAutospacing="0" w:line="360" w:lineRule="auto"/>
      </w:pPr>
      <w:r>
        <w:t xml:space="preserve">Child Safeguarding Practice Review Panel (2022). </w:t>
      </w:r>
      <w:r>
        <w:rPr>
          <w:i/>
          <w:iCs/>
        </w:rPr>
        <w:t>National review into the murders of Arthur Labinjo-Hughes and Star Hobson</w:t>
      </w:r>
      <w:r>
        <w:t>. [online] GOV.UK. Available at: https://www.gov.uk/government/publications/national-review-into-the-murders-of-arthur-labinjo-hughes-and-star-hobson [Accessed 24 Apr. 2025].</w:t>
      </w:r>
    </w:p>
    <w:p w14:paraId="2CD165AE" w14:textId="77777777" w:rsidR="00624E64" w:rsidRDefault="00624E64" w:rsidP="00624E64">
      <w:pPr>
        <w:pStyle w:val="NormalWeb"/>
        <w:spacing w:before="0" w:beforeAutospacing="0" w:after="240" w:afterAutospacing="0" w:line="360" w:lineRule="auto"/>
      </w:pPr>
      <w:r>
        <w:t xml:space="preserve">Children Act (2004). </w:t>
      </w:r>
      <w:r>
        <w:rPr>
          <w:i/>
          <w:iCs/>
        </w:rPr>
        <w:t>Children Act 2004</w:t>
      </w:r>
      <w:r>
        <w:t>. [online] Legislation.gov.uk. Available at: https://www.legislation.gov.uk/ukpga/2004/31/contents [Accessed 19 Apr. 2025].</w:t>
      </w:r>
    </w:p>
    <w:p w14:paraId="78369B0D" w14:textId="77777777" w:rsidR="00624E64" w:rsidRDefault="00624E64" w:rsidP="00624E64">
      <w:pPr>
        <w:pStyle w:val="NormalWeb"/>
        <w:spacing w:before="0" w:beforeAutospacing="0" w:after="240" w:afterAutospacing="0" w:line="360" w:lineRule="auto"/>
      </w:pPr>
      <w:r>
        <w:t xml:space="preserve">Department for Education (2003). </w:t>
      </w:r>
      <w:r>
        <w:rPr>
          <w:i/>
          <w:iCs/>
        </w:rPr>
        <w:t>Every Child Matters</w:t>
      </w:r>
      <w:r>
        <w:t xml:space="preserve">. [online] </w:t>
      </w:r>
      <w:r>
        <w:rPr>
          <w:i/>
          <w:iCs/>
        </w:rPr>
        <w:t>GOV.UK</w:t>
      </w:r>
      <w:r>
        <w:t>. Available at: https://assets.publishing.service.gov.uk/media/5a7c95a4e5274a0bb7cb806d/5860.pdf.</w:t>
      </w:r>
    </w:p>
    <w:p w14:paraId="61E72F91" w14:textId="77777777" w:rsidR="00624E64" w:rsidRDefault="00624E64" w:rsidP="00624E64">
      <w:pPr>
        <w:pStyle w:val="NormalWeb"/>
        <w:spacing w:before="0" w:beforeAutospacing="0" w:after="240" w:afterAutospacing="0" w:line="360" w:lineRule="auto"/>
      </w:pPr>
      <w:r>
        <w:t xml:space="preserve">Department for Education (2010). </w:t>
      </w:r>
      <w:r>
        <w:rPr>
          <w:i/>
          <w:iCs/>
        </w:rPr>
        <w:t>Peter Connelly Serious Case Review reports published</w:t>
      </w:r>
      <w:r>
        <w:t>. [online] GOV.UK. Available at: https://www.gov.uk/government/news/peter-connelly-serious-case-review-reports-published [Accessed 18 Apr. 2025].</w:t>
      </w:r>
    </w:p>
    <w:p w14:paraId="7D18B29A" w14:textId="77777777" w:rsidR="00624E64" w:rsidRDefault="00624E64" w:rsidP="00624E64">
      <w:pPr>
        <w:pStyle w:val="NormalWeb"/>
        <w:spacing w:before="0" w:beforeAutospacing="0" w:after="240" w:afterAutospacing="0" w:line="360" w:lineRule="auto"/>
      </w:pPr>
      <w:r>
        <w:t xml:space="preserve">Department for Education (2021). </w:t>
      </w:r>
      <w:r>
        <w:rPr>
          <w:i/>
          <w:iCs/>
        </w:rPr>
        <w:t>Multi-agency reform: Key behavioural drivers and barriers</w:t>
      </w:r>
      <w:r>
        <w:t>.</w:t>
      </w:r>
    </w:p>
    <w:p w14:paraId="3788B17C" w14:textId="77777777" w:rsidR="00624E64" w:rsidRDefault="00624E64" w:rsidP="00624E64">
      <w:pPr>
        <w:pStyle w:val="NormalWeb"/>
        <w:spacing w:before="0" w:beforeAutospacing="0" w:after="240" w:afterAutospacing="0" w:line="360" w:lineRule="auto"/>
      </w:pPr>
      <w:r>
        <w:t xml:space="preserve">Department for Education (2023). </w:t>
      </w:r>
      <w:r>
        <w:rPr>
          <w:i/>
          <w:iCs/>
        </w:rPr>
        <w:t>Improving multi-agency information sharing</w:t>
      </w:r>
      <w:r>
        <w:t>. [online] GOV.UK. Available at: https://www.gov.uk/government/publications/improving-multi-agency-information-sharing [Accessed 23 Apr. 2025].</w:t>
      </w:r>
    </w:p>
    <w:p w14:paraId="120DBF7C" w14:textId="77777777" w:rsidR="00624E64" w:rsidRDefault="00624E64" w:rsidP="00624E64">
      <w:pPr>
        <w:pStyle w:val="NormalWeb"/>
        <w:spacing w:before="0" w:beforeAutospacing="0" w:after="240" w:afterAutospacing="0" w:line="360" w:lineRule="auto"/>
      </w:pPr>
      <w:r>
        <w:t xml:space="preserve">Education Act (2002). </w:t>
      </w:r>
      <w:r>
        <w:rPr>
          <w:i/>
          <w:iCs/>
        </w:rPr>
        <w:t>Education Act 2002</w:t>
      </w:r>
      <w:r>
        <w:t>. [online] Legislation.gov.uk. Available at: https://www.legislation.gov.uk/ukpga/2002/32/contents [Accessed 19 Apr. 2025].</w:t>
      </w:r>
    </w:p>
    <w:p w14:paraId="3477BEEE" w14:textId="77777777" w:rsidR="00624E64" w:rsidRDefault="00624E64" w:rsidP="00624E64">
      <w:pPr>
        <w:pStyle w:val="NormalWeb"/>
        <w:spacing w:before="0" w:beforeAutospacing="0" w:after="240" w:afterAutospacing="0" w:line="360" w:lineRule="auto"/>
      </w:pPr>
      <w:r>
        <w:t xml:space="preserve">Firmin, C. (2020). </w:t>
      </w:r>
      <w:r>
        <w:rPr>
          <w:i/>
          <w:iCs/>
        </w:rPr>
        <w:t>Contextual Safeguarding and Child Protection</w:t>
      </w:r>
      <w:r>
        <w:t>. Taylor &amp; Francis.</w:t>
      </w:r>
    </w:p>
    <w:p w14:paraId="70E483DA" w14:textId="77777777" w:rsidR="00624E64" w:rsidRDefault="00624E64" w:rsidP="00624E64">
      <w:pPr>
        <w:pStyle w:val="NormalWeb"/>
        <w:spacing w:before="0" w:beforeAutospacing="0" w:after="240" w:afterAutospacing="0" w:line="360" w:lineRule="auto"/>
      </w:pPr>
      <w:r>
        <w:rPr>
          <w:rStyle w:val="Emphasis"/>
        </w:rPr>
        <w:t>Hansard</w:t>
      </w:r>
      <w:r>
        <w:t xml:space="preserve"> HL Deb vol. 502 col. 488, 12 January 1989. [Online]. [Accessed 19 April 2025]. Available from: https://hansard.parliament.uk/lords/1988-12-06/debates/dca204f0-c7e8-4cd1-a1ce-039370d29ad3/ChildrenBillHl </w:t>
      </w:r>
    </w:p>
    <w:p w14:paraId="09A348C5" w14:textId="77777777" w:rsidR="00624E64" w:rsidRDefault="00624E64" w:rsidP="00624E64">
      <w:pPr>
        <w:pStyle w:val="NormalWeb"/>
        <w:spacing w:before="0" w:beforeAutospacing="0" w:after="240" w:afterAutospacing="0" w:line="360" w:lineRule="auto"/>
      </w:pPr>
      <w:r>
        <w:t xml:space="preserve">Henderson, J., Hawke, L.D., Iyer, S.N., Hayes, E., Karleigh Darnay, Mathias, S. and Lehana Thabane (2021). Youth Perspectives on Integrated Youth Services: A Discrete Choice Conjoint Experiment. </w:t>
      </w:r>
      <w:r>
        <w:rPr>
          <w:i/>
          <w:iCs/>
        </w:rPr>
        <w:t>Youth Perspectives on Integrated Youth Services: A Discrete Choice Conjoint Experiment</w:t>
      </w:r>
      <w:r>
        <w:t>, 67(7), pp.524–533. doi:https://doi.org/10.1177/07067437211044717.</w:t>
      </w:r>
    </w:p>
    <w:p w14:paraId="582B69BC" w14:textId="77777777" w:rsidR="00624E64" w:rsidRDefault="00624E64" w:rsidP="00624E64">
      <w:pPr>
        <w:pStyle w:val="NormalWeb"/>
        <w:spacing w:before="0" w:beforeAutospacing="0" w:after="240" w:afterAutospacing="0" w:line="360" w:lineRule="auto"/>
      </w:pPr>
      <w:r>
        <w:t xml:space="preserve">HM Government (2010). </w:t>
      </w:r>
      <w:r>
        <w:rPr>
          <w:i/>
          <w:iCs/>
        </w:rPr>
        <w:t>Working Together to Safeguard Children</w:t>
      </w:r>
      <w:r>
        <w:t xml:space="preserve">. </w:t>
      </w:r>
      <w:r>
        <w:rPr>
          <w:i/>
          <w:iCs/>
        </w:rPr>
        <w:t>https://webarchive.nationalarchives.gov.uk/ukgwa/20100709213610/http://www.eastamb.nhs.uk/safeguarding/reference-documents/Working-Together-2010-2.pdf</w:t>
      </w:r>
      <w:r>
        <w:t>.</w:t>
      </w:r>
    </w:p>
    <w:p w14:paraId="148425AB" w14:textId="77777777" w:rsidR="00624E64" w:rsidRDefault="00624E64" w:rsidP="00624E64">
      <w:pPr>
        <w:pStyle w:val="NormalWeb"/>
        <w:spacing w:before="0" w:beforeAutospacing="0" w:after="240" w:afterAutospacing="0" w:line="360" w:lineRule="auto"/>
      </w:pPr>
      <w:r>
        <w:t xml:space="preserve">HM Government (2021). </w:t>
      </w:r>
      <w:r>
        <w:rPr>
          <w:i/>
          <w:iCs/>
        </w:rPr>
        <w:t>Children in need, Reporting year 2021</w:t>
      </w:r>
      <w:r>
        <w:t>. [online] Service.gov.uk. Available at: https://explore-education-statistics.service.gov.uk/find-statistics/children-in-need/2021#dataBlock-64194056-dcd0-436e-5b03-08d98e357d76-tables [Accessed 24 Apr. 2025].</w:t>
      </w:r>
    </w:p>
    <w:p w14:paraId="2CA5D8D4" w14:textId="77777777" w:rsidR="00624E64" w:rsidRDefault="00624E64" w:rsidP="00624E64">
      <w:pPr>
        <w:pStyle w:val="NormalWeb"/>
        <w:spacing w:before="0" w:beforeAutospacing="0" w:after="240" w:afterAutospacing="0" w:line="360" w:lineRule="auto"/>
      </w:pPr>
      <w:r>
        <w:t xml:space="preserve">Laming, L. (2003). </w:t>
      </w:r>
      <w:r>
        <w:rPr>
          <w:i/>
          <w:iCs/>
        </w:rPr>
        <w:t>The Inquiry Victoria Climbié</w:t>
      </w:r>
      <w:r>
        <w:t xml:space="preserve">. [online] </w:t>
      </w:r>
      <w:r>
        <w:rPr>
          <w:i/>
          <w:iCs/>
        </w:rPr>
        <w:t>Gov.uk</w:t>
      </w:r>
      <w:r>
        <w:t>. Available at: https://assets.publishing.service.gov.uk/media/5a7c5edeed915d696ccfc51b/5730.pdf [Accessed 18 Apr. 2025].</w:t>
      </w:r>
    </w:p>
    <w:p w14:paraId="717C1055" w14:textId="77777777" w:rsidR="00624E64" w:rsidRDefault="00624E64" w:rsidP="00624E64">
      <w:pPr>
        <w:pStyle w:val="NormalWeb"/>
        <w:spacing w:before="0" w:beforeAutospacing="0" w:after="240" w:afterAutospacing="0" w:line="360" w:lineRule="auto"/>
      </w:pPr>
      <w:r>
        <w:t xml:space="preserve">Murphy, C. (2023). How learning from the lived experiences of child protection social workers, can help us understand the factors underpinning workforce instability within the English child protection system. </w:t>
      </w:r>
      <w:r>
        <w:rPr>
          <w:i/>
          <w:iCs/>
        </w:rPr>
        <w:t>Journal of Social Work Practice</w:t>
      </w:r>
      <w:r>
        <w:t>, 37(2), pp.1–14. doi:https://doi.org/10.1080/02650533.2023.2185213.</w:t>
      </w:r>
    </w:p>
    <w:p w14:paraId="3F8B8C7B" w14:textId="77777777" w:rsidR="00624E64" w:rsidRDefault="00624E64" w:rsidP="00624E64">
      <w:pPr>
        <w:pStyle w:val="NormalWeb"/>
        <w:spacing w:before="0" w:beforeAutospacing="0" w:after="240" w:afterAutospacing="0" w:line="360" w:lineRule="auto"/>
      </w:pPr>
      <w:r>
        <w:t xml:space="preserve">Ofsted (2008). </w:t>
      </w:r>
      <w:r>
        <w:rPr>
          <w:i/>
          <w:iCs/>
        </w:rPr>
        <w:t>The impact of integrated services on children and their families in Sure Start children’s centres</w:t>
      </w:r>
      <w:r>
        <w:t>. [online] Available at: https://lx.iriss.org.uk/sites/default/files/resources/The%20impact%20of%20integrated%20services.pdf.</w:t>
      </w:r>
    </w:p>
    <w:p w14:paraId="67993168" w14:textId="77777777" w:rsidR="00624E64" w:rsidRDefault="00624E64" w:rsidP="00624E64">
      <w:pPr>
        <w:pStyle w:val="NormalWeb"/>
        <w:spacing w:before="0" w:beforeAutospacing="0" w:after="240" w:afterAutospacing="0" w:line="360" w:lineRule="auto"/>
      </w:pPr>
      <w:r>
        <w:t xml:space="preserve">Randhawa, A., Wood, G., Michail, M., Pallan, M., Patterson, P. and Goodyear, V. (2024). Safeguarding in adolescent mental health research: navigating dilemmas and developing procedures. </w:t>
      </w:r>
      <w:r>
        <w:rPr>
          <w:i/>
          <w:iCs/>
        </w:rPr>
        <w:t>BMJ open</w:t>
      </w:r>
      <w:r>
        <w:t>, [online] 14(2), pp.e076700–e076700. doi:https://doi.org/10.1136/bmjopen-2023-076700.</w:t>
      </w:r>
    </w:p>
    <w:p w14:paraId="7B09641B" w14:textId="77777777" w:rsidR="00624E64" w:rsidRDefault="00624E64" w:rsidP="00624E64">
      <w:pPr>
        <w:pStyle w:val="NormalWeb"/>
        <w:spacing w:before="0" w:beforeAutospacing="0" w:after="240" w:afterAutospacing="0" w:line="360" w:lineRule="auto"/>
      </w:pPr>
      <w:r>
        <w:t xml:space="preserve">Save the Children (n.d.). </w:t>
      </w:r>
      <w:r>
        <w:rPr>
          <w:i/>
          <w:iCs/>
        </w:rPr>
        <w:t>About children’s rights | Children’s Act 2004</w:t>
      </w:r>
      <w:r>
        <w:t>. [online] childrensrightswales.org.uk. Available at: https://childrensrightswales.org.uk/childrens-act-2004.aspx [Accessed 19 Apr. 2025].</w:t>
      </w:r>
    </w:p>
    <w:p w14:paraId="32524D48" w14:textId="77777777" w:rsidR="00624E64" w:rsidRDefault="00624E64" w:rsidP="00624E64">
      <w:pPr>
        <w:pStyle w:val="NormalWeb"/>
        <w:spacing w:before="0" w:beforeAutospacing="0" w:after="240" w:afterAutospacing="0" w:line="360" w:lineRule="auto"/>
      </w:pPr>
      <w:r>
        <w:t xml:space="preserve">Shropshire County Council (n.d.). </w:t>
      </w:r>
      <w:r>
        <w:rPr>
          <w:i/>
          <w:iCs/>
        </w:rPr>
        <w:t>SSCP Training Handout -Raising Awareness in Safeguarding Children</w:t>
      </w:r>
      <w:r>
        <w:t>. [online] Available at: https://www.shropshire.gov.uk/media/20229/evolution-of-safeguarding-children.pdf [Accessed 16 Apr. 2025].</w:t>
      </w:r>
    </w:p>
    <w:p w14:paraId="1A6B852C" w14:textId="77777777" w:rsidR="00624E64" w:rsidRDefault="00624E64" w:rsidP="00624E64">
      <w:pPr>
        <w:pStyle w:val="NormalWeb"/>
        <w:spacing w:before="0" w:beforeAutospacing="0" w:after="240" w:afterAutospacing="0" w:line="360" w:lineRule="auto"/>
      </w:pPr>
      <w:r>
        <w:t xml:space="preserve">Sidebotham, P., Brandon, M., Bailey, S., Belderson, P., Dodsworth, J., Garstang, J., Harrison, E., Retzer, A. and Sorensen, P. (2016). </w:t>
      </w:r>
      <w:r>
        <w:rPr>
          <w:i/>
          <w:iCs/>
        </w:rPr>
        <w:t>Pathways to harm, Pathways to protection: a Triennial Analysis of Serious Case Reviews 2011 to 2014 Final Report</w:t>
      </w:r>
      <w:r>
        <w:t>. [online] Available at: https://assets.publishing.service.gov.uk/media/5a803010e5274a2e8ab4eb1f/Triennial_Analysis_of_SCRs_2011-2014_-__Pathways_to_harm_and_protection.pdf.</w:t>
      </w:r>
    </w:p>
    <w:p w14:paraId="29E09D70" w14:textId="77777777" w:rsidR="00624E64" w:rsidRDefault="00624E64" w:rsidP="00624E64">
      <w:pPr>
        <w:pStyle w:val="NormalWeb"/>
        <w:spacing w:before="0" w:beforeAutospacing="0" w:after="240" w:afterAutospacing="0" w:line="360" w:lineRule="auto"/>
      </w:pPr>
      <w:r>
        <w:t xml:space="preserve">Social Care Institute for Excellence (2024). </w:t>
      </w:r>
      <w:r>
        <w:rPr>
          <w:i/>
          <w:iCs/>
        </w:rPr>
        <w:t>What Are the Six Principles of safeguarding?</w:t>
      </w:r>
      <w:r>
        <w:t xml:space="preserve"> [online] SCIE. Available at: https://www.scie.org.uk/safeguarding/adults/introduction/six-principles/ [Accessed 25 Apr. 2025].</w:t>
      </w:r>
    </w:p>
    <w:p w14:paraId="29048ADC" w14:textId="77777777" w:rsidR="00624E64" w:rsidRDefault="00624E64" w:rsidP="00624E64">
      <w:pPr>
        <w:pStyle w:val="NormalWeb"/>
        <w:spacing w:before="0" w:beforeAutospacing="0" w:after="240" w:afterAutospacing="0" w:line="360" w:lineRule="auto"/>
      </w:pPr>
      <w:r>
        <w:t xml:space="preserve">Turner, A. (2022). </w:t>
      </w:r>
      <w:r>
        <w:rPr>
          <w:i/>
          <w:iCs/>
        </w:rPr>
        <w:t>Social workers call for fewer cases to improve child protection</w:t>
      </w:r>
      <w:r>
        <w:t>. [online] Community Care. Available at: https://www.communitycare.co.uk/2022/06/21/lower-caseloads-not-expert-units-or-staff-best-way-to-improve-safeguarding-say-social-workers/ [Accessed 24 Apr. 2025].</w:t>
      </w:r>
    </w:p>
    <w:p w14:paraId="2E4FE41A" w14:textId="77777777" w:rsidR="00624E64" w:rsidRDefault="00624E64" w:rsidP="00624E64">
      <w:pPr>
        <w:pStyle w:val="NormalWeb"/>
        <w:spacing w:before="0" w:beforeAutospacing="0" w:after="240" w:afterAutospacing="0" w:line="360" w:lineRule="auto"/>
      </w:pPr>
      <w:r>
        <w:t xml:space="preserve">UK Parliament (2024). </w:t>
      </w:r>
      <w:r>
        <w:rPr>
          <w:i/>
          <w:iCs/>
        </w:rPr>
        <w:t>Children Bill Hl - Hansard - UK Parliament</w:t>
      </w:r>
      <w:r>
        <w:t>. [online] Parliament.uk. Available at: https://hansard.parliament.uk/lords/1988-12-06/debates/dca204f0-c7e8-4cd1-a1ce-039370d29ad3/ChildrenBillHl [Accessed 19 Apr. 2025].</w:t>
      </w:r>
    </w:p>
    <w:p w14:paraId="49EE8C8A" w14:textId="77777777" w:rsidR="00624E64" w:rsidRDefault="00624E64" w:rsidP="00624E64">
      <w:pPr>
        <w:pStyle w:val="NormalWeb"/>
        <w:spacing w:before="0" w:beforeAutospacing="0" w:after="240" w:afterAutospacing="0" w:line="360" w:lineRule="auto"/>
      </w:pPr>
      <w:r>
        <w:t xml:space="preserve">United Nations (1989). </w:t>
      </w:r>
      <w:r>
        <w:rPr>
          <w:i/>
          <w:iCs/>
        </w:rPr>
        <w:t>Convention on the Rights of the Child</w:t>
      </w:r>
      <w:r>
        <w:t>. [online] OHCHR. Available at: https://www.ohchr.org/en/instruments-mechanisms/instruments/convention-rights-child [Accessed 7 Apr. 2025].</w:t>
      </w:r>
    </w:p>
    <w:p w14:paraId="5F9274D4" w14:textId="77777777" w:rsidR="00624E64" w:rsidRDefault="00624E64" w:rsidP="00624E64">
      <w:pPr>
        <w:pStyle w:val="NormalWeb"/>
        <w:spacing w:before="0" w:beforeAutospacing="0" w:after="240" w:afterAutospacing="0" w:line="360" w:lineRule="auto"/>
      </w:pPr>
      <w:r>
        <w:t xml:space="preserve">Wales Safeguarding Procedures (2020). </w:t>
      </w:r>
      <w:r>
        <w:rPr>
          <w:i/>
          <w:iCs/>
        </w:rPr>
        <w:t>Safeguarding Wales</w:t>
      </w:r>
      <w:r>
        <w:t>. [online] www.safeguarding.wales. Available at: https://www.safeguarding.wales/en/ [Accessed 18 Apr. 2025].</w:t>
      </w:r>
    </w:p>
    <w:p w14:paraId="1098DC09" w14:textId="77777777" w:rsidR="00624E64" w:rsidRDefault="00624E64" w:rsidP="00624E64">
      <w:pPr>
        <w:pStyle w:val="NormalWeb"/>
        <w:spacing w:before="0" w:beforeAutospacing="0" w:after="240" w:afterAutospacing="0" w:line="360" w:lineRule="auto"/>
      </w:pPr>
      <w:r>
        <w:t xml:space="preserve">Walker, G. (2018). </w:t>
      </w:r>
      <w:r>
        <w:rPr>
          <w:i/>
          <w:iCs/>
        </w:rPr>
        <w:t>Working together for children - a critical introduction to multi-agency wor.</w:t>
      </w:r>
      <w:r>
        <w:t xml:space="preserve"> 2nd ed. Bloomsbury Publishing Plc.</w:t>
      </w:r>
    </w:p>
    <w:p w14:paraId="533DF1C7" w14:textId="77777777" w:rsidR="00624E64" w:rsidRDefault="00624E64" w:rsidP="00624E64">
      <w:pPr>
        <w:pStyle w:val="NormalWeb"/>
        <w:spacing w:before="0" w:beforeAutospacing="0" w:after="240" w:afterAutospacing="0" w:line="360" w:lineRule="auto"/>
      </w:pPr>
      <w:r>
        <w:t xml:space="preserve">Welsh Government (2014). </w:t>
      </w:r>
      <w:r>
        <w:rPr>
          <w:i/>
          <w:iCs/>
        </w:rPr>
        <w:t>Social Services and Well-being (Wales) Act 2014</w:t>
      </w:r>
      <w:r>
        <w:t>. [online] Legislation.gov.uk. Available at: https://www.legislation.gov.uk/anaw/2014/4/contents [Accessed 19 Apr. 2025].</w:t>
      </w:r>
    </w:p>
    <w:p w14:paraId="0A713517" w14:textId="77777777" w:rsidR="00624E64" w:rsidRDefault="00624E64" w:rsidP="00624E64">
      <w:pPr>
        <w:pStyle w:val="NormalWeb"/>
        <w:spacing w:before="0" w:beforeAutospacing="0" w:after="240" w:afterAutospacing="0" w:line="360" w:lineRule="auto"/>
      </w:pPr>
      <w:r>
        <w:t xml:space="preserve">Welsh Government (2021). </w:t>
      </w:r>
      <w:r>
        <w:rPr>
          <w:i/>
          <w:iCs/>
        </w:rPr>
        <w:t>An introduction to the United Nations Convention on the Rights of the Child</w:t>
      </w:r>
      <w:r>
        <w:t>. [online] Welsh Government. Available at: https://www.gov.wales/sites/default/files/publications/2021-11/introduction-to-the-united-nations-convention-on-the-rights-of-the-child.pdf [Accessed 19 Apr. 2025].</w:t>
      </w:r>
    </w:p>
    <w:p w14:paraId="340E6602" w14:textId="77777777" w:rsidR="00624E64" w:rsidRDefault="00624E64" w:rsidP="00624E64">
      <w:pPr>
        <w:pStyle w:val="NormalWeb"/>
        <w:spacing w:before="0" w:beforeAutospacing="0" w:after="240" w:afterAutospacing="0" w:line="360" w:lineRule="auto"/>
      </w:pPr>
      <w:r>
        <w:t xml:space="preserve">Welsh Government (2024). </w:t>
      </w:r>
      <w:r>
        <w:rPr>
          <w:i/>
          <w:iCs/>
        </w:rPr>
        <w:t>Flying Start programme | GOV.WALES</w:t>
      </w:r>
      <w:r>
        <w:t>. [online] www.gov.wales. Available at: https://www.gov.wales/flying-start-programme [Accessed 24 Apr. 2025].</w:t>
      </w:r>
    </w:p>
    <w:p w14:paraId="276C2C7A" w14:textId="77777777" w:rsidR="00624E64" w:rsidRDefault="00624E64" w:rsidP="00624E64">
      <w:pPr>
        <w:pStyle w:val="NormalWeb"/>
        <w:spacing w:before="0" w:beforeAutospacing="0" w:after="240" w:afterAutospacing="0" w:line="360" w:lineRule="auto"/>
      </w:pPr>
      <w:r>
        <w:t xml:space="preserve">Welsh Government (2025). </w:t>
      </w:r>
      <w:r>
        <w:rPr>
          <w:i/>
          <w:iCs/>
        </w:rPr>
        <w:t>Budget agreement secures extra £100m for public services | GOV.WALES</w:t>
      </w:r>
      <w:r>
        <w:t>. [online] GOV.WALES. Available at: https://www.gov.wales/budget-agreement-secures-extra-100-million-for-public-services.</w:t>
      </w:r>
    </w:p>
    <w:p w14:paraId="7BF2FE50" w14:textId="77777777" w:rsidR="00624E64" w:rsidRDefault="00624E64" w:rsidP="00624E64">
      <w:pPr>
        <w:pStyle w:val="NormalWeb"/>
        <w:spacing w:before="0" w:beforeAutospacing="0" w:after="240" w:afterAutospacing="0" w:line="360" w:lineRule="auto"/>
      </w:pPr>
      <w:r>
        <w:t xml:space="preserve">West Sussex Safeguarding Adults Board (n.d.). </w:t>
      </w:r>
      <w:r>
        <w:rPr>
          <w:i/>
          <w:iCs/>
        </w:rPr>
        <w:t>Multi-agency Working and communication: Learning Briefing</w:t>
      </w:r>
      <w:r>
        <w:t>. [online] Available at: https://www.westsussexsab.org.uk/media/jgqbhx0v/multi-agency-working-and-communication-learning-briefing-acc.pdf.</w:t>
      </w:r>
    </w:p>
    <w:p w14:paraId="0D35AF12" w14:textId="205C53CB" w:rsidR="00624E64" w:rsidRDefault="00624E64" w:rsidP="00752690">
      <w:pPr>
        <w:spacing w:line="360" w:lineRule="auto"/>
        <w:rPr>
          <w:rFonts w:ascii="Arial" w:hAnsi="Arial" w:cs="Arial"/>
          <w:sz w:val="24"/>
          <w:szCs w:val="24"/>
        </w:rPr>
      </w:pPr>
      <w:bookmarkStart w:id="0" w:name="_GoBack"/>
      <w:bookmarkEnd w:id="0"/>
    </w:p>
    <w:sectPr w:rsidR="00624E6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1E7B25" w14:textId="77777777" w:rsidR="00192AA3" w:rsidRDefault="00192AA3" w:rsidP="00424E57">
      <w:r>
        <w:separator/>
      </w:r>
    </w:p>
  </w:endnote>
  <w:endnote w:type="continuationSeparator" w:id="0">
    <w:p w14:paraId="389BBEAA" w14:textId="77777777" w:rsidR="00192AA3" w:rsidRDefault="00192AA3" w:rsidP="00424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6964727"/>
      <w:docPartObj>
        <w:docPartGallery w:val="Page Numbers (Bottom of Page)"/>
        <w:docPartUnique/>
      </w:docPartObj>
    </w:sdtPr>
    <w:sdtEndPr>
      <w:rPr>
        <w:noProof/>
      </w:rPr>
    </w:sdtEndPr>
    <w:sdtContent>
      <w:p w14:paraId="3437037E" w14:textId="359D07E9" w:rsidR="000C5874" w:rsidRDefault="000C5874">
        <w:pPr>
          <w:pStyle w:val="Footer"/>
          <w:jc w:val="right"/>
        </w:pPr>
        <w:r>
          <w:fldChar w:fldCharType="begin"/>
        </w:r>
        <w:r>
          <w:instrText xml:space="preserve"> PAGE   \* MERGEFORMAT </w:instrText>
        </w:r>
        <w:r>
          <w:fldChar w:fldCharType="separate"/>
        </w:r>
        <w:r w:rsidR="00624E64">
          <w:rPr>
            <w:noProof/>
          </w:rPr>
          <w:t>1</w:t>
        </w:r>
        <w:r>
          <w:rPr>
            <w:noProof/>
          </w:rPr>
          <w:fldChar w:fldCharType="end"/>
        </w:r>
      </w:p>
    </w:sdtContent>
  </w:sdt>
  <w:p w14:paraId="3D8DC3C8" w14:textId="77777777" w:rsidR="000C5874" w:rsidRDefault="000C5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8CB4B4" w14:textId="77777777" w:rsidR="00192AA3" w:rsidRDefault="00192AA3" w:rsidP="00424E57">
      <w:r>
        <w:separator/>
      </w:r>
    </w:p>
  </w:footnote>
  <w:footnote w:type="continuationSeparator" w:id="0">
    <w:p w14:paraId="7637E96C" w14:textId="77777777" w:rsidR="00192AA3" w:rsidRDefault="00192AA3" w:rsidP="00424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0FB2D5" w14:textId="77777777" w:rsidR="000C5874" w:rsidRDefault="000C5874" w:rsidP="00022597">
    <w:pPr>
      <w:pStyle w:val="Footer"/>
    </w:pPr>
    <w:r>
      <w:t>Amy Delaney Keeping our children safe</w:t>
    </w:r>
    <w:r w:rsidRPr="003527A6">
      <w:t xml:space="preserve"> </w:t>
    </w:r>
    <w:r>
      <w:t>(ECIE5010</w:t>
    </w:r>
    <w:r w:rsidRPr="003527A6">
      <w:t>)</w:t>
    </w:r>
  </w:p>
  <w:p w14:paraId="6D4C67CC" w14:textId="77777777" w:rsidR="000C5874" w:rsidRDefault="000C5874">
    <w:pPr>
      <w:pStyle w:val="Header"/>
    </w:pPr>
  </w:p>
  <w:p w14:paraId="2736F5D2" w14:textId="77777777" w:rsidR="000C5874" w:rsidRDefault="000C58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62618"/>
    <w:multiLevelType w:val="multilevel"/>
    <w:tmpl w:val="557CE74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8163D78"/>
    <w:multiLevelType w:val="hybridMultilevel"/>
    <w:tmpl w:val="D89A3160"/>
    <w:lvl w:ilvl="0" w:tplc="7B74996E">
      <w:start w:val="1"/>
      <w:numFmt w:val="bullet"/>
      <w:lvlText w:val="•"/>
      <w:lvlJc w:val="left"/>
      <w:pPr>
        <w:tabs>
          <w:tab w:val="num" w:pos="720"/>
        </w:tabs>
        <w:ind w:left="720" w:hanging="360"/>
      </w:pPr>
      <w:rPr>
        <w:rFonts w:ascii="Arial" w:hAnsi="Arial" w:hint="default"/>
      </w:rPr>
    </w:lvl>
    <w:lvl w:ilvl="1" w:tplc="BA587878" w:tentative="1">
      <w:start w:val="1"/>
      <w:numFmt w:val="bullet"/>
      <w:lvlText w:val="•"/>
      <w:lvlJc w:val="left"/>
      <w:pPr>
        <w:tabs>
          <w:tab w:val="num" w:pos="1440"/>
        </w:tabs>
        <w:ind w:left="1440" w:hanging="360"/>
      </w:pPr>
      <w:rPr>
        <w:rFonts w:ascii="Arial" w:hAnsi="Arial" w:hint="default"/>
      </w:rPr>
    </w:lvl>
    <w:lvl w:ilvl="2" w:tplc="24CC1254" w:tentative="1">
      <w:start w:val="1"/>
      <w:numFmt w:val="bullet"/>
      <w:lvlText w:val="•"/>
      <w:lvlJc w:val="left"/>
      <w:pPr>
        <w:tabs>
          <w:tab w:val="num" w:pos="2160"/>
        </w:tabs>
        <w:ind w:left="2160" w:hanging="360"/>
      </w:pPr>
      <w:rPr>
        <w:rFonts w:ascii="Arial" w:hAnsi="Arial" w:hint="default"/>
      </w:rPr>
    </w:lvl>
    <w:lvl w:ilvl="3" w:tplc="81E2548C" w:tentative="1">
      <w:start w:val="1"/>
      <w:numFmt w:val="bullet"/>
      <w:lvlText w:val="•"/>
      <w:lvlJc w:val="left"/>
      <w:pPr>
        <w:tabs>
          <w:tab w:val="num" w:pos="2880"/>
        </w:tabs>
        <w:ind w:left="2880" w:hanging="360"/>
      </w:pPr>
      <w:rPr>
        <w:rFonts w:ascii="Arial" w:hAnsi="Arial" w:hint="default"/>
      </w:rPr>
    </w:lvl>
    <w:lvl w:ilvl="4" w:tplc="E060593C" w:tentative="1">
      <w:start w:val="1"/>
      <w:numFmt w:val="bullet"/>
      <w:lvlText w:val="•"/>
      <w:lvlJc w:val="left"/>
      <w:pPr>
        <w:tabs>
          <w:tab w:val="num" w:pos="3600"/>
        </w:tabs>
        <w:ind w:left="3600" w:hanging="360"/>
      </w:pPr>
      <w:rPr>
        <w:rFonts w:ascii="Arial" w:hAnsi="Arial" w:hint="default"/>
      </w:rPr>
    </w:lvl>
    <w:lvl w:ilvl="5" w:tplc="B646097C" w:tentative="1">
      <w:start w:val="1"/>
      <w:numFmt w:val="bullet"/>
      <w:lvlText w:val="•"/>
      <w:lvlJc w:val="left"/>
      <w:pPr>
        <w:tabs>
          <w:tab w:val="num" w:pos="4320"/>
        </w:tabs>
        <w:ind w:left="4320" w:hanging="360"/>
      </w:pPr>
      <w:rPr>
        <w:rFonts w:ascii="Arial" w:hAnsi="Arial" w:hint="default"/>
      </w:rPr>
    </w:lvl>
    <w:lvl w:ilvl="6" w:tplc="4B7AD654" w:tentative="1">
      <w:start w:val="1"/>
      <w:numFmt w:val="bullet"/>
      <w:lvlText w:val="•"/>
      <w:lvlJc w:val="left"/>
      <w:pPr>
        <w:tabs>
          <w:tab w:val="num" w:pos="5040"/>
        </w:tabs>
        <w:ind w:left="5040" w:hanging="360"/>
      </w:pPr>
      <w:rPr>
        <w:rFonts w:ascii="Arial" w:hAnsi="Arial" w:hint="default"/>
      </w:rPr>
    </w:lvl>
    <w:lvl w:ilvl="7" w:tplc="04E8A8FA" w:tentative="1">
      <w:start w:val="1"/>
      <w:numFmt w:val="bullet"/>
      <w:lvlText w:val="•"/>
      <w:lvlJc w:val="left"/>
      <w:pPr>
        <w:tabs>
          <w:tab w:val="num" w:pos="5760"/>
        </w:tabs>
        <w:ind w:left="5760" w:hanging="360"/>
      </w:pPr>
      <w:rPr>
        <w:rFonts w:ascii="Arial" w:hAnsi="Arial" w:hint="default"/>
      </w:rPr>
    </w:lvl>
    <w:lvl w:ilvl="8" w:tplc="F18C20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0F3205"/>
    <w:multiLevelType w:val="multilevel"/>
    <w:tmpl w:val="4A481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B54EED"/>
    <w:multiLevelType w:val="multilevel"/>
    <w:tmpl w:val="40C4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2368F7"/>
    <w:multiLevelType w:val="hybridMultilevel"/>
    <w:tmpl w:val="3364E324"/>
    <w:lvl w:ilvl="0" w:tplc="62D894EC">
      <w:start w:val="1"/>
      <w:numFmt w:val="bullet"/>
      <w:lvlText w:val="•"/>
      <w:lvlJc w:val="left"/>
      <w:pPr>
        <w:tabs>
          <w:tab w:val="num" w:pos="720"/>
        </w:tabs>
        <w:ind w:left="720" w:hanging="360"/>
      </w:pPr>
      <w:rPr>
        <w:rFonts w:ascii="Arial" w:hAnsi="Arial" w:hint="default"/>
      </w:rPr>
    </w:lvl>
    <w:lvl w:ilvl="1" w:tplc="B0BE19BA" w:tentative="1">
      <w:start w:val="1"/>
      <w:numFmt w:val="bullet"/>
      <w:lvlText w:val="•"/>
      <w:lvlJc w:val="left"/>
      <w:pPr>
        <w:tabs>
          <w:tab w:val="num" w:pos="1440"/>
        </w:tabs>
        <w:ind w:left="1440" w:hanging="360"/>
      </w:pPr>
      <w:rPr>
        <w:rFonts w:ascii="Arial" w:hAnsi="Arial" w:hint="default"/>
      </w:rPr>
    </w:lvl>
    <w:lvl w:ilvl="2" w:tplc="6FF46734" w:tentative="1">
      <w:start w:val="1"/>
      <w:numFmt w:val="bullet"/>
      <w:lvlText w:val="•"/>
      <w:lvlJc w:val="left"/>
      <w:pPr>
        <w:tabs>
          <w:tab w:val="num" w:pos="2160"/>
        </w:tabs>
        <w:ind w:left="2160" w:hanging="360"/>
      </w:pPr>
      <w:rPr>
        <w:rFonts w:ascii="Arial" w:hAnsi="Arial" w:hint="default"/>
      </w:rPr>
    </w:lvl>
    <w:lvl w:ilvl="3" w:tplc="D4FED12C" w:tentative="1">
      <w:start w:val="1"/>
      <w:numFmt w:val="bullet"/>
      <w:lvlText w:val="•"/>
      <w:lvlJc w:val="left"/>
      <w:pPr>
        <w:tabs>
          <w:tab w:val="num" w:pos="2880"/>
        </w:tabs>
        <w:ind w:left="2880" w:hanging="360"/>
      </w:pPr>
      <w:rPr>
        <w:rFonts w:ascii="Arial" w:hAnsi="Arial" w:hint="default"/>
      </w:rPr>
    </w:lvl>
    <w:lvl w:ilvl="4" w:tplc="342C03D8" w:tentative="1">
      <w:start w:val="1"/>
      <w:numFmt w:val="bullet"/>
      <w:lvlText w:val="•"/>
      <w:lvlJc w:val="left"/>
      <w:pPr>
        <w:tabs>
          <w:tab w:val="num" w:pos="3600"/>
        </w:tabs>
        <w:ind w:left="3600" w:hanging="360"/>
      </w:pPr>
      <w:rPr>
        <w:rFonts w:ascii="Arial" w:hAnsi="Arial" w:hint="default"/>
      </w:rPr>
    </w:lvl>
    <w:lvl w:ilvl="5" w:tplc="E10E6202" w:tentative="1">
      <w:start w:val="1"/>
      <w:numFmt w:val="bullet"/>
      <w:lvlText w:val="•"/>
      <w:lvlJc w:val="left"/>
      <w:pPr>
        <w:tabs>
          <w:tab w:val="num" w:pos="4320"/>
        </w:tabs>
        <w:ind w:left="4320" w:hanging="360"/>
      </w:pPr>
      <w:rPr>
        <w:rFonts w:ascii="Arial" w:hAnsi="Arial" w:hint="default"/>
      </w:rPr>
    </w:lvl>
    <w:lvl w:ilvl="6" w:tplc="3B00EF28" w:tentative="1">
      <w:start w:val="1"/>
      <w:numFmt w:val="bullet"/>
      <w:lvlText w:val="•"/>
      <w:lvlJc w:val="left"/>
      <w:pPr>
        <w:tabs>
          <w:tab w:val="num" w:pos="5040"/>
        </w:tabs>
        <w:ind w:left="5040" w:hanging="360"/>
      </w:pPr>
      <w:rPr>
        <w:rFonts w:ascii="Arial" w:hAnsi="Arial" w:hint="default"/>
      </w:rPr>
    </w:lvl>
    <w:lvl w:ilvl="7" w:tplc="73424930" w:tentative="1">
      <w:start w:val="1"/>
      <w:numFmt w:val="bullet"/>
      <w:lvlText w:val="•"/>
      <w:lvlJc w:val="left"/>
      <w:pPr>
        <w:tabs>
          <w:tab w:val="num" w:pos="5760"/>
        </w:tabs>
        <w:ind w:left="5760" w:hanging="360"/>
      </w:pPr>
      <w:rPr>
        <w:rFonts w:ascii="Arial" w:hAnsi="Arial" w:hint="default"/>
      </w:rPr>
    </w:lvl>
    <w:lvl w:ilvl="8" w:tplc="3628135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DA331CF"/>
    <w:multiLevelType w:val="multilevel"/>
    <w:tmpl w:val="2206A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87B"/>
    <w:rsid w:val="000057A6"/>
    <w:rsid w:val="0001031E"/>
    <w:rsid w:val="00011658"/>
    <w:rsid w:val="00012111"/>
    <w:rsid w:val="00014D7F"/>
    <w:rsid w:val="00017A40"/>
    <w:rsid w:val="000206C8"/>
    <w:rsid w:val="00022597"/>
    <w:rsid w:val="00025B67"/>
    <w:rsid w:val="00026215"/>
    <w:rsid w:val="000311D5"/>
    <w:rsid w:val="00042DC1"/>
    <w:rsid w:val="0005122A"/>
    <w:rsid w:val="0006279F"/>
    <w:rsid w:val="0006434B"/>
    <w:rsid w:val="0006638E"/>
    <w:rsid w:val="00072B03"/>
    <w:rsid w:val="000821F1"/>
    <w:rsid w:val="000823F0"/>
    <w:rsid w:val="00083C0C"/>
    <w:rsid w:val="00084DD8"/>
    <w:rsid w:val="0009073F"/>
    <w:rsid w:val="00094703"/>
    <w:rsid w:val="000967E6"/>
    <w:rsid w:val="00097656"/>
    <w:rsid w:val="000A1BA4"/>
    <w:rsid w:val="000B4F0F"/>
    <w:rsid w:val="000C5874"/>
    <w:rsid w:val="000C5C08"/>
    <w:rsid w:val="000D40CE"/>
    <w:rsid w:val="000D6B4D"/>
    <w:rsid w:val="000E2686"/>
    <w:rsid w:val="000E4DB5"/>
    <w:rsid w:val="000E52B5"/>
    <w:rsid w:val="000F0361"/>
    <w:rsid w:val="00100B10"/>
    <w:rsid w:val="00123BD5"/>
    <w:rsid w:val="00131165"/>
    <w:rsid w:val="00134C68"/>
    <w:rsid w:val="0013704F"/>
    <w:rsid w:val="0014041B"/>
    <w:rsid w:val="001439D5"/>
    <w:rsid w:val="00151D41"/>
    <w:rsid w:val="00153F4F"/>
    <w:rsid w:val="00172BE1"/>
    <w:rsid w:val="00180AEB"/>
    <w:rsid w:val="0018147D"/>
    <w:rsid w:val="00191043"/>
    <w:rsid w:val="00192AA3"/>
    <w:rsid w:val="001A2F35"/>
    <w:rsid w:val="001A41A4"/>
    <w:rsid w:val="001A6283"/>
    <w:rsid w:val="001B6DE5"/>
    <w:rsid w:val="001B7128"/>
    <w:rsid w:val="001C0D08"/>
    <w:rsid w:val="001C4B8F"/>
    <w:rsid w:val="001D4954"/>
    <w:rsid w:val="001E4D33"/>
    <w:rsid w:val="001F2A68"/>
    <w:rsid w:val="001F3085"/>
    <w:rsid w:val="001F4DFE"/>
    <w:rsid w:val="00200FAD"/>
    <w:rsid w:val="00206927"/>
    <w:rsid w:val="002069CA"/>
    <w:rsid w:val="0020747D"/>
    <w:rsid w:val="00211093"/>
    <w:rsid w:val="00221241"/>
    <w:rsid w:val="002220F3"/>
    <w:rsid w:val="0022788A"/>
    <w:rsid w:val="002329D2"/>
    <w:rsid w:val="002371C9"/>
    <w:rsid w:val="00242527"/>
    <w:rsid w:val="00242FB0"/>
    <w:rsid w:val="002473FE"/>
    <w:rsid w:val="00267596"/>
    <w:rsid w:val="0027545E"/>
    <w:rsid w:val="00275918"/>
    <w:rsid w:val="00286F31"/>
    <w:rsid w:val="002938C9"/>
    <w:rsid w:val="00293D5E"/>
    <w:rsid w:val="00294A73"/>
    <w:rsid w:val="0029508A"/>
    <w:rsid w:val="002A3DA5"/>
    <w:rsid w:val="002B26C7"/>
    <w:rsid w:val="002B4C6E"/>
    <w:rsid w:val="002B58B1"/>
    <w:rsid w:val="002B6BA4"/>
    <w:rsid w:val="002C5FD1"/>
    <w:rsid w:val="002C6BFF"/>
    <w:rsid w:val="002E1952"/>
    <w:rsid w:val="002F7804"/>
    <w:rsid w:val="00301521"/>
    <w:rsid w:val="00311315"/>
    <w:rsid w:val="0031778D"/>
    <w:rsid w:val="003204C3"/>
    <w:rsid w:val="0032744A"/>
    <w:rsid w:val="00331B08"/>
    <w:rsid w:val="00335C06"/>
    <w:rsid w:val="003365F1"/>
    <w:rsid w:val="00350009"/>
    <w:rsid w:val="00350BF3"/>
    <w:rsid w:val="003527A6"/>
    <w:rsid w:val="003663D1"/>
    <w:rsid w:val="003700B1"/>
    <w:rsid w:val="00372521"/>
    <w:rsid w:val="00374C6F"/>
    <w:rsid w:val="00376838"/>
    <w:rsid w:val="00383C18"/>
    <w:rsid w:val="003910C8"/>
    <w:rsid w:val="00393D3A"/>
    <w:rsid w:val="00395758"/>
    <w:rsid w:val="003B6142"/>
    <w:rsid w:val="003C2F32"/>
    <w:rsid w:val="003D34E3"/>
    <w:rsid w:val="003D3987"/>
    <w:rsid w:val="003D3E92"/>
    <w:rsid w:val="003D59D3"/>
    <w:rsid w:val="003D7866"/>
    <w:rsid w:val="003E097A"/>
    <w:rsid w:val="003E3DBF"/>
    <w:rsid w:val="003E4208"/>
    <w:rsid w:val="003F107A"/>
    <w:rsid w:val="003F4C1D"/>
    <w:rsid w:val="003F5E98"/>
    <w:rsid w:val="00404625"/>
    <w:rsid w:val="00405CA1"/>
    <w:rsid w:val="0041494C"/>
    <w:rsid w:val="00414ADE"/>
    <w:rsid w:val="004164B0"/>
    <w:rsid w:val="0042037F"/>
    <w:rsid w:val="00424E57"/>
    <w:rsid w:val="0043487B"/>
    <w:rsid w:val="00437C8B"/>
    <w:rsid w:val="0044000D"/>
    <w:rsid w:val="004470FD"/>
    <w:rsid w:val="00451816"/>
    <w:rsid w:val="00452E73"/>
    <w:rsid w:val="004636C8"/>
    <w:rsid w:val="00467563"/>
    <w:rsid w:val="00470CCF"/>
    <w:rsid w:val="00474998"/>
    <w:rsid w:val="004774C1"/>
    <w:rsid w:val="00481E81"/>
    <w:rsid w:val="00490BFC"/>
    <w:rsid w:val="004920A0"/>
    <w:rsid w:val="004943A0"/>
    <w:rsid w:val="00495163"/>
    <w:rsid w:val="004958C2"/>
    <w:rsid w:val="004959F6"/>
    <w:rsid w:val="004A37E8"/>
    <w:rsid w:val="004A6F29"/>
    <w:rsid w:val="004B0B14"/>
    <w:rsid w:val="004B1AB5"/>
    <w:rsid w:val="004B5028"/>
    <w:rsid w:val="004C7AF0"/>
    <w:rsid w:val="004D407E"/>
    <w:rsid w:val="004D47A4"/>
    <w:rsid w:val="004D4A97"/>
    <w:rsid w:val="004D7329"/>
    <w:rsid w:val="004E1618"/>
    <w:rsid w:val="004E50B8"/>
    <w:rsid w:val="004E55DE"/>
    <w:rsid w:val="004E646E"/>
    <w:rsid w:val="004F5643"/>
    <w:rsid w:val="00516B2E"/>
    <w:rsid w:val="00521820"/>
    <w:rsid w:val="00524750"/>
    <w:rsid w:val="005318A4"/>
    <w:rsid w:val="00531CAA"/>
    <w:rsid w:val="0053243C"/>
    <w:rsid w:val="0053293F"/>
    <w:rsid w:val="00540793"/>
    <w:rsid w:val="00545BC3"/>
    <w:rsid w:val="00554BE4"/>
    <w:rsid w:val="005650A3"/>
    <w:rsid w:val="0056733F"/>
    <w:rsid w:val="005677C9"/>
    <w:rsid w:val="00573AF8"/>
    <w:rsid w:val="00574C14"/>
    <w:rsid w:val="0057736F"/>
    <w:rsid w:val="005A466E"/>
    <w:rsid w:val="005A588F"/>
    <w:rsid w:val="005A6849"/>
    <w:rsid w:val="005A748A"/>
    <w:rsid w:val="005C3141"/>
    <w:rsid w:val="005D0BF1"/>
    <w:rsid w:val="005D7E9A"/>
    <w:rsid w:val="005E15BF"/>
    <w:rsid w:val="005E32B3"/>
    <w:rsid w:val="005E651A"/>
    <w:rsid w:val="005F2BB2"/>
    <w:rsid w:val="005F31E7"/>
    <w:rsid w:val="005F370D"/>
    <w:rsid w:val="005F3A4B"/>
    <w:rsid w:val="005F61F1"/>
    <w:rsid w:val="00604C84"/>
    <w:rsid w:val="00615F94"/>
    <w:rsid w:val="00617B65"/>
    <w:rsid w:val="00620439"/>
    <w:rsid w:val="00624E64"/>
    <w:rsid w:val="0063217B"/>
    <w:rsid w:val="006348CC"/>
    <w:rsid w:val="00636FF9"/>
    <w:rsid w:val="006375A7"/>
    <w:rsid w:val="00640193"/>
    <w:rsid w:val="006440C0"/>
    <w:rsid w:val="0065324A"/>
    <w:rsid w:val="0066592F"/>
    <w:rsid w:val="0067693B"/>
    <w:rsid w:val="0068022C"/>
    <w:rsid w:val="00685353"/>
    <w:rsid w:val="00687ABF"/>
    <w:rsid w:val="00690AFE"/>
    <w:rsid w:val="006A2B2F"/>
    <w:rsid w:val="006B0727"/>
    <w:rsid w:val="006B25A1"/>
    <w:rsid w:val="006B3DC6"/>
    <w:rsid w:val="006C0948"/>
    <w:rsid w:val="006C107D"/>
    <w:rsid w:val="006D060F"/>
    <w:rsid w:val="006E0034"/>
    <w:rsid w:val="006E21B4"/>
    <w:rsid w:val="006E694C"/>
    <w:rsid w:val="006E7735"/>
    <w:rsid w:val="006F0B6B"/>
    <w:rsid w:val="006F3C47"/>
    <w:rsid w:val="006F699D"/>
    <w:rsid w:val="00700CD7"/>
    <w:rsid w:val="007230F2"/>
    <w:rsid w:val="00723199"/>
    <w:rsid w:val="00726325"/>
    <w:rsid w:val="0073165A"/>
    <w:rsid w:val="00735B2D"/>
    <w:rsid w:val="00741229"/>
    <w:rsid w:val="00752690"/>
    <w:rsid w:val="0075646A"/>
    <w:rsid w:val="00761D66"/>
    <w:rsid w:val="00762F29"/>
    <w:rsid w:val="007654A0"/>
    <w:rsid w:val="00771987"/>
    <w:rsid w:val="00773CE1"/>
    <w:rsid w:val="0077554F"/>
    <w:rsid w:val="0078549E"/>
    <w:rsid w:val="00786487"/>
    <w:rsid w:val="00791C63"/>
    <w:rsid w:val="00794F94"/>
    <w:rsid w:val="00797169"/>
    <w:rsid w:val="007A4BAD"/>
    <w:rsid w:val="007B034E"/>
    <w:rsid w:val="007B1B11"/>
    <w:rsid w:val="007B7923"/>
    <w:rsid w:val="007C1EA2"/>
    <w:rsid w:val="007C5F31"/>
    <w:rsid w:val="007E4115"/>
    <w:rsid w:val="007E54C7"/>
    <w:rsid w:val="007E6765"/>
    <w:rsid w:val="007E6FF8"/>
    <w:rsid w:val="007F5B8E"/>
    <w:rsid w:val="008057B7"/>
    <w:rsid w:val="00811A76"/>
    <w:rsid w:val="00815AF6"/>
    <w:rsid w:val="00820816"/>
    <w:rsid w:val="0082250E"/>
    <w:rsid w:val="0082750E"/>
    <w:rsid w:val="00827702"/>
    <w:rsid w:val="008344DD"/>
    <w:rsid w:val="008360C6"/>
    <w:rsid w:val="008405E8"/>
    <w:rsid w:val="00844B0E"/>
    <w:rsid w:val="00846DEA"/>
    <w:rsid w:val="008637B8"/>
    <w:rsid w:val="00863FA3"/>
    <w:rsid w:val="00873EB9"/>
    <w:rsid w:val="008755B2"/>
    <w:rsid w:val="00882650"/>
    <w:rsid w:val="008847FE"/>
    <w:rsid w:val="00884DF5"/>
    <w:rsid w:val="00885B4D"/>
    <w:rsid w:val="008871CF"/>
    <w:rsid w:val="00890E6A"/>
    <w:rsid w:val="008A73C8"/>
    <w:rsid w:val="008B4F7E"/>
    <w:rsid w:val="008B60BF"/>
    <w:rsid w:val="008D4C24"/>
    <w:rsid w:val="008D4C56"/>
    <w:rsid w:val="008D7064"/>
    <w:rsid w:val="008E5F58"/>
    <w:rsid w:val="008F0AAD"/>
    <w:rsid w:val="008F2BDD"/>
    <w:rsid w:val="008F5C08"/>
    <w:rsid w:val="008F7F3A"/>
    <w:rsid w:val="0091119D"/>
    <w:rsid w:val="009152C9"/>
    <w:rsid w:val="00920DFD"/>
    <w:rsid w:val="00933B6F"/>
    <w:rsid w:val="0094662A"/>
    <w:rsid w:val="00950888"/>
    <w:rsid w:val="00952E42"/>
    <w:rsid w:val="00954714"/>
    <w:rsid w:val="00955ED5"/>
    <w:rsid w:val="0096153C"/>
    <w:rsid w:val="009701AA"/>
    <w:rsid w:val="0097204A"/>
    <w:rsid w:val="00983CC4"/>
    <w:rsid w:val="0098742F"/>
    <w:rsid w:val="0099064E"/>
    <w:rsid w:val="00991D89"/>
    <w:rsid w:val="0099397D"/>
    <w:rsid w:val="00995910"/>
    <w:rsid w:val="009A0CA9"/>
    <w:rsid w:val="009A52B4"/>
    <w:rsid w:val="009A5598"/>
    <w:rsid w:val="009B1A0D"/>
    <w:rsid w:val="009D2C61"/>
    <w:rsid w:val="009D574A"/>
    <w:rsid w:val="009D70A8"/>
    <w:rsid w:val="009F221D"/>
    <w:rsid w:val="009F3336"/>
    <w:rsid w:val="009F3929"/>
    <w:rsid w:val="009F7C98"/>
    <w:rsid w:val="00A011CE"/>
    <w:rsid w:val="00A03803"/>
    <w:rsid w:val="00A07358"/>
    <w:rsid w:val="00A2701F"/>
    <w:rsid w:val="00A27157"/>
    <w:rsid w:val="00A3100C"/>
    <w:rsid w:val="00A325C9"/>
    <w:rsid w:val="00A364EA"/>
    <w:rsid w:val="00A442B1"/>
    <w:rsid w:val="00A52593"/>
    <w:rsid w:val="00A535E8"/>
    <w:rsid w:val="00A64102"/>
    <w:rsid w:val="00A66001"/>
    <w:rsid w:val="00A70DA4"/>
    <w:rsid w:val="00A74E81"/>
    <w:rsid w:val="00A910B9"/>
    <w:rsid w:val="00A95E4E"/>
    <w:rsid w:val="00AA39D0"/>
    <w:rsid w:val="00AA7624"/>
    <w:rsid w:val="00AB2557"/>
    <w:rsid w:val="00AB4A58"/>
    <w:rsid w:val="00AB4BDC"/>
    <w:rsid w:val="00AB6615"/>
    <w:rsid w:val="00AC00A2"/>
    <w:rsid w:val="00AC29A4"/>
    <w:rsid w:val="00AC6FAC"/>
    <w:rsid w:val="00AD69D7"/>
    <w:rsid w:val="00AF0623"/>
    <w:rsid w:val="00AF0DE0"/>
    <w:rsid w:val="00AF7895"/>
    <w:rsid w:val="00B0264D"/>
    <w:rsid w:val="00B129ED"/>
    <w:rsid w:val="00B37705"/>
    <w:rsid w:val="00B537B1"/>
    <w:rsid w:val="00B63CE5"/>
    <w:rsid w:val="00B665AD"/>
    <w:rsid w:val="00B66F92"/>
    <w:rsid w:val="00B7318A"/>
    <w:rsid w:val="00B7403B"/>
    <w:rsid w:val="00B85FA6"/>
    <w:rsid w:val="00B8727A"/>
    <w:rsid w:val="00B875B0"/>
    <w:rsid w:val="00B9075F"/>
    <w:rsid w:val="00B92BB1"/>
    <w:rsid w:val="00B97F75"/>
    <w:rsid w:val="00BA5343"/>
    <w:rsid w:val="00BA791F"/>
    <w:rsid w:val="00BB0525"/>
    <w:rsid w:val="00BB3DC2"/>
    <w:rsid w:val="00BB6D27"/>
    <w:rsid w:val="00BC5BCC"/>
    <w:rsid w:val="00BC65BE"/>
    <w:rsid w:val="00BC6EAE"/>
    <w:rsid w:val="00BD2BC3"/>
    <w:rsid w:val="00BD6C6E"/>
    <w:rsid w:val="00BE15F3"/>
    <w:rsid w:val="00BE47DB"/>
    <w:rsid w:val="00C002AD"/>
    <w:rsid w:val="00C06334"/>
    <w:rsid w:val="00C14F64"/>
    <w:rsid w:val="00C15182"/>
    <w:rsid w:val="00C30610"/>
    <w:rsid w:val="00C422EA"/>
    <w:rsid w:val="00C42AB1"/>
    <w:rsid w:val="00C50E94"/>
    <w:rsid w:val="00C516D9"/>
    <w:rsid w:val="00C55F92"/>
    <w:rsid w:val="00C6168D"/>
    <w:rsid w:val="00C71AAD"/>
    <w:rsid w:val="00C75B8F"/>
    <w:rsid w:val="00C75EDB"/>
    <w:rsid w:val="00C76E3C"/>
    <w:rsid w:val="00C81D05"/>
    <w:rsid w:val="00C87D4D"/>
    <w:rsid w:val="00C87DED"/>
    <w:rsid w:val="00C92771"/>
    <w:rsid w:val="00C9351F"/>
    <w:rsid w:val="00C93C37"/>
    <w:rsid w:val="00C946E9"/>
    <w:rsid w:val="00C94C7B"/>
    <w:rsid w:val="00CA2203"/>
    <w:rsid w:val="00CC3D29"/>
    <w:rsid w:val="00CD2609"/>
    <w:rsid w:val="00CE16B1"/>
    <w:rsid w:val="00CE30FD"/>
    <w:rsid w:val="00CE369D"/>
    <w:rsid w:val="00CE466B"/>
    <w:rsid w:val="00CE49D8"/>
    <w:rsid w:val="00CF60F6"/>
    <w:rsid w:val="00D02D8E"/>
    <w:rsid w:val="00D06E84"/>
    <w:rsid w:val="00D104D6"/>
    <w:rsid w:val="00D336CF"/>
    <w:rsid w:val="00D41E91"/>
    <w:rsid w:val="00D437CB"/>
    <w:rsid w:val="00D55410"/>
    <w:rsid w:val="00D64102"/>
    <w:rsid w:val="00D67DD1"/>
    <w:rsid w:val="00D84C3E"/>
    <w:rsid w:val="00D87D30"/>
    <w:rsid w:val="00D91C5B"/>
    <w:rsid w:val="00D9243C"/>
    <w:rsid w:val="00D933F6"/>
    <w:rsid w:val="00D94157"/>
    <w:rsid w:val="00D96F10"/>
    <w:rsid w:val="00DA2680"/>
    <w:rsid w:val="00DA2A02"/>
    <w:rsid w:val="00DA2FEE"/>
    <w:rsid w:val="00DA3732"/>
    <w:rsid w:val="00DC1F98"/>
    <w:rsid w:val="00DD154F"/>
    <w:rsid w:val="00DD282C"/>
    <w:rsid w:val="00DD458F"/>
    <w:rsid w:val="00DD55F2"/>
    <w:rsid w:val="00DD76CA"/>
    <w:rsid w:val="00DD78E7"/>
    <w:rsid w:val="00DE3BBE"/>
    <w:rsid w:val="00DE614F"/>
    <w:rsid w:val="00E02530"/>
    <w:rsid w:val="00E0304E"/>
    <w:rsid w:val="00E30054"/>
    <w:rsid w:val="00E46FA8"/>
    <w:rsid w:val="00E572C7"/>
    <w:rsid w:val="00E61960"/>
    <w:rsid w:val="00E63C44"/>
    <w:rsid w:val="00E715F8"/>
    <w:rsid w:val="00E72184"/>
    <w:rsid w:val="00E92289"/>
    <w:rsid w:val="00EA52FF"/>
    <w:rsid w:val="00EB1AAC"/>
    <w:rsid w:val="00EB675F"/>
    <w:rsid w:val="00EC0D18"/>
    <w:rsid w:val="00EC4DDC"/>
    <w:rsid w:val="00ED0C65"/>
    <w:rsid w:val="00ED0CAA"/>
    <w:rsid w:val="00EE0C38"/>
    <w:rsid w:val="00EE3061"/>
    <w:rsid w:val="00EE4FFC"/>
    <w:rsid w:val="00EE5D17"/>
    <w:rsid w:val="00EE7741"/>
    <w:rsid w:val="00EF1452"/>
    <w:rsid w:val="00EF2D1C"/>
    <w:rsid w:val="00EF52D1"/>
    <w:rsid w:val="00F0720B"/>
    <w:rsid w:val="00F11B83"/>
    <w:rsid w:val="00F12ADE"/>
    <w:rsid w:val="00F14C90"/>
    <w:rsid w:val="00F1631A"/>
    <w:rsid w:val="00F16E9C"/>
    <w:rsid w:val="00F22523"/>
    <w:rsid w:val="00F431C4"/>
    <w:rsid w:val="00F50F7E"/>
    <w:rsid w:val="00F51100"/>
    <w:rsid w:val="00F6015D"/>
    <w:rsid w:val="00F606D0"/>
    <w:rsid w:val="00F75DBE"/>
    <w:rsid w:val="00F82703"/>
    <w:rsid w:val="00FA14B5"/>
    <w:rsid w:val="00FA33F2"/>
    <w:rsid w:val="00FA3446"/>
    <w:rsid w:val="00FB4D14"/>
    <w:rsid w:val="00FB5D99"/>
    <w:rsid w:val="00FB6ABD"/>
    <w:rsid w:val="00FB755D"/>
    <w:rsid w:val="00FC0D00"/>
    <w:rsid w:val="00FC4318"/>
    <w:rsid w:val="00FC66B2"/>
    <w:rsid w:val="00FC74FD"/>
    <w:rsid w:val="00FD7E00"/>
    <w:rsid w:val="00FE056C"/>
    <w:rsid w:val="00FE518B"/>
    <w:rsid w:val="00FE72C2"/>
    <w:rsid w:val="00FF1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F181E11"/>
  <w15:chartTrackingRefBased/>
  <w15:docId w15:val="{3C10CA89-0D66-493D-8689-1435B5923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4C6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B3770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4E57"/>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424E57"/>
  </w:style>
  <w:style w:type="paragraph" w:styleId="Footer">
    <w:name w:val="footer"/>
    <w:basedOn w:val="Normal"/>
    <w:link w:val="FooterChar"/>
    <w:uiPriority w:val="99"/>
    <w:unhideWhenUsed/>
    <w:rsid w:val="00424E57"/>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424E57"/>
  </w:style>
  <w:style w:type="character" w:styleId="Emphasis">
    <w:name w:val="Emphasis"/>
    <w:basedOn w:val="DefaultParagraphFont"/>
    <w:uiPriority w:val="20"/>
    <w:qFormat/>
    <w:rsid w:val="00D87D30"/>
    <w:rPr>
      <w:i/>
      <w:iCs/>
    </w:rPr>
  </w:style>
  <w:style w:type="character" w:styleId="Hyperlink">
    <w:name w:val="Hyperlink"/>
    <w:basedOn w:val="DefaultParagraphFont"/>
    <w:uiPriority w:val="99"/>
    <w:unhideWhenUsed/>
    <w:rsid w:val="00D87D30"/>
    <w:rPr>
      <w:color w:val="0000FF"/>
      <w:u w:val="single"/>
    </w:rPr>
  </w:style>
  <w:style w:type="character" w:customStyle="1" w:styleId="Heading1Char">
    <w:name w:val="Heading 1 Char"/>
    <w:basedOn w:val="DefaultParagraphFont"/>
    <w:link w:val="Heading1"/>
    <w:uiPriority w:val="9"/>
    <w:rsid w:val="00B37705"/>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3D59D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59D3"/>
    <w:rPr>
      <w:rFonts w:ascii="Segoe UI" w:hAnsi="Segoe UI" w:cs="Segoe UI"/>
      <w:sz w:val="18"/>
      <w:szCs w:val="18"/>
    </w:rPr>
  </w:style>
  <w:style w:type="paragraph" w:styleId="NormalWeb">
    <w:name w:val="Normal (Web)"/>
    <w:basedOn w:val="Normal"/>
    <w:uiPriority w:val="99"/>
    <w:unhideWhenUsed/>
    <w:rsid w:val="003700B1"/>
    <w:pPr>
      <w:spacing w:before="100" w:beforeAutospacing="1" w:after="100" w:afterAutospacing="1"/>
    </w:pPr>
    <w:rPr>
      <w:sz w:val="24"/>
      <w:szCs w:val="24"/>
    </w:rPr>
  </w:style>
  <w:style w:type="character" w:customStyle="1" w:styleId="hlfld-contribauthor">
    <w:name w:val="hlfld-contribauthor"/>
    <w:basedOn w:val="DefaultParagraphFont"/>
    <w:rsid w:val="00640193"/>
  </w:style>
  <w:style w:type="character" w:customStyle="1" w:styleId="nlmgiven-names">
    <w:name w:val="nlm_given-names"/>
    <w:basedOn w:val="DefaultParagraphFont"/>
    <w:rsid w:val="00640193"/>
  </w:style>
  <w:style w:type="character" w:customStyle="1" w:styleId="nlmyear">
    <w:name w:val="nlm_year"/>
    <w:basedOn w:val="DefaultParagraphFont"/>
    <w:rsid w:val="00640193"/>
  </w:style>
  <w:style w:type="character" w:customStyle="1" w:styleId="nlmchapter-title">
    <w:name w:val="nlm_chapter-title"/>
    <w:basedOn w:val="DefaultParagraphFont"/>
    <w:rsid w:val="00640193"/>
  </w:style>
  <w:style w:type="character" w:customStyle="1" w:styleId="nlmpublisher-loc">
    <w:name w:val="nlm_publisher-loc"/>
    <w:basedOn w:val="DefaultParagraphFont"/>
    <w:rsid w:val="00640193"/>
  </w:style>
  <w:style w:type="character" w:customStyle="1" w:styleId="nlmpublisher-name">
    <w:name w:val="nlm_publisher-name"/>
    <w:basedOn w:val="DefaultParagraphFont"/>
    <w:rsid w:val="00640193"/>
  </w:style>
  <w:style w:type="character" w:customStyle="1" w:styleId="reflink-block">
    <w:name w:val="reflink-block"/>
    <w:basedOn w:val="DefaultParagraphFont"/>
    <w:rsid w:val="00640193"/>
  </w:style>
  <w:style w:type="character" w:styleId="FollowedHyperlink">
    <w:name w:val="FollowedHyperlink"/>
    <w:basedOn w:val="DefaultParagraphFont"/>
    <w:uiPriority w:val="99"/>
    <w:semiHidden/>
    <w:unhideWhenUsed/>
    <w:rsid w:val="00640193"/>
    <w:rPr>
      <w:color w:val="954F72" w:themeColor="followedHyperlink"/>
      <w:u w:val="single"/>
    </w:rPr>
  </w:style>
  <w:style w:type="paragraph" w:styleId="ListParagraph">
    <w:name w:val="List Paragraph"/>
    <w:basedOn w:val="Normal"/>
    <w:uiPriority w:val="34"/>
    <w:qFormat/>
    <w:rsid w:val="00786487"/>
    <w:pPr>
      <w:ind w:left="720"/>
      <w:contextualSpacing/>
    </w:pPr>
  </w:style>
  <w:style w:type="character" w:styleId="Strong">
    <w:name w:val="Strong"/>
    <w:basedOn w:val="DefaultParagraphFont"/>
    <w:uiPriority w:val="22"/>
    <w:qFormat/>
    <w:rsid w:val="001E4D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75618">
      <w:bodyDiv w:val="1"/>
      <w:marLeft w:val="0"/>
      <w:marRight w:val="0"/>
      <w:marTop w:val="0"/>
      <w:marBottom w:val="0"/>
      <w:divBdr>
        <w:top w:val="none" w:sz="0" w:space="0" w:color="auto"/>
        <w:left w:val="none" w:sz="0" w:space="0" w:color="auto"/>
        <w:bottom w:val="none" w:sz="0" w:space="0" w:color="auto"/>
        <w:right w:val="none" w:sz="0" w:space="0" w:color="auto"/>
      </w:divBdr>
    </w:div>
    <w:div w:id="27995250">
      <w:bodyDiv w:val="1"/>
      <w:marLeft w:val="0"/>
      <w:marRight w:val="0"/>
      <w:marTop w:val="0"/>
      <w:marBottom w:val="0"/>
      <w:divBdr>
        <w:top w:val="none" w:sz="0" w:space="0" w:color="auto"/>
        <w:left w:val="none" w:sz="0" w:space="0" w:color="auto"/>
        <w:bottom w:val="none" w:sz="0" w:space="0" w:color="auto"/>
        <w:right w:val="none" w:sz="0" w:space="0" w:color="auto"/>
      </w:divBdr>
    </w:div>
    <w:div w:id="137186137">
      <w:bodyDiv w:val="1"/>
      <w:marLeft w:val="0"/>
      <w:marRight w:val="0"/>
      <w:marTop w:val="0"/>
      <w:marBottom w:val="0"/>
      <w:divBdr>
        <w:top w:val="none" w:sz="0" w:space="0" w:color="auto"/>
        <w:left w:val="none" w:sz="0" w:space="0" w:color="auto"/>
        <w:bottom w:val="none" w:sz="0" w:space="0" w:color="auto"/>
        <w:right w:val="none" w:sz="0" w:space="0" w:color="auto"/>
      </w:divBdr>
      <w:divsChild>
        <w:div w:id="592738302">
          <w:marLeft w:val="0"/>
          <w:marRight w:val="0"/>
          <w:marTop w:val="0"/>
          <w:marBottom w:val="0"/>
          <w:divBdr>
            <w:top w:val="none" w:sz="0" w:space="0" w:color="auto"/>
            <w:left w:val="none" w:sz="0" w:space="0" w:color="auto"/>
            <w:bottom w:val="none" w:sz="0" w:space="0" w:color="auto"/>
            <w:right w:val="none" w:sz="0" w:space="0" w:color="auto"/>
          </w:divBdr>
        </w:div>
      </w:divsChild>
    </w:div>
    <w:div w:id="159589215">
      <w:bodyDiv w:val="1"/>
      <w:marLeft w:val="0"/>
      <w:marRight w:val="0"/>
      <w:marTop w:val="0"/>
      <w:marBottom w:val="0"/>
      <w:divBdr>
        <w:top w:val="none" w:sz="0" w:space="0" w:color="auto"/>
        <w:left w:val="none" w:sz="0" w:space="0" w:color="auto"/>
        <w:bottom w:val="none" w:sz="0" w:space="0" w:color="auto"/>
        <w:right w:val="none" w:sz="0" w:space="0" w:color="auto"/>
      </w:divBdr>
    </w:div>
    <w:div w:id="222176423">
      <w:bodyDiv w:val="1"/>
      <w:marLeft w:val="0"/>
      <w:marRight w:val="0"/>
      <w:marTop w:val="0"/>
      <w:marBottom w:val="0"/>
      <w:divBdr>
        <w:top w:val="none" w:sz="0" w:space="0" w:color="auto"/>
        <w:left w:val="none" w:sz="0" w:space="0" w:color="auto"/>
        <w:bottom w:val="none" w:sz="0" w:space="0" w:color="auto"/>
        <w:right w:val="none" w:sz="0" w:space="0" w:color="auto"/>
      </w:divBdr>
    </w:div>
    <w:div w:id="280650128">
      <w:bodyDiv w:val="1"/>
      <w:marLeft w:val="0"/>
      <w:marRight w:val="0"/>
      <w:marTop w:val="0"/>
      <w:marBottom w:val="0"/>
      <w:divBdr>
        <w:top w:val="none" w:sz="0" w:space="0" w:color="auto"/>
        <w:left w:val="none" w:sz="0" w:space="0" w:color="auto"/>
        <w:bottom w:val="none" w:sz="0" w:space="0" w:color="auto"/>
        <w:right w:val="none" w:sz="0" w:space="0" w:color="auto"/>
      </w:divBdr>
    </w:div>
    <w:div w:id="284316392">
      <w:bodyDiv w:val="1"/>
      <w:marLeft w:val="0"/>
      <w:marRight w:val="0"/>
      <w:marTop w:val="0"/>
      <w:marBottom w:val="0"/>
      <w:divBdr>
        <w:top w:val="none" w:sz="0" w:space="0" w:color="auto"/>
        <w:left w:val="none" w:sz="0" w:space="0" w:color="auto"/>
        <w:bottom w:val="none" w:sz="0" w:space="0" w:color="auto"/>
        <w:right w:val="none" w:sz="0" w:space="0" w:color="auto"/>
      </w:divBdr>
    </w:div>
    <w:div w:id="285158865">
      <w:bodyDiv w:val="1"/>
      <w:marLeft w:val="0"/>
      <w:marRight w:val="0"/>
      <w:marTop w:val="0"/>
      <w:marBottom w:val="0"/>
      <w:divBdr>
        <w:top w:val="none" w:sz="0" w:space="0" w:color="auto"/>
        <w:left w:val="none" w:sz="0" w:space="0" w:color="auto"/>
        <w:bottom w:val="none" w:sz="0" w:space="0" w:color="auto"/>
        <w:right w:val="none" w:sz="0" w:space="0" w:color="auto"/>
      </w:divBdr>
    </w:div>
    <w:div w:id="344211425">
      <w:bodyDiv w:val="1"/>
      <w:marLeft w:val="0"/>
      <w:marRight w:val="0"/>
      <w:marTop w:val="0"/>
      <w:marBottom w:val="0"/>
      <w:divBdr>
        <w:top w:val="none" w:sz="0" w:space="0" w:color="auto"/>
        <w:left w:val="none" w:sz="0" w:space="0" w:color="auto"/>
        <w:bottom w:val="none" w:sz="0" w:space="0" w:color="auto"/>
        <w:right w:val="none" w:sz="0" w:space="0" w:color="auto"/>
      </w:divBdr>
    </w:div>
    <w:div w:id="351153680">
      <w:bodyDiv w:val="1"/>
      <w:marLeft w:val="0"/>
      <w:marRight w:val="0"/>
      <w:marTop w:val="0"/>
      <w:marBottom w:val="0"/>
      <w:divBdr>
        <w:top w:val="none" w:sz="0" w:space="0" w:color="auto"/>
        <w:left w:val="none" w:sz="0" w:space="0" w:color="auto"/>
        <w:bottom w:val="none" w:sz="0" w:space="0" w:color="auto"/>
        <w:right w:val="none" w:sz="0" w:space="0" w:color="auto"/>
      </w:divBdr>
    </w:div>
    <w:div w:id="376660239">
      <w:bodyDiv w:val="1"/>
      <w:marLeft w:val="0"/>
      <w:marRight w:val="0"/>
      <w:marTop w:val="0"/>
      <w:marBottom w:val="0"/>
      <w:divBdr>
        <w:top w:val="none" w:sz="0" w:space="0" w:color="auto"/>
        <w:left w:val="none" w:sz="0" w:space="0" w:color="auto"/>
        <w:bottom w:val="none" w:sz="0" w:space="0" w:color="auto"/>
        <w:right w:val="none" w:sz="0" w:space="0" w:color="auto"/>
      </w:divBdr>
    </w:div>
    <w:div w:id="445808544">
      <w:bodyDiv w:val="1"/>
      <w:marLeft w:val="0"/>
      <w:marRight w:val="0"/>
      <w:marTop w:val="0"/>
      <w:marBottom w:val="0"/>
      <w:divBdr>
        <w:top w:val="none" w:sz="0" w:space="0" w:color="auto"/>
        <w:left w:val="none" w:sz="0" w:space="0" w:color="auto"/>
        <w:bottom w:val="none" w:sz="0" w:space="0" w:color="auto"/>
        <w:right w:val="none" w:sz="0" w:space="0" w:color="auto"/>
      </w:divBdr>
    </w:div>
    <w:div w:id="494338882">
      <w:bodyDiv w:val="1"/>
      <w:marLeft w:val="0"/>
      <w:marRight w:val="0"/>
      <w:marTop w:val="0"/>
      <w:marBottom w:val="0"/>
      <w:divBdr>
        <w:top w:val="none" w:sz="0" w:space="0" w:color="auto"/>
        <w:left w:val="none" w:sz="0" w:space="0" w:color="auto"/>
        <w:bottom w:val="none" w:sz="0" w:space="0" w:color="auto"/>
        <w:right w:val="none" w:sz="0" w:space="0" w:color="auto"/>
      </w:divBdr>
    </w:div>
    <w:div w:id="552036019">
      <w:bodyDiv w:val="1"/>
      <w:marLeft w:val="0"/>
      <w:marRight w:val="0"/>
      <w:marTop w:val="0"/>
      <w:marBottom w:val="0"/>
      <w:divBdr>
        <w:top w:val="none" w:sz="0" w:space="0" w:color="auto"/>
        <w:left w:val="none" w:sz="0" w:space="0" w:color="auto"/>
        <w:bottom w:val="none" w:sz="0" w:space="0" w:color="auto"/>
        <w:right w:val="none" w:sz="0" w:space="0" w:color="auto"/>
      </w:divBdr>
      <w:divsChild>
        <w:div w:id="304087858">
          <w:marLeft w:val="360"/>
          <w:marRight w:val="0"/>
          <w:marTop w:val="200"/>
          <w:marBottom w:val="0"/>
          <w:divBdr>
            <w:top w:val="none" w:sz="0" w:space="0" w:color="auto"/>
            <w:left w:val="none" w:sz="0" w:space="0" w:color="auto"/>
            <w:bottom w:val="none" w:sz="0" w:space="0" w:color="auto"/>
            <w:right w:val="none" w:sz="0" w:space="0" w:color="auto"/>
          </w:divBdr>
        </w:div>
      </w:divsChild>
    </w:div>
    <w:div w:id="552931391">
      <w:bodyDiv w:val="1"/>
      <w:marLeft w:val="0"/>
      <w:marRight w:val="0"/>
      <w:marTop w:val="0"/>
      <w:marBottom w:val="0"/>
      <w:divBdr>
        <w:top w:val="none" w:sz="0" w:space="0" w:color="auto"/>
        <w:left w:val="none" w:sz="0" w:space="0" w:color="auto"/>
        <w:bottom w:val="none" w:sz="0" w:space="0" w:color="auto"/>
        <w:right w:val="none" w:sz="0" w:space="0" w:color="auto"/>
      </w:divBdr>
    </w:div>
    <w:div w:id="668484672">
      <w:bodyDiv w:val="1"/>
      <w:marLeft w:val="0"/>
      <w:marRight w:val="0"/>
      <w:marTop w:val="0"/>
      <w:marBottom w:val="0"/>
      <w:divBdr>
        <w:top w:val="none" w:sz="0" w:space="0" w:color="auto"/>
        <w:left w:val="none" w:sz="0" w:space="0" w:color="auto"/>
        <w:bottom w:val="none" w:sz="0" w:space="0" w:color="auto"/>
        <w:right w:val="none" w:sz="0" w:space="0" w:color="auto"/>
      </w:divBdr>
    </w:div>
    <w:div w:id="707294674">
      <w:bodyDiv w:val="1"/>
      <w:marLeft w:val="0"/>
      <w:marRight w:val="0"/>
      <w:marTop w:val="0"/>
      <w:marBottom w:val="0"/>
      <w:divBdr>
        <w:top w:val="none" w:sz="0" w:space="0" w:color="auto"/>
        <w:left w:val="none" w:sz="0" w:space="0" w:color="auto"/>
        <w:bottom w:val="none" w:sz="0" w:space="0" w:color="auto"/>
        <w:right w:val="none" w:sz="0" w:space="0" w:color="auto"/>
      </w:divBdr>
    </w:div>
    <w:div w:id="713506940">
      <w:bodyDiv w:val="1"/>
      <w:marLeft w:val="0"/>
      <w:marRight w:val="0"/>
      <w:marTop w:val="0"/>
      <w:marBottom w:val="0"/>
      <w:divBdr>
        <w:top w:val="none" w:sz="0" w:space="0" w:color="auto"/>
        <w:left w:val="none" w:sz="0" w:space="0" w:color="auto"/>
        <w:bottom w:val="none" w:sz="0" w:space="0" w:color="auto"/>
        <w:right w:val="none" w:sz="0" w:space="0" w:color="auto"/>
      </w:divBdr>
    </w:div>
    <w:div w:id="714046247">
      <w:bodyDiv w:val="1"/>
      <w:marLeft w:val="0"/>
      <w:marRight w:val="0"/>
      <w:marTop w:val="0"/>
      <w:marBottom w:val="0"/>
      <w:divBdr>
        <w:top w:val="none" w:sz="0" w:space="0" w:color="auto"/>
        <w:left w:val="none" w:sz="0" w:space="0" w:color="auto"/>
        <w:bottom w:val="none" w:sz="0" w:space="0" w:color="auto"/>
        <w:right w:val="none" w:sz="0" w:space="0" w:color="auto"/>
      </w:divBdr>
    </w:div>
    <w:div w:id="774980710">
      <w:bodyDiv w:val="1"/>
      <w:marLeft w:val="0"/>
      <w:marRight w:val="0"/>
      <w:marTop w:val="0"/>
      <w:marBottom w:val="0"/>
      <w:divBdr>
        <w:top w:val="none" w:sz="0" w:space="0" w:color="auto"/>
        <w:left w:val="none" w:sz="0" w:space="0" w:color="auto"/>
        <w:bottom w:val="none" w:sz="0" w:space="0" w:color="auto"/>
        <w:right w:val="none" w:sz="0" w:space="0" w:color="auto"/>
      </w:divBdr>
    </w:div>
    <w:div w:id="802044726">
      <w:bodyDiv w:val="1"/>
      <w:marLeft w:val="0"/>
      <w:marRight w:val="0"/>
      <w:marTop w:val="0"/>
      <w:marBottom w:val="0"/>
      <w:divBdr>
        <w:top w:val="none" w:sz="0" w:space="0" w:color="auto"/>
        <w:left w:val="none" w:sz="0" w:space="0" w:color="auto"/>
        <w:bottom w:val="none" w:sz="0" w:space="0" w:color="auto"/>
        <w:right w:val="none" w:sz="0" w:space="0" w:color="auto"/>
      </w:divBdr>
    </w:div>
    <w:div w:id="811598288">
      <w:bodyDiv w:val="1"/>
      <w:marLeft w:val="0"/>
      <w:marRight w:val="0"/>
      <w:marTop w:val="0"/>
      <w:marBottom w:val="0"/>
      <w:divBdr>
        <w:top w:val="none" w:sz="0" w:space="0" w:color="auto"/>
        <w:left w:val="none" w:sz="0" w:space="0" w:color="auto"/>
        <w:bottom w:val="none" w:sz="0" w:space="0" w:color="auto"/>
        <w:right w:val="none" w:sz="0" w:space="0" w:color="auto"/>
      </w:divBdr>
    </w:div>
    <w:div w:id="815881500">
      <w:bodyDiv w:val="1"/>
      <w:marLeft w:val="0"/>
      <w:marRight w:val="0"/>
      <w:marTop w:val="0"/>
      <w:marBottom w:val="0"/>
      <w:divBdr>
        <w:top w:val="none" w:sz="0" w:space="0" w:color="auto"/>
        <w:left w:val="none" w:sz="0" w:space="0" w:color="auto"/>
        <w:bottom w:val="none" w:sz="0" w:space="0" w:color="auto"/>
        <w:right w:val="none" w:sz="0" w:space="0" w:color="auto"/>
      </w:divBdr>
    </w:div>
    <w:div w:id="878862770">
      <w:bodyDiv w:val="1"/>
      <w:marLeft w:val="0"/>
      <w:marRight w:val="0"/>
      <w:marTop w:val="0"/>
      <w:marBottom w:val="0"/>
      <w:divBdr>
        <w:top w:val="none" w:sz="0" w:space="0" w:color="auto"/>
        <w:left w:val="none" w:sz="0" w:space="0" w:color="auto"/>
        <w:bottom w:val="none" w:sz="0" w:space="0" w:color="auto"/>
        <w:right w:val="none" w:sz="0" w:space="0" w:color="auto"/>
      </w:divBdr>
    </w:div>
    <w:div w:id="895161525">
      <w:bodyDiv w:val="1"/>
      <w:marLeft w:val="0"/>
      <w:marRight w:val="0"/>
      <w:marTop w:val="0"/>
      <w:marBottom w:val="0"/>
      <w:divBdr>
        <w:top w:val="none" w:sz="0" w:space="0" w:color="auto"/>
        <w:left w:val="none" w:sz="0" w:space="0" w:color="auto"/>
        <w:bottom w:val="none" w:sz="0" w:space="0" w:color="auto"/>
        <w:right w:val="none" w:sz="0" w:space="0" w:color="auto"/>
      </w:divBdr>
    </w:div>
    <w:div w:id="948660785">
      <w:bodyDiv w:val="1"/>
      <w:marLeft w:val="0"/>
      <w:marRight w:val="0"/>
      <w:marTop w:val="0"/>
      <w:marBottom w:val="0"/>
      <w:divBdr>
        <w:top w:val="none" w:sz="0" w:space="0" w:color="auto"/>
        <w:left w:val="none" w:sz="0" w:space="0" w:color="auto"/>
        <w:bottom w:val="none" w:sz="0" w:space="0" w:color="auto"/>
        <w:right w:val="none" w:sz="0" w:space="0" w:color="auto"/>
      </w:divBdr>
    </w:div>
    <w:div w:id="1003119681">
      <w:bodyDiv w:val="1"/>
      <w:marLeft w:val="0"/>
      <w:marRight w:val="0"/>
      <w:marTop w:val="0"/>
      <w:marBottom w:val="0"/>
      <w:divBdr>
        <w:top w:val="none" w:sz="0" w:space="0" w:color="auto"/>
        <w:left w:val="none" w:sz="0" w:space="0" w:color="auto"/>
        <w:bottom w:val="none" w:sz="0" w:space="0" w:color="auto"/>
        <w:right w:val="none" w:sz="0" w:space="0" w:color="auto"/>
      </w:divBdr>
    </w:div>
    <w:div w:id="1019815743">
      <w:bodyDiv w:val="1"/>
      <w:marLeft w:val="0"/>
      <w:marRight w:val="0"/>
      <w:marTop w:val="0"/>
      <w:marBottom w:val="0"/>
      <w:divBdr>
        <w:top w:val="none" w:sz="0" w:space="0" w:color="auto"/>
        <w:left w:val="none" w:sz="0" w:space="0" w:color="auto"/>
        <w:bottom w:val="none" w:sz="0" w:space="0" w:color="auto"/>
        <w:right w:val="none" w:sz="0" w:space="0" w:color="auto"/>
      </w:divBdr>
    </w:div>
    <w:div w:id="1077018895">
      <w:bodyDiv w:val="1"/>
      <w:marLeft w:val="0"/>
      <w:marRight w:val="0"/>
      <w:marTop w:val="0"/>
      <w:marBottom w:val="0"/>
      <w:divBdr>
        <w:top w:val="none" w:sz="0" w:space="0" w:color="auto"/>
        <w:left w:val="none" w:sz="0" w:space="0" w:color="auto"/>
        <w:bottom w:val="none" w:sz="0" w:space="0" w:color="auto"/>
        <w:right w:val="none" w:sz="0" w:space="0" w:color="auto"/>
      </w:divBdr>
    </w:div>
    <w:div w:id="1163931181">
      <w:bodyDiv w:val="1"/>
      <w:marLeft w:val="0"/>
      <w:marRight w:val="0"/>
      <w:marTop w:val="0"/>
      <w:marBottom w:val="0"/>
      <w:divBdr>
        <w:top w:val="none" w:sz="0" w:space="0" w:color="auto"/>
        <w:left w:val="none" w:sz="0" w:space="0" w:color="auto"/>
        <w:bottom w:val="none" w:sz="0" w:space="0" w:color="auto"/>
        <w:right w:val="none" w:sz="0" w:space="0" w:color="auto"/>
      </w:divBdr>
    </w:div>
    <w:div w:id="1251307715">
      <w:bodyDiv w:val="1"/>
      <w:marLeft w:val="0"/>
      <w:marRight w:val="0"/>
      <w:marTop w:val="0"/>
      <w:marBottom w:val="0"/>
      <w:divBdr>
        <w:top w:val="none" w:sz="0" w:space="0" w:color="auto"/>
        <w:left w:val="none" w:sz="0" w:space="0" w:color="auto"/>
        <w:bottom w:val="none" w:sz="0" w:space="0" w:color="auto"/>
        <w:right w:val="none" w:sz="0" w:space="0" w:color="auto"/>
      </w:divBdr>
    </w:div>
    <w:div w:id="1275014751">
      <w:bodyDiv w:val="1"/>
      <w:marLeft w:val="0"/>
      <w:marRight w:val="0"/>
      <w:marTop w:val="0"/>
      <w:marBottom w:val="0"/>
      <w:divBdr>
        <w:top w:val="none" w:sz="0" w:space="0" w:color="auto"/>
        <w:left w:val="none" w:sz="0" w:space="0" w:color="auto"/>
        <w:bottom w:val="none" w:sz="0" w:space="0" w:color="auto"/>
        <w:right w:val="none" w:sz="0" w:space="0" w:color="auto"/>
      </w:divBdr>
    </w:div>
    <w:div w:id="1327247118">
      <w:bodyDiv w:val="1"/>
      <w:marLeft w:val="0"/>
      <w:marRight w:val="0"/>
      <w:marTop w:val="0"/>
      <w:marBottom w:val="0"/>
      <w:divBdr>
        <w:top w:val="none" w:sz="0" w:space="0" w:color="auto"/>
        <w:left w:val="none" w:sz="0" w:space="0" w:color="auto"/>
        <w:bottom w:val="none" w:sz="0" w:space="0" w:color="auto"/>
        <w:right w:val="none" w:sz="0" w:space="0" w:color="auto"/>
      </w:divBdr>
    </w:div>
    <w:div w:id="1329820271">
      <w:bodyDiv w:val="1"/>
      <w:marLeft w:val="0"/>
      <w:marRight w:val="0"/>
      <w:marTop w:val="0"/>
      <w:marBottom w:val="0"/>
      <w:divBdr>
        <w:top w:val="none" w:sz="0" w:space="0" w:color="auto"/>
        <w:left w:val="none" w:sz="0" w:space="0" w:color="auto"/>
        <w:bottom w:val="none" w:sz="0" w:space="0" w:color="auto"/>
        <w:right w:val="none" w:sz="0" w:space="0" w:color="auto"/>
      </w:divBdr>
    </w:div>
    <w:div w:id="1423454189">
      <w:bodyDiv w:val="1"/>
      <w:marLeft w:val="0"/>
      <w:marRight w:val="0"/>
      <w:marTop w:val="0"/>
      <w:marBottom w:val="0"/>
      <w:divBdr>
        <w:top w:val="none" w:sz="0" w:space="0" w:color="auto"/>
        <w:left w:val="none" w:sz="0" w:space="0" w:color="auto"/>
        <w:bottom w:val="none" w:sz="0" w:space="0" w:color="auto"/>
        <w:right w:val="none" w:sz="0" w:space="0" w:color="auto"/>
      </w:divBdr>
    </w:div>
    <w:div w:id="1443762389">
      <w:bodyDiv w:val="1"/>
      <w:marLeft w:val="0"/>
      <w:marRight w:val="0"/>
      <w:marTop w:val="0"/>
      <w:marBottom w:val="0"/>
      <w:divBdr>
        <w:top w:val="none" w:sz="0" w:space="0" w:color="auto"/>
        <w:left w:val="none" w:sz="0" w:space="0" w:color="auto"/>
        <w:bottom w:val="none" w:sz="0" w:space="0" w:color="auto"/>
        <w:right w:val="none" w:sz="0" w:space="0" w:color="auto"/>
      </w:divBdr>
    </w:div>
    <w:div w:id="1444571686">
      <w:bodyDiv w:val="1"/>
      <w:marLeft w:val="0"/>
      <w:marRight w:val="0"/>
      <w:marTop w:val="0"/>
      <w:marBottom w:val="0"/>
      <w:divBdr>
        <w:top w:val="none" w:sz="0" w:space="0" w:color="auto"/>
        <w:left w:val="none" w:sz="0" w:space="0" w:color="auto"/>
        <w:bottom w:val="none" w:sz="0" w:space="0" w:color="auto"/>
        <w:right w:val="none" w:sz="0" w:space="0" w:color="auto"/>
      </w:divBdr>
    </w:div>
    <w:div w:id="1495219149">
      <w:bodyDiv w:val="1"/>
      <w:marLeft w:val="0"/>
      <w:marRight w:val="0"/>
      <w:marTop w:val="0"/>
      <w:marBottom w:val="0"/>
      <w:divBdr>
        <w:top w:val="none" w:sz="0" w:space="0" w:color="auto"/>
        <w:left w:val="none" w:sz="0" w:space="0" w:color="auto"/>
        <w:bottom w:val="none" w:sz="0" w:space="0" w:color="auto"/>
        <w:right w:val="none" w:sz="0" w:space="0" w:color="auto"/>
      </w:divBdr>
    </w:div>
    <w:div w:id="1547720217">
      <w:bodyDiv w:val="1"/>
      <w:marLeft w:val="0"/>
      <w:marRight w:val="0"/>
      <w:marTop w:val="0"/>
      <w:marBottom w:val="0"/>
      <w:divBdr>
        <w:top w:val="none" w:sz="0" w:space="0" w:color="auto"/>
        <w:left w:val="none" w:sz="0" w:space="0" w:color="auto"/>
        <w:bottom w:val="none" w:sz="0" w:space="0" w:color="auto"/>
        <w:right w:val="none" w:sz="0" w:space="0" w:color="auto"/>
      </w:divBdr>
    </w:div>
    <w:div w:id="1667979508">
      <w:bodyDiv w:val="1"/>
      <w:marLeft w:val="0"/>
      <w:marRight w:val="0"/>
      <w:marTop w:val="0"/>
      <w:marBottom w:val="0"/>
      <w:divBdr>
        <w:top w:val="none" w:sz="0" w:space="0" w:color="auto"/>
        <w:left w:val="none" w:sz="0" w:space="0" w:color="auto"/>
        <w:bottom w:val="none" w:sz="0" w:space="0" w:color="auto"/>
        <w:right w:val="none" w:sz="0" w:space="0" w:color="auto"/>
      </w:divBdr>
    </w:div>
    <w:div w:id="1682388079">
      <w:bodyDiv w:val="1"/>
      <w:marLeft w:val="0"/>
      <w:marRight w:val="0"/>
      <w:marTop w:val="0"/>
      <w:marBottom w:val="0"/>
      <w:divBdr>
        <w:top w:val="none" w:sz="0" w:space="0" w:color="auto"/>
        <w:left w:val="none" w:sz="0" w:space="0" w:color="auto"/>
        <w:bottom w:val="none" w:sz="0" w:space="0" w:color="auto"/>
        <w:right w:val="none" w:sz="0" w:space="0" w:color="auto"/>
      </w:divBdr>
    </w:div>
    <w:div w:id="1725255640">
      <w:bodyDiv w:val="1"/>
      <w:marLeft w:val="0"/>
      <w:marRight w:val="0"/>
      <w:marTop w:val="0"/>
      <w:marBottom w:val="0"/>
      <w:divBdr>
        <w:top w:val="none" w:sz="0" w:space="0" w:color="auto"/>
        <w:left w:val="none" w:sz="0" w:space="0" w:color="auto"/>
        <w:bottom w:val="none" w:sz="0" w:space="0" w:color="auto"/>
        <w:right w:val="none" w:sz="0" w:space="0" w:color="auto"/>
      </w:divBdr>
      <w:divsChild>
        <w:div w:id="1858158147">
          <w:marLeft w:val="360"/>
          <w:marRight w:val="0"/>
          <w:marTop w:val="200"/>
          <w:marBottom w:val="0"/>
          <w:divBdr>
            <w:top w:val="none" w:sz="0" w:space="0" w:color="auto"/>
            <w:left w:val="none" w:sz="0" w:space="0" w:color="auto"/>
            <w:bottom w:val="none" w:sz="0" w:space="0" w:color="auto"/>
            <w:right w:val="none" w:sz="0" w:space="0" w:color="auto"/>
          </w:divBdr>
        </w:div>
        <w:div w:id="1052342370">
          <w:marLeft w:val="360"/>
          <w:marRight w:val="0"/>
          <w:marTop w:val="200"/>
          <w:marBottom w:val="0"/>
          <w:divBdr>
            <w:top w:val="none" w:sz="0" w:space="0" w:color="auto"/>
            <w:left w:val="none" w:sz="0" w:space="0" w:color="auto"/>
            <w:bottom w:val="none" w:sz="0" w:space="0" w:color="auto"/>
            <w:right w:val="none" w:sz="0" w:space="0" w:color="auto"/>
          </w:divBdr>
        </w:div>
      </w:divsChild>
    </w:div>
    <w:div w:id="1732923986">
      <w:bodyDiv w:val="1"/>
      <w:marLeft w:val="0"/>
      <w:marRight w:val="0"/>
      <w:marTop w:val="0"/>
      <w:marBottom w:val="0"/>
      <w:divBdr>
        <w:top w:val="none" w:sz="0" w:space="0" w:color="auto"/>
        <w:left w:val="none" w:sz="0" w:space="0" w:color="auto"/>
        <w:bottom w:val="none" w:sz="0" w:space="0" w:color="auto"/>
        <w:right w:val="none" w:sz="0" w:space="0" w:color="auto"/>
      </w:divBdr>
    </w:div>
    <w:div w:id="1735004055">
      <w:bodyDiv w:val="1"/>
      <w:marLeft w:val="0"/>
      <w:marRight w:val="0"/>
      <w:marTop w:val="0"/>
      <w:marBottom w:val="0"/>
      <w:divBdr>
        <w:top w:val="none" w:sz="0" w:space="0" w:color="auto"/>
        <w:left w:val="none" w:sz="0" w:space="0" w:color="auto"/>
        <w:bottom w:val="none" w:sz="0" w:space="0" w:color="auto"/>
        <w:right w:val="none" w:sz="0" w:space="0" w:color="auto"/>
      </w:divBdr>
    </w:div>
    <w:div w:id="1762411173">
      <w:bodyDiv w:val="1"/>
      <w:marLeft w:val="0"/>
      <w:marRight w:val="0"/>
      <w:marTop w:val="0"/>
      <w:marBottom w:val="0"/>
      <w:divBdr>
        <w:top w:val="none" w:sz="0" w:space="0" w:color="auto"/>
        <w:left w:val="none" w:sz="0" w:space="0" w:color="auto"/>
        <w:bottom w:val="none" w:sz="0" w:space="0" w:color="auto"/>
        <w:right w:val="none" w:sz="0" w:space="0" w:color="auto"/>
      </w:divBdr>
      <w:divsChild>
        <w:div w:id="1394423441">
          <w:marLeft w:val="0"/>
          <w:marRight w:val="0"/>
          <w:marTop w:val="0"/>
          <w:marBottom w:val="0"/>
          <w:divBdr>
            <w:top w:val="none" w:sz="0" w:space="0" w:color="auto"/>
            <w:left w:val="none" w:sz="0" w:space="0" w:color="auto"/>
            <w:bottom w:val="none" w:sz="0" w:space="0" w:color="auto"/>
            <w:right w:val="none" w:sz="0" w:space="0" w:color="auto"/>
          </w:divBdr>
        </w:div>
      </w:divsChild>
    </w:div>
    <w:div w:id="1785344406">
      <w:bodyDiv w:val="1"/>
      <w:marLeft w:val="0"/>
      <w:marRight w:val="0"/>
      <w:marTop w:val="0"/>
      <w:marBottom w:val="0"/>
      <w:divBdr>
        <w:top w:val="none" w:sz="0" w:space="0" w:color="auto"/>
        <w:left w:val="none" w:sz="0" w:space="0" w:color="auto"/>
        <w:bottom w:val="none" w:sz="0" w:space="0" w:color="auto"/>
        <w:right w:val="none" w:sz="0" w:space="0" w:color="auto"/>
      </w:divBdr>
    </w:div>
    <w:div w:id="1875773761">
      <w:bodyDiv w:val="1"/>
      <w:marLeft w:val="0"/>
      <w:marRight w:val="0"/>
      <w:marTop w:val="0"/>
      <w:marBottom w:val="0"/>
      <w:divBdr>
        <w:top w:val="none" w:sz="0" w:space="0" w:color="auto"/>
        <w:left w:val="none" w:sz="0" w:space="0" w:color="auto"/>
        <w:bottom w:val="none" w:sz="0" w:space="0" w:color="auto"/>
        <w:right w:val="none" w:sz="0" w:space="0" w:color="auto"/>
      </w:divBdr>
    </w:div>
    <w:div w:id="1905025356">
      <w:bodyDiv w:val="1"/>
      <w:marLeft w:val="0"/>
      <w:marRight w:val="0"/>
      <w:marTop w:val="0"/>
      <w:marBottom w:val="0"/>
      <w:divBdr>
        <w:top w:val="none" w:sz="0" w:space="0" w:color="auto"/>
        <w:left w:val="none" w:sz="0" w:space="0" w:color="auto"/>
        <w:bottom w:val="none" w:sz="0" w:space="0" w:color="auto"/>
        <w:right w:val="none" w:sz="0" w:space="0" w:color="auto"/>
      </w:divBdr>
    </w:div>
    <w:div w:id="1909152238">
      <w:bodyDiv w:val="1"/>
      <w:marLeft w:val="0"/>
      <w:marRight w:val="0"/>
      <w:marTop w:val="0"/>
      <w:marBottom w:val="0"/>
      <w:divBdr>
        <w:top w:val="none" w:sz="0" w:space="0" w:color="auto"/>
        <w:left w:val="none" w:sz="0" w:space="0" w:color="auto"/>
        <w:bottom w:val="none" w:sz="0" w:space="0" w:color="auto"/>
        <w:right w:val="none" w:sz="0" w:space="0" w:color="auto"/>
      </w:divBdr>
    </w:div>
    <w:div w:id="1910528955">
      <w:bodyDiv w:val="1"/>
      <w:marLeft w:val="0"/>
      <w:marRight w:val="0"/>
      <w:marTop w:val="0"/>
      <w:marBottom w:val="0"/>
      <w:divBdr>
        <w:top w:val="none" w:sz="0" w:space="0" w:color="auto"/>
        <w:left w:val="none" w:sz="0" w:space="0" w:color="auto"/>
        <w:bottom w:val="none" w:sz="0" w:space="0" w:color="auto"/>
        <w:right w:val="none" w:sz="0" w:space="0" w:color="auto"/>
      </w:divBdr>
    </w:div>
    <w:div w:id="1911379989">
      <w:bodyDiv w:val="1"/>
      <w:marLeft w:val="0"/>
      <w:marRight w:val="0"/>
      <w:marTop w:val="0"/>
      <w:marBottom w:val="0"/>
      <w:divBdr>
        <w:top w:val="none" w:sz="0" w:space="0" w:color="auto"/>
        <w:left w:val="none" w:sz="0" w:space="0" w:color="auto"/>
        <w:bottom w:val="none" w:sz="0" w:space="0" w:color="auto"/>
        <w:right w:val="none" w:sz="0" w:space="0" w:color="auto"/>
      </w:divBdr>
    </w:div>
    <w:div w:id="1978990972">
      <w:bodyDiv w:val="1"/>
      <w:marLeft w:val="0"/>
      <w:marRight w:val="0"/>
      <w:marTop w:val="0"/>
      <w:marBottom w:val="0"/>
      <w:divBdr>
        <w:top w:val="none" w:sz="0" w:space="0" w:color="auto"/>
        <w:left w:val="none" w:sz="0" w:space="0" w:color="auto"/>
        <w:bottom w:val="none" w:sz="0" w:space="0" w:color="auto"/>
        <w:right w:val="none" w:sz="0" w:space="0" w:color="auto"/>
      </w:divBdr>
    </w:div>
    <w:div w:id="2001541685">
      <w:bodyDiv w:val="1"/>
      <w:marLeft w:val="0"/>
      <w:marRight w:val="0"/>
      <w:marTop w:val="0"/>
      <w:marBottom w:val="0"/>
      <w:divBdr>
        <w:top w:val="none" w:sz="0" w:space="0" w:color="auto"/>
        <w:left w:val="none" w:sz="0" w:space="0" w:color="auto"/>
        <w:bottom w:val="none" w:sz="0" w:space="0" w:color="auto"/>
        <w:right w:val="none" w:sz="0" w:space="0" w:color="auto"/>
      </w:divBdr>
      <w:divsChild>
        <w:div w:id="498737070">
          <w:marLeft w:val="0"/>
          <w:marRight w:val="0"/>
          <w:marTop w:val="0"/>
          <w:marBottom w:val="0"/>
          <w:divBdr>
            <w:top w:val="none" w:sz="0" w:space="0" w:color="auto"/>
            <w:left w:val="none" w:sz="0" w:space="0" w:color="auto"/>
            <w:bottom w:val="none" w:sz="0" w:space="0" w:color="auto"/>
            <w:right w:val="none" w:sz="0" w:space="0" w:color="auto"/>
          </w:divBdr>
          <w:divsChild>
            <w:div w:id="1732188993">
              <w:marLeft w:val="0"/>
              <w:marRight w:val="0"/>
              <w:marTop w:val="0"/>
              <w:marBottom w:val="0"/>
              <w:divBdr>
                <w:top w:val="none" w:sz="0" w:space="0" w:color="auto"/>
                <w:left w:val="none" w:sz="0" w:space="0" w:color="auto"/>
                <w:bottom w:val="none" w:sz="0" w:space="0" w:color="auto"/>
                <w:right w:val="none" w:sz="0" w:space="0" w:color="auto"/>
              </w:divBdr>
              <w:divsChild>
                <w:div w:id="1325281793">
                  <w:marLeft w:val="0"/>
                  <w:marRight w:val="0"/>
                  <w:marTop w:val="0"/>
                  <w:marBottom w:val="0"/>
                  <w:divBdr>
                    <w:top w:val="none" w:sz="0" w:space="0" w:color="auto"/>
                    <w:left w:val="none" w:sz="0" w:space="0" w:color="auto"/>
                    <w:bottom w:val="none" w:sz="0" w:space="0" w:color="auto"/>
                    <w:right w:val="none" w:sz="0" w:space="0" w:color="auto"/>
                  </w:divBdr>
                  <w:divsChild>
                    <w:div w:id="406880107">
                      <w:marLeft w:val="0"/>
                      <w:marRight w:val="0"/>
                      <w:marTop w:val="0"/>
                      <w:marBottom w:val="0"/>
                      <w:divBdr>
                        <w:top w:val="none" w:sz="0" w:space="0" w:color="auto"/>
                        <w:left w:val="none" w:sz="0" w:space="0" w:color="auto"/>
                        <w:bottom w:val="none" w:sz="0" w:space="0" w:color="auto"/>
                        <w:right w:val="none" w:sz="0" w:space="0" w:color="auto"/>
                      </w:divBdr>
                      <w:divsChild>
                        <w:div w:id="816843374">
                          <w:marLeft w:val="0"/>
                          <w:marRight w:val="0"/>
                          <w:marTop w:val="0"/>
                          <w:marBottom w:val="0"/>
                          <w:divBdr>
                            <w:top w:val="none" w:sz="0" w:space="0" w:color="auto"/>
                            <w:left w:val="none" w:sz="0" w:space="0" w:color="auto"/>
                            <w:bottom w:val="none" w:sz="0" w:space="0" w:color="auto"/>
                            <w:right w:val="none" w:sz="0" w:space="0" w:color="auto"/>
                          </w:divBdr>
                          <w:divsChild>
                            <w:div w:id="777525364">
                              <w:marLeft w:val="0"/>
                              <w:marRight w:val="0"/>
                              <w:marTop w:val="0"/>
                              <w:marBottom w:val="0"/>
                              <w:divBdr>
                                <w:top w:val="none" w:sz="0" w:space="0" w:color="auto"/>
                                <w:left w:val="none" w:sz="0" w:space="0" w:color="auto"/>
                                <w:bottom w:val="none" w:sz="0" w:space="0" w:color="auto"/>
                                <w:right w:val="none" w:sz="0" w:space="0" w:color="auto"/>
                              </w:divBdr>
                              <w:divsChild>
                                <w:div w:id="1492869111">
                                  <w:marLeft w:val="0"/>
                                  <w:marRight w:val="0"/>
                                  <w:marTop w:val="0"/>
                                  <w:marBottom w:val="0"/>
                                  <w:divBdr>
                                    <w:top w:val="none" w:sz="0" w:space="0" w:color="auto"/>
                                    <w:left w:val="none" w:sz="0" w:space="0" w:color="auto"/>
                                    <w:bottom w:val="none" w:sz="0" w:space="0" w:color="auto"/>
                                    <w:right w:val="none" w:sz="0" w:space="0" w:color="auto"/>
                                  </w:divBdr>
                                  <w:divsChild>
                                    <w:div w:id="87808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470489">
      <w:bodyDiv w:val="1"/>
      <w:marLeft w:val="0"/>
      <w:marRight w:val="0"/>
      <w:marTop w:val="0"/>
      <w:marBottom w:val="0"/>
      <w:divBdr>
        <w:top w:val="none" w:sz="0" w:space="0" w:color="auto"/>
        <w:left w:val="none" w:sz="0" w:space="0" w:color="auto"/>
        <w:bottom w:val="none" w:sz="0" w:space="0" w:color="auto"/>
        <w:right w:val="none" w:sz="0" w:space="0" w:color="auto"/>
      </w:divBdr>
    </w:div>
    <w:div w:id="2036466630">
      <w:bodyDiv w:val="1"/>
      <w:marLeft w:val="0"/>
      <w:marRight w:val="0"/>
      <w:marTop w:val="0"/>
      <w:marBottom w:val="0"/>
      <w:divBdr>
        <w:top w:val="none" w:sz="0" w:space="0" w:color="auto"/>
        <w:left w:val="none" w:sz="0" w:space="0" w:color="auto"/>
        <w:bottom w:val="none" w:sz="0" w:space="0" w:color="auto"/>
        <w:right w:val="none" w:sz="0" w:space="0" w:color="auto"/>
      </w:divBdr>
    </w:div>
    <w:div w:id="2047559114">
      <w:bodyDiv w:val="1"/>
      <w:marLeft w:val="0"/>
      <w:marRight w:val="0"/>
      <w:marTop w:val="0"/>
      <w:marBottom w:val="0"/>
      <w:divBdr>
        <w:top w:val="none" w:sz="0" w:space="0" w:color="auto"/>
        <w:left w:val="none" w:sz="0" w:space="0" w:color="auto"/>
        <w:bottom w:val="none" w:sz="0" w:space="0" w:color="auto"/>
        <w:right w:val="none" w:sz="0" w:space="0" w:color="auto"/>
      </w:divBdr>
    </w:div>
    <w:div w:id="2117165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888f1f95198dceed37fa127ba83d0b2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af7d181c68ff450727333bb830aee3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EF157-05D8-4FAF-AE90-D961074B9A26}">
  <ds:schemaRefs>
    <ds:schemaRef ds:uri="http://schemas.microsoft.com/office/2006/metadata/properties"/>
    <ds:schemaRef ds:uri="http://schemas.microsoft.com/office/2006/documentManagement/types"/>
    <ds:schemaRef ds:uri="http://schemas.microsoft.com/office/infopath/2007/PartnerControls"/>
    <ds:schemaRef ds:uri="http://purl.org/dc/elements/1.1/"/>
    <ds:schemaRef ds:uri="a450a3cc-050d-4aca-8a4e-543025a63de0"/>
    <ds:schemaRef ds:uri="461f81f1-dbc4-4122-adb0-1c0e154b8134"/>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1E586C81-DDA5-4B96-9B62-FF835179EE79}">
  <ds:schemaRefs>
    <ds:schemaRef ds:uri="http://schemas.microsoft.com/sharepoint/v3/contenttype/forms"/>
  </ds:schemaRefs>
</ds:datastoreItem>
</file>

<file path=customXml/itemProps3.xml><?xml version="1.0" encoding="utf-8"?>
<ds:datastoreItem xmlns:ds="http://schemas.openxmlformats.org/officeDocument/2006/customXml" ds:itemID="{44F6F8A5-70BC-40D7-B604-6BE5700E2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2316CC-0CBA-4B43-8663-AF12BC632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12</Pages>
  <Words>3632</Words>
  <Characters>20703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Delaney (2217692)</dc:creator>
  <cp:keywords/>
  <dc:description/>
  <cp:lastModifiedBy>Amy Delaney</cp:lastModifiedBy>
  <cp:revision>8</cp:revision>
  <dcterms:created xsi:type="dcterms:W3CDTF">2025-04-25T11:13:00Z</dcterms:created>
  <dcterms:modified xsi:type="dcterms:W3CDTF">2025-04-25T20:59:00Z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