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ED1E22" w14:textId="478BF8E6" w:rsidR="00CE5849" w:rsidRDefault="00CE5849">
      <w:bookmarkStart w:id="0" w:name="_GoBack"/>
    </w:p>
    <w:bookmarkEnd w:id="0"/>
    <w:p w14:paraId="5FD8760E" w14:textId="0E35E383" w:rsidR="005B1E42" w:rsidRDefault="005B1E42"/>
    <w:p w14:paraId="4465C5B2" w14:textId="7553CF0D" w:rsidR="005B1E42" w:rsidRPr="0081364F" w:rsidRDefault="005B1E42" w:rsidP="0081364F">
      <w:pPr>
        <w:pStyle w:val="Title"/>
        <w:jc w:val="center"/>
        <w:rPr>
          <w:i/>
          <w:sz w:val="44"/>
        </w:rPr>
      </w:pPr>
      <w:r w:rsidRPr="0081364F">
        <w:rPr>
          <w:i/>
          <w:sz w:val="44"/>
        </w:rPr>
        <w:t>In what Ways Can an Anthropological Study of the Body Illuminate Social Relations?</w:t>
      </w:r>
    </w:p>
    <w:p w14:paraId="2B3B2C85" w14:textId="1827BB77" w:rsidR="005B1E42" w:rsidRDefault="005B1E42" w:rsidP="005B1E42"/>
    <w:p w14:paraId="474F9334" w14:textId="30D374B9" w:rsidR="005B1E42" w:rsidRDefault="00300EF4" w:rsidP="005B1E42">
      <w:r>
        <w:t>The body.</w:t>
      </w:r>
      <w:r w:rsidR="00F40983">
        <w:t xml:space="preserve"> </w:t>
      </w:r>
      <w:r w:rsidR="0081364F">
        <w:t>Made from</w:t>
      </w:r>
      <w:r w:rsidR="00F40983">
        <w:t xml:space="preserve"> 11 elements, with 99</w:t>
      </w:r>
      <w:r w:rsidR="0081364F">
        <w:t>% of</w:t>
      </w:r>
      <w:r w:rsidR="00F40983">
        <w:t xml:space="preserve"> the body being </w:t>
      </w:r>
      <w:proofErr w:type="gramStart"/>
      <w:r w:rsidR="00F40983">
        <w:t>made out of</w:t>
      </w:r>
      <w:proofErr w:type="gramEnd"/>
      <w:r w:rsidR="00F40983">
        <w:t xml:space="preserve"> six or the eleven elements including, Carbon, Hydrogen, Oxygen, Calcium, nitrogen and Phosphorus. The body is a structure of bones, muscles, organs and flesh within a living and breathing entity such as animals including the human species or other animals such as mammals including Whales, or reptiles such lizards and even turtles.  </w:t>
      </w:r>
      <w:r w:rsidR="0081364F">
        <w:t>To</w:t>
      </w:r>
      <w:r w:rsidR="00F40983">
        <w:t xml:space="preserve"> understand what how the body illuminates social relations, we </w:t>
      </w:r>
      <w:proofErr w:type="gramStart"/>
      <w:r w:rsidR="00F40983">
        <w:t>have to</w:t>
      </w:r>
      <w:proofErr w:type="gramEnd"/>
      <w:r w:rsidR="00F40983">
        <w:t xml:space="preserve"> ask and decide what is the body? Yes, they may have been answered above but is the body singular? Can a single body have sub bodies or in some cases, can a body be </w:t>
      </w:r>
      <w:r w:rsidR="0081364F">
        <w:t xml:space="preserve">changed to fit society </w:t>
      </w:r>
      <w:r w:rsidR="0081789A">
        <w:t xml:space="preserve">and if so, how can it relate to the </w:t>
      </w:r>
      <w:r w:rsidR="005B4EAE">
        <w:t>social relations</w:t>
      </w:r>
      <w:r w:rsidR="0081789A">
        <w:t xml:space="preserve">? </w:t>
      </w:r>
    </w:p>
    <w:p w14:paraId="324B998A" w14:textId="583CF86B" w:rsidR="0081789A" w:rsidRDefault="0081364F" w:rsidP="005B1E42">
      <w:r>
        <w:t>For</w:t>
      </w:r>
      <w:r w:rsidR="005B4EAE">
        <w:t xml:space="preserve"> the body to be able to function, it needs multiple facilities that come together </w:t>
      </w:r>
      <w:proofErr w:type="gramStart"/>
      <w:r w:rsidR="005B4EAE">
        <w:t>in order to</w:t>
      </w:r>
      <w:proofErr w:type="gramEnd"/>
      <w:r w:rsidR="005B4EAE">
        <w:t xml:space="preserve"> give life. The body needs a brain which controls every part of the being. The body also needs the heart so that the blood can circulate</w:t>
      </w:r>
      <w:r w:rsidR="00AB556D">
        <w:t xml:space="preserve"> but the body needs to be able to extract the contents that are being placed within it. Having read Mary Douglas’ Purity and Danger, popular to contrary belief, she first describes the body as a model “The body is a model which can stand for any bounded system. Its boundaries can represent any boundaries which are threatened or precarious.” (1966:</w:t>
      </w:r>
      <w:r w:rsidR="00C92A06">
        <w:t>116). Douglas’ work and can often change in tone. Often being easy to read but at the same time it can be rather incomprehensible. From the quote, we can analyse and u</w:t>
      </w:r>
      <w:r w:rsidR="00925089">
        <w:t xml:space="preserve">nderstand Mary Douglas at first describes the body as being strong and able to withstand issues which can pose a threat to it but with that said, the boundaries of a body are sometimes not precarious. The body is not as fragile as some can make it seem. Within the same </w:t>
      </w:r>
      <w:r>
        <w:t>book, Douglas</w:t>
      </w:r>
      <w:r w:rsidR="00925089">
        <w:t xml:space="preserve"> further on goes to state that “We cannot possibly interpret rituals concerning excreta, breast milk, saliva and the rest unless we are prepared to see in the body a symbol of society, and to see the powers and dangers credited to social structure reproduced in small on the human </w:t>
      </w:r>
      <w:r>
        <w:t>body” (</w:t>
      </w:r>
      <w:r w:rsidR="00925089">
        <w:t>1966:116). From anthropological point of view, Mary Douglas has presented a method that not only studies the society but studying and analysing how the body reflects society or different societies whether it is based on cultural economics,</w:t>
      </w:r>
      <w:r w:rsidR="001844B4">
        <w:t xml:space="preserve"> or even the regulating of the body, can demonstrate a societies point of view on different topics such as </w:t>
      </w:r>
      <w:r>
        <w:t>feminism</w:t>
      </w:r>
      <w:r w:rsidR="001844B4">
        <w:t xml:space="preserve"> and sexuality or even religion.  The inequities that can arise from these social stand points both affect the body and the society. With the second quote, Douglas’ includes </w:t>
      </w:r>
      <w:r>
        <w:t>breastmilk</w:t>
      </w:r>
      <w:r w:rsidR="001844B4">
        <w:t xml:space="preserve"> as a ritual and based on her previous work where she discusses matter out of place and in this case, out of the body, breasts in western society are often sexualised within elements such as the media or friendship groups but on the other hand, the sexualisation of male breasts or male chests is not something that occurs within our society. Even though widely sexualised, people see breasts as a sexual entity but forget or even ignore the biology of the breast and its function. Bare breasts can be seen in printed media for every individ</w:t>
      </w:r>
      <w:r w:rsidR="00CE5849">
        <w:t xml:space="preserve">ual of all ages to see but </w:t>
      </w:r>
      <w:r>
        <w:t>a female breast</w:t>
      </w:r>
      <w:r w:rsidR="00CE5849">
        <w:t xml:space="preserve"> feeding her child in a restaurant can be deemed as problematic or even repulsive with some individuals believing that breast feeding should be done in private. This ideology goes against the </w:t>
      </w:r>
      <w:r>
        <w:t>fetishization</w:t>
      </w:r>
      <w:r w:rsidR="00CE5849">
        <w:t xml:space="preserve"> of the breast with then opening questions as to why breasts are somewhat acceptable and sexualised in </w:t>
      </w:r>
      <w:r w:rsidR="008E045A">
        <w:t>society,</w:t>
      </w:r>
      <w:r w:rsidR="00CE5849">
        <w:t xml:space="preserve"> but breast feeding is wrong</w:t>
      </w:r>
      <w:r w:rsidR="00D20283">
        <w:t>?</w:t>
      </w:r>
      <w:r w:rsidR="00CE67E8">
        <w:t xml:space="preserve"> The censorship of the breast indicates the </w:t>
      </w:r>
      <w:r>
        <w:t>censorship</w:t>
      </w:r>
      <w:r w:rsidR="00CE67E8">
        <w:t xml:space="preserve"> of female </w:t>
      </w:r>
      <w:r w:rsidR="008E045A">
        <w:lastRenderedPageBreak/>
        <w:t>sexuality</w:t>
      </w:r>
      <w:r w:rsidR="00CE67E8">
        <w:t xml:space="preserve"> and how it </w:t>
      </w:r>
      <w:proofErr w:type="gramStart"/>
      <w:r w:rsidR="00CE67E8">
        <w:t>has to</w:t>
      </w:r>
      <w:proofErr w:type="gramEnd"/>
      <w:r w:rsidR="00CE67E8">
        <w:t xml:space="preserve"> be controlled in order keep society more dignified.  “</w:t>
      </w:r>
      <w:r w:rsidR="008E045A">
        <w:t>…</w:t>
      </w:r>
      <w:r w:rsidR="00CE67E8" w:rsidRPr="00CE67E8">
        <w:t xml:space="preserve"> as it is true that everything symbolizes the body, so it is equally true that the body symbolizes everything else</w:t>
      </w:r>
      <w:r w:rsidR="00CE67E8">
        <w:t xml:space="preserve">” (1966:122). </w:t>
      </w:r>
      <w:r w:rsidR="001A77B3">
        <w:t xml:space="preserve">In this instance, Douglas uses the body as a metaphor. </w:t>
      </w:r>
      <w:proofErr w:type="gramStart"/>
      <w:r w:rsidR="001A77B3">
        <w:t>In order to</w:t>
      </w:r>
      <w:proofErr w:type="gramEnd"/>
      <w:r w:rsidR="001A77B3">
        <w:t xml:space="preserve"> view or understand society, one must look at the body but if one wants to view or understand the body, we must look at society. From a certain perspective, anthropologists can have different view points to understand one or the other </w:t>
      </w:r>
      <w:r w:rsidR="008E045A">
        <w:t xml:space="preserve">and, in this </w:t>
      </w:r>
      <w:proofErr w:type="gramStart"/>
      <w:r w:rsidR="008E045A">
        <w:t>case,</w:t>
      </w:r>
      <w:r w:rsidR="001A77B3">
        <w:t>,</w:t>
      </w:r>
      <w:proofErr w:type="gramEnd"/>
      <w:r w:rsidR="001A77B3">
        <w:t xml:space="preserve"> the ability to look at society to understand the body is a preferred method. </w:t>
      </w:r>
    </w:p>
    <w:p w14:paraId="3CE141A5" w14:textId="4CE4D720" w:rsidR="00B469A2" w:rsidRDefault="00BD4CC4" w:rsidP="005B1E42">
      <w:r>
        <w:t xml:space="preserve">A </w:t>
      </w:r>
      <w:r w:rsidR="008E045A">
        <w:t>marginalised</w:t>
      </w:r>
      <w:r>
        <w:t xml:space="preserve"> body whether it is fat, or thing, corelates to a margi</w:t>
      </w:r>
      <w:r w:rsidR="008E045A">
        <w:t>nalis</w:t>
      </w:r>
      <w:r>
        <w:t>ed society in which it can not function or reach its full potential due to the social limitations that have been put in place in order debilitate its freedom.  M</w:t>
      </w:r>
      <w:r w:rsidR="00627DB0">
        <w:t xml:space="preserve">arginalisation </w:t>
      </w:r>
      <w:proofErr w:type="gramStart"/>
      <w:r w:rsidR="00627DB0">
        <w:t>can be seen as</w:t>
      </w:r>
      <w:proofErr w:type="gramEnd"/>
      <w:r w:rsidR="00627DB0">
        <w:t xml:space="preserve"> dangerous. </w:t>
      </w:r>
      <w:r w:rsidR="00C0106E">
        <w:t xml:space="preserve">And often in a western society where images of the white Eurocentric bodies are at every </w:t>
      </w:r>
      <w:r w:rsidR="008E045A">
        <w:t>corner and</w:t>
      </w:r>
      <w:r w:rsidR="00C0106E">
        <w:t xml:space="preserve"> seen as a standard for other women to attain or to aspire to does not solve the issue. This marginalises women who are of colour, women who are considered disproportionate, and women who are not able bodied thus effectively in some cases, seeing them as matter out of place due to not being able to fit in the social norms that have been presented to them by the wider and general society.  When talking about marginalisation, we also </w:t>
      </w:r>
      <w:r w:rsidR="008E045A">
        <w:t>must</w:t>
      </w:r>
      <w:r w:rsidR="00C0106E">
        <w:t xml:space="preserve"> discuss the marginalisation or the </w:t>
      </w:r>
      <w:proofErr w:type="spellStart"/>
      <w:r w:rsidR="00C0106E">
        <w:t>tabooism</w:t>
      </w:r>
      <w:proofErr w:type="spellEnd"/>
      <w:r w:rsidR="00C0106E">
        <w:t xml:space="preserve"> of certain bodily orifices and the contents they secret from the body. It is not common in societies for individuals to be able to talk about faeces in an open manner due to the reason</w:t>
      </w:r>
      <w:r w:rsidR="00D5286C">
        <w:t xml:space="preserve">s such as the topic being widely seen as disgusting and for women also deemed as unladylike. This can be seen with the perception that </w:t>
      </w:r>
      <w:r w:rsidR="008E045A">
        <w:t>‘</w:t>
      </w:r>
      <w:r w:rsidR="00D5286C">
        <w:t>Girls do not poop</w:t>
      </w:r>
      <w:r w:rsidR="008E045A">
        <w:t>’</w:t>
      </w:r>
      <w:r w:rsidR="00D5286C">
        <w:t xml:space="preserve"> which in hindsight is not true. Every human defecates. </w:t>
      </w:r>
      <w:r w:rsidR="00AD0CFA">
        <w:t xml:space="preserve">The myth surrounding women not defecating </w:t>
      </w:r>
      <w:r w:rsidR="00C53D6B">
        <w:t xml:space="preserve">is seen as more fair option to save women the humiliation from jokes and then overall admission that they do open their bowls as stated by Myra </w:t>
      </w:r>
      <w:proofErr w:type="spellStart"/>
      <w:r w:rsidR="00C53D6B">
        <w:t>Mendible</w:t>
      </w:r>
      <w:proofErr w:type="spellEnd"/>
      <w:r w:rsidR="00C53D6B">
        <w:t xml:space="preserve"> “To mock women defecating is crude, demeaning and not achieving equality . . . only ridicule” (2016:175). This highlights the shaming of a natural bodily functi</w:t>
      </w:r>
      <w:r w:rsidR="00C50036">
        <w:t xml:space="preserve">on can affect society and especially </w:t>
      </w:r>
      <w:proofErr w:type="gramStart"/>
      <w:r w:rsidR="00C50036">
        <w:t>an</w:t>
      </w:r>
      <w:proofErr w:type="gramEnd"/>
      <w:r w:rsidR="00C50036">
        <w:t xml:space="preserve"> group where they are told its not right and they should not discuss it. This makes society suffer in not just ignorance but health wise too with women more likely to suffer from issues such as constipation due to being </w:t>
      </w:r>
      <w:r w:rsidR="008E045A">
        <w:t>embarrassed</w:t>
      </w:r>
      <w:r w:rsidR="00C50036">
        <w:t xml:space="preserve"> to use the work toilet, or even defecate within the same vicinity as their partners. </w:t>
      </w:r>
      <w:r w:rsidR="00B469A2">
        <w:t xml:space="preserve">In some </w:t>
      </w:r>
      <w:r w:rsidR="008E045A">
        <w:t>societies</w:t>
      </w:r>
      <w:r w:rsidR="00B469A2">
        <w:t xml:space="preserve">, its not just women defecating that </w:t>
      </w:r>
      <w:proofErr w:type="gramStart"/>
      <w:r w:rsidR="00B469A2">
        <w:t>can be seen as</w:t>
      </w:r>
      <w:proofErr w:type="gramEnd"/>
      <w:r w:rsidR="00B469A2">
        <w:t xml:space="preserve"> problematic, but </w:t>
      </w:r>
      <w:r w:rsidR="008E045A">
        <w:t>menstruation</w:t>
      </w:r>
      <w:r w:rsidR="00B469A2">
        <w:t xml:space="preserve"> and </w:t>
      </w:r>
      <w:r w:rsidR="008E045A">
        <w:t>menstrual</w:t>
      </w:r>
      <w:r w:rsidR="00B469A2">
        <w:t xml:space="preserve"> blood can lead to the marginalisation of women. One place that does this practise</w:t>
      </w:r>
      <w:r w:rsidR="00A80D84">
        <w:t xml:space="preserve">. The Guianas in South America deem women to be unclean when they are menstruating “girls and women are, during menstruation, regarded as impure. They must do no work, nor must they go in the forest for they would be sure to be attacked by snakes” (2011:4). This form of thought and treatment of women in </w:t>
      </w:r>
      <w:r w:rsidR="00DD22AB">
        <w:t xml:space="preserve">that </w:t>
      </w:r>
      <w:proofErr w:type="gramStart"/>
      <w:r w:rsidR="00DD22AB">
        <w:t>particular society</w:t>
      </w:r>
      <w:proofErr w:type="gramEnd"/>
      <w:r w:rsidR="00DD22AB">
        <w:t xml:space="preserve">, treats menstruation as an illness and not something that occurs naturally however, within the western society as well, menstruation is treated as an illness with a taboo surrounding it. Its normal to have blood within the body but it becomes a problem when it is coming out of them body. One of the most notable forms of marginalisation when women are menstruating is implementing a ban on women entering a temple. This can be seen instances such as Skanda Vale where a woman is not allowed to enter temple when she is menstruating due to </w:t>
      </w:r>
      <w:proofErr w:type="gramStart"/>
      <w:r w:rsidR="00DD22AB">
        <w:t>being</w:t>
      </w:r>
      <w:proofErr w:type="gramEnd"/>
      <w:r w:rsidR="00DD22AB">
        <w:t xml:space="preserve"> a potential polluter.  </w:t>
      </w:r>
    </w:p>
    <w:p w14:paraId="7378A10C" w14:textId="6C5BD8FC" w:rsidR="00922496" w:rsidRDefault="00137A1A" w:rsidP="005B1E42">
      <w:pPr>
        <w:rPr>
          <w:rFonts w:ascii="Verdana" w:hAnsi="Verdana"/>
          <w:color w:val="000000"/>
          <w:sz w:val="20"/>
          <w:szCs w:val="20"/>
        </w:rPr>
      </w:pPr>
      <w:r>
        <w:t xml:space="preserve">Once looking at the marginalisation of bodily fluids, we can then begin to see how the female body is controlled by society in terms of sexualisation or even in some cases. Desexualisation. We can a man and female side by side both topless, and the woman’s breasts, areola, and nipples are pixilated </w:t>
      </w:r>
      <w:r w:rsidR="008E045A">
        <w:t>whilst</w:t>
      </w:r>
      <w:r>
        <w:t xml:space="preserve"> a man’s nipples, and </w:t>
      </w:r>
      <w:r w:rsidR="008E045A">
        <w:t>areola</w:t>
      </w:r>
      <w:r>
        <w:t xml:space="preserve"> are not. This is due to societies perception of the female body. Breasts are not just seen as extra tissue and fat with the reproduction of milk but more of a sex organ due to the long standing fetishization. We can further see this, sexualisation in other media </w:t>
      </w:r>
      <w:r>
        <w:lastRenderedPageBreak/>
        <w:t xml:space="preserve">platforms such as television where both female and male actors are </w:t>
      </w:r>
      <w:proofErr w:type="gramStart"/>
      <w:r>
        <w:t>nude</w:t>
      </w:r>
      <w:proofErr w:type="gramEnd"/>
      <w:r>
        <w:t xml:space="preserve"> but the female’s crotch region can be seen </w:t>
      </w:r>
      <w:r w:rsidR="008E045A">
        <w:t>whilst</w:t>
      </w:r>
      <w:r>
        <w:t xml:space="preserve"> the males region can not be seen due to the male sex organ being directly </w:t>
      </w:r>
      <w:r w:rsidR="008E045A">
        <w:t>in front</w:t>
      </w:r>
      <w:r>
        <w:t xml:space="preserve"> of the body </w:t>
      </w:r>
      <w:r w:rsidR="008E045A">
        <w:t>whilst</w:t>
      </w:r>
      <w:r>
        <w:t xml:space="preserve"> the female sex organ is more covered up angle as well as pubic hair. To some, they would argue that this is fair, but, in a wider </w:t>
      </w:r>
      <w:r w:rsidR="007E42B4">
        <w:t>perspective</w:t>
      </w:r>
      <w:r>
        <w:t xml:space="preserve">, </w:t>
      </w:r>
      <w:r w:rsidR="007E42B4">
        <w:t xml:space="preserve">the male sex organ is censored due to </w:t>
      </w:r>
      <w:proofErr w:type="gramStart"/>
      <w:r w:rsidR="007E42B4">
        <w:t>being seen as</w:t>
      </w:r>
      <w:proofErr w:type="gramEnd"/>
      <w:r w:rsidR="007E42B4">
        <w:t xml:space="preserve"> unappealing or uncomfortable to watch, whilst the uncensored pubic region of a woman in television or cinema is not censored.</w:t>
      </w:r>
      <w:r w:rsidR="00AE1023">
        <w:t xml:space="preserve"> A report by Mount Saint Mary’s University in Los Angeles found that “</w:t>
      </w:r>
      <w:r w:rsidR="00AE1023">
        <w:t>Among the 100 top</w:t>
      </w:r>
      <w:r w:rsidR="00AE1023">
        <w:t xml:space="preserve"> </w:t>
      </w:r>
      <w:r w:rsidR="00AE1023">
        <w:t>grossing films in 2014, women are nearly three times as likely as men to appear partially or fully nude in movies (26% and 9%, respectively)</w:t>
      </w:r>
      <w:r w:rsidR="00AE1023">
        <w:t>”</w:t>
      </w:r>
      <w:r w:rsidR="007E42B4">
        <w:t xml:space="preserve"> </w:t>
      </w:r>
      <w:r w:rsidR="00AE1023">
        <w:t xml:space="preserve">(2016:31). </w:t>
      </w:r>
      <w:r w:rsidR="00CC75B4">
        <w:t xml:space="preserve">The control of female sexualisation in media, has a direct influence on how society depicts the body and the </w:t>
      </w:r>
      <w:r w:rsidR="008E045A">
        <w:t>expectations</w:t>
      </w:r>
      <w:r w:rsidR="00CC75B4">
        <w:t xml:space="preserve"> that come from that depiction. Even though the body presented may be white and Eurocentric with the idolisation of body with the perfect portions can also be limited. For example, a 2007 Dolce and Gabbana featured a glamourous female with the body that society would deem as being ideal for all women, wearing lingerie and being pinned down by a topless man </w:t>
      </w:r>
      <w:r w:rsidR="008E045A">
        <w:t>whilst</w:t>
      </w:r>
      <w:r w:rsidR="00CC75B4">
        <w:t xml:space="preserve"> three other men are </w:t>
      </w:r>
      <w:r w:rsidR="008E045A">
        <w:t>watching</w:t>
      </w:r>
      <w:r w:rsidR="00CC75B4">
        <w:t>. This was seen as advocating sexual violence against women but also presenting women a</w:t>
      </w:r>
      <w:r w:rsidR="00272581">
        <w:t>s weak or even victims</w:t>
      </w:r>
      <w:r w:rsidR="00AE7771">
        <w:t xml:space="preserve"> an article by Julie </w:t>
      </w:r>
      <w:proofErr w:type="spellStart"/>
      <w:r w:rsidR="00AE7771">
        <w:t>Stankiewicz</w:t>
      </w:r>
      <w:proofErr w:type="spellEnd"/>
      <w:r w:rsidR="00AE7771">
        <w:t xml:space="preserve"> </w:t>
      </w:r>
      <w:proofErr w:type="gramStart"/>
      <w:r w:rsidR="008E045A">
        <w:t>stated</w:t>
      </w:r>
      <w:proofErr w:type="gramEnd"/>
      <w:r w:rsidR="008E045A">
        <w:t xml:space="preserve"> “</w:t>
      </w:r>
      <w:r w:rsidR="00272581">
        <w:t xml:space="preserve">Although the effects of sexual violence in advertising have not yet been studied, there is evidence that exposure to sexually objectifying advertisements produces anti-woman attitudes” </w:t>
      </w:r>
      <w:r w:rsidR="00AE7771">
        <w:t xml:space="preserve">(2011:581). Furthermore, we can see that with objectification of the body, women across </w:t>
      </w:r>
      <w:proofErr w:type="gramStart"/>
      <w:r w:rsidR="00AE7771">
        <w:t>a large number of</w:t>
      </w:r>
      <w:proofErr w:type="gramEnd"/>
      <w:r w:rsidR="00AE7771">
        <w:t xml:space="preserve"> societies are devalued yet their sexuality is controlled. The control of female sexuality or sexual liberation can be seen with the importance of not engaging in sexual activities before marriage which in most societies, applies to women. </w:t>
      </w:r>
      <w:r w:rsidR="00F46A62">
        <w:t>Women are more likely to have potent bodily fluids placed within their bodies that can lead to reproduction. This becomes a problem if a woman is unmarried</w:t>
      </w:r>
      <w:r w:rsidR="00922496">
        <w:t>. Unmarried women have always been more openly sexualised due to their marital status “Yet an unmarried woman was an affront to nature: a temptation to men, a threat to wives, a danger to herself” (</w:t>
      </w:r>
      <w:r w:rsidR="00922496">
        <w:rPr>
          <w:rFonts w:ascii="Verdana" w:hAnsi="Verdana"/>
          <w:color w:val="000000"/>
          <w:sz w:val="20"/>
          <w:szCs w:val="20"/>
        </w:rPr>
        <w:t xml:space="preserve">McClintock,1996:276). Women being a threat to themselves alludes to the ideas that a woman be less threating, less sexual when she is married due to having a male that can tame her. </w:t>
      </w:r>
      <w:r w:rsidR="007A0FE2">
        <w:rPr>
          <w:rFonts w:ascii="Verdana" w:hAnsi="Verdana"/>
          <w:color w:val="000000"/>
          <w:sz w:val="20"/>
          <w:szCs w:val="20"/>
        </w:rPr>
        <w:t xml:space="preserve">A woman is less likely to be sexually promiscuous if she’s married thus if a married woman, had a child, </w:t>
      </w:r>
      <w:r w:rsidR="008E045A">
        <w:rPr>
          <w:rFonts w:ascii="Verdana" w:hAnsi="Verdana"/>
          <w:color w:val="000000"/>
          <w:sz w:val="20"/>
          <w:szCs w:val="20"/>
        </w:rPr>
        <w:t>there</w:t>
      </w:r>
      <w:r w:rsidR="007A0FE2">
        <w:rPr>
          <w:rFonts w:ascii="Verdana" w:hAnsi="Verdana"/>
          <w:color w:val="000000"/>
          <w:sz w:val="20"/>
          <w:szCs w:val="20"/>
        </w:rPr>
        <w:t xml:space="preserve"> would be no reason to doubt the fatherhood </w:t>
      </w:r>
      <w:r w:rsidR="008E045A">
        <w:rPr>
          <w:rFonts w:ascii="Verdana" w:hAnsi="Verdana"/>
          <w:color w:val="000000"/>
          <w:sz w:val="20"/>
          <w:szCs w:val="20"/>
        </w:rPr>
        <w:t>whilst</w:t>
      </w:r>
      <w:r w:rsidR="007A0FE2">
        <w:rPr>
          <w:rFonts w:ascii="Verdana" w:hAnsi="Verdana"/>
          <w:color w:val="000000"/>
          <w:sz w:val="20"/>
          <w:szCs w:val="20"/>
        </w:rPr>
        <w:t xml:space="preserve"> an unmarried is more likely to have multiple men as the potential father of the child. With the expansion of the British Colony and the growing slave trade, McClintock further states “</w:t>
      </w:r>
      <w:r w:rsidR="007A0FE2">
        <w:t xml:space="preserve">Photographic captions hail women in the Victorian iconography of cleanliness, purity and maternal fecundity as the gatekeepers of the nation.” (1995:378) the use of gatekeepers elevates the status of white women in a world where plenty of men would come and go </w:t>
      </w:r>
      <w:r w:rsidR="004342B6">
        <w:t xml:space="preserve">whether it is going to a war, or going to British owned territory present with slaves, white women held the reproduction power. White women, would </w:t>
      </w:r>
      <w:r w:rsidR="008E045A">
        <w:t>birth</w:t>
      </w:r>
      <w:r w:rsidR="004342B6">
        <w:t xml:space="preserve"> their husband’s children who would take their father’s role once they came of age but with white women being gatekeepers, a few people could get past the gate and “</w:t>
      </w:r>
      <w:r w:rsidR="008E045A">
        <w:t>pollute</w:t>
      </w:r>
      <w:r w:rsidR="004342B6">
        <w:t xml:space="preserve">” the population. This form of thinking was perpetuated by a stereo types of </w:t>
      </w:r>
      <w:r w:rsidR="0092430C">
        <w:t>black men and their fetishization of being wild and savage which worried men with their wives in areas where slaves where present this can be seen in McClintock’s book which states “The association of black people and sexuality goes back to the Middle Ages: sexuality itself had long been called lithe African sin,</w:t>
      </w:r>
      <w:r w:rsidR="008E045A">
        <w:t xml:space="preserve"> </w:t>
      </w:r>
      <w:r w:rsidR="0092430C">
        <w:t xml:space="preserve">and black men on colonial maps were frequently represented with exaggeratedly long penises.” (1995:113). </w:t>
      </w:r>
      <w:r w:rsidR="00847B31">
        <w:t xml:space="preserve">In a wider perspective, the thought of sex being an African sin, would mean that women who bore mixed race children where often raped, or had become over taken by the devil and possessed by a demon in order to willingly have sexual relations with a black man and that stereotype was also reversed with white men becoming bewitched or enticed by black women thus committing a sin. After the death of a doctor’s son “His wife left him; afterward she said it was an </w:t>
      </w:r>
      <w:r w:rsidR="00847B31">
        <w:lastRenderedPageBreak/>
        <w:t>affliction put on her husband for his sins</w:t>
      </w:r>
      <w:proofErr w:type="gramStart"/>
      <w:r w:rsidR="00847B31">
        <w:t>.</w:t>
      </w:r>
      <w:r w:rsidR="007E1715">
        <w:t>”(</w:t>
      </w:r>
      <w:proofErr w:type="gramEnd"/>
      <w:r w:rsidR="007E1715">
        <w:t xml:space="preserve">Crew et Al. 2014:608). </w:t>
      </w:r>
      <w:r w:rsidR="008E0F35">
        <w:t xml:space="preserve">A mixed raced child born to either a black or white mother, becomes an </w:t>
      </w:r>
      <w:r w:rsidR="008E045A">
        <w:t>anomaly</w:t>
      </w:r>
      <w:r w:rsidR="008E0F35">
        <w:t xml:space="preserve">. They are black at the same time they are white and because of that, they have no social standing but due to their dark skin, they were automatically given to the black slaves to look after so that white families would not be associated </w:t>
      </w:r>
      <w:r w:rsidR="009B3B89">
        <w:t xml:space="preserve">or polluted by black blood and the damage is ever lasting when a white woman is impregnated by a black man. Mary Douglas states in her book Purity and Danger “The polluter becomes a doubly wicked object of reprobation, first because he crossed the line and second because he endangered others.” (1966:140). From this, we can see that the actions of polluters (black men) can’t be retracted or forgotten due to slave not only being the father but </w:t>
      </w:r>
      <w:r w:rsidR="00A50BEB">
        <w:t xml:space="preserve">being seen as taking away a white woman’s purity </w:t>
      </w:r>
      <w:r w:rsidR="008E045A">
        <w:t>whilst</w:t>
      </w:r>
      <w:r w:rsidR="00A50BEB">
        <w:t xml:space="preserve"> on the other hand, a white slave owner could defile a woman who was not seen as pure and whatever offspring stems from that union, can be considered a slave without the pollution of the white male. </w:t>
      </w:r>
    </w:p>
    <w:p w14:paraId="2372C69E" w14:textId="6397D111" w:rsidR="005C33CB" w:rsidRDefault="007261BA" w:rsidP="005B1E42">
      <w:r>
        <w:rPr>
          <w:rFonts w:ascii="Verdana" w:hAnsi="Verdana"/>
          <w:color w:val="000000"/>
          <w:sz w:val="20"/>
          <w:szCs w:val="20"/>
        </w:rPr>
        <w:t>Inconclusion, Mary Douglas sees and views the body as a symbol of society</w:t>
      </w:r>
      <w:r w:rsidR="00A50BEB">
        <w:rPr>
          <w:rFonts w:ascii="Verdana" w:hAnsi="Verdana"/>
          <w:color w:val="000000"/>
          <w:sz w:val="20"/>
          <w:szCs w:val="20"/>
        </w:rPr>
        <w:t xml:space="preserve">. How you treat that body reflects on the society’s value and beliefs. Whether it is print media publishing Eurocentric bodies as the standard for all women to attain to, this becomes a social issue for those who are expected to conform to such expectations and this can be seen in the present day, with black women in particular being encouraged to wear straight wigs or straighten their hair in order to become more socially acceptable </w:t>
      </w:r>
      <w:r w:rsidR="0036239D">
        <w:rPr>
          <w:rFonts w:ascii="Verdana" w:hAnsi="Verdana"/>
          <w:color w:val="000000"/>
          <w:sz w:val="20"/>
          <w:szCs w:val="20"/>
        </w:rPr>
        <w:t>“…</w:t>
      </w:r>
      <w:r w:rsidR="0036239D">
        <w:t xml:space="preserve">hair can be seen as an indicator of gender, social class, sexual orientation, political views, religion and even age” (Bellinger,W:2007). Thus, when an individual applies for a job, their hair can be an indicator of their social class and economic standing and </w:t>
      </w:r>
      <w:r w:rsidR="0081364F">
        <w:t>furthermore</w:t>
      </w:r>
      <w:r w:rsidR="0036239D">
        <w:t xml:space="preserve"> making straight hair seem as an ideal for all women. The Eurocentric hair then becomes an embodiment which illuminates social relations in work places. </w:t>
      </w:r>
      <w:r w:rsidR="0081364F">
        <w:t xml:space="preserve">With this, we can then observe other bodies in societies such as racism within the society and how women of colour need to look and act </w:t>
      </w:r>
      <w:proofErr w:type="gramStart"/>
      <w:r w:rsidR="0081364F">
        <w:t>in order to</w:t>
      </w:r>
      <w:proofErr w:type="gramEnd"/>
      <w:r w:rsidR="0081364F">
        <w:t xml:space="preserve"> have a social standing that does not leave disadvantaged in a social and economic spaces. The society can be reflected on to the body based on what the society deems as acceptable. In this case, both need to be understood to reflect the relationship between the two. </w:t>
      </w:r>
    </w:p>
    <w:p w14:paraId="523C684B" w14:textId="7279ED65" w:rsidR="008E045A" w:rsidRDefault="008E045A" w:rsidP="005B1E42"/>
    <w:p w14:paraId="4A9527F6" w14:textId="572AF456" w:rsidR="008E045A" w:rsidRDefault="008E045A" w:rsidP="005B1E42"/>
    <w:p w14:paraId="25EC7DA1" w14:textId="7C9C6306" w:rsidR="008E045A" w:rsidRDefault="008E045A" w:rsidP="005B1E42"/>
    <w:p w14:paraId="168FDFB5" w14:textId="2885E66A" w:rsidR="008E045A" w:rsidRDefault="008E045A" w:rsidP="005B1E42"/>
    <w:p w14:paraId="33E54B2C" w14:textId="7E81A894" w:rsidR="008E045A" w:rsidRDefault="008E045A" w:rsidP="005B1E42"/>
    <w:p w14:paraId="4F2D2E8D" w14:textId="135FA992" w:rsidR="008E045A" w:rsidRDefault="008E045A" w:rsidP="005B1E42"/>
    <w:p w14:paraId="57F9116A" w14:textId="091E0560" w:rsidR="008E045A" w:rsidRDefault="008E045A" w:rsidP="005B1E42"/>
    <w:p w14:paraId="5FC0DCA2" w14:textId="04DD2BDD" w:rsidR="008E045A" w:rsidRDefault="008E045A" w:rsidP="005B1E42"/>
    <w:p w14:paraId="33E87E2D" w14:textId="793D435C" w:rsidR="008E045A" w:rsidRDefault="008E045A" w:rsidP="005B1E42"/>
    <w:p w14:paraId="3E4E1769" w14:textId="54E4DBB4" w:rsidR="008E045A" w:rsidRDefault="008E045A" w:rsidP="005B1E42"/>
    <w:p w14:paraId="6ACD69F2" w14:textId="656655C8" w:rsidR="008E045A" w:rsidRDefault="008E045A" w:rsidP="005B1E42"/>
    <w:p w14:paraId="21F5D703" w14:textId="6F466381" w:rsidR="008E045A" w:rsidRDefault="008E045A" w:rsidP="005B1E42"/>
    <w:p w14:paraId="7A644EC3" w14:textId="752E7544" w:rsidR="008E045A" w:rsidRDefault="008E045A" w:rsidP="005B1E42"/>
    <w:p w14:paraId="1255973C" w14:textId="78979111" w:rsidR="008E045A" w:rsidRDefault="008E045A" w:rsidP="005B1E42"/>
    <w:p w14:paraId="69A522D3" w14:textId="7F35D6FC" w:rsidR="008E045A" w:rsidRDefault="008E045A" w:rsidP="005B1E42"/>
    <w:p w14:paraId="4F8575AF" w14:textId="4E00A965" w:rsidR="008E045A" w:rsidRDefault="008E045A" w:rsidP="005B1E42"/>
    <w:p w14:paraId="0A6F53F9" w14:textId="6BF5277C" w:rsidR="008E045A" w:rsidRDefault="008E045A" w:rsidP="005B1E42"/>
    <w:p w14:paraId="35F3F263" w14:textId="3A446C14" w:rsidR="008E045A" w:rsidRDefault="00AE1023" w:rsidP="005B1E42">
      <w:r>
        <w:t xml:space="preserve">Bibliography and references </w:t>
      </w:r>
    </w:p>
    <w:p w14:paraId="6DF312A1" w14:textId="77777777" w:rsidR="00AE1023" w:rsidRDefault="00AE1023" w:rsidP="005B1E42"/>
    <w:p w14:paraId="0E278844" w14:textId="6B40282A" w:rsidR="008E045A" w:rsidRDefault="008E045A" w:rsidP="005B1E42">
      <w:pPr>
        <w:rPr>
          <w:rFonts w:ascii="Verdana" w:hAnsi="Verdana"/>
          <w:color w:val="000000"/>
          <w:sz w:val="20"/>
          <w:szCs w:val="20"/>
        </w:rPr>
      </w:pPr>
      <w:proofErr w:type="spellStart"/>
      <w:proofErr w:type="gramStart"/>
      <w:r>
        <w:rPr>
          <w:rFonts w:ascii="Verdana" w:hAnsi="Verdana"/>
          <w:color w:val="000000"/>
          <w:sz w:val="20"/>
          <w:szCs w:val="20"/>
        </w:rPr>
        <w:t>Bellinger,W</w:t>
      </w:r>
      <w:proofErr w:type="spellEnd"/>
      <w:r>
        <w:rPr>
          <w:rFonts w:ascii="Verdana" w:hAnsi="Verdana"/>
          <w:color w:val="000000"/>
          <w:sz w:val="20"/>
          <w:szCs w:val="20"/>
        </w:rPr>
        <w:t>.</w:t>
      </w:r>
      <w:proofErr w:type="gramEnd"/>
      <w:r>
        <w:rPr>
          <w:rFonts w:ascii="Verdana" w:hAnsi="Verdana"/>
          <w:color w:val="000000"/>
          <w:sz w:val="20"/>
          <w:szCs w:val="20"/>
        </w:rPr>
        <w:t xml:space="preserve"> (2007). </w:t>
      </w:r>
      <w:r>
        <w:rPr>
          <w:rFonts w:ascii="Verdana" w:hAnsi="Verdana"/>
          <w:i/>
          <w:iCs/>
          <w:color w:val="000000"/>
          <w:sz w:val="20"/>
          <w:szCs w:val="20"/>
        </w:rPr>
        <w:t>Why African American women try to obtain “good hair”.</w:t>
      </w:r>
      <w:r>
        <w:rPr>
          <w:rFonts w:ascii="Verdana" w:hAnsi="Verdana"/>
          <w:color w:val="000000"/>
          <w:sz w:val="20"/>
          <w:szCs w:val="20"/>
        </w:rPr>
        <w:t xml:space="preserve"> Available: https://www.researchgate.net/publication/237702759_Why_African_American_women_try_to_obtain_good_hair. Last accessed 23rd March 2018.</w:t>
      </w:r>
    </w:p>
    <w:p w14:paraId="41E5D035" w14:textId="033472DF" w:rsidR="008E045A" w:rsidRDefault="008E045A" w:rsidP="005B1E42">
      <w:pPr>
        <w:rPr>
          <w:rFonts w:ascii="Verdana" w:hAnsi="Verdana"/>
          <w:color w:val="000000"/>
          <w:sz w:val="20"/>
          <w:szCs w:val="20"/>
        </w:rPr>
      </w:pPr>
      <w:proofErr w:type="spellStart"/>
      <w:proofErr w:type="gramStart"/>
      <w:r>
        <w:rPr>
          <w:rFonts w:ascii="Verdana" w:hAnsi="Verdana"/>
          <w:color w:val="000000"/>
          <w:sz w:val="20"/>
          <w:szCs w:val="20"/>
        </w:rPr>
        <w:t>Briffault,R</w:t>
      </w:r>
      <w:proofErr w:type="spellEnd"/>
      <w:r>
        <w:rPr>
          <w:rFonts w:ascii="Verdana" w:hAnsi="Verdana"/>
          <w:color w:val="000000"/>
          <w:sz w:val="20"/>
          <w:szCs w:val="20"/>
        </w:rPr>
        <w:t>.</w:t>
      </w:r>
      <w:proofErr w:type="gramEnd"/>
      <w:r>
        <w:rPr>
          <w:rFonts w:ascii="Verdana" w:hAnsi="Verdana"/>
          <w:color w:val="000000"/>
          <w:sz w:val="20"/>
          <w:szCs w:val="20"/>
        </w:rPr>
        <w:t xml:space="preserve"> (2011). </w:t>
      </w:r>
      <w:r>
        <w:rPr>
          <w:rFonts w:ascii="Verdana" w:hAnsi="Verdana"/>
          <w:i/>
          <w:iCs/>
          <w:color w:val="000000"/>
          <w:sz w:val="20"/>
          <w:szCs w:val="20"/>
        </w:rPr>
        <w:t>The Moon and Menstruation: A Taboo Subject</w:t>
      </w:r>
      <w:r>
        <w:rPr>
          <w:rFonts w:ascii="Verdana" w:hAnsi="Verdana"/>
          <w:color w:val="000000"/>
          <w:sz w:val="20"/>
          <w:szCs w:val="20"/>
        </w:rPr>
        <w:t>. London: Radical Anthropology Group. 4.</w:t>
      </w:r>
    </w:p>
    <w:p w14:paraId="0459AD8F" w14:textId="77777777" w:rsidR="008E045A" w:rsidRDefault="008E045A" w:rsidP="008E045A">
      <w:pPr>
        <w:pStyle w:val="NormalWeb"/>
        <w:spacing w:before="0" w:beforeAutospacing="0" w:after="0" w:afterAutospacing="0"/>
      </w:pPr>
      <w:r>
        <w:rPr>
          <w:rFonts w:ascii="Verdana" w:hAnsi="Verdana"/>
          <w:color w:val="000000"/>
          <w:sz w:val="20"/>
          <w:szCs w:val="20"/>
        </w:rPr>
        <w:t xml:space="preserve">Crew, R. </w:t>
      </w:r>
      <w:proofErr w:type="spellStart"/>
      <w:proofErr w:type="gramStart"/>
      <w:r>
        <w:rPr>
          <w:rFonts w:ascii="Verdana" w:hAnsi="Verdana"/>
          <w:color w:val="000000"/>
          <w:sz w:val="20"/>
          <w:szCs w:val="20"/>
        </w:rPr>
        <w:t>Bunch,G</w:t>
      </w:r>
      <w:proofErr w:type="gramEnd"/>
      <w:r>
        <w:rPr>
          <w:rFonts w:ascii="Verdana" w:hAnsi="Verdana"/>
          <w:color w:val="000000"/>
          <w:sz w:val="20"/>
          <w:szCs w:val="20"/>
        </w:rPr>
        <w:t>,L</w:t>
      </w:r>
      <w:proofErr w:type="spellEnd"/>
      <w:r>
        <w:rPr>
          <w:rFonts w:ascii="Verdana" w:hAnsi="Verdana"/>
          <w:color w:val="000000"/>
          <w:sz w:val="20"/>
          <w:szCs w:val="20"/>
        </w:rPr>
        <w:t xml:space="preserve">. III. Price, </w:t>
      </w:r>
      <w:proofErr w:type="gramStart"/>
      <w:r>
        <w:rPr>
          <w:rFonts w:ascii="Verdana" w:hAnsi="Verdana"/>
          <w:color w:val="000000"/>
          <w:sz w:val="20"/>
          <w:szCs w:val="20"/>
        </w:rPr>
        <w:t>A,C.</w:t>
      </w:r>
      <w:proofErr w:type="gramEnd"/>
      <w:r>
        <w:rPr>
          <w:rFonts w:ascii="Verdana" w:hAnsi="Verdana"/>
          <w:color w:val="000000"/>
          <w:sz w:val="20"/>
          <w:szCs w:val="20"/>
        </w:rPr>
        <w:t xml:space="preserve"> (2014). </w:t>
      </w:r>
      <w:r>
        <w:rPr>
          <w:rFonts w:ascii="Verdana" w:hAnsi="Verdana"/>
          <w:i/>
          <w:iCs/>
          <w:color w:val="000000"/>
          <w:sz w:val="20"/>
          <w:szCs w:val="20"/>
        </w:rPr>
        <w:t>Slave Culture: A Documentary Collection of the Slave Narratives from the ...</w:t>
      </w:r>
      <w:r>
        <w:rPr>
          <w:rFonts w:ascii="Verdana" w:hAnsi="Verdana"/>
          <w:color w:val="000000"/>
          <w:sz w:val="20"/>
          <w:szCs w:val="20"/>
        </w:rPr>
        <w:t>. Santa Barbra: Greenwood. 608.</w:t>
      </w:r>
    </w:p>
    <w:p w14:paraId="7C2E42FE" w14:textId="1751D111" w:rsidR="008E045A" w:rsidRDefault="008E045A" w:rsidP="005B1E42"/>
    <w:p w14:paraId="1EABAEEC" w14:textId="77777777" w:rsidR="008E045A" w:rsidRDefault="008E045A" w:rsidP="008E045A">
      <w:pPr>
        <w:pStyle w:val="NormalWeb"/>
        <w:spacing w:before="0" w:beforeAutospacing="0" w:after="0" w:afterAutospacing="0"/>
      </w:pPr>
      <w:proofErr w:type="spellStart"/>
      <w:proofErr w:type="gramStart"/>
      <w:r>
        <w:rPr>
          <w:rFonts w:ascii="Verdana" w:hAnsi="Verdana"/>
          <w:color w:val="000000"/>
          <w:sz w:val="20"/>
          <w:szCs w:val="20"/>
        </w:rPr>
        <w:t>Douglas,M</w:t>
      </w:r>
      <w:proofErr w:type="spellEnd"/>
      <w:r>
        <w:rPr>
          <w:rFonts w:ascii="Verdana" w:hAnsi="Verdana"/>
          <w:color w:val="000000"/>
          <w:sz w:val="20"/>
          <w:szCs w:val="20"/>
        </w:rPr>
        <w:t>.</w:t>
      </w:r>
      <w:proofErr w:type="gramEnd"/>
      <w:r>
        <w:rPr>
          <w:rFonts w:ascii="Verdana" w:hAnsi="Verdana"/>
          <w:color w:val="000000"/>
          <w:sz w:val="20"/>
          <w:szCs w:val="20"/>
        </w:rPr>
        <w:t xml:space="preserve"> (1966). </w:t>
      </w:r>
      <w:r>
        <w:rPr>
          <w:rFonts w:ascii="Verdana" w:hAnsi="Verdana"/>
          <w:i/>
          <w:iCs/>
          <w:color w:val="000000"/>
          <w:sz w:val="20"/>
          <w:szCs w:val="20"/>
        </w:rPr>
        <w:t>Purity and Danger AN ANALYSIS OF THE CONCEPTS OF POLLUTION AND TABOO</w:t>
      </w:r>
      <w:r>
        <w:rPr>
          <w:rFonts w:ascii="Verdana" w:hAnsi="Verdana"/>
          <w:color w:val="000000"/>
          <w:sz w:val="20"/>
          <w:szCs w:val="20"/>
        </w:rPr>
        <w:t>. 4th ed. London and New York: Routledge &amp; Kegan Paul Ltd. 116.</w:t>
      </w:r>
    </w:p>
    <w:p w14:paraId="48662287" w14:textId="77777777" w:rsidR="008E045A" w:rsidRDefault="008E045A" w:rsidP="008E045A">
      <w:pPr>
        <w:pStyle w:val="NormalWeb"/>
        <w:spacing w:before="0" w:beforeAutospacing="0" w:after="0" w:afterAutospacing="0"/>
      </w:pPr>
      <w:r>
        <w:br/>
      </w:r>
      <w:proofErr w:type="spellStart"/>
      <w:proofErr w:type="gramStart"/>
      <w:r>
        <w:rPr>
          <w:rFonts w:ascii="Verdana" w:hAnsi="Verdana"/>
          <w:color w:val="000000"/>
          <w:sz w:val="20"/>
          <w:szCs w:val="20"/>
        </w:rPr>
        <w:t>McClintock,A</w:t>
      </w:r>
      <w:proofErr w:type="spellEnd"/>
      <w:r>
        <w:rPr>
          <w:rFonts w:ascii="Verdana" w:hAnsi="Verdana"/>
          <w:color w:val="000000"/>
          <w:sz w:val="20"/>
          <w:szCs w:val="20"/>
        </w:rPr>
        <w:t>.</w:t>
      </w:r>
      <w:proofErr w:type="gramEnd"/>
      <w:r>
        <w:rPr>
          <w:rFonts w:ascii="Verdana" w:hAnsi="Verdana"/>
          <w:color w:val="000000"/>
          <w:sz w:val="20"/>
          <w:szCs w:val="20"/>
        </w:rPr>
        <w:t xml:space="preserve"> (1995). Double Crossings. In: </w:t>
      </w:r>
      <w:r>
        <w:rPr>
          <w:rFonts w:ascii="Verdana" w:hAnsi="Verdana"/>
          <w:i/>
          <w:iCs/>
          <w:color w:val="000000"/>
          <w:sz w:val="20"/>
          <w:szCs w:val="20"/>
        </w:rPr>
        <w:t>Imperial Leather: Race, Gender, and Sexuality in the Colonial Contest</w:t>
      </w:r>
      <w:r>
        <w:rPr>
          <w:rFonts w:ascii="Verdana" w:hAnsi="Verdana"/>
          <w:color w:val="000000"/>
          <w:sz w:val="20"/>
          <w:szCs w:val="20"/>
        </w:rPr>
        <w:t>. New York: Routledge. 276.</w:t>
      </w:r>
    </w:p>
    <w:p w14:paraId="7B5352D5" w14:textId="77777777" w:rsidR="008E045A" w:rsidRDefault="008E045A" w:rsidP="005B1E42">
      <w:pPr>
        <w:rPr>
          <w:rFonts w:ascii="Verdana" w:hAnsi="Verdana"/>
          <w:color w:val="000000"/>
          <w:sz w:val="20"/>
          <w:szCs w:val="20"/>
        </w:rPr>
      </w:pPr>
    </w:p>
    <w:p w14:paraId="450D8BE2" w14:textId="1AA027D2" w:rsidR="008E045A" w:rsidRDefault="008E045A" w:rsidP="005B1E42">
      <w:pPr>
        <w:rPr>
          <w:rFonts w:ascii="Verdana" w:hAnsi="Verdana"/>
          <w:color w:val="000000"/>
          <w:sz w:val="20"/>
          <w:szCs w:val="20"/>
        </w:rPr>
      </w:pPr>
      <w:proofErr w:type="spellStart"/>
      <w:proofErr w:type="gramStart"/>
      <w:r>
        <w:rPr>
          <w:rFonts w:ascii="Verdana" w:hAnsi="Verdana"/>
          <w:color w:val="000000"/>
          <w:sz w:val="20"/>
          <w:szCs w:val="20"/>
        </w:rPr>
        <w:t>Mendible,M</w:t>
      </w:r>
      <w:proofErr w:type="spellEnd"/>
      <w:proofErr w:type="gramEnd"/>
      <w:r>
        <w:rPr>
          <w:rFonts w:ascii="Verdana" w:hAnsi="Verdana"/>
          <w:color w:val="000000"/>
          <w:sz w:val="20"/>
          <w:szCs w:val="20"/>
        </w:rPr>
        <w:t xml:space="preserve"> (cited </w:t>
      </w:r>
      <w:proofErr w:type="spellStart"/>
      <w:r>
        <w:rPr>
          <w:rFonts w:ascii="Verdana" w:hAnsi="Verdana"/>
          <w:color w:val="000000"/>
          <w:sz w:val="20"/>
          <w:szCs w:val="20"/>
        </w:rPr>
        <w:t>Mallory,C</w:t>
      </w:r>
      <w:proofErr w:type="spellEnd"/>
      <w:r>
        <w:rPr>
          <w:rFonts w:ascii="Verdana" w:hAnsi="Verdana"/>
          <w:color w:val="000000"/>
          <w:sz w:val="20"/>
          <w:szCs w:val="20"/>
        </w:rPr>
        <w:t xml:space="preserve"> 2012)0 (2016). </w:t>
      </w:r>
      <w:r>
        <w:rPr>
          <w:rFonts w:ascii="Verdana" w:hAnsi="Verdana"/>
          <w:i/>
          <w:iCs/>
          <w:color w:val="000000"/>
          <w:sz w:val="20"/>
          <w:szCs w:val="20"/>
        </w:rPr>
        <w:t>American Shame: Stigma and the Body Politic</w:t>
      </w:r>
      <w:r>
        <w:rPr>
          <w:rFonts w:ascii="Verdana" w:hAnsi="Verdana"/>
          <w:color w:val="000000"/>
          <w:sz w:val="20"/>
          <w:szCs w:val="20"/>
        </w:rPr>
        <w:t>. Indiana: Indiana University Press. 175.</w:t>
      </w:r>
    </w:p>
    <w:p w14:paraId="0D2468E7" w14:textId="5F833EE0" w:rsidR="00AE1023" w:rsidRDefault="00AE1023" w:rsidP="005B1E42">
      <w:pPr>
        <w:rPr>
          <w:rFonts w:ascii="Verdana" w:hAnsi="Verdana"/>
          <w:color w:val="000000"/>
          <w:sz w:val="20"/>
          <w:szCs w:val="20"/>
        </w:rPr>
      </w:pPr>
      <w:r>
        <w:rPr>
          <w:rFonts w:ascii="Verdana" w:hAnsi="Verdana"/>
          <w:color w:val="000000"/>
          <w:sz w:val="20"/>
          <w:szCs w:val="20"/>
        </w:rPr>
        <w:t xml:space="preserve">Mount Saint Mary's </w:t>
      </w:r>
      <w:proofErr w:type="gramStart"/>
      <w:r>
        <w:rPr>
          <w:rFonts w:ascii="Verdana" w:hAnsi="Verdana"/>
          <w:color w:val="000000"/>
          <w:sz w:val="20"/>
          <w:szCs w:val="20"/>
        </w:rPr>
        <w:t>University .</w:t>
      </w:r>
      <w:proofErr w:type="gramEnd"/>
      <w:r>
        <w:rPr>
          <w:rFonts w:ascii="Verdana" w:hAnsi="Verdana"/>
          <w:color w:val="000000"/>
          <w:sz w:val="20"/>
          <w:szCs w:val="20"/>
        </w:rPr>
        <w:t xml:space="preserve"> (2016). </w:t>
      </w:r>
      <w:r>
        <w:rPr>
          <w:rFonts w:ascii="Verdana" w:hAnsi="Verdana"/>
          <w:i/>
          <w:iCs/>
          <w:color w:val="000000"/>
          <w:sz w:val="20"/>
          <w:szCs w:val="20"/>
        </w:rPr>
        <w:t>The Report on the Status of Women and Girls in California™</w:t>
      </w:r>
      <w:proofErr w:type="gramStart"/>
      <w:r>
        <w:rPr>
          <w:rFonts w:ascii="Verdana" w:hAnsi="Verdana"/>
          <w:i/>
          <w:iCs/>
          <w:color w:val="000000"/>
          <w:sz w:val="20"/>
          <w:szCs w:val="20"/>
        </w:rPr>
        <w:t>. .</w:t>
      </w:r>
      <w:proofErr w:type="gramEnd"/>
      <w:r>
        <w:rPr>
          <w:rFonts w:ascii="Verdana" w:hAnsi="Verdana"/>
          <w:color w:val="000000"/>
          <w:sz w:val="20"/>
          <w:szCs w:val="20"/>
        </w:rPr>
        <w:t> Available: https://www.msmu.edu/status-of-women-and-girls/past-reports/. Last accessed 21st March 2018.</w:t>
      </w:r>
    </w:p>
    <w:p w14:paraId="23768D3E" w14:textId="55D4CAB6" w:rsidR="008E045A" w:rsidRDefault="008E045A" w:rsidP="005B1E42">
      <w:proofErr w:type="spellStart"/>
      <w:proofErr w:type="gramStart"/>
      <w:r>
        <w:rPr>
          <w:rFonts w:ascii="Verdana" w:hAnsi="Verdana"/>
          <w:color w:val="000000"/>
          <w:sz w:val="20"/>
          <w:szCs w:val="20"/>
        </w:rPr>
        <w:t>Stankiewicz,M</w:t>
      </w:r>
      <w:proofErr w:type="gramEnd"/>
      <w:r>
        <w:rPr>
          <w:rFonts w:ascii="Verdana" w:hAnsi="Verdana"/>
          <w:color w:val="000000"/>
          <w:sz w:val="20"/>
          <w:szCs w:val="20"/>
        </w:rPr>
        <w:t>,J</w:t>
      </w:r>
      <w:proofErr w:type="spellEnd"/>
      <w:r>
        <w:rPr>
          <w:rFonts w:ascii="Verdana" w:hAnsi="Verdana"/>
          <w:color w:val="000000"/>
          <w:sz w:val="20"/>
          <w:szCs w:val="20"/>
        </w:rPr>
        <w:t xml:space="preserve">. , </w:t>
      </w:r>
      <w:proofErr w:type="spellStart"/>
      <w:r>
        <w:rPr>
          <w:rFonts w:ascii="Verdana" w:hAnsi="Verdana"/>
          <w:color w:val="000000"/>
          <w:sz w:val="20"/>
          <w:szCs w:val="20"/>
        </w:rPr>
        <w:t>Rosselli</w:t>
      </w:r>
      <w:proofErr w:type="spellEnd"/>
      <w:r>
        <w:rPr>
          <w:rFonts w:ascii="Verdana" w:hAnsi="Verdana"/>
          <w:color w:val="000000"/>
          <w:sz w:val="20"/>
          <w:szCs w:val="20"/>
        </w:rPr>
        <w:t xml:space="preserve">, F. (15 January 2008). </w:t>
      </w:r>
      <w:r>
        <w:rPr>
          <w:rFonts w:ascii="Verdana" w:hAnsi="Verdana"/>
          <w:i/>
          <w:iCs/>
          <w:color w:val="000000"/>
          <w:sz w:val="20"/>
          <w:szCs w:val="20"/>
        </w:rPr>
        <w:t>Women as Sex Objects and Victims in Print Advertisements.</w:t>
      </w:r>
      <w:r>
        <w:rPr>
          <w:rFonts w:ascii="Verdana" w:hAnsi="Verdana"/>
          <w:color w:val="000000"/>
          <w:sz w:val="20"/>
          <w:szCs w:val="20"/>
        </w:rPr>
        <w:t xml:space="preserve"> Available: https://link.springer.com/article/10.1007/s11199-007-9359-1. Last accessed 20th March 2018.</w:t>
      </w:r>
    </w:p>
    <w:p w14:paraId="4BD6D407" w14:textId="77777777" w:rsidR="008E045A" w:rsidRDefault="008E045A" w:rsidP="005B1E42"/>
    <w:p w14:paraId="39517BDB" w14:textId="77777777" w:rsidR="008E045A" w:rsidRDefault="008E045A" w:rsidP="005B1E42"/>
    <w:p w14:paraId="13DD4BB8" w14:textId="2BAE8ADE" w:rsidR="008E045A" w:rsidRDefault="008E045A" w:rsidP="005B1E42"/>
    <w:p w14:paraId="621222E4" w14:textId="6CD1602A" w:rsidR="008E045A" w:rsidRDefault="008E045A" w:rsidP="005B1E42"/>
    <w:p w14:paraId="37631535" w14:textId="6F316619" w:rsidR="008E045A" w:rsidRDefault="008E045A" w:rsidP="005B1E42"/>
    <w:p w14:paraId="5526B0BC" w14:textId="48570C9D" w:rsidR="008E045A" w:rsidRDefault="008E045A" w:rsidP="005B1E42"/>
    <w:p w14:paraId="4E8BC797" w14:textId="6374BC8D" w:rsidR="008E045A" w:rsidRDefault="008E045A" w:rsidP="005B1E42"/>
    <w:p w14:paraId="10725F1E" w14:textId="0EB7B8F9" w:rsidR="008E045A" w:rsidRDefault="008E045A" w:rsidP="005B1E42"/>
    <w:p w14:paraId="393FEF57" w14:textId="77777777" w:rsidR="008E045A" w:rsidRDefault="008E045A" w:rsidP="005B1E42"/>
    <w:sectPr w:rsidR="008E045A" w:rsidSect="0081364F">
      <w:headerReference w:type="default" r:id="rId6"/>
      <w:footerReference w:type="default" r:id="rId7"/>
      <w:pgSz w:w="11906" w:h="16838"/>
      <w:pgMar w:top="1440" w:right="1440" w:bottom="1440" w:left="1440" w:header="708" w:footer="708" w:gutter="0"/>
      <w:pgBorders w:offsetFrom="page">
        <w:top w:val="double" w:sz="4" w:space="24" w:color="1F3864" w:themeColor="accent1" w:themeShade="80"/>
        <w:left w:val="double" w:sz="4" w:space="24" w:color="1F3864" w:themeColor="accent1" w:themeShade="80"/>
        <w:bottom w:val="double" w:sz="4" w:space="24" w:color="1F3864" w:themeColor="accent1" w:themeShade="80"/>
        <w:right w:val="double" w:sz="4" w:space="24" w:color="1F3864" w:themeColor="accent1" w:themeShade="8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63EF1A" w14:textId="77777777" w:rsidR="0081364F" w:rsidRDefault="0081364F" w:rsidP="005B1E42">
      <w:pPr>
        <w:spacing w:after="0" w:line="240" w:lineRule="auto"/>
      </w:pPr>
      <w:r>
        <w:separator/>
      </w:r>
    </w:p>
  </w:endnote>
  <w:endnote w:type="continuationSeparator" w:id="0">
    <w:p w14:paraId="7B0DF798" w14:textId="77777777" w:rsidR="0081364F" w:rsidRDefault="0081364F" w:rsidP="005B1E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8339199"/>
      <w:docPartObj>
        <w:docPartGallery w:val="Page Numbers (Bottom of Page)"/>
        <w:docPartUnique/>
      </w:docPartObj>
    </w:sdtPr>
    <w:sdtEndPr>
      <w:rPr>
        <w:noProof/>
      </w:rPr>
    </w:sdtEndPr>
    <w:sdtContent>
      <w:p w14:paraId="19A91B75" w14:textId="168B0683" w:rsidR="0081364F" w:rsidRDefault="0081364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B7428F" w14:textId="77777777" w:rsidR="0081364F" w:rsidRDefault="008136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1D4CA0" w14:textId="77777777" w:rsidR="0081364F" w:rsidRDefault="0081364F" w:rsidP="005B1E42">
      <w:pPr>
        <w:spacing w:after="0" w:line="240" w:lineRule="auto"/>
      </w:pPr>
      <w:r>
        <w:separator/>
      </w:r>
    </w:p>
  </w:footnote>
  <w:footnote w:type="continuationSeparator" w:id="0">
    <w:p w14:paraId="066C6DEB" w14:textId="77777777" w:rsidR="0081364F" w:rsidRDefault="0081364F" w:rsidP="005B1E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3455A3" w14:textId="77777777" w:rsidR="00AE1023" w:rsidRDefault="00AE1023">
    <w:pPr>
      <w:pStyle w:val="Header"/>
    </w:pPr>
  </w:p>
  <w:p w14:paraId="532A4A3D" w14:textId="77777777" w:rsidR="00AE1023" w:rsidRDefault="00AE1023">
    <w:pPr>
      <w:pStyle w:val="Header"/>
    </w:pPr>
  </w:p>
  <w:p w14:paraId="2E842A15" w14:textId="07C607EA" w:rsidR="0081364F" w:rsidRDefault="0081364F">
    <w:pPr>
      <w:pStyle w:val="Header"/>
    </w:pPr>
    <w:r>
      <w:t xml:space="preserve">Andile Ngulube </w:t>
    </w:r>
  </w:p>
  <w:p w14:paraId="7BB74605" w14:textId="7ECC98AF" w:rsidR="0081364F" w:rsidRDefault="0081364F">
    <w:pPr>
      <w:pStyle w:val="Header"/>
    </w:pPr>
    <w:r>
      <w:t>1600218</w:t>
    </w:r>
  </w:p>
  <w:p w14:paraId="0A0A651E" w14:textId="2C334FDF" w:rsidR="0081364F" w:rsidRDefault="0081364F">
    <w:pPr>
      <w:pStyle w:val="Header"/>
    </w:pPr>
    <w:r>
      <w:t xml:space="preserve">University of Wales Trinity Saint David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E42"/>
    <w:rsid w:val="00137A1A"/>
    <w:rsid w:val="001844B4"/>
    <w:rsid w:val="001A77B3"/>
    <w:rsid w:val="00272581"/>
    <w:rsid w:val="00300EF4"/>
    <w:rsid w:val="0036239D"/>
    <w:rsid w:val="00371C6C"/>
    <w:rsid w:val="003F656F"/>
    <w:rsid w:val="004342B6"/>
    <w:rsid w:val="004B61F4"/>
    <w:rsid w:val="00590F28"/>
    <w:rsid w:val="005B1E42"/>
    <w:rsid w:val="005B4EAE"/>
    <w:rsid w:val="005C33CB"/>
    <w:rsid w:val="00627DB0"/>
    <w:rsid w:val="007261BA"/>
    <w:rsid w:val="007A0FE2"/>
    <w:rsid w:val="007E1715"/>
    <w:rsid w:val="007E42B4"/>
    <w:rsid w:val="0081364F"/>
    <w:rsid w:val="0081789A"/>
    <w:rsid w:val="00847B31"/>
    <w:rsid w:val="00853956"/>
    <w:rsid w:val="00857FDE"/>
    <w:rsid w:val="008A3EEA"/>
    <w:rsid w:val="008E045A"/>
    <w:rsid w:val="008E0F35"/>
    <w:rsid w:val="00922496"/>
    <w:rsid w:val="0092430C"/>
    <w:rsid w:val="00925089"/>
    <w:rsid w:val="009B3B89"/>
    <w:rsid w:val="00A50BEB"/>
    <w:rsid w:val="00A80D84"/>
    <w:rsid w:val="00AB556D"/>
    <w:rsid w:val="00AD0CFA"/>
    <w:rsid w:val="00AE1023"/>
    <w:rsid w:val="00AE7771"/>
    <w:rsid w:val="00B469A2"/>
    <w:rsid w:val="00BB79C0"/>
    <w:rsid w:val="00BD4CC4"/>
    <w:rsid w:val="00BF5105"/>
    <w:rsid w:val="00C0106E"/>
    <w:rsid w:val="00C50036"/>
    <w:rsid w:val="00C53D6B"/>
    <w:rsid w:val="00C92A06"/>
    <w:rsid w:val="00CC75B4"/>
    <w:rsid w:val="00CE5849"/>
    <w:rsid w:val="00CE67E8"/>
    <w:rsid w:val="00CF4AF5"/>
    <w:rsid w:val="00D20283"/>
    <w:rsid w:val="00D5286C"/>
    <w:rsid w:val="00DD22AB"/>
    <w:rsid w:val="00F10C28"/>
    <w:rsid w:val="00F40983"/>
    <w:rsid w:val="00F46A62"/>
    <w:rsid w:val="00FA06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CDBB4"/>
  <w15:chartTrackingRefBased/>
  <w15:docId w15:val="{DC2884C2-F2A0-4BD6-8C42-3D4043B01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1E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1E42"/>
  </w:style>
  <w:style w:type="paragraph" w:styleId="Footer">
    <w:name w:val="footer"/>
    <w:basedOn w:val="Normal"/>
    <w:link w:val="FooterChar"/>
    <w:uiPriority w:val="99"/>
    <w:unhideWhenUsed/>
    <w:rsid w:val="005B1E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1E42"/>
  </w:style>
  <w:style w:type="paragraph" w:styleId="Title">
    <w:name w:val="Title"/>
    <w:basedOn w:val="Normal"/>
    <w:next w:val="Normal"/>
    <w:link w:val="TitleChar"/>
    <w:uiPriority w:val="10"/>
    <w:qFormat/>
    <w:rsid w:val="0081364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364F"/>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8E045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7686393">
      <w:bodyDiv w:val="1"/>
      <w:marLeft w:val="0"/>
      <w:marRight w:val="0"/>
      <w:marTop w:val="0"/>
      <w:marBottom w:val="0"/>
      <w:divBdr>
        <w:top w:val="none" w:sz="0" w:space="0" w:color="auto"/>
        <w:left w:val="none" w:sz="0" w:space="0" w:color="auto"/>
        <w:bottom w:val="none" w:sz="0" w:space="0" w:color="auto"/>
        <w:right w:val="none" w:sz="0" w:space="0" w:color="auto"/>
      </w:divBdr>
    </w:div>
    <w:div w:id="1047413776">
      <w:bodyDiv w:val="1"/>
      <w:marLeft w:val="0"/>
      <w:marRight w:val="0"/>
      <w:marTop w:val="0"/>
      <w:marBottom w:val="0"/>
      <w:divBdr>
        <w:top w:val="none" w:sz="0" w:space="0" w:color="auto"/>
        <w:left w:val="none" w:sz="0" w:space="0" w:color="auto"/>
        <w:bottom w:val="none" w:sz="0" w:space="0" w:color="auto"/>
        <w:right w:val="none" w:sz="0" w:space="0" w:color="auto"/>
      </w:divBdr>
    </w:div>
    <w:div w:id="2133210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1488</TotalTime>
  <Pages>6</Pages>
  <Words>2409</Words>
  <Characters>13732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Andile Ngulube</dc:creator>
  <cp:keywords/>
  <dc:description/>
  <cp:lastModifiedBy>Andile Ngulube</cp:lastModifiedBy>
  <cp:revision>1</cp:revision>
  <dcterms:created xsi:type="dcterms:W3CDTF">2018-03-22T23:01:00Z</dcterms:created>
  <dcterms:modified xsi:type="dcterms:W3CDTF">2018-03-23T23:49:00Z</dcterms:modified>
</cp:coreProperties>
</file>