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E1F0E" w14:textId="77777777" w:rsidR="000B4B11" w:rsidRPr="000572D3" w:rsidRDefault="000B4B11" w:rsidP="000B4B11">
      <w:pPr>
        <w:jc w:val="center"/>
        <w:rPr>
          <w:rFonts w:ascii="Arial" w:hAnsi="Arial" w:cs="Arial"/>
        </w:rPr>
      </w:pPr>
      <w:r w:rsidRPr="000572D3">
        <w:rPr>
          <w:rFonts w:ascii="Arial" w:hAnsi="Arial" w:cs="Arial"/>
          <w:noProof/>
          <w:lang w:val="en-US"/>
        </w:rPr>
        <w:drawing>
          <wp:inline distT="0" distB="0" distL="0" distR="0" wp14:anchorId="41AD83B8" wp14:editId="38A30B0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0572D3">
        <w:rPr>
          <w:rFonts w:ascii="Arial" w:hAnsi="Arial" w:cs="Arial"/>
        </w:rPr>
        <w:fldChar w:fldCharType="begin"/>
      </w:r>
      <w:r w:rsidRPr="000572D3">
        <w:rPr>
          <w:rFonts w:ascii="Arial" w:hAnsi="Arial" w:cs="Arial"/>
        </w:rPr>
        <w:instrText xml:space="preserve"> INCLUDEPICTURE "C:\\Users\\AzZedin01\\Library\\Group Containers\\UBF8T346G9.ms\\WebArchiveCopyPasteTempFiles\\com.microsoft.Word\\8P2xdp3q1g646AAAAAElFTkSuQmCC" \* MERGEFORMAT </w:instrText>
      </w:r>
      <w:r w:rsidRPr="000572D3">
        <w:rPr>
          <w:rFonts w:ascii="Arial" w:hAnsi="Arial" w:cs="Arial"/>
        </w:rPr>
        <w:fldChar w:fldCharType="end"/>
      </w:r>
    </w:p>
    <w:p w14:paraId="02E63510" w14:textId="77777777" w:rsidR="000B4B11" w:rsidRPr="000572D3" w:rsidRDefault="000B4B11" w:rsidP="000B4B11">
      <w:pPr>
        <w:jc w:val="center"/>
        <w:rPr>
          <w:rFonts w:ascii="Arial" w:hAnsi="Arial" w:cs="Arial"/>
        </w:rPr>
      </w:pPr>
    </w:p>
    <w:p w14:paraId="7569AC33" w14:textId="459F8A7A" w:rsidR="000B4B11" w:rsidRPr="000572D3" w:rsidRDefault="000B4B11" w:rsidP="000B4B11">
      <w:pPr>
        <w:jc w:val="center"/>
        <w:rPr>
          <w:rFonts w:ascii="Arial" w:hAnsi="Arial" w:cs="Arial"/>
          <w:b/>
          <w:bCs/>
          <w:sz w:val="32"/>
          <w:szCs w:val="28"/>
        </w:rPr>
      </w:pPr>
      <w:r w:rsidRPr="000572D3">
        <w:rPr>
          <w:rFonts w:ascii="Arial" w:hAnsi="Arial" w:cs="Arial"/>
          <w:b/>
          <w:bCs/>
          <w:sz w:val="32"/>
          <w:szCs w:val="28"/>
        </w:rPr>
        <w:t>Student Name:</w:t>
      </w:r>
      <w:r w:rsidR="00E7170D">
        <w:rPr>
          <w:rFonts w:ascii="Arial" w:hAnsi="Arial" w:cs="Arial"/>
          <w:b/>
          <w:bCs/>
          <w:sz w:val="32"/>
          <w:szCs w:val="28"/>
        </w:rPr>
        <w:t xml:space="preserve"> Kartik </w:t>
      </w:r>
      <w:proofErr w:type="spellStart"/>
      <w:r w:rsidR="00E7170D">
        <w:rPr>
          <w:rFonts w:ascii="Arial" w:hAnsi="Arial" w:cs="Arial"/>
          <w:b/>
          <w:bCs/>
          <w:sz w:val="32"/>
          <w:szCs w:val="28"/>
        </w:rPr>
        <w:t>Mukeshbhai</w:t>
      </w:r>
      <w:proofErr w:type="spellEnd"/>
      <w:r w:rsidR="00E7170D">
        <w:rPr>
          <w:rFonts w:ascii="Arial" w:hAnsi="Arial" w:cs="Arial"/>
          <w:b/>
          <w:bCs/>
          <w:sz w:val="32"/>
          <w:szCs w:val="28"/>
        </w:rPr>
        <w:t xml:space="preserve"> Raval</w:t>
      </w:r>
    </w:p>
    <w:p w14:paraId="08060DEE" w14:textId="5A86D323" w:rsidR="000B4B11" w:rsidRPr="000572D3" w:rsidRDefault="000B4B11" w:rsidP="000B4B11">
      <w:pPr>
        <w:jc w:val="center"/>
        <w:rPr>
          <w:rFonts w:ascii="Arial" w:hAnsi="Arial" w:cs="Arial"/>
          <w:b/>
          <w:bCs/>
          <w:sz w:val="32"/>
          <w:szCs w:val="28"/>
        </w:rPr>
      </w:pPr>
      <w:r w:rsidRPr="000572D3">
        <w:rPr>
          <w:rFonts w:ascii="Arial" w:hAnsi="Arial" w:cs="Arial"/>
          <w:b/>
          <w:bCs/>
          <w:sz w:val="32"/>
          <w:szCs w:val="28"/>
        </w:rPr>
        <w:t>Student ID:</w:t>
      </w:r>
      <w:r w:rsidR="00E7170D">
        <w:rPr>
          <w:rFonts w:ascii="Arial" w:hAnsi="Arial" w:cs="Arial"/>
          <w:b/>
          <w:bCs/>
          <w:sz w:val="32"/>
          <w:szCs w:val="28"/>
        </w:rPr>
        <w:t xml:space="preserve"> 2519361</w:t>
      </w:r>
    </w:p>
    <w:p w14:paraId="6B510973" w14:textId="77777777" w:rsidR="000B4B11" w:rsidRPr="000572D3" w:rsidRDefault="000B4B11" w:rsidP="000B4B11">
      <w:pPr>
        <w:jc w:val="center"/>
        <w:rPr>
          <w:rFonts w:ascii="Arial" w:hAnsi="Arial" w:cs="Arial"/>
          <w:sz w:val="32"/>
          <w:szCs w:val="28"/>
        </w:rPr>
      </w:pPr>
    </w:p>
    <w:p w14:paraId="39FC4B24" w14:textId="3F662AB1" w:rsidR="000B4B11" w:rsidRPr="000572D3" w:rsidRDefault="000B4B11" w:rsidP="000B4B11">
      <w:pPr>
        <w:jc w:val="center"/>
        <w:rPr>
          <w:rFonts w:ascii="Arial" w:hAnsi="Arial" w:cs="Arial"/>
          <w:b/>
          <w:bCs/>
          <w:sz w:val="32"/>
          <w:szCs w:val="28"/>
        </w:rPr>
      </w:pPr>
      <w:r w:rsidRPr="000572D3">
        <w:rPr>
          <w:rFonts w:ascii="Arial" w:hAnsi="Arial" w:cs="Arial"/>
          <w:b/>
          <w:bCs/>
          <w:sz w:val="32"/>
          <w:szCs w:val="28"/>
        </w:rPr>
        <w:t>Module Name: International Marketing: Principles and Practices</w:t>
      </w:r>
    </w:p>
    <w:p w14:paraId="5F720EBF" w14:textId="0BC7F8F5" w:rsidR="000B4B11" w:rsidRPr="000572D3" w:rsidRDefault="000B4B11" w:rsidP="000B4B11">
      <w:pPr>
        <w:jc w:val="center"/>
        <w:rPr>
          <w:rFonts w:ascii="Arial" w:hAnsi="Arial" w:cs="Arial"/>
          <w:b/>
          <w:bCs/>
          <w:sz w:val="32"/>
          <w:szCs w:val="28"/>
        </w:rPr>
      </w:pPr>
      <w:r w:rsidRPr="000572D3">
        <w:rPr>
          <w:rFonts w:ascii="Arial" w:hAnsi="Arial" w:cs="Arial"/>
          <w:b/>
          <w:bCs/>
          <w:sz w:val="32"/>
          <w:szCs w:val="28"/>
        </w:rPr>
        <w:t>Module Code: LCMB7026</w:t>
      </w:r>
    </w:p>
    <w:p w14:paraId="35AC9E10" w14:textId="1C14AC6A" w:rsidR="000B4B11" w:rsidRPr="000572D3" w:rsidRDefault="000B4B11" w:rsidP="000B4B11">
      <w:pPr>
        <w:jc w:val="center"/>
        <w:rPr>
          <w:rFonts w:ascii="Arial" w:hAnsi="Arial" w:cs="Arial"/>
          <w:b/>
          <w:bCs/>
          <w:sz w:val="32"/>
          <w:szCs w:val="28"/>
        </w:rPr>
      </w:pPr>
      <w:r w:rsidRPr="000572D3">
        <w:rPr>
          <w:rFonts w:ascii="Arial" w:hAnsi="Arial" w:cs="Arial"/>
          <w:b/>
          <w:bCs/>
          <w:sz w:val="32"/>
          <w:szCs w:val="28"/>
        </w:rPr>
        <w:t>Lecturer’s Name:</w:t>
      </w:r>
      <w:r w:rsidR="00E7170D">
        <w:rPr>
          <w:rFonts w:ascii="Arial" w:hAnsi="Arial" w:cs="Arial"/>
          <w:b/>
          <w:bCs/>
          <w:sz w:val="32"/>
          <w:szCs w:val="28"/>
        </w:rPr>
        <w:t xml:space="preserve"> Tushara </w:t>
      </w:r>
      <w:proofErr w:type="spellStart"/>
      <w:r w:rsidR="00E7170D">
        <w:rPr>
          <w:rFonts w:ascii="Arial" w:hAnsi="Arial" w:cs="Arial"/>
          <w:b/>
          <w:bCs/>
          <w:sz w:val="32"/>
          <w:szCs w:val="28"/>
        </w:rPr>
        <w:t>Balendran</w:t>
      </w:r>
      <w:proofErr w:type="spellEnd"/>
    </w:p>
    <w:p w14:paraId="04455FE2" w14:textId="7550C7AA" w:rsidR="000B4B11" w:rsidRPr="000572D3" w:rsidRDefault="000B4B11" w:rsidP="000B4B11">
      <w:pPr>
        <w:rPr>
          <w:rFonts w:ascii="Arial" w:hAnsi="Arial" w:cs="Arial"/>
          <w:b/>
          <w:bCs/>
          <w:sz w:val="32"/>
          <w:szCs w:val="28"/>
        </w:rPr>
      </w:pPr>
    </w:p>
    <w:p w14:paraId="3708C99B" w14:textId="40437526" w:rsidR="000B4B11" w:rsidRPr="000572D3" w:rsidRDefault="000B4B11" w:rsidP="000B4B11">
      <w:pPr>
        <w:jc w:val="center"/>
        <w:rPr>
          <w:rFonts w:ascii="Arial" w:hAnsi="Arial" w:cs="Arial"/>
          <w:b/>
          <w:bCs/>
          <w:sz w:val="32"/>
          <w:szCs w:val="28"/>
        </w:rPr>
      </w:pPr>
      <w:r w:rsidRPr="000572D3">
        <w:rPr>
          <w:rFonts w:ascii="Arial" w:hAnsi="Arial" w:cs="Arial"/>
          <w:b/>
          <w:bCs/>
          <w:sz w:val="32"/>
          <w:szCs w:val="28"/>
        </w:rPr>
        <w:t>International Market Entry Strategy and Marketing Mix Analysis of Cadbury: A Comparative Study of the UK and Cuba</w:t>
      </w:r>
    </w:p>
    <w:p w14:paraId="5FE7C08F" w14:textId="77777777" w:rsidR="000B4B11" w:rsidRPr="000572D3" w:rsidRDefault="000B4B11" w:rsidP="000B4B11">
      <w:pPr>
        <w:jc w:val="center"/>
        <w:rPr>
          <w:rFonts w:ascii="Arial" w:hAnsi="Arial" w:cs="Arial"/>
          <w:b/>
          <w:bCs/>
          <w:sz w:val="32"/>
          <w:szCs w:val="28"/>
        </w:rPr>
      </w:pPr>
    </w:p>
    <w:p w14:paraId="5B14A291" w14:textId="5321FF10" w:rsidR="000B4B11" w:rsidRPr="000572D3" w:rsidRDefault="000B4B11" w:rsidP="000B4B11">
      <w:pPr>
        <w:jc w:val="center"/>
        <w:rPr>
          <w:rFonts w:ascii="Arial" w:hAnsi="Arial" w:cs="Arial"/>
          <w:b/>
          <w:bCs/>
          <w:sz w:val="32"/>
          <w:szCs w:val="28"/>
        </w:rPr>
      </w:pPr>
      <w:r w:rsidRPr="000572D3">
        <w:rPr>
          <w:rFonts w:ascii="Arial" w:hAnsi="Arial" w:cs="Arial"/>
          <w:b/>
          <w:bCs/>
          <w:sz w:val="32"/>
          <w:szCs w:val="28"/>
        </w:rPr>
        <w:t>Ter</w:t>
      </w:r>
      <w:r w:rsidR="00E7170D">
        <w:rPr>
          <w:rFonts w:ascii="Arial" w:hAnsi="Arial" w:cs="Arial"/>
          <w:b/>
          <w:bCs/>
          <w:sz w:val="32"/>
          <w:szCs w:val="28"/>
        </w:rPr>
        <w:t>m 2</w:t>
      </w:r>
    </w:p>
    <w:p w14:paraId="6053C289" w14:textId="77777777" w:rsidR="000B4B11" w:rsidRPr="000572D3" w:rsidRDefault="000B4B11">
      <w:pPr>
        <w:spacing w:line="259" w:lineRule="auto"/>
        <w:jc w:val="left"/>
        <w:rPr>
          <w:rFonts w:ascii="Arial" w:hAnsi="Arial" w:cs="Arial"/>
          <w:b/>
          <w:bCs/>
          <w:sz w:val="28"/>
          <w:szCs w:val="28"/>
        </w:rPr>
      </w:pPr>
      <w:r w:rsidRPr="000572D3">
        <w:rPr>
          <w:rFonts w:ascii="Arial" w:hAnsi="Arial" w:cs="Arial"/>
          <w:b/>
          <w:bCs/>
          <w:sz w:val="28"/>
          <w:szCs w:val="28"/>
        </w:rPr>
        <w:br w:type="page"/>
      </w: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238"/>
        <w:gridCol w:w="5365"/>
        <w:gridCol w:w="1407"/>
      </w:tblGrid>
      <w:tr w:rsidR="000B4B11" w:rsidRPr="000572D3" w14:paraId="4ACE3710" w14:textId="77777777" w:rsidTr="000B4B11">
        <w:trPr>
          <w:trHeight w:val="1235"/>
        </w:trPr>
        <w:tc>
          <w:tcPr>
            <w:tcW w:w="1242" w:type="pct"/>
            <w:tcBorders>
              <w:bottom w:val="single" w:sz="4" w:space="0" w:color="000000"/>
              <w:right w:val="single" w:sz="4" w:space="0" w:color="000000"/>
            </w:tcBorders>
            <w:shd w:val="clear" w:color="auto" w:fill="91CF50"/>
          </w:tcPr>
          <w:p w14:paraId="400A211F" w14:textId="77777777" w:rsidR="000B4B11" w:rsidRPr="000572D3" w:rsidRDefault="000B4B11" w:rsidP="00614DFF">
            <w:pPr>
              <w:pStyle w:val="TableParagraph"/>
              <w:spacing w:line="253" w:lineRule="exact"/>
              <w:ind w:left="105"/>
              <w:rPr>
                <w:sz w:val="24"/>
              </w:rPr>
            </w:pPr>
            <w:r w:rsidRPr="000572D3">
              <w:rPr>
                <w:spacing w:val="-2"/>
                <w:sz w:val="24"/>
              </w:rPr>
              <w:lastRenderedPageBreak/>
              <w:t>RESEARCH</w:t>
            </w:r>
          </w:p>
        </w:tc>
        <w:tc>
          <w:tcPr>
            <w:tcW w:w="2977" w:type="pct"/>
            <w:tcBorders>
              <w:left w:val="single" w:sz="4" w:space="0" w:color="000000"/>
              <w:bottom w:val="single" w:sz="4" w:space="0" w:color="000000"/>
              <w:right w:val="single" w:sz="4" w:space="0" w:color="000000"/>
            </w:tcBorders>
            <w:shd w:val="clear" w:color="auto" w:fill="91CF50"/>
          </w:tcPr>
          <w:p w14:paraId="5FA5774E" w14:textId="77777777" w:rsidR="000B4B11" w:rsidRPr="000572D3" w:rsidRDefault="000B4B11" w:rsidP="000B4B11">
            <w:pPr>
              <w:pStyle w:val="TableParagraph"/>
              <w:spacing w:line="360" w:lineRule="auto"/>
              <w:jc w:val="both"/>
              <w:rPr>
                <w:sz w:val="24"/>
              </w:rPr>
            </w:pPr>
            <w:r w:rsidRPr="000572D3">
              <w:rPr>
                <w:sz w:val="24"/>
              </w:rPr>
              <w:t>For</w:t>
            </w:r>
            <w:r w:rsidRPr="000572D3">
              <w:rPr>
                <w:spacing w:val="-4"/>
                <w:sz w:val="24"/>
              </w:rPr>
              <w:t xml:space="preserve"> </w:t>
            </w:r>
            <w:r w:rsidRPr="000572D3">
              <w:rPr>
                <w:sz w:val="24"/>
              </w:rPr>
              <w:t>this</w:t>
            </w:r>
            <w:r w:rsidRPr="000572D3">
              <w:rPr>
                <w:spacing w:val="-4"/>
                <w:sz w:val="24"/>
              </w:rPr>
              <w:t xml:space="preserve"> </w:t>
            </w:r>
            <w:r w:rsidRPr="000572D3">
              <w:rPr>
                <w:sz w:val="24"/>
              </w:rPr>
              <w:t>assessment,</w:t>
            </w:r>
            <w:r w:rsidRPr="000572D3">
              <w:rPr>
                <w:spacing w:val="-6"/>
                <w:sz w:val="24"/>
              </w:rPr>
              <w:t xml:space="preserve"> </w:t>
            </w:r>
            <w:r w:rsidRPr="000572D3">
              <w:rPr>
                <w:sz w:val="24"/>
              </w:rPr>
              <w:t>you</w:t>
            </w:r>
            <w:r w:rsidRPr="000572D3">
              <w:rPr>
                <w:spacing w:val="-5"/>
                <w:sz w:val="24"/>
              </w:rPr>
              <w:t xml:space="preserve"> </w:t>
            </w:r>
            <w:r w:rsidRPr="000572D3">
              <w:rPr>
                <w:sz w:val="24"/>
              </w:rPr>
              <w:t>can</w:t>
            </w:r>
            <w:r w:rsidRPr="000572D3">
              <w:rPr>
                <w:spacing w:val="-4"/>
                <w:sz w:val="24"/>
              </w:rPr>
              <w:t xml:space="preserve"> </w:t>
            </w:r>
            <w:r w:rsidRPr="000572D3">
              <w:rPr>
                <w:sz w:val="24"/>
              </w:rPr>
              <w:t>use</w:t>
            </w:r>
            <w:r w:rsidRPr="000572D3">
              <w:rPr>
                <w:spacing w:val="-7"/>
                <w:sz w:val="24"/>
              </w:rPr>
              <w:t xml:space="preserve"> </w:t>
            </w:r>
            <w:r w:rsidRPr="000572D3">
              <w:rPr>
                <w:sz w:val="24"/>
              </w:rPr>
              <w:t>Generative</w:t>
            </w:r>
            <w:r w:rsidRPr="000572D3">
              <w:rPr>
                <w:spacing w:val="-4"/>
                <w:sz w:val="24"/>
              </w:rPr>
              <w:t xml:space="preserve"> </w:t>
            </w:r>
            <w:r w:rsidRPr="000572D3">
              <w:rPr>
                <w:sz w:val="24"/>
              </w:rPr>
              <w:t>AI</w:t>
            </w:r>
            <w:r w:rsidRPr="000572D3">
              <w:rPr>
                <w:spacing w:val="-6"/>
                <w:sz w:val="24"/>
              </w:rPr>
              <w:t xml:space="preserve"> </w:t>
            </w:r>
            <w:r w:rsidRPr="000572D3">
              <w:rPr>
                <w:sz w:val="24"/>
              </w:rPr>
              <w:t>to support you in research and data analysis.</w:t>
            </w:r>
          </w:p>
        </w:tc>
        <w:tc>
          <w:tcPr>
            <w:tcW w:w="781" w:type="pct"/>
            <w:tcBorders>
              <w:left w:val="single" w:sz="4" w:space="0" w:color="000000"/>
              <w:bottom w:val="single" w:sz="4" w:space="0" w:color="000000"/>
            </w:tcBorders>
            <w:shd w:val="clear" w:color="auto" w:fill="91CF50"/>
          </w:tcPr>
          <w:p w14:paraId="69DECB64" w14:textId="61D22DE9" w:rsidR="000B4B11" w:rsidRPr="000572D3" w:rsidRDefault="000B4B11" w:rsidP="00614DFF">
            <w:pPr>
              <w:pStyle w:val="TableParagraph"/>
              <w:spacing w:before="3"/>
              <w:ind w:left="111"/>
              <w:rPr>
                <w:rFonts w:ascii="SimSun-ExtB" w:hAnsi="SimSun-ExtB"/>
                <w:sz w:val="24"/>
              </w:rPr>
            </w:pPr>
            <w:r w:rsidRPr="000572D3">
              <w:rPr>
                <w:sz w:val="24"/>
              </w:rPr>
              <w:t>Yes</w:t>
            </w:r>
            <w:r w:rsidRPr="000572D3">
              <w:rPr>
                <w:spacing w:val="-1"/>
                <w:sz w:val="24"/>
              </w:rPr>
              <w:t xml:space="preserve"> </w:t>
            </w:r>
            <w:r w:rsidRPr="000572D3">
              <w:rPr>
                <w:rFonts w:ascii="SimSun-ExtB" w:hAnsi="SimSun-ExtB"/>
                <w:spacing w:val="-10"/>
                <w:sz w:val="24"/>
              </w:rPr>
              <w:t>☐</w:t>
            </w:r>
          </w:p>
          <w:p w14:paraId="232DB64A" w14:textId="77777777" w:rsidR="000B4B11" w:rsidRPr="000572D3" w:rsidRDefault="000B4B11" w:rsidP="00614DFF">
            <w:pPr>
              <w:pStyle w:val="TableParagraph"/>
              <w:ind w:left="0"/>
              <w:rPr>
                <w:sz w:val="24"/>
              </w:rPr>
            </w:pPr>
          </w:p>
          <w:p w14:paraId="2BB6EB22" w14:textId="77777777" w:rsidR="000B4B11" w:rsidRPr="000572D3" w:rsidRDefault="000B4B11" w:rsidP="00614DFF">
            <w:pPr>
              <w:pStyle w:val="TableParagraph"/>
              <w:spacing w:before="18"/>
              <w:ind w:left="0"/>
              <w:rPr>
                <w:sz w:val="24"/>
              </w:rPr>
            </w:pPr>
          </w:p>
          <w:p w14:paraId="23673E50" w14:textId="5F42C9F5" w:rsidR="000B4B11" w:rsidRPr="000572D3" w:rsidRDefault="000B4B11" w:rsidP="00614DFF">
            <w:pPr>
              <w:pStyle w:val="TableParagraph"/>
              <w:ind w:left="111"/>
              <w:rPr>
                <w:rFonts w:ascii="SimSun-ExtB" w:hAnsi="SimSun-ExtB"/>
                <w:sz w:val="24"/>
              </w:rPr>
            </w:pPr>
            <w:r w:rsidRPr="000572D3">
              <w:rPr>
                <w:sz w:val="24"/>
              </w:rPr>
              <w:t>No</w:t>
            </w:r>
            <w:r w:rsidRPr="000572D3">
              <w:rPr>
                <w:spacing w:val="62"/>
                <w:sz w:val="24"/>
              </w:rPr>
              <w:t xml:space="preserve"> </w:t>
            </w:r>
            <w:r w:rsidRPr="000572D3">
              <w:rPr>
                <w:rFonts w:ascii="SimSun-ExtB" w:hAnsi="SimSun-ExtB"/>
                <w:spacing w:val="-10"/>
                <w:sz w:val="24"/>
              </w:rPr>
              <w:t>☒</w:t>
            </w:r>
          </w:p>
        </w:tc>
      </w:tr>
      <w:tr w:rsidR="000B4B11" w:rsidRPr="000572D3" w14:paraId="4E43C9CC" w14:textId="77777777" w:rsidTr="000B4B11">
        <w:trPr>
          <w:trHeight w:val="1516"/>
        </w:trPr>
        <w:tc>
          <w:tcPr>
            <w:tcW w:w="1242" w:type="pct"/>
            <w:tcBorders>
              <w:top w:val="single" w:sz="4" w:space="0" w:color="000000"/>
              <w:bottom w:val="single" w:sz="4" w:space="0" w:color="000000"/>
              <w:right w:val="single" w:sz="4" w:space="0" w:color="000000"/>
            </w:tcBorders>
          </w:tcPr>
          <w:p w14:paraId="64233CE6" w14:textId="77777777" w:rsidR="000B4B11" w:rsidRPr="000572D3" w:rsidRDefault="000B4B11" w:rsidP="00614DFF">
            <w:pPr>
              <w:pStyle w:val="TableParagraph"/>
              <w:ind w:left="105"/>
              <w:rPr>
                <w:sz w:val="24"/>
              </w:rPr>
            </w:pPr>
            <w:r w:rsidRPr="000572D3">
              <w:rPr>
                <w:spacing w:val="-2"/>
                <w:sz w:val="24"/>
              </w:rPr>
              <w:t>STRUCTURE</w:t>
            </w:r>
          </w:p>
        </w:tc>
        <w:tc>
          <w:tcPr>
            <w:tcW w:w="2977" w:type="pct"/>
            <w:tcBorders>
              <w:top w:val="single" w:sz="4" w:space="0" w:color="000000"/>
              <w:left w:val="single" w:sz="4" w:space="0" w:color="000000"/>
              <w:bottom w:val="single" w:sz="4" w:space="0" w:color="000000"/>
              <w:right w:val="single" w:sz="4" w:space="0" w:color="000000"/>
            </w:tcBorders>
          </w:tcPr>
          <w:p w14:paraId="36E42676" w14:textId="77777777" w:rsidR="000B4B11" w:rsidRPr="000572D3" w:rsidRDefault="000B4B11" w:rsidP="000B4B11">
            <w:pPr>
              <w:pStyle w:val="TableParagraph"/>
              <w:spacing w:line="360" w:lineRule="auto"/>
              <w:ind w:hanging="1"/>
              <w:jc w:val="both"/>
              <w:rPr>
                <w:sz w:val="24"/>
              </w:rPr>
            </w:pPr>
            <w:r w:rsidRPr="000572D3">
              <w:rPr>
                <w:sz w:val="24"/>
              </w:rPr>
              <w:t>For this assessment, you can use Generative AI to support</w:t>
            </w:r>
            <w:r w:rsidRPr="000572D3">
              <w:rPr>
                <w:spacing w:val="-8"/>
                <w:sz w:val="24"/>
              </w:rPr>
              <w:t xml:space="preserve"> </w:t>
            </w:r>
            <w:r w:rsidRPr="000572D3">
              <w:rPr>
                <w:sz w:val="24"/>
              </w:rPr>
              <w:t>you</w:t>
            </w:r>
            <w:r w:rsidRPr="000572D3">
              <w:rPr>
                <w:spacing w:val="-5"/>
                <w:sz w:val="24"/>
              </w:rPr>
              <w:t xml:space="preserve"> </w:t>
            </w:r>
            <w:r w:rsidRPr="000572D3">
              <w:rPr>
                <w:sz w:val="24"/>
              </w:rPr>
              <w:t>in</w:t>
            </w:r>
            <w:r w:rsidRPr="000572D3">
              <w:rPr>
                <w:spacing w:val="-8"/>
                <w:sz w:val="24"/>
              </w:rPr>
              <w:t xml:space="preserve"> </w:t>
            </w:r>
            <w:r w:rsidRPr="000572D3">
              <w:rPr>
                <w:sz w:val="24"/>
              </w:rPr>
              <w:t>structuring</w:t>
            </w:r>
            <w:r w:rsidRPr="000572D3">
              <w:rPr>
                <w:spacing w:val="-8"/>
                <w:sz w:val="24"/>
              </w:rPr>
              <w:t xml:space="preserve"> </w:t>
            </w:r>
            <w:r w:rsidRPr="000572D3">
              <w:rPr>
                <w:sz w:val="24"/>
              </w:rPr>
              <w:t>your</w:t>
            </w:r>
            <w:r w:rsidRPr="000572D3">
              <w:rPr>
                <w:spacing w:val="-8"/>
                <w:sz w:val="24"/>
              </w:rPr>
              <w:t xml:space="preserve"> </w:t>
            </w:r>
            <w:r w:rsidRPr="000572D3">
              <w:rPr>
                <w:sz w:val="24"/>
              </w:rPr>
              <w:t>submission,</w:t>
            </w:r>
            <w:r w:rsidRPr="000572D3">
              <w:rPr>
                <w:spacing w:val="-4"/>
                <w:sz w:val="24"/>
              </w:rPr>
              <w:t xml:space="preserve"> </w:t>
            </w:r>
            <w:r w:rsidRPr="000572D3">
              <w:rPr>
                <w:sz w:val="24"/>
              </w:rPr>
              <w:t>including creating a draft argument structure, identifying parts</w:t>
            </w:r>
          </w:p>
          <w:p w14:paraId="69A44DB6" w14:textId="77777777" w:rsidR="000B4B11" w:rsidRPr="000572D3" w:rsidRDefault="000B4B11" w:rsidP="000B4B11">
            <w:pPr>
              <w:pStyle w:val="TableParagraph"/>
              <w:spacing w:line="252" w:lineRule="exact"/>
              <w:jc w:val="both"/>
              <w:rPr>
                <w:sz w:val="24"/>
              </w:rPr>
            </w:pPr>
            <w:r w:rsidRPr="000572D3">
              <w:rPr>
                <w:sz w:val="24"/>
              </w:rPr>
              <w:t>and</w:t>
            </w:r>
            <w:r w:rsidRPr="000572D3">
              <w:rPr>
                <w:spacing w:val="-5"/>
                <w:sz w:val="24"/>
              </w:rPr>
              <w:t xml:space="preserve"> </w:t>
            </w:r>
            <w:r w:rsidRPr="000572D3">
              <w:rPr>
                <w:sz w:val="24"/>
              </w:rPr>
              <w:t>headings,</w:t>
            </w:r>
            <w:r w:rsidRPr="000572D3">
              <w:rPr>
                <w:spacing w:val="-2"/>
                <w:sz w:val="24"/>
              </w:rPr>
              <w:t xml:space="preserve"> </w:t>
            </w:r>
            <w:r w:rsidRPr="000572D3">
              <w:rPr>
                <w:spacing w:val="-4"/>
                <w:sz w:val="24"/>
              </w:rPr>
              <w:t>etc.</w:t>
            </w:r>
          </w:p>
        </w:tc>
        <w:tc>
          <w:tcPr>
            <w:tcW w:w="781" w:type="pct"/>
            <w:tcBorders>
              <w:top w:val="single" w:sz="4" w:space="0" w:color="000000"/>
              <w:left w:val="single" w:sz="4" w:space="0" w:color="000000"/>
              <w:bottom w:val="single" w:sz="4" w:space="0" w:color="000000"/>
            </w:tcBorders>
          </w:tcPr>
          <w:p w14:paraId="5F463EF1" w14:textId="77777777" w:rsidR="000B4B11" w:rsidRPr="000572D3" w:rsidRDefault="000B4B11" w:rsidP="00614DFF">
            <w:pPr>
              <w:pStyle w:val="TableParagraph"/>
              <w:spacing w:before="3"/>
              <w:ind w:left="111"/>
              <w:rPr>
                <w:rFonts w:ascii="SimSun-ExtB" w:hAnsi="SimSun-ExtB"/>
                <w:sz w:val="24"/>
              </w:rPr>
            </w:pPr>
            <w:r w:rsidRPr="000572D3">
              <w:rPr>
                <w:sz w:val="24"/>
              </w:rPr>
              <w:t>Yes</w:t>
            </w:r>
            <w:r w:rsidRPr="000572D3">
              <w:rPr>
                <w:spacing w:val="-1"/>
                <w:sz w:val="24"/>
              </w:rPr>
              <w:t xml:space="preserve"> </w:t>
            </w:r>
            <w:r w:rsidRPr="000572D3">
              <w:rPr>
                <w:rFonts w:ascii="SimSun-ExtB" w:hAnsi="SimSun-ExtB"/>
                <w:spacing w:val="-10"/>
                <w:sz w:val="24"/>
              </w:rPr>
              <w:t>☐</w:t>
            </w:r>
          </w:p>
          <w:p w14:paraId="24E99F1C" w14:textId="77777777" w:rsidR="000B4B11" w:rsidRPr="000572D3" w:rsidRDefault="000B4B11" w:rsidP="00614DFF">
            <w:pPr>
              <w:pStyle w:val="TableParagraph"/>
              <w:ind w:left="0"/>
              <w:rPr>
                <w:sz w:val="24"/>
              </w:rPr>
            </w:pPr>
          </w:p>
          <w:p w14:paraId="3189BCCE" w14:textId="77777777" w:rsidR="000B4B11" w:rsidRPr="000572D3" w:rsidRDefault="000B4B11" w:rsidP="00614DFF">
            <w:pPr>
              <w:pStyle w:val="TableParagraph"/>
              <w:spacing w:before="18"/>
              <w:ind w:left="0"/>
              <w:rPr>
                <w:sz w:val="24"/>
              </w:rPr>
            </w:pPr>
          </w:p>
          <w:p w14:paraId="0C1CF731" w14:textId="77777777" w:rsidR="000B4B11" w:rsidRPr="000572D3" w:rsidRDefault="000B4B11" w:rsidP="00614DFF">
            <w:pPr>
              <w:pStyle w:val="TableParagraph"/>
              <w:ind w:left="111"/>
              <w:rPr>
                <w:rFonts w:ascii="SimSun-ExtB" w:hAnsi="SimSun-ExtB"/>
                <w:sz w:val="24"/>
              </w:rPr>
            </w:pPr>
            <w:r w:rsidRPr="000572D3">
              <w:rPr>
                <w:sz w:val="24"/>
              </w:rPr>
              <w:t>No</w:t>
            </w:r>
            <w:r w:rsidRPr="000572D3">
              <w:rPr>
                <w:spacing w:val="62"/>
                <w:sz w:val="24"/>
              </w:rPr>
              <w:t xml:space="preserve"> </w:t>
            </w:r>
            <w:r w:rsidRPr="000572D3">
              <w:rPr>
                <w:rFonts w:ascii="SimSun-ExtB" w:hAnsi="SimSun-ExtB"/>
                <w:spacing w:val="-10"/>
                <w:sz w:val="24"/>
              </w:rPr>
              <w:t>☒</w:t>
            </w:r>
          </w:p>
        </w:tc>
      </w:tr>
      <w:tr w:rsidR="000B4B11" w:rsidRPr="000572D3" w14:paraId="56B38F93" w14:textId="77777777" w:rsidTr="000B4B11">
        <w:trPr>
          <w:trHeight w:val="1518"/>
        </w:trPr>
        <w:tc>
          <w:tcPr>
            <w:tcW w:w="1242" w:type="pct"/>
            <w:tcBorders>
              <w:top w:val="single" w:sz="4" w:space="0" w:color="000000"/>
              <w:bottom w:val="single" w:sz="4" w:space="0" w:color="000000"/>
              <w:right w:val="single" w:sz="4" w:space="0" w:color="000000"/>
            </w:tcBorders>
            <w:shd w:val="clear" w:color="auto" w:fill="91CF50"/>
          </w:tcPr>
          <w:p w14:paraId="19A17D64" w14:textId="77777777" w:rsidR="000B4B11" w:rsidRPr="000572D3" w:rsidRDefault="000B4B11" w:rsidP="00614DFF">
            <w:pPr>
              <w:pStyle w:val="TableParagraph"/>
              <w:spacing w:before="2"/>
              <w:ind w:left="105"/>
              <w:rPr>
                <w:sz w:val="24"/>
              </w:rPr>
            </w:pPr>
            <w:r w:rsidRPr="000572D3">
              <w:rPr>
                <w:spacing w:val="-2"/>
                <w:sz w:val="24"/>
              </w:rPr>
              <w:t>PROOFREADING</w:t>
            </w:r>
          </w:p>
        </w:tc>
        <w:tc>
          <w:tcPr>
            <w:tcW w:w="2977" w:type="pct"/>
            <w:tcBorders>
              <w:top w:val="single" w:sz="4" w:space="0" w:color="000000"/>
              <w:left w:val="single" w:sz="4" w:space="0" w:color="000000"/>
              <w:bottom w:val="single" w:sz="4" w:space="0" w:color="000000"/>
              <w:right w:val="single" w:sz="4" w:space="0" w:color="000000"/>
            </w:tcBorders>
            <w:shd w:val="clear" w:color="auto" w:fill="91CF50"/>
          </w:tcPr>
          <w:p w14:paraId="6354167B" w14:textId="77777777" w:rsidR="000B4B11" w:rsidRPr="000572D3" w:rsidRDefault="000B4B11" w:rsidP="000B4B11">
            <w:pPr>
              <w:pStyle w:val="TableParagraph"/>
              <w:spacing w:before="2" w:line="360" w:lineRule="auto"/>
              <w:jc w:val="both"/>
              <w:rPr>
                <w:sz w:val="24"/>
              </w:rPr>
            </w:pPr>
            <w:r w:rsidRPr="000572D3">
              <w:rPr>
                <w:sz w:val="24"/>
              </w:rPr>
              <w:t>For this assessment, you can use Generative AI to check your own text/creation for grammatical and syntactical</w:t>
            </w:r>
            <w:r w:rsidRPr="000572D3">
              <w:rPr>
                <w:spacing w:val="-7"/>
                <w:sz w:val="24"/>
              </w:rPr>
              <w:t xml:space="preserve"> </w:t>
            </w:r>
            <w:r w:rsidRPr="000572D3">
              <w:rPr>
                <w:sz w:val="24"/>
              </w:rPr>
              <w:t>mistakes,</w:t>
            </w:r>
            <w:r w:rsidRPr="000572D3">
              <w:rPr>
                <w:spacing w:val="-6"/>
                <w:sz w:val="24"/>
              </w:rPr>
              <w:t xml:space="preserve"> </w:t>
            </w:r>
            <w:r w:rsidRPr="000572D3">
              <w:rPr>
                <w:sz w:val="24"/>
              </w:rPr>
              <w:t>including</w:t>
            </w:r>
            <w:r w:rsidRPr="000572D3">
              <w:rPr>
                <w:spacing w:val="-6"/>
                <w:sz w:val="24"/>
              </w:rPr>
              <w:t xml:space="preserve"> </w:t>
            </w:r>
            <w:r w:rsidRPr="000572D3">
              <w:rPr>
                <w:sz w:val="24"/>
              </w:rPr>
              <w:t>getting</w:t>
            </w:r>
            <w:r w:rsidRPr="000572D3">
              <w:rPr>
                <w:spacing w:val="-9"/>
                <w:sz w:val="24"/>
              </w:rPr>
              <w:t xml:space="preserve"> </w:t>
            </w:r>
            <w:r w:rsidRPr="000572D3">
              <w:rPr>
                <w:sz w:val="24"/>
              </w:rPr>
              <w:t>suggestions</w:t>
            </w:r>
            <w:r w:rsidRPr="000572D3">
              <w:rPr>
                <w:spacing w:val="-7"/>
                <w:sz w:val="24"/>
              </w:rPr>
              <w:t xml:space="preserve"> </w:t>
            </w:r>
            <w:r w:rsidRPr="000572D3">
              <w:rPr>
                <w:sz w:val="24"/>
              </w:rPr>
              <w:t>to</w:t>
            </w:r>
          </w:p>
          <w:p w14:paraId="2BEF4C85" w14:textId="77777777" w:rsidR="000B4B11" w:rsidRPr="000572D3" w:rsidRDefault="000B4B11" w:rsidP="000B4B11">
            <w:pPr>
              <w:pStyle w:val="TableParagraph"/>
              <w:spacing w:line="252" w:lineRule="exact"/>
              <w:jc w:val="both"/>
              <w:rPr>
                <w:sz w:val="24"/>
              </w:rPr>
            </w:pPr>
            <w:r w:rsidRPr="000572D3">
              <w:rPr>
                <w:sz w:val="24"/>
              </w:rPr>
              <w:t>rephrase</w:t>
            </w:r>
            <w:r w:rsidRPr="000572D3">
              <w:rPr>
                <w:spacing w:val="-7"/>
                <w:sz w:val="24"/>
              </w:rPr>
              <w:t xml:space="preserve"> </w:t>
            </w:r>
            <w:r w:rsidRPr="000572D3">
              <w:rPr>
                <w:sz w:val="24"/>
              </w:rPr>
              <w:t>your</w:t>
            </w:r>
            <w:r w:rsidRPr="000572D3">
              <w:rPr>
                <w:spacing w:val="-1"/>
                <w:sz w:val="24"/>
              </w:rPr>
              <w:t xml:space="preserve"> </w:t>
            </w:r>
            <w:r w:rsidRPr="000572D3">
              <w:rPr>
                <w:spacing w:val="-4"/>
                <w:sz w:val="24"/>
              </w:rPr>
              <w:t>work.</w:t>
            </w:r>
          </w:p>
        </w:tc>
        <w:tc>
          <w:tcPr>
            <w:tcW w:w="781" w:type="pct"/>
            <w:tcBorders>
              <w:top w:val="single" w:sz="4" w:space="0" w:color="000000"/>
              <w:left w:val="single" w:sz="4" w:space="0" w:color="000000"/>
              <w:bottom w:val="single" w:sz="4" w:space="0" w:color="000000"/>
            </w:tcBorders>
            <w:shd w:val="clear" w:color="auto" w:fill="91CF50"/>
          </w:tcPr>
          <w:p w14:paraId="0473AAEE" w14:textId="77777777" w:rsidR="000B4B11" w:rsidRPr="000572D3" w:rsidRDefault="000B4B11" w:rsidP="000B4B11">
            <w:pPr>
              <w:pStyle w:val="TableParagraph"/>
              <w:spacing w:before="3"/>
              <w:ind w:left="111"/>
              <w:rPr>
                <w:rFonts w:ascii="SimSun-ExtB" w:hAnsi="SimSun-ExtB"/>
                <w:sz w:val="24"/>
              </w:rPr>
            </w:pPr>
            <w:r w:rsidRPr="000572D3">
              <w:rPr>
                <w:sz w:val="24"/>
              </w:rPr>
              <w:t>Yes</w:t>
            </w:r>
            <w:r w:rsidRPr="000572D3">
              <w:rPr>
                <w:spacing w:val="-1"/>
                <w:sz w:val="24"/>
              </w:rPr>
              <w:t xml:space="preserve"> </w:t>
            </w:r>
            <w:r w:rsidRPr="000572D3">
              <w:rPr>
                <w:rFonts w:ascii="SimSun-ExtB" w:hAnsi="SimSun-ExtB"/>
                <w:spacing w:val="-10"/>
                <w:sz w:val="24"/>
              </w:rPr>
              <w:t>☐</w:t>
            </w:r>
          </w:p>
          <w:p w14:paraId="64712E9F" w14:textId="77777777" w:rsidR="000B4B11" w:rsidRPr="000572D3" w:rsidRDefault="000B4B11" w:rsidP="000B4B11">
            <w:pPr>
              <w:pStyle w:val="TableParagraph"/>
              <w:ind w:left="0"/>
              <w:rPr>
                <w:sz w:val="24"/>
              </w:rPr>
            </w:pPr>
          </w:p>
          <w:p w14:paraId="65167282" w14:textId="77777777" w:rsidR="000B4B11" w:rsidRPr="000572D3" w:rsidRDefault="000B4B11" w:rsidP="000B4B11">
            <w:pPr>
              <w:pStyle w:val="TableParagraph"/>
              <w:spacing w:before="18"/>
              <w:ind w:left="0"/>
              <w:rPr>
                <w:sz w:val="24"/>
              </w:rPr>
            </w:pPr>
          </w:p>
          <w:p w14:paraId="7A10199D" w14:textId="2933E2E2" w:rsidR="000B4B11" w:rsidRPr="000572D3" w:rsidRDefault="000B4B11" w:rsidP="000B4B11">
            <w:pPr>
              <w:pStyle w:val="TableParagraph"/>
              <w:spacing w:before="1"/>
              <w:ind w:left="111"/>
              <w:rPr>
                <w:rFonts w:ascii="SimSun-ExtB" w:hAnsi="SimSun-ExtB"/>
                <w:sz w:val="24"/>
              </w:rPr>
            </w:pPr>
            <w:r w:rsidRPr="000572D3">
              <w:rPr>
                <w:sz w:val="24"/>
              </w:rPr>
              <w:t>No</w:t>
            </w:r>
            <w:r w:rsidRPr="000572D3">
              <w:rPr>
                <w:spacing w:val="62"/>
                <w:sz w:val="24"/>
              </w:rPr>
              <w:t xml:space="preserve"> </w:t>
            </w:r>
            <w:r w:rsidRPr="000572D3">
              <w:rPr>
                <w:rFonts w:ascii="SimSun-ExtB" w:hAnsi="SimSun-ExtB"/>
                <w:spacing w:val="-10"/>
                <w:sz w:val="24"/>
              </w:rPr>
              <w:t>☒</w:t>
            </w:r>
          </w:p>
        </w:tc>
      </w:tr>
      <w:tr w:rsidR="000B4B11" w:rsidRPr="000572D3" w14:paraId="337F79FE" w14:textId="77777777" w:rsidTr="000B4B11">
        <w:trPr>
          <w:trHeight w:val="1235"/>
        </w:trPr>
        <w:tc>
          <w:tcPr>
            <w:tcW w:w="1242" w:type="pct"/>
            <w:tcBorders>
              <w:top w:val="single" w:sz="4" w:space="0" w:color="000000"/>
              <w:bottom w:val="single" w:sz="4" w:space="0" w:color="000000"/>
              <w:right w:val="single" w:sz="4" w:space="0" w:color="000000"/>
            </w:tcBorders>
          </w:tcPr>
          <w:p w14:paraId="4197D7D7" w14:textId="77777777" w:rsidR="000B4B11" w:rsidRPr="000572D3" w:rsidRDefault="000B4B11" w:rsidP="00614DFF">
            <w:pPr>
              <w:pStyle w:val="TableParagraph"/>
              <w:ind w:left="105"/>
              <w:rPr>
                <w:sz w:val="24"/>
              </w:rPr>
            </w:pPr>
            <w:r w:rsidRPr="000572D3">
              <w:rPr>
                <w:spacing w:val="-2"/>
                <w:sz w:val="24"/>
              </w:rPr>
              <w:t>WRITING</w:t>
            </w:r>
          </w:p>
        </w:tc>
        <w:tc>
          <w:tcPr>
            <w:tcW w:w="2977" w:type="pct"/>
            <w:tcBorders>
              <w:top w:val="single" w:sz="4" w:space="0" w:color="000000"/>
              <w:left w:val="single" w:sz="4" w:space="0" w:color="000000"/>
              <w:bottom w:val="single" w:sz="4" w:space="0" w:color="000000"/>
              <w:right w:val="single" w:sz="4" w:space="0" w:color="000000"/>
            </w:tcBorders>
          </w:tcPr>
          <w:p w14:paraId="794019FC" w14:textId="77777777" w:rsidR="000B4B11" w:rsidRPr="000572D3" w:rsidRDefault="000B4B11" w:rsidP="000B4B11">
            <w:pPr>
              <w:pStyle w:val="TableParagraph"/>
              <w:spacing w:line="360" w:lineRule="auto"/>
              <w:jc w:val="both"/>
              <w:rPr>
                <w:sz w:val="24"/>
              </w:rPr>
            </w:pPr>
            <w:r w:rsidRPr="000572D3">
              <w:rPr>
                <w:sz w:val="24"/>
              </w:rPr>
              <w:t>For</w:t>
            </w:r>
            <w:r w:rsidRPr="000572D3">
              <w:rPr>
                <w:spacing w:val="-5"/>
                <w:sz w:val="24"/>
              </w:rPr>
              <w:t xml:space="preserve"> </w:t>
            </w:r>
            <w:r w:rsidRPr="000572D3">
              <w:rPr>
                <w:sz w:val="24"/>
              </w:rPr>
              <w:t>this</w:t>
            </w:r>
            <w:r w:rsidRPr="000572D3">
              <w:rPr>
                <w:spacing w:val="-5"/>
                <w:sz w:val="24"/>
              </w:rPr>
              <w:t xml:space="preserve"> </w:t>
            </w:r>
            <w:r w:rsidRPr="000572D3">
              <w:rPr>
                <w:sz w:val="24"/>
              </w:rPr>
              <w:t>assessment,</w:t>
            </w:r>
            <w:r w:rsidRPr="000572D3">
              <w:rPr>
                <w:spacing w:val="-4"/>
                <w:sz w:val="24"/>
              </w:rPr>
              <w:t xml:space="preserve"> </w:t>
            </w:r>
            <w:r w:rsidRPr="000572D3">
              <w:rPr>
                <w:sz w:val="24"/>
              </w:rPr>
              <w:t>you</w:t>
            </w:r>
            <w:r w:rsidRPr="000572D3">
              <w:rPr>
                <w:spacing w:val="-6"/>
                <w:sz w:val="24"/>
              </w:rPr>
              <w:t xml:space="preserve"> </w:t>
            </w:r>
            <w:r w:rsidRPr="000572D3">
              <w:rPr>
                <w:sz w:val="24"/>
              </w:rPr>
              <w:t>can</w:t>
            </w:r>
            <w:r w:rsidRPr="000572D3">
              <w:rPr>
                <w:spacing w:val="-5"/>
                <w:sz w:val="24"/>
              </w:rPr>
              <w:t xml:space="preserve"> </w:t>
            </w:r>
            <w:r w:rsidRPr="000572D3">
              <w:rPr>
                <w:sz w:val="24"/>
              </w:rPr>
              <w:t>use</w:t>
            </w:r>
            <w:r w:rsidRPr="000572D3">
              <w:rPr>
                <w:spacing w:val="-7"/>
                <w:sz w:val="24"/>
              </w:rPr>
              <w:t xml:space="preserve"> </w:t>
            </w:r>
            <w:r w:rsidRPr="000572D3">
              <w:rPr>
                <w:sz w:val="24"/>
              </w:rPr>
              <w:t>Generative</w:t>
            </w:r>
            <w:r w:rsidRPr="000572D3">
              <w:rPr>
                <w:spacing w:val="-5"/>
                <w:sz w:val="24"/>
              </w:rPr>
              <w:t xml:space="preserve"> </w:t>
            </w:r>
            <w:r w:rsidRPr="000572D3">
              <w:rPr>
                <w:sz w:val="24"/>
              </w:rPr>
              <w:t>AI</w:t>
            </w:r>
            <w:r w:rsidRPr="000572D3">
              <w:rPr>
                <w:spacing w:val="-7"/>
                <w:sz w:val="24"/>
              </w:rPr>
              <w:t xml:space="preserve"> </w:t>
            </w:r>
            <w:r w:rsidRPr="000572D3">
              <w:rPr>
                <w:sz w:val="24"/>
              </w:rPr>
              <w:t>to create text for submission.</w:t>
            </w:r>
          </w:p>
        </w:tc>
        <w:tc>
          <w:tcPr>
            <w:tcW w:w="781" w:type="pct"/>
            <w:tcBorders>
              <w:top w:val="single" w:sz="4" w:space="0" w:color="000000"/>
              <w:left w:val="single" w:sz="4" w:space="0" w:color="000000"/>
              <w:bottom w:val="single" w:sz="4" w:space="0" w:color="000000"/>
            </w:tcBorders>
          </w:tcPr>
          <w:p w14:paraId="2E6E0644" w14:textId="77777777" w:rsidR="000B4B11" w:rsidRPr="000572D3" w:rsidRDefault="000B4B11" w:rsidP="000B4B11">
            <w:pPr>
              <w:pStyle w:val="TableParagraph"/>
              <w:spacing w:before="3"/>
              <w:ind w:left="111"/>
              <w:rPr>
                <w:rFonts w:ascii="SimSun-ExtB" w:hAnsi="SimSun-ExtB"/>
                <w:sz w:val="24"/>
              </w:rPr>
            </w:pPr>
            <w:r w:rsidRPr="000572D3">
              <w:rPr>
                <w:sz w:val="24"/>
              </w:rPr>
              <w:t>Yes</w:t>
            </w:r>
            <w:r w:rsidRPr="000572D3">
              <w:rPr>
                <w:spacing w:val="-1"/>
                <w:sz w:val="24"/>
              </w:rPr>
              <w:t xml:space="preserve"> </w:t>
            </w:r>
            <w:r w:rsidRPr="000572D3">
              <w:rPr>
                <w:rFonts w:ascii="SimSun-ExtB" w:hAnsi="SimSun-ExtB"/>
                <w:spacing w:val="-10"/>
                <w:sz w:val="24"/>
              </w:rPr>
              <w:t>☐</w:t>
            </w:r>
          </w:p>
          <w:p w14:paraId="4DF31E77" w14:textId="77777777" w:rsidR="000B4B11" w:rsidRPr="000572D3" w:rsidRDefault="000B4B11" w:rsidP="000B4B11">
            <w:pPr>
              <w:pStyle w:val="TableParagraph"/>
              <w:ind w:left="0"/>
              <w:rPr>
                <w:sz w:val="24"/>
              </w:rPr>
            </w:pPr>
          </w:p>
          <w:p w14:paraId="02E4AB2D" w14:textId="77777777" w:rsidR="000B4B11" w:rsidRPr="000572D3" w:rsidRDefault="000B4B11" w:rsidP="000B4B11">
            <w:pPr>
              <w:pStyle w:val="TableParagraph"/>
              <w:spacing w:before="18"/>
              <w:ind w:left="0"/>
              <w:rPr>
                <w:sz w:val="24"/>
              </w:rPr>
            </w:pPr>
          </w:p>
          <w:p w14:paraId="185FEFCE" w14:textId="19879F10" w:rsidR="000B4B11" w:rsidRPr="000572D3" w:rsidRDefault="000B4B11" w:rsidP="000B4B11">
            <w:pPr>
              <w:pStyle w:val="TableParagraph"/>
              <w:spacing w:before="1"/>
              <w:ind w:left="111"/>
              <w:rPr>
                <w:rFonts w:ascii="SimSun-ExtB" w:hAnsi="SimSun-ExtB"/>
                <w:sz w:val="24"/>
              </w:rPr>
            </w:pPr>
            <w:r w:rsidRPr="000572D3">
              <w:rPr>
                <w:sz w:val="24"/>
              </w:rPr>
              <w:t>No</w:t>
            </w:r>
            <w:r w:rsidRPr="000572D3">
              <w:rPr>
                <w:spacing w:val="62"/>
                <w:sz w:val="24"/>
              </w:rPr>
              <w:t xml:space="preserve"> </w:t>
            </w:r>
            <w:r w:rsidRPr="000572D3">
              <w:rPr>
                <w:rFonts w:ascii="SimSun-ExtB" w:hAnsi="SimSun-ExtB"/>
                <w:spacing w:val="-10"/>
                <w:sz w:val="24"/>
              </w:rPr>
              <w:t>☒</w:t>
            </w:r>
          </w:p>
        </w:tc>
      </w:tr>
      <w:tr w:rsidR="000B4B11" w:rsidRPr="000572D3" w14:paraId="488D9BBF" w14:textId="77777777" w:rsidTr="000B4B11">
        <w:trPr>
          <w:trHeight w:val="1235"/>
        </w:trPr>
        <w:tc>
          <w:tcPr>
            <w:tcW w:w="1242" w:type="pct"/>
            <w:tcBorders>
              <w:top w:val="single" w:sz="4" w:space="0" w:color="000000"/>
              <w:bottom w:val="single" w:sz="4" w:space="0" w:color="000000"/>
              <w:right w:val="single" w:sz="4" w:space="0" w:color="000000"/>
            </w:tcBorders>
            <w:shd w:val="clear" w:color="auto" w:fill="91CF50"/>
          </w:tcPr>
          <w:p w14:paraId="3C77DC0A" w14:textId="77777777" w:rsidR="000B4B11" w:rsidRPr="000572D3" w:rsidRDefault="000B4B11" w:rsidP="00614DFF">
            <w:pPr>
              <w:pStyle w:val="TableParagraph"/>
              <w:ind w:left="105"/>
              <w:rPr>
                <w:sz w:val="24"/>
              </w:rPr>
            </w:pPr>
            <w:r w:rsidRPr="000572D3">
              <w:rPr>
                <w:spacing w:val="-2"/>
                <w:sz w:val="24"/>
              </w:rPr>
              <w:t>CREATIVE</w:t>
            </w:r>
          </w:p>
        </w:tc>
        <w:tc>
          <w:tcPr>
            <w:tcW w:w="2977" w:type="pct"/>
            <w:tcBorders>
              <w:top w:val="single" w:sz="4" w:space="0" w:color="000000"/>
              <w:left w:val="single" w:sz="4" w:space="0" w:color="000000"/>
              <w:bottom w:val="single" w:sz="4" w:space="0" w:color="000000"/>
              <w:right w:val="single" w:sz="4" w:space="0" w:color="000000"/>
            </w:tcBorders>
            <w:shd w:val="clear" w:color="auto" w:fill="91CF50"/>
          </w:tcPr>
          <w:p w14:paraId="5D415282" w14:textId="77777777" w:rsidR="000B4B11" w:rsidRPr="000572D3" w:rsidRDefault="000B4B11" w:rsidP="000B4B11">
            <w:pPr>
              <w:pStyle w:val="TableParagraph"/>
              <w:spacing w:line="360" w:lineRule="auto"/>
              <w:jc w:val="both"/>
              <w:rPr>
                <w:sz w:val="24"/>
              </w:rPr>
            </w:pPr>
            <w:r w:rsidRPr="000572D3">
              <w:rPr>
                <w:sz w:val="24"/>
              </w:rPr>
              <w:t>For</w:t>
            </w:r>
            <w:r w:rsidRPr="000572D3">
              <w:rPr>
                <w:spacing w:val="-4"/>
                <w:sz w:val="24"/>
              </w:rPr>
              <w:t xml:space="preserve"> </w:t>
            </w:r>
            <w:r w:rsidRPr="000572D3">
              <w:rPr>
                <w:sz w:val="24"/>
              </w:rPr>
              <w:t>this</w:t>
            </w:r>
            <w:r w:rsidRPr="000572D3">
              <w:rPr>
                <w:spacing w:val="-4"/>
                <w:sz w:val="24"/>
              </w:rPr>
              <w:t xml:space="preserve"> </w:t>
            </w:r>
            <w:r w:rsidRPr="000572D3">
              <w:rPr>
                <w:sz w:val="24"/>
              </w:rPr>
              <w:t>assessment,</w:t>
            </w:r>
            <w:r w:rsidRPr="000572D3">
              <w:rPr>
                <w:spacing w:val="-6"/>
                <w:sz w:val="24"/>
              </w:rPr>
              <w:t xml:space="preserve"> </w:t>
            </w:r>
            <w:r w:rsidRPr="000572D3">
              <w:rPr>
                <w:sz w:val="24"/>
              </w:rPr>
              <w:t>you</w:t>
            </w:r>
            <w:r w:rsidRPr="000572D3">
              <w:rPr>
                <w:spacing w:val="-5"/>
                <w:sz w:val="24"/>
              </w:rPr>
              <w:t xml:space="preserve"> </w:t>
            </w:r>
            <w:r w:rsidRPr="000572D3">
              <w:rPr>
                <w:sz w:val="24"/>
              </w:rPr>
              <w:t>can</w:t>
            </w:r>
            <w:r w:rsidRPr="000572D3">
              <w:rPr>
                <w:spacing w:val="-4"/>
                <w:sz w:val="24"/>
              </w:rPr>
              <w:t xml:space="preserve"> </w:t>
            </w:r>
            <w:r w:rsidRPr="000572D3">
              <w:rPr>
                <w:sz w:val="24"/>
              </w:rPr>
              <w:t>use</w:t>
            </w:r>
            <w:r w:rsidRPr="000572D3">
              <w:rPr>
                <w:spacing w:val="-7"/>
                <w:sz w:val="24"/>
              </w:rPr>
              <w:t xml:space="preserve"> </w:t>
            </w:r>
            <w:r w:rsidRPr="000572D3">
              <w:rPr>
                <w:sz w:val="24"/>
              </w:rPr>
              <w:t>Generative</w:t>
            </w:r>
            <w:r w:rsidRPr="000572D3">
              <w:rPr>
                <w:spacing w:val="-4"/>
                <w:sz w:val="24"/>
              </w:rPr>
              <w:t xml:space="preserve"> </w:t>
            </w:r>
            <w:r w:rsidRPr="000572D3">
              <w:rPr>
                <w:sz w:val="24"/>
              </w:rPr>
              <w:t>AI</w:t>
            </w:r>
            <w:r w:rsidRPr="000572D3">
              <w:rPr>
                <w:spacing w:val="-6"/>
                <w:sz w:val="24"/>
              </w:rPr>
              <w:t xml:space="preserve"> </w:t>
            </w:r>
            <w:r w:rsidRPr="000572D3">
              <w:rPr>
                <w:sz w:val="24"/>
              </w:rPr>
              <w:t>to create creative materials, such as images.</w:t>
            </w:r>
          </w:p>
        </w:tc>
        <w:tc>
          <w:tcPr>
            <w:tcW w:w="781" w:type="pct"/>
            <w:tcBorders>
              <w:top w:val="single" w:sz="4" w:space="0" w:color="000000"/>
              <w:left w:val="single" w:sz="4" w:space="0" w:color="000000"/>
              <w:bottom w:val="single" w:sz="4" w:space="0" w:color="000000"/>
            </w:tcBorders>
            <w:shd w:val="clear" w:color="auto" w:fill="91CF50"/>
          </w:tcPr>
          <w:p w14:paraId="52F23F83" w14:textId="77777777" w:rsidR="000B4B11" w:rsidRPr="000572D3" w:rsidRDefault="000B4B11" w:rsidP="000B4B11">
            <w:pPr>
              <w:pStyle w:val="TableParagraph"/>
              <w:spacing w:before="3"/>
              <w:ind w:left="111"/>
              <w:rPr>
                <w:rFonts w:ascii="SimSun-ExtB" w:hAnsi="SimSun-ExtB"/>
                <w:sz w:val="24"/>
              </w:rPr>
            </w:pPr>
            <w:r w:rsidRPr="000572D3">
              <w:rPr>
                <w:sz w:val="24"/>
              </w:rPr>
              <w:t>Yes</w:t>
            </w:r>
            <w:r w:rsidRPr="000572D3">
              <w:rPr>
                <w:spacing w:val="-1"/>
                <w:sz w:val="24"/>
              </w:rPr>
              <w:t xml:space="preserve"> </w:t>
            </w:r>
            <w:r w:rsidRPr="000572D3">
              <w:rPr>
                <w:rFonts w:ascii="SimSun-ExtB" w:hAnsi="SimSun-ExtB"/>
                <w:spacing w:val="-10"/>
                <w:sz w:val="24"/>
              </w:rPr>
              <w:t>☐</w:t>
            </w:r>
          </w:p>
          <w:p w14:paraId="327B77AE" w14:textId="77777777" w:rsidR="000B4B11" w:rsidRPr="000572D3" w:rsidRDefault="000B4B11" w:rsidP="000B4B11">
            <w:pPr>
              <w:pStyle w:val="TableParagraph"/>
              <w:ind w:left="0"/>
              <w:rPr>
                <w:sz w:val="24"/>
              </w:rPr>
            </w:pPr>
          </w:p>
          <w:p w14:paraId="45AB280D" w14:textId="77777777" w:rsidR="000B4B11" w:rsidRPr="000572D3" w:rsidRDefault="000B4B11" w:rsidP="000B4B11">
            <w:pPr>
              <w:pStyle w:val="TableParagraph"/>
              <w:spacing w:before="18"/>
              <w:ind w:left="0"/>
              <w:rPr>
                <w:sz w:val="24"/>
              </w:rPr>
            </w:pPr>
          </w:p>
          <w:p w14:paraId="4A8417B0" w14:textId="522C4C65" w:rsidR="000B4B11" w:rsidRPr="000572D3" w:rsidRDefault="000B4B11" w:rsidP="000B4B11">
            <w:pPr>
              <w:pStyle w:val="TableParagraph"/>
              <w:spacing w:before="1"/>
              <w:ind w:left="111"/>
              <w:rPr>
                <w:rFonts w:ascii="SimSun-ExtB" w:hAnsi="SimSun-ExtB"/>
                <w:sz w:val="24"/>
              </w:rPr>
            </w:pPr>
            <w:r w:rsidRPr="000572D3">
              <w:rPr>
                <w:sz w:val="24"/>
              </w:rPr>
              <w:t>No</w:t>
            </w:r>
            <w:r w:rsidRPr="000572D3">
              <w:rPr>
                <w:spacing w:val="62"/>
                <w:sz w:val="24"/>
              </w:rPr>
              <w:t xml:space="preserve"> </w:t>
            </w:r>
            <w:r w:rsidRPr="000572D3">
              <w:rPr>
                <w:rFonts w:ascii="SimSun-ExtB" w:hAnsi="SimSun-ExtB"/>
                <w:spacing w:val="-10"/>
                <w:sz w:val="24"/>
              </w:rPr>
              <w:t>☒</w:t>
            </w:r>
          </w:p>
        </w:tc>
      </w:tr>
      <w:tr w:rsidR="000B4B11" w:rsidRPr="000572D3" w14:paraId="12EA4B52" w14:textId="77777777" w:rsidTr="000B4B11">
        <w:trPr>
          <w:trHeight w:val="1235"/>
        </w:trPr>
        <w:tc>
          <w:tcPr>
            <w:tcW w:w="1242" w:type="pct"/>
            <w:tcBorders>
              <w:top w:val="single" w:sz="4" w:space="0" w:color="000000"/>
              <w:bottom w:val="single" w:sz="4" w:space="0" w:color="000000"/>
              <w:right w:val="single" w:sz="4" w:space="0" w:color="000000"/>
            </w:tcBorders>
          </w:tcPr>
          <w:p w14:paraId="7B9CBBEF" w14:textId="77777777" w:rsidR="000B4B11" w:rsidRPr="000572D3" w:rsidRDefault="000B4B11" w:rsidP="00614DFF">
            <w:pPr>
              <w:pStyle w:val="TableParagraph"/>
              <w:ind w:left="105"/>
              <w:rPr>
                <w:sz w:val="24"/>
              </w:rPr>
            </w:pPr>
            <w:r w:rsidRPr="000572D3">
              <w:rPr>
                <w:spacing w:val="-2"/>
                <w:sz w:val="24"/>
              </w:rPr>
              <w:t>PROGRAMING</w:t>
            </w:r>
          </w:p>
        </w:tc>
        <w:tc>
          <w:tcPr>
            <w:tcW w:w="2977" w:type="pct"/>
            <w:tcBorders>
              <w:top w:val="single" w:sz="4" w:space="0" w:color="000000"/>
              <w:left w:val="single" w:sz="4" w:space="0" w:color="000000"/>
              <w:bottom w:val="single" w:sz="4" w:space="0" w:color="000000"/>
              <w:right w:val="single" w:sz="4" w:space="0" w:color="000000"/>
            </w:tcBorders>
          </w:tcPr>
          <w:p w14:paraId="46E2BFF4" w14:textId="77777777" w:rsidR="000B4B11" w:rsidRPr="000572D3" w:rsidRDefault="000B4B11" w:rsidP="000B4B11">
            <w:pPr>
              <w:pStyle w:val="TableParagraph"/>
              <w:spacing w:line="360" w:lineRule="auto"/>
              <w:ind w:hanging="1"/>
              <w:jc w:val="both"/>
              <w:rPr>
                <w:sz w:val="24"/>
              </w:rPr>
            </w:pPr>
            <w:r w:rsidRPr="000572D3">
              <w:rPr>
                <w:sz w:val="24"/>
              </w:rPr>
              <w:t>For</w:t>
            </w:r>
            <w:r w:rsidRPr="000572D3">
              <w:rPr>
                <w:spacing w:val="-5"/>
                <w:sz w:val="24"/>
              </w:rPr>
              <w:t xml:space="preserve"> </w:t>
            </w:r>
            <w:r w:rsidRPr="000572D3">
              <w:rPr>
                <w:sz w:val="24"/>
              </w:rPr>
              <w:t>this</w:t>
            </w:r>
            <w:r w:rsidRPr="000572D3">
              <w:rPr>
                <w:spacing w:val="-5"/>
                <w:sz w:val="24"/>
              </w:rPr>
              <w:t xml:space="preserve"> </w:t>
            </w:r>
            <w:r w:rsidRPr="000572D3">
              <w:rPr>
                <w:sz w:val="24"/>
              </w:rPr>
              <w:t>assessment,</w:t>
            </w:r>
            <w:r w:rsidRPr="000572D3">
              <w:rPr>
                <w:spacing w:val="-4"/>
                <w:sz w:val="24"/>
              </w:rPr>
              <w:t xml:space="preserve"> </w:t>
            </w:r>
            <w:r w:rsidRPr="000572D3">
              <w:rPr>
                <w:sz w:val="24"/>
              </w:rPr>
              <w:t>you</w:t>
            </w:r>
            <w:r w:rsidRPr="000572D3">
              <w:rPr>
                <w:spacing w:val="-5"/>
                <w:sz w:val="24"/>
              </w:rPr>
              <w:t xml:space="preserve"> </w:t>
            </w:r>
            <w:r w:rsidRPr="000572D3">
              <w:rPr>
                <w:sz w:val="24"/>
              </w:rPr>
              <w:t>can</w:t>
            </w:r>
            <w:r w:rsidRPr="000572D3">
              <w:rPr>
                <w:spacing w:val="-5"/>
                <w:sz w:val="24"/>
              </w:rPr>
              <w:t xml:space="preserve"> </w:t>
            </w:r>
            <w:r w:rsidRPr="000572D3">
              <w:rPr>
                <w:sz w:val="24"/>
              </w:rPr>
              <w:t>use</w:t>
            </w:r>
            <w:r w:rsidRPr="000572D3">
              <w:rPr>
                <w:spacing w:val="-7"/>
                <w:sz w:val="24"/>
              </w:rPr>
              <w:t xml:space="preserve"> </w:t>
            </w:r>
            <w:r w:rsidRPr="000572D3">
              <w:rPr>
                <w:sz w:val="24"/>
              </w:rPr>
              <w:t>Generative</w:t>
            </w:r>
            <w:r w:rsidRPr="000572D3">
              <w:rPr>
                <w:spacing w:val="-5"/>
                <w:sz w:val="24"/>
              </w:rPr>
              <w:t xml:space="preserve"> </w:t>
            </w:r>
            <w:r w:rsidRPr="000572D3">
              <w:rPr>
                <w:sz w:val="24"/>
              </w:rPr>
              <w:t>AI</w:t>
            </w:r>
            <w:r w:rsidRPr="000572D3">
              <w:rPr>
                <w:spacing w:val="-6"/>
                <w:sz w:val="24"/>
              </w:rPr>
              <w:t xml:space="preserve"> </w:t>
            </w:r>
            <w:r w:rsidRPr="000572D3">
              <w:rPr>
                <w:sz w:val="24"/>
              </w:rPr>
              <w:t>to create and check code.</w:t>
            </w:r>
          </w:p>
        </w:tc>
        <w:tc>
          <w:tcPr>
            <w:tcW w:w="781" w:type="pct"/>
            <w:tcBorders>
              <w:top w:val="single" w:sz="4" w:space="0" w:color="000000"/>
              <w:left w:val="single" w:sz="4" w:space="0" w:color="000000"/>
              <w:bottom w:val="single" w:sz="4" w:space="0" w:color="000000"/>
            </w:tcBorders>
          </w:tcPr>
          <w:p w14:paraId="03EABE7F" w14:textId="77777777" w:rsidR="000B4B11" w:rsidRPr="000572D3" w:rsidRDefault="000B4B11" w:rsidP="00614DFF">
            <w:pPr>
              <w:pStyle w:val="TableParagraph"/>
              <w:spacing w:before="3"/>
              <w:ind w:left="111"/>
              <w:rPr>
                <w:rFonts w:ascii="SimSun-ExtB" w:hAnsi="SimSun-ExtB"/>
                <w:sz w:val="24"/>
              </w:rPr>
            </w:pPr>
            <w:r w:rsidRPr="000572D3">
              <w:rPr>
                <w:sz w:val="24"/>
              </w:rPr>
              <w:t>Yes</w:t>
            </w:r>
            <w:r w:rsidRPr="000572D3">
              <w:rPr>
                <w:spacing w:val="-1"/>
                <w:sz w:val="24"/>
              </w:rPr>
              <w:t xml:space="preserve"> </w:t>
            </w:r>
            <w:r w:rsidRPr="000572D3">
              <w:rPr>
                <w:rFonts w:ascii="SimSun-ExtB" w:hAnsi="SimSun-ExtB"/>
                <w:spacing w:val="-10"/>
                <w:sz w:val="24"/>
              </w:rPr>
              <w:t>☐</w:t>
            </w:r>
          </w:p>
          <w:p w14:paraId="5F9AD338" w14:textId="77777777" w:rsidR="000B4B11" w:rsidRPr="000572D3" w:rsidRDefault="000B4B11" w:rsidP="00614DFF">
            <w:pPr>
              <w:pStyle w:val="TableParagraph"/>
              <w:ind w:left="0"/>
              <w:rPr>
                <w:sz w:val="24"/>
              </w:rPr>
            </w:pPr>
          </w:p>
          <w:p w14:paraId="51A5F751" w14:textId="77777777" w:rsidR="000B4B11" w:rsidRPr="000572D3" w:rsidRDefault="000B4B11" w:rsidP="00614DFF">
            <w:pPr>
              <w:pStyle w:val="TableParagraph"/>
              <w:spacing w:before="18"/>
              <w:ind w:left="0"/>
              <w:rPr>
                <w:sz w:val="24"/>
              </w:rPr>
            </w:pPr>
          </w:p>
          <w:p w14:paraId="670DAE72" w14:textId="77777777" w:rsidR="000B4B11" w:rsidRPr="000572D3" w:rsidRDefault="000B4B11" w:rsidP="00614DFF">
            <w:pPr>
              <w:pStyle w:val="TableParagraph"/>
              <w:ind w:left="111"/>
              <w:rPr>
                <w:rFonts w:ascii="SimSun-ExtB" w:hAnsi="SimSun-ExtB"/>
                <w:sz w:val="24"/>
              </w:rPr>
            </w:pPr>
            <w:r w:rsidRPr="000572D3">
              <w:rPr>
                <w:sz w:val="24"/>
              </w:rPr>
              <w:t>No</w:t>
            </w:r>
            <w:r w:rsidRPr="000572D3">
              <w:rPr>
                <w:spacing w:val="62"/>
                <w:sz w:val="24"/>
              </w:rPr>
              <w:t xml:space="preserve"> </w:t>
            </w:r>
            <w:r w:rsidRPr="000572D3">
              <w:rPr>
                <w:rFonts w:ascii="SimSun-ExtB" w:hAnsi="SimSun-ExtB"/>
                <w:spacing w:val="-10"/>
                <w:sz w:val="24"/>
              </w:rPr>
              <w:t>☒</w:t>
            </w:r>
          </w:p>
        </w:tc>
      </w:tr>
      <w:tr w:rsidR="000B4B11" w:rsidRPr="000572D3" w14:paraId="5196F2BA" w14:textId="77777777" w:rsidTr="00002F13">
        <w:trPr>
          <w:trHeight w:val="1518"/>
        </w:trPr>
        <w:tc>
          <w:tcPr>
            <w:tcW w:w="1242" w:type="pct"/>
            <w:tcBorders>
              <w:top w:val="single" w:sz="4" w:space="0" w:color="000000"/>
              <w:bottom w:val="single" w:sz="4" w:space="0" w:color="000000"/>
              <w:right w:val="single" w:sz="4" w:space="0" w:color="000000"/>
            </w:tcBorders>
          </w:tcPr>
          <w:p w14:paraId="41583E96" w14:textId="77777777" w:rsidR="000B4B11" w:rsidRPr="000572D3" w:rsidRDefault="000B4B11" w:rsidP="00614DFF">
            <w:pPr>
              <w:pStyle w:val="TableParagraph"/>
              <w:ind w:left="105"/>
              <w:rPr>
                <w:sz w:val="24"/>
              </w:rPr>
            </w:pPr>
            <w:r w:rsidRPr="000572D3">
              <w:rPr>
                <w:spacing w:val="-4"/>
                <w:sz w:val="24"/>
              </w:rPr>
              <w:t>NONE</w:t>
            </w:r>
          </w:p>
        </w:tc>
        <w:tc>
          <w:tcPr>
            <w:tcW w:w="2977" w:type="pct"/>
            <w:tcBorders>
              <w:top w:val="single" w:sz="4" w:space="0" w:color="000000"/>
              <w:left w:val="single" w:sz="4" w:space="0" w:color="000000"/>
              <w:bottom w:val="single" w:sz="4" w:space="0" w:color="000000"/>
              <w:right w:val="single" w:sz="4" w:space="0" w:color="000000"/>
            </w:tcBorders>
          </w:tcPr>
          <w:p w14:paraId="7165EA5D" w14:textId="77777777" w:rsidR="000B4B11" w:rsidRPr="000572D3" w:rsidRDefault="000B4B11" w:rsidP="000B4B11">
            <w:pPr>
              <w:pStyle w:val="TableParagraph"/>
              <w:spacing w:line="360" w:lineRule="auto"/>
              <w:ind w:right="89" w:hanging="1"/>
              <w:jc w:val="both"/>
              <w:rPr>
                <w:sz w:val="24"/>
              </w:rPr>
            </w:pPr>
            <w:r w:rsidRPr="000572D3">
              <w:rPr>
                <w:sz w:val="24"/>
              </w:rPr>
              <w:t xml:space="preserve">For this assessment, you are not allowed to use </w:t>
            </w:r>
            <w:r w:rsidRPr="000572D3">
              <w:rPr>
                <w:rFonts w:ascii="Arial"/>
                <w:b/>
                <w:sz w:val="24"/>
              </w:rPr>
              <w:t xml:space="preserve">any </w:t>
            </w:r>
            <w:r w:rsidRPr="000572D3">
              <w:rPr>
                <w:sz w:val="24"/>
              </w:rPr>
              <w:t>type</w:t>
            </w:r>
            <w:r w:rsidRPr="000572D3">
              <w:rPr>
                <w:spacing w:val="-5"/>
                <w:sz w:val="24"/>
              </w:rPr>
              <w:t xml:space="preserve"> </w:t>
            </w:r>
            <w:r w:rsidRPr="000572D3">
              <w:rPr>
                <w:sz w:val="24"/>
              </w:rPr>
              <w:t>of</w:t>
            </w:r>
            <w:r w:rsidRPr="000572D3">
              <w:rPr>
                <w:spacing w:val="-5"/>
                <w:sz w:val="24"/>
              </w:rPr>
              <w:t xml:space="preserve"> </w:t>
            </w:r>
            <w:r w:rsidRPr="000572D3">
              <w:rPr>
                <w:sz w:val="24"/>
              </w:rPr>
              <w:t>Generative</w:t>
            </w:r>
            <w:r w:rsidRPr="000572D3">
              <w:rPr>
                <w:spacing w:val="-6"/>
                <w:sz w:val="24"/>
              </w:rPr>
              <w:t xml:space="preserve"> </w:t>
            </w:r>
            <w:r w:rsidRPr="000572D3">
              <w:rPr>
                <w:sz w:val="24"/>
              </w:rPr>
              <w:t>AI</w:t>
            </w:r>
            <w:r w:rsidRPr="000572D3">
              <w:rPr>
                <w:spacing w:val="-5"/>
                <w:sz w:val="24"/>
              </w:rPr>
              <w:t xml:space="preserve"> </w:t>
            </w:r>
            <w:r w:rsidRPr="000572D3">
              <w:rPr>
                <w:sz w:val="24"/>
              </w:rPr>
              <w:t>support.</w:t>
            </w:r>
            <w:r w:rsidRPr="000572D3">
              <w:rPr>
                <w:spacing w:val="-4"/>
                <w:sz w:val="24"/>
              </w:rPr>
              <w:t xml:space="preserve"> </w:t>
            </w:r>
            <w:r w:rsidRPr="000572D3">
              <w:rPr>
                <w:sz w:val="24"/>
              </w:rPr>
              <w:t>This</w:t>
            </w:r>
            <w:r w:rsidRPr="000572D3">
              <w:rPr>
                <w:spacing w:val="-5"/>
                <w:sz w:val="24"/>
              </w:rPr>
              <w:t xml:space="preserve"> </w:t>
            </w:r>
            <w:r w:rsidRPr="000572D3">
              <w:rPr>
                <w:sz w:val="24"/>
              </w:rPr>
              <w:t>includes</w:t>
            </w:r>
            <w:r w:rsidRPr="000572D3">
              <w:rPr>
                <w:spacing w:val="-7"/>
                <w:sz w:val="24"/>
              </w:rPr>
              <w:t xml:space="preserve"> </w:t>
            </w:r>
            <w:r w:rsidRPr="000572D3">
              <w:rPr>
                <w:sz w:val="24"/>
              </w:rPr>
              <w:t>research support, structure support, writing/proofreading</w:t>
            </w:r>
          </w:p>
          <w:p w14:paraId="6DDCE4DF" w14:textId="77777777" w:rsidR="000B4B11" w:rsidRPr="000572D3" w:rsidRDefault="000B4B11" w:rsidP="000B4B11">
            <w:pPr>
              <w:pStyle w:val="TableParagraph"/>
              <w:spacing w:line="252" w:lineRule="exact"/>
              <w:jc w:val="both"/>
              <w:rPr>
                <w:sz w:val="24"/>
              </w:rPr>
            </w:pPr>
            <w:r w:rsidRPr="000572D3">
              <w:rPr>
                <w:sz w:val="24"/>
              </w:rPr>
              <w:t>support</w:t>
            </w:r>
            <w:r w:rsidRPr="000572D3">
              <w:rPr>
                <w:spacing w:val="-6"/>
                <w:sz w:val="24"/>
              </w:rPr>
              <w:t xml:space="preserve"> </w:t>
            </w:r>
            <w:r w:rsidRPr="000572D3">
              <w:rPr>
                <w:sz w:val="24"/>
              </w:rPr>
              <w:t>and</w:t>
            </w:r>
            <w:r w:rsidRPr="000572D3">
              <w:rPr>
                <w:spacing w:val="-2"/>
                <w:sz w:val="24"/>
              </w:rPr>
              <w:t xml:space="preserve"> </w:t>
            </w:r>
            <w:r w:rsidRPr="000572D3">
              <w:rPr>
                <w:sz w:val="24"/>
              </w:rPr>
              <w:t>creative</w:t>
            </w:r>
            <w:r w:rsidRPr="000572D3">
              <w:rPr>
                <w:spacing w:val="-4"/>
                <w:sz w:val="24"/>
              </w:rPr>
              <w:t xml:space="preserve"> </w:t>
            </w:r>
            <w:r w:rsidRPr="000572D3">
              <w:rPr>
                <w:spacing w:val="-2"/>
                <w:sz w:val="24"/>
              </w:rPr>
              <w:t>support.</w:t>
            </w:r>
          </w:p>
        </w:tc>
        <w:tc>
          <w:tcPr>
            <w:tcW w:w="781" w:type="pct"/>
            <w:tcBorders>
              <w:top w:val="single" w:sz="4" w:space="0" w:color="000000"/>
              <w:left w:val="single" w:sz="4" w:space="0" w:color="000000"/>
              <w:bottom w:val="single" w:sz="4" w:space="0" w:color="000000"/>
            </w:tcBorders>
          </w:tcPr>
          <w:p w14:paraId="4E453F37" w14:textId="77777777" w:rsidR="000B4B11" w:rsidRPr="000572D3" w:rsidRDefault="000B4B11" w:rsidP="00614DFF">
            <w:pPr>
              <w:pStyle w:val="TableParagraph"/>
              <w:spacing w:before="3"/>
              <w:ind w:left="111"/>
              <w:rPr>
                <w:rFonts w:ascii="SimSun-ExtB" w:hAnsi="SimSun-ExtB"/>
                <w:sz w:val="24"/>
              </w:rPr>
            </w:pPr>
            <w:r w:rsidRPr="000572D3">
              <w:rPr>
                <w:rFonts w:ascii="SimSun-ExtB" w:hAnsi="SimSun-ExtB"/>
                <w:spacing w:val="-10"/>
                <w:sz w:val="24"/>
              </w:rPr>
              <w:t>☐</w:t>
            </w:r>
          </w:p>
        </w:tc>
      </w:tr>
    </w:tbl>
    <w:p w14:paraId="724200F3" w14:textId="77777777" w:rsidR="00002F13" w:rsidRDefault="00002F13" w:rsidP="00002F13">
      <w:pPr>
        <w:spacing w:after="0" w:line="240" w:lineRule="auto"/>
        <w:rPr>
          <w:rFonts w:ascii="Arial" w:hAnsi="Arial" w:cs="Arial"/>
          <w:lang w:val="en-IN"/>
        </w:rPr>
      </w:pPr>
    </w:p>
    <w:p w14:paraId="4258BA27" w14:textId="77777777" w:rsidR="00002F13" w:rsidRDefault="00002F13" w:rsidP="00002F13">
      <w:pPr>
        <w:spacing w:after="0" w:line="240" w:lineRule="auto"/>
        <w:rPr>
          <w:rFonts w:ascii="Arial" w:hAnsi="Arial" w:cs="Arial"/>
          <w:lang w:val="en-IN"/>
        </w:rPr>
      </w:pPr>
    </w:p>
    <w:p w14:paraId="17F1DEDF" w14:textId="77777777" w:rsidR="00002F13" w:rsidRDefault="00002F13" w:rsidP="00002F13">
      <w:pPr>
        <w:spacing w:after="0" w:line="240" w:lineRule="auto"/>
        <w:rPr>
          <w:rFonts w:ascii="Arial" w:hAnsi="Arial" w:cs="Arial"/>
          <w:lang w:val="en-IN"/>
        </w:rPr>
      </w:pPr>
    </w:p>
    <w:p w14:paraId="578B6E41" w14:textId="77777777" w:rsidR="00002F13" w:rsidRDefault="00002F13" w:rsidP="00002F13">
      <w:pPr>
        <w:spacing w:after="0" w:line="240" w:lineRule="auto"/>
        <w:rPr>
          <w:rFonts w:ascii="Arial" w:hAnsi="Arial" w:cs="Arial"/>
          <w:lang w:val="en-IN"/>
        </w:rPr>
      </w:pPr>
    </w:p>
    <w:p w14:paraId="44A6CC6D" w14:textId="34FFE1EF" w:rsidR="00002F13" w:rsidRPr="00002F13" w:rsidRDefault="00002F13" w:rsidP="00002F13">
      <w:pPr>
        <w:spacing w:after="0" w:line="240" w:lineRule="auto"/>
        <w:rPr>
          <w:rFonts w:ascii="Arial" w:hAnsi="Arial" w:cs="Arial"/>
          <w:lang w:val="en-IN"/>
        </w:rPr>
      </w:pPr>
      <w:r w:rsidRPr="00002F13">
        <w:rPr>
          <w:rFonts w:ascii="Arial" w:hAnsi="Arial" w:cs="Arial"/>
          <w:lang w:val="en-IN"/>
        </w:rPr>
        <w:t>I hereby certify that I have not submitted any AI-generated content as my original work. I have copies of my drafts and other material that I used before and after the use of AI to support my research that can be required by the university as evidence.</w:t>
      </w:r>
    </w:p>
    <w:p w14:paraId="4DFD4FEF" w14:textId="77777777" w:rsidR="00002F13" w:rsidRPr="00002F13" w:rsidRDefault="00002F13" w:rsidP="00002F13">
      <w:pPr>
        <w:spacing w:after="0" w:line="240" w:lineRule="auto"/>
        <w:rPr>
          <w:rFonts w:ascii="Arial" w:hAnsi="Arial" w:cs="Arial"/>
          <w:lang w:val="en-IN"/>
        </w:rPr>
      </w:pPr>
    </w:p>
    <w:p w14:paraId="5A7BB95A" w14:textId="31635EF6" w:rsidR="00B80DC6" w:rsidRPr="000572D3" w:rsidRDefault="00002F13" w:rsidP="00002F13">
      <w:pPr>
        <w:spacing w:after="0" w:line="240" w:lineRule="auto"/>
        <w:rPr>
          <w:rFonts w:ascii="Arial" w:hAnsi="Arial" w:cs="Arial"/>
        </w:rPr>
      </w:pPr>
      <w:r w:rsidRPr="00002F13">
        <w:rPr>
          <w:rFonts w:ascii="Arial" w:hAnsi="Arial" w:cs="Arial"/>
          <w:lang w:val="en-IN"/>
        </w:rPr>
        <w:t>I certify that I have used Microsoft 365 Copilot (https://www.microsoft.com/)  to conduct my research by the use of the following prompt(s):</w:t>
      </w:r>
    </w:p>
    <w:p w14:paraId="76CF771A" w14:textId="77777777" w:rsidR="0059041F" w:rsidRPr="000572D3" w:rsidRDefault="0059041F" w:rsidP="006A1236">
      <w:pPr>
        <w:spacing w:after="0" w:line="240" w:lineRule="auto"/>
        <w:rPr>
          <w:rFonts w:ascii="Arial" w:hAnsi="Arial" w:cs="Arial"/>
        </w:rPr>
      </w:pPr>
    </w:p>
    <w:p w14:paraId="18B1C963" w14:textId="77777777" w:rsidR="0059041F" w:rsidRPr="000572D3" w:rsidRDefault="0059041F" w:rsidP="006A1236">
      <w:pPr>
        <w:rPr>
          <w:rFonts w:ascii="Arial" w:hAnsi="Arial" w:cs="Arial"/>
        </w:rPr>
      </w:pPr>
    </w:p>
    <w:p w14:paraId="311B3234" w14:textId="77777777" w:rsidR="00EB0265" w:rsidRPr="000572D3" w:rsidRDefault="00EB0265" w:rsidP="006A1236">
      <w:pPr>
        <w:rPr>
          <w:rFonts w:ascii="Arial" w:hAnsi="Arial" w:cs="Arial"/>
        </w:rPr>
      </w:pPr>
    </w:p>
    <w:p w14:paraId="6EE094A9" w14:textId="77777777" w:rsidR="00EB0265" w:rsidRPr="000572D3" w:rsidRDefault="00EB0265" w:rsidP="006A1236">
      <w:pPr>
        <w:rPr>
          <w:rFonts w:ascii="Arial" w:hAnsi="Arial" w:cs="Arial"/>
        </w:rPr>
      </w:pPr>
    </w:p>
    <w:p w14:paraId="6CB2C017" w14:textId="77777777" w:rsidR="00EB0265" w:rsidRPr="000572D3" w:rsidRDefault="00EB0265" w:rsidP="006A1236">
      <w:pPr>
        <w:rPr>
          <w:rFonts w:ascii="Arial" w:hAnsi="Arial" w:cs="Arial"/>
        </w:rPr>
      </w:pPr>
    </w:p>
    <w:sdt>
      <w:sdtPr>
        <w:rPr>
          <w:rFonts w:ascii="Arial" w:eastAsiaTheme="minorHAnsi" w:hAnsi="Arial" w:cs="Arial"/>
          <w:color w:val="auto"/>
          <w:kern w:val="2"/>
          <w:sz w:val="24"/>
          <w:szCs w:val="22"/>
          <w:lang w:val="en-GB"/>
          <w14:ligatures w14:val="standardContextual"/>
        </w:rPr>
        <w:id w:val="593748020"/>
        <w:docPartObj>
          <w:docPartGallery w:val="Table of Contents"/>
          <w:docPartUnique/>
        </w:docPartObj>
      </w:sdtPr>
      <w:sdtEndPr>
        <w:rPr>
          <w:b/>
          <w:bCs/>
          <w:noProof/>
        </w:rPr>
      </w:sdtEndPr>
      <w:sdtContent>
        <w:p w14:paraId="57141079" w14:textId="6529DA8B" w:rsidR="007978A0" w:rsidRPr="000572D3" w:rsidRDefault="007978A0" w:rsidP="006A1236">
          <w:pPr>
            <w:pStyle w:val="TOCHeading"/>
            <w:spacing w:after="160" w:line="360" w:lineRule="auto"/>
            <w:jc w:val="center"/>
            <w:rPr>
              <w:rFonts w:ascii="Arial" w:hAnsi="Arial" w:cs="Arial"/>
              <w:b/>
              <w:bCs/>
              <w:color w:val="000000" w:themeColor="text1"/>
              <w:sz w:val="28"/>
              <w:szCs w:val="24"/>
              <w:lang w:val="en-GB"/>
            </w:rPr>
          </w:pPr>
          <w:r w:rsidRPr="000572D3">
            <w:rPr>
              <w:rFonts w:ascii="Arial" w:hAnsi="Arial" w:cs="Arial"/>
              <w:b/>
              <w:bCs/>
              <w:color w:val="000000" w:themeColor="text1"/>
              <w:sz w:val="28"/>
              <w:szCs w:val="24"/>
              <w:lang w:val="en-GB"/>
            </w:rPr>
            <w:t>Table of Contents</w:t>
          </w:r>
        </w:p>
        <w:p w14:paraId="21C08AC5" w14:textId="6D75D66D" w:rsidR="000572D3" w:rsidRPr="000572D3" w:rsidRDefault="007978A0"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r w:rsidRPr="000572D3">
            <w:rPr>
              <w:rFonts w:ascii="Arial" w:hAnsi="Arial" w:cs="Arial"/>
              <w:szCs w:val="24"/>
            </w:rPr>
            <w:fldChar w:fldCharType="begin"/>
          </w:r>
          <w:r w:rsidRPr="000572D3">
            <w:rPr>
              <w:rFonts w:ascii="Arial" w:hAnsi="Arial" w:cs="Arial"/>
              <w:szCs w:val="24"/>
            </w:rPr>
            <w:instrText xml:space="preserve"> TOC \o "1-3" \h \z \u </w:instrText>
          </w:r>
          <w:r w:rsidRPr="000572D3">
            <w:rPr>
              <w:rFonts w:ascii="Arial" w:hAnsi="Arial" w:cs="Arial"/>
              <w:szCs w:val="24"/>
            </w:rPr>
            <w:fldChar w:fldCharType="separate"/>
          </w:r>
          <w:hyperlink w:anchor="_Toc237444417" w:history="1">
            <w:r w:rsidR="000572D3" w:rsidRPr="000572D3">
              <w:rPr>
                <w:rStyle w:val="Hyperlink"/>
                <w:rFonts w:ascii="Arial" w:hAnsi="Arial" w:cs="Arial"/>
                <w:noProof/>
                <w:szCs w:val="24"/>
              </w:rPr>
              <w:t>1. Introduction</w:t>
            </w:r>
            <w:r w:rsidR="000572D3" w:rsidRPr="000572D3">
              <w:rPr>
                <w:rFonts w:ascii="Arial" w:hAnsi="Arial" w:cs="Arial"/>
                <w:noProof/>
                <w:webHidden/>
                <w:szCs w:val="24"/>
              </w:rPr>
              <w:tab/>
            </w:r>
            <w:r w:rsidR="000572D3" w:rsidRPr="000572D3">
              <w:rPr>
                <w:rFonts w:ascii="Arial" w:hAnsi="Arial" w:cs="Arial"/>
                <w:noProof/>
                <w:webHidden/>
                <w:szCs w:val="24"/>
              </w:rPr>
              <w:fldChar w:fldCharType="begin"/>
            </w:r>
            <w:r w:rsidR="000572D3" w:rsidRPr="000572D3">
              <w:rPr>
                <w:rFonts w:ascii="Arial" w:hAnsi="Arial" w:cs="Arial"/>
                <w:noProof/>
                <w:webHidden/>
                <w:szCs w:val="24"/>
              </w:rPr>
              <w:instrText xml:space="preserve"> PAGEREF _Toc237444417 \h </w:instrText>
            </w:r>
            <w:r w:rsidR="000572D3" w:rsidRPr="000572D3">
              <w:rPr>
                <w:rFonts w:ascii="Arial" w:hAnsi="Arial" w:cs="Arial"/>
                <w:noProof/>
                <w:webHidden/>
                <w:szCs w:val="24"/>
              </w:rPr>
            </w:r>
            <w:r w:rsidR="000572D3" w:rsidRPr="000572D3">
              <w:rPr>
                <w:rFonts w:ascii="Arial" w:hAnsi="Arial" w:cs="Arial"/>
                <w:noProof/>
                <w:webHidden/>
                <w:szCs w:val="24"/>
              </w:rPr>
              <w:fldChar w:fldCharType="separate"/>
            </w:r>
            <w:r w:rsidR="000572D3" w:rsidRPr="000572D3">
              <w:rPr>
                <w:rFonts w:ascii="Arial" w:hAnsi="Arial" w:cs="Arial"/>
                <w:noProof/>
                <w:webHidden/>
                <w:szCs w:val="24"/>
              </w:rPr>
              <w:t>6</w:t>
            </w:r>
            <w:r w:rsidR="000572D3" w:rsidRPr="000572D3">
              <w:rPr>
                <w:rFonts w:ascii="Arial" w:hAnsi="Arial" w:cs="Arial"/>
                <w:noProof/>
                <w:webHidden/>
                <w:szCs w:val="24"/>
              </w:rPr>
              <w:fldChar w:fldCharType="end"/>
            </w:r>
          </w:hyperlink>
        </w:p>
        <w:p w14:paraId="72987424" w14:textId="0F5D121B"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18" w:history="1">
            <w:r w:rsidRPr="000572D3">
              <w:rPr>
                <w:rStyle w:val="Hyperlink"/>
                <w:rFonts w:ascii="Arial" w:hAnsi="Arial" w:cs="Arial"/>
                <w:noProof/>
                <w:szCs w:val="24"/>
              </w:rPr>
              <w:t xml:space="preserve">2. </w:t>
            </w:r>
            <w:r w:rsidRPr="000572D3">
              <w:rPr>
                <w:rStyle w:val="Hyperlink"/>
                <w:rFonts w:ascii="Arial" w:hAnsi="Arial" w:cs="Arial"/>
                <w:bCs/>
                <w:noProof/>
                <w:szCs w:val="24"/>
              </w:rPr>
              <w:t xml:space="preserve">Cadbury: </w:t>
            </w:r>
            <w:r w:rsidRPr="000572D3">
              <w:rPr>
                <w:rStyle w:val="Hyperlink"/>
                <w:rFonts w:ascii="Arial" w:hAnsi="Arial" w:cs="Arial"/>
                <w:noProof/>
                <w:szCs w:val="24"/>
              </w:rPr>
              <w:t>Company and Market Background</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_Toc237444418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7</w:t>
            </w:r>
            <w:r w:rsidRPr="000572D3">
              <w:rPr>
                <w:rFonts w:ascii="Arial" w:hAnsi="Arial" w:cs="Arial"/>
                <w:noProof/>
                <w:webHidden/>
                <w:szCs w:val="24"/>
              </w:rPr>
              <w:fldChar w:fldCharType="end"/>
            </w:r>
          </w:hyperlink>
        </w:p>
        <w:p w14:paraId="5DAC7B58" w14:textId="1EE0DB1C"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19" w:history="1">
            <w:r w:rsidRPr="000572D3">
              <w:rPr>
                <w:rStyle w:val="Hyperlink"/>
                <w:rFonts w:ascii="Arial" w:hAnsi="Arial" w:cs="Arial"/>
                <w:noProof/>
                <w:szCs w:val="24"/>
              </w:rPr>
              <w:t>2.1 Cadbury Company Background</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_Toc237444419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7</w:t>
            </w:r>
            <w:r w:rsidRPr="000572D3">
              <w:rPr>
                <w:rFonts w:ascii="Arial" w:hAnsi="Arial" w:cs="Arial"/>
                <w:noProof/>
                <w:webHidden/>
                <w:szCs w:val="24"/>
              </w:rPr>
              <w:fldChar w:fldCharType="end"/>
            </w:r>
          </w:hyperlink>
        </w:p>
        <w:p w14:paraId="3D04B8F5" w14:textId="4AFBAAB5"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20" w:history="1">
            <w:r w:rsidRPr="000572D3">
              <w:rPr>
                <w:rStyle w:val="Hyperlink"/>
                <w:rFonts w:ascii="Arial" w:hAnsi="Arial" w:cs="Arial"/>
                <w:noProof/>
                <w:szCs w:val="24"/>
              </w:rPr>
              <w:t>2.2 Cadbury's Mission, Values and Brand Purpose</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_Toc237444420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7</w:t>
            </w:r>
            <w:r w:rsidRPr="000572D3">
              <w:rPr>
                <w:rFonts w:ascii="Arial" w:hAnsi="Arial" w:cs="Arial"/>
                <w:noProof/>
                <w:webHidden/>
                <w:szCs w:val="24"/>
              </w:rPr>
              <w:fldChar w:fldCharType="end"/>
            </w:r>
          </w:hyperlink>
        </w:p>
        <w:p w14:paraId="79386E9C" w14:textId="558384DF"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21" w:history="1">
            <w:r w:rsidRPr="000572D3">
              <w:rPr>
                <w:rStyle w:val="Hyperlink"/>
                <w:rFonts w:ascii="Arial" w:hAnsi="Arial" w:cs="Arial"/>
                <w:noProof/>
                <w:szCs w:val="24"/>
              </w:rPr>
              <w:t>2.3 UK Home Market and Cuba Host Market</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_Toc237444421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8</w:t>
            </w:r>
            <w:r w:rsidRPr="000572D3">
              <w:rPr>
                <w:rFonts w:ascii="Arial" w:hAnsi="Arial" w:cs="Arial"/>
                <w:noProof/>
                <w:webHidden/>
                <w:szCs w:val="24"/>
              </w:rPr>
              <w:fldChar w:fldCharType="end"/>
            </w:r>
          </w:hyperlink>
        </w:p>
        <w:p w14:paraId="04F84E30" w14:textId="2F77F44A"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22" w:history="1">
            <w:r w:rsidRPr="000572D3">
              <w:rPr>
                <w:rStyle w:val="Hyperlink"/>
                <w:rFonts w:ascii="Arial" w:hAnsi="Arial" w:cs="Arial"/>
                <w:noProof/>
                <w:szCs w:val="24"/>
              </w:rPr>
              <w:t>3.1 Political Factors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_Toc237444422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10</w:t>
            </w:r>
            <w:r w:rsidRPr="000572D3">
              <w:rPr>
                <w:rFonts w:ascii="Arial" w:hAnsi="Arial" w:cs="Arial"/>
                <w:noProof/>
                <w:webHidden/>
                <w:szCs w:val="24"/>
              </w:rPr>
              <w:fldChar w:fldCharType="end"/>
            </w:r>
          </w:hyperlink>
        </w:p>
        <w:p w14:paraId="44DC3020" w14:textId="1E1748A6"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23" w:history="1">
            <w:r w:rsidRPr="000572D3">
              <w:rPr>
                <w:rStyle w:val="Hyperlink"/>
                <w:rFonts w:ascii="Arial" w:hAnsi="Arial" w:cs="Arial"/>
                <w:noProof/>
                <w:szCs w:val="24"/>
              </w:rPr>
              <w:t>3.2 Economic Factors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_Toc237444423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11</w:t>
            </w:r>
            <w:r w:rsidRPr="000572D3">
              <w:rPr>
                <w:rFonts w:ascii="Arial" w:hAnsi="Arial" w:cs="Arial"/>
                <w:noProof/>
                <w:webHidden/>
                <w:szCs w:val="24"/>
              </w:rPr>
              <w:fldChar w:fldCharType="end"/>
            </w:r>
          </w:hyperlink>
        </w:p>
        <w:p w14:paraId="4E2F074D" w14:textId="0C03CCA4"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24" w:history="1">
            <w:r w:rsidRPr="000572D3">
              <w:rPr>
                <w:rStyle w:val="Hyperlink"/>
                <w:rFonts w:ascii="Arial" w:hAnsi="Arial" w:cs="Arial"/>
                <w:noProof/>
                <w:szCs w:val="24"/>
              </w:rPr>
              <w:t>3.3 Social Factors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_Toc237444424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11</w:t>
            </w:r>
            <w:r w:rsidRPr="000572D3">
              <w:rPr>
                <w:rFonts w:ascii="Arial" w:hAnsi="Arial" w:cs="Arial"/>
                <w:noProof/>
                <w:webHidden/>
                <w:szCs w:val="24"/>
              </w:rPr>
              <w:fldChar w:fldCharType="end"/>
            </w:r>
          </w:hyperlink>
        </w:p>
        <w:p w14:paraId="7D380057" w14:textId="7A89AA3C"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25" w:history="1">
            <w:r w:rsidRPr="000572D3">
              <w:rPr>
                <w:rStyle w:val="Hyperlink"/>
                <w:rFonts w:ascii="Arial" w:hAnsi="Arial" w:cs="Arial"/>
                <w:noProof/>
                <w:szCs w:val="24"/>
              </w:rPr>
              <w:t>3.4 Technological Factors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_Toc237444425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11</w:t>
            </w:r>
            <w:r w:rsidRPr="000572D3">
              <w:rPr>
                <w:rFonts w:ascii="Arial" w:hAnsi="Arial" w:cs="Arial"/>
                <w:noProof/>
                <w:webHidden/>
                <w:szCs w:val="24"/>
              </w:rPr>
              <w:fldChar w:fldCharType="end"/>
            </w:r>
          </w:hyperlink>
        </w:p>
        <w:p w14:paraId="687214F8" w14:textId="5677DF6E"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26" w:history="1">
            <w:r w:rsidRPr="000572D3">
              <w:rPr>
                <w:rStyle w:val="Hyperlink"/>
                <w:rFonts w:ascii="Arial" w:hAnsi="Arial" w:cs="Arial"/>
                <w:noProof/>
                <w:szCs w:val="24"/>
              </w:rPr>
              <w:t>3.5 Environmental Factors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_Toc237444426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12</w:t>
            </w:r>
            <w:r w:rsidRPr="000572D3">
              <w:rPr>
                <w:rFonts w:ascii="Arial" w:hAnsi="Arial" w:cs="Arial"/>
                <w:noProof/>
                <w:webHidden/>
                <w:szCs w:val="24"/>
              </w:rPr>
              <w:fldChar w:fldCharType="end"/>
            </w:r>
          </w:hyperlink>
        </w:p>
        <w:p w14:paraId="7B9B6899" w14:textId="5D485285"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27" w:history="1">
            <w:r w:rsidRPr="000572D3">
              <w:rPr>
                <w:rStyle w:val="Hyperlink"/>
                <w:rFonts w:ascii="Arial" w:hAnsi="Arial" w:cs="Arial"/>
                <w:noProof/>
                <w:szCs w:val="24"/>
              </w:rPr>
              <w:t>3.6 Legal Factors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_Toc237444427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12</w:t>
            </w:r>
            <w:r w:rsidRPr="000572D3">
              <w:rPr>
                <w:rFonts w:ascii="Arial" w:hAnsi="Arial" w:cs="Arial"/>
                <w:noProof/>
                <w:webHidden/>
                <w:szCs w:val="24"/>
              </w:rPr>
              <w:fldChar w:fldCharType="end"/>
            </w:r>
          </w:hyperlink>
        </w:p>
        <w:p w14:paraId="1408B51D" w14:textId="4CB4FA6A"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28" w:history="1">
            <w:r w:rsidRPr="000572D3">
              <w:rPr>
                <w:rStyle w:val="Hyperlink"/>
                <w:rFonts w:ascii="Arial" w:hAnsi="Arial" w:cs="Arial"/>
                <w:noProof/>
                <w:szCs w:val="24"/>
              </w:rPr>
              <w:t>4. Global Business and Comparative Cultural Analysis: Hofstede</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_Toc237444428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12</w:t>
            </w:r>
            <w:r w:rsidRPr="000572D3">
              <w:rPr>
                <w:rFonts w:ascii="Arial" w:hAnsi="Arial" w:cs="Arial"/>
                <w:noProof/>
                <w:webHidden/>
                <w:szCs w:val="24"/>
              </w:rPr>
              <w:fldChar w:fldCharType="end"/>
            </w:r>
          </w:hyperlink>
        </w:p>
        <w:p w14:paraId="2D18D302" w14:textId="33E2EA2D"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29" w:history="1">
            <w:r w:rsidRPr="000572D3">
              <w:rPr>
                <w:rStyle w:val="Hyperlink"/>
                <w:rFonts w:ascii="Arial" w:hAnsi="Arial" w:cs="Arial"/>
                <w:noProof/>
                <w:szCs w:val="24"/>
              </w:rPr>
              <w:t>5. Comparative STP Strategy: UK and Cuba</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_Toc237444429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15</w:t>
            </w:r>
            <w:r w:rsidRPr="000572D3">
              <w:rPr>
                <w:rFonts w:ascii="Arial" w:hAnsi="Arial" w:cs="Arial"/>
                <w:noProof/>
                <w:webHidden/>
                <w:szCs w:val="24"/>
              </w:rPr>
              <w:fldChar w:fldCharType="end"/>
            </w:r>
          </w:hyperlink>
        </w:p>
        <w:p w14:paraId="2C63B36B" w14:textId="49520D7A"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30" w:history="1">
            <w:r w:rsidRPr="000572D3">
              <w:rPr>
                <w:rStyle w:val="Hyperlink"/>
                <w:rFonts w:ascii="Arial" w:hAnsi="Arial" w:cs="Arial"/>
                <w:noProof/>
                <w:szCs w:val="24"/>
              </w:rPr>
              <w:t>5.1 Segmentation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_Toc237444430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15</w:t>
            </w:r>
            <w:r w:rsidRPr="000572D3">
              <w:rPr>
                <w:rFonts w:ascii="Arial" w:hAnsi="Arial" w:cs="Arial"/>
                <w:noProof/>
                <w:webHidden/>
                <w:szCs w:val="24"/>
              </w:rPr>
              <w:fldChar w:fldCharType="end"/>
            </w:r>
          </w:hyperlink>
        </w:p>
        <w:p w14:paraId="07E6D27C" w14:textId="76136571"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31" w:history="1">
            <w:r w:rsidRPr="000572D3">
              <w:rPr>
                <w:rStyle w:val="Hyperlink"/>
                <w:rFonts w:ascii="Arial" w:hAnsi="Arial" w:cs="Arial"/>
                <w:noProof/>
                <w:szCs w:val="24"/>
              </w:rPr>
              <w:t>5.1.1 Demographic Segmentation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_Toc237444431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15</w:t>
            </w:r>
            <w:r w:rsidRPr="000572D3">
              <w:rPr>
                <w:rFonts w:ascii="Arial" w:hAnsi="Arial" w:cs="Arial"/>
                <w:noProof/>
                <w:webHidden/>
                <w:szCs w:val="24"/>
              </w:rPr>
              <w:fldChar w:fldCharType="end"/>
            </w:r>
          </w:hyperlink>
        </w:p>
        <w:p w14:paraId="3D25A4E1" w14:textId="5C80F1AC"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32" w:history="1">
            <w:r w:rsidRPr="000572D3">
              <w:rPr>
                <w:rStyle w:val="Hyperlink"/>
                <w:rFonts w:ascii="Arial" w:hAnsi="Arial" w:cs="Arial"/>
                <w:noProof/>
                <w:szCs w:val="24"/>
              </w:rPr>
              <w:t>5.1.2 Geographic Segmentation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_Toc237444432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16</w:t>
            </w:r>
            <w:r w:rsidRPr="000572D3">
              <w:rPr>
                <w:rFonts w:ascii="Arial" w:hAnsi="Arial" w:cs="Arial"/>
                <w:noProof/>
                <w:webHidden/>
                <w:szCs w:val="24"/>
              </w:rPr>
              <w:fldChar w:fldCharType="end"/>
            </w:r>
          </w:hyperlink>
        </w:p>
        <w:p w14:paraId="683330AA" w14:textId="5E88C12A"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33" w:history="1">
            <w:r w:rsidRPr="000572D3">
              <w:rPr>
                <w:rStyle w:val="Hyperlink"/>
                <w:rFonts w:ascii="Arial" w:hAnsi="Arial" w:cs="Arial"/>
                <w:noProof/>
                <w:szCs w:val="24"/>
              </w:rPr>
              <w:t>5.1.4 Behavioural Segmentation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_Toc237444433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16</w:t>
            </w:r>
            <w:r w:rsidRPr="000572D3">
              <w:rPr>
                <w:rFonts w:ascii="Arial" w:hAnsi="Arial" w:cs="Arial"/>
                <w:noProof/>
                <w:webHidden/>
                <w:szCs w:val="24"/>
              </w:rPr>
              <w:fldChar w:fldCharType="end"/>
            </w:r>
          </w:hyperlink>
        </w:p>
        <w:p w14:paraId="0EDEDD4D" w14:textId="66F82CF5"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34" w:history="1">
            <w:r w:rsidRPr="000572D3">
              <w:rPr>
                <w:rStyle w:val="Hyperlink"/>
                <w:rFonts w:ascii="Arial" w:hAnsi="Arial" w:cs="Arial"/>
                <w:noProof/>
                <w:szCs w:val="24"/>
              </w:rPr>
              <w:t xml:space="preserve">5.1.5 </w:t>
            </w:r>
            <w:r w:rsidRPr="000572D3">
              <w:rPr>
                <w:rStyle w:val="Hyperlink"/>
                <w:rFonts w:ascii="Arial" w:hAnsi="Arial" w:cs="Arial"/>
                <w:noProof/>
                <w:szCs w:val="24"/>
                <w:lang w:val="en-IN"/>
              </w:rPr>
              <w:t>Psychographic segmentation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_Toc237444434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16</w:t>
            </w:r>
            <w:r w:rsidRPr="000572D3">
              <w:rPr>
                <w:rFonts w:ascii="Arial" w:hAnsi="Arial" w:cs="Arial"/>
                <w:noProof/>
                <w:webHidden/>
                <w:szCs w:val="24"/>
              </w:rPr>
              <w:fldChar w:fldCharType="end"/>
            </w:r>
          </w:hyperlink>
        </w:p>
        <w:p w14:paraId="16DC89E6" w14:textId="04032B11"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35" w:history="1">
            <w:r w:rsidRPr="000572D3">
              <w:rPr>
                <w:rStyle w:val="Hyperlink"/>
                <w:rFonts w:ascii="Arial" w:hAnsi="Arial" w:cs="Arial"/>
                <w:noProof/>
                <w:szCs w:val="24"/>
              </w:rPr>
              <w:t>5.2 Targeting</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_Toc237444435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17</w:t>
            </w:r>
            <w:r w:rsidRPr="000572D3">
              <w:rPr>
                <w:rFonts w:ascii="Arial" w:hAnsi="Arial" w:cs="Arial"/>
                <w:noProof/>
                <w:webHidden/>
                <w:szCs w:val="24"/>
              </w:rPr>
              <w:fldChar w:fldCharType="end"/>
            </w:r>
          </w:hyperlink>
        </w:p>
        <w:p w14:paraId="25A2F581" w14:textId="6FBB24E8"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36" w:history="1">
            <w:r w:rsidRPr="000572D3">
              <w:rPr>
                <w:rStyle w:val="Hyperlink"/>
                <w:rFonts w:ascii="Arial" w:hAnsi="Arial" w:cs="Arial"/>
                <w:noProof/>
                <w:szCs w:val="24"/>
              </w:rPr>
              <w:t>5.3 Positioning</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_Toc237444436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17</w:t>
            </w:r>
            <w:r w:rsidRPr="000572D3">
              <w:rPr>
                <w:rFonts w:ascii="Arial" w:hAnsi="Arial" w:cs="Arial"/>
                <w:noProof/>
                <w:webHidden/>
                <w:szCs w:val="24"/>
              </w:rPr>
              <w:fldChar w:fldCharType="end"/>
            </w:r>
          </w:hyperlink>
        </w:p>
        <w:p w14:paraId="77B10B22" w14:textId="47DDD897"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37" w:history="1">
            <w:r w:rsidRPr="000572D3">
              <w:rPr>
                <w:rStyle w:val="Hyperlink"/>
                <w:rFonts w:ascii="Arial" w:hAnsi="Arial" w:cs="Arial"/>
                <w:noProof/>
                <w:szCs w:val="24"/>
              </w:rPr>
              <w:t>5.4 Perceptual Positioning</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_Toc237444437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17</w:t>
            </w:r>
            <w:r w:rsidRPr="000572D3">
              <w:rPr>
                <w:rFonts w:ascii="Arial" w:hAnsi="Arial" w:cs="Arial"/>
                <w:noProof/>
                <w:webHidden/>
                <w:szCs w:val="24"/>
              </w:rPr>
              <w:fldChar w:fldCharType="end"/>
            </w:r>
          </w:hyperlink>
        </w:p>
        <w:p w14:paraId="5E051D2C" w14:textId="13044C5A"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38" w:history="1">
            <w:r w:rsidRPr="000572D3">
              <w:rPr>
                <w:rStyle w:val="Hyperlink"/>
                <w:rFonts w:ascii="Arial" w:hAnsi="Arial" w:cs="Arial"/>
                <w:noProof/>
                <w:szCs w:val="24"/>
              </w:rPr>
              <w:t>6. Comparative International Marketing Mix: 7Ps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_Toc237444438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18</w:t>
            </w:r>
            <w:r w:rsidRPr="000572D3">
              <w:rPr>
                <w:rFonts w:ascii="Arial" w:hAnsi="Arial" w:cs="Arial"/>
                <w:noProof/>
                <w:webHidden/>
                <w:szCs w:val="24"/>
              </w:rPr>
              <w:fldChar w:fldCharType="end"/>
            </w:r>
          </w:hyperlink>
        </w:p>
        <w:p w14:paraId="053D0AB6" w14:textId="74F285FF"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39" w:history="1">
            <w:r w:rsidRPr="000572D3">
              <w:rPr>
                <w:rStyle w:val="Hyperlink"/>
                <w:rFonts w:ascii="Arial" w:hAnsi="Arial" w:cs="Arial"/>
                <w:noProof/>
                <w:szCs w:val="24"/>
              </w:rPr>
              <w:t>6.1 Product</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_Toc237444439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19</w:t>
            </w:r>
            <w:r w:rsidRPr="000572D3">
              <w:rPr>
                <w:rFonts w:ascii="Arial" w:hAnsi="Arial" w:cs="Arial"/>
                <w:noProof/>
                <w:webHidden/>
                <w:szCs w:val="24"/>
              </w:rPr>
              <w:fldChar w:fldCharType="end"/>
            </w:r>
          </w:hyperlink>
        </w:p>
        <w:p w14:paraId="11D0A6E9" w14:textId="4A11C013"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40" w:history="1">
            <w:r w:rsidRPr="000572D3">
              <w:rPr>
                <w:rStyle w:val="Hyperlink"/>
                <w:rFonts w:ascii="Arial" w:hAnsi="Arial" w:cs="Arial"/>
                <w:noProof/>
                <w:szCs w:val="24"/>
              </w:rPr>
              <w:t>6.2 Price</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_Toc237444440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19</w:t>
            </w:r>
            <w:r w:rsidRPr="000572D3">
              <w:rPr>
                <w:rFonts w:ascii="Arial" w:hAnsi="Arial" w:cs="Arial"/>
                <w:noProof/>
                <w:webHidden/>
                <w:szCs w:val="24"/>
              </w:rPr>
              <w:fldChar w:fldCharType="end"/>
            </w:r>
          </w:hyperlink>
        </w:p>
        <w:p w14:paraId="0C9FF45E" w14:textId="221CC70F"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41" w:history="1">
            <w:r w:rsidRPr="000572D3">
              <w:rPr>
                <w:rStyle w:val="Hyperlink"/>
                <w:rFonts w:ascii="Arial" w:hAnsi="Arial" w:cs="Arial"/>
                <w:noProof/>
                <w:szCs w:val="24"/>
              </w:rPr>
              <w:t>6.3 Place</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_Toc237444441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19</w:t>
            </w:r>
            <w:r w:rsidRPr="000572D3">
              <w:rPr>
                <w:rFonts w:ascii="Arial" w:hAnsi="Arial" w:cs="Arial"/>
                <w:noProof/>
                <w:webHidden/>
                <w:szCs w:val="24"/>
              </w:rPr>
              <w:fldChar w:fldCharType="end"/>
            </w:r>
          </w:hyperlink>
        </w:p>
        <w:p w14:paraId="6F6E64B5" w14:textId="68640FCD"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42" w:history="1">
            <w:r w:rsidRPr="000572D3">
              <w:rPr>
                <w:rStyle w:val="Hyperlink"/>
                <w:rFonts w:ascii="Arial" w:hAnsi="Arial" w:cs="Arial"/>
                <w:noProof/>
                <w:szCs w:val="24"/>
              </w:rPr>
              <w:t>6.4 Promotion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_Toc237444442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19</w:t>
            </w:r>
            <w:r w:rsidRPr="000572D3">
              <w:rPr>
                <w:rFonts w:ascii="Arial" w:hAnsi="Arial" w:cs="Arial"/>
                <w:noProof/>
                <w:webHidden/>
                <w:szCs w:val="24"/>
              </w:rPr>
              <w:fldChar w:fldCharType="end"/>
            </w:r>
          </w:hyperlink>
        </w:p>
        <w:p w14:paraId="791A542F" w14:textId="11DB36B9"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43" w:history="1">
            <w:r w:rsidRPr="000572D3">
              <w:rPr>
                <w:rStyle w:val="Hyperlink"/>
                <w:rFonts w:ascii="Arial" w:hAnsi="Arial" w:cs="Arial"/>
                <w:noProof/>
                <w:szCs w:val="24"/>
              </w:rPr>
              <w:t>6.5 People</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_Toc237444443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20</w:t>
            </w:r>
            <w:r w:rsidRPr="000572D3">
              <w:rPr>
                <w:rFonts w:ascii="Arial" w:hAnsi="Arial" w:cs="Arial"/>
                <w:noProof/>
                <w:webHidden/>
                <w:szCs w:val="24"/>
              </w:rPr>
              <w:fldChar w:fldCharType="end"/>
            </w:r>
          </w:hyperlink>
        </w:p>
        <w:p w14:paraId="021C8697" w14:textId="4D7E5824"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44" w:history="1">
            <w:r w:rsidRPr="000572D3">
              <w:rPr>
                <w:rStyle w:val="Hyperlink"/>
                <w:rFonts w:ascii="Arial" w:hAnsi="Arial" w:cs="Arial"/>
                <w:noProof/>
                <w:szCs w:val="24"/>
              </w:rPr>
              <w:t>6.6 Process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_Toc237444444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20</w:t>
            </w:r>
            <w:r w:rsidRPr="000572D3">
              <w:rPr>
                <w:rFonts w:ascii="Arial" w:hAnsi="Arial" w:cs="Arial"/>
                <w:noProof/>
                <w:webHidden/>
                <w:szCs w:val="24"/>
              </w:rPr>
              <w:fldChar w:fldCharType="end"/>
            </w:r>
          </w:hyperlink>
        </w:p>
        <w:p w14:paraId="1B63F78B" w14:textId="637B3696"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45" w:history="1">
            <w:r w:rsidRPr="000572D3">
              <w:rPr>
                <w:rStyle w:val="Hyperlink"/>
                <w:rFonts w:ascii="Arial" w:hAnsi="Arial" w:cs="Arial"/>
                <w:noProof/>
                <w:szCs w:val="24"/>
              </w:rPr>
              <w:t>6.7 Physical Evidence</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_Toc237444445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20</w:t>
            </w:r>
            <w:r w:rsidRPr="000572D3">
              <w:rPr>
                <w:rFonts w:ascii="Arial" w:hAnsi="Arial" w:cs="Arial"/>
                <w:noProof/>
                <w:webHidden/>
                <w:szCs w:val="24"/>
              </w:rPr>
              <w:fldChar w:fldCharType="end"/>
            </w:r>
          </w:hyperlink>
        </w:p>
        <w:p w14:paraId="651C5B2D" w14:textId="03F83571"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46" w:history="1">
            <w:r w:rsidRPr="000572D3">
              <w:rPr>
                <w:rStyle w:val="Hyperlink"/>
                <w:rFonts w:ascii="Arial" w:hAnsi="Arial" w:cs="Arial"/>
                <w:noProof/>
                <w:szCs w:val="24"/>
              </w:rPr>
              <w:t>6.8 Similarities and Differences in the 7Ps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_Toc237444446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20</w:t>
            </w:r>
            <w:r w:rsidRPr="000572D3">
              <w:rPr>
                <w:rFonts w:ascii="Arial" w:hAnsi="Arial" w:cs="Arial"/>
                <w:noProof/>
                <w:webHidden/>
                <w:szCs w:val="24"/>
              </w:rPr>
              <w:fldChar w:fldCharType="end"/>
            </w:r>
          </w:hyperlink>
        </w:p>
        <w:p w14:paraId="0BE2A95D" w14:textId="4D8C076D"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47" w:history="1">
            <w:r w:rsidRPr="000572D3">
              <w:rPr>
                <w:rStyle w:val="Hyperlink"/>
                <w:rFonts w:ascii="Arial" w:hAnsi="Arial" w:cs="Arial"/>
                <w:noProof/>
                <w:szCs w:val="24"/>
              </w:rPr>
              <w:t>7. Cadbury's Market Entry Strategy for Cuba</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_Toc237444447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22</w:t>
            </w:r>
            <w:r w:rsidRPr="000572D3">
              <w:rPr>
                <w:rFonts w:ascii="Arial" w:hAnsi="Arial" w:cs="Arial"/>
                <w:noProof/>
                <w:webHidden/>
                <w:szCs w:val="24"/>
              </w:rPr>
              <w:fldChar w:fldCharType="end"/>
            </w:r>
          </w:hyperlink>
        </w:p>
        <w:p w14:paraId="11880A5D" w14:textId="6E8136A8"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48" w:history="1">
            <w:r w:rsidRPr="000572D3">
              <w:rPr>
                <w:rStyle w:val="Hyperlink"/>
                <w:rFonts w:ascii="Arial" w:hAnsi="Arial" w:cs="Arial"/>
                <w:noProof/>
                <w:szCs w:val="24"/>
              </w:rPr>
              <w:t>7.1 Cuba market attractiveness and entry strategy</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_Toc237444448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22</w:t>
            </w:r>
            <w:r w:rsidRPr="000572D3">
              <w:rPr>
                <w:rFonts w:ascii="Arial" w:hAnsi="Arial" w:cs="Arial"/>
                <w:noProof/>
                <w:webHidden/>
                <w:szCs w:val="24"/>
              </w:rPr>
              <w:fldChar w:fldCharType="end"/>
            </w:r>
          </w:hyperlink>
        </w:p>
        <w:p w14:paraId="2B024064" w14:textId="17313CED"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49" w:history="1">
            <w:r w:rsidRPr="000572D3">
              <w:rPr>
                <w:rStyle w:val="Hyperlink"/>
                <w:rFonts w:ascii="Arial" w:hAnsi="Arial" w:cs="Arial"/>
                <w:noProof/>
                <w:szCs w:val="24"/>
              </w:rPr>
              <w:t>8. Recommendations on Cadbury's Marketing Strategy</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_Toc237444449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22</w:t>
            </w:r>
            <w:r w:rsidRPr="000572D3">
              <w:rPr>
                <w:rFonts w:ascii="Arial" w:hAnsi="Arial" w:cs="Arial"/>
                <w:noProof/>
                <w:webHidden/>
                <w:szCs w:val="24"/>
              </w:rPr>
              <w:fldChar w:fldCharType="end"/>
            </w:r>
          </w:hyperlink>
        </w:p>
        <w:p w14:paraId="106D156C" w14:textId="212B402B"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0" w:history="1">
            <w:r w:rsidRPr="000572D3">
              <w:rPr>
                <w:rStyle w:val="Hyperlink"/>
                <w:rFonts w:ascii="Arial" w:hAnsi="Arial" w:cs="Arial"/>
                <w:noProof/>
                <w:szCs w:val="24"/>
              </w:rPr>
              <w:t>8.1 Ethical Marketing Considerations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_Toc237444450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22</w:t>
            </w:r>
            <w:r w:rsidRPr="000572D3">
              <w:rPr>
                <w:rFonts w:ascii="Arial" w:hAnsi="Arial" w:cs="Arial"/>
                <w:noProof/>
                <w:webHidden/>
                <w:szCs w:val="24"/>
              </w:rPr>
              <w:fldChar w:fldCharType="end"/>
            </w:r>
          </w:hyperlink>
        </w:p>
        <w:p w14:paraId="43DB8296" w14:textId="7B10F40F"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1" w:history="1">
            <w:r w:rsidRPr="000572D3">
              <w:rPr>
                <w:rStyle w:val="Hyperlink"/>
                <w:rFonts w:ascii="Arial" w:hAnsi="Arial" w:cs="Arial"/>
                <w:noProof/>
                <w:szCs w:val="24"/>
              </w:rPr>
              <w:t>8.2 Experiential comparison: United Kingdom and Cuba</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_Toc237444451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23</w:t>
            </w:r>
            <w:r w:rsidRPr="000572D3">
              <w:rPr>
                <w:rFonts w:ascii="Arial" w:hAnsi="Arial" w:cs="Arial"/>
                <w:noProof/>
                <w:webHidden/>
                <w:szCs w:val="24"/>
              </w:rPr>
              <w:fldChar w:fldCharType="end"/>
            </w:r>
          </w:hyperlink>
        </w:p>
        <w:p w14:paraId="572D90BA" w14:textId="3C879ACB"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2" w:history="1">
            <w:r w:rsidRPr="000572D3">
              <w:rPr>
                <w:rStyle w:val="Hyperlink"/>
                <w:rFonts w:ascii="Arial" w:hAnsi="Arial" w:cs="Arial"/>
                <w:noProof/>
                <w:szCs w:val="24"/>
              </w:rPr>
              <w:t>8.3 Recommendations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_Toc237444452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23</w:t>
            </w:r>
            <w:r w:rsidRPr="000572D3">
              <w:rPr>
                <w:rFonts w:ascii="Arial" w:hAnsi="Arial" w:cs="Arial"/>
                <w:noProof/>
                <w:webHidden/>
                <w:szCs w:val="24"/>
              </w:rPr>
              <w:fldChar w:fldCharType="end"/>
            </w:r>
          </w:hyperlink>
        </w:p>
        <w:p w14:paraId="0A16206A" w14:textId="23CA7B1E"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53" w:history="1">
            <w:r w:rsidRPr="000572D3">
              <w:rPr>
                <w:rStyle w:val="Hyperlink"/>
                <w:rFonts w:ascii="Arial" w:hAnsi="Arial" w:cs="Arial"/>
                <w:noProof/>
                <w:szCs w:val="24"/>
              </w:rPr>
              <w:t>9. Strategic Recommendations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_Toc237444453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23</w:t>
            </w:r>
            <w:r w:rsidRPr="000572D3">
              <w:rPr>
                <w:rFonts w:ascii="Arial" w:hAnsi="Arial" w:cs="Arial"/>
                <w:noProof/>
                <w:webHidden/>
                <w:szCs w:val="24"/>
              </w:rPr>
              <w:fldChar w:fldCharType="end"/>
            </w:r>
          </w:hyperlink>
        </w:p>
        <w:p w14:paraId="0DE64B1E" w14:textId="50A8DF99"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4" w:history="1">
            <w:r w:rsidRPr="000572D3">
              <w:rPr>
                <w:rStyle w:val="Hyperlink"/>
                <w:rFonts w:ascii="Arial" w:hAnsi="Arial" w:cs="Arial"/>
                <w:noProof/>
                <w:szCs w:val="24"/>
              </w:rPr>
              <w:t>9.1 Recommendation 1: Cadbury's UK Strategy</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_Toc237444454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23</w:t>
            </w:r>
            <w:r w:rsidRPr="000572D3">
              <w:rPr>
                <w:rFonts w:ascii="Arial" w:hAnsi="Arial" w:cs="Arial"/>
                <w:noProof/>
                <w:webHidden/>
                <w:szCs w:val="24"/>
              </w:rPr>
              <w:fldChar w:fldCharType="end"/>
            </w:r>
          </w:hyperlink>
        </w:p>
        <w:p w14:paraId="56DC71BF" w14:textId="5C6D6A47"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5" w:history="1">
            <w:r w:rsidRPr="000572D3">
              <w:rPr>
                <w:rStyle w:val="Hyperlink"/>
                <w:rFonts w:ascii="Arial" w:hAnsi="Arial" w:cs="Arial"/>
                <w:noProof/>
                <w:szCs w:val="24"/>
              </w:rPr>
              <w:t>9.2 Recommendation 2: Cadbury's Cuba Strategy</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_Toc237444455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24</w:t>
            </w:r>
            <w:r w:rsidRPr="000572D3">
              <w:rPr>
                <w:rFonts w:ascii="Arial" w:hAnsi="Arial" w:cs="Arial"/>
                <w:noProof/>
                <w:webHidden/>
                <w:szCs w:val="24"/>
              </w:rPr>
              <w:fldChar w:fldCharType="end"/>
            </w:r>
          </w:hyperlink>
        </w:p>
        <w:p w14:paraId="6204A0E6" w14:textId="610AEB5A"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6" w:history="1">
            <w:r w:rsidRPr="000572D3">
              <w:rPr>
                <w:rStyle w:val="Hyperlink"/>
                <w:rFonts w:ascii="Arial" w:hAnsi="Arial" w:cs="Arial"/>
                <w:noProof/>
                <w:szCs w:val="24"/>
              </w:rPr>
              <w:t>9.3 Marketing-Mix Recommendations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_Toc237444456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24</w:t>
            </w:r>
            <w:r w:rsidRPr="000572D3">
              <w:rPr>
                <w:rFonts w:ascii="Arial" w:hAnsi="Arial" w:cs="Arial"/>
                <w:noProof/>
                <w:webHidden/>
                <w:szCs w:val="24"/>
              </w:rPr>
              <w:fldChar w:fldCharType="end"/>
            </w:r>
          </w:hyperlink>
        </w:p>
        <w:p w14:paraId="669D82B3" w14:textId="05DC0677"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7" w:history="1">
            <w:r w:rsidRPr="000572D3">
              <w:rPr>
                <w:rStyle w:val="Hyperlink"/>
                <w:rFonts w:ascii="Arial" w:hAnsi="Arial" w:cs="Arial"/>
                <w:noProof/>
                <w:szCs w:val="24"/>
              </w:rPr>
              <w:t>9.4 Cultural Adaptation Recommendations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_Toc237444457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24</w:t>
            </w:r>
            <w:r w:rsidRPr="000572D3">
              <w:rPr>
                <w:rFonts w:ascii="Arial" w:hAnsi="Arial" w:cs="Arial"/>
                <w:noProof/>
                <w:webHidden/>
                <w:szCs w:val="24"/>
              </w:rPr>
              <w:fldChar w:fldCharType="end"/>
            </w:r>
          </w:hyperlink>
        </w:p>
        <w:p w14:paraId="43AC037D" w14:textId="199FA817"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8" w:history="1">
            <w:r w:rsidRPr="000572D3">
              <w:rPr>
                <w:rStyle w:val="Hyperlink"/>
                <w:rFonts w:ascii="Arial" w:hAnsi="Arial" w:cs="Arial"/>
                <w:noProof/>
                <w:szCs w:val="24"/>
              </w:rPr>
              <w:t>9.5 Ethical Marketing Recommendations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_Toc237444458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24</w:t>
            </w:r>
            <w:r w:rsidRPr="000572D3">
              <w:rPr>
                <w:rFonts w:ascii="Arial" w:hAnsi="Arial" w:cs="Arial"/>
                <w:noProof/>
                <w:webHidden/>
                <w:szCs w:val="24"/>
              </w:rPr>
              <w:fldChar w:fldCharType="end"/>
            </w:r>
          </w:hyperlink>
        </w:p>
        <w:p w14:paraId="390EB2EB" w14:textId="3BA399B5"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59" w:history="1">
            <w:r w:rsidRPr="000572D3">
              <w:rPr>
                <w:rStyle w:val="Hyperlink"/>
                <w:rFonts w:ascii="Arial" w:hAnsi="Arial" w:cs="Arial"/>
                <w:noProof/>
                <w:szCs w:val="24"/>
              </w:rPr>
              <w:t>9.6 Market-Entry Recommendations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_Toc237444459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24</w:t>
            </w:r>
            <w:r w:rsidRPr="000572D3">
              <w:rPr>
                <w:rFonts w:ascii="Arial" w:hAnsi="Arial" w:cs="Arial"/>
                <w:noProof/>
                <w:webHidden/>
                <w:szCs w:val="24"/>
              </w:rPr>
              <w:fldChar w:fldCharType="end"/>
            </w:r>
          </w:hyperlink>
        </w:p>
        <w:p w14:paraId="03F2B96A" w14:textId="1054D814"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60" w:history="1">
            <w:r w:rsidRPr="000572D3">
              <w:rPr>
                <w:rStyle w:val="Hyperlink"/>
                <w:rFonts w:ascii="Arial" w:hAnsi="Arial" w:cs="Arial"/>
                <w:noProof/>
                <w:szCs w:val="24"/>
              </w:rPr>
              <w:t>10. Overall Conclusion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_Toc237444460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24</w:t>
            </w:r>
            <w:r w:rsidRPr="000572D3">
              <w:rPr>
                <w:rFonts w:ascii="Arial" w:hAnsi="Arial" w:cs="Arial"/>
                <w:noProof/>
                <w:webHidden/>
                <w:szCs w:val="24"/>
              </w:rPr>
              <w:fldChar w:fldCharType="end"/>
            </w:r>
          </w:hyperlink>
        </w:p>
        <w:p w14:paraId="11BFDB65" w14:textId="620C991B"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61" w:history="1">
            <w:r w:rsidRPr="000572D3">
              <w:rPr>
                <w:rStyle w:val="Hyperlink"/>
                <w:rFonts w:ascii="Arial" w:hAnsi="Arial" w:cs="Arial"/>
                <w:noProof/>
                <w:szCs w:val="24"/>
              </w:rPr>
              <w:t>Section 2: Reflective assessment</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_Toc237444461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25</w:t>
            </w:r>
            <w:r w:rsidRPr="000572D3">
              <w:rPr>
                <w:rFonts w:ascii="Arial" w:hAnsi="Arial" w:cs="Arial"/>
                <w:noProof/>
                <w:webHidden/>
                <w:szCs w:val="24"/>
              </w:rPr>
              <w:fldChar w:fldCharType="end"/>
            </w:r>
          </w:hyperlink>
        </w:p>
        <w:p w14:paraId="08507AE6" w14:textId="401294C5" w:rsidR="000572D3" w:rsidRPr="000572D3" w:rsidRDefault="000572D3" w:rsidP="000572D3">
          <w:pPr>
            <w:pStyle w:val="TOC2"/>
            <w:tabs>
              <w:tab w:val="right" w:leader="dot" w:pos="9016"/>
            </w:tabs>
            <w:spacing w:after="0" w:line="240" w:lineRule="auto"/>
            <w:rPr>
              <w:rFonts w:ascii="Arial" w:eastAsiaTheme="minorEastAsia" w:hAnsi="Arial" w:cs="Arial"/>
              <w:noProof/>
              <w:kern w:val="0"/>
              <w:szCs w:val="24"/>
              <w:lang w:val="en-US"/>
              <w14:ligatures w14:val="none"/>
            </w:rPr>
          </w:pPr>
          <w:hyperlink w:anchor="_Toc237444462" w:history="1">
            <w:r w:rsidRPr="000572D3">
              <w:rPr>
                <w:rStyle w:val="Hyperlink"/>
                <w:rFonts w:ascii="Arial" w:hAnsi="Arial" w:cs="Arial"/>
                <w:noProof/>
                <w:szCs w:val="24"/>
              </w:rPr>
              <w:t>11. Gibbs Reflective Cycle</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_Toc237444462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25</w:t>
            </w:r>
            <w:r w:rsidRPr="000572D3">
              <w:rPr>
                <w:rFonts w:ascii="Arial" w:hAnsi="Arial" w:cs="Arial"/>
                <w:noProof/>
                <w:webHidden/>
                <w:szCs w:val="24"/>
              </w:rPr>
              <w:fldChar w:fldCharType="end"/>
            </w:r>
          </w:hyperlink>
        </w:p>
        <w:p w14:paraId="12878ECB" w14:textId="5043B160"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63" w:history="1">
            <w:r w:rsidRPr="000572D3">
              <w:rPr>
                <w:rStyle w:val="Hyperlink"/>
                <w:rFonts w:ascii="Arial" w:hAnsi="Arial" w:cs="Arial"/>
                <w:noProof/>
                <w:szCs w:val="24"/>
              </w:rPr>
              <w:t>11.1 Description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_Toc237444463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25</w:t>
            </w:r>
            <w:r w:rsidRPr="000572D3">
              <w:rPr>
                <w:rFonts w:ascii="Arial" w:hAnsi="Arial" w:cs="Arial"/>
                <w:noProof/>
                <w:webHidden/>
                <w:szCs w:val="24"/>
              </w:rPr>
              <w:fldChar w:fldCharType="end"/>
            </w:r>
          </w:hyperlink>
        </w:p>
        <w:p w14:paraId="757DAEED" w14:textId="77AF7E81"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64" w:history="1">
            <w:r w:rsidRPr="000572D3">
              <w:rPr>
                <w:rStyle w:val="Hyperlink"/>
                <w:rFonts w:ascii="Arial" w:hAnsi="Arial" w:cs="Arial"/>
                <w:noProof/>
                <w:szCs w:val="24"/>
              </w:rPr>
              <w:t>11.2 Feelings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_Toc237444464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26</w:t>
            </w:r>
            <w:r w:rsidRPr="000572D3">
              <w:rPr>
                <w:rFonts w:ascii="Arial" w:hAnsi="Arial" w:cs="Arial"/>
                <w:noProof/>
                <w:webHidden/>
                <w:szCs w:val="24"/>
              </w:rPr>
              <w:fldChar w:fldCharType="end"/>
            </w:r>
          </w:hyperlink>
        </w:p>
        <w:p w14:paraId="71ACA83D" w14:textId="1B0876AC"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65" w:history="1">
            <w:r w:rsidRPr="000572D3">
              <w:rPr>
                <w:rStyle w:val="Hyperlink"/>
                <w:rFonts w:ascii="Arial" w:hAnsi="Arial" w:cs="Arial"/>
                <w:noProof/>
                <w:szCs w:val="24"/>
              </w:rPr>
              <w:t>11.3 Evaluation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_Toc237444465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26</w:t>
            </w:r>
            <w:r w:rsidRPr="000572D3">
              <w:rPr>
                <w:rFonts w:ascii="Arial" w:hAnsi="Arial" w:cs="Arial"/>
                <w:noProof/>
                <w:webHidden/>
                <w:szCs w:val="24"/>
              </w:rPr>
              <w:fldChar w:fldCharType="end"/>
            </w:r>
          </w:hyperlink>
        </w:p>
        <w:p w14:paraId="07BF2CF7" w14:textId="692E7F77"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66" w:history="1">
            <w:r w:rsidRPr="000572D3">
              <w:rPr>
                <w:rStyle w:val="Hyperlink"/>
                <w:rFonts w:ascii="Arial" w:hAnsi="Arial" w:cs="Arial"/>
                <w:noProof/>
                <w:szCs w:val="24"/>
              </w:rPr>
              <w:t>11.4 Analysis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_Toc237444466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27</w:t>
            </w:r>
            <w:r w:rsidRPr="000572D3">
              <w:rPr>
                <w:rFonts w:ascii="Arial" w:hAnsi="Arial" w:cs="Arial"/>
                <w:noProof/>
                <w:webHidden/>
                <w:szCs w:val="24"/>
              </w:rPr>
              <w:fldChar w:fldCharType="end"/>
            </w:r>
          </w:hyperlink>
        </w:p>
        <w:p w14:paraId="4C2CBC7F" w14:textId="22391B56"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67" w:history="1">
            <w:r w:rsidRPr="000572D3">
              <w:rPr>
                <w:rStyle w:val="Hyperlink"/>
                <w:rFonts w:ascii="Arial" w:hAnsi="Arial" w:cs="Arial"/>
                <w:noProof/>
                <w:szCs w:val="24"/>
              </w:rPr>
              <w:t>11.5 Conclusion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_Toc237444467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27</w:t>
            </w:r>
            <w:r w:rsidRPr="000572D3">
              <w:rPr>
                <w:rFonts w:ascii="Arial" w:hAnsi="Arial" w:cs="Arial"/>
                <w:noProof/>
                <w:webHidden/>
                <w:szCs w:val="24"/>
              </w:rPr>
              <w:fldChar w:fldCharType="end"/>
            </w:r>
          </w:hyperlink>
        </w:p>
        <w:p w14:paraId="6B4839E3" w14:textId="44BE7FD8" w:rsidR="000572D3" w:rsidRPr="000572D3" w:rsidRDefault="000572D3" w:rsidP="000572D3">
          <w:pPr>
            <w:pStyle w:val="TOC3"/>
            <w:tabs>
              <w:tab w:val="right" w:leader="dot" w:pos="9016"/>
            </w:tabs>
            <w:spacing w:after="0" w:line="240" w:lineRule="auto"/>
            <w:rPr>
              <w:rFonts w:ascii="Arial" w:eastAsiaTheme="minorEastAsia" w:hAnsi="Arial" w:cs="Arial"/>
              <w:noProof/>
              <w:kern w:val="0"/>
              <w:szCs w:val="24"/>
              <w:lang w:val="en-US"/>
              <w14:ligatures w14:val="none"/>
            </w:rPr>
          </w:pPr>
          <w:hyperlink w:anchor="_Toc237444468" w:history="1">
            <w:r w:rsidRPr="000572D3">
              <w:rPr>
                <w:rStyle w:val="Hyperlink"/>
                <w:rFonts w:ascii="Arial" w:hAnsi="Arial" w:cs="Arial"/>
                <w:noProof/>
                <w:szCs w:val="24"/>
              </w:rPr>
              <w:t>11.6 Action Plan</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_Toc237444468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28</w:t>
            </w:r>
            <w:r w:rsidRPr="000572D3">
              <w:rPr>
                <w:rFonts w:ascii="Arial" w:hAnsi="Arial" w:cs="Arial"/>
                <w:noProof/>
                <w:webHidden/>
                <w:szCs w:val="24"/>
              </w:rPr>
              <w:fldChar w:fldCharType="end"/>
            </w:r>
          </w:hyperlink>
        </w:p>
        <w:p w14:paraId="4CE1ACEE" w14:textId="58433DBD" w:rsidR="000572D3" w:rsidRPr="000572D3" w:rsidRDefault="000572D3" w:rsidP="000572D3">
          <w:pPr>
            <w:pStyle w:val="TOC1"/>
            <w:tabs>
              <w:tab w:val="right" w:leader="dot" w:pos="9016"/>
            </w:tabs>
            <w:spacing w:after="0" w:line="240" w:lineRule="auto"/>
            <w:rPr>
              <w:rFonts w:ascii="Arial" w:eastAsiaTheme="minorEastAsia" w:hAnsi="Arial" w:cs="Arial"/>
              <w:noProof/>
              <w:kern w:val="0"/>
              <w:szCs w:val="24"/>
              <w:lang w:val="en-US"/>
              <w14:ligatures w14:val="none"/>
            </w:rPr>
          </w:pPr>
          <w:hyperlink w:anchor="_Toc237444469" w:history="1">
            <w:r w:rsidRPr="000572D3">
              <w:rPr>
                <w:rStyle w:val="Hyperlink"/>
                <w:rFonts w:ascii="Arial" w:hAnsi="Arial" w:cs="Arial"/>
                <w:noProof/>
                <w:szCs w:val="24"/>
              </w:rPr>
              <w:t>References</w:t>
            </w:r>
            <w:r w:rsidRPr="000572D3">
              <w:rPr>
                <w:rFonts w:ascii="Arial" w:hAnsi="Arial" w:cs="Arial"/>
                <w:noProof/>
                <w:webHidden/>
                <w:szCs w:val="24"/>
              </w:rPr>
              <w:tab/>
            </w:r>
            <w:r w:rsidRPr="000572D3">
              <w:rPr>
                <w:rFonts w:ascii="Arial" w:hAnsi="Arial" w:cs="Arial"/>
                <w:noProof/>
                <w:webHidden/>
                <w:szCs w:val="24"/>
              </w:rPr>
              <w:fldChar w:fldCharType="begin"/>
            </w:r>
            <w:r w:rsidRPr="000572D3">
              <w:rPr>
                <w:rFonts w:ascii="Arial" w:hAnsi="Arial" w:cs="Arial"/>
                <w:noProof/>
                <w:webHidden/>
                <w:szCs w:val="24"/>
              </w:rPr>
              <w:instrText xml:space="preserve"> PAGEREF _Toc237444469 \h </w:instrText>
            </w:r>
            <w:r w:rsidRPr="000572D3">
              <w:rPr>
                <w:rFonts w:ascii="Arial" w:hAnsi="Arial" w:cs="Arial"/>
                <w:noProof/>
                <w:webHidden/>
                <w:szCs w:val="24"/>
              </w:rPr>
            </w:r>
            <w:r w:rsidRPr="000572D3">
              <w:rPr>
                <w:rFonts w:ascii="Arial" w:hAnsi="Arial" w:cs="Arial"/>
                <w:noProof/>
                <w:webHidden/>
                <w:szCs w:val="24"/>
              </w:rPr>
              <w:fldChar w:fldCharType="separate"/>
            </w:r>
            <w:r w:rsidRPr="000572D3">
              <w:rPr>
                <w:rFonts w:ascii="Arial" w:hAnsi="Arial" w:cs="Arial"/>
                <w:noProof/>
                <w:webHidden/>
                <w:szCs w:val="24"/>
              </w:rPr>
              <w:t>29</w:t>
            </w:r>
            <w:r w:rsidRPr="000572D3">
              <w:rPr>
                <w:rFonts w:ascii="Arial" w:hAnsi="Arial" w:cs="Arial"/>
                <w:noProof/>
                <w:webHidden/>
                <w:szCs w:val="24"/>
              </w:rPr>
              <w:fldChar w:fldCharType="end"/>
            </w:r>
          </w:hyperlink>
        </w:p>
        <w:p w14:paraId="21AC4191" w14:textId="5DBFCA4B" w:rsidR="00F10543" w:rsidRPr="000572D3" w:rsidRDefault="007978A0" w:rsidP="000572D3">
          <w:pPr>
            <w:spacing w:after="0" w:line="240" w:lineRule="auto"/>
            <w:rPr>
              <w:rFonts w:ascii="Arial" w:hAnsi="Arial" w:cs="Arial"/>
            </w:rPr>
          </w:pPr>
          <w:r w:rsidRPr="000572D3">
            <w:rPr>
              <w:rFonts w:ascii="Arial" w:hAnsi="Arial" w:cs="Arial"/>
              <w:b/>
              <w:bCs/>
              <w:noProof/>
              <w:szCs w:val="24"/>
            </w:rPr>
            <w:fldChar w:fldCharType="end"/>
          </w:r>
        </w:p>
      </w:sdtContent>
    </w:sdt>
    <w:p w14:paraId="2DDCCC13" w14:textId="77777777" w:rsidR="00F10543" w:rsidRPr="000572D3" w:rsidRDefault="00F10543" w:rsidP="006A1236">
      <w:pPr>
        <w:pStyle w:val="Heading1"/>
        <w:spacing w:after="160"/>
        <w:rPr>
          <w:rFonts w:cs="Arial"/>
        </w:rPr>
      </w:pPr>
    </w:p>
    <w:p w14:paraId="7B61164A" w14:textId="77777777" w:rsidR="00F10543" w:rsidRPr="000572D3" w:rsidRDefault="00F10543" w:rsidP="006A1236">
      <w:pPr>
        <w:pStyle w:val="Heading1"/>
        <w:spacing w:after="160"/>
        <w:rPr>
          <w:rFonts w:cs="Arial"/>
        </w:rPr>
      </w:pPr>
    </w:p>
    <w:p w14:paraId="7C486398" w14:textId="77777777" w:rsidR="00F10543" w:rsidRPr="000572D3" w:rsidRDefault="00F10543" w:rsidP="006A1236">
      <w:pPr>
        <w:pStyle w:val="Heading1"/>
        <w:spacing w:after="160"/>
        <w:rPr>
          <w:rFonts w:cs="Arial"/>
        </w:rPr>
      </w:pPr>
    </w:p>
    <w:p w14:paraId="2B731176" w14:textId="77777777" w:rsidR="00F10543" w:rsidRPr="000572D3" w:rsidRDefault="00F10543" w:rsidP="006A1236">
      <w:pPr>
        <w:jc w:val="left"/>
        <w:rPr>
          <w:rFonts w:ascii="Arial" w:eastAsiaTheme="majorEastAsia" w:hAnsi="Arial" w:cs="Arial"/>
          <w:b/>
          <w:color w:val="000000" w:themeColor="text1"/>
          <w:sz w:val="28"/>
          <w:szCs w:val="40"/>
        </w:rPr>
      </w:pPr>
      <w:r w:rsidRPr="000572D3">
        <w:rPr>
          <w:rFonts w:ascii="Arial" w:hAnsi="Arial" w:cs="Arial"/>
        </w:rPr>
        <w:br w:type="page"/>
      </w:r>
    </w:p>
    <w:p w14:paraId="61191342" w14:textId="0021CAF0" w:rsidR="007037B5" w:rsidRPr="000572D3" w:rsidRDefault="007037B5" w:rsidP="006A1236">
      <w:pPr>
        <w:pStyle w:val="Heading1"/>
        <w:spacing w:after="160"/>
        <w:rPr>
          <w:rFonts w:cs="Arial"/>
        </w:rPr>
      </w:pPr>
      <w:bookmarkStart w:id="0" w:name="_Toc237444417"/>
      <w:r w:rsidRPr="000572D3">
        <w:rPr>
          <w:rFonts w:cs="Arial"/>
        </w:rPr>
        <w:lastRenderedPageBreak/>
        <w:t>1. Introduction</w:t>
      </w:r>
      <w:bookmarkEnd w:id="0"/>
      <w:r w:rsidRPr="000572D3">
        <w:rPr>
          <w:rFonts w:cs="Arial"/>
        </w:rPr>
        <w:t xml:space="preserve"> </w:t>
      </w:r>
    </w:p>
    <w:p w14:paraId="1A04C6E9" w14:textId="372BD263" w:rsidR="007037B5" w:rsidRPr="000572D3" w:rsidRDefault="007037B5" w:rsidP="006A1236">
      <w:pPr>
        <w:rPr>
          <w:rFonts w:ascii="Arial" w:hAnsi="Arial" w:cs="Arial"/>
        </w:rPr>
      </w:pPr>
      <w:r w:rsidRPr="000572D3">
        <w:rPr>
          <w:rFonts w:ascii="Arial" w:hAnsi="Arial" w:cs="Arial"/>
        </w:rPr>
        <w:t>The report is about Cadbury, and the United Kingdom (UK) is the home country, and Cuba is the host country; the focus will be on strategic feasibility analysis for Cadbury to penetrate the Cuban market</w:t>
      </w:r>
      <w:r w:rsidR="00F10543" w:rsidRPr="000572D3">
        <w:rPr>
          <w:rFonts w:ascii="Arial" w:hAnsi="Arial" w:cs="Arial"/>
        </w:rPr>
        <w:t xml:space="preserve"> (Cadbury, 2024)</w:t>
      </w:r>
      <w:r w:rsidRPr="000572D3">
        <w:rPr>
          <w:rFonts w:ascii="Arial" w:hAnsi="Arial" w:cs="Arial"/>
        </w:rPr>
        <w:t>. The comparison is important as there are drastic differences in the macro-environment and socio-cultural conditions between the two markets that may present opportunities and constraints for Cadbury. It has therefore been analysed whether Cadbury's current marketing strategy can be easily adapted or significant changes will need to be made.</w:t>
      </w:r>
    </w:p>
    <w:p w14:paraId="5D24B579" w14:textId="77777777" w:rsidR="00F10543" w:rsidRPr="000572D3" w:rsidRDefault="00F10543" w:rsidP="006A1236">
      <w:pPr>
        <w:keepNext/>
        <w:jc w:val="center"/>
        <w:rPr>
          <w:rFonts w:ascii="Arial" w:hAnsi="Arial" w:cs="Arial"/>
        </w:rPr>
      </w:pPr>
      <w:r w:rsidRPr="000572D3">
        <w:rPr>
          <w:rFonts w:ascii="Arial" w:hAnsi="Arial" w:cs="Arial"/>
          <w:noProof/>
          <w:lang w:val="en-US"/>
        </w:rPr>
        <w:drawing>
          <wp:inline distT="0" distB="0" distL="0" distR="0" wp14:anchorId="5F1049B0" wp14:editId="06FADB58">
            <wp:extent cx="4314825" cy="2426551"/>
            <wp:effectExtent l="76200" t="76200" r="123825" b="126365"/>
            <wp:docPr id="10723026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302614" name="Picture 1072302614"/>
                    <pic:cNvPicPr/>
                  </pic:nvPicPr>
                  <pic:blipFill>
                    <a:blip r:embed="rId7">
                      <a:extLst>
                        <a:ext uri="{28A0092B-C50C-407E-A947-70E740481C1C}">
                          <a14:useLocalDpi xmlns:a14="http://schemas.microsoft.com/office/drawing/2010/main" val="0"/>
                        </a:ext>
                      </a:extLst>
                    </a:blip>
                    <a:stretch>
                      <a:fillRect/>
                    </a:stretch>
                  </pic:blipFill>
                  <pic:spPr>
                    <a:xfrm>
                      <a:off x="0" y="0"/>
                      <a:ext cx="4318367" cy="24285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5EFEF7" w14:textId="50637836" w:rsidR="00F10543" w:rsidRPr="000572D3" w:rsidRDefault="00F10543" w:rsidP="006A1236">
      <w:pPr>
        <w:pStyle w:val="Caption"/>
        <w:spacing w:after="160"/>
        <w:jc w:val="center"/>
        <w:rPr>
          <w:rFonts w:ascii="Arial" w:hAnsi="Arial" w:cs="Arial"/>
        </w:rPr>
      </w:pPr>
      <w:r w:rsidRPr="000572D3">
        <w:rPr>
          <w:rFonts w:ascii="Arial" w:hAnsi="Arial" w:cs="Arial"/>
        </w:rPr>
        <w:t xml:space="preserve">Figure </w:t>
      </w:r>
      <w:r w:rsidRPr="000572D3">
        <w:rPr>
          <w:rFonts w:ascii="Arial" w:hAnsi="Arial" w:cs="Arial"/>
        </w:rPr>
        <w:fldChar w:fldCharType="begin"/>
      </w:r>
      <w:r w:rsidRPr="000572D3">
        <w:rPr>
          <w:rFonts w:ascii="Arial" w:hAnsi="Arial" w:cs="Arial"/>
        </w:rPr>
        <w:instrText xml:space="preserve"> SEQ Figure \* ARABIC </w:instrText>
      </w:r>
      <w:r w:rsidRPr="000572D3">
        <w:rPr>
          <w:rFonts w:ascii="Arial" w:hAnsi="Arial" w:cs="Arial"/>
        </w:rPr>
        <w:fldChar w:fldCharType="separate"/>
      </w:r>
      <w:r w:rsidR="002F618C" w:rsidRPr="000572D3">
        <w:rPr>
          <w:rFonts w:ascii="Arial" w:hAnsi="Arial" w:cs="Arial"/>
          <w:noProof/>
        </w:rPr>
        <w:t>1</w:t>
      </w:r>
      <w:r w:rsidRPr="000572D3">
        <w:rPr>
          <w:rFonts w:ascii="Arial" w:hAnsi="Arial" w:cs="Arial"/>
        </w:rPr>
        <w:fldChar w:fldCharType="end"/>
      </w:r>
      <w:r w:rsidRPr="000572D3">
        <w:rPr>
          <w:rFonts w:ascii="Arial" w:hAnsi="Arial" w:cs="Arial"/>
        </w:rPr>
        <w:t xml:space="preserve">: The Cadbury </w:t>
      </w:r>
    </w:p>
    <w:p w14:paraId="56E43534" w14:textId="7194A44A" w:rsidR="00F10543" w:rsidRPr="000572D3" w:rsidRDefault="00F10543" w:rsidP="006A1236">
      <w:pPr>
        <w:jc w:val="center"/>
        <w:rPr>
          <w:rFonts w:ascii="Arial" w:hAnsi="Arial" w:cs="Arial"/>
        </w:rPr>
      </w:pPr>
      <w:r w:rsidRPr="000572D3">
        <w:rPr>
          <w:rFonts w:ascii="Arial" w:hAnsi="Arial" w:cs="Arial"/>
        </w:rPr>
        <w:t xml:space="preserve">(Source: </w:t>
      </w:r>
      <w:r w:rsidR="006751AD" w:rsidRPr="000572D3">
        <w:rPr>
          <w:rFonts w:ascii="Arial" w:hAnsi="Arial" w:cs="Arial"/>
        </w:rPr>
        <w:t>Cadbury, 2024b</w:t>
      </w:r>
      <w:r w:rsidRPr="000572D3">
        <w:rPr>
          <w:rFonts w:ascii="Arial" w:hAnsi="Arial" w:cs="Arial"/>
        </w:rPr>
        <w:t>)</w:t>
      </w:r>
    </w:p>
    <w:p w14:paraId="444F9CC1" w14:textId="41D9194C" w:rsidR="007037B5" w:rsidRPr="000572D3" w:rsidRDefault="007037B5" w:rsidP="006A1236">
      <w:pPr>
        <w:rPr>
          <w:rFonts w:ascii="Arial" w:hAnsi="Arial" w:cs="Arial"/>
        </w:rPr>
      </w:pPr>
      <w:r w:rsidRPr="000572D3">
        <w:rPr>
          <w:rFonts w:ascii="Arial" w:hAnsi="Arial" w:cs="Arial"/>
        </w:rPr>
        <w:t>PESTEL analysis is used to analyse the macro-environment of the report, and a comparison is drawn between the two macro-environments. Segmentation, Targeting and Positioning (STP) is used to analyse market opportunities, and Hofstede's cultural model is used to analyse cultural differences. This is then matched with the 7Ps marketing mix to see in which aspects standardisation or adaptation is required. The findings are then combined to critically assess the different market entry strategies and propose an evidence-based suggestion to Cadbury's possible targeting of Cuba as a potential market</w:t>
      </w:r>
      <w:r w:rsidR="006751AD" w:rsidRPr="000572D3">
        <w:rPr>
          <w:rFonts w:ascii="Arial" w:hAnsi="Arial" w:cs="Arial"/>
        </w:rPr>
        <w:t xml:space="preserve"> (Cadbury, 2024b)</w:t>
      </w:r>
      <w:r w:rsidRPr="000572D3">
        <w:rPr>
          <w:rFonts w:ascii="Arial" w:hAnsi="Arial" w:cs="Arial"/>
        </w:rPr>
        <w:t>.</w:t>
      </w:r>
    </w:p>
    <w:p w14:paraId="3D3D7639" w14:textId="7D9F7EBA" w:rsidR="007037B5" w:rsidRPr="000572D3" w:rsidRDefault="007037B5" w:rsidP="006A1236">
      <w:pPr>
        <w:pStyle w:val="Heading1"/>
        <w:spacing w:after="160"/>
        <w:rPr>
          <w:rFonts w:cs="Arial"/>
        </w:rPr>
      </w:pPr>
      <w:bookmarkStart w:id="1" w:name="_Toc237444418"/>
      <w:r w:rsidRPr="000572D3">
        <w:rPr>
          <w:rFonts w:cs="Arial"/>
        </w:rPr>
        <w:lastRenderedPageBreak/>
        <w:t xml:space="preserve">2. </w:t>
      </w:r>
      <w:r w:rsidRPr="000572D3">
        <w:rPr>
          <w:rFonts w:cs="Arial"/>
          <w:bCs/>
        </w:rPr>
        <w:t xml:space="preserve">Cadbury: </w:t>
      </w:r>
      <w:r w:rsidRPr="000572D3">
        <w:rPr>
          <w:rFonts w:cs="Arial"/>
        </w:rPr>
        <w:t>Company and Market Background</w:t>
      </w:r>
      <w:bookmarkEnd w:id="1"/>
    </w:p>
    <w:p w14:paraId="79ED47F0" w14:textId="77777777" w:rsidR="007037B5" w:rsidRPr="000572D3" w:rsidRDefault="007037B5" w:rsidP="006A1236">
      <w:pPr>
        <w:pStyle w:val="Heading2"/>
        <w:spacing w:after="160"/>
        <w:rPr>
          <w:rFonts w:cs="Arial"/>
        </w:rPr>
      </w:pPr>
      <w:bookmarkStart w:id="2" w:name="_Toc237444419"/>
      <w:r w:rsidRPr="000572D3">
        <w:rPr>
          <w:rFonts w:cs="Arial"/>
        </w:rPr>
        <w:t>2.1 Cadbury Company Background</w:t>
      </w:r>
      <w:bookmarkEnd w:id="2"/>
    </w:p>
    <w:p w14:paraId="1EEDBD39" w14:textId="0903D8B1" w:rsidR="007037B5" w:rsidRPr="000572D3" w:rsidRDefault="007037B5" w:rsidP="006A1236">
      <w:pPr>
        <w:rPr>
          <w:rFonts w:ascii="Arial" w:hAnsi="Arial" w:cs="Arial"/>
        </w:rPr>
      </w:pPr>
      <w:r w:rsidRPr="000572D3">
        <w:rPr>
          <w:rFonts w:ascii="Arial" w:hAnsi="Arial" w:cs="Arial"/>
        </w:rPr>
        <w:t>Cadbury is a long-standing British confectionery brand that has been around since 1824 when John Cadbury started to sell cocoa and drinking chocolate from his grocery store in Birmingham, England. The brand evolved from a local cocoa business to a world-renowned chocolate brand. 1905 was especially important in the company's development when Cadbury Dairy Milk was introduced, which was to become one of the UK's most popular chocolate brands</w:t>
      </w:r>
      <w:r w:rsidR="00A373C5" w:rsidRPr="000572D3">
        <w:rPr>
          <w:rFonts w:ascii="Arial" w:hAnsi="Arial" w:cs="Arial"/>
        </w:rPr>
        <w:t xml:space="preserve"> (Mondelēz International, 2023)</w:t>
      </w:r>
      <w:r w:rsidRPr="000572D3">
        <w:rPr>
          <w:rFonts w:ascii="Arial" w:hAnsi="Arial" w:cs="Arial"/>
        </w:rPr>
        <w:t>. Cadbury's brand has thus made a significant contribution to its brand heritage and association with British culture through its longstanding history.</w:t>
      </w:r>
    </w:p>
    <w:p w14:paraId="14E7C226" w14:textId="67BE64CD" w:rsidR="00A373C5" w:rsidRPr="000572D3" w:rsidRDefault="00A373C5" w:rsidP="006A1236">
      <w:pPr>
        <w:keepNext/>
        <w:jc w:val="center"/>
        <w:rPr>
          <w:rFonts w:ascii="Arial" w:hAnsi="Arial" w:cs="Arial"/>
        </w:rPr>
      </w:pPr>
      <w:r w:rsidRPr="000572D3">
        <w:rPr>
          <w:rFonts w:ascii="Arial" w:hAnsi="Arial" w:cs="Arial"/>
          <w:noProof/>
          <w:lang w:val="en-US"/>
        </w:rPr>
        <w:drawing>
          <wp:inline distT="0" distB="0" distL="0" distR="0" wp14:anchorId="0E2DE86A" wp14:editId="58BE1CF4">
            <wp:extent cx="5457825" cy="2728913"/>
            <wp:effectExtent l="76200" t="76200" r="123825" b="128905"/>
            <wp:docPr id="20107687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68708" name="Picture 2010768708"/>
                    <pic:cNvPicPr/>
                  </pic:nvPicPr>
                  <pic:blipFill>
                    <a:blip r:embed="rId8">
                      <a:extLst>
                        <a:ext uri="{28A0092B-C50C-407E-A947-70E740481C1C}">
                          <a14:useLocalDpi xmlns:a14="http://schemas.microsoft.com/office/drawing/2010/main" val="0"/>
                        </a:ext>
                      </a:extLst>
                    </a:blip>
                    <a:stretch>
                      <a:fillRect/>
                    </a:stretch>
                  </pic:blipFill>
                  <pic:spPr>
                    <a:xfrm>
                      <a:off x="0" y="0"/>
                      <a:ext cx="5459701" cy="27298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B15A18" w14:textId="0E51B5BA" w:rsidR="006751AD" w:rsidRPr="000572D3" w:rsidRDefault="00A373C5" w:rsidP="006A1236">
      <w:pPr>
        <w:pStyle w:val="Caption"/>
        <w:spacing w:after="160"/>
        <w:jc w:val="center"/>
        <w:rPr>
          <w:rFonts w:ascii="Arial" w:hAnsi="Arial" w:cs="Arial"/>
        </w:rPr>
      </w:pPr>
      <w:r w:rsidRPr="000572D3">
        <w:rPr>
          <w:rFonts w:ascii="Arial" w:hAnsi="Arial" w:cs="Arial"/>
        </w:rPr>
        <w:t xml:space="preserve">Figure </w:t>
      </w:r>
      <w:r w:rsidRPr="000572D3">
        <w:rPr>
          <w:rFonts w:ascii="Arial" w:hAnsi="Arial" w:cs="Arial"/>
        </w:rPr>
        <w:fldChar w:fldCharType="begin"/>
      </w:r>
      <w:r w:rsidRPr="000572D3">
        <w:rPr>
          <w:rFonts w:ascii="Arial" w:hAnsi="Arial" w:cs="Arial"/>
        </w:rPr>
        <w:instrText xml:space="preserve"> SEQ Figure \* ARABIC </w:instrText>
      </w:r>
      <w:r w:rsidRPr="000572D3">
        <w:rPr>
          <w:rFonts w:ascii="Arial" w:hAnsi="Arial" w:cs="Arial"/>
        </w:rPr>
        <w:fldChar w:fldCharType="separate"/>
      </w:r>
      <w:r w:rsidR="002F618C" w:rsidRPr="000572D3">
        <w:rPr>
          <w:rFonts w:ascii="Arial" w:hAnsi="Arial" w:cs="Arial"/>
          <w:noProof/>
        </w:rPr>
        <w:t>2</w:t>
      </w:r>
      <w:r w:rsidRPr="000572D3">
        <w:rPr>
          <w:rFonts w:ascii="Arial" w:hAnsi="Arial" w:cs="Arial"/>
        </w:rPr>
        <w:fldChar w:fldCharType="end"/>
      </w:r>
      <w:r w:rsidRPr="000572D3">
        <w:rPr>
          <w:rFonts w:ascii="Arial" w:hAnsi="Arial" w:cs="Arial"/>
        </w:rPr>
        <w:t xml:space="preserve">: Cadbury Business Model </w:t>
      </w:r>
    </w:p>
    <w:p w14:paraId="6627E350" w14:textId="5811275F" w:rsidR="00A373C5" w:rsidRPr="000572D3" w:rsidRDefault="00A373C5" w:rsidP="006A1236">
      <w:pPr>
        <w:jc w:val="center"/>
        <w:rPr>
          <w:rFonts w:ascii="Arial" w:hAnsi="Arial" w:cs="Arial"/>
        </w:rPr>
      </w:pPr>
      <w:r w:rsidRPr="000572D3">
        <w:rPr>
          <w:rFonts w:ascii="Arial" w:hAnsi="Arial" w:cs="Arial"/>
        </w:rPr>
        <w:t xml:space="preserve">(Source: </w:t>
      </w:r>
      <w:r w:rsidR="009167E6" w:rsidRPr="000572D3">
        <w:rPr>
          <w:rFonts w:ascii="Arial" w:hAnsi="Arial" w:cs="Arial"/>
        </w:rPr>
        <w:t>Cadbury, 2025</w:t>
      </w:r>
      <w:r w:rsidRPr="000572D3">
        <w:rPr>
          <w:rFonts w:ascii="Arial" w:hAnsi="Arial" w:cs="Arial"/>
        </w:rPr>
        <w:t>)</w:t>
      </w:r>
    </w:p>
    <w:p w14:paraId="5DA1EDDC" w14:textId="62D1EF82" w:rsidR="00A373C5" w:rsidRPr="000572D3" w:rsidRDefault="009167E6" w:rsidP="006A1236">
      <w:pPr>
        <w:rPr>
          <w:rFonts w:ascii="Arial" w:hAnsi="Arial" w:cs="Arial"/>
        </w:rPr>
      </w:pPr>
      <w:r w:rsidRPr="000572D3">
        <w:rPr>
          <w:rFonts w:ascii="Arial" w:hAnsi="Arial" w:cs="Arial"/>
        </w:rPr>
        <w:t xml:space="preserve">The company €175.1 million in 2010 and will be recorded sales at Rs2045 Crore by 2045 (Cadbury, 2025). </w:t>
      </w:r>
    </w:p>
    <w:p w14:paraId="2180F113" w14:textId="62B2D812" w:rsidR="007037B5" w:rsidRPr="000572D3" w:rsidRDefault="007037B5" w:rsidP="006A1236">
      <w:pPr>
        <w:pStyle w:val="Heading2"/>
        <w:spacing w:after="160"/>
        <w:rPr>
          <w:rFonts w:cs="Arial"/>
        </w:rPr>
      </w:pPr>
      <w:bookmarkStart w:id="3" w:name="_Toc237444420"/>
      <w:r w:rsidRPr="000572D3">
        <w:rPr>
          <w:rFonts w:cs="Arial"/>
        </w:rPr>
        <w:t>2.2 Cadbury's Mission, Values and Brand Purpose</w:t>
      </w:r>
      <w:bookmarkEnd w:id="3"/>
      <w:r w:rsidRPr="000572D3">
        <w:rPr>
          <w:rFonts w:cs="Arial"/>
        </w:rPr>
        <w:t xml:space="preserve"> </w:t>
      </w:r>
    </w:p>
    <w:p w14:paraId="6AAD36AC" w14:textId="0B43C568" w:rsidR="007037B5" w:rsidRPr="000572D3" w:rsidRDefault="007037B5" w:rsidP="006A1236">
      <w:pPr>
        <w:rPr>
          <w:rFonts w:ascii="Arial" w:hAnsi="Arial" w:cs="Arial"/>
        </w:rPr>
      </w:pPr>
      <w:r w:rsidRPr="000572D3">
        <w:rPr>
          <w:rFonts w:ascii="Arial" w:hAnsi="Arial" w:cs="Arial"/>
        </w:rPr>
        <w:t>Cadbury's history supplies constant reinforcement that giving, social engagement, and consumer connections are of importance. It grew through the Cadbury family's interest in the welfare of its workforce and the development of its community, and its present work still includes providing community services and sustainability programmes</w:t>
      </w:r>
      <w:r w:rsidR="002B580A" w:rsidRPr="000572D3">
        <w:rPr>
          <w:rFonts w:ascii="Arial" w:hAnsi="Arial" w:cs="Arial"/>
        </w:rPr>
        <w:t xml:space="preserve"> </w:t>
      </w:r>
      <w:r w:rsidR="002B580A" w:rsidRPr="000572D3">
        <w:rPr>
          <w:rFonts w:ascii="Arial" w:hAnsi="Arial" w:cs="Arial"/>
        </w:rPr>
        <w:lastRenderedPageBreak/>
        <w:t>(Cadbury, 2024c)</w:t>
      </w:r>
      <w:r w:rsidRPr="000572D3">
        <w:rPr>
          <w:rFonts w:ascii="Arial" w:hAnsi="Arial" w:cs="Arial"/>
        </w:rPr>
        <w:t>. For example, the Cadbury Foundation has origins as far back as 1935 and embodies Cadbury's long-standing relationship with community welfare.</w:t>
      </w:r>
    </w:p>
    <w:p w14:paraId="12175D59" w14:textId="2B1BE0D1" w:rsidR="007037B5" w:rsidRPr="000572D3" w:rsidRDefault="007037B5" w:rsidP="006A1236">
      <w:pPr>
        <w:rPr>
          <w:rFonts w:ascii="Arial" w:hAnsi="Arial" w:cs="Arial"/>
        </w:rPr>
      </w:pPr>
      <w:r w:rsidRPr="000572D3">
        <w:rPr>
          <w:rFonts w:ascii="Arial" w:hAnsi="Arial" w:cs="Arial"/>
        </w:rPr>
        <w:t xml:space="preserve">Cadbury's British identity can, however, be an asset </w:t>
      </w:r>
      <w:r w:rsidR="00EB4542" w:rsidRPr="000572D3">
        <w:rPr>
          <w:rFonts w:ascii="Arial" w:hAnsi="Arial" w:cs="Arial"/>
        </w:rPr>
        <w:t xml:space="preserve">and </w:t>
      </w:r>
      <w:r w:rsidRPr="000572D3">
        <w:rPr>
          <w:rFonts w:ascii="Arial" w:hAnsi="Arial" w:cs="Arial"/>
        </w:rPr>
        <w:t>a restraint as it expands into other worlds. Its heritage can offer authenticity and differentiation, but the cultural meanings that such a company as a British chocolate brand bestows on itself need not necessarily resonate with Cuban consumers</w:t>
      </w:r>
      <w:r w:rsidR="00EC5C44" w:rsidRPr="000572D3">
        <w:rPr>
          <w:rFonts w:ascii="Arial" w:hAnsi="Arial" w:cs="Arial"/>
        </w:rPr>
        <w:t xml:space="preserve"> (Cadbury, 2023)</w:t>
      </w:r>
      <w:r w:rsidRPr="000572D3">
        <w:rPr>
          <w:rFonts w:ascii="Arial" w:hAnsi="Arial" w:cs="Arial"/>
        </w:rPr>
        <w:t>. Therefore, Cadbury's international strategy must be cautious about the creation of the brand and the adaptation of the brand in different markets.</w:t>
      </w:r>
    </w:p>
    <w:p w14:paraId="2564D249" w14:textId="77777777" w:rsidR="007037B5" w:rsidRPr="000572D3" w:rsidRDefault="007037B5" w:rsidP="006A1236">
      <w:pPr>
        <w:pStyle w:val="Heading2"/>
        <w:spacing w:after="160"/>
        <w:rPr>
          <w:rFonts w:cs="Arial"/>
        </w:rPr>
      </w:pPr>
      <w:bookmarkStart w:id="4" w:name="_Toc237444421"/>
      <w:r w:rsidRPr="000572D3">
        <w:rPr>
          <w:rFonts w:cs="Arial"/>
        </w:rPr>
        <w:t>2.3 UK Home Market and Cuba Host Market</w:t>
      </w:r>
      <w:bookmarkEnd w:id="4"/>
    </w:p>
    <w:p w14:paraId="27E401C7" w14:textId="00E1DB08" w:rsidR="007037B5" w:rsidRPr="000572D3" w:rsidRDefault="007037B5" w:rsidP="006A1236">
      <w:pPr>
        <w:rPr>
          <w:rFonts w:ascii="Arial" w:hAnsi="Arial" w:cs="Arial"/>
        </w:rPr>
      </w:pPr>
      <w:r w:rsidRPr="000572D3">
        <w:rPr>
          <w:rFonts w:ascii="Arial" w:hAnsi="Arial" w:cs="Arial"/>
        </w:rPr>
        <w:t>Cadbury is considered to be the native market of the United Kingdom, due to the fact that Cadbury is a Birmingham local brand and the historical and cultural context between Cadbury and Britain gives more strength to its brand. Cadbury still considers Bournville to be the home of Cadbury, and its UK business continues to be very important for product development and innovations</w:t>
      </w:r>
      <w:r w:rsidR="005F19CA" w:rsidRPr="000572D3">
        <w:rPr>
          <w:rFonts w:ascii="Arial" w:hAnsi="Arial" w:cs="Arial"/>
        </w:rPr>
        <w:t>. The first half of Cadbury's business grew from 13.9 to 27.8 billion, almost doubling its revenue, and its total equity grew from 12.4 to 15.0 billion. Strong growth was observed, albeit with a decrease in the first half of the year 2017 (Balogun, 2022))</w:t>
      </w:r>
      <w:r w:rsidRPr="000572D3">
        <w:rPr>
          <w:rFonts w:ascii="Arial" w:hAnsi="Arial" w:cs="Arial"/>
        </w:rPr>
        <w:t>.</w:t>
      </w:r>
    </w:p>
    <w:p w14:paraId="78ED7000" w14:textId="77777777" w:rsidR="00FB51CC" w:rsidRPr="000572D3" w:rsidRDefault="00FB51CC" w:rsidP="006A1236">
      <w:pPr>
        <w:keepNext/>
        <w:jc w:val="center"/>
        <w:rPr>
          <w:rFonts w:ascii="Arial" w:hAnsi="Arial" w:cs="Arial"/>
        </w:rPr>
      </w:pPr>
      <w:r w:rsidRPr="000572D3">
        <w:rPr>
          <w:rFonts w:ascii="Arial" w:hAnsi="Arial" w:cs="Arial"/>
          <w:noProof/>
          <w:lang w:val="en-US"/>
        </w:rPr>
        <w:drawing>
          <wp:inline distT="0" distB="0" distL="0" distR="0" wp14:anchorId="6858CD47" wp14:editId="357651C6">
            <wp:extent cx="4791075" cy="2737909"/>
            <wp:effectExtent l="76200" t="76200" r="123825" b="139065"/>
            <wp:docPr id="9681652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165298" name="Picture 968165298"/>
                    <pic:cNvPicPr/>
                  </pic:nvPicPr>
                  <pic:blipFill>
                    <a:blip r:embed="rId9">
                      <a:extLst>
                        <a:ext uri="{28A0092B-C50C-407E-A947-70E740481C1C}">
                          <a14:useLocalDpi xmlns:a14="http://schemas.microsoft.com/office/drawing/2010/main" val="0"/>
                        </a:ext>
                      </a:extLst>
                    </a:blip>
                    <a:stretch>
                      <a:fillRect/>
                    </a:stretch>
                  </pic:blipFill>
                  <pic:spPr>
                    <a:xfrm>
                      <a:off x="0" y="0"/>
                      <a:ext cx="4794043" cy="2739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DEF246" w14:textId="4F5503ED" w:rsidR="00FB51CC" w:rsidRPr="000572D3" w:rsidRDefault="00FB51CC" w:rsidP="006A1236">
      <w:pPr>
        <w:pStyle w:val="Caption"/>
        <w:spacing w:after="160"/>
        <w:jc w:val="center"/>
        <w:rPr>
          <w:rFonts w:ascii="Arial" w:hAnsi="Arial" w:cs="Arial"/>
        </w:rPr>
      </w:pPr>
      <w:r w:rsidRPr="000572D3">
        <w:rPr>
          <w:rFonts w:ascii="Arial" w:hAnsi="Arial" w:cs="Arial"/>
        </w:rPr>
        <w:t xml:space="preserve">Figure </w:t>
      </w:r>
      <w:r w:rsidRPr="000572D3">
        <w:rPr>
          <w:rFonts w:ascii="Arial" w:hAnsi="Arial" w:cs="Arial"/>
        </w:rPr>
        <w:fldChar w:fldCharType="begin"/>
      </w:r>
      <w:r w:rsidRPr="000572D3">
        <w:rPr>
          <w:rFonts w:ascii="Arial" w:hAnsi="Arial" w:cs="Arial"/>
        </w:rPr>
        <w:instrText xml:space="preserve"> SEQ Figure \* ARABIC </w:instrText>
      </w:r>
      <w:r w:rsidRPr="000572D3">
        <w:rPr>
          <w:rFonts w:ascii="Arial" w:hAnsi="Arial" w:cs="Arial"/>
        </w:rPr>
        <w:fldChar w:fldCharType="separate"/>
      </w:r>
      <w:r w:rsidR="002F618C" w:rsidRPr="000572D3">
        <w:rPr>
          <w:rFonts w:ascii="Arial" w:hAnsi="Arial" w:cs="Arial"/>
          <w:noProof/>
        </w:rPr>
        <w:t>3</w:t>
      </w:r>
      <w:r w:rsidRPr="000572D3">
        <w:rPr>
          <w:rFonts w:ascii="Arial" w:hAnsi="Arial" w:cs="Arial"/>
        </w:rPr>
        <w:fldChar w:fldCharType="end"/>
      </w:r>
      <w:r w:rsidRPr="000572D3">
        <w:rPr>
          <w:rFonts w:ascii="Arial" w:hAnsi="Arial" w:cs="Arial"/>
        </w:rPr>
        <w:t xml:space="preserve">: Cadbury Half Revenue </w:t>
      </w:r>
    </w:p>
    <w:p w14:paraId="3EC48560" w14:textId="472533F6" w:rsidR="00FB51CC" w:rsidRPr="000572D3" w:rsidRDefault="00FB51CC" w:rsidP="006A1236">
      <w:pPr>
        <w:jc w:val="center"/>
        <w:rPr>
          <w:rFonts w:ascii="Arial" w:hAnsi="Arial" w:cs="Arial"/>
        </w:rPr>
      </w:pPr>
      <w:r w:rsidRPr="000572D3">
        <w:rPr>
          <w:rFonts w:ascii="Arial" w:hAnsi="Arial" w:cs="Arial"/>
        </w:rPr>
        <w:t xml:space="preserve">(Source: </w:t>
      </w:r>
      <w:r w:rsidR="005F19CA" w:rsidRPr="000572D3">
        <w:rPr>
          <w:rFonts w:ascii="Arial" w:hAnsi="Arial" w:cs="Arial"/>
        </w:rPr>
        <w:t>Balogun, 2022</w:t>
      </w:r>
      <w:r w:rsidRPr="000572D3">
        <w:rPr>
          <w:rFonts w:ascii="Arial" w:hAnsi="Arial" w:cs="Arial"/>
        </w:rPr>
        <w:t>)</w:t>
      </w:r>
    </w:p>
    <w:p w14:paraId="7124FF2A" w14:textId="5F384223" w:rsidR="007037B5" w:rsidRPr="000572D3" w:rsidRDefault="007037B5" w:rsidP="006A1236">
      <w:pPr>
        <w:rPr>
          <w:rFonts w:ascii="Arial" w:hAnsi="Arial" w:cs="Arial"/>
        </w:rPr>
      </w:pPr>
      <w:r w:rsidRPr="000572D3">
        <w:rPr>
          <w:rFonts w:ascii="Arial" w:hAnsi="Arial" w:cs="Arial"/>
        </w:rPr>
        <w:lastRenderedPageBreak/>
        <w:t>Cuba, on the other hand, has been referred to as the host market in this analysis. In choosing to focus on Cuba, it is not to imply that Cadbury's proven English approach can be directly adopted. The significant contrast between the two countries, however, offers a chance to examine the ways in which political, economic, social, technological, environmental and legal factors, along with cultural traits, may interact to affect Cadbury's marketing decisions abroad</w:t>
      </w:r>
      <w:r w:rsidR="001A0406" w:rsidRPr="000572D3">
        <w:rPr>
          <w:rFonts w:ascii="Arial" w:hAnsi="Arial" w:cs="Arial"/>
        </w:rPr>
        <w:t xml:space="preserve"> (Vieira, 2025)</w:t>
      </w:r>
      <w:r w:rsidRPr="000572D3">
        <w:rPr>
          <w:rFonts w:ascii="Arial" w:hAnsi="Arial" w:cs="Arial"/>
        </w:rPr>
        <w:t>.</w:t>
      </w:r>
    </w:p>
    <w:p w14:paraId="335DE03A" w14:textId="77777777" w:rsidR="007037B5" w:rsidRPr="000572D3" w:rsidRDefault="007037B5" w:rsidP="006A1236">
      <w:pPr>
        <w:rPr>
          <w:rFonts w:ascii="Arial" w:hAnsi="Arial" w:cs="Arial"/>
        </w:rPr>
      </w:pPr>
      <w:r w:rsidRPr="000572D3">
        <w:rPr>
          <w:rFonts w:ascii="Arial" w:hAnsi="Arial" w:cs="Arial"/>
        </w:rPr>
        <w:t xml:space="preserve">Thus, the UK-Cuba comparison will provide the platform from which Cadbury can assess if it is appropriate to use a standardised international marketing strategy or adjust its segmentation, positioning, marketing mix and market entry strategy for Cuba. </w:t>
      </w:r>
    </w:p>
    <w:p w14:paraId="0AD91D88" w14:textId="6DA7740A" w:rsidR="007037B5" w:rsidRPr="000572D3" w:rsidRDefault="007037B5" w:rsidP="006A1236">
      <w:pPr>
        <w:rPr>
          <w:rFonts w:ascii="Arial" w:hAnsi="Arial" w:cs="Arial"/>
        </w:rPr>
      </w:pPr>
      <w:r w:rsidRPr="000572D3">
        <w:rPr>
          <w:rFonts w:ascii="Arial" w:hAnsi="Arial" w:cs="Arial"/>
          <w:b/>
          <w:bCs/>
        </w:rPr>
        <w:t>3. Comparative PESTEL Analysis: UK and Cuba</w:t>
      </w:r>
    </w:p>
    <w:tbl>
      <w:tblPr>
        <w:tblStyle w:val="TableGrid"/>
        <w:tblW w:w="5000" w:type="pct"/>
        <w:tblLook w:val="04A0" w:firstRow="1" w:lastRow="0" w:firstColumn="1" w:lastColumn="0" w:noHBand="0" w:noVBand="1"/>
      </w:tblPr>
      <w:tblGrid>
        <w:gridCol w:w="1883"/>
        <w:gridCol w:w="2288"/>
        <w:gridCol w:w="2284"/>
        <w:gridCol w:w="2561"/>
      </w:tblGrid>
      <w:tr w:rsidR="007037B5" w:rsidRPr="000572D3" w14:paraId="09FFB79D" w14:textId="77777777" w:rsidTr="000572D3">
        <w:trPr>
          <w:trHeight w:val="850"/>
        </w:trPr>
        <w:tc>
          <w:tcPr>
            <w:tcW w:w="990" w:type="pct"/>
            <w:shd w:val="clear" w:color="auto" w:fill="9CC2E5" w:themeFill="accent5" w:themeFillTint="99"/>
          </w:tcPr>
          <w:p w14:paraId="0E039580" w14:textId="16544445" w:rsidR="007037B5" w:rsidRPr="000572D3" w:rsidRDefault="007037B5" w:rsidP="006A1236">
            <w:pPr>
              <w:jc w:val="center"/>
              <w:rPr>
                <w:rFonts w:ascii="Arial" w:hAnsi="Arial" w:cs="Arial"/>
                <w:b/>
                <w:bCs/>
              </w:rPr>
            </w:pPr>
            <w:r w:rsidRPr="000572D3">
              <w:rPr>
                <w:rFonts w:ascii="Arial" w:hAnsi="Arial" w:cs="Arial"/>
                <w:b/>
                <w:bCs/>
              </w:rPr>
              <w:t>PESTEL factor</w:t>
            </w:r>
          </w:p>
        </w:tc>
        <w:tc>
          <w:tcPr>
            <w:tcW w:w="1329" w:type="pct"/>
            <w:shd w:val="clear" w:color="auto" w:fill="9CC2E5" w:themeFill="accent5" w:themeFillTint="99"/>
          </w:tcPr>
          <w:p w14:paraId="3A8AF617" w14:textId="3C0A345C" w:rsidR="007037B5" w:rsidRPr="000572D3" w:rsidRDefault="007037B5" w:rsidP="006A1236">
            <w:pPr>
              <w:jc w:val="center"/>
              <w:rPr>
                <w:rFonts w:ascii="Arial" w:hAnsi="Arial" w:cs="Arial"/>
                <w:b/>
                <w:bCs/>
              </w:rPr>
            </w:pPr>
            <w:r w:rsidRPr="000572D3">
              <w:rPr>
                <w:rFonts w:ascii="Arial" w:hAnsi="Arial" w:cs="Arial"/>
                <w:b/>
                <w:bCs/>
              </w:rPr>
              <w:t>UK</w:t>
            </w:r>
          </w:p>
        </w:tc>
        <w:tc>
          <w:tcPr>
            <w:tcW w:w="1201" w:type="pct"/>
            <w:shd w:val="clear" w:color="auto" w:fill="9CC2E5" w:themeFill="accent5" w:themeFillTint="99"/>
          </w:tcPr>
          <w:p w14:paraId="000F98BE" w14:textId="31EA753A" w:rsidR="007037B5" w:rsidRPr="000572D3" w:rsidRDefault="007037B5" w:rsidP="006A1236">
            <w:pPr>
              <w:jc w:val="center"/>
              <w:rPr>
                <w:rFonts w:ascii="Arial" w:hAnsi="Arial" w:cs="Arial"/>
                <w:b/>
                <w:bCs/>
              </w:rPr>
            </w:pPr>
            <w:r w:rsidRPr="000572D3">
              <w:rPr>
                <w:rFonts w:ascii="Arial" w:hAnsi="Arial" w:cs="Arial"/>
                <w:b/>
                <w:bCs/>
              </w:rPr>
              <w:t>Cuba</w:t>
            </w:r>
          </w:p>
        </w:tc>
        <w:tc>
          <w:tcPr>
            <w:tcW w:w="1480" w:type="pct"/>
            <w:shd w:val="clear" w:color="auto" w:fill="9CC2E5" w:themeFill="accent5" w:themeFillTint="99"/>
          </w:tcPr>
          <w:p w14:paraId="71634FF7" w14:textId="07327AF5" w:rsidR="007037B5" w:rsidRPr="000572D3" w:rsidRDefault="007037B5" w:rsidP="006A1236">
            <w:pPr>
              <w:jc w:val="center"/>
              <w:rPr>
                <w:rFonts w:ascii="Arial" w:hAnsi="Arial" w:cs="Arial"/>
                <w:b/>
                <w:bCs/>
              </w:rPr>
            </w:pPr>
            <w:r w:rsidRPr="000572D3">
              <w:rPr>
                <w:rFonts w:ascii="Arial" w:hAnsi="Arial" w:cs="Arial"/>
                <w:b/>
                <w:bCs/>
              </w:rPr>
              <w:t>Overall implication on Cadbury</w:t>
            </w:r>
          </w:p>
        </w:tc>
      </w:tr>
      <w:tr w:rsidR="007037B5" w:rsidRPr="000572D3" w14:paraId="3E14FA52" w14:textId="77777777" w:rsidTr="000572D3">
        <w:trPr>
          <w:trHeight w:val="417"/>
        </w:trPr>
        <w:tc>
          <w:tcPr>
            <w:tcW w:w="990" w:type="pct"/>
            <w:shd w:val="clear" w:color="auto" w:fill="FFE599" w:themeFill="accent4" w:themeFillTint="66"/>
          </w:tcPr>
          <w:p w14:paraId="3233AD1F" w14:textId="1303514B" w:rsidR="007037B5" w:rsidRPr="000572D3" w:rsidRDefault="007037B5" w:rsidP="006A1236">
            <w:pPr>
              <w:rPr>
                <w:rFonts w:ascii="Arial" w:hAnsi="Arial" w:cs="Arial"/>
                <w:b/>
                <w:bCs/>
              </w:rPr>
            </w:pPr>
            <w:r w:rsidRPr="000572D3">
              <w:rPr>
                <w:rFonts w:ascii="Arial" w:hAnsi="Arial" w:cs="Arial"/>
                <w:b/>
                <w:bCs/>
              </w:rPr>
              <w:t>Political</w:t>
            </w:r>
          </w:p>
        </w:tc>
        <w:tc>
          <w:tcPr>
            <w:tcW w:w="1329" w:type="pct"/>
          </w:tcPr>
          <w:p w14:paraId="038542C0" w14:textId="46664BE6" w:rsidR="007037B5" w:rsidRPr="000572D3" w:rsidRDefault="007037B5" w:rsidP="006A1236">
            <w:pPr>
              <w:rPr>
                <w:rFonts w:ascii="Arial" w:hAnsi="Arial" w:cs="Arial"/>
              </w:rPr>
            </w:pPr>
            <w:r w:rsidRPr="000572D3">
              <w:rPr>
                <w:rFonts w:ascii="Arial" w:hAnsi="Arial" w:cs="Arial"/>
              </w:rPr>
              <w:t>Good stability in general, established institutions</w:t>
            </w:r>
          </w:p>
        </w:tc>
        <w:tc>
          <w:tcPr>
            <w:tcW w:w="1201" w:type="pct"/>
            <w:shd w:val="clear" w:color="auto" w:fill="FFE599" w:themeFill="accent4" w:themeFillTint="66"/>
          </w:tcPr>
          <w:p w14:paraId="2A5E73FA" w14:textId="365C3724" w:rsidR="007037B5" w:rsidRPr="000572D3" w:rsidRDefault="007037B5" w:rsidP="006A1236">
            <w:pPr>
              <w:rPr>
                <w:rFonts w:ascii="Arial" w:hAnsi="Arial" w:cs="Arial"/>
              </w:rPr>
            </w:pPr>
            <w:r w:rsidRPr="000572D3">
              <w:rPr>
                <w:rFonts w:ascii="Arial" w:hAnsi="Arial" w:cs="Arial"/>
              </w:rPr>
              <w:t>Larger political/institutional uncertainties</w:t>
            </w:r>
          </w:p>
        </w:tc>
        <w:tc>
          <w:tcPr>
            <w:tcW w:w="1480" w:type="pct"/>
          </w:tcPr>
          <w:p w14:paraId="04940874" w14:textId="1207814E" w:rsidR="007037B5" w:rsidRPr="000572D3" w:rsidRDefault="007037B5" w:rsidP="006A1236">
            <w:pPr>
              <w:rPr>
                <w:rFonts w:ascii="Arial" w:hAnsi="Arial" w:cs="Arial"/>
              </w:rPr>
            </w:pPr>
            <w:r w:rsidRPr="000572D3">
              <w:rPr>
                <w:rFonts w:ascii="Arial" w:hAnsi="Arial" w:cs="Arial"/>
              </w:rPr>
              <w:t>Risk control is needed in Cuba</w:t>
            </w:r>
          </w:p>
        </w:tc>
      </w:tr>
      <w:tr w:rsidR="007037B5" w:rsidRPr="000572D3" w14:paraId="4EDB4865" w14:textId="77777777" w:rsidTr="000572D3">
        <w:trPr>
          <w:trHeight w:val="417"/>
        </w:trPr>
        <w:tc>
          <w:tcPr>
            <w:tcW w:w="990" w:type="pct"/>
            <w:shd w:val="clear" w:color="auto" w:fill="FFE599" w:themeFill="accent4" w:themeFillTint="66"/>
          </w:tcPr>
          <w:p w14:paraId="45D3EDC3" w14:textId="03E9E34D" w:rsidR="007037B5" w:rsidRPr="000572D3" w:rsidRDefault="007037B5" w:rsidP="006A1236">
            <w:pPr>
              <w:rPr>
                <w:rFonts w:ascii="Arial" w:hAnsi="Arial" w:cs="Arial"/>
                <w:b/>
                <w:bCs/>
              </w:rPr>
            </w:pPr>
            <w:r w:rsidRPr="000572D3">
              <w:rPr>
                <w:rFonts w:ascii="Arial" w:hAnsi="Arial" w:cs="Arial"/>
                <w:b/>
                <w:bCs/>
              </w:rPr>
              <w:t>Economic</w:t>
            </w:r>
          </w:p>
        </w:tc>
        <w:tc>
          <w:tcPr>
            <w:tcW w:w="1329" w:type="pct"/>
          </w:tcPr>
          <w:p w14:paraId="6E5520BD" w14:textId="73498F91" w:rsidR="007037B5" w:rsidRPr="000572D3" w:rsidRDefault="007037B5" w:rsidP="006A1236">
            <w:pPr>
              <w:rPr>
                <w:rFonts w:ascii="Arial" w:hAnsi="Arial" w:cs="Arial"/>
              </w:rPr>
            </w:pPr>
            <w:r w:rsidRPr="000572D3">
              <w:rPr>
                <w:rFonts w:ascii="Arial" w:hAnsi="Arial" w:cs="Arial"/>
              </w:rPr>
              <w:t>Developed consumer market with cost pressures</w:t>
            </w:r>
          </w:p>
        </w:tc>
        <w:tc>
          <w:tcPr>
            <w:tcW w:w="1201" w:type="pct"/>
            <w:shd w:val="clear" w:color="auto" w:fill="FFE599" w:themeFill="accent4" w:themeFillTint="66"/>
          </w:tcPr>
          <w:p w14:paraId="52D5D6C3" w14:textId="16AE5DFA" w:rsidR="007037B5" w:rsidRPr="000572D3" w:rsidRDefault="007037B5" w:rsidP="006A1236">
            <w:pPr>
              <w:rPr>
                <w:rFonts w:ascii="Arial" w:hAnsi="Arial" w:cs="Arial"/>
              </w:rPr>
            </w:pPr>
            <w:r w:rsidRPr="000572D3">
              <w:rPr>
                <w:rFonts w:ascii="Arial" w:hAnsi="Arial" w:cs="Arial"/>
              </w:rPr>
              <w:t>Limited growth, out of reach and constraints on foreign currency</w:t>
            </w:r>
          </w:p>
        </w:tc>
        <w:tc>
          <w:tcPr>
            <w:tcW w:w="1480" w:type="pct"/>
          </w:tcPr>
          <w:p w14:paraId="709CEA74" w14:textId="1C9110CA" w:rsidR="007037B5" w:rsidRPr="000572D3" w:rsidRDefault="007037B5" w:rsidP="006A1236">
            <w:pPr>
              <w:rPr>
                <w:rFonts w:ascii="Arial" w:hAnsi="Arial" w:cs="Arial"/>
              </w:rPr>
            </w:pPr>
            <w:r w:rsidRPr="000572D3">
              <w:rPr>
                <w:rFonts w:ascii="Arial" w:hAnsi="Arial" w:cs="Arial"/>
              </w:rPr>
              <w:t>Exclusive market access instead of market access for all</w:t>
            </w:r>
          </w:p>
        </w:tc>
      </w:tr>
      <w:tr w:rsidR="007037B5" w:rsidRPr="000572D3" w14:paraId="183AAD1D" w14:textId="77777777" w:rsidTr="000572D3">
        <w:trPr>
          <w:trHeight w:val="432"/>
        </w:trPr>
        <w:tc>
          <w:tcPr>
            <w:tcW w:w="990" w:type="pct"/>
            <w:shd w:val="clear" w:color="auto" w:fill="FFE599" w:themeFill="accent4" w:themeFillTint="66"/>
          </w:tcPr>
          <w:p w14:paraId="503F66A0" w14:textId="77777777" w:rsidR="007037B5" w:rsidRPr="000572D3" w:rsidRDefault="007037B5" w:rsidP="006A1236">
            <w:pPr>
              <w:rPr>
                <w:rFonts w:ascii="Arial" w:hAnsi="Arial" w:cs="Arial"/>
                <w:b/>
                <w:bCs/>
              </w:rPr>
            </w:pPr>
            <w:r w:rsidRPr="000572D3">
              <w:rPr>
                <w:rFonts w:ascii="Arial" w:hAnsi="Arial" w:cs="Arial"/>
                <w:b/>
                <w:bCs/>
              </w:rPr>
              <w:t>Social</w:t>
            </w:r>
          </w:p>
          <w:p w14:paraId="4D752607" w14:textId="77777777" w:rsidR="007037B5" w:rsidRPr="000572D3" w:rsidRDefault="007037B5" w:rsidP="006A1236">
            <w:pPr>
              <w:rPr>
                <w:rFonts w:ascii="Arial" w:hAnsi="Arial" w:cs="Arial"/>
                <w:b/>
                <w:bCs/>
              </w:rPr>
            </w:pPr>
          </w:p>
        </w:tc>
        <w:tc>
          <w:tcPr>
            <w:tcW w:w="1329" w:type="pct"/>
          </w:tcPr>
          <w:p w14:paraId="2240C47E" w14:textId="1730D2D6" w:rsidR="007037B5" w:rsidRPr="000572D3" w:rsidRDefault="007037B5" w:rsidP="006A1236">
            <w:pPr>
              <w:rPr>
                <w:rFonts w:ascii="Arial" w:hAnsi="Arial" w:cs="Arial"/>
              </w:rPr>
            </w:pPr>
            <w:r w:rsidRPr="000572D3">
              <w:rPr>
                <w:rFonts w:ascii="Arial" w:hAnsi="Arial" w:cs="Arial"/>
              </w:rPr>
              <w:t>Favourable Cadbury heritage and brand awareness</w:t>
            </w:r>
          </w:p>
        </w:tc>
        <w:tc>
          <w:tcPr>
            <w:tcW w:w="1201" w:type="pct"/>
            <w:shd w:val="clear" w:color="auto" w:fill="FFE599" w:themeFill="accent4" w:themeFillTint="66"/>
          </w:tcPr>
          <w:p w14:paraId="29BEE978" w14:textId="2711A221" w:rsidR="007037B5" w:rsidRPr="000572D3" w:rsidRDefault="007037B5" w:rsidP="006A1236">
            <w:pPr>
              <w:rPr>
                <w:rFonts w:ascii="Arial" w:hAnsi="Arial" w:cs="Arial"/>
              </w:rPr>
            </w:pPr>
            <w:r w:rsidRPr="000572D3">
              <w:rPr>
                <w:rFonts w:ascii="Arial" w:hAnsi="Arial" w:cs="Arial"/>
              </w:rPr>
              <w:t>Various pressures of the consumer contexts and affordability</w:t>
            </w:r>
          </w:p>
        </w:tc>
        <w:tc>
          <w:tcPr>
            <w:tcW w:w="1480" w:type="pct"/>
          </w:tcPr>
          <w:p w14:paraId="1C0F7650" w14:textId="5BF3908E" w:rsidR="007037B5" w:rsidRPr="000572D3" w:rsidRDefault="007037B5" w:rsidP="006A1236">
            <w:pPr>
              <w:rPr>
                <w:rFonts w:ascii="Arial" w:hAnsi="Arial" w:cs="Arial"/>
              </w:rPr>
            </w:pPr>
            <w:r w:rsidRPr="000572D3">
              <w:rPr>
                <w:rFonts w:ascii="Arial" w:hAnsi="Arial" w:cs="Arial"/>
              </w:rPr>
              <w:t>Adaptation at the local level needs to be done</w:t>
            </w:r>
          </w:p>
        </w:tc>
      </w:tr>
      <w:tr w:rsidR="007037B5" w:rsidRPr="000572D3" w14:paraId="1B05E498" w14:textId="77777777" w:rsidTr="000572D3">
        <w:trPr>
          <w:trHeight w:val="417"/>
        </w:trPr>
        <w:tc>
          <w:tcPr>
            <w:tcW w:w="990" w:type="pct"/>
            <w:shd w:val="clear" w:color="auto" w:fill="FFE599" w:themeFill="accent4" w:themeFillTint="66"/>
          </w:tcPr>
          <w:p w14:paraId="17E542F7" w14:textId="77777777" w:rsidR="007037B5" w:rsidRPr="000572D3" w:rsidRDefault="007037B5" w:rsidP="006A1236">
            <w:pPr>
              <w:rPr>
                <w:rFonts w:ascii="Arial" w:hAnsi="Arial" w:cs="Arial"/>
                <w:b/>
                <w:bCs/>
              </w:rPr>
            </w:pPr>
            <w:r w:rsidRPr="000572D3">
              <w:rPr>
                <w:rFonts w:ascii="Arial" w:hAnsi="Arial" w:cs="Arial"/>
                <w:b/>
                <w:bCs/>
              </w:rPr>
              <w:t>Technological</w:t>
            </w:r>
          </w:p>
          <w:p w14:paraId="1E0FE10B" w14:textId="77777777" w:rsidR="007037B5" w:rsidRPr="000572D3" w:rsidRDefault="007037B5" w:rsidP="006A1236">
            <w:pPr>
              <w:rPr>
                <w:rFonts w:ascii="Arial" w:hAnsi="Arial" w:cs="Arial"/>
                <w:b/>
                <w:bCs/>
              </w:rPr>
            </w:pPr>
          </w:p>
        </w:tc>
        <w:tc>
          <w:tcPr>
            <w:tcW w:w="1329" w:type="pct"/>
          </w:tcPr>
          <w:p w14:paraId="62391C9D" w14:textId="7EB1BF9F" w:rsidR="007037B5" w:rsidRPr="000572D3" w:rsidRDefault="007037B5" w:rsidP="006A1236">
            <w:pPr>
              <w:rPr>
                <w:rFonts w:ascii="Arial" w:hAnsi="Arial" w:cs="Arial"/>
              </w:rPr>
            </w:pPr>
            <w:r w:rsidRPr="000572D3">
              <w:rPr>
                <w:rFonts w:ascii="Arial" w:hAnsi="Arial" w:cs="Arial"/>
              </w:rPr>
              <w:t>Strong digital infrastructure</w:t>
            </w:r>
          </w:p>
        </w:tc>
        <w:tc>
          <w:tcPr>
            <w:tcW w:w="1201" w:type="pct"/>
            <w:shd w:val="clear" w:color="auto" w:fill="FFE599" w:themeFill="accent4" w:themeFillTint="66"/>
          </w:tcPr>
          <w:p w14:paraId="440BA706" w14:textId="005F5293" w:rsidR="007037B5" w:rsidRPr="000572D3" w:rsidRDefault="007037B5" w:rsidP="006A1236">
            <w:pPr>
              <w:rPr>
                <w:rFonts w:ascii="Arial" w:hAnsi="Arial" w:cs="Arial"/>
              </w:rPr>
            </w:pPr>
            <w:r w:rsidRPr="000572D3">
              <w:rPr>
                <w:rFonts w:ascii="Arial" w:hAnsi="Arial" w:cs="Arial"/>
              </w:rPr>
              <w:t>More limited and cost-constrained connectivity options</w:t>
            </w:r>
          </w:p>
        </w:tc>
        <w:tc>
          <w:tcPr>
            <w:tcW w:w="1480" w:type="pct"/>
          </w:tcPr>
          <w:p w14:paraId="0E1371EA" w14:textId="79CDFA72" w:rsidR="007037B5" w:rsidRPr="000572D3" w:rsidRDefault="007037B5" w:rsidP="006A1236">
            <w:pPr>
              <w:rPr>
                <w:rFonts w:ascii="Arial" w:hAnsi="Arial" w:cs="Arial"/>
              </w:rPr>
            </w:pPr>
            <w:r w:rsidRPr="000572D3">
              <w:rPr>
                <w:rFonts w:ascii="Arial" w:hAnsi="Arial" w:cs="Arial"/>
              </w:rPr>
              <w:t>Implement a combination of advertising and promotion as a promotional strategy</w:t>
            </w:r>
          </w:p>
        </w:tc>
      </w:tr>
      <w:tr w:rsidR="007037B5" w:rsidRPr="000572D3" w14:paraId="23BA99F2" w14:textId="77777777" w:rsidTr="000572D3">
        <w:trPr>
          <w:trHeight w:val="417"/>
        </w:trPr>
        <w:tc>
          <w:tcPr>
            <w:tcW w:w="990" w:type="pct"/>
            <w:shd w:val="clear" w:color="auto" w:fill="FFE599" w:themeFill="accent4" w:themeFillTint="66"/>
          </w:tcPr>
          <w:p w14:paraId="28F79719" w14:textId="77777777" w:rsidR="007037B5" w:rsidRPr="000572D3" w:rsidRDefault="007037B5" w:rsidP="006A1236">
            <w:pPr>
              <w:rPr>
                <w:rFonts w:ascii="Arial" w:hAnsi="Arial" w:cs="Arial"/>
                <w:b/>
                <w:bCs/>
              </w:rPr>
            </w:pPr>
            <w:r w:rsidRPr="000572D3">
              <w:rPr>
                <w:rFonts w:ascii="Arial" w:hAnsi="Arial" w:cs="Arial"/>
                <w:b/>
                <w:bCs/>
              </w:rPr>
              <w:t>Environmental</w:t>
            </w:r>
          </w:p>
          <w:p w14:paraId="4C1F52BD" w14:textId="77777777" w:rsidR="007037B5" w:rsidRPr="000572D3" w:rsidRDefault="007037B5" w:rsidP="006A1236">
            <w:pPr>
              <w:rPr>
                <w:rFonts w:ascii="Arial" w:hAnsi="Arial" w:cs="Arial"/>
                <w:b/>
                <w:bCs/>
              </w:rPr>
            </w:pPr>
          </w:p>
        </w:tc>
        <w:tc>
          <w:tcPr>
            <w:tcW w:w="1329" w:type="pct"/>
          </w:tcPr>
          <w:p w14:paraId="68B60D5A" w14:textId="72898884" w:rsidR="007037B5" w:rsidRPr="000572D3" w:rsidRDefault="007037B5" w:rsidP="006A1236">
            <w:pPr>
              <w:rPr>
                <w:rFonts w:ascii="Arial" w:hAnsi="Arial" w:cs="Arial"/>
              </w:rPr>
            </w:pPr>
            <w:r w:rsidRPr="000572D3">
              <w:rPr>
                <w:rFonts w:ascii="Arial" w:hAnsi="Arial" w:cs="Arial"/>
              </w:rPr>
              <w:t>Strong sustainability expectations</w:t>
            </w:r>
          </w:p>
        </w:tc>
        <w:tc>
          <w:tcPr>
            <w:tcW w:w="1201" w:type="pct"/>
            <w:shd w:val="clear" w:color="auto" w:fill="FFE599" w:themeFill="accent4" w:themeFillTint="66"/>
          </w:tcPr>
          <w:p w14:paraId="2B2B16BB" w14:textId="4D230D15" w:rsidR="007037B5" w:rsidRPr="000572D3" w:rsidRDefault="007037B5" w:rsidP="006A1236">
            <w:pPr>
              <w:rPr>
                <w:rFonts w:ascii="Arial" w:hAnsi="Arial" w:cs="Arial"/>
              </w:rPr>
            </w:pPr>
            <w:r w:rsidRPr="000572D3">
              <w:rPr>
                <w:rFonts w:ascii="Arial" w:hAnsi="Arial" w:cs="Arial"/>
              </w:rPr>
              <w:t xml:space="preserve">Infrastructure and supply-chain challenges were </w:t>
            </w:r>
            <w:r w:rsidRPr="000572D3">
              <w:rPr>
                <w:rFonts w:ascii="Arial" w:hAnsi="Arial" w:cs="Arial"/>
              </w:rPr>
              <w:lastRenderedPageBreak/>
              <w:t>mentioned by 28.4% of respondents</w:t>
            </w:r>
          </w:p>
        </w:tc>
        <w:tc>
          <w:tcPr>
            <w:tcW w:w="1480" w:type="pct"/>
          </w:tcPr>
          <w:p w14:paraId="0B75E73F" w14:textId="77777777" w:rsidR="007037B5" w:rsidRPr="000572D3" w:rsidRDefault="007037B5" w:rsidP="006A1236">
            <w:pPr>
              <w:rPr>
                <w:rFonts w:ascii="Arial" w:hAnsi="Arial" w:cs="Arial"/>
              </w:rPr>
            </w:pPr>
            <w:r w:rsidRPr="000572D3">
              <w:rPr>
                <w:rFonts w:ascii="Arial" w:hAnsi="Arial" w:cs="Arial"/>
              </w:rPr>
              <w:lastRenderedPageBreak/>
              <w:t>Implement packaging, storage and supply chain changes</w:t>
            </w:r>
          </w:p>
          <w:p w14:paraId="2F13C007" w14:textId="77777777" w:rsidR="007037B5" w:rsidRPr="000572D3" w:rsidRDefault="007037B5" w:rsidP="006A1236">
            <w:pPr>
              <w:rPr>
                <w:rFonts w:ascii="Arial" w:hAnsi="Arial" w:cs="Arial"/>
              </w:rPr>
            </w:pPr>
          </w:p>
        </w:tc>
      </w:tr>
      <w:tr w:rsidR="007037B5" w:rsidRPr="000572D3" w14:paraId="7B5E87DD" w14:textId="77777777" w:rsidTr="000572D3">
        <w:trPr>
          <w:trHeight w:val="417"/>
        </w:trPr>
        <w:tc>
          <w:tcPr>
            <w:tcW w:w="990" w:type="pct"/>
            <w:shd w:val="clear" w:color="auto" w:fill="FFE599" w:themeFill="accent4" w:themeFillTint="66"/>
          </w:tcPr>
          <w:p w14:paraId="21B79C25" w14:textId="77777777" w:rsidR="007037B5" w:rsidRPr="000572D3" w:rsidRDefault="007037B5" w:rsidP="006A1236">
            <w:pPr>
              <w:rPr>
                <w:rFonts w:ascii="Arial" w:hAnsi="Arial" w:cs="Arial"/>
                <w:b/>
                <w:bCs/>
              </w:rPr>
            </w:pPr>
            <w:r w:rsidRPr="000572D3">
              <w:rPr>
                <w:rFonts w:ascii="Arial" w:hAnsi="Arial" w:cs="Arial"/>
                <w:b/>
                <w:bCs/>
              </w:rPr>
              <w:lastRenderedPageBreak/>
              <w:t>Legal</w:t>
            </w:r>
          </w:p>
          <w:p w14:paraId="1DA8096A" w14:textId="77777777" w:rsidR="007037B5" w:rsidRPr="000572D3" w:rsidRDefault="007037B5" w:rsidP="006A1236">
            <w:pPr>
              <w:rPr>
                <w:rFonts w:ascii="Arial" w:hAnsi="Arial" w:cs="Arial"/>
                <w:b/>
                <w:bCs/>
              </w:rPr>
            </w:pPr>
          </w:p>
        </w:tc>
        <w:tc>
          <w:tcPr>
            <w:tcW w:w="1329" w:type="pct"/>
          </w:tcPr>
          <w:p w14:paraId="527DF49C" w14:textId="2A126DFF" w:rsidR="007037B5" w:rsidRPr="000572D3" w:rsidRDefault="007037B5" w:rsidP="006A1236">
            <w:pPr>
              <w:rPr>
                <w:rFonts w:ascii="Arial" w:hAnsi="Arial" w:cs="Arial"/>
              </w:rPr>
            </w:pPr>
            <w:r w:rsidRPr="000572D3">
              <w:rPr>
                <w:rFonts w:ascii="Arial" w:hAnsi="Arial" w:cs="Arial"/>
              </w:rPr>
              <w:t>Set and known food controls</w:t>
            </w:r>
          </w:p>
        </w:tc>
        <w:tc>
          <w:tcPr>
            <w:tcW w:w="1201" w:type="pct"/>
            <w:shd w:val="clear" w:color="auto" w:fill="FFE599" w:themeFill="accent4" w:themeFillTint="66"/>
          </w:tcPr>
          <w:p w14:paraId="451DDAFD" w14:textId="37EDA7E8" w:rsidR="007037B5" w:rsidRPr="000572D3" w:rsidRDefault="007037B5" w:rsidP="006A1236">
            <w:pPr>
              <w:rPr>
                <w:rFonts w:ascii="Arial" w:hAnsi="Arial" w:cs="Arial"/>
              </w:rPr>
            </w:pPr>
            <w:r w:rsidRPr="000572D3">
              <w:rPr>
                <w:rFonts w:ascii="Arial" w:hAnsi="Arial" w:cs="Arial"/>
              </w:rPr>
              <w:t>More complex market-entry and commercial environment</w:t>
            </w:r>
          </w:p>
        </w:tc>
        <w:tc>
          <w:tcPr>
            <w:tcW w:w="1480" w:type="pct"/>
          </w:tcPr>
          <w:p w14:paraId="2566FF58" w14:textId="3FC9931D" w:rsidR="007037B5" w:rsidRPr="000572D3" w:rsidRDefault="007037B5" w:rsidP="006A1236">
            <w:pPr>
              <w:rPr>
                <w:rFonts w:ascii="Arial" w:hAnsi="Arial" w:cs="Arial"/>
              </w:rPr>
            </w:pPr>
            <w:r w:rsidRPr="000572D3">
              <w:rPr>
                <w:rFonts w:ascii="Arial" w:hAnsi="Arial" w:cs="Arial"/>
              </w:rPr>
              <w:t>Thorough legal Due Diligence is a necessity</w:t>
            </w:r>
          </w:p>
        </w:tc>
      </w:tr>
    </w:tbl>
    <w:p w14:paraId="4C1B9034" w14:textId="016FAE76" w:rsidR="007037B5" w:rsidRPr="000572D3" w:rsidRDefault="007037B5" w:rsidP="006A1236">
      <w:pPr>
        <w:pStyle w:val="Caption"/>
        <w:keepNext/>
        <w:spacing w:after="160"/>
        <w:jc w:val="center"/>
        <w:rPr>
          <w:rFonts w:ascii="Arial" w:hAnsi="Arial" w:cs="Arial"/>
        </w:rPr>
      </w:pPr>
      <w:r w:rsidRPr="000572D3">
        <w:rPr>
          <w:rFonts w:ascii="Arial" w:hAnsi="Arial" w:cs="Arial"/>
        </w:rPr>
        <w:t xml:space="preserve">Table </w:t>
      </w:r>
      <w:r w:rsidRPr="000572D3">
        <w:rPr>
          <w:rFonts w:ascii="Arial" w:hAnsi="Arial" w:cs="Arial"/>
        </w:rPr>
        <w:fldChar w:fldCharType="begin"/>
      </w:r>
      <w:r w:rsidRPr="000572D3">
        <w:rPr>
          <w:rFonts w:ascii="Arial" w:hAnsi="Arial" w:cs="Arial"/>
        </w:rPr>
        <w:instrText xml:space="preserve"> SEQ Table \* ARABIC </w:instrText>
      </w:r>
      <w:r w:rsidRPr="000572D3">
        <w:rPr>
          <w:rFonts w:ascii="Arial" w:hAnsi="Arial" w:cs="Arial"/>
        </w:rPr>
        <w:fldChar w:fldCharType="separate"/>
      </w:r>
      <w:r w:rsidR="00F42A45" w:rsidRPr="000572D3">
        <w:rPr>
          <w:rFonts w:ascii="Arial" w:hAnsi="Arial" w:cs="Arial"/>
          <w:noProof/>
        </w:rPr>
        <w:t>1</w:t>
      </w:r>
      <w:r w:rsidRPr="000572D3">
        <w:rPr>
          <w:rFonts w:ascii="Arial" w:hAnsi="Arial" w:cs="Arial"/>
        </w:rPr>
        <w:fldChar w:fldCharType="end"/>
      </w:r>
      <w:r w:rsidRPr="000572D3">
        <w:rPr>
          <w:rFonts w:ascii="Arial" w:hAnsi="Arial" w:cs="Arial"/>
        </w:rPr>
        <w:t>: PESTEL Comparative Synthesis: Favourable and Unfavourable condition for Cadbury</w:t>
      </w:r>
    </w:p>
    <w:p w14:paraId="636C2E2A" w14:textId="4035D8EE" w:rsidR="007037B5" w:rsidRPr="000572D3" w:rsidRDefault="007037B5" w:rsidP="006A1236">
      <w:pPr>
        <w:jc w:val="center"/>
        <w:rPr>
          <w:rFonts w:ascii="Arial" w:hAnsi="Arial" w:cs="Arial"/>
        </w:rPr>
      </w:pPr>
      <w:r w:rsidRPr="000572D3">
        <w:rPr>
          <w:rFonts w:ascii="Arial" w:hAnsi="Arial" w:cs="Arial"/>
        </w:rPr>
        <w:t>(Source: Self-Created)</w:t>
      </w:r>
    </w:p>
    <w:p w14:paraId="4F6CBCFF" w14:textId="444683BD" w:rsidR="000572D3" w:rsidRPr="000572D3" w:rsidRDefault="000572D3" w:rsidP="000572D3">
      <w:pPr>
        <w:keepNext/>
        <w:jc w:val="center"/>
        <w:rPr>
          <w:rFonts w:ascii="Arial" w:hAnsi="Arial" w:cs="Arial"/>
        </w:rPr>
      </w:pPr>
      <w:r w:rsidRPr="000572D3">
        <w:rPr>
          <w:rFonts w:ascii="Arial" w:hAnsi="Arial" w:cs="Arial"/>
          <w:noProof/>
          <w:lang w:val="en-US"/>
        </w:rPr>
        <w:drawing>
          <wp:inline distT="0" distB="0" distL="0" distR="0" wp14:anchorId="6038B868" wp14:editId="622F68E9">
            <wp:extent cx="5868035" cy="3521122"/>
            <wp:effectExtent l="0" t="0" r="0" b="222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99B6ED6" w14:textId="77777777" w:rsidR="000572D3" w:rsidRPr="000572D3" w:rsidRDefault="000572D3" w:rsidP="000572D3">
      <w:pPr>
        <w:pStyle w:val="Caption"/>
        <w:spacing w:after="160"/>
        <w:jc w:val="center"/>
        <w:rPr>
          <w:rFonts w:ascii="Arial" w:hAnsi="Arial" w:cs="Arial"/>
        </w:rPr>
      </w:pPr>
      <w:r w:rsidRPr="000572D3">
        <w:rPr>
          <w:rFonts w:ascii="Arial" w:hAnsi="Arial" w:cs="Arial"/>
        </w:rPr>
        <w:t xml:space="preserve">Figure </w:t>
      </w:r>
      <w:r w:rsidRPr="000572D3">
        <w:rPr>
          <w:rFonts w:ascii="Arial" w:hAnsi="Arial" w:cs="Arial"/>
        </w:rPr>
        <w:fldChar w:fldCharType="begin"/>
      </w:r>
      <w:r w:rsidRPr="000572D3">
        <w:rPr>
          <w:rFonts w:ascii="Arial" w:hAnsi="Arial" w:cs="Arial"/>
        </w:rPr>
        <w:instrText xml:space="preserve"> SEQ Figure \* ARABIC </w:instrText>
      </w:r>
      <w:r w:rsidRPr="000572D3">
        <w:rPr>
          <w:rFonts w:ascii="Arial" w:hAnsi="Arial" w:cs="Arial"/>
        </w:rPr>
        <w:fldChar w:fldCharType="separate"/>
      </w:r>
      <w:r w:rsidRPr="000572D3">
        <w:rPr>
          <w:rFonts w:ascii="Arial" w:hAnsi="Arial" w:cs="Arial"/>
          <w:noProof/>
        </w:rPr>
        <w:t>4</w:t>
      </w:r>
      <w:r w:rsidRPr="000572D3">
        <w:rPr>
          <w:rFonts w:ascii="Arial" w:hAnsi="Arial" w:cs="Arial"/>
        </w:rPr>
        <w:fldChar w:fldCharType="end"/>
      </w:r>
      <w:r w:rsidRPr="000572D3">
        <w:rPr>
          <w:rFonts w:ascii="Arial" w:hAnsi="Arial" w:cs="Arial"/>
        </w:rPr>
        <w:t xml:space="preserve">: PESTLE Analysis Model </w:t>
      </w:r>
    </w:p>
    <w:p w14:paraId="6CD00451" w14:textId="35D66CA0" w:rsidR="000572D3" w:rsidRPr="000572D3" w:rsidRDefault="000572D3" w:rsidP="000572D3">
      <w:pPr>
        <w:jc w:val="center"/>
        <w:rPr>
          <w:rFonts w:ascii="Arial" w:hAnsi="Arial" w:cs="Arial"/>
        </w:rPr>
      </w:pPr>
      <w:r w:rsidRPr="000572D3">
        <w:rPr>
          <w:rFonts w:ascii="Arial" w:hAnsi="Arial" w:cs="Arial"/>
        </w:rPr>
        <w:t>(Source: Self-developed)</w:t>
      </w:r>
    </w:p>
    <w:p w14:paraId="4833F745" w14:textId="77777777" w:rsidR="007037B5" w:rsidRPr="000572D3" w:rsidRDefault="007037B5" w:rsidP="006A1236">
      <w:pPr>
        <w:pStyle w:val="Heading2"/>
        <w:spacing w:after="160"/>
        <w:rPr>
          <w:rFonts w:cs="Arial"/>
        </w:rPr>
      </w:pPr>
      <w:bookmarkStart w:id="5" w:name="_Toc237444422"/>
      <w:r w:rsidRPr="000572D3">
        <w:rPr>
          <w:rFonts w:cs="Arial"/>
        </w:rPr>
        <w:t>3.1 Political Factors</w:t>
      </w:r>
      <w:bookmarkEnd w:id="5"/>
    </w:p>
    <w:p w14:paraId="0CA1EF21" w14:textId="218B92B9" w:rsidR="007037B5" w:rsidRPr="000572D3" w:rsidRDefault="007037B5" w:rsidP="006A1236">
      <w:pPr>
        <w:rPr>
          <w:rFonts w:ascii="Arial" w:hAnsi="Arial" w:cs="Arial"/>
        </w:rPr>
      </w:pPr>
      <w:r w:rsidRPr="000572D3">
        <w:rPr>
          <w:rFonts w:ascii="Arial" w:hAnsi="Arial" w:cs="Arial"/>
        </w:rPr>
        <w:t xml:space="preserve">UK political environment is stable, creating a favourable environment for Cadbury to operate. Invertible institutions and rules reduce uncertainty of marketing, distributing, relations, etc., less. But the maturity of the market means that it becomes competitive. Cuba is more complex politically since government involvement in it can hinder foreign </w:t>
      </w:r>
      <w:r w:rsidRPr="000572D3">
        <w:rPr>
          <w:rFonts w:ascii="Arial" w:hAnsi="Arial" w:cs="Arial"/>
        </w:rPr>
        <w:lastRenderedPageBreak/>
        <w:t>brands</w:t>
      </w:r>
      <w:r w:rsidR="001951C8" w:rsidRPr="000572D3">
        <w:rPr>
          <w:rFonts w:ascii="Arial" w:hAnsi="Arial" w:cs="Arial"/>
        </w:rPr>
        <w:t>,</w:t>
      </w:r>
      <w:r w:rsidRPr="000572D3">
        <w:rPr>
          <w:rFonts w:ascii="Arial" w:hAnsi="Arial" w:cs="Arial"/>
        </w:rPr>
        <w:t xml:space="preserve"> </w:t>
      </w:r>
      <w:r w:rsidR="001951C8" w:rsidRPr="000572D3">
        <w:rPr>
          <w:rFonts w:ascii="Arial" w:hAnsi="Arial" w:cs="Arial"/>
        </w:rPr>
        <w:t>i</w:t>
      </w:r>
      <w:r w:rsidRPr="000572D3">
        <w:rPr>
          <w:rFonts w:ascii="Arial" w:hAnsi="Arial" w:cs="Arial"/>
        </w:rPr>
        <w:t>mport and payment restrictions, restrictions in distribution and partnerships could add uncertainty</w:t>
      </w:r>
      <w:r w:rsidR="001951C8" w:rsidRPr="000572D3">
        <w:rPr>
          <w:rFonts w:ascii="Arial" w:hAnsi="Arial" w:cs="Arial"/>
        </w:rPr>
        <w:t xml:space="preserve"> (Loss, 2021)</w:t>
      </w:r>
      <w:r w:rsidRPr="000572D3">
        <w:rPr>
          <w:rFonts w:ascii="Arial" w:hAnsi="Arial" w:cs="Arial"/>
        </w:rPr>
        <w:t>.</w:t>
      </w:r>
      <w:r w:rsidR="00855086" w:rsidRPr="000572D3">
        <w:rPr>
          <w:rFonts w:ascii="Arial" w:hAnsi="Arial" w:cs="Arial"/>
        </w:rPr>
        <w:t xml:space="preserve"> In Cuba the higher rate of corporate taxation, import-associate cost, pricing risks lead threats for Cadbury. </w:t>
      </w:r>
      <w:r w:rsidRPr="000572D3">
        <w:rPr>
          <w:rFonts w:ascii="Arial" w:hAnsi="Arial" w:cs="Arial"/>
        </w:rPr>
        <w:t>Cuba needs to be approached, therefore, with caution, via managed dealings.</w:t>
      </w:r>
    </w:p>
    <w:p w14:paraId="3B5F8F65" w14:textId="77777777" w:rsidR="007037B5" w:rsidRPr="000572D3" w:rsidRDefault="007037B5" w:rsidP="006A1236">
      <w:pPr>
        <w:pStyle w:val="Heading2"/>
        <w:spacing w:after="160"/>
        <w:rPr>
          <w:rFonts w:cs="Arial"/>
        </w:rPr>
      </w:pPr>
      <w:bookmarkStart w:id="6" w:name="_Toc237444423"/>
      <w:r w:rsidRPr="000572D3">
        <w:rPr>
          <w:rFonts w:cs="Arial"/>
        </w:rPr>
        <w:t>3.2 Economic Factors</w:t>
      </w:r>
      <w:bookmarkEnd w:id="6"/>
    </w:p>
    <w:p w14:paraId="5C0CD754" w14:textId="4444AC9B" w:rsidR="007037B5" w:rsidRPr="000572D3" w:rsidRDefault="007037B5" w:rsidP="006A1236">
      <w:pPr>
        <w:rPr>
          <w:rFonts w:ascii="Arial" w:hAnsi="Arial" w:cs="Arial"/>
        </w:rPr>
      </w:pPr>
      <w:r w:rsidRPr="000572D3">
        <w:rPr>
          <w:rFonts w:ascii="Arial" w:hAnsi="Arial" w:cs="Arial"/>
        </w:rPr>
        <w:t>Cadbury has a fill-in strategy in the UK, but inflation and costs can make things less affordable. Prices of cocoa and powdered chocolate in the UK skyrocketed: the ONS index went from 100 in 2015 to 172.3 in 2025. Chocolate prices also reached 149.7 in 2025, compared with 100 in 2015. Cadbury is thus advised to mix the pricing of the premium product with offering small packs and promotions</w:t>
      </w:r>
      <w:r w:rsidR="001951C8" w:rsidRPr="000572D3">
        <w:rPr>
          <w:rFonts w:ascii="Arial" w:hAnsi="Arial" w:cs="Arial"/>
        </w:rPr>
        <w:t xml:space="preserve"> (Meier, 2025)</w:t>
      </w:r>
      <w:r w:rsidRPr="000572D3">
        <w:rPr>
          <w:rFonts w:ascii="Arial" w:hAnsi="Arial" w:cs="Arial"/>
        </w:rPr>
        <w:t xml:space="preserve">. The Cuban economy is less attractive. In 2024, GDP saw a decline of around 1.1%. The cost to buy locally can be reduced due to lower purchasing power, foreign exchange limitations and shortages, </w:t>
      </w:r>
      <w:r w:rsidR="00EB4542" w:rsidRPr="000572D3">
        <w:rPr>
          <w:rFonts w:ascii="Arial" w:hAnsi="Arial" w:cs="Arial"/>
        </w:rPr>
        <w:t xml:space="preserve">and </w:t>
      </w:r>
      <w:r w:rsidRPr="000572D3">
        <w:rPr>
          <w:rFonts w:ascii="Arial" w:hAnsi="Arial" w:cs="Arial"/>
        </w:rPr>
        <w:t>distributional difficulties. Since chocolate is a non-essential, consumers might prioritise essentials</w:t>
      </w:r>
      <w:r w:rsidR="005301A6" w:rsidRPr="000572D3">
        <w:rPr>
          <w:rFonts w:ascii="Arial" w:hAnsi="Arial" w:cs="Arial"/>
        </w:rPr>
        <w:t xml:space="preserve"> (</w:t>
      </w:r>
      <w:proofErr w:type="spellStart"/>
      <w:r w:rsidR="005301A6" w:rsidRPr="000572D3">
        <w:rPr>
          <w:rFonts w:ascii="Arial" w:hAnsi="Arial" w:cs="Arial"/>
        </w:rPr>
        <w:t>Zigu</w:t>
      </w:r>
      <w:proofErr w:type="spellEnd"/>
      <w:r w:rsidR="005301A6" w:rsidRPr="000572D3">
        <w:rPr>
          <w:rFonts w:ascii="Arial" w:hAnsi="Arial" w:cs="Arial"/>
        </w:rPr>
        <w:t>, 2019)</w:t>
      </w:r>
      <w:r w:rsidRPr="000572D3">
        <w:rPr>
          <w:rFonts w:ascii="Arial" w:hAnsi="Arial" w:cs="Arial"/>
        </w:rPr>
        <w:t>.</w:t>
      </w:r>
    </w:p>
    <w:p w14:paraId="73AD8FD9" w14:textId="77777777" w:rsidR="007037B5" w:rsidRPr="000572D3" w:rsidRDefault="007037B5" w:rsidP="006A1236">
      <w:pPr>
        <w:pStyle w:val="Heading2"/>
        <w:spacing w:after="160"/>
        <w:rPr>
          <w:rFonts w:cs="Arial"/>
        </w:rPr>
      </w:pPr>
      <w:bookmarkStart w:id="7" w:name="_Toc237444424"/>
      <w:r w:rsidRPr="000572D3">
        <w:rPr>
          <w:rFonts w:cs="Arial"/>
        </w:rPr>
        <w:t>3.3 Social Factors</w:t>
      </w:r>
      <w:bookmarkEnd w:id="7"/>
    </w:p>
    <w:p w14:paraId="64746BF8" w14:textId="52D74D1B" w:rsidR="007037B5" w:rsidRPr="000572D3" w:rsidRDefault="007037B5" w:rsidP="006A1236">
      <w:pPr>
        <w:rPr>
          <w:rFonts w:ascii="Arial" w:hAnsi="Arial" w:cs="Arial"/>
        </w:rPr>
      </w:pPr>
      <w:r w:rsidRPr="000572D3">
        <w:rPr>
          <w:rFonts w:ascii="Arial" w:hAnsi="Arial" w:cs="Arial"/>
        </w:rPr>
        <w:t>The UK offers Cadbury a strong brand familiarity and presence and association with indulgence, gifting and occasions. But this is set to be a shake-up for old-fashioned candy positions as the race for health and responsible consumption has long been gaining consumers' interest. Cadbury's British connotations in Cuba might not have quite as strong a consumer resonance</w:t>
      </w:r>
      <w:r w:rsidR="001951C8" w:rsidRPr="000572D3">
        <w:rPr>
          <w:rFonts w:ascii="Arial" w:hAnsi="Arial" w:cs="Arial"/>
        </w:rPr>
        <w:t>,</w:t>
      </w:r>
      <w:r w:rsidR="00414B07" w:rsidRPr="000572D3">
        <w:rPr>
          <w:rFonts w:ascii="Arial" w:hAnsi="Arial" w:cs="Arial"/>
        </w:rPr>
        <w:t xml:space="preserve"> changing trends among people,</w:t>
      </w:r>
      <w:r w:rsidR="001951C8" w:rsidRPr="000572D3">
        <w:rPr>
          <w:rFonts w:ascii="Arial" w:hAnsi="Arial" w:cs="Arial"/>
        </w:rPr>
        <w:t xml:space="preserve"> a</w:t>
      </w:r>
      <w:r w:rsidRPr="000572D3">
        <w:rPr>
          <w:rFonts w:ascii="Arial" w:hAnsi="Arial" w:cs="Arial"/>
        </w:rPr>
        <w:t>ffordability is paramount, and tourism and gifting will bring opportunities. To find preferences and positioning, market research is needed</w:t>
      </w:r>
      <w:r w:rsidR="001951C8" w:rsidRPr="000572D3">
        <w:rPr>
          <w:rFonts w:ascii="Arial" w:hAnsi="Arial" w:cs="Arial"/>
        </w:rPr>
        <w:t xml:space="preserve"> (Ortiz. 2023)</w:t>
      </w:r>
      <w:r w:rsidRPr="000572D3">
        <w:rPr>
          <w:rFonts w:ascii="Arial" w:hAnsi="Arial" w:cs="Arial"/>
        </w:rPr>
        <w:t>.</w:t>
      </w:r>
    </w:p>
    <w:p w14:paraId="615EF7E9" w14:textId="77777777" w:rsidR="007037B5" w:rsidRPr="000572D3" w:rsidRDefault="007037B5" w:rsidP="006A1236">
      <w:pPr>
        <w:pStyle w:val="Heading2"/>
        <w:spacing w:after="160"/>
        <w:rPr>
          <w:rFonts w:cs="Arial"/>
        </w:rPr>
      </w:pPr>
      <w:bookmarkStart w:id="8" w:name="_Toc237444425"/>
      <w:r w:rsidRPr="000572D3">
        <w:rPr>
          <w:rFonts w:cs="Arial"/>
        </w:rPr>
        <w:t>3.4 Technological Factors</w:t>
      </w:r>
      <w:bookmarkEnd w:id="8"/>
    </w:p>
    <w:p w14:paraId="1359984A" w14:textId="0C91DBF5" w:rsidR="007037B5" w:rsidRPr="000572D3" w:rsidRDefault="007037B5" w:rsidP="006A1236">
      <w:pPr>
        <w:rPr>
          <w:rFonts w:ascii="Arial" w:hAnsi="Arial" w:cs="Arial"/>
        </w:rPr>
      </w:pPr>
      <w:r w:rsidRPr="000572D3">
        <w:rPr>
          <w:rFonts w:ascii="Arial" w:hAnsi="Arial" w:cs="Arial"/>
        </w:rPr>
        <w:t>Cadbury took advantage of the UK's mature digital landscape that allows it to connect their physical store with all its digital channels, including social media, digital advertising, and e-commerce. But with the huge competition in the digital market, it is hard to gain the attention of consumers. Cuba is more limiting with regard to digital access, and as such, a digital-first approach might see less reach and necessitate traditional retail</w:t>
      </w:r>
      <w:r w:rsidR="00544495" w:rsidRPr="000572D3">
        <w:rPr>
          <w:rFonts w:ascii="Arial" w:hAnsi="Arial" w:cs="Arial"/>
        </w:rPr>
        <w:t xml:space="preserve"> (Brandts </w:t>
      </w:r>
      <w:r w:rsidR="00544495" w:rsidRPr="000572D3">
        <w:rPr>
          <w:rFonts w:ascii="Arial" w:hAnsi="Arial" w:cs="Arial"/>
          <w:i/>
          <w:iCs/>
        </w:rPr>
        <w:t>et al.</w:t>
      </w:r>
      <w:r w:rsidR="00544495" w:rsidRPr="000572D3">
        <w:rPr>
          <w:rFonts w:ascii="Arial" w:hAnsi="Arial" w:cs="Arial"/>
        </w:rPr>
        <w:t>, 2024)</w:t>
      </w:r>
      <w:r w:rsidRPr="000572D3">
        <w:rPr>
          <w:rFonts w:ascii="Arial" w:hAnsi="Arial" w:cs="Arial"/>
        </w:rPr>
        <w:t>.</w:t>
      </w:r>
    </w:p>
    <w:p w14:paraId="6F33FEE9" w14:textId="77777777" w:rsidR="007037B5" w:rsidRPr="000572D3" w:rsidRDefault="007037B5" w:rsidP="006A1236">
      <w:pPr>
        <w:pStyle w:val="Heading2"/>
        <w:spacing w:after="160"/>
        <w:rPr>
          <w:rFonts w:cs="Arial"/>
        </w:rPr>
      </w:pPr>
      <w:bookmarkStart w:id="9" w:name="_Toc237444426"/>
      <w:r w:rsidRPr="000572D3">
        <w:rPr>
          <w:rFonts w:cs="Arial"/>
        </w:rPr>
        <w:lastRenderedPageBreak/>
        <w:t>3.5 Environmental Factors</w:t>
      </w:r>
      <w:bookmarkEnd w:id="9"/>
    </w:p>
    <w:p w14:paraId="38C71B0B" w14:textId="088178F0" w:rsidR="007037B5" w:rsidRPr="000572D3" w:rsidRDefault="007037B5" w:rsidP="006A1236">
      <w:pPr>
        <w:rPr>
          <w:rFonts w:ascii="Arial" w:hAnsi="Arial" w:cs="Arial"/>
        </w:rPr>
      </w:pPr>
      <w:r w:rsidRPr="000572D3">
        <w:rPr>
          <w:rFonts w:ascii="Arial" w:hAnsi="Arial" w:cs="Arial"/>
        </w:rPr>
        <w:t xml:space="preserve">Cadbury has to deal with environmental problems as they are connected to cocoa, packaging, energy and supply chains. While responsible sourcing is supported by UK sustainability expectations, the cost might otherwise increase. Due to the chocolates being temperature-sensitive, transportation and storage problems, </w:t>
      </w:r>
      <w:r w:rsidR="00EB4542" w:rsidRPr="000572D3">
        <w:rPr>
          <w:rFonts w:ascii="Arial" w:hAnsi="Arial" w:cs="Arial"/>
        </w:rPr>
        <w:t xml:space="preserve">and </w:t>
      </w:r>
      <w:r w:rsidRPr="000572D3">
        <w:rPr>
          <w:rFonts w:ascii="Arial" w:hAnsi="Arial" w:cs="Arial"/>
        </w:rPr>
        <w:t>product quality, may be caused by the country's infrastructure and supply chain.</w:t>
      </w:r>
    </w:p>
    <w:p w14:paraId="49654C23" w14:textId="77777777" w:rsidR="007037B5" w:rsidRPr="000572D3" w:rsidRDefault="007037B5" w:rsidP="006A1236">
      <w:pPr>
        <w:pStyle w:val="Heading2"/>
        <w:spacing w:after="160"/>
        <w:rPr>
          <w:rFonts w:cs="Arial"/>
        </w:rPr>
      </w:pPr>
      <w:bookmarkStart w:id="10" w:name="_Toc237444427"/>
      <w:r w:rsidRPr="000572D3">
        <w:rPr>
          <w:rFonts w:cs="Arial"/>
        </w:rPr>
        <w:t>3.6 Legal Factors</w:t>
      </w:r>
      <w:bookmarkEnd w:id="10"/>
    </w:p>
    <w:p w14:paraId="67240252" w14:textId="0BFFDFBA" w:rsidR="007037B5" w:rsidRPr="000572D3" w:rsidRDefault="007037B5" w:rsidP="006A1236">
      <w:pPr>
        <w:rPr>
          <w:rFonts w:ascii="Arial" w:hAnsi="Arial" w:cs="Arial"/>
        </w:rPr>
      </w:pPr>
      <w:r w:rsidRPr="000572D3">
        <w:rPr>
          <w:rFonts w:ascii="Arial" w:hAnsi="Arial" w:cs="Arial"/>
        </w:rPr>
        <w:t>In fact, the UK has existing food legislation which sets out clear nutritional and consumer protection and ingredient requirements. Cuba offers more uncertainty in regard to importation, registration, labelling, distribution and commercial partnerships. Cadbury needs to do thorough legal due diligence before entry. When looking at the risk of operations both inside and outside the UK, the UK is a safer risk, whereas Cuba needs a careful, locally knitted approach</w:t>
      </w:r>
      <w:r w:rsidR="00544495" w:rsidRPr="000572D3">
        <w:rPr>
          <w:rFonts w:ascii="Arial" w:hAnsi="Arial" w:cs="Arial"/>
        </w:rPr>
        <w:t xml:space="preserve"> (</w:t>
      </w:r>
      <w:proofErr w:type="spellStart"/>
      <w:r w:rsidR="00544495" w:rsidRPr="000572D3">
        <w:rPr>
          <w:rFonts w:ascii="Arial" w:hAnsi="Arial" w:cs="Arial"/>
        </w:rPr>
        <w:t>Pioletti</w:t>
      </w:r>
      <w:proofErr w:type="spellEnd"/>
      <w:r w:rsidR="00544495" w:rsidRPr="000572D3">
        <w:rPr>
          <w:rFonts w:ascii="Arial" w:hAnsi="Arial" w:cs="Arial"/>
        </w:rPr>
        <w:t>, 2025)</w:t>
      </w:r>
      <w:r w:rsidRPr="000572D3">
        <w:rPr>
          <w:rFonts w:ascii="Arial" w:hAnsi="Arial" w:cs="Arial"/>
        </w:rPr>
        <w:t>.</w:t>
      </w:r>
    </w:p>
    <w:p w14:paraId="6B79F262" w14:textId="2F7515DD" w:rsidR="007037B5" w:rsidRPr="000572D3" w:rsidRDefault="007037B5" w:rsidP="006A1236">
      <w:pPr>
        <w:pStyle w:val="Heading1"/>
        <w:spacing w:after="160"/>
        <w:rPr>
          <w:rFonts w:cs="Arial"/>
        </w:rPr>
      </w:pPr>
      <w:bookmarkStart w:id="11" w:name="_Toc237444428"/>
      <w:r w:rsidRPr="000572D3">
        <w:rPr>
          <w:rFonts w:cs="Arial"/>
        </w:rPr>
        <w:t>4. Global Business and Comparative Cultural Analysis: Hofstede</w:t>
      </w:r>
      <w:bookmarkEnd w:id="11"/>
    </w:p>
    <w:p w14:paraId="40547756" w14:textId="1E30B39B" w:rsidR="007037B5" w:rsidRPr="000572D3" w:rsidRDefault="007037B5" w:rsidP="006A1236">
      <w:pPr>
        <w:rPr>
          <w:rFonts w:ascii="Arial" w:hAnsi="Arial" w:cs="Arial"/>
          <w:b/>
          <w:bCs/>
        </w:rPr>
      </w:pPr>
      <w:r w:rsidRPr="000572D3">
        <w:rPr>
          <w:rFonts w:ascii="Arial" w:hAnsi="Arial" w:cs="Arial"/>
          <w:b/>
          <w:bCs/>
        </w:rPr>
        <w:t>Hofstede Cultural Framework</w:t>
      </w:r>
    </w:p>
    <w:p w14:paraId="03730114" w14:textId="7821FC23" w:rsidR="007037B5" w:rsidRPr="000572D3" w:rsidRDefault="007037B5" w:rsidP="006A1236">
      <w:pPr>
        <w:rPr>
          <w:rFonts w:ascii="Arial" w:hAnsi="Arial" w:cs="Arial"/>
        </w:rPr>
      </w:pPr>
      <w:r w:rsidRPr="000572D3">
        <w:rPr>
          <w:rFonts w:ascii="Arial" w:hAnsi="Arial" w:cs="Arial"/>
        </w:rPr>
        <w:t xml:space="preserve">Hofstede's cultural dimensions can serve as a valuable guideline for understanding the implications of a country's culture on consumer behaviour, </w:t>
      </w:r>
      <w:r w:rsidR="00EB4542" w:rsidRPr="000572D3">
        <w:rPr>
          <w:rFonts w:ascii="Arial" w:hAnsi="Arial" w:cs="Arial"/>
        </w:rPr>
        <w:t xml:space="preserve">and </w:t>
      </w:r>
      <w:r w:rsidRPr="000572D3">
        <w:rPr>
          <w:rFonts w:ascii="Arial" w:hAnsi="Arial" w:cs="Arial"/>
        </w:rPr>
        <w:t>consumer communication and marketing. Cuba is significant to Cadbury because they cannot make any strategy without understanding the Cuban cultural climate, and if they do, they are likely to produce incorrect results, as any approach that is created in the UK may not work in Cuba</w:t>
      </w:r>
      <w:r w:rsidR="00405D36" w:rsidRPr="000572D3">
        <w:rPr>
          <w:rFonts w:ascii="Arial" w:hAnsi="Arial" w:cs="Arial"/>
        </w:rPr>
        <w:t xml:space="preserve"> (Emily Jo </w:t>
      </w:r>
      <w:proofErr w:type="spellStart"/>
      <w:r w:rsidR="00405D36" w:rsidRPr="000572D3">
        <w:rPr>
          <w:rFonts w:ascii="Arial" w:hAnsi="Arial" w:cs="Arial"/>
        </w:rPr>
        <w:t>Vizmonte</w:t>
      </w:r>
      <w:proofErr w:type="spellEnd"/>
      <w:r w:rsidR="00405D36" w:rsidRPr="000572D3">
        <w:rPr>
          <w:rFonts w:ascii="Arial" w:hAnsi="Arial" w:cs="Arial"/>
        </w:rPr>
        <w:t xml:space="preserve"> and Dominic Vincent Ligot, 2024)</w:t>
      </w:r>
      <w:r w:rsidRPr="000572D3">
        <w:rPr>
          <w:rFonts w:ascii="Arial" w:hAnsi="Arial" w:cs="Arial"/>
        </w:rPr>
        <w:t>. To complement the PESTEL analysis, Hofstede aligns with the cultural environment in which brands, ads, and buying events are perceived by consumers.</w:t>
      </w:r>
    </w:p>
    <w:p w14:paraId="6DFCFFC7" w14:textId="77777777" w:rsidR="007037B5" w:rsidRPr="000572D3" w:rsidRDefault="007037B5" w:rsidP="006A1236">
      <w:pPr>
        <w:rPr>
          <w:rFonts w:ascii="Arial" w:hAnsi="Arial" w:cs="Arial"/>
          <w:b/>
          <w:bCs/>
        </w:rPr>
      </w:pPr>
      <w:r w:rsidRPr="000572D3">
        <w:rPr>
          <w:rFonts w:ascii="Arial" w:hAnsi="Arial" w:cs="Arial"/>
          <w:b/>
          <w:bCs/>
        </w:rPr>
        <w:t>UK Cultural Profile</w:t>
      </w:r>
    </w:p>
    <w:p w14:paraId="1DED793E" w14:textId="0439634D" w:rsidR="007037B5" w:rsidRPr="000572D3" w:rsidRDefault="007037B5" w:rsidP="006A1236">
      <w:pPr>
        <w:rPr>
          <w:rFonts w:ascii="Arial" w:hAnsi="Arial" w:cs="Arial"/>
        </w:rPr>
      </w:pPr>
      <w:r w:rsidRPr="000572D3">
        <w:rPr>
          <w:rFonts w:ascii="Arial" w:hAnsi="Arial" w:cs="Arial"/>
        </w:rPr>
        <w:t>Overall, the UK has lower PDI and a preference for less hierarchical relationships, more tolerant of individual autonomy. It is important for marketing because its individualism might lead consumers to value individual choice, self-expression and personal preference more</w:t>
      </w:r>
      <w:r w:rsidR="004C3788" w:rsidRPr="000572D3">
        <w:rPr>
          <w:rFonts w:ascii="Arial" w:hAnsi="Arial" w:cs="Arial"/>
        </w:rPr>
        <w:t xml:space="preserve"> (Storry and Childs, 2022)</w:t>
      </w:r>
      <w:r w:rsidRPr="000572D3">
        <w:rPr>
          <w:rFonts w:ascii="Arial" w:hAnsi="Arial" w:cs="Arial"/>
        </w:rPr>
        <w:t>. These factors thus provide an appropriate platform for Cadbury's wide product offerings and "enjoyment" focus.</w:t>
      </w:r>
    </w:p>
    <w:p w14:paraId="3A51146B" w14:textId="77777777" w:rsidR="007037B5" w:rsidRPr="000572D3" w:rsidRDefault="007037B5" w:rsidP="006A1236">
      <w:pPr>
        <w:rPr>
          <w:rFonts w:ascii="Arial" w:hAnsi="Arial" w:cs="Arial"/>
          <w:b/>
          <w:bCs/>
        </w:rPr>
      </w:pPr>
      <w:r w:rsidRPr="000572D3">
        <w:rPr>
          <w:rFonts w:ascii="Arial" w:hAnsi="Arial" w:cs="Arial"/>
          <w:b/>
          <w:bCs/>
        </w:rPr>
        <w:t>Cuba Cultural Profile</w:t>
      </w:r>
    </w:p>
    <w:tbl>
      <w:tblPr>
        <w:tblStyle w:val="TableGrid"/>
        <w:tblW w:w="5000" w:type="pct"/>
        <w:tblLook w:val="04A0" w:firstRow="1" w:lastRow="0" w:firstColumn="1" w:lastColumn="0" w:noHBand="0" w:noVBand="1"/>
      </w:tblPr>
      <w:tblGrid>
        <w:gridCol w:w="1860"/>
        <w:gridCol w:w="4150"/>
        <w:gridCol w:w="3006"/>
      </w:tblGrid>
      <w:tr w:rsidR="00681D16" w:rsidRPr="000572D3" w14:paraId="117BEF34" w14:textId="77777777" w:rsidTr="000572D3">
        <w:trPr>
          <w:trHeight w:val="359"/>
        </w:trPr>
        <w:tc>
          <w:tcPr>
            <w:tcW w:w="1031" w:type="pct"/>
            <w:shd w:val="clear" w:color="auto" w:fill="9CC2E5" w:themeFill="accent5" w:themeFillTint="99"/>
          </w:tcPr>
          <w:p w14:paraId="106A205E" w14:textId="69FDE8BB" w:rsidR="00681D16" w:rsidRPr="000572D3" w:rsidRDefault="00681D16" w:rsidP="00637502">
            <w:pPr>
              <w:jc w:val="center"/>
              <w:rPr>
                <w:rFonts w:ascii="Arial" w:hAnsi="Arial" w:cs="Arial"/>
                <w:b/>
                <w:bCs/>
              </w:rPr>
            </w:pPr>
            <w:r w:rsidRPr="000572D3">
              <w:rPr>
                <w:rFonts w:ascii="Arial" w:hAnsi="Arial" w:cs="Arial"/>
                <w:b/>
                <w:bCs/>
              </w:rPr>
              <w:lastRenderedPageBreak/>
              <w:t>Dimension</w:t>
            </w:r>
          </w:p>
        </w:tc>
        <w:tc>
          <w:tcPr>
            <w:tcW w:w="2301" w:type="pct"/>
            <w:shd w:val="clear" w:color="auto" w:fill="9CC2E5" w:themeFill="accent5" w:themeFillTint="99"/>
          </w:tcPr>
          <w:p w14:paraId="52688280" w14:textId="7D8A79A6" w:rsidR="00681D16" w:rsidRPr="000572D3" w:rsidRDefault="00681D16" w:rsidP="00637502">
            <w:pPr>
              <w:jc w:val="center"/>
              <w:rPr>
                <w:rFonts w:ascii="Arial" w:hAnsi="Arial" w:cs="Arial"/>
                <w:b/>
                <w:bCs/>
              </w:rPr>
            </w:pPr>
            <w:r w:rsidRPr="000572D3">
              <w:rPr>
                <w:rFonts w:ascii="Arial" w:hAnsi="Arial" w:cs="Arial"/>
                <w:b/>
                <w:bCs/>
              </w:rPr>
              <w:t>International Market Entry Strategy</w:t>
            </w:r>
          </w:p>
        </w:tc>
        <w:tc>
          <w:tcPr>
            <w:tcW w:w="1667" w:type="pct"/>
            <w:shd w:val="clear" w:color="auto" w:fill="9CC2E5" w:themeFill="accent5" w:themeFillTint="99"/>
          </w:tcPr>
          <w:p w14:paraId="0E6345DD" w14:textId="419AC970" w:rsidR="00681D16" w:rsidRPr="000572D3" w:rsidRDefault="00681D16" w:rsidP="00637502">
            <w:pPr>
              <w:jc w:val="center"/>
              <w:rPr>
                <w:rFonts w:ascii="Arial" w:hAnsi="Arial" w:cs="Arial"/>
                <w:b/>
                <w:bCs/>
              </w:rPr>
            </w:pPr>
            <w:r w:rsidRPr="000572D3">
              <w:rPr>
                <w:rFonts w:ascii="Arial" w:hAnsi="Arial" w:cs="Arial"/>
                <w:b/>
                <w:bCs/>
              </w:rPr>
              <w:t>Marketing Mix Analysis</w:t>
            </w:r>
          </w:p>
        </w:tc>
      </w:tr>
      <w:tr w:rsidR="00681D16" w:rsidRPr="000572D3" w14:paraId="0CE08C27" w14:textId="77777777" w:rsidTr="000572D3">
        <w:trPr>
          <w:trHeight w:val="394"/>
        </w:trPr>
        <w:tc>
          <w:tcPr>
            <w:tcW w:w="1031" w:type="pct"/>
          </w:tcPr>
          <w:p w14:paraId="5A944F0B" w14:textId="42968E25" w:rsidR="00681D16" w:rsidRPr="000572D3" w:rsidRDefault="00681D16" w:rsidP="006A1236">
            <w:pPr>
              <w:rPr>
                <w:rFonts w:ascii="Arial" w:hAnsi="Arial" w:cs="Arial"/>
              </w:rPr>
            </w:pPr>
            <w:r w:rsidRPr="000572D3">
              <w:rPr>
                <w:rFonts w:ascii="Arial" w:hAnsi="Arial" w:cs="Arial"/>
              </w:rPr>
              <w:t>Advantage 1</w:t>
            </w:r>
          </w:p>
        </w:tc>
        <w:tc>
          <w:tcPr>
            <w:tcW w:w="2301" w:type="pct"/>
          </w:tcPr>
          <w:p w14:paraId="06A938D5" w14:textId="1D12A466" w:rsidR="00681D16" w:rsidRPr="000572D3" w:rsidRDefault="00681D16" w:rsidP="006A1236">
            <w:pPr>
              <w:rPr>
                <w:rFonts w:ascii="Arial" w:hAnsi="Arial" w:cs="Arial"/>
              </w:rPr>
            </w:pPr>
            <w:r w:rsidRPr="000572D3">
              <w:rPr>
                <w:rFonts w:ascii="Arial" w:hAnsi="Arial" w:cs="Arial"/>
              </w:rPr>
              <w:t>Reduce up-front investment through exporting/licensing</w:t>
            </w:r>
          </w:p>
        </w:tc>
        <w:tc>
          <w:tcPr>
            <w:tcW w:w="1667" w:type="pct"/>
          </w:tcPr>
          <w:p w14:paraId="24F60312" w14:textId="46D0E7AC" w:rsidR="00681D16" w:rsidRPr="000572D3" w:rsidRDefault="00681D16" w:rsidP="006A1236">
            <w:pPr>
              <w:rPr>
                <w:rFonts w:ascii="Arial" w:hAnsi="Arial" w:cs="Arial"/>
              </w:rPr>
            </w:pPr>
            <w:r w:rsidRPr="000572D3">
              <w:rPr>
                <w:rFonts w:ascii="Arial" w:hAnsi="Arial" w:cs="Arial"/>
              </w:rPr>
              <w:t>Personalised products make the product more relevant locally</w:t>
            </w:r>
          </w:p>
        </w:tc>
      </w:tr>
      <w:tr w:rsidR="00681D16" w:rsidRPr="000572D3" w14:paraId="3350EB80" w14:textId="77777777" w:rsidTr="000572D3">
        <w:trPr>
          <w:trHeight w:val="394"/>
        </w:trPr>
        <w:tc>
          <w:tcPr>
            <w:tcW w:w="1031" w:type="pct"/>
          </w:tcPr>
          <w:p w14:paraId="1D6D7A01" w14:textId="12FD1A4E" w:rsidR="00681D16" w:rsidRPr="000572D3" w:rsidRDefault="00681D16" w:rsidP="006A1236">
            <w:pPr>
              <w:rPr>
                <w:rFonts w:ascii="Arial" w:hAnsi="Arial" w:cs="Arial"/>
              </w:rPr>
            </w:pPr>
            <w:r w:rsidRPr="000572D3">
              <w:rPr>
                <w:rFonts w:ascii="Arial" w:hAnsi="Arial" w:cs="Arial"/>
              </w:rPr>
              <w:t>Advantage 2</w:t>
            </w:r>
          </w:p>
        </w:tc>
        <w:tc>
          <w:tcPr>
            <w:tcW w:w="2301" w:type="pct"/>
          </w:tcPr>
          <w:p w14:paraId="0BEE36EF" w14:textId="69A1E041" w:rsidR="00681D16" w:rsidRPr="000572D3" w:rsidRDefault="00681D16" w:rsidP="006A1236">
            <w:pPr>
              <w:rPr>
                <w:rFonts w:ascii="Arial" w:hAnsi="Arial" w:cs="Arial"/>
              </w:rPr>
            </w:pPr>
            <w:r w:rsidRPr="000572D3">
              <w:rPr>
                <w:rFonts w:ascii="Arial" w:hAnsi="Arial" w:cs="Arial"/>
              </w:rPr>
              <w:t>More rapid market penetration through partnerships</w:t>
            </w:r>
          </w:p>
        </w:tc>
        <w:tc>
          <w:tcPr>
            <w:tcW w:w="1667" w:type="pct"/>
          </w:tcPr>
          <w:p w14:paraId="4CBE15A3" w14:textId="438EDCBC" w:rsidR="00681D16" w:rsidRPr="000572D3" w:rsidRDefault="00681D16" w:rsidP="006A1236">
            <w:pPr>
              <w:rPr>
                <w:rFonts w:ascii="Arial" w:hAnsi="Arial" w:cs="Arial"/>
              </w:rPr>
            </w:pPr>
            <w:r w:rsidRPr="000572D3">
              <w:rPr>
                <w:rFonts w:ascii="Arial" w:hAnsi="Arial" w:cs="Arial"/>
              </w:rPr>
              <w:t>Niche segments story: premium pricing possible</w:t>
            </w:r>
          </w:p>
        </w:tc>
      </w:tr>
      <w:tr w:rsidR="00681D16" w:rsidRPr="000572D3" w14:paraId="1C66171B" w14:textId="77777777" w:rsidTr="000572D3">
        <w:trPr>
          <w:trHeight w:val="409"/>
        </w:trPr>
        <w:tc>
          <w:tcPr>
            <w:tcW w:w="1031" w:type="pct"/>
          </w:tcPr>
          <w:p w14:paraId="42676CCF" w14:textId="3FB26225" w:rsidR="00681D16" w:rsidRPr="000572D3" w:rsidRDefault="00681D16" w:rsidP="006A1236">
            <w:pPr>
              <w:rPr>
                <w:rFonts w:ascii="Arial" w:hAnsi="Arial" w:cs="Arial"/>
              </w:rPr>
            </w:pPr>
            <w:r w:rsidRPr="000572D3">
              <w:rPr>
                <w:rFonts w:ascii="Arial" w:hAnsi="Arial" w:cs="Arial"/>
              </w:rPr>
              <w:t>Advantage 3</w:t>
            </w:r>
          </w:p>
        </w:tc>
        <w:tc>
          <w:tcPr>
            <w:tcW w:w="2301" w:type="pct"/>
          </w:tcPr>
          <w:p w14:paraId="14C61CD7" w14:textId="61972962" w:rsidR="00681D16" w:rsidRPr="000572D3" w:rsidRDefault="00681D16" w:rsidP="006A1236">
            <w:pPr>
              <w:rPr>
                <w:rFonts w:ascii="Arial" w:hAnsi="Arial" w:cs="Arial"/>
              </w:rPr>
            </w:pPr>
            <w:r w:rsidRPr="000572D3">
              <w:rPr>
                <w:rFonts w:ascii="Arial" w:hAnsi="Arial" w:cs="Arial"/>
              </w:rPr>
              <w:t>Risk sharing is done with local partners. Local partners participate in risk sharing</w:t>
            </w:r>
          </w:p>
        </w:tc>
        <w:tc>
          <w:tcPr>
            <w:tcW w:w="1667" w:type="pct"/>
          </w:tcPr>
          <w:p w14:paraId="0F4D1D34" w14:textId="4638B9BB" w:rsidR="00681D16" w:rsidRPr="000572D3" w:rsidRDefault="00681D16" w:rsidP="006A1236">
            <w:pPr>
              <w:rPr>
                <w:rFonts w:ascii="Arial" w:hAnsi="Arial" w:cs="Arial"/>
              </w:rPr>
            </w:pPr>
            <w:r w:rsidRPr="000572D3">
              <w:rPr>
                <w:rFonts w:ascii="Arial" w:hAnsi="Arial" w:cs="Arial"/>
              </w:rPr>
              <w:t>Brand consistency in the various markets</w:t>
            </w:r>
          </w:p>
        </w:tc>
      </w:tr>
      <w:tr w:rsidR="00681D16" w:rsidRPr="000572D3" w14:paraId="3747CFEE" w14:textId="77777777" w:rsidTr="000572D3">
        <w:trPr>
          <w:trHeight w:val="394"/>
        </w:trPr>
        <w:tc>
          <w:tcPr>
            <w:tcW w:w="1031" w:type="pct"/>
          </w:tcPr>
          <w:p w14:paraId="139117AA" w14:textId="108624E2" w:rsidR="00681D16" w:rsidRPr="000572D3" w:rsidRDefault="00681D16" w:rsidP="006A1236">
            <w:pPr>
              <w:rPr>
                <w:rFonts w:ascii="Arial" w:hAnsi="Arial" w:cs="Arial"/>
                <w:lang w:val="en-IN"/>
              </w:rPr>
            </w:pPr>
            <w:r w:rsidRPr="000572D3">
              <w:rPr>
                <w:rFonts w:ascii="Arial" w:hAnsi="Arial" w:cs="Arial"/>
                <w:lang w:val="en-IN"/>
              </w:rPr>
              <w:t>Disadvantage 1</w:t>
            </w:r>
          </w:p>
        </w:tc>
        <w:tc>
          <w:tcPr>
            <w:tcW w:w="2301" w:type="pct"/>
          </w:tcPr>
          <w:p w14:paraId="404598B8" w14:textId="6F1E250E" w:rsidR="00681D16" w:rsidRPr="000572D3" w:rsidRDefault="00681D16" w:rsidP="006A1236">
            <w:pPr>
              <w:rPr>
                <w:rFonts w:ascii="Arial" w:hAnsi="Arial" w:cs="Arial"/>
              </w:rPr>
            </w:pPr>
            <w:r w:rsidRPr="000572D3">
              <w:rPr>
                <w:rFonts w:ascii="Arial" w:hAnsi="Arial" w:cs="Arial"/>
              </w:rPr>
              <w:t>Lack of control in system operations</w:t>
            </w:r>
          </w:p>
        </w:tc>
        <w:tc>
          <w:tcPr>
            <w:tcW w:w="1667" w:type="pct"/>
          </w:tcPr>
          <w:p w14:paraId="49009B04" w14:textId="497FD1D7" w:rsidR="00681D16" w:rsidRPr="000572D3" w:rsidRDefault="00681D16" w:rsidP="006A1236">
            <w:pPr>
              <w:rPr>
                <w:rFonts w:ascii="Arial" w:hAnsi="Arial" w:cs="Arial"/>
              </w:rPr>
            </w:pPr>
            <w:r w:rsidRPr="000572D3">
              <w:rPr>
                <w:rFonts w:ascii="Arial" w:hAnsi="Arial" w:cs="Arial"/>
              </w:rPr>
              <w:t>Increased expenses for adaptation</w:t>
            </w:r>
          </w:p>
        </w:tc>
      </w:tr>
      <w:tr w:rsidR="00681D16" w:rsidRPr="000572D3" w14:paraId="4E4F3816" w14:textId="77777777" w:rsidTr="000572D3">
        <w:trPr>
          <w:trHeight w:val="394"/>
        </w:trPr>
        <w:tc>
          <w:tcPr>
            <w:tcW w:w="1031" w:type="pct"/>
          </w:tcPr>
          <w:p w14:paraId="5900B161" w14:textId="6EB3064A" w:rsidR="00681D16" w:rsidRPr="000572D3" w:rsidRDefault="00681D16" w:rsidP="006A1236">
            <w:pPr>
              <w:rPr>
                <w:rFonts w:ascii="Arial" w:hAnsi="Arial" w:cs="Arial"/>
              </w:rPr>
            </w:pPr>
            <w:r w:rsidRPr="000572D3">
              <w:rPr>
                <w:rFonts w:ascii="Arial" w:hAnsi="Arial" w:cs="Arial"/>
              </w:rPr>
              <w:t>Disadvantage 2</w:t>
            </w:r>
          </w:p>
        </w:tc>
        <w:tc>
          <w:tcPr>
            <w:tcW w:w="2301" w:type="pct"/>
          </w:tcPr>
          <w:p w14:paraId="0AA1C0DD" w14:textId="5CE9E8E9" w:rsidR="00681D16" w:rsidRPr="000572D3" w:rsidRDefault="00681D16" w:rsidP="006A1236">
            <w:pPr>
              <w:rPr>
                <w:rFonts w:ascii="Arial" w:hAnsi="Arial" w:cs="Arial"/>
              </w:rPr>
            </w:pPr>
            <w:r w:rsidRPr="000572D3">
              <w:rPr>
                <w:rFonts w:ascii="Arial" w:hAnsi="Arial" w:cs="Arial"/>
              </w:rPr>
              <w:t>Barriers in Cuba: cultural/legal</w:t>
            </w:r>
          </w:p>
        </w:tc>
        <w:tc>
          <w:tcPr>
            <w:tcW w:w="1667" w:type="pct"/>
          </w:tcPr>
          <w:p w14:paraId="7A70A3F7" w14:textId="007B1ADE" w:rsidR="00681D16" w:rsidRPr="000572D3" w:rsidRDefault="00681D16" w:rsidP="006A1236">
            <w:pPr>
              <w:rPr>
                <w:rFonts w:ascii="Arial" w:hAnsi="Arial" w:cs="Arial"/>
              </w:rPr>
            </w:pPr>
            <w:r w:rsidRPr="000572D3">
              <w:rPr>
                <w:rFonts w:ascii="Arial" w:hAnsi="Arial" w:cs="Arial"/>
              </w:rPr>
              <w:t>Difficult regional management of 4Ps.</w:t>
            </w:r>
          </w:p>
        </w:tc>
      </w:tr>
      <w:tr w:rsidR="00681D16" w:rsidRPr="000572D3" w14:paraId="1E731A33" w14:textId="77777777" w:rsidTr="000572D3">
        <w:trPr>
          <w:trHeight w:val="394"/>
        </w:trPr>
        <w:tc>
          <w:tcPr>
            <w:tcW w:w="1031" w:type="pct"/>
          </w:tcPr>
          <w:p w14:paraId="06E0FCE3" w14:textId="2856BC39" w:rsidR="00681D16" w:rsidRPr="000572D3" w:rsidRDefault="00681D16" w:rsidP="006A1236">
            <w:pPr>
              <w:rPr>
                <w:rFonts w:ascii="Arial" w:hAnsi="Arial" w:cs="Arial"/>
              </w:rPr>
            </w:pPr>
            <w:r w:rsidRPr="000572D3">
              <w:rPr>
                <w:rFonts w:ascii="Arial" w:hAnsi="Arial" w:cs="Arial"/>
              </w:rPr>
              <w:t>Disadvantage 3</w:t>
            </w:r>
          </w:p>
        </w:tc>
        <w:tc>
          <w:tcPr>
            <w:tcW w:w="2301" w:type="pct"/>
          </w:tcPr>
          <w:p w14:paraId="00525195" w14:textId="6DA746C9" w:rsidR="00681D16" w:rsidRPr="000572D3" w:rsidRDefault="00681D16" w:rsidP="006A1236">
            <w:pPr>
              <w:rPr>
                <w:rFonts w:ascii="Arial" w:hAnsi="Arial" w:cs="Arial"/>
              </w:rPr>
            </w:pPr>
            <w:r w:rsidRPr="000572D3">
              <w:rPr>
                <w:rFonts w:ascii="Arial" w:hAnsi="Arial" w:cs="Arial"/>
              </w:rPr>
              <w:t>When the Cuban government became unstable</w:t>
            </w:r>
          </w:p>
        </w:tc>
        <w:tc>
          <w:tcPr>
            <w:tcW w:w="1667" w:type="pct"/>
          </w:tcPr>
          <w:p w14:paraId="71106EAF" w14:textId="1A643CC3" w:rsidR="00681D16" w:rsidRPr="000572D3" w:rsidRDefault="00681D16" w:rsidP="006A1236">
            <w:pPr>
              <w:rPr>
                <w:rFonts w:ascii="Arial" w:hAnsi="Arial" w:cs="Arial"/>
              </w:rPr>
            </w:pPr>
            <w:r w:rsidRPr="000572D3">
              <w:rPr>
                <w:rFonts w:ascii="Arial" w:hAnsi="Arial" w:cs="Arial"/>
              </w:rPr>
              <w:t>Risk of possible brand dilution through over-localisation</w:t>
            </w:r>
          </w:p>
        </w:tc>
      </w:tr>
    </w:tbl>
    <w:p w14:paraId="18DBA343" w14:textId="1B91EF1D" w:rsidR="000572D3" w:rsidRPr="000572D3" w:rsidRDefault="000572D3" w:rsidP="000572D3">
      <w:pPr>
        <w:jc w:val="center"/>
        <w:rPr>
          <w:rFonts w:ascii="Arial" w:hAnsi="Arial" w:cs="Arial"/>
          <w:b/>
          <w:lang w:val="en-IN"/>
        </w:rPr>
      </w:pPr>
      <w:r w:rsidRPr="000572D3">
        <w:rPr>
          <w:rFonts w:ascii="Arial" w:hAnsi="Arial" w:cs="Arial"/>
          <w:b/>
          <w:lang w:val="en-IN"/>
        </w:rPr>
        <w:t>Table 2: Comparative Cultural Analysis</w:t>
      </w:r>
    </w:p>
    <w:p w14:paraId="43257595" w14:textId="7999B5AD" w:rsidR="00DC4917" w:rsidRPr="000572D3" w:rsidRDefault="00637502" w:rsidP="006A1236">
      <w:pPr>
        <w:rPr>
          <w:rFonts w:ascii="Arial" w:hAnsi="Arial" w:cs="Arial"/>
          <w:lang w:val="en-IN"/>
        </w:rPr>
      </w:pPr>
      <w:r w:rsidRPr="000572D3">
        <w:rPr>
          <w:rFonts w:ascii="Arial" w:hAnsi="Arial" w:cs="Arial"/>
          <w:lang w:val="en-IN"/>
        </w:rPr>
        <w:t>Comparable behaviours in Culture (UK &amp; Cuba): They equally appreciate chocolate as a celebratory gift, are very family oriented and emotionally connect to brands with heritage and emotion – enabling Cadbury to capitalise on their British heritage whilst tailoring packaging and promotions to the local market.</w:t>
      </w:r>
    </w:p>
    <w:p w14:paraId="53891EFE" w14:textId="03244CFF" w:rsidR="007037B5" w:rsidRPr="000572D3" w:rsidRDefault="007037B5" w:rsidP="006A1236">
      <w:pPr>
        <w:rPr>
          <w:rFonts w:ascii="Arial" w:hAnsi="Arial" w:cs="Arial"/>
        </w:rPr>
      </w:pPr>
      <w:r w:rsidRPr="000572D3">
        <w:rPr>
          <w:rFonts w:ascii="Arial" w:hAnsi="Arial" w:cs="Arial"/>
        </w:rPr>
        <w:t>The Cuban environment is considerably distinct – collectivist tendencies may also make family, social relationships, and community relevant factors in the case of consumers' behaviour. This opens opportunities for Cadbury to use chocolate to celebrate occasions of sharing, giving and socialising, instead of just eating it on its own</w:t>
      </w:r>
      <w:r w:rsidR="00B319E4" w:rsidRPr="000572D3">
        <w:rPr>
          <w:rFonts w:ascii="Arial" w:hAnsi="Arial" w:cs="Arial"/>
        </w:rPr>
        <w:t xml:space="preserve"> (Cearns, 2023)</w:t>
      </w:r>
      <w:r w:rsidRPr="000572D3">
        <w:rPr>
          <w:rFonts w:ascii="Arial" w:hAnsi="Arial" w:cs="Arial"/>
        </w:rPr>
        <w:t xml:space="preserve">. </w:t>
      </w:r>
    </w:p>
    <w:p w14:paraId="4E76D31C" w14:textId="7F5904FC" w:rsidR="007037B5" w:rsidRPr="000572D3" w:rsidRDefault="00405D36" w:rsidP="006A1236">
      <w:pPr>
        <w:rPr>
          <w:rFonts w:ascii="Arial" w:hAnsi="Arial" w:cs="Arial"/>
        </w:rPr>
      </w:pPr>
      <w:r w:rsidRPr="000572D3">
        <w:rPr>
          <w:rFonts w:ascii="Arial" w:hAnsi="Arial" w:cs="Arial"/>
          <w:b/>
          <w:bCs/>
        </w:rPr>
        <w:t>UK–Cuba Cultural Differences and Marketing Implications</w:t>
      </w:r>
    </w:p>
    <w:p w14:paraId="4E68D476" w14:textId="050DD5AF" w:rsidR="007037B5" w:rsidRPr="000572D3" w:rsidRDefault="007037B5" w:rsidP="006A1236">
      <w:pPr>
        <w:rPr>
          <w:rFonts w:ascii="Arial" w:hAnsi="Arial" w:cs="Arial"/>
        </w:rPr>
      </w:pPr>
      <w:r w:rsidRPr="000572D3">
        <w:rPr>
          <w:rFonts w:ascii="Arial" w:hAnsi="Arial" w:cs="Arial"/>
        </w:rPr>
        <w:t xml:space="preserve">The strategic distance relates to the different aspects that have been emphasised in the UK, namely individual autonomy, and in Cuba, where the emphasis is placed on collective and social relationships. In the UK, one area of positioning is to convey the chocolate as only a single indulgence or as a personal treat, while in Cuba it may be </w:t>
      </w:r>
      <w:r w:rsidRPr="000572D3">
        <w:rPr>
          <w:rFonts w:ascii="Arial" w:hAnsi="Arial" w:cs="Arial"/>
        </w:rPr>
        <w:lastRenderedPageBreak/>
        <w:t>more important to emphasise the social element of eating chocolate or sharing it with others</w:t>
      </w:r>
      <w:r w:rsidR="00CA6D52" w:rsidRPr="000572D3">
        <w:rPr>
          <w:rFonts w:ascii="Arial" w:hAnsi="Arial" w:cs="Arial"/>
        </w:rPr>
        <w:t xml:space="preserve"> (Chávez, 2023)</w:t>
      </w:r>
      <w:r w:rsidRPr="000572D3">
        <w:rPr>
          <w:rFonts w:ascii="Arial" w:hAnsi="Arial" w:cs="Arial"/>
        </w:rPr>
        <w:t xml:space="preserve">. Cadbury brand identity needs to remain intact, with an adapted execution in Cuba. Heritage and emotional positioning can be consistent: family, relationships, sharing and giving can be promoted in product formats, packaging and in promotional imagery. </w:t>
      </w:r>
    </w:p>
    <w:p w14:paraId="75207794" w14:textId="254D568F" w:rsidR="002F618C" w:rsidRPr="000572D3" w:rsidRDefault="00D87D13" w:rsidP="00D87D13">
      <w:pPr>
        <w:keepNext/>
        <w:jc w:val="center"/>
        <w:rPr>
          <w:rFonts w:ascii="Arial" w:hAnsi="Arial" w:cs="Arial"/>
        </w:rPr>
      </w:pPr>
      <w:r w:rsidRPr="000572D3">
        <w:rPr>
          <w:rFonts w:ascii="Arial" w:hAnsi="Arial" w:cs="Arial"/>
          <w:noProof/>
          <w:lang w:val="en-US"/>
        </w:rPr>
        <w:drawing>
          <wp:inline distT="0" distB="0" distL="0" distR="0" wp14:anchorId="22FE6C3D" wp14:editId="2CFC0DEA">
            <wp:extent cx="5241533" cy="3211934"/>
            <wp:effectExtent l="76200" t="76200" r="130810"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42179" cy="3212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9354F9" w14:textId="36C2D1F6" w:rsidR="002F618C" w:rsidRPr="000572D3" w:rsidRDefault="002F618C" w:rsidP="002F618C">
      <w:pPr>
        <w:pStyle w:val="Caption"/>
        <w:jc w:val="center"/>
        <w:rPr>
          <w:rFonts w:ascii="Arial" w:hAnsi="Arial" w:cs="Arial"/>
        </w:rPr>
      </w:pPr>
      <w:r w:rsidRPr="000572D3">
        <w:rPr>
          <w:rFonts w:ascii="Arial" w:hAnsi="Arial" w:cs="Arial"/>
        </w:rPr>
        <w:t xml:space="preserve">Figure </w:t>
      </w:r>
      <w:r w:rsidR="000572D3" w:rsidRPr="000572D3">
        <w:rPr>
          <w:rFonts w:ascii="Arial" w:hAnsi="Arial" w:cs="Arial"/>
        </w:rPr>
        <w:t>5</w:t>
      </w:r>
      <w:r w:rsidRPr="000572D3">
        <w:rPr>
          <w:rFonts w:ascii="Arial" w:hAnsi="Arial" w:cs="Arial"/>
        </w:rPr>
        <w:t>:</w:t>
      </w:r>
      <w:r w:rsidR="00D87D13" w:rsidRPr="000572D3">
        <w:rPr>
          <w:rFonts w:ascii="Arial" w:hAnsi="Arial" w:cs="Arial"/>
        </w:rPr>
        <w:t xml:space="preserve"> </w:t>
      </w:r>
      <w:r w:rsidRPr="000572D3">
        <w:rPr>
          <w:rFonts w:ascii="Arial" w:hAnsi="Arial" w:cs="Arial"/>
        </w:rPr>
        <w:t>Country comparison evaluation</w:t>
      </w:r>
    </w:p>
    <w:p w14:paraId="41D55B85" w14:textId="55FDC8B1" w:rsidR="002F618C" w:rsidRPr="000572D3" w:rsidRDefault="002F618C" w:rsidP="002F618C">
      <w:pPr>
        <w:jc w:val="center"/>
        <w:rPr>
          <w:rFonts w:ascii="Arial" w:hAnsi="Arial" w:cs="Arial"/>
        </w:rPr>
      </w:pPr>
      <w:r w:rsidRPr="000572D3">
        <w:rPr>
          <w:rFonts w:ascii="Arial" w:hAnsi="Arial" w:cs="Arial"/>
        </w:rPr>
        <w:t>(Source</w:t>
      </w:r>
      <w:r w:rsidRPr="000572D3">
        <w:rPr>
          <w:rFonts w:ascii="Arial" w:hAnsi="Arial" w:cs="Arial"/>
          <w:lang w:val="en-IN"/>
        </w:rPr>
        <w:t xml:space="preserve">: </w:t>
      </w:r>
      <w:r w:rsidR="00D87D13" w:rsidRPr="000572D3">
        <w:rPr>
          <w:rFonts w:ascii="Arial" w:hAnsi="Arial" w:cs="Arial"/>
          <w:lang w:val="en-IN"/>
        </w:rPr>
        <w:t>Geert Hofstede, 2026</w:t>
      </w:r>
      <w:r w:rsidRPr="000572D3">
        <w:rPr>
          <w:rFonts w:ascii="Arial" w:hAnsi="Arial" w:cs="Arial"/>
          <w:lang w:val="en-IN"/>
        </w:rPr>
        <w:t>)</w:t>
      </w:r>
    </w:p>
    <w:p w14:paraId="3F8DB509" w14:textId="42212616" w:rsidR="007037B5" w:rsidRPr="000572D3" w:rsidRDefault="007037B5" w:rsidP="006A1236">
      <w:pPr>
        <w:rPr>
          <w:rFonts w:ascii="Arial" w:hAnsi="Arial" w:cs="Arial"/>
        </w:rPr>
      </w:pPr>
      <w:r w:rsidRPr="000572D3">
        <w:rPr>
          <w:rFonts w:ascii="Arial" w:hAnsi="Arial" w:cs="Arial"/>
        </w:rPr>
        <w:t>However, pricing cannot be a culture alone due to the economic dynamics that could impact affordability and purchasing behaviour more in Cuba. In this way, Cadbury would still be recognised yet able to satisfy the local expectations. However, adaptation needs to be guided by market research, particularly since cultural dimensions offer strategic direction but do not forecast preference or indicate market acceptance in Cuba</w:t>
      </w:r>
      <w:r w:rsidR="00CA6D52" w:rsidRPr="000572D3">
        <w:rPr>
          <w:rFonts w:ascii="Arial" w:hAnsi="Arial" w:cs="Arial"/>
        </w:rPr>
        <w:t xml:space="preserve"> (Baden and Wilkinson, 2021)</w:t>
      </w:r>
      <w:r w:rsidRPr="000572D3">
        <w:rPr>
          <w:rFonts w:ascii="Arial" w:hAnsi="Arial" w:cs="Arial"/>
        </w:rPr>
        <w:t>.</w:t>
      </w:r>
    </w:p>
    <w:p w14:paraId="18E97C48" w14:textId="73A111E4" w:rsidR="007037B5" w:rsidRPr="000572D3" w:rsidRDefault="007037B5" w:rsidP="006A1236">
      <w:pPr>
        <w:pStyle w:val="Heading1"/>
        <w:spacing w:after="160"/>
        <w:rPr>
          <w:rFonts w:cs="Arial"/>
        </w:rPr>
      </w:pPr>
      <w:bookmarkStart w:id="12" w:name="_Toc237444429"/>
      <w:r w:rsidRPr="000572D3">
        <w:rPr>
          <w:rFonts w:cs="Arial"/>
        </w:rPr>
        <w:lastRenderedPageBreak/>
        <w:t>5. Comparative STP Strategy: UK and Cuba</w:t>
      </w:r>
      <w:bookmarkEnd w:id="12"/>
    </w:p>
    <w:p w14:paraId="1CE37A82" w14:textId="77777777" w:rsidR="007C6B3A" w:rsidRPr="000572D3" w:rsidRDefault="007C6B3A" w:rsidP="006A1236">
      <w:pPr>
        <w:keepNext/>
        <w:jc w:val="center"/>
        <w:rPr>
          <w:rFonts w:ascii="Arial" w:hAnsi="Arial" w:cs="Arial"/>
        </w:rPr>
      </w:pPr>
      <w:r w:rsidRPr="000572D3">
        <w:rPr>
          <w:rFonts w:ascii="Arial" w:hAnsi="Arial" w:cs="Arial"/>
          <w:noProof/>
          <w:lang w:val="en-US"/>
        </w:rPr>
        <w:drawing>
          <wp:inline distT="0" distB="0" distL="0" distR="0" wp14:anchorId="5118C79C" wp14:editId="1EF2604E">
            <wp:extent cx="4086225" cy="3186676"/>
            <wp:effectExtent l="76200" t="76200" r="123825" b="128270"/>
            <wp:docPr id="1789673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673652" name="Picture 1789673652"/>
                    <pic:cNvPicPr/>
                  </pic:nvPicPr>
                  <pic:blipFill>
                    <a:blip r:embed="rId16">
                      <a:extLst>
                        <a:ext uri="{28A0092B-C50C-407E-A947-70E740481C1C}">
                          <a14:useLocalDpi xmlns:a14="http://schemas.microsoft.com/office/drawing/2010/main" val="0"/>
                        </a:ext>
                      </a:extLst>
                    </a:blip>
                    <a:stretch>
                      <a:fillRect/>
                    </a:stretch>
                  </pic:blipFill>
                  <pic:spPr>
                    <a:xfrm>
                      <a:off x="0" y="0"/>
                      <a:ext cx="4089970" cy="31895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666E0F" w14:textId="1FF78640" w:rsidR="007C6B3A" w:rsidRPr="000572D3" w:rsidRDefault="007C6B3A" w:rsidP="006A1236">
      <w:pPr>
        <w:pStyle w:val="Caption"/>
        <w:spacing w:after="160"/>
        <w:jc w:val="center"/>
        <w:rPr>
          <w:rFonts w:ascii="Arial" w:hAnsi="Arial" w:cs="Arial"/>
        </w:rPr>
      </w:pPr>
      <w:r w:rsidRPr="000572D3">
        <w:rPr>
          <w:rFonts w:ascii="Arial" w:hAnsi="Arial" w:cs="Arial"/>
        </w:rPr>
        <w:t xml:space="preserve">Figure </w:t>
      </w:r>
      <w:r w:rsidR="000572D3" w:rsidRPr="000572D3">
        <w:rPr>
          <w:rFonts w:ascii="Arial" w:hAnsi="Arial" w:cs="Arial"/>
        </w:rPr>
        <w:t>6</w:t>
      </w:r>
      <w:r w:rsidRPr="000572D3">
        <w:rPr>
          <w:rFonts w:ascii="Arial" w:hAnsi="Arial" w:cs="Arial"/>
        </w:rPr>
        <w:t>: STP Framework</w:t>
      </w:r>
    </w:p>
    <w:p w14:paraId="48C750B0" w14:textId="7424819C" w:rsidR="007C6B3A" w:rsidRPr="000572D3" w:rsidRDefault="007C6B3A" w:rsidP="006A1236">
      <w:pPr>
        <w:jc w:val="center"/>
        <w:rPr>
          <w:rFonts w:ascii="Arial" w:hAnsi="Arial" w:cs="Arial"/>
        </w:rPr>
      </w:pPr>
      <w:r w:rsidRPr="000572D3">
        <w:rPr>
          <w:rFonts w:ascii="Arial" w:hAnsi="Arial" w:cs="Arial"/>
        </w:rPr>
        <w:t xml:space="preserve">(Source: </w:t>
      </w:r>
      <w:r w:rsidR="00EB4542" w:rsidRPr="000572D3">
        <w:rPr>
          <w:rFonts w:ascii="Arial" w:hAnsi="Arial" w:cs="Arial"/>
        </w:rPr>
        <w:t>Geoghegan, 2019</w:t>
      </w:r>
      <w:r w:rsidRPr="000572D3">
        <w:rPr>
          <w:rFonts w:ascii="Arial" w:hAnsi="Arial" w:cs="Arial"/>
        </w:rPr>
        <w:t>)</w:t>
      </w:r>
    </w:p>
    <w:p w14:paraId="62E0601C" w14:textId="77777777" w:rsidR="007037B5" w:rsidRPr="000572D3" w:rsidRDefault="007037B5" w:rsidP="006A1236">
      <w:pPr>
        <w:pStyle w:val="Heading2"/>
        <w:spacing w:after="160"/>
        <w:rPr>
          <w:rFonts w:cs="Arial"/>
        </w:rPr>
      </w:pPr>
      <w:bookmarkStart w:id="13" w:name="_Toc237444430"/>
      <w:r w:rsidRPr="000572D3">
        <w:rPr>
          <w:rFonts w:cs="Arial"/>
        </w:rPr>
        <w:t>5.1 Segmentation</w:t>
      </w:r>
      <w:bookmarkEnd w:id="13"/>
    </w:p>
    <w:p w14:paraId="54D3F141" w14:textId="77777777" w:rsidR="007037B5" w:rsidRPr="000572D3" w:rsidRDefault="007037B5" w:rsidP="006A1236">
      <w:pPr>
        <w:pStyle w:val="Heading3"/>
        <w:spacing w:after="160"/>
        <w:rPr>
          <w:rFonts w:cs="Arial"/>
        </w:rPr>
      </w:pPr>
      <w:bookmarkStart w:id="14" w:name="_Toc237444431"/>
      <w:r w:rsidRPr="000572D3">
        <w:rPr>
          <w:rFonts w:cs="Arial"/>
        </w:rPr>
        <w:t>5.1.1 Demographic Segmentation</w:t>
      </w:r>
      <w:bookmarkEnd w:id="14"/>
    </w:p>
    <w:p w14:paraId="61DB37B5" w14:textId="6891D167" w:rsidR="007037B5" w:rsidRPr="000572D3" w:rsidRDefault="007037B5" w:rsidP="006A1236">
      <w:pPr>
        <w:rPr>
          <w:rFonts w:ascii="Arial" w:hAnsi="Arial" w:cs="Arial"/>
        </w:rPr>
      </w:pPr>
      <w:r w:rsidRPr="000572D3">
        <w:rPr>
          <w:rFonts w:ascii="Arial" w:hAnsi="Arial" w:cs="Arial"/>
        </w:rPr>
        <w:t>A more selective demographic approach is needed in Cuba. However, the population of Kenya of about 10.94 million people in 2025, combined with negative population growth, does not imply that the Kenyan market is necessarily the same size as expanding mass consumption as can be seen in an emerging market</w:t>
      </w:r>
      <w:r w:rsidR="000C7CB2" w:rsidRPr="000572D3">
        <w:rPr>
          <w:rFonts w:ascii="Arial" w:hAnsi="Arial" w:cs="Arial"/>
        </w:rPr>
        <w:t xml:space="preserve"> (</w:t>
      </w:r>
      <w:proofErr w:type="spellStart"/>
      <w:r w:rsidR="000C7CB2" w:rsidRPr="000572D3">
        <w:rPr>
          <w:rFonts w:ascii="Arial" w:hAnsi="Arial" w:cs="Arial"/>
        </w:rPr>
        <w:t>Dzreke</w:t>
      </w:r>
      <w:proofErr w:type="spellEnd"/>
      <w:r w:rsidR="000C7CB2" w:rsidRPr="000572D3">
        <w:rPr>
          <w:rFonts w:ascii="Arial" w:hAnsi="Arial" w:cs="Arial"/>
        </w:rPr>
        <w:t xml:space="preserve"> and </w:t>
      </w:r>
      <w:proofErr w:type="spellStart"/>
      <w:r w:rsidR="000C7CB2" w:rsidRPr="000572D3">
        <w:rPr>
          <w:rFonts w:ascii="Arial" w:hAnsi="Arial" w:cs="Arial"/>
        </w:rPr>
        <w:t>Dzreke</w:t>
      </w:r>
      <w:proofErr w:type="spellEnd"/>
      <w:r w:rsidR="000C7CB2" w:rsidRPr="000572D3">
        <w:rPr>
          <w:rFonts w:ascii="Arial" w:hAnsi="Arial" w:cs="Arial"/>
        </w:rPr>
        <w:t>, 2026)</w:t>
      </w:r>
      <w:r w:rsidRPr="000572D3">
        <w:rPr>
          <w:rFonts w:ascii="Arial" w:hAnsi="Arial" w:cs="Arial"/>
        </w:rPr>
        <w:t>. More importantly, the income and purchasing power are different and, thus, income becomes a particularly important segmentation variable. Cadbury should therefore identify not only those consumers who appear to have a relatively high income for purchasing relatively expensive goods and services but the entire population, including those whose income level may not be as high as the others when juxtaposed against imported chocolate</w:t>
      </w:r>
      <w:r w:rsidR="000C7CB2" w:rsidRPr="000572D3">
        <w:rPr>
          <w:rFonts w:ascii="Arial" w:hAnsi="Arial" w:cs="Arial"/>
        </w:rPr>
        <w:t xml:space="preserve"> (</w:t>
      </w:r>
      <w:proofErr w:type="spellStart"/>
      <w:r w:rsidR="000C7CB2" w:rsidRPr="000572D3">
        <w:rPr>
          <w:rFonts w:ascii="Arial" w:hAnsi="Arial" w:cs="Arial"/>
        </w:rPr>
        <w:t>Dzreke</w:t>
      </w:r>
      <w:proofErr w:type="spellEnd"/>
      <w:r w:rsidR="000C7CB2" w:rsidRPr="000572D3">
        <w:rPr>
          <w:rFonts w:ascii="Arial" w:hAnsi="Arial" w:cs="Arial"/>
        </w:rPr>
        <w:t xml:space="preserve"> and </w:t>
      </w:r>
      <w:proofErr w:type="spellStart"/>
      <w:r w:rsidR="000C7CB2" w:rsidRPr="000572D3">
        <w:rPr>
          <w:rFonts w:ascii="Arial" w:hAnsi="Arial" w:cs="Arial"/>
        </w:rPr>
        <w:t>Dzreke</w:t>
      </w:r>
      <w:proofErr w:type="spellEnd"/>
      <w:r w:rsidR="000C7CB2" w:rsidRPr="000572D3">
        <w:rPr>
          <w:rFonts w:ascii="Arial" w:hAnsi="Arial" w:cs="Arial"/>
        </w:rPr>
        <w:t>, 2026)</w:t>
      </w:r>
      <w:r w:rsidRPr="000572D3">
        <w:rPr>
          <w:rFonts w:ascii="Arial" w:hAnsi="Arial" w:cs="Arial"/>
        </w:rPr>
        <w:t>.</w:t>
      </w:r>
    </w:p>
    <w:p w14:paraId="24E8D346" w14:textId="77777777" w:rsidR="008F3C3B" w:rsidRPr="000572D3" w:rsidRDefault="008F3C3B" w:rsidP="008F3C3B">
      <w:pPr>
        <w:rPr>
          <w:rFonts w:ascii="Arial" w:hAnsi="Arial" w:cs="Arial"/>
          <w:lang w:val="en-IN"/>
        </w:rPr>
      </w:pPr>
      <w:r w:rsidRPr="000572D3">
        <w:rPr>
          <w:rFonts w:ascii="Arial" w:hAnsi="Arial" w:cs="Arial"/>
          <w:lang w:val="en-IN"/>
        </w:rPr>
        <w:t>For Cadbury, the segmentation was for the countries of the UK and Cuba.</w:t>
      </w:r>
    </w:p>
    <w:p w14:paraId="5DB56B27" w14:textId="13B3B9F0" w:rsidR="008F3C3B" w:rsidRPr="000572D3" w:rsidRDefault="008F3C3B" w:rsidP="006A1236">
      <w:pPr>
        <w:rPr>
          <w:rFonts w:ascii="Arial" w:hAnsi="Arial" w:cs="Arial"/>
          <w:lang w:val="en-IN"/>
        </w:rPr>
      </w:pPr>
      <w:r w:rsidRPr="000572D3">
        <w:rPr>
          <w:rFonts w:ascii="Arial" w:hAnsi="Arial" w:cs="Arial"/>
          <w:lang w:val="en-IN"/>
        </w:rPr>
        <w:lastRenderedPageBreak/>
        <w:t>Cadbury needs to be able to duplicate the segmentation of their consumer base – demographic (age 5–45, middle-to-upper income) and psychographic (consumers who are emotion-driven; who enjoy gifting and celebrations) – across both countries</w:t>
      </w:r>
    </w:p>
    <w:p w14:paraId="31F50694" w14:textId="77777777" w:rsidR="007037B5" w:rsidRPr="000572D3" w:rsidRDefault="007037B5" w:rsidP="006A1236">
      <w:pPr>
        <w:pStyle w:val="Heading3"/>
        <w:spacing w:after="160"/>
        <w:rPr>
          <w:rFonts w:cs="Arial"/>
        </w:rPr>
      </w:pPr>
      <w:bookmarkStart w:id="15" w:name="_Toc237444432"/>
      <w:r w:rsidRPr="000572D3">
        <w:rPr>
          <w:rFonts w:cs="Arial"/>
        </w:rPr>
        <w:t>5.1.2 Geographic Segmentation</w:t>
      </w:r>
      <w:bookmarkEnd w:id="15"/>
    </w:p>
    <w:p w14:paraId="200A1DDB" w14:textId="77777777" w:rsidR="007037B5" w:rsidRPr="000572D3" w:rsidRDefault="007037B5" w:rsidP="006A1236">
      <w:pPr>
        <w:rPr>
          <w:rFonts w:ascii="Arial" w:hAnsi="Arial" w:cs="Arial"/>
        </w:rPr>
      </w:pPr>
      <w:r w:rsidRPr="000572D3">
        <w:rPr>
          <w:rFonts w:ascii="Arial" w:hAnsi="Arial" w:cs="Arial"/>
        </w:rPr>
        <w:t>There is a need in Cuba for some geographical selectivity. Cadbury can initially focus on commercially important towns and cities where consumer access and both tourism activity and modern retail channels are well established; only once these are reached should it look to roll out the product nationally. This will lessen the distribution complexity and assist the brand in testing the demand before expanding more.</w:t>
      </w:r>
    </w:p>
    <w:p w14:paraId="3F2815FA" w14:textId="12EB78CB" w:rsidR="007037B5" w:rsidRPr="000572D3" w:rsidRDefault="007037B5" w:rsidP="006A1236">
      <w:pPr>
        <w:rPr>
          <w:rFonts w:ascii="Arial" w:hAnsi="Arial" w:cs="Arial"/>
        </w:rPr>
      </w:pPr>
      <w:r w:rsidRPr="000572D3">
        <w:rPr>
          <w:rFonts w:ascii="Arial" w:hAnsi="Arial" w:cs="Arial"/>
        </w:rPr>
        <w:t>A national market is not necessarily homogeneous, and geographic segmentation can therefore play a strategic role. However, the attractiveness of a location in Cuba will depend not only on the size of the population, but also on both the purchasing power and retail infrastructure and the tourism activity that can be established along with the ability to hold the product quality through the distribution chain</w:t>
      </w:r>
      <w:r w:rsidR="004A491B" w:rsidRPr="000572D3">
        <w:rPr>
          <w:rFonts w:ascii="Arial" w:hAnsi="Arial" w:cs="Arial"/>
        </w:rPr>
        <w:t xml:space="preserve"> (Thomas and George, 2021)</w:t>
      </w:r>
      <w:r w:rsidRPr="000572D3">
        <w:rPr>
          <w:rFonts w:ascii="Arial" w:hAnsi="Arial" w:cs="Arial"/>
        </w:rPr>
        <w:t>.</w:t>
      </w:r>
    </w:p>
    <w:p w14:paraId="7FDFF33B" w14:textId="77777777" w:rsidR="007037B5" w:rsidRPr="000572D3" w:rsidRDefault="007037B5" w:rsidP="006A1236">
      <w:pPr>
        <w:pStyle w:val="Heading3"/>
        <w:spacing w:after="160"/>
        <w:rPr>
          <w:rFonts w:cs="Arial"/>
        </w:rPr>
      </w:pPr>
      <w:bookmarkStart w:id="16" w:name="_Toc237444433"/>
      <w:r w:rsidRPr="000572D3">
        <w:rPr>
          <w:rFonts w:cs="Arial"/>
        </w:rPr>
        <w:t>5.1.4 Behavioural Segmentation</w:t>
      </w:r>
      <w:bookmarkEnd w:id="16"/>
    </w:p>
    <w:p w14:paraId="4D830F5A" w14:textId="1F914E66" w:rsidR="007037B5" w:rsidRPr="000572D3" w:rsidRDefault="007037B5" w:rsidP="006A1236">
      <w:pPr>
        <w:rPr>
          <w:rFonts w:ascii="Arial" w:hAnsi="Arial" w:cs="Arial"/>
        </w:rPr>
      </w:pPr>
      <w:r w:rsidRPr="000572D3">
        <w:rPr>
          <w:rFonts w:ascii="Arial" w:hAnsi="Arial" w:cs="Arial"/>
        </w:rPr>
        <w:t>Behavioural segmentation offers still another classification of the two markets. Cadbury is well known in the UK, and has a loyal customer base. Consumers have the opportunity to buy products for daily use, spontaneous events, as gifts, and to share. Food is consumed by everyone, and Cadbury's own product portfolio expressly names the gifting and sharing moments</w:t>
      </w:r>
      <w:r w:rsidR="00116238" w:rsidRPr="000572D3">
        <w:rPr>
          <w:rFonts w:ascii="Arial" w:hAnsi="Arial" w:cs="Arial"/>
        </w:rPr>
        <w:t xml:space="preserve"> (Rani </w:t>
      </w:r>
      <w:r w:rsidR="00116238" w:rsidRPr="000572D3">
        <w:rPr>
          <w:rFonts w:ascii="Arial" w:hAnsi="Arial" w:cs="Arial"/>
          <w:i/>
          <w:iCs/>
        </w:rPr>
        <w:t>et al.,</w:t>
      </w:r>
      <w:r w:rsidR="00116238" w:rsidRPr="000572D3">
        <w:rPr>
          <w:rFonts w:ascii="Arial" w:hAnsi="Arial" w:cs="Arial"/>
        </w:rPr>
        <w:t xml:space="preserve"> 2024)</w:t>
      </w:r>
      <w:r w:rsidRPr="000572D3">
        <w:rPr>
          <w:rFonts w:ascii="Arial" w:hAnsi="Arial" w:cs="Arial"/>
        </w:rPr>
        <w:t>.</w:t>
      </w:r>
    </w:p>
    <w:p w14:paraId="37F0BF58" w14:textId="77777777" w:rsidR="007037B5" w:rsidRPr="000572D3" w:rsidRDefault="007037B5" w:rsidP="006A1236">
      <w:pPr>
        <w:rPr>
          <w:rFonts w:ascii="Arial" w:hAnsi="Arial" w:cs="Arial"/>
        </w:rPr>
      </w:pPr>
      <w:r w:rsidRPr="000572D3">
        <w:rPr>
          <w:rFonts w:ascii="Arial" w:hAnsi="Arial" w:cs="Arial"/>
        </w:rPr>
        <w:t>However, behavioural segmentation should start with occasion purchasing and selective buying, rather than high frequency mass buying, in Cuba. Opportunities could be gift giving, socialising and tourism-related buying. Smaller pack formats also may decrease price sensitivity, a factor that is likely to be particularly key.</w:t>
      </w:r>
    </w:p>
    <w:p w14:paraId="5F51CAD3" w14:textId="468671DC" w:rsidR="00A5278B" w:rsidRPr="000572D3" w:rsidRDefault="00A5278B" w:rsidP="00A5278B">
      <w:pPr>
        <w:pStyle w:val="Heading3"/>
      </w:pPr>
      <w:bookmarkStart w:id="17" w:name="_Toc237444434"/>
      <w:r w:rsidRPr="000572D3">
        <w:t xml:space="preserve">5.1.5 </w:t>
      </w:r>
      <w:r w:rsidRPr="000572D3">
        <w:rPr>
          <w:lang w:val="en-IN"/>
        </w:rPr>
        <w:t>Psychographic segmentation</w:t>
      </w:r>
      <w:bookmarkEnd w:id="17"/>
    </w:p>
    <w:p w14:paraId="5DBADB0D" w14:textId="77777777" w:rsidR="00A5278B" w:rsidRPr="000572D3" w:rsidRDefault="00A5278B" w:rsidP="00A5278B">
      <w:pPr>
        <w:rPr>
          <w:rFonts w:ascii="Arial" w:hAnsi="Arial" w:cs="Arial"/>
          <w:lang w:val="en-IN"/>
        </w:rPr>
      </w:pPr>
      <w:r w:rsidRPr="000572D3">
        <w:rPr>
          <w:rFonts w:ascii="Arial" w:hAnsi="Arial" w:cs="Arial"/>
          <w:lang w:val="en-IN"/>
        </w:rPr>
        <w:t>The VALS Typology is basically a psychographic segmentation analysis.</w:t>
      </w:r>
    </w:p>
    <w:p w14:paraId="73D21614" w14:textId="145E62CA" w:rsidR="00A5278B" w:rsidRPr="000572D3" w:rsidRDefault="00A5278B" w:rsidP="006A1236">
      <w:pPr>
        <w:rPr>
          <w:rFonts w:ascii="Arial" w:hAnsi="Arial" w:cs="Arial"/>
          <w:lang w:val="en-IN"/>
        </w:rPr>
      </w:pPr>
      <w:r w:rsidRPr="000572D3">
        <w:rPr>
          <w:rFonts w:ascii="Arial" w:hAnsi="Arial" w:cs="Arial"/>
          <w:lang w:val="en-IN"/>
        </w:rPr>
        <w:t xml:space="preserve">Cadbury should focus on the Achievers (status-oriented, premium givers) and Experiencers (very young, novelty seekers) in both countries that are focused on </w:t>
      </w:r>
      <w:r w:rsidRPr="000572D3">
        <w:rPr>
          <w:rFonts w:ascii="Arial" w:hAnsi="Arial" w:cs="Arial"/>
          <w:lang w:val="en-IN"/>
        </w:rPr>
        <w:lastRenderedPageBreak/>
        <w:t>achievement and self-expression, and they do not lack resources for buying indulgent chocolate products</w:t>
      </w:r>
    </w:p>
    <w:p w14:paraId="29E97008" w14:textId="77777777" w:rsidR="007037B5" w:rsidRPr="000572D3" w:rsidRDefault="007037B5" w:rsidP="006A1236">
      <w:pPr>
        <w:pStyle w:val="Heading2"/>
        <w:spacing w:after="160"/>
        <w:rPr>
          <w:rFonts w:cs="Arial"/>
        </w:rPr>
      </w:pPr>
      <w:bookmarkStart w:id="18" w:name="_Toc237444435"/>
      <w:r w:rsidRPr="000572D3">
        <w:rPr>
          <w:rFonts w:cs="Arial"/>
        </w:rPr>
        <w:t>5.2 Targeting</w:t>
      </w:r>
      <w:bookmarkEnd w:id="18"/>
    </w:p>
    <w:p w14:paraId="52B497B3" w14:textId="2350E2E7" w:rsidR="007037B5" w:rsidRPr="000572D3" w:rsidRDefault="007037B5" w:rsidP="006A1236">
      <w:pPr>
        <w:rPr>
          <w:rFonts w:ascii="Arial" w:hAnsi="Arial" w:cs="Arial"/>
        </w:rPr>
      </w:pPr>
      <w:r w:rsidRPr="000572D3">
        <w:rPr>
          <w:rFonts w:ascii="Arial" w:hAnsi="Arial" w:cs="Arial"/>
        </w:rPr>
        <w:t>However, Cadbury's UK targeting can be done in a relatively broad way, as the brand awareness is well-established and Cadbury's has a portfolio of a great number of brands. The brand can cater to multiple segments with different products, pack sizes, flavours and consumption occasions</w:t>
      </w:r>
      <w:r w:rsidR="00116238" w:rsidRPr="000572D3">
        <w:rPr>
          <w:rFonts w:ascii="Arial" w:hAnsi="Arial" w:cs="Arial"/>
        </w:rPr>
        <w:t xml:space="preserve"> (Mishra and Vijay, 2023)</w:t>
      </w:r>
      <w:r w:rsidRPr="000572D3">
        <w:rPr>
          <w:rFonts w:ascii="Arial" w:hAnsi="Arial" w:cs="Arial"/>
        </w:rPr>
        <w:t xml:space="preserve">. For instance, there is a range of Dairy Milk products in different formats and flavours </w:t>
      </w:r>
      <w:r w:rsidR="00EB4542" w:rsidRPr="000572D3">
        <w:rPr>
          <w:rFonts w:ascii="Arial" w:hAnsi="Arial" w:cs="Arial"/>
        </w:rPr>
        <w:t xml:space="preserve">and </w:t>
      </w:r>
      <w:r w:rsidRPr="000572D3">
        <w:rPr>
          <w:rFonts w:ascii="Arial" w:hAnsi="Arial" w:cs="Arial"/>
        </w:rPr>
        <w:t>Cadbury's own range, which includes gift-sharing products.</w:t>
      </w:r>
    </w:p>
    <w:p w14:paraId="197C2609" w14:textId="14314958" w:rsidR="00A5278B" w:rsidRPr="000572D3" w:rsidRDefault="00A5278B" w:rsidP="006A1236">
      <w:pPr>
        <w:rPr>
          <w:rFonts w:ascii="Arial" w:hAnsi="Arial" w:cs="Arial"/>
        </w:rPr>
      </w:pPr>
      <w:r w:rsidRPr="000572D3">
        <w:rPr>
          <w:rFonts w:ascii="Arial" w:hAnsi="Arial" w:cs="Arial"/>
        </w:rPr>
        <w:t>Cadbury's in India and in the UK are differentiated on both products and promotions; the former towards youth and families (with affordable packs and festival promotions) whilst the latter towards the premium adult gift market (Silk and seasonal versions) but has a strong core concept and brand appeal.</w:t>
      </w:r>
    </w:p>
    <w:p w14:paraId="752C8C5C" w14:textId="593F904C" w:rsidR="007037B5" w:rsidRPr="000572D3" w:rsidRDefault="007037B5" w:rsidP="006A1236">
      <w:pPr>
        <w:rPr>
          <w:rFonts w:ascii="Arial" w:hAnsi="Arial" w:cs="Arial"/>
        </w:rPr>
      </w:pPr>
      <w:r w:rsidRPr="000572D3">
        <w:rPr>
          <w:rFonts w:ascii="Arial" w:hAnsi="Arial" w:cs="Arial"/>
        </w:rPr>
        <w:t>The strength of this wide target is that Cadbury is able to stimulate the interest of their customers on multiple occasions, and is not relying on one niche only. But the fact that the UK market is starting to mature also suggests that general targeting is unlikely to have much impact in delivering differentiation.</w:t>
      </w:r>
    </w:p>
    <w:p w14:paraId="4911998F" w14:textId="77777777" w:rsidR="007037B5" w:rsidRPr="000572D3" w:rsidRDefault="007037B5" w:rsidP="006A1236">
      <w:pPr>
        <w:pStyle w:val="Heading2"/>
        <w:spacing w:after="160"/>
        <w:rPr>
          <w:rFonts w:cs="Arial"/>
        </w:rPr>
      </w:pPr>
      <w:bookmarkStart w:id="19" w:name="_Toc237444436"/>
      <w:r w:rsidRPr="000572D3">
        <w:rPr>
          <w:rFonts w:cs="Arial"/>
        </w:rPr>
        <w:t>5.3 Positioning</w:t>
      </w:r>
      <w:bookmarkEnd w:id="19"/>
    </w:p>
    <w:p w14:paraId="1413DED9" w14:textId="3D21FB5B" w:rsidR="007037B5" w:rsidRPr="000572D3" w:rsidRDefault="007037B5" w:rsidP="006A1236">
      <w:pPr>
        <w:rPr>
          <w:rFonts w:ascii="Arial" w:hAnsi="Arial" w:cs="Arial"/>
        </w:rPr>
      </w:pPr>
      <w:r w:rsidRPr="000572D3">
        <w:rPr>
          <w:rFonts w:ascii="Arial" w:hAnsi="Arial" w:cs="Arial"/>
        </w:rPr>
        <w:t xml:space="preserve">Cadbury has a familiar heritage brand identity in the United Kingdom: a classic, tasty and emotional brand. Dairy Milk's strong tie-in with traditional Cadbury chocolate experience is balanced by the breadth of the portfolio, which offers the brand an opportunity to target indulgent consumption, </w:t>
      </w:r>
      <w:r w:rsidR="00EB4542" w:rsidRPr="000572D3">
        <w:rPr>
          <w:rFonts w:ascii="Arial" w:hAnsi="Arial" w:cs="Arial"/>
        </w:rPr>
        <w:t>and</w:t>
      </w:r>
      <w:r w:rsidRPr="000572D3">
        <w:rPr>
          <w:rFonts w:ascii="Arial" w:hAnsi="Arial" w:cs="Arial"/>
        </w:rPr>
        <w:t xml:space="preserve"> sharing and gifting moments.</w:t>
      </w:r>
    </w:p>
    <w:p w14:paraId="40D11452" w14:textId="77777777" w:rsidR="007037B5" w:rsidRPr="000572D3" w:rsidRDefault="007037B5" w:rsidP="006A1236">
      <w:pPr>
        <w:pStyle w:val="Heading2"/>
        <w:spacing w:after="160"/>
        <w:rPr>
          <w:rFonts w:cs="Arial"/>
        </w:rPr>
      </w:pPr>
      <w:bookmarkStart w:id="20" w:name="_Toc237444437"/>
      <w:r w:rsidRPr="000572D3">
        <w:rPr>
          <w:rFonts w:cs="Arial"/>
        </w:rPr>
        <w:t>5.4 Perceptual Positioning</w:t>
      </w:r>
      <w:bookmarkEnd w:id="20"/>
    </w:p>
    <w:p w14:paraId="300564EF" w14:textId="77777777" w:rsidR="007037B5" w:rsidRPr="000572D3" w:rsidRDefault="007037B5" w:rsidP="006A1236">
      <w:pPr>
        <w:rPr>
          <w:rFonts w:ascii="Arial" w:hAnsi="Arial" w:cs="Arial"/>
        </w:rPr>
      </w:pPr>
      <w:r w:rsidRPr="000572D3">
        <w:rPr>
          <w:rFonts w:ascii="Arial" w:hAnsi="Arial" w:cs="Arial"/>
        </w:rPr>
        <w:t>Figure 6 shows the perceptual map position Cadbury was aiming for in the UK market, together with the position Cadbury proposed for the Cuban market.</w:t>
      </w:r>
    </w:p>
    <w:p w14:paraId="1526FC26" w14:textId="76858FC3" w:rsidR="00A5278B" w:rsidRPr="000572D3" w:rsidRDefault="00A5278B" w:rsidP="006A1236">
      <w:pPr>
        <w:rPr>
          <w:rFonts w:ascii="Arial" w:hAnsi="Arial" w:cs="Arial"/>
        </w:rPr>
      </w:pPr>
      <w:r w:rsidRPr="000572D3">
        <w:rPr>
          <w:rFonts w:ascii="Arial" w:hAnsi="Arial" w:cs="Arial"/>
        </w:rPr>
        <w:t xml:space="preserve">The perceptual area of the market: Cadbury gives emotional positioning in India “Kuch Meetha Ho </w:t>
      </w:r>
      <w:proofErr w:type="spellStart"/>
      <w:r w:rsidRPr="000572D3">
        <w:rPr>
          <w:rFonts w:ascii="Arial" w:hAnsi="Arial" w:cs="Arial"/>
        </w:rPr>
        <w:t>Jaaye</w:t>
      </w:r>
      <w:proofErr w:type="spellEnd"/>
      <w:r w:rsidRPr="000572D3">
        <w:rPr>
          <w:rFonts w:ascii="Arial" w:hAnsi="Arial" w:cs="Arial"/>
        </w:rPr>
        <w:t>” while it gets placed in the UK in a different way “Generosity” high in quality/affordability and low (down) in competitor positioning on their perceptual map.</w:t>
      </w:r>
    </w:p>
    <w:p w14:paraId="59FDE1D1" w14:textId="79081A54" w:rsidR="007037B5" w:rsidRPr="000572D3" w:rsidRDefault="007037B5" w:rsidP="006A1236">
      <w:pPr>
        <w:rPr>
          <w:rFonts w:ascii="Arial" w:hAnsi="Arial" w:cs="Arial"/>
        </w:rPr>
      </w:pPr>
      <w:r w:rsidRPr="000572D3">
        <w:rPr>
          <w:rFonts w:ascii="Arial" w:hAnsi="Arial" w:cs="Arial"/>
        </w:rPr>
        <w:lastRenderedPageBreak/>
        <w:t xml:space="preserve">A perceptual map, using the dimensions of price seen and </w:t>
      </w:r>
      <w:r w:rsidR="005301A6" w:rsidRPr="000572D3">
        <w:rPr>
          <w:rFonts w:ascii="Arial" w:hAnsi="Arial" w:cs="Arial"/>
        </w:rPr>
        <w:t>preimmunises</w:t>
      </w:r>
      <w:r w:rsidRPr="000572D3">
        <w:rPr>
          <w:rFonts w:ascii="Arial" w:hAnsi="Arial" w:cs="Arial"/>
        </w:rPr>
        <w:t>, equated with brand familiarity and emotional appeal, may be used to illustrate the proposed strategic position. Cadbury is relatively easily accessible for the following reasons in the UK: Cadbury is widely recognised and is widely available</w:t>
      </w:r>
      <w:r w:rsidR="00E704FF" w:rsidRPr="000572D3">
        <w:rPr>
          <w:rFonts w:ascii="Arial" w:hAnsi="Arial" w:cs="Arial"/>
        </w:rPr>
        <w:t xml:space="preserve"> (Sondhi and Chawla, 2021)</w:t>
      </w:r>
      <w:r w:rsidRPr="000572D3">
        <w:rPr>
          <w:rFonts w:ascii="Arial" w:hAnsi="Arial" w:cs="Arial"/>
        </w:rPr>
        <w:t>. However, in Cuba, the fact that it is being imported and also distribution expenses might result in a higher perceived premium status.</w:t>
      </w:r>
    </w:p>
    <w:p w14:paraId="7BCCE337" w14:textId="77777777" w:rsidR="007037B5" w:rsidRPr="000572D3" w:rsidRDefault="007037B5" w:rsidP="006A1236">
      <w:pPr>
        <w:rPr>
          <w:rFonts w:ascii="Arial" w:hAnsi="Arial" w:cs="Arial"/>
        </w:rPr>
      </w:pPr>
      <w:r w:rsidRPr="000572D3">
        <w:rPr>
          <w:rFonts w:ascii="Arial" w:hAnsi="Arial" w:cs="Arial"/>
        </w:rPr>
        <w:t>Therefore, moving Cadbury into a higher and higher perceived quality and high emotional value, whilst keeping costs low and competitive, would be a strategic target. This helps Cadbury to look less like a luxury offering and helps to differentiate itself based on its British heritage.</w:t>
      </w:r>
    </w:p>
    <w:p w14:paraId="7E35C271" w14:textId="540C00F8" w:rsidR="007037B5" w:rsidRPr="000572D3" w:rsidRDefault="00EB4542" w:rsidP="006A1236">
      <w:pPr>
        <w:pStyle w:val="Heading1"/>
        <w:spacing w:after="160"/>
        <w:rPr>
          <w:rFonts w:cs="Arial"/>
        </w:rPr>
      </w:pPr>
      <w:bookmarkStart w:id="21" w:name="_Toc237444438"/>
      <w:r w:rsidRPr="000572D3">
        <w:rPr>
          <w:rFonts w:cs="Arial"/>
        </w:rPr>
        <w:t xml:space="preserve">6. </w:t>
      </w:r>
      <w:r w:rsidR="007037B5" w:rsidRPr="000572D3">
        <w:rPr>
          <w:rFonts w:cs="Arial"/>
        </w:rPr>
        <w:t>Comparative International Marketing Mix: 7Ps</w:t>
      </w:r>
      <w:bookmarkEnd w:id="21"/>
    </w:p>
    <w:p w14:paraId="55CFC06B" w14:textId="77777777" w:rsidR="00E704FF" w:rsidRPr="000572D3" w:rsidRDefault="00E704FF" w:rsidP="006A1236">
      <w:pPr>
        <w:keepNext/>
        <w:jc w:val="center"/>
        <w:rPr>
          <w:rFonts w:ascii="Arial" w:hAnsi="Arial" w:cs="Arial"/>
        </w:rPr>
      </w:pPr>
      <w:r w:rsidRPr="000572D3">
        <w:rPr>
          <w:rFonts w:ascii="Arial" w:hAnsi="Arial" w:cs="Arial"/>
          <w:noProof/>
          <w:lang w:val="en-US"/>
        </w:rPr>
        <w:drawing>
          <wp:inline distT="0" distB="0" distL="0" distR="0" wp14:anchorId="07EA30EF" wp14:editId="602714C1">
            <wp:extent cx="4514850" cy="4463329"/>
            <wp:effectExtent l="0" t="0" r="0" b="0"/>
            <wp:docPr id="1726420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42007" name="Picture 17264200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18505" cy="4466942"/>
                    </a:xfrm>
                    <a:prstGeom prst="rect">
                      <a:avLst/>
                    </a:prstGeom>
                  </pic:spPr>
                </pic:pic>
              </a:graphicData>
            </a:graphic>
          </wp:inline>
        </w:drawing>
      </w:r>
    </w:p>
    <w:p w14:paraId="385DAF73" w14:textId="4CFFA828" w:rsidR="00E704FF" w:rsidRPr="000572D3" w:rsidRDefault="00E704FF" w:rsidP="006A1236">
      <w:pPr>
        <w:pStyle w:val="Caption"/>
        <w:spacing w:after="160"/>
        <w:jc w:val="center"/>
        <w:rPr>
          <w:rFonts w:ascii="Arial" w:hAnsi="Arial" w:cs="Arial"/>
        </w:rPr>
      </w:pPr>
      <w:r w:rsidRPr="000572D3">
        <w:rPr>
          <w:rFonts w:ascii="Arial" w:hAnsi="Arial" w:cs="Arial"/>
        </w:rPr>
        <w:t xml:space="preserve">Figure </w:t>
      </w:r>
      <w:r w:rsidR="000572D3" w:rsidRPr="000572D3">
        <w:rPr>
          <w:rFonts w:ascii="Arial" w:hAnsi="Arial" w:cs="Arial"/>
        </w:rPr>
        <w:t>7</w:t>
      </w:r>
      <w:r w:rsidRPr="000572D3">
        <w:rPr>
          <w:rFonts w:ascii="Arial" w:hAnsi="Arial" w:cs="Arial"/>
        </w:rPr>
        <w:t>: Marketing Mix 7Ps</w:t>
      </w:r>
    </w:p>
    <w:p w14:paraId="4245B675" w14:textId="38EC5799" w:rsidR="00E704FF" w:rsidRPr="000572D3" w:rsidRDefault="00E704FF" w:rsidP="006A1236">
      <w:pPr>
        <w:jc w:val="center"/>
        <w:rPr>
          <w:rFonts w:ascii="Arial" w:hAnsi="Arial" w:cs="Arial"/>
        </w:rPr>
      </w:pPr>
      <w:r w:rsidRPr="000572D3">
        <w:rPr>
          <w:rFonts w:ascii="Arial" w:hAnsi="Arial" w:cs="Arial"/>
        </w:rPr>
        <w:t xml:space="preserve">(Source: </w:t>
      </w:r>
      <w:r w:rsidR="000D6EB4" w:rsidRPr="000572D3">
        <w:rPr>
          <w:rFonts w:ascii="Arial" w:hAnsi="Arial" w:cs="Arial"/>
        </w:rPr>
        <w:t>Aujla, 2022</w:t>
      </w:r>
      <w:r w:rsidRPr="000572D3">
        <w:rPr>
          <w:rFonts w:ascii="Arial" w:hAnsi="Arial" w:cs="Arial"/>
        </w:rPr>
        <w:t>)</w:t>
      </w:r>
    </w:p>
    <w:p w14:paraId="6F7166DA" w14:textId="004A2AEE" w:rsidR="007037B5" w:rsidRPr="000572D3" w:rsidRDefault="007037B5" w:rsidP="006A1236">
      <w:pPr>
        <w:pStyle w:val="Heading2"/>
        <w:spacing w:after="160"/>
        <w:rPr>
          <w:rFonts w:cs="Arial"/>
        </w:rPr>
      </w:pPr>
      <w:bookmarkStart w:id="22" w:name="_Toc237444439"/>
      <w:r w:rsidRPr="000572D3">
        <w:rPr>
          <w:rFonts w:cs="Arial"/>
        </w:rPr>
        <w:lastRenderedPageBreak/>
        <w:t>6.1 Product</w:t>
      </w:r>
      <w:bookmarkEnd w:id="22"/>
    </w:p>
    <w:p w14:paraId="6C83B87F" w14:textId="6F173E5D" w:rsidR="007037B5" w:rsidRPr="000572D3" w:rsidRDefault="007037B5" w:rsidP="006A1236">
      <w:pPr>
        <w:rPr>
          <w:rFonts w:ascii="Arial" w:hAnsi="Arial" w:cs="Arial"/>
        </w:rPr>
      </w:pPr>
      <w:r w:rsidRPr="000572D3">
        <w:rPr>
          <w:rFonts w:ascii="Arial" w:hAnsi="Arial" w:cs="Arial"/>
        </w:rPr>
        <w:t xml:space="preserve">Cadbury has a wide range of products that can meet various preferences in the UK. Dairy Milk offers sharing milk, </w:t>
      </w:r>
      <w:r w:rsidR="00EB4542" w:rsidRPr="000572D3">
        <w:rPr>
          <w:rFonts w:ascii="Arial" w:hAnsi="Arial" w:cs="Arial"/>
        </w:rPr>
        <w:t xml:space="preserve">and </w:t>
      </w:r>
      <w:r w:rsidRPr="000572D3">
        <w:rPr>
          <w:rFonts w:ascii="Arial" w:hAnsi="Arial" w:cs="Arial"/>
        </w:rPr>
        <w:t>various flavours and forms. First, Cadbury in Cuba should consider a product portfolio consisting of well-known brands like Dairy Milk. Smaller forms may make purchasing them more affordable</w:t>
      </w:r>
      <w:r w:rsidR="000D6EB4" w:rsidRPr="000572D3">
        <w:rPr>
          <w:rFonts w:ascii="Arial" w:hAnsi="Arial" w:cs="Arial"/>
        </w:rPr>
        <w:t xml:space="preserve"> (Aujla, 2022)</w:t>
      </w:r>
      <w:r w:rsidRPr="000572D3">
        <w:rPr>
          <w:rFonts w:ascii="Arial" w:hAnsi="Arial" w:cs="Arial"/>
        </w:rPr>
        <w:t>. The possibility of sharing products may contribute to social occasions.</w:t>
      </w:r>
      <w:r w:rsidR="00635A3C" w:rsidRPr="000572D3">
        <w:rPr>
          <w:rFonts w:ascii="Arial" w:hAnsi="Arial" w:cs="Arial"/>
        </w:rPr>
        <w:t xml:space="preserve"> Penetration pricing for India (pack price is between Rs 5 and Rs 20), Premium pricing for the UK. These costs, coupled with falling income, had an impact on those affected.</w:t>
      </w:r>
      <w:r w:rsidR="00635A3C" w:rsidRPr="000572D3">
        <w:rPr>
          <w:color w:val="000000"/>
        </w:rPr>
        <w:t xml:space="preserve"> D</w:t>
      </w:r>
      <w:r w:rsidR="00635A3C" w:rsidRPr="000572D3">
        <w:rPr>
          <w:rFonts w:ascii="Arial" w:hAnsi="Arial" w:cs="Arial"/>
        </w:rPr>
        <w:t xml:space="preserve">eep line-filling (Dairy Milk variants, Silk, Bournville); brand extensions (Oreo collaborations, thank you bars). </w:t>
      </w:r>
    </w:p>
    <w:p w14:paraId="1449D15B" w14:textId="77777777" w:rsidR="007037B5" w:rsidRPr="000572D3" w:rsidRDefault="007037B5" w:rsidP="006A1236">
      <w:pPr>
        <w:pStyle w:val="Heading2"/>
        <w:spacing w:after="160"/>
        <w:rPr>
          <w:rFonts w:cs="Arial"/>
        </w:rPr>
      </w:pPr>
      <w:bookmarkStart w:id="23" w:name="_Toc237444440"/>
      <w:r w:rsidRPr="000572D3">
        <w:rPr>
          <w:rFonts w:cs="Arial"/>
        </w:rPr>
        <w:t>6.2 Price</w:t>
      </w:r>
      <w:bookmarkEnd w:id="23"/>
    </w:p>
    <w:p w14:paraId="6EF15537" w14:textId="77777777" w:rsidR="007037B5" w:rsidRPr="000572D3" w:rsidRDefault="007037B5" w:rsidP="006A1236">
      <w:pPr>
        <w:rPr>
          <w:rFonts w:ascii="Arial" w:hAnsi="Arial" w:cs="Arial"/>
        </w:rPr>
      </w:pPr>
      <w:r w:rsidRPr="000572D3">
        <w:rPr>
          <w:rFonts w:ascii="Arial" w:hAnsi="Arial" w:cs="Arial"/>
        </w:rPr>
        <w:t>One key difference between the markets is the price. Customers in the UK can find different size packs and offers. Purchasing power is of special critical importance in Cuba because of its limitations. Therefore, a 'tiered pricing' approach should be adopted with smaller pack formats to provide entry-level pricing and larger packs to be used as pricier gifts, or suitable for more affluent consumers.</w:t>
      </w:r>
    </w:p>
    <w:p w14:paraId="3B5F11EC" w14:textId="77777777" w:rsidR="007037B5" w:rsidRPr="000572D3" w:rsidRDefault="007037B5" w:rsidP="006A1236">
      <w:pPr>
        <w:pStyle w:val="Heading2"/>
        <w:spacing w:after="160"/>
        <w:rPr>
          <w:rFonts w:cs="Arial"/>
        </w:rPr>
      </w:pPr>
      <w:bookmarkStart w:id="24" w:name="_Toc237444441"/>
      <w:r w:rsidRPr="000572D3">
        <w:rPr>
          <w:rFonts w:cs="Arial"/>
        </w:rPr>
        <w:t>6.3 Place</w:t>
      </w:r>
      <w:bookmarkEnd w:id="24"/>
    </w:p>
    <w:p w14:paraId="493F56C9" w14:textId="77777777" w:rsidR="007037B5" w:rsidRPr="000572D3" w:rsidRDefault="007037B5" w:rsidP="006A1236">
      <w:pPr>
        <w:rPr>
          <w:rFonts w:ascii="Arial" w:hAnsi="Arial" w:cs="Arial"/>
        </w:rPr>
      </w:pPr>
      <w:r w:rsidRPr="000572D3">
        <w:rPr>
          <w:rFonts w:ascii="Arial" w:hAnsi="Arial" w:cs="Arial"/>
        </w:rPr>
        <w:t>Cuba has distribution difficulties due to the influence of shortages, infrastructure and lack of foreign exchange on the reliability of supply. Distribution throughout the country would be an undue risk. Cadbury's initial strategy should be to target specific urban markets with targeted distributors. Retailing for the tourist market may offer some opportunities, albeit with care since there was disruption to tourism.</w:t>
      </w:r>
    </w:p>
    <w:p w14:paraId="1DF144DF" w14:textId="77777777" w:rsidR="007037B5" w:rsidRPr="000572D3" w:rsidRDefault="007037B5" w:rsidP="006A1236">
      <w:pPr>
        <w:pStyle w:val="Heading2"/>
        <w:spacing w:after="160"/>
        <w:rPr>
          <w:rFonts w:cs="Arial"/>
        </w:rPr>
      </w:pPr>
      <w:bookmarkStart w:id="25" w:name="_Toc237444442"/>
      <w:r w:rsidRPr="000572D3">
        <w:rPr>
          <w:rFonts w:cs="Arial"/>
        </w:rPr>
        <w:t>6.4 Promotion</w:t>
      </w:r>
      <w:bookmarkEnd w:id="25"/>
    </w:p>
    <w:p w14:paraId="4BEBEF69" w14:textId="3FA1C6E9" w:rsidR="007037B5" w:rsidRPr="000572D3" w:rsidRDefault="007037B5" w:rsidP="006A1236">
      <w:pPr>
        <w:rPr>
          <w:rFonts w:ascii="Arial" w:hAnsi="Arial" w:cs="Arial"/>
        </w:rPr>
      </w:pPr>
      <w:r w:rsidRPr="000572D3">
        <w:rPr>
          <w:rFonts w:ascii="Arial" w:hAnsi="Arial" w:cs="Arial"/>
        </w:rPr>
        <w:t>In Cuba, Cadbury's emotional positioning in terms of enjoyment, sharing and gifting can be maintained. However, there should be differences in the execution of the promos due to cultural differences. A focus on relationships, family, sharing and social experiences could be more suitable than messages that mainly focus on individual indulgence</w:t>
      </w:r>
      <w:r w:rsidR="000D6EB4" w:rsidRPr="000572D3">
        <w:rPr>
          <w:rFonts w:ascii="Arial" w:hAnsi="Arial" w:cs="Arial"/>
        </w:rPr>
        <w:t xml:space="preserve"> (</w:t>
      </w:r>
      <w:proofErr w:type="spellStart"/>
      <w:r w:rsidR="000D6EB4" w:rsidRPr="000572D3">
        <w:rPr>
          <w:rFonts w:ascii="Arial" w:hAnsi="Arial" w:cs="Arial"/>
        </w:rPr>
        <w:t>Chiyem</w:t>
      </w:r>
      <w:proofErr w:type="spellEnd"/>
      <w:r w:rsidR="000D6EB4" w:rsidRPr="000572D3">
        <w:rPr>
          <w:rFonts w:ascii="Arial" w:hAnsi="Arial" w:cs="Arial"/>
        </w:rPr>
        <w:t xml:space="preserve"> and Christopher, 2022)</w:t>
      </w:r>
      <w:r w:rsidRPr="000572D3">
        <w:rPr>
          <w:rFonts w:ascii="Arial" w:hAnsi="Arial" w:cs="Arial"/>
        </w:rPr>
        <w:t>. Investment in wider promotion should be preceded by local testing.</w:t>
      </w:r>
      <w:r w:rsidR="004B7CB8" w:rsidRPr="000572D3">
        <w:rPr>
          <w:rFonts w:ascii="Arial" w:hAnsi="Arial" w:cs="Arial"/>
        </w:rPr>
        <w:t xml:space="preserve"> Programs such as the on/off-job to train individuals; recognition/rewards to motivate them; and people at work. </w:t>
      </w:r>
    </w:p>
    <w:p w14:paraId="354C652A" w14:textId="77777777" w:rsidR="007037B5" w:rsidRPr="000572D3" w:rsidRDefault="007037B5" w:rsidP="006A1236">
      <w:pPr>
        <w:pStyle w:val="Heading2"/>
        <w:spacing w:after="160"/>
        <w:rPr>
          <w:rFonts w:cs="Arial"/>
        </w:rPr>
      </w:pPr>
      <w:bookmarkStart w:id="26" w:name="_Toc237444443"/>
      <w:r w:rsidRPr="000572D3">
        <w:rPr>
          <w:rFonts w:cs="Arial"/>
        </w:rPr>
        <w:lastRenderedPageBreak/>
        <w:t>6.5 People</w:t>
      </w:r>
      <w:bookmarkEnd w:id="26"/>
    </w:p>
    <w:p w14:paraId="4ED1C3D0" w14:textId="655C76DC" w:rsidR="007037B5" w:rsidRPr="000572D3" w:rsidRDefault="007037B5" w:rsidP="006A1236">
      <w:pPr>
        <w:rPr>
          <w:rFonts w:ascii="Arial" w:hAnsi="Arial" w:cs="Arial"/>
        </w:rPr>
      </w:pPr>
      <w:r w:rsidRPr="000572D3">
        <w:rPr>
          <w:rFonts w:ascii="Arial" w:hAnsi="Arial" w:cs="Arial"/>
        </w:rPr>
        <w:t>Consumer familiarity is important, and Cadbury doesn't have the same level of consumer familiarity in Cuba as it does in the UK, so that's why people are important. It should collaborate with choosing some local partners and trained salesmen to serve the community and be aware of Cadbury's brand parameters and the expectations of consumers. Local knowledge can enhance distribution and engagement.</w:t>
      </w:r>
      <w:r w:rsidR="0021414C" w:rsidRPr="000572D3">
        <w:rPr>
          <w:rFonts w:ascii="Arial" w:hAnsi="Arial" w:cs="Arial"/>
          <w:lang w:val="en-IN"/>
        </w:rPr>
        <w:t xml:space="preserve"> People of the Crowd: punk band Packy, story jacket packs of festival sweatshirts.</w:t>
      </w:r>
      <w:r w:rsidR="00635A3C" w:rsidRPr="000572D3">
        <w:rPr>
          <w:rFonts w:ascii="Arial" w:hAnsi="Arial" w:cs="Arial"/>
          <w:lang w:val="en-IN"/>
        </w:rPr>
        <w:t xml:space="preserve"> </w:t>
      </w:r>
      <w:r w:rsidR="00635A3C" w:rsidRPr="000572D3">
        <w:rPr>
          <w:rFonts w:ascii="Arial" w:hAnsi="Arial" w:cs="Arial"/>
        </w:rPr>
        <w:t>Indirect distribution through networks of wholesalers/retailers (1M+ outlets India); direct + indirect in UK.</w:t>
      </w:r>
    </w:p>
    <w:p w14:paraId="6051EE4F" w14:textId="77777777" w:rsidR="007037B5" w:rsidRPr="000572D3" w:rsidRDefault="007037B5" w:rsidP="006A1236">
      <w:pPr>
        <w:pStyle w:val="Heading2"/>
        <w:spacing w:after="160"/>
        <w:rPr>
          <w:rFonts w:cs="Arial"/>
        </w:rPr>
      </w:pPr>
      <w:bookmarkStart w:id="27" w:name="_Toc237444444"/>
      <w:r w:rsidRPr="000572D3">
        <w:rPr>
          <w:rFonts w:cs="Arial"/>
        </w:rPr>
        <w:t>6.6 Process</w:t>
      </w:r>
      <w:bookmarkEnd w:id="27"/>
    </w:p>
    <w:p w14:paraId="42302E2E" w14:textId="678D7EC5" w:rsidR="007037B5" w:rsidRPr="000572D3" w:rsidRDefault="007037B5" w:rsidP="006A1236">
      <w:pPr>
        <w:rPr>
          <w:rFonts w:ascii="Arial" w:hAnsi="Arial" w:cs="Arial"/>
        </w:rPr>
      </w:pPr>
      <w:r w:rsidRPr="000572D3">
        <w:rPr>
          <w:rFonts w:ascii="Arial" w:hAnsi="Arial" w:cs="Arial"/>
        </w:rPr>
        <w:t>The purchasing is well set up, both through a retail infrastructure and online purchasing and good replenishment in the UK. Availability, payment conditions and supply constraints have a more important influence on Cuba's purchasing process</w:t>
      </w:r>
      <w:r w:rsidR="00E56E62" w:rsidRPr="000572D3">
        <w:rPr>
          <w:rFonts w:ascii="Arial" w:hAnsi="Arial" w:cs="Arial"/>
        </w:rPr>
        <w:t xml:space="preserve"> (Desai, 2023)</w:t>
      </w:r>
      <w:r w:rsidRPr="000572D3">
        <w:rPr>
          <w:rFonts w:ascii="Arial" w:hAnsi="Arial" w:cs="Arial"/>
        </w:rPr>
        <w:t>. Hence, Cadbury must exercise a step-down approach to supply initially and then make it extensive. This can minimise the amount of waste and the risk of operations.</w:t>
      </w:r>
    </w:p>
    <w:p w14:paraId="4D68809D" w14:textId="77777777" w:rsidR="007037B5" w:rsidRPr="000572D3" w:rsidRDefault="007037B5" w:rsidP="006A1236">
      <w:pPr>
        <w:pStyle w:val="Heading2"/>
        <w:spacing w:after="160"/>
        <w:rPr>
          <w:rFonts w:cs="Arial"/>
        </w:rPr>
      </w:pPr>
      <w:bookmarkStart w:id="28" w:name="_Toc237444445"/>
      <w:r w:rsidRPr="000572D3">
        <w:rPr>
          <w:rFonts w:cs="Arial"/>
        </w:rPr>
        <w:t>6.7 Physical Evidence</w:t>
      </w:r>
      <w:bookmarkEnd w:id="28"/>
    </w:p>
    <w:p w14:paraId="3D1AE213" w14:textId="199A5A3B" w:rsidR="007037B5" w:rsidRPr="000572D3" w:rsidRDefault="007037B5" w:rsidP="006A1236">
      <w:pPr>
        <w:rPr>
          <w:rFonts w:ascii="Arial" w:hAnsi="Arial" w:cs="Arial"/>
        </w:rPr>
      </w:pPr>
      <w:r w:rsidRPr="000572D3">
        <w:rPr>
          <w:rFonts w:ascii="Arial" w:hAnsi="Arial" w:cs="Arial"/>
        </w:rPr>
        <w:t>Cadbury needs to be consistent with the packaging, branding and product presentation in all Cuban retail outlets. But displays need to be changed according to local purchasing conditions and retail establishments. Effective perceived quality and recognition in the Cuban market can be achieved through clear information, attractive packages and gifting displays.</w:t>
      </w:r>
      <w:r w:rsidR="0021414C" w:rsidRPr="000572D3">
        <w:rPr>
          <w:rFonts w:ascii="Arial" w:hAnsi="Arial" w:cs="Arial"/>
          <w:lang w:val="en-IN"/>
        </w:rPr>
        <w:t xml:space="preserve"> Iconic purple packaging; festival Swag packs with story jackets.</w:t>
      </w:r>
    </w:p>
    <w:p w14:paraId="30F23623" w14:textId="13E00946" w:rsidR="00F42A45" w:rsidRPr="000572D3" w:rsidRDefault="00EB4542" w:rsidP="006A1236">
      <w:pPr>
        <w:pStyle w:val="Heading2"/>
        <w:spacing w:after="160"/>
        <w:rPr>
          <w:rFonts w:cs="Arial"/>
        </w:rPr>
      </w:pPr>
      <w:bookmarkStart w:id="29" w:name="_Toc237444446"/>
      <w:r w:rsidRPr="000572D3">
        <w:rPr>
          <w:rFonts w:cs="Arial"/>
        </w:rPr>
        <w:t>6.8 Similarities and Differences in the 7Ps</w:t>
      </w:r>
      <w:bookmarkEnd w:id="29"/>
    </w:p>
    <w:tbl>
      <w:tblPr>
        <w:tblStyle w:val="TableGrid"/>
        <w:tblW w:w="5000" w:type="pct"/>
        <w:tblLook w:val="04A0" w:firstRow="1" w:lastRow="0" w:firstColumn="1" w:lastColumn="0" w:noHBand="0" w:noVBand="1"/>
      </w:tblPr>
      <w:tblGrid>
        <w:gridCol w:w="1355"/>
        <w:gridCol w:w="1748"/>
        <w:gridCol w:w="1431"/>
        <w:gridCol w:w="2367"/>
        <w:gridCol w:w="2115"/>
      </w:tblGrid>
      <w:tr w:rsidR="00EB4542" w:rsidRPr="000572D3" w14:paraId="6EF84C44" w14:textId="77777777" w:rsidTr="000572D3">
        <w:trPr>
          <w:trHeight w:val="821"/>
        </w:trPr>
        <w:tc>
          <w:tcPr>
            <w:tcW w:w="751" w:type="pct"/>
            <w:shd w:val="clear" w:color="auto" w:fill="9CC2E5" w:themeFill="accent5" w:themeFillTint="99"/>
          </w:tcPr>
          <w:p w14:paraId="665B974B" w14:textId="4A84B412" w:rsidR="00EB4542" w:rsidRPr="000572D3" w:rsidRDefault="00EB4542" w:rsidP="006A1236">
            <w:pPr>
              <w:jc w:val="center"/>
              <w:rPr>
                <w:rFonts w:ascii="Arial" w:hAnsi="Arial" w:cs="Arial"/>
                <w:b/>
                <w:bCs/>
              </w:rPr>
            </w:pPr>
            <w:r w:rsidRPr="000572D3">
              <w:rPr>
                <w:rFonts w:ascii="Arial" w:hAnsi="Arial" w:cs="Arial"/>
                <w:b/>
                <w:bCs/>
              </w:rPr>
              <w:t>7P</w:t>
            </w:r>
          </w:p>
        </w:tc>
        <w:tc>
          <w:tcPr>
            <w:tcW w:w="973" w:type="pct"/>
            <w:shd w:val="clear" w:color="auto" w:fill="9CC2E5" w:themeFill="accent5" w:themeFillTint="99"/>
          </w:tcPr>
          <w:p w14:paraId="62C8117A" w14:textId="6A35C527" w:rsidR="00EB4542" w:rsidRPr="000572D3" w:rsidRDefault="00EB4542" w:rsidP="006A1236">
            <w:pPr>
              <w:jc w:val="center"/>
              <w:rPr>
                <w:rFonts w:ascii="Arial" w:hAnsi="Arial" w:cs="Arial"/>
                <w:b/>
                <w:bCs/>
              </w:rPr>
            </w:pPr>
            <w:r w:rsidRPr="000572D3">
              <w:rPr>
                <w:rFonts w:ascii="Arial" w:hAnsi="Arial" w:cs="Arial"/>
                <w:b/>
                <w:bCs/>
              </w:rPr>
              <w:t>UK</w:t>
            </w:r>
          </w:p>
        </w:tc>
        <w:tc>
          <w:tcPr>
            <w:tcW w:w="804" w:type="pct"/>
            <w:shd w:val="clear" w:color="auto" w:fill="9CC2E5" w:themeFill="accent5" w:themeFillTint="99"/>
          </w:tcPr>
          <w:p w14:paraId="3053717A" w14:textId="63624652" w:rsidR="00EB4542" w:rsidRPr="000572D3" w:rsidRDefault="00EB4542" w:rsidP="006A1236">
            <w:pPr>
              <w:jc w:val="center"/>
              <w:rPr>
                <w:rFonts w:ascii="Arial" w:hAnsi="Arial" w:cs="Arial"/>
                <w:b/>
                <w:bCs/>
              </w:rPr>
            </w:pPr>
            <w:r w:rsidRPr="000572D3">
              <w:rPr>
                <w:rFonts w:ascii="Arial" w:hAnsi="Arial" w:cs="Arial"/>
                <w:b/>
                <w:bCs/>
              </w:rPr>
              <w:t>Cuba</w:t>
            </w:r>
          </w:p>
        </w:tc>
        <w:tc>
          <w:tcPr>
            <w:tcW w:w="1306" w:type="pct"/>
            <w:shd w:val="clear" w:color="auto" w:fill="9CC2E5" w:themeFill="accent5" w:themeFillTint="99"/>
          </w:tcPr>
          <w:p w14:paraId="0C352E57" w14:textId="1F209F1C" w:rsidR="00EB4542" w:rsidRPr="000572D3" w:rsidRDefault="00EB4542" w:rsidP="006A1236">
            <w:pPr>
              <w:jc w:val="center"/>
              <w:rPr>
                <w:rFonts w:ascii="Arial" w:hAnsi="Arial" w:cs="Arial"/>
                <w:b/>
                <w:bCs/>
              </w:rPr>
            </w:pPr>
            <w:r w:rsidRPr="000572D3">
              <w:rPr>
                <w:rFonts w:ascii="Arial" w:hAnsi="Arial" w:cs="Arial"/>
                <w:b/>
                <w:bCs/>
              </w:rPr>
              <w:t>Key similarity/difference</w:t>
            </w:r>
          </w:p>
        </w:tc>
        <w:tc>
          <w:tcPr>
            <w:tcW w:w="1166" w:type="pct"/>
            <w:shd w:val="clear" w:color="auto" w:fill="9CC2E5" w:themeFill="accent5" w:themeFillTint="99"/>
          </w:tcPr>
          <w:p w14:paraId="6F3F6AFD" w14:textId="7C22EF0B" w:rsidR="00EB4542" w:rsidRPr="000572D3" w:rsidRDefault="00EB4542" w:rsidP="006A1236">
            <w:pPr>
              <w:jc w:val="center"/>
              <w:rPr>
                <w:rFonts w:ascii="Arial" w:hAnsi="Arial" w:cs="Arial"/>
                <w:b/>
                <w:bCs/>
              </w:rPr>
            </w:pPr>
            <w:r w:rsidRPr="000572D3">
              <w:rPr>
                <w:rFonts w:ascii="Arial" w:hAnsi="Arial" w:cs="Arial"/>
                <w:b/>
                <w:bCs/>
              </w:rPr>
              <w:t>Strategic implication</w:t>
            </w:r>
          </w:p>
        </w:tc>
      </w:tr>
      <w:tr w:rsidR="00EB4542" w:rsidRPr="000572D3" w14:paraId="62FB627C" w14:textId="77777777" w:rsidTr="000572D3">
        <w:trPr>
          <w:trHeight w:val="403"/>
        </w:trPr>
        <w:tc>
          <w:tcPr>
            <w:tcW w:w="751" w:type="pct"/>
            <w:shd w:val="clear" w:color="auto" w:fill="FFE599" w:themeFill="accent4" w:themeFillTint="66"/>
          </w:tcPr>
          <w:p w14:paraId="3824A0E1" w14:textId="77777777" w:rsidR="00EB4542" w:rsidRPr="000572D3" w:rsidRDefault="00EB4542" w:rsidP="006A1236">
            <w:pPr>
              <w:rPr>
                <w:rFonts w:ascii="Arial" w:hAnsi="Arial" w:cs="Arial"/>
                <w:b/>
                <w:bCs/>
              </w:rPr>
            </w:pPr>
            <w:r w:rsidRPr="000572D3">
              <w:rPr>
                <w:rFonts w:ascii="Arial" w:hAnsi="Arial" w:cs="Arial"/>
                <w:b/>
                <w:bCs/>
              </w:rPr>
              <w:t>Product</w:t>
            </w:r>
          </w:p>
          <w:p w14:paraId="4692BD52" w14:textId="77777777" w:rsidR="00EB4542" w:rsidRPr="000572D3" w:rsidRDefault="00EB4542" w:rsidP="006A1236">
            <w:pPr>
              <w:rPr>
                <w:rFonts w:ascii="Arial" w:hAnsi="Arial" w:cs="Arial"/>
                <w:b/>
                <w:bCs/>
              </w:rPr>
            </w:pPr>
          </w:p>
        </w:tc>
        <w:tc>
          <w:tcPr>
            <w:tcW w:w="973" w:type="pct"/>
          </w:tcPr>
          <w:p w14:paraId="0675CCEE" w14:textId="5B4E1DA9" w:rsidR="00EB4542" w:rsidRPr="000572D3" w:rsidRDefault="00EB4542" w:rsidP="006A1236">
            <w:pPr>
              <w:rPr>
                <w:rFonts w:ascii="Arial" w:hAnsi="Arial" w:cs="Arial"/>
              </w:rPr>
            </w:pPr>
            <w:r w:rsidRPr="000572D3">
              <w:rPr>
                <w:rFonts w:ascii="Arial" w:hAnsi="Arial" w:cs="Arial"/>
              </w:rPr>
              <w:t xml:space="preserve">Wide range of portfolios and </w:t>
            </w:r>
            <w:r w:rsidRPr="000572D3">
              <w:rPr>
                <w:rFonts w:ascii="Arial" w:hAnsi="Arial" w:cs="Arial"/>
              </w:rPr>
              <w:lastRenderedPageBreak/>
              <w:t>recognised formats</w:t>
            </w:r>
          </w:p>
        </w:tc>
        <w:tc>
          <w:tcPr>
            <w:tcW w:w="804" w:type="pct"/>
            <w:shd w:val="clear" w:color="auto" w:fill="FFE599" w:themeFill="accent4" w:themeFillTint="66"/>
          </w:tcPr>
          <w:p w14:paraId="70438DA4" w14:textId="7FAB43EE" w:rsidR="00EB4542" w:rsidRPr="000572D3" w:rsidRDefault="00EB4542" w:rsidP="006A1236">
            <w:pPr>
              <w:rPr>
                <w:rFonts w:ascii="Arial" w:hAnsi="Arial" w:cs="Arial"/>
              </w:rPr>
            </w:pPr>
            <w:r w:rsidRPr="000572D3">
              <w:rPr>
                <w:rFonts w:ascii="Arial" w:hAnsi="Arial" w:cs="Arial"/>
              </w:rPr>
              <w:lastRenderedPageBreak/>
              <w:t xml:space="preserve">Initially focused </w:t>
            </w:r>
            <w:r w:rsidRPr="000572D3">
              <w:rPr>
                <w:rFonts w:ascii="Arial" w:hAnsi="Arial" w:cs="Arial"/>
              </w:rPr>
              <w:lastRenderedPageBreak/>
              <w:t>portfolio required</w:t>
            </w:r>
          </w:p>
        </w:tc>
        <w:tc>
          <w:tcPr>
            <w:tcW w:w="1306" w:type="pct"/>
          </w:tcPr>
          <w:p w14:paraId="6A9DBBD8" w14:textId="619A977F" w:rsidR="00EB4542" w:rsidRPr="000572D3" w:rsidRDefault="00EB4542" w:rsidP="006A1236">
            <w:pPr>
              <w:rPr>
                <w:rFonts w:ascii="Arial" w:hAnsi="Arial" w:cs="Arial"/>
              </w:rPr>
            </w:pPr>
            <w:r w:rsidRPr="000572D3">
              <w:rPr>
                <w:rFonts w:ascii="Arial" w:hAnsi="Arial" w:cs="Arial"/>
              </w:rPr>
              <w:lastRenderedPageBreak/>
              <w:t xml:space="preserve">Core brand needs to stay the same, </w:t>
            </w:r>
            <w:r w:rsidRPr="000572D3">
              <w:rPr>
                <w:rFonts w:ascii="Arial" w:hAnsi="Arial" w:cs="Arial"/>
              </w:rPr>
              <w:lastRenderedPageBreak/>
              <w:t>range needs to be smaller</w:t>
            </w:r>
          </w:p>
        </w:tc>
        <w:tc>
          <w:tcPr>
            <w:tcW w:w="1166" w:type="pct"/>
            <w:shd w:val="clear" w:color="auto" w:fill="FFE599" w:themeFill="accent4" w:themeFillTint="66"/>
          </w:tcPr>
          <w:p w14:paraId="403C43A2" w14:textId="69EFB0BD" w:rsidR="00EB4542" w:rsidRPr="000572D3" w:rsidRDefault="00EB4542" w:rsidP="006A1236">
            <w:pPr>
              <w:rPr>
                <w:rFonts w:ascii="Arial" w:hAnsi="Arial" w:cs="Arial"/>
              </w:rPr>
            </w:pPr>
            <w:r w:rsidRPr="000572D3">
              <w:rPr>
                <w:rFonts w:ascii="Arial" w:hAnsi="Arial" w:cs="Arial"/>
              </w:rPr>
              <w:lastRenderedPageBreak/>
              <w:t>Develop core products and with selected formats</w:t>
            </w:r>
          </w:p>
        </w:tc>
      </w:tr>
      <w:tr w:rsidR="00EB4542" w:rsidRPr="000572D3" w14:paraId="52A61CD2" w14:textId="77777777" w:rsidTr="000572D3">
        <w:trPr>
          <w:trHeight w:val="403"/>
        </w:trPr>
        <w:tc>
          <w:tcPr>
            <w:tcW w:w="751" w:type="pct"/>
            <w:shd w:val="clear" w:color="auto" w:fill="FFE599" w:themeFill="accent4" w:themeFillTint="66"/>
          </w:tcPr>
          <w:p w14:paraId="311AC5C2" w14:textId="77777777" w:rsidR="00EB4542" w:rsidRPr="000572D3" w:rsidRDefault="00EB4542" w:rsidP="006A1236">
            <w:pPr>
              <w:rPr>
                <w:rFonts w:ascii="Arial" w:hAnsi="Arial" w:cs="Arial"/>
                <w:b/>
                <w:bCs/>
              </w:rPr>
            </w:pPr>
            <w:r w:rsidRPr="000572D3">
              <w:rPr>
                <w:rFonts w:ascii="Arial" w:hAnsi="Arial" w:cs="Arial"/>
                <w:b/>
                <w:bCs/>
              </w:rPr>
              <w:t>Price</w:t>
            </w:r>
          </w:p>
          <w:p w14:paraId="60FE1792" w14:textId="77777777" w:rsidR="00EB4542" w:rsidRPr="000572D3" w:rsidRDefault="00EB4542" w:rsidP="006A1236">
            <w:pPr>
              <w:rPr>
                <w:rFonts w:ascii="Arial" w:hAnsi="Arial" w:cs="Arial"/>
                <w:b/>
                <w:bCs/>
              </w:rPr>
            </w:pPr>
          </w:p>
        </w:tc>
        <w:tc>
          <w:tcPr>
            <w:tcW w:w="973" w:type="pct"/>
          </w:tcPr>
          <w:p w14:paraId="0EDB24CB" w14:textId="1BD8CB60" w:rsidR="00EB4542" w:rsidRPr="000572D3" w:rsidRDefault="00EB4542" w:rsidP="006A1236">
            <w:pPr>
              <w:rPr>
                <w:rFonts w:ascii="Arial" w:hAnsi="Arial" w:cs="Arial"/>
              </w:rPr>
            </w:pPr>
            <w:r w:rsidRPr="000572D3">
              <w:rPr>
                <w:rFonts w:ascii="Arial" w:hAnsi="Arial" w:cs="Arial"/>
              </w:rPr>
              <w:t>More than one price tier in established retail market</w:t>
            </w:r>
          </w:p>
        </w:tc>
        <w:tc>
          <w:tcPr>
            <w:tcW w:w="804" w:type="pct"/>
            <w:shd w:val="clear" w:color="auto" w:fill="FFE599" w:themeFill="accent4" w:themeFillTint="66"/>
          </w:tcPr>
          <w:p w14:paraId="081F30AE" w14:textId="6FE5ED6F" w:rsidR="00EB4542" w:rsidRPr="000572D3" w:rsidRDefault="00EB4542" w:rsidP="006A1236">
            <w:pPr>
              <w:rPr>
                <w:rFonts w:ascii="Arial" w:hAnsi="Arial" w:cs="Arial"/>
              </w:rPr>
            </w:pPr>
            <w:r w:rsidRPr="000572D3">
              <w:rPr>
                <w:rFonts w:ascii="Arial" w:hAnsi="Arial" w:cs="Arial"/>
              </w:rPr>
              <w:t>Increased affordability and currency issues</w:t>
            </w:r>
          </w:p>
        </w:tc>
        <w:tc>
          <w:tcPr>
            <w:tcW w:w="1306" w:type="pct"/>
          </w:tcPr>
          <w:p w14:paraId="2F9B27C7" w14:textId="0F432511" w:rsidR="00EB4542" w:rsidRPr="000572D3" w:rsidRDefault="00EB4542" w:rsidP="006A1236">
            <w:pPr>
              <w:rPr>
                <w:rFonts w:ascii="Arial" w:hAnsi="Arial" w:cs="Arial"/>
              </w:rPr>
            </w:pPr>
            <w:r w:rsidRPr="000572D3">
              <w:rPr>
                <w:rFonts w:ascii="Arial" w:hAnsi="Arial" w:cs="Arial"/>
              </w:rPr>
              <w:t>The price sensitivity is actually a very significant factor</w:t>
            </w:r>
          </w:p>
        </w:tc>
        <w:tc>
          <w:tcPr>
            <w:tcW w:w="1166" w:type="pct"/>
            <w:shd w:val="clear" w:color="auto" w:fill="FFE599" w:themeFill="accent4" w:themeFillTint="66"/>
          </w:tcPr>
          <w:p w14:paraId="6E51C958" w14:textId="18637D8E" w:rsidR="00EB4542" w:rsidRPr="000572D3" w:rsidRDefault="00EB4542" w:rsidP="006A1236">
            <w:pPr>
              <w:rPr>
                <w:rFonts w:ascii="Arial" w:hAnsi="Arial" w:cs="Arial"/>
              </w:rPr>
            </w:pPr>
            <w:r w:rsidRPr="000572D3">
              <w:rPr>
                <w:rFonts w:ascii="Arial" w:hAnsi="Arial" w:cs="Arial"/>
              </w:rPr>
              <w:t>Selective pricing and smaller packs</w:t>
            </w:r>
          </w:p>
        </w:tc>
      </w:tr>
      <w:tr w:rsidR="00EB4542" w:rsidRPr="000572D3" w14:paraId="36D8F70C" w14:textId="77777777" w:rsidTr="000572D3">
        <w:trPr>
          <w:trHeight w:val="418"/>
        </w:trPr>
        <w:tc>
          <w:tcPr>
            <w:tcW w:w="751" w:type="pct"/>
            <w:shd w:val="clear" w:color="auto" w:fill="FFE599" w:themeFill="accent4" w:themeFillTint="66"/>
          </w:tcPr>
          <w:p w14:paraId="3064BDA7" w14:textId="77777777" w:rsidR="00EB4542" w:rsidRPr="000572D3" w:rsidRDefault="00EB4542" w:rsidP="006A1236">
            <w:pPr>
              <w:rPr>
                <w:rFonts w:ascii="Arial" w:hAnsi="Arial" w:cs="Arial"/>
                <w:b/>
                <w:bCs/>
              </w:rPr>
            </w:pPr>
            <w:r w:rsidRPr="000572D3">
              <w:rPr>
                <w:rFonts w:ascii="Arial" w:hAnsi="Arial" w:cs="Arial"/>
                <w:b/>
                <w:bCs/>
              </w:rPr>
              <w:t>Place</w:t>
            </w:r>
          </w:p>
          <w:p w14:paraId="49AC74D6" w14:textId="77777777" w:rsidR="00EB4542" w:rsidRPr="000572D3" w:rsidRDefault="00EB4542" w:rsidP="006A1236">
            <w:pPr>
              <w:rPr>
                <w:rFonts w:ascii="Arial" w:hAnsi="Arial" w:cs="Arial"/>
                <w:b/>
                <w:bCs/>
              </w:rPr>
            </w:pPr>
          </w:p>
        </w:tc>
        <w:tc>
          <w:tcPr>
            <w:tcW w:w="973" w:type="pct"/>
          </w:tcPr>
          <w:p w14:paraId="780B19B2" w14:textId="7182C586" w:rsidR="00EB4542" w:rsidRPr="000572D3" w:rsidRDefault="00EB4542" w:rsidP="006A1236">
            <w:pPr>
              <w:rPr>
                <w:rFonts w:ascii="Arial" w:hAnsi="Arial" w:cs="Arial"/>
              </w:rPr>
            </w:pPr>
            <w:r w:rsidRPr="000572D3">
              <w:rPr>
                <w:rFonts w:ascii="Arial" w:hAnsi="Arial" w:cs="Arial"/>
              </w:rPr>
              <w:t>Thoroughly marketed; widely available online</w:t>
            </w:r>
          </w:p>
        </w:tc>
        <w:tc>
          <w:tcPr>
            <w:tcW w:w="804" w:type="pct"/>
            <w:shd w:val="clear" w:color="auto" w:fill="FFE599" w:themeFill="accent4" w:themeFillTint="66"/>
          </w:tcPr>
          <w:p w14:paraId="5CE5A757" w14:textId="5E3BE7AF" w:rsidR="00EB4542" w:rsidRPr="000572D3" w:rsidRDefault="00EB4542" w:rsidP="006A1236">
            <w:pPr>
              <w:rPr>
                <w:rFonts w:ascii="Arial" w:hAnsi="Arial" w:cs="Arial"/>
              </w:rPr>
            </w:pPr>
            <w:r w:rsidRPr="000572D3">
              <w:rPr>
                <w:rFonts w:ascii="Arial" w:hAnsi="Arial" w:cs="Arial"/>
              </w:rPr>
              <w:t>A more intricate setting for distribution</w:t>
            </w:r>
          </w:p>
        </w:tc>
        <w:tc>
          <w:tcPr>
            <w:tcW w:w="1306" w:type="pct"/>
          </w:tcPr>
          <w:p w14:paraId="7151A12D" w14:textId="0DA07852" w:rsidR="00EB4542" w:rsidRPr="000572D3" w:rsidRDefault="00EB4542" w:rsidP="006A1236">
            <w:pPr>
              <w:rPr>
                <w:rFonts w:ascii="Arial" w:hAnsi="Arial" w:cs="Arial"/>
              </w:rPr>
            </w:pPr>
            <w:r w:rsidRPr="000572D3">
              <w:rPr>
                <w:rFonts w:ascii="Arial" w:hAnsi="Arial" w:cs="Arial"/>
              </w:rPr>
              <w:t>Availability is a factor in both, but so is infrastructure</w:t>
            </w:r>
          </w:p>
        </w:tc>
        <w:tc>
          <w:tcPr>
            <w:tcW w:w="1166" w:type="pct"/>
            <w:shd w:val="clear" w:color="auto" w:fill="FFE599" w:themeFill="accent4" w:themeFillTint="66"/>
          </w:tcPr>
          <w:p w14:paraId="63A11CC1" w14:textId="0448EE69" w:rsidR="00EB4542" w:rsidRPr="000572D3" w:rsidRDefault="00EB4542" w:rsidP="006A1236">
            <w:pPr>
              <w:rPr>
                <w:rFonts w:ascii="Arial" w:hAnsi="Arial" w:cs="Arial"/>
              </w:rPr>
            </w:pPr>
            <w:r w:rsidRPr="000572D3">
              <w:rPr>
                <w:rFonts w:ascii="Arial" w:hAnsi="Arial" w:cs="Arial"/>
              </w:rPr>
              <w:t>Start with controlled distribution</w:t>
            </w:r>
          </w:p>
        </w:tc>
      </w:tr>
      <w:tr w:rsidR="00EB4542" w:rsidRPr="000572D3" w14:paraId="20DFF394" w14:textId="77777777" w:rsidTr="000572D3">
        <w:trPr>
          <w:trHeight w:val="403"/>
        </w:trPr>
        <w:tc>
          <w:tcPr>
            <w:tcW w:w="751" w:type="pct"/>
            <w:shd w:val="clear" w:color="auto" w:fill="FFE599" w:themeFill="accent4" w:themeFillTint="66"/>
          </w:tcPr>
          <w:p w14:paraId="4129CA1F" w14:textId="77777777" w:rsidR="00EB4542" w:rsidRPr="000572D3" w:rsidRDefault="00EB4542" w:rsidP="006A1236">
            <w:pPr>
              <w:rPr>
                <w:rFonts w:ascii="Arial" w:hAnsi="Arial" w:cs="Arial"/>
                <w:b/>
                <w:bCs/>
              </w:rPr>
            </w:pPr>
            <w:r w:rsidRPr="000572D3">
              <w:rPr>
                <w:rFonts w:ascii="Arial" w:hAnsi="Arial" w:cs="Arial"/>
                <w:b/>
                <w:bCs/>
              </w:rPr>
              <w:t>Promotion</w:t>
            </w:r>
          </w:p>
          <w:p w14:paraId="3C8A6685" w14:textId="77777777" w:rsidR="00EB4542" w:rsidRPr="000572D3" w:rsidRDefault="00EB4542" w:rsidP="006A1236">
            <w:pPr>
              <w:rPr>
                <w:rFonts w:ascii="Arial" w:hAnsi="Arial" w:cs="Arial"/>
                <w:b/>
                <w:bCs/>
              </w:rPr>
            </w:pPr>
          </w:p>
        </w:tc>
        <w:tc>
          <w:tcPr>
            <w:tcW w:w="973" w:type="pct"/>
          </w:tcPr>
          <w:p w14:paraId="248BCA05" w14:textId="77757544" w:rsidR="00EB4542" w:rsidRPr="000572D3" w:rsidRDefault="00EB4542" w:rsidP="006A1236">
            <w:pPr>
              <w:rPr>
                <w:rFonts w:ascii="Arial" w:hAnsi="Arial" w:cs="Arial"/>
              </w:rPr>
            </w:pPr>
            <w:r w:rsidRPr="000572D3">
              <w:rPr>
                <w:rFonts w:ascii="Arial" w:hAnsi="Arial" w:cs="Arial"/>
              </w:rPr>
              <w:t>Effective emotional and situation-based communication</w:t>
            </w:r>
          </w:p>
        </w:tc>
        <w:tc>
          <w:tcPr>
            <w:tcW w:w="804" w:type="pct"/>
            <w:shd w:val="clear" w:color="auto" w:fill="FFE599" w:themeFill="accent4" w:themeFillTint="66"/>
          </w:tcPr>
          <w:p w14:paraId="21D1E328" w14:textId="6D702685" w:rsidR="00EB4542" w:rsidRPr="000572D3" w:rsidRDefault="00EB4542" w:rsidP="006A1236">
            <w:pPr>
              <w:rPr>
                <w:rFonts w:ascii="Arial" w:hAnsi="Arial" w:cs="Arial"/>
              </w:rPr>
            </w:pPr>
            <w:r w:rsidRPr="000572D3">
              <w:rPr>
                <w:rFonts w:ascii="Arial" w:hAnsi="Arial" w:cs="Arial"/>
              </w:rPr>
              <w:t>Greater need for cultural adaptation</w:t>
            </w:r>
          </w:p>
        </w:tc>
        <w:tc>
          <w:tcPr>
            <w:tcW w:w="1306" w:type="pct"/>
          </w:tcPr>
          <w:p w14:paraId="0C0437FF" w14:textId="6E464811" w:rsidR="00EB4542" w:rsidRPr="000572D3" w:rsidRDefault="00F42A45" w:rsidP="006A1236">
            <w:pPr>
              <w:rPr>
                <w:rFonts w:ascii="Arial" w:hAnsi="Arial" w:cs="Arial"/>
              </w:rPr>
            </w:pPr>
            <w:r w:rsidRPr="000572D3">
              <w:rPr>
                <w:rFonts w:ascii="Arial" w:hAnsi="Arial" w:cs="Arial"/>
              </w:rPr>
              <w:t>Execution should adjust to emotional posture</w:t>
            </w:r>
          </w:p>
        </w:tc>
        <w:tc>
          <w:tcPr>
            <w:tcW w:w="1166" w:type="pct"/>
            <w:shd w:val="clear" w:color="auto" w:fill="FFE599" w:themeFill="accent4" w:themeFillTint="66"/>
          </w:tcPr>
          <w:p w14:paraId="18E4E989" w14:textId="1E07FD45" w:rsidR="00EB4542" w:rsidRPr="000572D3" w:rsidRDefault="00F42A45" w:rsidP="006A1236">
            <w:pPr>
              <w:rPr>
                <w:rFonts w:ascii="Arial" w:hAnsi="Arial" w:cs="Arial"/>
              </w:rPr>
            </w:pPr>
            <w:r w:rsidRPr="000572D3">
              <w:rPr>
                <w:rFonts w:ascii="Arial" w:hAnsi="Arial" w:cs="Arial"/>
              </w:rPr>
              <w:t>Encourage giving, gifting and social events</w:t>
            </w:r>
          </w:p>
        </w:tc>
      </w:tr>
      <w:tr w:rsidR="00EB4542" w:rsidRPr="000572D3" w14:paraId="078AA61F" w14:textId="77777777" w:rsidTr="000572D3">
        <w:trPr>
          <w:trHeight w:val="403"/>
        </w:trPr>
        <w:tc>
          <w:tcPr>
            <w:tcW w:w="751" w:type="pct"/>
            <w:shd w:val="clear" w:color="auto" w:fill="FFE599" w:themeFill="accent4" w:themeFillTint="66"/>
          </w:tcPr>
          <w:p w14:paraId="4BAA6072" w14:textId="77777777" w:rsidR="00F42A45" w:rsidRPr="000572D3" w:rsidRDefault="00F42A45" w:rsidP="006A1236">
            <w:pPr>
              <w:rPr>
                <w:rFonts w:ascii="Arial" w:hAnsi="Arial" w:cs="Arial"/>
                <w:b/>
                <w:bCs/>
              </w:rPr>
            </w:pPr>
            <w:r w:rsidRPr="000572D3">
              <w:rPr>
                <w:rFonts w:ascii="Arial" w:hAnsi="Arial" w:cs="Arial"/>
                <w:b/>
                <w:bCs/>
              </w:rPr>
              <w:t>People</w:t>
            </w:r>
          </w:p>
          <w:p w14:paraId="4A904131" w14:textId="77777777" w:rsidR="00EB4542" w:rsidRPr="000572D3" w:rsidRDefault="00EB4542" w:rsidP="006A1236">
            <w:pPr>
              <w:rPr>
                <w:rFonts w:ascii="Arial" w:hAnsi="Arial" w:cs="Arial"/>
                <w:b/>
                <w:bCs/>
              </w:rPr>
            </w:pPr>
          </w:p>
        </w:tc>
        <w:tc>
          <w:tcPr>
            <w:tcW w:w="973" w:type="pct"/>
          </w:tcPr>
          <w:p w14:paraId="1B21D922" w14:textId="69537359" w:rsidR="00EB4542" w:rsidRPr="000572D3" w:rsidRDefault="00F42A45" w:rsidP="006A1236">
            <w:pPr>
              <w:rPr>
                <w:rFonts w:ascii="Arial" w:hAnsi="Arial" w:cs="Arial"/>
              </w:rPr>
            </w:pPr>
            <w:r w:rsidRPr="000572D3">
              <w:rPr>
                <w:rFonts w:ascii="Arial" w:hAnsi="Arial" w:cs="Arial"/>
              </w:rPr>
              <w:t>Established consumer familiarity</w:t>
            </w:r>
          </w:p>
        </w:tc>
        <w:tc>
          <w:tcPr>
            <w:tcW w:w="804" w:type="pct"/>
            <w:shd w:val="clear" w:color="auto" w:fill="FFE599" w:themeFill="accent4" w:themeFillTint="66"/>
          </w:tcPr>
          <w:p w14:paraId="7C93A924" w14:textId="3B18123A" w:rsidR="00EB4542" w:rsidRPr="000572D3" w:rsidRDefault="00F42A45" w:rsidP="006A1236">
            <w:pPr>
              <w:rPr>
                <w:rFonts w:ascii="Arial" w:hAnsi="Arial" w:cs="Arial"/>
              </w:rPr>
            </w:pPr>
            <w:r w:rsidRPr="000572D3">
              <w:rPr>
                <w:rFonts w:ascii="Arial" w:hAnsi="Arial" w:cs="Arial"/>
              </w:rPr>
              <w:t>Increased requirement for local information</w:t>
            </w:r>
          </w:p>
        </w:tc>
        <w:tc>
          <w:tcPr>
            <w:tcW w:w="1306" w:type="pct"/>
          </w:tcPr>
          <w:p w14:paraId="47CCC855" w14:textId="2D2B4AE6" w:rsidR="00EB4542" w:rsidRPr="000572D3" w:rsidRDefault="00F42A45" w:rsidP="006A1236">
            <w:pPr>
              <w:rPr>
                <w:rFonts w:ascii="Arial" w:hAnsi="Arial" w:cs="Arial"/>
              </w:rPr>
            </w:pPr>
            <w:r w:rsidRPr="000572D3">
              <w:rPr>
                <w:rFonts w:ascii="Arial" w:hAnsi="Arial" w:cs="Arial"/>
              </w:rPr>
              <w:t>Better understanding of the needs of the people in the area</w:t>
            </w:r>
          </w:p>
        </w:tc>
        <w:tc>
          <w:tcPr>
            <w:tcW w:w="1166" w:type="pct"/>
            <w:shd w:val="clear" w:color="auto" w:fill="FFE599" w:themeFill="accent4" w:themeFillTint="66"/>
          </w:tcPr>
          <w:p w14:paraId="162E4145" w14:textId="161449D2" w:rsidR="00EB4542" w:rsidRPr="000572D3" w:rsidRDefault="00F42A45" w:rsidP="006A1236">
            <w:pPr>
              <w:rPr>
                <w:rFonts w:ascii="Arial" w:hAnsi="Arial" w:cs="Arial"/>
              </w:rPr>
            </w:pPr>
            <w:r w:rsidRPr="000572D3">
              <w:rPr>
                <w:rFonts w:ascii="Arial" w:hAnsi="Arial" w:cs="Arial"/>
              </w:rPr>
              <w:t>Engage local partners/personnel who are trained</w:t>
            </w:r>
          </w:p>
        </w:tc>
      </w:tr>
      <w:tr w:rsidR="00EB4542" w:rsidRPr="000572D3" w14:paraId="43C3B24A" w14:textId="77777777" w:rsidTr="000572D3">
        <w:trPr>
          <w:trHeight w:val="403"/>
        </w:trPr>
        <w:tc>
          <w:tcPr>
            <w:tcW w:w="751" w:type="pct"/>
            <w:shd w:val="clear" w:color="auto" w:fill="FFE599" w:themeFill="accent4" w:themeFillTint="66"/>
          </w:tcPr>
          <w:p w14:paraId="0D9F84E3" w14:textId="77777777" w:rsidR="00F42A45" w:rsidRPr="000572D3" w:rsidRDefault="00F42A45" w:rsidP="006A1236">
            <w:pPr>
              <w:rPr>
                <w:rFonts w:ascii="Arial" w:hAnsi="Arial" w:cs="Arial"/>
                <w:b/>
                <w:bCs/>
              </w:rPr>
            </w:pPr>
            <w:r w:rsidRPr="000572D3">
              <w:rPr>
                <w:rFonts w:ascii="Arial" w:hAnsi="Arial" w:cs="Arial"/>
                <w:b/>
                <w:bCs/>
              </w:rPr>
              <w:t>Process</w:t>
            </w:r>
          </w:p>
          <w:p w14:paraId="6D13B39F" w14:textId="77777777" w:rsidR="00EB4542" w:rsidRPr="000572D3" w:rsidRDefault="00EB4542" w:rsidP="006A1236">
            <w:pPr>
              <w:rPr>
                <w:rFonts w:ascii="Arial" w:hAnsi="Arial" w:cs="Arial"/>
                <w:b/>
                <w:bCs/>
              </w:rPr>
            </w:pPr>
          </w:p>
        </w:tc>
        <w:tc>
          <w:tcPr>
            <w:tcW w:w="973" w:type="pct"/>
          </w:tcPr>
          <w:p w14:paraId="27DEDC17" w14:textId="26C42F9A" w:rsidR="00EB4542" w:rsidRPr="000572D3" w:rsidRDefault="00F42A45" w:rsidP="006A1236">
            <w:pPr>
              <w:rPr>
                <w:rFonts w:ascii="Arial" w:hAnsi="Arial" w:cs="Arial"/>
              </w:rPr>
            </w:pPr>
            <w:r w:rsidRPr="000572D3">
              <w:rPr>
                <w:rFonts w:ascii="Arial" w:hAnsi="Arial" w:cs="Arial"/>
              </w:rPr>
              <w:t>Predictable and well-formed buying process</w:t>
            </w:r>
          </w:p>
        </w:tc>
        <w:tc>
          <w:tcPr>
            <w:tcW w:w="804" w:type="pct"/>
            <w:shd w:val="clear" w:color="auto" w:fill="FFE599" w:themeFill="accent4" w:themeFillTint="66"/>
          </w:tcPr>
          <w:p w14:paraId="2BAE259D" w14:textId="64A5B19B" w:rsidR="00EB4542" w:rsidRPr="000572D3" w:rsidRDefault="00F42A45" w:rsidP="006A1236">
            <w:pPr>
              <w:rPr>
                <w:rFonts w:ascii="Arial" w:hAnsi="Arial" w:cs="Arial"/>
              </w:rPr>
            </w:pPr>
            <w:r w:rsidRPr="000572D3">
              <w:rPr>
                <w:rFonts w:ascii="Arial" w:hAnsi="Arial" w:cs="Arial"/>
              </w:rPr>
              <w:t>Increased complexity in supply and payment</w:t>
            </w:r>
          </w:p>
        </w:tc>
        <w:tc>
          <w:tcPr>
            <w:tcW w:w="1306" w:type="pct"/>
          </w:tcPr>
          <w:p w14:paraId="52E5C7E8" w14:textId="2B59F446" w:rsidR="00EB4542" w:rsidRPr="000572D3" w:rsidRDefault="00F42A45" w:rsidP="006A1236">
            <w:pPr>
              <w:rPr>
                <w:rFonts w:ascii="Arial" w:hAnsi="Arial" w:cs="Arial"/>
              </w:rPr>
            </w:pPr>
            <w:r w:rsidRPr="000572D3">
              <w:rPr>
                <w:rFonts w:ascii="Arial" w:hAnsi="Arial" w:cs="Arial"/>
              </w:rPr>
              <w:t>Risk of the process in Cuba is significantly greater</w:t>
            </w:r>
          </w:p>
        </w:tc>
        <w:tc>
          <w:tcPr>
            <w:tcW w:w="1166" w:type="pct"/>
            <w:shd w:val="clear" w:color="auto" w:fill="FFE599" w:themeFill="accent4" w:themeFillTint="66"/>
          </w:tcPr>
          <w:p w14:paraId="5433013F" w14:textId="6DB52512" w:rsidR="00EB4542" w:rsidRPr="000572D3" w:rsidRDefault="00F42A45" w:rsidP="006A1236">
            <w:pPr>
              <w:rPr>
                <w:rFonts w:ascii="Arial" w:hAnsi="Arial" w:cs="Arial"/>
              </w:rPr>
            </w:pPr>
            <w:r w:rsidRPr="000572D3">
              <w:rPr>
                <w:rFonts w:ascii="Arial" w:hAnsi="Arial" w:cs="Arial"/>
              </w:rPr>
              <w:t>Implement phased supply/delivery</w:t>
            </w:r>
          </w:p>
        </w:tc>
      </w:tr>
      <w:tr w:rsidR="00EB4542" w:rsidRPr="000572D3" w14:paraId="568BC914" w14:textId="77777777" w:rsidTr="000572D3">
        <w:trPr>
          <w:trHeight w:val="403"/>
        </w:trPr>
        <w:tc>
          <w:tcPr>
            <w:tcW w:w="751" w:type="pct"/>
            <w:shd w:val="clear" w:color="auto" w:fill="FFE599" w:themeFill="accent4" w:themeFillTint="66"/>
          </w:tcPr>
          <w:p w14:paraId="459BAA02" w14:textId="257C7A9C" w:rsidR="00EB4542" w:rsidRPr="000572D3" w:rsidRDefault="00F42A45" w:rsidP="006A1236">
            <w:pPr>
              <w:rPr>
                <w:rFonts w:ascii="Arial" w:hAnsi="Arial" w:cs="Arial"/>
                <w:b/>
                <w:bCs/>
              </w:rPr>
            </w:pPr>
            <w:r w:rsidRPr="000572D3">
              <w:rPr>
                <w:rFonts w:ascii="Arial" w:hAnsi="Arial" w:cs="Arial"/>
                <w:b/>
                <w:bCs/>
              </w:rPr>
              <w:t>Physical Evidence</w:t>
            </w:r>
          </w:p>
        </w:tc>
        <w:tc>
          <w:tcPr>
            <w:tcW w:w="973" w:type="pct"/>
          </w:tcPr>
          <w:p w14:paraId="7FD5E27E" w14:textId="25E97E9A" w:rsidR="00EB4542" w:rsidRPr="000572D3" w:rsidRDefault="00F42A45" w:rsidP="006A1236">
            <w:pPr>
              <w:rPr>
                <w:rFonts w:ascii="Arial" w:hAnsi="Arial" w:cs="Arial"/>
              </w:rPr>
            </w:pPr>
            <w:r w:rsidRPr="000572D3">
              <w:rPr>
                <w:rFonts w:ascii="Arial" w:hAnsi="Arial" w:cs="Arial"/>
              </w:rPr>
              <w:t>High brand recognition and good foundations</w:t>
            </w:r>
          </w:p>
        </w:tc>
        <w:tc>
          <w:tcPr>
            <w:tcW w:w="804" w:type="pct"/>
            <w:shd w:val="clear" w:color="auto" w:fill="FFE599" w:themeFill="accent4" w:themeFillTint="66"/>
          </w:tcPr>
          <w:p w14:paraId="4B5EFED3" w14:textId="0B9F7810" w:rsidR="00EB4542" w:rsidRPr="000572D3" w:rsidRDefault="00F42A45" w:rsidP="006A1236">
            <w:pPr>
              <w:rPr>
                <w:rFonts w:ascii="Arial" w:hAnsi="Arial" w:cs="Arial"/>
              </w:rPr>
            </w:pPr>
            <w:r w:rsidRPr="000572D3">
              <w:rPr>
                <w:rFonts w:ascii="Arial" w:hAnsi="Arial" w:cs="Arial"/>
              </w:rPr>
              <w:t>There is a possible need for more brand-building</w:t>
            </w:r>
          </w:p>
        </w:tc>
        <w:tc>
          <w:tcPr>
            <w:tcW w:w="1306" w:type="pct"/>
          </w:tcPr>
          <w:p w14:paraId="1662B2A8" w14:textId="3240B330" w:rsidR="00EB4542" w:rsidRPr="000572D3" w:rsidRDefault="00F42A45" w:rsidP="006A1236">
            <w:pPr>
              <w:rPr>
                <w:rFonts w:ascii="Arial" w:hAnsi="Arial" w:cs="Arial"/>
              </w:rPr>
            </w:pPr>
            <w:r w:rsidRPr="000572D3">
              <w:rPr>
                <w:rFonts w:ascii="Arial" w:hAnsi="Arial" w:cs="Arial"/>
              </w:rPr>
              <w:t>Consistency of the brand identity should be maintained</w:t>
            </w:r>
          </w:p>
        </w:tc>
        <w:tc>
          <w:tcPr>
            <w:tcW w:w="1166" w:type="pct"/>
            <w:shd w:val="clear" w:color="auto" w:fill="FFE599" w:themeFill="accent4" w:themeFillTint="66"/>
          </w:tcPr>
          <w:p w14:paraId="636C8DE0" w14:textId="42E971D3" w:rsidR="00EB4542" w:rsidRPr="000572D3" w:rsidRDefault="00F42A45" w:rsidP="006A1236">
            <w:pPr>
              <w:rPr>
                <w:rFonts w:ascii="Arial" w:hAnsi="Arial" w:cs="Arial"/>
              </w:rPr>
            </w:pPr>
            <w:r w:rsidRPr="000572D3">
              <w:rPr>
                <w:rFonts w:ascii="Arial" w:hAnsi="Arial" w:cs="Arial"/>
              </w:rPr>
              <w:t>Foster changes in packaging and in-store displays</w:t>
            </w:r>
          </w:p>
        </w:tc>
      </w:tr>
    </w:tbl>
    <w:p w14:paraId="14D08066" w14:textId="310921AE" w:rsidR="00F42A45" w:rsidRPr="000572D3" w:rsidRDefault="00F42A45" w:rsidP="006A1236">
      <w:pPr>
        <w:pStyle w:val="Caption"/>
        <w:keepNext/>
        <w:spacing w:after="160"/>
        <w:jc w:val="center"/>
        <w:rPr>
          <w:rFonts w:ascii="Arial" w:hAnsi="Arial" w:cs="Arial"/>
          <w:bCs/>
        </w:rPr>
      </w:pPr>
      <w:r w:rsidRPr="000572D3">
        <w:rPr>
          <w:rFonts w:ascii="Arial" w:hAnsi="Arial" w:cs="Arial"/>
        </w:rPr>
        <w:lastRenderedPageBreak/>
        <w:t xml:space="preserve">Table </w:t>
      </w:r>
      <w:r w:rsidR="000572D3" w:rsidRPr="000572D3">
        <w:rPr>
          <w:rFonts w:ascii="Arial" w:hAnsi="Arial" w:cs="Arial"/>
        </w:rPr>
        <w:t>3</w:t>
      </w:r>
      <w:r w:rsidRPr="000572D3">
        <w:rPr>
          <w:rFonts w:ascii="Arial" w:hAnsi="Arial" w:cs="Arial"/>
        </w:rPr>
        <w:t xml:space="preserve">: </w:t>
      </w:r>
      <w:r w:rsidRPr="000572D3">
        <w:rPr>
          <w:rFonts w:ascii="Arial" w:hAnsi="Arial" w:cs="Arial"/>
          <w:bCs/>
        </w:rPr>
        <w:t>Similarities and Differences in the 7Ps of Cadbury</w:t>
      </w:r>
    </w:p>
    <w:p w14:paraId="548F2A67" w14:textId="1DDA84DA" w:rsidR="007037B5" w:rsidRPr="000572D3" w:rsidRDefault="00F42A45" w:rsidP="006A1236">
      <w:pPr>
        <w:jc w:val="center"/>
        <w:rPr>
          <w:rFonts w:ascii="Arial" w:hAnsi="Arial" w:cs="Arial"/>
        </w:rPr>
      </w:pPr>
      <w:r w:rsidRPr="000572D3">
        <w:rPr>
          <w:rFonts w:ascii="Arial" w:hAnsi="Arial" w:cs="Arial"/>
        </w:rPr>
        <w:t>(Source: Self-Created)</w:t>
      </w:r>
    </w:p>
    <w:p w14:paraId="135A960D" w14:textId="77777777" w:rsidR="007037B5" w:rsidRPr="000572D3" w:rsidRDefault="007037B5" w:rsidP="006A1236">
      <w:pPr>
        <w:rPr>
          <w:rFonts w:ascii="Arial" w:hAnsi="Arial" w:cs="Arial"/>
        </w:rPr>
      </w:pPr>
      <w:r w:rsidRPr="000572D3">
        <w:rPr>
          <w:rFonts w:ascii="Arial" w:hAnsi="Arial" w:cs="Arial"/>
        </w:rPr>
        <w:t>The comparison has shown that the standardisation is suitable for the main Cadbury's brand identity, whereas adaptation is important for operational elements of the marketing mix. Product variety, pricing and distribution cannot simply be exported to the UK, nor can the UK promotional execution, people and process and physical presentation.</w:t>
      </w:r>
    </w:p>
    <w:p w14:paraId="153B2207" w14:textId="77777777" w:rsidR="007037B5" w:rsidRPr="000572D3" w:rsidRDefault="007037B5" w:rsidP="006A1236">
      <w:pPr>
        <w:pStyle w:val="Heading1"/>
        <w:spacing w:after="160"/>
        <w:rPr>
          <w:rFonts w:cs="Arial"/>
        </w:rPr>
      </w:pPr>
      <w:bookmarkStart w:id="30" w:name="_Toc237444447"/>
      <w:r w:rsidRPr="000572D3">
        <w:rPr>
          <w:rFonts w:cs="Arial"/>
        </w:rPr>
        <w:t>7. Cadbury's Market Entry Strategy for Cuba</w:t>
      </w:r>
      <w:bookmarkEnd w:id="30"/>
    </w:p>
    <w:p w14:paraId="18952DF4" w14:textId="77777777" w:rsidR="007037B5" w:rsidRPr="000572D3" w:rsidRDefault="007037B5" w:rsidP="006A1236">
      <w:pPr>
        <w:pStyle w:val="Heading2"/>
        <w:spacing w:after="160"/>
        <w:rPr>
          <w:rFonts w:cs="Arial"/>
        </w:rPr>
      </w:pPr>
      <w:bookmarkStart w:id="31" w:name="_Toc237444448"/>
      <w:r w:rsidRPr="000572D3">
        <w:rPr>
          <w:rFonts w:cs="Arial"/>
        </w:rPr>
        <w:t>7.1 Cuba market attractiveness and entry strategy</w:t>
      </w:r>
      <w:bookmarkEnd w:id="31"/>
    </w:p>
    <w:p w14:paraId="2E10A117" w14:textId="0F46B36A" w:rsidR="007037B5" w:rsidRPr="000572D3" w:rsidRDefault="007037B5" w:rsidP="006A1236">
      <w:pPr>
        <w:rPr>
          <w:rFonts w:ascii="Arial" w:hAnsi="Arial" w:cs="Arial"/>
        </w:rPr>
      </w:pPr>
      <w:r w:rsidRPr="000572D3">
        <w:rPr>
          <w:rFonts w:ascii="Arial" w:hAnsi="Arial" w:cs="Arial"/>
        </w:rPr>
        <w:t>Cadbury has seen Cuba as a potential market that is high risk. Low economic strength, low purchasing power, foreign-exchange pressures and supply shortages make much larger scales less attractive in the short term. There is potential, however, for selected demand during tourist seasons and to provide gifts on occasions and consumers who are more able to use foreign currency than in other seasons</w:t>
      </w:r>
      <w:r w:rsidR="00E56E62" w:rsidRPr="000572D3">
        <w:rPr>
          <w:rFonts w:ascii="Arial" w:hAnsi="Arial" w:cs="Arial"/>
        </w:rPr>
        <w:t xml:space="preserve"> (Spadoni, 2023)</w:t>
      </w:r>
      <w:r w:rsidRPr="000572D3">
        <w:rPr>
          <w:rFonts w:ascii="Arial" w:hAnsi="Arial" w:cs="Arial"/>
        </w:rPr>
        <w:t>.</w:t>
      </w:r>
    </w:p>
    <w:p w14:paraId="4F00B2B7" w14:textId="349B1288" w:rsidR="007037B5" w:rsidRPr="000572D3" w:rsidRDefault="007037B5" w:rsidP="006A1236">
      <w:pPr>
        <w:rPr>
          <w:rFonts w:ascii="Arial" w:hAnsi="Arial" w:cs="Arial"/>
          <w:lang w:val="en-IN"/>
        </w:rPr>
      </w:pPr>
      <w:r w:rsidRPr="000572D3">
        <w:rPr>
          <w:rFonts w:ascii="Arial" w:hAnsi="Arial" w:cs="Arial"/>
        </w:rPr>
        <w:t>Exporting is the best entry mode for Cadbury since it will not need much investment and Cadbury will be able to keep their product quality and brand standards. Though licensing can diminish operations, it also can lead to increased difficulties with brand presentation and quality control. Using a joint venture or strategic partnership would raise the level of commitment and bring local knowledge and distribution to the table</w:t>
      </w:r>
      <w:r w:rsidR="00E56E62" w:rsidRPr="000572D3">
        <w:rPr>
          <w:rFonts w:ascii="Arial" w:hAnsi="Arial" w:cs="Arial"/>
        </w:rPr>
        <w:t xml:space="preserve"> (</w:t>
      </w:r>
      <w:proofErr w:type="spellStart"/>
      <w:r w:rsidR="00E56E62" w:rsidRPr="000572D3">
        <w:rPr>
          <w:rFonts w:ascii="Arial" w:hAnsi="Arial" w:cs="Arial"/>
        </w:rPr>
        <w:t>Romanò</w:t>
      </w:r>
      <w:proofErr w:type="spellEnd"/>
      <w:r w:rsidR="00E56E62" w:rsidRPr="000572D3">
        <w:rPr>
          <w:rFonts w:ascii="Arial" w:hAnsi="Arial" w:cs="Arial"/>
        </w:rPr>
        <w:t xml:space="preserve"> and Barrera, 2021)</w:t>
      </w:r>
      <w:r w:rsidRPr="000572D3">
        <w:rPr>
          <w:rFonts w:ascii="Arial" w:hAnsi="Arial" w:cs="Arial"/>
        </w:rPr>
        <w:t>.</w:t>
      </w:r>
      <w:r w:rsidR="00656379" w:rsidRPr="000572D3">
        <w:rPr>
          <w:rFonts w:ascii="Arial" w:hAnsi="Arial" w:cs="Arial"/>
        </w:rPr>
        <w:t xml:space="preserve"> </w:t>
      </w:r>
      <w:r w:rsidR="00656379" w:rsidRPr="000572D3">
        <w:rPr>
          <w:rFonts w:ascii="Arial" w:hAnsi="Arial" w:cs="Arial"/>
          <w:lang w:val="en-IN"/>
        </w:rPr>
        <w:t>Entry Method: India - joint venture/acquisition (1948); Advantage: local insight; Disadvantage: regulatory complexity.</w:t>
      </w:r>
    </w:p>
    <w:p w14:paraId="4DC657EF" w14:textId="63E62B4D" w:rsidR="007037B5" w:rsidRPr="000572D3" w:rsidRDefault="00F42A45" w:rsidP="006A1236">
      <w:pPr>
        <w:pStyle w:val="Heading1"/>
        <w:spacing w:after="160"/>
        <w:rPr>
          <w:rFonts w:cs="Arial"/>
        </w:rPr>
      </w:pPr>
      <w:bookmarkStart w:id="32" w:name="_Toc237444449"/>
      <w:r w:rsidRPr="000572D3">
        <w:rPr>
          <w:rFonts w:cs="Arial"/>
        </w:rPr>
        <w:t>8</w:t>
      </w:r>
      <w:r w:rsidR="007037B5" w:rsidRPr="000572D3">
        <w:rPr>
          <w:rFonts w:cs="Arial"/>
        </w:rPr>
        <w:t>. Recommendations on Cadbury's Marketing Strategy</w:t>
      </w:r>
      <w:bookmarkEnd w:id="32"/>
    </w:p>
    <w:p w14:paraId="4D283CBF" w14:textId="77777777" w:rsidR="007037B5" w:rsidRPr="000572D3" w:rsidRDefault="007037B5" w:rsidP="006A1236">
      <w:pPr>
        <w:pStyle w:val="Heading2"/>
        <w:spacing w:after="160"/>
        <w:rPr>
          <w:rFonts w:cs="Arial"/>
        </w:rPr>
      </w:pPr>
      <w:bookmarkStart w:id="33" w:name="_Toc237444450"/>
      <w:r w:rsidRPr="000572D3">
        <w:rPr>
          <w:rFonts w:cs="Arial"/>
        </w:rPr>
        <w:t>8.1 Ethical Marketing Considerations</w:t>
      </w:r>
      <w:bookmarkEnd w:id="33"/>
    </w:p>
    <w:p w14:paraId="1BAF4BD2" w14:textId="09C05A24" w:rsidR="007037B5" w:rsidRPr="000572D3" w:rsidRDefault="007037B5" w:rsidP="006A1236">
      <w:pPr>
        <w:rPr>
          <w:rFonts w:ascii="Arial" w:hAnsi="Arial" w:cs="Arial"/>
        </w:rPr>
      </w:pPr>
      <w:r w:rsidRPr="000572D3">
        <w:rPr>
          <w:rFonts w:ascii="Arial" w:hAnsi="Arial" w:cs="Arial"/>
        </w:rPr>
        <w:t>Cadbury needs to direct itself to act in an ethical manner in the markets where they have a business plan because the market conditions present vary in different parts of the world. Price issues, product claims, promotion and targeting decisions must be consumer welfare-based, not just based on commercial purposes</w:t>
      </w:r>
      <w:r w:rsidR="00E56E62" w:rsidRPr="000572D3">
        <w:rPr>
          <w:rFonts w:ascii="Arial" w:hAnsi="Arial" w:cs="Arial"/>
        </w:rPr>
        <w:t xml:space="preserve"> (Dastane </w:t>
      </w:r>
      <w:r w:rsidR="00E56E62" w:rsidRPr="000572D3">
        <w:rPr>
          <w:rFonts w:ascii="Arial" w:hAnsi="Arial" w:cs="Arial"/>
          <w:i/>
          <w:iCs/>
        </w:rPr>
        <w:t>et al.,</w:t>
      </w:r>
      <w:r w:rsidR="00E56E62" w:rsidRPr="000572D3">
        <w:rPr>
          <w:rFonts w:ascii="Arial" w:hAnsi="Arial" w:cs="Arial"/>
        </w:rPr>
        <w:t xml:space="preserve"> 2026)</w:t>
      </w:r>
      <w:r w:rsidRPr="000572D3">
        <w:rPr>
          <w:rFonts w:ascii="Arial" w:hAnsi="Arial" w:cs="Arial"/>
        </w:rPr>
        <w:t xml:space="preserve">. Therefore, ethical practice should go beyond the legal framework and comprise transparency, responsible targeting </w:t>
      </w:r>
      <w:r w:rsidR="00EB4542" w:rsidRPr="000572D3">
        <w:rPr>
          <w:rFonts w:ascii="Arial" w:hAnsi="Arial" w:cs="Arial"/>
        </w:rPr>
        <w:t>and</w:t>
      </w:r>
      <w:r w:rsidRPr="000572D3">
        <w:rPr>
          <w:rFonts w:ascii="Arial" w:hAnsi="Arial" w:cs="Arial"/>
        </w:rPr>
        <w:t xml:space="preserve"> cultural sensitivity.</w:t>
      </w:r>
    </w:p>
    <w:p w14:paraId="2EFC885D" w14:textId="77777777" w:rsidR="007037B5" w:rsidRPr="000572D3" w:rsidRDefault="007037B5" w:rsidP="006A1236">
      <w:pPr>
        <w:pStyle w:val="Heading2"/>
        <w:spacing w:after="160"/>
        <w:rPr>
          <w:rFonts w:cs="Arial"/>
        </w:rPr>
      </w:pPr>
      <w:bookmarkStart w:id="34" w:name="_Toc237444451"/>
      <w:r w:rsidRPr="000572D3">
        <w:rPr>
          <w:rFonts w:cs="Arial"/>
        </w:rPr>
        <w:lastRenderedPageBreak/>
        <w:t>8.2 Experiential comparison: United Kingdom and Cuba</w:t>
      </w:r>
      <w:bookmarkEnd w:id="34"/>
    </w:p>
    <w:p w14:paraId="29081FCB" w14:textId="664154E2" w:rsidR="007037B5" w:rsidRPr="000572D3" w:rsidRDefault="007037B5" w:rsidP="006A1236">
      <w:pPr>
        <w:rPr>
          <w:rFonts w:ascii="Arial" w:hAnsi="Arial" w:cs="Arial"/>
        </w:rPr>
      </w:pPr>
      <w:r w:rsidRPr="000572D3">
        <w:rPr>
          <w:rFonts w:ascii="Arial" w:hAnsi="Arial" w:cs="Arial"/>
        </w:rPr>
        <w:t>In the UK, issues raised include mainly transparency of product information, responsible advertising, nutrition communication and credible sustainability claims. The power of Cadbury's brand recognition provides an added burden as consumers may trust Cadbury's communication</w:t>
      </w:r>
      <w:r w:rsidR="00E56E62" w:rsidRPr="000572D3">
        <w:rPr>
          <w:rFonts w:ascii="Arial" w:hAnsi="Arial" w:cs="Arial"/>
        </w:rPr>
        <w:t xml:space="preserve"> (Cao </w:t>
      </w:r>
      <w:r w:rsidR="00E56E62" w:rsidRPr="000572D3">
        <w:rPr>
          <w:rFonts w:ascii="Arial" w:hAnsi="Arial" w:cs="Arial"/>
          <w:i/>
          <w:iCs/>
        </w:rPr>
        <w:t>et al.,</w:t>
      </w:r>
      <w:r w:rsidR="00E56E62" w:rsidRPr="000572D3">
        <w:rPr>
          <w:rFonts w:ascii="Arial" w:hAnsi="Arial" w:cs="Arial"/>
        </w:rPr>
        <w:t xml:space="preserve"> 2023)</w:t>
      </w:r>
      <w:r w:rsidRPr="000572D3">
        <w:rPr>
          <w:rFonts w:ascii="Arial" w:hAnsi="Arial" w:cs="Arial"/>
        </w:rPr>
        <w:t>. Thus, the company should refrain from making claims that could be interpreted as misleading and call for the substantiation of environmental and social claims in statements.</w:t>
      </w:r>
    </w:p>
    <w:p w14:paraId="37B87794" w14:textId="64FA1CF6" w:rsidR="007037B5" w:rsidRPr="000572D3" w:rsidRDefault="007037B5" w:rsidP="006A1236">
      <w:pPr>
        <w:rPr>
          <w:rFonts w:ascii="Arial" w:hAnsi="Arial" w:cs="Arial"/>
        </w:rPr>
      </w:pPr>
      <w:r w:rsidRPr="000572D3">
        <w:rPr>
          <w:rFonts w:ascii="Arial" w:hAnsi="Arial" w:cs="Arial"/>
        </w:rPr>
        <w:t>Cuba also considers affordability and accessibility more important ethical factors since consumers might not be able to purchase non-essential products due to economic factors or lack of purchasing power. Such price or other promotion policies might thus have a disproportionate impact on financially limited consumers. Instead of coming up with an approach which involves direct transfer of the Cadbury strategy into their origin country, it is advisable for Cadbury to change the approach in order to suit local economic realities</w:t>
      </w:r>
      <w:r w:rsidR="00E56E62" w:rsidRPr="000572D3">
        <w:rPr>
          <w:rFonts w:ascii="Arial" w:hAnsi="Arial" w:cs="Arial"/>
        </w:rPr>
        <w:t xml:space="preserve"> (Sainsbury and McCarthy, 2022)</w:t>
      </w:r>
      <w:r w:rsidRPr="000572D3">
        <w:rPr>
          <w:rFonts w:ascii="Arial" w:hAnsi="Arial" w:cs="Arial"/>
        </w:rPr>
        <w:t>.</w:t>
      </w:r>
    </w:p>
    <w:p w14:paraId="3AD03186" w14:textId="77777777" w:rsidR="007037B5" w:rsidRPr="000572D3" w:rsidRDefault="007037B5" w:rsidP="006A1236">
      <w:pPr>
        <w:pStyle w:val="Heading2"/>
        <w:spacing w:after="160"/>
        <w:rPr>
          <w:rFonts w:cs="Arial"/>
        </w:rPr>
      </w:pPr>
      <w:bookmarkStart w:id="35" w:name="_Toc237444452"/>
      <w:r w:rsidRPr="000572D3">
        <w:rPr>
          <w:rFonts w:cs="Arial"/>
        </w:rPr>
        <w:t>8.3 Recommendations</w:t>
      </w:r>
      <w:bookmarkEnd w:id="35"/>
    </w:p>
    <w:p w14:paraId="6008A377" w14:textId="0EDD5FBD" w:rsidR="007037B5" w:rsidRPr="000572D3" w:rsidRDefault="007037B5" w:rsidP="006A1236">
      <w:pPr>
        <w:rPr>
          <w:rFonts w:ascii="Arial" w:hAnsi="Arial" w:cs="Arial"/>
        </w:rPr>
      </w:pPr>
      <w:r w:rsidRPr="000572D3">
        <w:rPr>
          <w:rFonts w:ascii="Arial" w:hAnsi="Arial" w:cs="Arial"/>
        </w:rPr>
        <w:t>Cadbury must give truthful content and nutritional data and show its price and sustainability score in both markets. To avoid the greenwashing risk, sustainability claims should be measurable and transparent. The company should also refrain from advertising that stimulates hyper-consumption and/or takes advantage of vulnerable populations such as children. Responsible consumption and pack sizes that are suitable to the Cuban economic environment and price setting would enhance accessibility</w:t>
      </w:r>
      <w:r w:rsidR="0032153F" w:rsidRPr="000572D3">
        <w:rPr>
          <w:rFonts w:ascii="Arial" w:hAnsi="Arial" w:cs="Arial"/>
        </w:rPr>
        <w:t xml:space="preserve"> (Ramírez-Márquez </w:t>
      </w:r>
      <w:r w:rsidR="0032153F" w:rsidRPr="000572D3">
        <w:rPr>
          <w:rFonts w:ascii="Arial" w:hAnsi="Arial" w:cs="Arial"/>
          <w:i/>
          <w:iCs/>
        </w:rPr>
        <w:t>et al.,</w:t>
      </w:r>
      <w:r w:rsidR="0032153F" w:rsidRPr="000572D3">
        <w:rPr>
          <w:rFonts w:ascii="Arial" w:hAnsi="Arial" w:cs="Arial"/>
        </w:rPr>
        <w:t xml:space="preserve"> 2025)</w:t>
      </w:r>
      <w:r w:rsidRPr="000572D3">
        <w:rPr>
          <w:rFonts w:ascii="Arial" w:hAnsi="Arial" w:cs="Arial"/>
        </w:rPr>
        <w:t xml:space="preserve">. </w:t>
      </w:r>
    </w:p>
    <w:p w14:paraId="4673F880" w14:textId="77777777" w:rsidR="007037B5" w:rsidRPr="000572D3" w:rsidRDefault="007037B5" w:rsidP="006A1236">
      <w:pPr>
        <w:pStyle w:val="Heading1"/>
        <w:spacing w:after="160"/>
        <w:rPr>
          <w:rFonts w:cs="Arial"/>
        </w:rPr>
      </w:pPr>
      <w:r w:rsidRPr="000572D3">
        <w:rPr>
          <w:rFonts w:cs="Arial"/>
        </w:rPr>
        <w:t xml:space="preserve">  </w:t>
      </w:r>
      <w:bookmarkStart w:id="36" w:name="_Toc237444453"/>
      <w:r w:rsidRPr="000572D3">
        <w:rPr>
          <w:rFonts w:cs="Arial"/>
        </w:rPr>
        <w:t>9. Strategic Recommendations</w:t>
      </w:r>
      <w:bookmarkEnd w:id="36"/>
    </w:p>
    <w:p w14:paraId="6A113265" w14:textId="64CB6FF9" w:rsidR="007037B5" w:rsidRPr="000572D3" w:rsidRDefault="007037B5" w:rsidP="006A1236">
      <w:pPr>
        <w:pStyle w:val="Heading2"/>
        <w:spacing w:after="160"/>
        <w:rPr>
          <w:rFonts w:cs="Arial"/>
        </w:rPr>
      </w:pPr>
      <w:bookmarkStart w:id="37" w:name="_Toc237444454"/>
      <w:r w:rsidRPr="000572D3">
        <w:rPr>
          <w:rFonts w:cs="Arial"/>
        </w:rPr>
        <w:t xml:space="preserve">9.1 </w:t>
      </w:r>
      <w:r w:rsidR="00F42A45" w:rsidRPr="000572D3">
        <w:rPr>
          <w:rFonts w:cs="Arial"/>
        </w:rPr>
        <w:t xml:space="preserve">Recommendation 1: </w:t>
      </w:r>
      <w:r w:rsidRPr="000572D3">
        <w:rPr>
          <w:rFonts w:cs="Arial"/>
        </w:rPr>
        <w:t>Cadbury's UK Strategy</w:t>
      </w:r>
      <w:bookmarkEnd w:id="37"/>
      <w:r w:rsidRPr="000572D3">
        <w:rPr>
          <w:rFonts w:cs="Arial"/>
        </w:rPr>
        <w:t xml:space="preserve">  </w:t>
      </w:r>
    </w:p>
    <w:p w14:paraId="30C73C1C" w14:textId="77777777" w:rsidR="007037B5" w:rsidRPr="000572D3" w:rsidRDefault="007037B5" w:rsidP="006A1236">
      <w:pPr>
        <w:rPr>
          <w:rFonts w:ascii="Arial" w:hAnsi="Arial" w:cs="Arial"/>
        </w:rPr>
      </w:pPr>
      <w:r w:rsidRPr="000572D3">
        <w:rPr>
          <w:rFonts w:ascii="Arial" w:hAnsi="Arial" w:cs="Arial"/>
        </w:rPr>
        <w:t>Cadbury must be a more dynamic player in the United Kingdom and can bolster its presence by creating more new products, seasonal foods, and doing more with digital and sustainability. To sustain brand awareness and cater for shifting consumer tastes may be important if competitiveness is to be maintained.</w:t>
      </w:r>
    </w:p>
    <w:p w14:paraId="6659DBD5" w14:textId="18916CBF" w:rsidR="007037B5" w:rsidRPr="000572D3" w:rsidRDefault="007037B5" w:rsidP="006A1236">
      <w:pPr>
        <w:pStyle w:val="Heading2"/>
        <w:spacing w:after="160"/>
        <w:rPr>
          <w:rFonts w:cs="Arial"/>
        </w:rPr>
      </w:pPr>
      <w:bookmarkStart w:id="38" w:name="_Toc237444455"/>
      <w:r w:rsidRPr="000572D3">
        <w:rPr>
          <w:rFonts w:cs="Arial"/>
        </w:rPr>
        <w:lastRenderedPageBreak/>
        <w:t>9.2 Recommendation</w:t>
      </w:r>
      <w:r w:rsidR="00F42A45" w:rsidRPr="000572D3">
        <w:rPr>
          <w:rFonts w:cs="Arial"/>
        </w:rPr>
        <w:t xml:space="preserve"> 2:</w:t>
      </w:r>
      <w:r w:rsidRPr="000572D3">
        <w:rPr>
          <w:rFonts w:cs="Arial"/>
        </w:rPr>
        <w:t xml:space="preserve"> Cadbury's Cuba Strategy</w:t>
      </w:r>
      <w:bookmarkEnd w:id="38"/>
    </w:p>
    <w:p w14:paraId="2053562B" w14:textId="77777777" w:rsidR="007037B5" w:rsidRPr="000572D3" w:rsidRDefault="007037B5" w:rsidP="006A1236">
      <w:pPr>
        <w:rPr>
          <w:rFonts w:ascii="Arial" w:hAnsi="Arial" w:cs="Arial"/>
        </w:rPr>
      </w:pPr>
      <w:r w:rsidRPr="000572D3">
        <w:rPr>
          <w:rFonts w:ascii="Arial" w:hAnsi="Arial" w:cs="Arial"/>
        </w:rPr>
        <w:t>Cadbury should move in and be careful about certain target consumer groups and targeting tourism-related activities and gifting occasions instead of actually going to the mass market of Cuba.</w:t>
      </w:r>
    </w:p>
    <w:p w14:paraId="381D76A7" w14:textId="77777777" w:rsidR="007037B5" w:rsidRPr="000572D3" w:rsidRDefault="007037B5" w:rsidP="006A1236">
      <w:pPr>
        <w:pStyle w:val="Heading2"/>
        <w:spacing w:after="160"/>
        <w:rPr>
          <w:rFonts w:cs="Arial"/>
        </w:rPr>
      </w:pPr>
      <w:bookmarkStart w:id="39" w:name="_Toc237444456"/>
      <w:r w:rsidRPr="000572D3">
        <w:rPr>
          <w:rFonts w:cs="Arial"/>
        </w:rPr>
        <w:t>9.3 Marketing-Mix Recommendations</w:t>
      </w:r>
      <w:bookmarkEnd w:id="39"/>
    </w:p>
    <w:p w14:paraId="5D5DC600" w14:textId="77777777" w:rsidR="007037B5" w:rsidRPr="000572D3" w:rsidRDefault="007037B5" w:rsidP="006A1236">
      <w:pPr>
        <w:rPr>
          <w:rFonts w:ascii="Arial" w:hAnsi="Arial" w:cs="Arial"/>
        </w:rPr>
      </w:pPr>
      <w:r w:rsidRPr="000572D3">
        <w:rPr>
          <w:rFonts w:ascii="Arial" w:hAnsi="Arial" w:cs="Arial"/>
        </w:rPr>
        <w:t>Focused products, small pack sizes that can be supported financially, selective channels, cultural media, educated partners and processes, and a consistent presentation of the brand are more important.</w:t>
      </w:r>
    </w:p>
    <w:p w14:paraId="7181C5F7" w14:textId="77777777" w:rsidR="007037B5" w:rsidRPr="000572D3" w:rsidRDefault="007037B5" w:rsidP="006A1236">
      <w:pPr>
        <w:pStyle w:val="Heading2"/>
        <w:spacing w:after="160"/>
        <w:rPr>
          <w:rFonts w:cs="Arial"/>
        </w:rPr>
      </w:pPr>
      <w:bookmarkStart w:id="40" w:name="_Toc237444457"/>
      <w:r w:rsidRPr="000572D3">
        <w:rPr>
          <w:rFonts w:cs="Arial"/>
        </w:rPr>
        <w:t>9.4 Cultural Adaptation Recommendations</w:t>
      </w:r>
      <w:bookmarkEnd w:id="40"/>
    </w:p>
    <w:p w14:paraId="1A947803" w14:textId="77777777" w:rsidR="007037B5" w:rsidRPr="000572D3" w:rsidRDefault="007037B5" w:rsidP="006A1236">
      <w:pPr>
        <w:rPr>
          <w:rFonts w:ascii="Arial" w:hAnsi="Arial" w:cs="Arial"/>
        </w:rPr>
      </w:pPr>
      <w:r w:rsidRPr="000572D3">
        <w:rPr>
          <w:rFonts w:ascii="Arial" w:hAnsi="Arial" w:cs="Arial"/>
        </w:rPr>
        <w:t>Any form of marketing should focus on developing relationships, sharing and social occasions and not be a direct transfer of UK marketing messages. Communication &amp; product adaptation should be based on the local consumer insights.</w:t>
      </w:r>
    </w:p>
    <w:p w14:paraId="4CCCD87E" w14:textId="77777777" w:rsidR="007037B5" w:rsidRPr="000572D3" w:rsidRDefault="007037B5" w:rsidP="006A1236">
      <w:pPr>
        <w:pStyle w:val="Heading2"/>
        <w:spacing w:after="160"/>
        <w:rPr>
          <w:rFonts w:cs="Arial"/>
        </w:rPr>
      </w:pPr>
      <w:bookmarkStart w:id="41" w:name="_Toc237444458"/>
      <w:r w:rsidRPr="000572D3">
        <w:rPr>
          <w:rFonts w:cs="Arial"/>
        </w:rPr>
        <w:t>9.5 Ethical Marketing Recommendations</w:t>
      </w:r>
      <w:bookmarkEnd w:id="41"/>
    </w:p>
    <w:p w14:paraId="699A2599" w14:textId="77777777" w:rsidR="007037B5" w:rsidRPr="000572D3" w:rsidRDefault="007037B5" w:rsidP="006A1236">
      <w:pPr>
        <w:rPr>
          <w:rFonts w:ascii="Arial" w:hAnsi="Arial" w:cs="Arial"/>
        </w:rPr>
      </w:pPr>
      <w:r w:rsidRPr="000572D3">
        <w:rPr>
          <w:rFonts w:ascii="Arial" w:hAnsi="Arial" w:cs="Arial"/>
        </w:rPr>
        <w:t>Cadbury should aim for proper product communication and avoid any dishonesty; they should aim for culturally respectful advertising and price responsibly. Marketing activities should not take advantage of economic vulnerability and should give clear information on product and price.</w:t>
      </w:r>
    </w:p>
    <w:p w14:paraId="0F93B77C" w14:textId="51F89D5A" w:rsidR="00D969DF" w:rsidRPr="000572D3" w:rsidRDefault="00D969DF" w:rsidP="006A1236">
      <w:pPr>
        <w:rPr>
          <w:rFonts w:ascii="Arial" w:hAnsi="Arial" w:cs="Arial"/>
          <w:lang w:val="en-IN"/>
        </w:rPr>
      </w:pPr>
      <w:r w:rsidRPr="000572D3">
        <w:rPr>
          <w:rFonts w:ascii="Arial" w:hAnsi="Arial" w:cs="Arial"/>
          <w:lang w:val="en-IN"/>
        </w:rPr>
        <w:t>Ethical Marketing (India): Ethical Cocoa Life's sustainability; “Thank You” bars pay for insurance. Unethical: 2002 Kashmir advertisement, 2003 Worm problem.</w:t>
      </w:r>
    </w:p>
    <w:p w14:paraId="59A157E4" w14:textId="77777777" w:rsidR="007037B5" w:rsidRPr="000572D3" w:rsidRDefault="007037B5" w:rsidP="006A1236">
      <w:pPr>
        <w:pStyle w:val="Heading2"/>
        <w:spacing w:after="160"/>
        <w:rPr>
          <w:rFonts w:cs="Arial"/>
        </w:rPr>
      </w:pPr>
      <w:bookmarkStart w:id="42" w:name="_Toc237444459"/>
      <w:r w:rsidRPr="000572D3">
        <w:rPr>
          <w:rFonts w:cs="Arial"/>
        </w:rPr>
        <w:t>9.6 Market-Entry Recommendations</w:t>
      </w:r>
      <w:bookmarkEnd w:id="42"/>
    </w:p>
    <w:p w14:paraId="1DB5A297" w14:textId="77777777" w:rsidR="007037B5" w:rsidRPr="000572D3" w:rsidRDefault="007037B5" w:rsidP="006A1236">
      <w:pPr>
        <w:rPr>
          <w:rFonts w:ascii="Arial" w:hAnsi="Arial" w:cs="Arial"/>
        </w:rPr>
      </w:pPr>
      <w:r w:rsidRPr="000572D3">
        <w:rPr>
          <w:rFonts w:ascii="Arial" w:hAnsi="Arial" w:cs="Arial"/>
        </w:rPr>
        <w:t>Exports are recommended to be done in phases with an established local partner. This has the benefit of reducing investment and providing the option for a test of demand, and for Cadbury to grow its investment only when there is market data supporting it.</w:t>
      </w:r>
    </w:p>
    <w:p w14:paraId="5BFCE8B8" w14:textId="77777777" w:rsidR="007037B5" w:rsidRPr="000572D3" w:rsidRDefault="007037B5" w:rsidP="006A1236">
      <w:pPr>
        <w:pStyle w:val="Heading2"/>
        <w:spacing w:after="160"/>
        <w:rPr>
          <w:rFonts w:cs="Arial"/>
        </w:rPr>
      </w:pPr>
      <w:bookmarkStart w:id="43" w:name="_Toc237444460"/>
      <w:r w:rsidRPr="000572D3">
        <w:rPr>
          <w:rFonts w:cs="Arial"/>
        </w:rPr>
        <w:t>10. Overall Conclusion</w:t>
      </w:r>
      <w:bookmarkEnd w:id="43"/>
    </w:p>
    <w:p w14:paraId="1078C9AA" w14:textId="77777777" w:rsidR="007037B5" w:rsidRPr="000572D3" w:rsidRDefault="007037B5" w:rsidP="006A1236">
      <w:pPr>
        <w:rPr>
          <w:rFonts w:ascii="Arial" w:hAnsi="Arial" w:cs="Arial"/>
        </w:rPr>
      </w:pPr>
      <w:r w:rsidRPr="000572D3">
        <w:rPr>
          <w:rFonts w:ascii="Arial" w:hAnsi="Arial" w:cs="Arial"/>
        </w:rPr>
        <w:t xml:space="preserve">In summary, the UK is Cadbury's better, more reliable market, while Cuba presents some risks and opportunities for those that have the appetite to deal with them. Cadbury should thus pursue safeguarding its long-established viability in the UK as a company and take Cuba as an experimental market opportunity, where it can be </w:t>
      </w:r>
      <w:r w:rsidRPr="000572D3">
        <w:rPr>
          <w:rFonts w:ascii="Arial" w:hAnsi="Arial" w:cs="Arial"/>
        </w:rPr>
        <w:lastRenderedPageBreak/>
        <w:t>controlled along homogeneous lines. A 'phased' exporting strategy with local partnership, specific products, price and culturally oriented promotion offers the most suitable way to go. Before more investment based on an expanded sense of success can be considered, there is a need to measure success based on demand, distribution reliability, consumer response and profitability.</w:t>
      </w:r>
    </w:p>
    <w:p w14:paraId="04DD4B0A" w14:textId="294D259B" w:rsidR="007037B5" w:rsidRPr="000572D3" w:rsidRDefault="00F42A45" w:rsidP="006A1236">
      <w:pPr>
        <w:pStyle w:val="Heading1"/>
        <w:spacing w:after="160"/>
        <w:rPr>
          <w:rFonts w:cs="Arial"/>
        </w:rPr>
      </w:pPr>
      <w:bookmarkStart w:id="44" w:name="_Toc237444461"/>
      <w:r w:rsidRPr="000572D3">
        <w:rPr>
          <w:rFonts w:cs="Arial"/>
        </w:rPr>
        <w:t>Section 2: Reflective assessment</w:t>
      </w:r>
      <w:bookmarkEnd w:id="44"/>
    </w:p>
    <w:p w14:paraId="38946EAA" w14:textId="5A4E623D" w:rsidR="007037B5" w:rsidRPr="000572D3" w:rsidRDefault="006A1236" w:rsidP="006A1236">
      <w:pPr>
        <w:pStyle w:val="Heading2"/>
      </w:pPr>
      <w:bookmarkStart w:id="45" w:name="_Toc237444462"/>
      <w:r w:rsidRPr="000572D3">
        <w:t xml:space="preserve">11. </w:t>
      </w:r>
      <w:r w:rsidR="007037B5" w:rsidRPr="000572D3">
        <w:t>Gibbs Reflective Cycle</w:t>
      </w:r>
      <w:bookmarkEnd w:id="45"/>
    </w:p>
    <w:p w14:paraId="316633CB" w14:textId="200BBED2" w:rsidR="007037B5" w:rsidRPr="000572D3" w:rsidRDefault="007037B5" w:rsidP="006A1236">
      <w:pPr>
        <w:rPr>
          <w:rFonts w:ascii="Arial" w:hAnsi="Arial" w:cs="Arial"/>
        </w:rPr>
      </w:pPr>
      <w:r w:rsidRPr="000572D3">
        <w:rPr>
          <w:rFonts w:ascii="Arial" w:hAnsi="Arial" w:cs="Arial"/>
        </w:rPr>
        <w:t>This reflection breaks down the process of researching, analysing and preparing the international marketing report for Cadbury, comparing Cadbury's home country, the United Kingdom (UK), with Cadbury's potential host country, Cuba. Gibbs' Reflective Cycle incorporates elements of description, feelings, evaluation, analysis, conclusion and action planning</w:t>
      </w:r>
      <w:r w:rsidR="00154A75" w:rsidRPr="000572D3">
        <w:rPr>
          <w:rFonts w:ascii="Arial" w:hAnsi="Arial" w:cs="Arial"/>
        </w:rPr>
        <w:t xml:space="preserve"> (Bassot, 2024)</w:t>
      </w:r>
      <w:r w:rsidRPr="000572D3">
        <w:rPr>
          <w:rFonts w:ascii="Arial" w:hAnsi="Arial" w:cs="Arial"/>
        </w:rPr>
        <w:t>. My focus is on my learning, my challenges and what I can do next.</w:t>
      </w:r>
    </w:p>
    <w:p w14:paraId="59682BB7" w14:textId="77777777" w:rsidR="0032153F" w:rsidRPr="000572D3" w:rsidRDefault="0032153F" w:rsidP="006A1236">
      <w:pPr>
        <w:keepNext/>
        <w:jc w:val="center"/>
        <w:rPr>
          <w:rFonts w:ascii="Arial" w:hAnsi="Arial" w:cs="Arial"/>
        </w:rPr>
      </w:pPr>
      <w:r w:rsidRPr="000572D3">
        <w:rPr>
          <w:rFonts w:ascii="Arial" w:hAnsi="Arial" w:cs="Arial"/>
          <w:noProof/>
          <w:lang w:val="en-US"/>
        </w:rPr>
        <w:drawing>
          <wp:inline distT="0" distB="0" distL="0" distR="0" wp14:anchorId="3DA55974" wp14:editId="1ADBEA32">
            <wp:extent cx="4953000" cy="2863980"/>
            <wp:effectExtent l="0" t="0" r="0" b="0"/>
            <wp:docPr id="638071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7141" name="Picture 63807141"/>
                    <pic:cNvPicPr/>
                  </pic:nvPicPr>
                  <pic:blipFill>
                    <a:blip r:embed="rId18">
                      <a:extLst>
                        <a:ext uri="{28A0092B-C50C-407E-A947-70E740481C1C}">
                          <a14:useLocalDpi xmlns:a14="http://schemas.microsoft.com/office/drawing/2010/main" val="0"/>
                        </a:ext>
                      </a:extLst>
                    </a:blip>
                    <a:stretch>
                      <a:fillRect/>
                    </a:stretch>
                  </pic:blipFill>
                  <pic:spPr>
                    <a:xfrm>
                      <a:off x="0" y="0"/>
                      <a:ext cx="4956637" cy="2866083"/>
                    </a:xfrm>
                    <a:prstGeom prst="rect">
                      <a:avLst/>
                    </a:prstGeom>
                  </pic:spPr>
                </pic:pic>
              </a:graphicData>
            </a:graphic>
          </wp:inline>
        </w:drawing>
      </w:r>
    </w:p>
    <w:p w14:paraId="0F566CC8" w14:textId="403797C1" w:rsidR="0032153F" w:rsidRPr="000572D3" w:rsidRDefault="0032153F" w:rsidP="006A1236">
      <w:pPr>
        <w:pStyle w:val="Caption"/>
        <w:spacing w:after="160"/>
        <w:jc w:val="center"/>
        <w:rPr>
          <w:rFonts w:ascii="Arial" w:hAnsi="Arial" w:cs="Arial"/>
        </w:rPr>
      </w:pPr>
      <w:r w:rsidRPr="000572D3">
        <w:rPr>
          <w:rFonts w:ascii="Arial" w:hAnsi="Arial" w:cs="Arial"/>
        </w:rPr>
        <w:t xml:space="preserve">Figure </w:t>
      </w:r>
      <w:r w:rsidR="000572D3" w:rsidRPr="000572D3">
        <w:rPr>
          <w:rFonts w:ascii="Arial" w:hAnsi="Arial" w:cs="Arial"/>
        </w:rPr>
        <w:t>8</w:t>
      </w:r>
      <w:r w:rsidRPr="000572D3">
        <w:rPr>
          <w:rFonts w:ascii="Arial" w:hAnsi="Arial" w:cs="Arial"/>
        </w:rPr>
        <w:t>: Gibbs' Reflective Cycle</w:t>
      </w:r>
    </w:p>
    <w:p w14:paraId="6FAC510F" w14:textId="6742C523" w:rsidR="0032153F" w:rsidRPr="000572D3" w:rsidRDefault="0032153F" w:rsidP="006A1236">
      <w:pPr>
        <w:jc w:val="center"/>
        <w:rPr>
          <w:rFonts w:ascii="Arial" w:hAnsi="Arial" w:cs="Arial"/>
        </w:rPr>
      </w:pPr>
      <w:r w:rsidRPr="000572D3">
        <w:rPr>
          <w:rFonts w:ascii="Arial" w:hAnsi="Arial" w:cs="Arial"/>
        </w:rPr>
        <w:t xml:space="preserve">(Source: </w:t>
      </w:r>
      <w:r w:rsidR="00154A75" w:rsidRPr="000572D3">
        <w:rPr>
          <w:rFonts w:ascii="Arial" w:hAnsi="Arial" w:cs="Arial"/>
        </w:rPr>
        <w:t>Bassot, 2024</w:t>
      </w:r>
      <w:r w:rsidRPr="000572D3">
        <w:rPr>
          <w:rFonts w:ascii="Arial" w:hAnsi="Arial" w:cs="Arial"/>
        </w:rPr>
        <w:t>)</w:t>
      </w:r>
    </w:p>
    <w:p w14:paraId="38DDC9E3" w14:textId="77777777" w:rsidR="007037B5" w:rsidRPr="000572D3" w:rsidRDefault="007037B5" w:rsidP="006A1236">
      <w:pPr>
        <w:pStyle w:val="Heading3"/>
      </w:pPr>
      <w:bookmarkStart w:id="46" w:name="_Toc237444463"/>
      <w:r w:rsidRPr="000572D3">
        <w:t>11.1 Description</w:t>
      </w:r>
      <w:bookmarkEnd w:id="46"/>
    </w:p>
    <w:p w14:paraId="2F96ECD2" w14:textId="53DD0EC6" w:rsidR="007037B5" w:rsidRPr="000572D3" w:rsidRDefault="007037B5" w:rsidP="006A1236">
      <w:pPr>
        <w:rPr>
          <w:rFonts w:ascii="Arial" w:hAnsi="Arial" w:cs="Arial"/>
        </w:rPr>
      </w:pPr>
      <w:r w:rsidRPr="000572D3">
        <w:rPr>
          <w:rFonts w:ascii="Arial" w:hAnsi="Arial" w:cs="Arial"/>
        </w:rPr>
        <w:t xml:space="preserve">The first part of the report was to select Cadbury </w:t>
      </w:r>
      <w:r w:rsidR="00EB4542" w:rsidRPr="000572D3">
        <w:rPr>
          <w:rFonts w:ascii="Arial" w:hAnsi="Arial" w:cs="Arial"/>
        </w:rPr>
        <w:t xml:space="preserve">and </w:t>
      </w:r>
      <w:r w:rsidRPr="000572D3">
        <w:rPr>
          <w:rFonts w:ascii="Arial" w:hAnsi="Arial" w:cs="Arial"/>
        </w:rPr>
        <w:t xml:space="preserve">identify the UK as the home market and Cuba for the proposed host market. I have analysed Cadbury's market position before exploring the extension of the business and problems. PESTEL, </w:t>
      </w:r>
      <w:r w:rsidRPr="000572D3">
        <w:rPr>
          <w:rFonts w:ascii="Arial" w:hAnsi="Arial" w:cs="Arial"/>
        </w:rPr>
        <w:lastRenderedPageBreak/>
        <w:t>Hofstede, STP and the marketing mix 7Ps models were used for the analysis. PESTEL analysed political, economic, social, technological, environmental and legal situations</w:t>
      </w:r>
      <w:r w:rsidR="00C44D87" w:rsidRPr="000572D3">
        <w:rPr>
          <w:rFonts w:ascii="Arial" w:hAnsi="Arial" w:cs="Arial"/>
        </w:rPr>
        <w:t xml:space="preserve"> (Buye, 2021)</w:t>
      </w:r>
      <w:r w:rsidRPr="000572D3">
        <w:rPr>
          <w:rFonts w:ascii="Arial" w:hAnsi="Arial" w:cs="Arial"/>
        </w:rPr>
        <w:t>. Hofstede wrote about the differences in culture and how it might impact consumer behaviour and communication. STP studied the various characteristics such as demographic, geographic, psychographic and behavioural to determine the appropriate customer segments and positioning. The 7Ps then addressed the following aspects: product, price, place, promotion, people, process and physical evidence. The results served as feedback from market-entry assessment and led to a conditional recommendation on a step-wise approach to market-entry, in a context of targeting and adaptation.</w:t>
      </w:r>
    </w:p>
    <w:p w14:paraId="4C080895" w14:textId="77777777" w:rsidR="007037B5" w:rsidRPr="000572D3" w:rsidRDefault="007037B5" w:rsidP="006A1236">
      <w:pPr>
        <w:pStyle w:val="Heading3"/>
        <w:spacing w:after="160"/>
        <w:rPr>
          <w:rFonts w:cs="Arial"/>
        </w:rPr>
      </w:pPr>
      <w:bookmarkStart w:id="47" w:name="_Toc237444464"/>
      <w:r w:rsidRPr="000572D3">
        <w:rPr>
          <w:rFonts w:cs="Arial"/>
        </w:rPr>
        <w:t>11.2 Feelings</w:t>
      </w:r>
      <w:bookmarkEnd w:id="47"/>
    </w:p>
    <w:p w14:paraId="6B3E233A" w14:textId="49AACE70" w:rsidR="007037B5" w:rsidRPr="000572D3" w:rsidRDefault="007037B5" w:rsidP="006A1236">
      <w:pPr>
        <w:rPr>
          <w:rFonts w:ascii="Arial" w:hAnsi="Arial" w:cs="Arial"/>
        </w:rPr>
      </w:pPr>
      <w:r w:rsidRPr="000572D3">
        <w:rPr>
          <w:rFonts w:ascii="Arial" w:hAnsi="Arial" w:cs="Arial"/>
        </w:rPr>
        <w:t>At first, research seemed very easy as Cadbury is a known brand and there was a lot of information to be found about them. When I changed from describing the company to evaluating how well the existing UK strategy for the company would work for Cuba, however, the task proved more difficult</w:t>
      </w:r>
      <w:r w:rsidR="00C44D87" w:rsidRPr="000572D3">
        <w:rPr>
          <w:rFonts w:ascii="Arial" w:hAnsi="Arial" w:cs="Arial"/>
        </w:rPr>
        <w:t xml:space="preserve"> (London </w:t>
      </w:r>
      <w:r w:rsidR="00C44D87" w:rsidRPr="000572D3">
        <w:rPr>
          <w:rFonts w:ascii="Arial" w:hAnsi="Arial" w:cs="Arial"/>
          <w:i/>
          <w:iCs/>
        </w:rPr>
        <w:t>et al.,</w:t>
      </w:r>
      <w:r w:rsidR="00C44D87" w:rsidRPr="000572D3">
        <w:rPr>
          <w:rFonts w:ascii="Arial" w:hAnsi="Arial" w:cs="Arial"/>
        </w:rPr>
        <w:t xml:space="preserve"> 2023)</w:t>
      </w:r>
      <w:r w:rsidRPr="000572D3">
        <w:rPr>
          <w:rFonts w:ascii="Arial" w:hAnsi="Arial" w:cs="Arial"/>
        </w:rPr>
        <w:t>. I realised that there were potential pitfalls in assuming that Cuban consumers would purchase the product and was struggling to decide how much coverage to give to the critical factors in the recommendation. Having more than one framework also seemed like it could be cumbersome, as some information might get repeated. Little by little, I didn't grasp that every framework served a different function</w:t>
      </w:r>
      <w:r w:rsidR="00C44D87" w:rsidRPr="000572D3">
        <w:rPr>
          <w:rFonts w:ascii="Arial" w:hAnsi="Arial" w:cs="Arial"/>
        </w:rPr>
        <w:t xml:space="preserve"> (Yan and Carless, 2022)</w:t>
      </w:r>
      <w:r w:rsidRPr="000572D3">
        <w:rPr>
          <w:rFonts w:ascii="Arial" w:hAnsi="Arial" w:cs="Arial"/>
        </w:rPr>
        <w:t>. This put the research into context and helped to drive my argument for a strategy.</w:t>
      </w:r>
    </w:p>
    <w:p w14:paraId="49DA65E0" w14:textId="77777777" w:rsidR="007037B5" w:rsidRPr="000572D3" w:rsidRDefault="007037B5" w:rsidP="006A1236">
      <w:pPr>
        <w:pStyle w:val="Heading3"/>
        <w:spacing w:after="160"/>
        <w:rPr>
          <w:rFonts w:cs="Arial"/>
        </w:rPr>
      </w:pPr>
      <w:bookmarkStart w:id="48" w:name="_Toc237444465"/>
      <w:r w:rsidRPr="000572D3">
        <w:rPr>
          <w:rFonts w:cs="Arial"/>
        </w:rPr>
        <w:t>11.3 Evaluation</w:t>
      </w:r>
      <w:bookmarkEnd w:id="48"/>
    </w:p>
    <w:p w14:paraId="5A831B50" w14:textId="7872027E" w:rsidR="007037B5" w:rsidRPr="000572D3" w:rsidRDefault="007037B5" w:rsidP="006A1236">
      <w:pPr>
        <w:rPr>
          <w:rFonts w:ascii="Arial" w:hAnsi="Arial" w:cs="Arial"/>
        </w:rPr>
      </w:pPr>
      <w:r w:rsidRPr="000572D3">
        <w:rPr>
          <w:rFonts w:ascii="Arial" w:hAnsi="Arial" w:cs="Arial"/>
        </w:rPr>
        <w:t>Multiple components of the process were successful. The use of several frameworks led to a more diverse range of viewpoints and allowed the report not only to rely on one form of analysis. PESTEL identified external threats and opportunities, Hofstede provided cultural insight, STP translated external characteristics into customer-based decisions, and the 7Ps showed practical marketing implications</w:t>
      </w:r>
      <w:r w:rsidR="00004F62" w:rsidRPr="000572D3">
        <w:rPr>
          <w:rFonts w:ascii="Arial" w:hAnsi="Arial" w:cs="Arial"/>
        </w:rPr>
        <w:t xml:space="preserve"> (Ho </w:t>
      </w:r>
      <w:r w:rsidR="00004F62" w:rsidRPr="000572D3">
        <w:rPr>
          <w:rFonts w:ascii="Arial" w:hAnsi="Arial" w:cs="Arial"/>
          <w:i/>
          <w:iCs/>
        </w:rPr>
        <w:t>et al.,</w:t>
      </w:r>
      <w:r w:rsidR="00004F62" w:rsidRPr="000572D3">
        <w:rPr>
          <w:rFonts w:ascii="Arial" w:hAnsi="Arial" w:cs="Arial"/>
        </w:rPr>
        <w:t xml:space="preserve"> 2022)</w:t>
      </w:r>
      <w:r w:rsidRPr="000572D3">
        <w:rPr>
          <w:rFonts w:ascii="Arial" w:hAnsi="Arial" w:cs="Arial"/>
        </w:rPr>
        <w:t>. By identifying the favourable and unfavourable factors, a balanced assessment was made. However, limitations remained. Secondary sources were mainly used, and limited direct evidence could be gathered on how Cuban Consumers know, like and perceive Cadbury. Hofstede also had the restriction that the scores for the countries' influence at the heart of the matter can never represent the behaviour of individuals</w:t>
      </w:r>
      <w:r w:rsidR="00004F62" w:rsidRPr="000572D3">
        <w:rPr>
          <w:rFonts w:ascii="Arial" w:hAnsi="Arial" w:cs="Arial"/>
        </w:rPr>
        <w:t xml:space="preserve"> </w:t>
      </w:r>
      <w:r w:rsidR="00004F62" w:rsidRPr="000572D3">
        <w:rPr>
          <w:rFonts w:ascii="Arial" w:hAnsi="Arial" w:cs="Arial"/>
        </w:rPr>
        <w:lastRenderedPageBreak/>
        <w:t xml:space="preserve">(Minkov </w:t>
      </w:r>
      <w:r w:rsidR="00004F62" w:rsidRPr="000572D3">
        <w:rPr>
          <w:rFonts w:ascii="Arial" w:hAnsi="Arial" w:cs="Arial"/>
          <w:i/>
          <w:iCs/>
        </w:rPr>
        <w:t>et al.,</w:t>
      </w:r>
      <w:r w:rsidR="00004F62" w:rsidRPr="000572D3">
        <w:rPr>
          <w:rFonts w:ascii="Arial" w:hAnsi="Arial" w:cs="Arial"/>
        </w:rPr>
        <w:t xml:space="preserve"> 2023)</w:t>
      </w:r>
      <w:r w:rsidRPr="000572D3">
        <w:rPr>
          <w:rFonts w:ascii="Arial" w:hAnsi="Arial" w:cs="Arial"/>
        </w:rPr>
        <w:t>. Several frameworks were covered, and there was a risk of being descriptive instead of critical.</w:t>
      </w:r>
    </w:p>
    <w:p w14:paraId="72BBBD34" w14:textId="77777777" w:rsidR="007037B5" w:rsidRPr="000572D3" w:rsidRDefault="007037B5" w:rsidP="006A1236">
      <w:pPr>
        <w:pStyle w:val="Heading3"/>
        <w:spacing w:after="160"/>
        <w:rPr>
          <w:rFonts w:cs="Arial"/>
        </w:rPr>
      </w:pPr>
      <w:bookmarkStart w:id="49" w:name="_Toc237444466"/>
      <w:r w:rsidRPr="000572D3">
        <w:rPr>
          <w:rFonts w:cs="Arial"/>
        </w:rPr>
        <w:t>11.4 Analysis</w:t>
      </w:r>
      <w:bookmarkEnd w:id="49"/>
    </w:p>
    <w:p w14:paraId="2756585F" w14:textId="6B79A50E" w:rsidR="007037B5" w:rsidRPr="000572D3" w:rsidRDefault="007037B5" w:rsidP="006A1236">
      <w:pPr>
        <w:rPr>
          <w:rFonts w:ascii="Arial" w:hAnsi="Arial" w:cs="Arial"/>
        </w:rPr>
      </w:pPr>
      <w:r w:rsidRPr="000572D3">
        <w:rPr>
          <w:rFonts w:ascii="Arial" w:hAnsi="Arial" w:cs="Arial"/>
        </w:rPr>
        <w:t xml:space="preserve">The study revealed that </w:t>
      </w:r>
      <w:r w:rsidR="005301A6" w:rsidRPr="000572D3">
        <w:rPr>
          <w:rFonts w:ascii="Arial" w:hAnsi="Arial" w:cs="Arial"/>
        </w:rPr>
        <w:t>international</w:t>
      </w:r>
      <w:r w:rsidRPr="000572D3">
        <w:rPr>
          <w:rFonts w:ascii="Arial" w:hAnsi="Arial" w:cs="Arial"/>
        </w:rPr>
        <w:t xml:space="preserve"> marketing tools are most beneficial when combined. PESTEL could highlight significant challenges in Cuba, while STP could uncover relevant customer segments. Additionally, cultural tastes can't necessarily be viewed apart from affordability and availability, and economic conditions. The value that the consumer places on giving chocolate as a present or sharing can vary, but buying will depend on income and availability</w:t>
      </w:r>
      <w:r w:rsidR="00004F62" w:rsidRPr="000572D3">
        <w:rPr>
          <w:rFonts w:ascii="Arial" w:hAnsi="Arial" w:cs="Arial"/>
        </w:rPr>
        <w:t xml:space="preserve"> (Fagundes </w:t>
      </w:r>
      <w:r w:rsidR="00004F62" w:rsidRPr="000572D3">
        <w:rPr>
          <w:rFonts w:ascii="Arial" w:hAnsi="Arial" w:cs="Arial"/>
          <w:i/>
          <w:iCs/>
        </w:rPr>
        <w:t>et al.,</w:t>
      </w:r>
      <w:r w:rsidR="00004F62" w:rsidRPr="000572D3">
        <w:rPr>
          <w:rFonts w:ascii="Arial" w:hAnsi="Arial" w:cs="Arial"/>
        </w:rPr>
        <w:t xml:space="preserve"> 2025)</w:t>
      </w:r>
      <w:r w:rsidRPr="000572D3">
        <w:rPr>
          <w:rFonts w:ascii="Arial" w:hAnsi="Arial" w:cs="Arial"/>
        </w:rPr>
        <w:t>. Based on the analysis, it was found that all three perspectives, environmental, cultural and customer level, needed to be merged in the case of international marketing.</w:t>
      </w:r>
    </w:p>
    <w:p w14:paraId="3688FE51" w14:textId="32B097DE" w:rsidR="007037B5" w:rsidRPr="000572D3" w:rsidRDefault="007037B5" w:rsidP="006A1236">
      <w:pPr>
        <w:rPr>
          <w:rFonts w:ascii="Arial" w:hAnsi="Arial" w:cs="Arial"/>
        </w:rPr>
      </w:pPr>
      <w:r w:rsidRPr="000572D3">
        <w:rPr>
          <w:rFonts w:ascii="Arial" w:hAnsi="Arial" w:cs="Arial"/>
        </w:rPr>
        <w:t>The research confirmed my knowledge of standardisation and adaptation. Cadbury's core brand can still prove to be a valuable international possession, but aspects of price, package size, distribution network, promotion and communication can be customised to the local markets. This principle was realised through practical decision-making with the 7Ps. The phasing of the market entry was a result of composite evidence on the economic factors, the distribution factors, the cultural factors, the segmentation and operating risk factors</w:t>
      </w:r>
      <w:r w:rsidR="00004F62" w:rsidRPr="000572D3">
        <w:rPr>
          <w:rFonts w:ascii="Arial" w:hAnsi="Arial" w:cs="Arial"/>
        </w:rPr>
        <w:t xml:space="preserve"> (Shutov </w:t>
      </w:r>
      <w:r w:rsidR="00004F62" w:rsidRPr="000572D3">
        <w:rPr>
          <w:rFonts w:ascii="Arial" w:hAnsi="Arial" w:cs="Arial"/>
          <w:i/>
          <w:iCs/>
        </w:rPr>
        <w:t>et al.,</w:t>
      </w:r>
      <w:r w:rsidR="00004F62" w:rsidRPr="000572D3">
        <w:rPr>
          <w:rFonts w:ascii="Arial" w:hAnsi="Arial" w:cs="Arial"/>
        </w:rPr>
        <w:t xml:space="preserve"> 2022)</w:t>
      </w:r>
      <w:r w:rsidRPr="000572D3">
        <w:rPr>
          <w:rFonts w:ascii="Arial" w:hAnsi="Arial" w:cs="Arial"/>
        </w:rPr>
        <w:t>. I have been informed that critical analysis provides the benefit of exposing problem areas, noticing uncertainty and reasoning out strategic implications instead of a list of problems.</w:t>
      </w:r>
    </w:p>
    <w:p w14:paraId="4091400B" w14:textId="77777777" w:rsidR="007037B5" w:rsidRPr="000572D3" w:rsidRDefault="007037B5" w:rsidP="006A1236">
      <w:pPr>
        <w:pStyle w:val="Heading3"/>
        <w:spacing w:after="160"/>
        <w:rPr>
          <w:rFonts w:cs="Arial"/>
        </w:rPr>
      </w:pPr>
      <w:bookmarkStart w:id="50" w:name="_Toc237444467"/>
      <w:r w:rsidRPr="000572D3">
        <w:rPr>
          <w:rFonts w:cs="Arial"/>
        </w:rPr>
        <w:t>11.5 Conclusion</w:t>
      </w:r>
      <w:bookmarkEnd w:id="50"/>
    </w:p>
    <w:p w14:paraId="1F52BEF0" w14:textId="6116C1FB" w:rsidR="007037B5" w:rsidRPr="000572D3" w:rsidRDefault="007037B5" w:rsidP="006A1236">
      <w:pPr>
        <w:rPr>
          <w:rFonts w:ascii="Arial" w:hAnsi="Arial" w:cs="Arial"/>
        </w:rPr>
      </w:pPr>
      <w:r w:rsidRPr="000572D3">
        <w:rPr>
          <w:rFonts w:ascii="Arial" w:hAnsi="Arial" w:cs="Arial"/>
        </w:rPr>
        <w:t>To sum up, the project has helped me develop my understanding of the process of creating international marketing decisions. I was taught that finding a market which is desirable is not enough; the organisation must ascertain how they can expand, or whether it would even be possible, by considering the market's external environment, its culture, its consumers, the marketing mix and the dangers of entering the market. Cadbury's Britishness is not a winning card in Cuba, and Cuba's problems cannot be a raison d'être for not venturing there. Thus, a controlled approach, based on real demand, is more appropriate. Most important</w:t>
      </w:r>
      <w:r w:rsidR="00F42A45" w:rsidRPr="000572D3">
        <w:rPr>
          <w:rFonts w:ascii="Arial" w:hAnsi="Arial" w:cs="Arial"/>
        </w:rPr>
        <w:t xml:space="preserve"> </w:t>
      </w:r>
      <w:r w:rsidRPr="000572D3">
        <w:rPr>
          <w:rFonts w:ascii="Arial" w:hAnsi="Arial" w:cs="Arial"/>
        </w:rPr>
        <w:t>how to bridge the gap between theoretical concepts and strategic decision making, rather than just viewing them as academic requirements.</w:t>
      </w:r>
    </w:p>
    <w:p w14:paraId="1F6C8C59" w14:textId="3CC1ECF3" w:rsidR="00F42A45" w:rsidRPr="000572D3" w:rsidRDefault="007037B5" w:rsidP="006A1236">
      <w:pPr>
        <w:pStyle w:val="Heading3"/>
        <w:spacing w:after="160"/>
        <w:rPr>
          <w:rFonts w:cs="Arial"/>
        </w:rPr>
      </w:pPr>
      <w:bookmarkStart w:id="51" w:name="_Toc237444468"/>
      <w:r w:rsidRPr="000572D3">
        <w:rPr>
          <w:rFonts w:cs="Arial"/>
        </w:rPr>
        <w:lastRenderedPageBreak/>
        <w:t>11.6 Action Plan</w:t>
      </w:r>
      <w:bookmarkEnd w:id="51"/>
    </w:p>
    <w:tbl>
      <w:tblPr>
        <w:tblStyle w:val="TableGrid"/>
        <w:tblW w:w="5000" w:type="pct"/>
        <w:tblLook w:val="04A0" w:firstRow="1" w:lastRow="0" w:firstColumn="1" w:lastColumn="0" w:noHBand="0" w:noVBand="1"/>
      </w:tblPr>
      <w:tblGrid>
        <w:gridCol w:w="2163"/>
        <w:gridCol w:w="3847"/>
        <w:gridCol w:w="3006"/>
      </w:tblGrid>
      <w:tr w:rsidR="00F42A45" w:rsidRPr="000572D3" w14:paraId="31CDEBCC" w14:textId="77777777" w:rsidTr="000572D3">
        <w:trPr>
          <w:trHeight w:val="430"/>
        </w:trPr>
        <w:tc>
          <w:tcPr>
            <w:tcW w:w="1199" w:type="pct"/>
            <w:shd w:val="clear" w:color="auto" w:fill="9CC2E5" w:themeFill="accent5" w:themeFillTint="99"/>
          </w:tcPr>
          <w:p w14:paraId="0528DC1C" w14:textId="09F47E56" w:rsidR="00F42A45" w:rsidRPr="000572D3" w:rsidRDefault="00F42A45" w:rsidP="006A1236">
            <w:pPr>
              <w:jc w:val="center"/>
              <w:rPr>
                <w:rFonts w:ascii="Arial" w:hAnsi="Arial" w:cs="Arial"/>
                <w:b/>
                <w:bCs/>
              </w:rPr>
            </w:pPr>
            <w:r w:rsidRPr="000572D3">
              <w:rPr>
                <w:rFonts w:ascii="Arial" w:hAnsi="Arial" w:cs="Arial"/>
                <w:b/>
                <w:bCs/>
              </w:rPr>
              <w:t>Action</w:t>
            </w:r>
          </w:p>
        </w:tc>
        <w:tc>
          <w:tcPr>
            <w:tcW w:w="2133" w:type="pct"/>
            <w:shd w:val="clear" w:color="auto" w:fill="9CC2E5" w:themeFill="accent5" w:themeFillTint="99"/>
          </w:tcPr>
          <w:p w14:paraId="0B90C01E" w14:textId="112DBD07" w:rsidR="00F42A45" w:rsidRPr="000572D3" w:rsidRDefault="00F42A45" w:rsidP="006A1236">
            <w:pPr>
              <w:jc w:val="center"/>
              <w:rPr>
                <w:rFonts w:ascii="Arial" w:hAnsi="Arial" w:cs="Arial"/>
                <w:b/>
                <w:bCs/>
              </w:rPr>
            </w:pPr>
            <w:r w:rsidRPr="000572D3">
              <w:rPr>
                <w:rFonts w:ascii="Arial" w:hAnsi="Arial" w:cs="Arial"/>
                <w:b/>
                <w:bCs/>
              </w:rPr>
              <w:t>Future improvement</w:t>
            </w:r>
          </w:p>
        </w:tc>
        <w:tc>
          <w:tcPr>
            <w:tcW w:w="1667" w:type="pct"/>
            <w:shd w:val="clear" w:color="auto" w:fill="9CC2E5" w:themeFill="accent5" w:themeFillTint="99"/>
          </w:tcPr>
          <w:p w14:paraId="4B26FD3D" w14:textId="42B97A6A" w:rsidR="00F42A45" w:rsidRPr="000572D3" w:rsidRDefault="00F42A45" w:rsidP="006A1236">
            <w:pPr>
              <w:jc w:val="center"/>
              <w:rPr>
                <w:rFonts w:ascii="Arial" w:hAnsi="Arial" w:cs="Arial"/>
                <w:b/>
                <w:bCs/>
              </w:rPr>
            </w:pPr>
            <w:r w:rsidRPr="000572D3">
              <w:rPr>
                <w:rFonts w:ascii="Arial" w:hAnsi="Arial" w:cs="Arial"/>
                <w:b/>
                <w:bCs/>
              </w:rPr>
              <w:t>Expected outcome</w:t>
            </w:r>
          </w:p>
        </w:tc>
      </w:tr>
      <w:tr w:rsidR="00F42A45" w:rsidRPr="000572D3" w14:paraId="2994BD51" w14:textId="77777777" w:rsidTr="000572D3">
        <w:trPr>
          <w:trHeight w:val="446"/>
        </w:trPr>
        <w:tc>
          <w:tcPr>
            <w:tcW w:w="1199" w:type="pct"/>
            <w:shd w:val="clear" w:color="auto" w:fill="FFE599" w:themeFill="accent4" w:themeFillTint="66"/>
          </w:tcPr>
          <w:p w14:paraId="43DBB465" w14:textId="595814F2" w:rsidR="00F42A45" w:rsidRPr="000572D3" w:rsidRDefault="00F42A45" w:rsidP="006A1236">
            <w:pPr>
              <w:rPr>
                <w:rFonts w:ascii="Arial" w:hAnsi="Arial" w:cs="Arial"/>
              </w:rPr>
            </w:pPr>
            <w:r w:rsidRPr="000572D3">
              <w:rPr>
                <w:rFonts w:ascii="Arial" w:hAnsi="Arial" w:cs="Arial"/>
              </w:rPr>
              <w:t>Formulate the research question(s)</w:t>
            </w:r>
          </w:p>
        </w:tc>
        <w:tc>
          <w:tcPr>
            <w:tcW w:w="2133" w:type="pct"/>
          </w:tcPr>
          <w:p w14:paraId="5EA464E0" w14:textId="481F55B2" w:rsidR="00F42A45" w:rsidRPr="000572D3" w:rsidRDefault="00F42A45" w:rsidP="006A1236">
            <w:pPr>
              <w:rPr>
                <w:rFonts w:ascii="Arial" w:hAnsi="Arial" w:cs="Arial"/>
              </w:rPr>
            </w:pPr>
            <w:r w:rsidRPr="000572D3">
              <w:rPr>
                <w:rFonts w:ascii="Arial" w:hAnsi="Arial" w:cs="Arial"/>
              </w:rPr>
              <w:t>Define strategic research question and evidence needs before research starts</w:t>
            </w:r>
          </w:p>
        </w:tc>
        <w:tc>
          <w:tcPr>
            <w:tcW w:w="1667" w:type="pct"/>
            <w:shd w:val="clear" w:color="auto" w:fill="FFE599" w:themeFill="accent4" w:themeFillTint="66"/>
          </w:tcPr>
          <w:p w14:paraId="63BECB93" w14:textId="46D63877" w:rsidR="00F42A45" w:rsidRPr="000572D3" w:rsidRDefault="00F42A45" w:rsidP="006A1236">
            <w:pPr>
              <w:rPr>
                <w:rFonts w:ascii="Arial" w:hAnsi="Arial" w:cs="Arial"/>
              </w:rPr>
            </w:pPr>
            <w:r w:rsidRPr="000572D3">
              <w:rPr>
                <w:rFonts w:ascii="Arial" w:hAnsi="Arial" w:cs="Arial"/>
              </w:rPr>
              <w:t>More focused and relevant evidence</w:t>
            </w:r>
          </w:p>
        </w:tc>
      </w:tr>
      <w:tr w:rsidR="00F42A45" w:rsidRPr="000572D3" w14:paraId="61AA7E7C" w14:textId="77777777" w:rsidTr="000572D3">
        <w:trPr>
          <w:trHeight w:val="430"/>
        </w:trPr>
        <w:tc>
          <w:tcPr>
            <w:tcW w:w="1199" w:type="pct"/>
            <w:shd w:val="clear" w:color="auto" w:fill="FFE599" w:themeFill="accent4" w:themeFillTint="66"/>
          </w:tcPr>
          <w:p w14:paraId="4A2F8A04" w14:textId="6F25A546" w:rsidR="00F42A45" w:rsidRPr="000572D3" w:rsidRDefault="00F42A45" w:rsidP="006A1236">
            <w:pPr>
              <w:rPr>
                <w:rFonts w:ascii="Arial" w:hAnsi="Arial" w:cs="Arial"/>
              </w:rPr>
            </w:pPr>
            <w:r w:rsidRPr="000572D3">
              <w:rPr>
                <w:rFonts w:ascii="Arial" w:hAnsi="Arial" w:cs="Arial"/>
              </w:rPr>
              <w:t>Strengthen primary research</w:t>
            </w:r>
          </w:p>
        </w:tc>
        <w:tc>
          <w:tcPr>
            <w:tcW w:w="2133" w:type="pct"/>
          </w:tcPr>
          <w:p w14:paraId="1CCEA122" w14:textId="55973632" w:rsidR="00F42A45" w:rsidRPr="000572D3" w:rsidRDefault="00F42A45" w:rsidP="006A1236">
            <w:pPr>
              <w:rPr>
                <w:rFonts w:ascii="Arial" w:hAnsi="Arial" w:cs="Arial"/>
              </w:rPr>
            </w:pPr>
            <w:r w:rsidRPr="000572D3">
              <w:rPr>
                <w:rFonts w:ascii="Arial" w:hAnsi="Arial" w:cs="Arial"/>
              </w:rPr>
              <w:t>Consider awareness, preferences and price sensitivity through interviews, questionnaires or surveys, if possible</w:t>
            </w:r>
          </w:p>
        </w:tc>
        <w:tc>
          <w:tcPr>
            <w:tcW w:w="1667" w:type="pct"/>
            <w:shd w:val="clear" w:color="auto" w:fill="FFE599" w:themeFill="accent4" w:themeFillTint="66"/>
          </w:tcPr>
          <w:p w14:paraId="3E085B7C" w14:textId="0D9DFD62" w:rsidR="00F42A45" w:rsidRPr="000572D3" w:rsidRDefault="00F42A45" w:rsidP="006A1236">
            <w:pPr>
              <w:rPr>
                <w:rFonts w:ascii="Arial" w:hAnsi="Arial" w:cs="Arial"/>
              </w:rPr>
            </w:pPr>
            <w:r w:rsidRPr="000572D3">
              <w:rPr>
                <w:rFonts w:ascii="Arial" w:hAnsi="Arial" w:cs="Arial"/>
              </w:rPr>
              <w:t>Improved consumer awareness and fewer assumptions.</w:t>
            </w:r>
          </w:p>
        </w:tc>
      </w:tr>
      <w:tr w:rsidR="00F42A45" w:rsidRPr="000572D3" w14:paraId="201224FA" w14:textId="77777777" w:rsidTr="000572D3">
        <w:trPr>
          <w:trHeight w:val="430"/>
        </w:trPr>
        <w:tc>
          <w:tcPr>
            <w:tcW w:w="1199" w:type="pct"/>
            <w:shd w:val="clear" w:color="auto" w:fill="FFE599" w:themeFill="accent4" w:themeFillTint="66"/>
          </w:tcPr>
          <w:p w14:paraId="64C33E1A" w14:textId="6E9A674D" w:rsidR="00F42A45" w:rsidRPr="000572D3" w:rsidRDefault="00F42A45" w:rsidP="006A1236">
            <w:pPr>
              <w:rPr>
                <w:rFonts w:ascii="Arial" w:hAnsi="Arial" w:cs="Arial"/>
              </w:rPr>
            </w:pPr>
            <w:r w:rsidRPr="000572D3">
              <w:rPr>
                <w:rFonts w:ascii="Arial" w:hAnsi="Arial" w:cs="Arial"/>
              </w:rPr>
              <w:t>Improve source evaluation</w:t>
            </w:r>
          </w:p>
        </w:tc>
        <w:tc>
          <w:tcPr>
            <w:tcW w:w="2133" w:type="pct"/>
          </w:tcPr>
          <w:p w14:paraId="31324A3B" w14:textId="42A09AAC" w:rsidR="00F42A45" w:rsidRPr="000572D3" w:rsidRDefault="00F42A45" w:rsidP="006A1236">
            <w:pPr>
              <w:rPr>
                <w:rFonts w:ascii="Arial" w:hAnsi="Arial" w:cs="Arial"/>
              </w:rPr>
            </w:pPr>
            <w:r w:rsidRPr="000572D3">
              <w:rPr>
                <w:rFonts w:ascii="Arial" w:hAnsi="Arial" w:cs="Arial"/>
              </w:rPr>
              <w:t>Avoid commercial and media evidence; Check sources and prioritise government, company, international-organisation and peer-reviewed sources</w:t>
            </w:r>
          </w:p>
        </w:tc>
        <w:tc>
          <w:tcPr>
            <w:tcW w:w="1667" w:type="pct"/>
            <w:shd w:val="clear" w:color="auto" w:fill="FFE599" w:themeFill="accent4" w:themeFillTint="66"/>
          </w:tcPr>
          <w:p w14:paraId="71568AA7" w14:textId="0A054A11" w:rsidR="00F42A45" w:rsidRPr="000572D3" w:rsidRDefault="00F42A45" w:rsidP="006A1236">
            <w:pPr>
              <w:rPr>
                <w:rFonts w:ascii="Arial" w:hAnsi="Arial" w:cs="Arial"/>
              </w:rPr>
            </w:pPr>
            <w:r w:rsidRPr="000572D3">
              <w:rPr>
                <w:rFonts w:ascii="Arial" w:hAnsi="Arial" w:cs="Arial"/>
              </w:rPr>
              <w:t>Increased credibility and reliability</w:t>
            </w:r>
          </w:p>
        </w:tc>
      </w:tr>
      <w:tr w:rsidR="00F42A45" w:rsidRPr="000572D3" w14:paraId="3B9FB683" w14:textId="77777777" w:rsidTr="000572D3">
        <w:trPr>
          <w:trHeight w:val="430"/>
        </w:trPr>
        <w:tc>
          <w:tcPr>
            <w:tcW w:w="1199" w:type="pct"/>
            <w:shd w:val="clear" w:color="auto" w:fill="FFE599" w:themeFill="accent4" w:themeFillTint="66"/>
          </w:tcPr>
          <w:p w14:paraId="12F390D6" w14:textId="77777777" w:rsidR="00F42A45" w:rsidRPr="000572D3" w:rsidRDefault="00F42A45" w:rsidP="006A1236">
            <w:pPr>
              <w:rPr>
                <w:rFonts w:ascii="Arial" w:hAnsi="Arial" w:cs="Arial"/>
              </w:rPr>
            </w:pPr>
            <w:r w:rsidRPr="000572D3">
              <w:rPr>
                <w:rFonts w:ascii="Arial" w:hAnsi="Arial" w:cs="Arial"/>
              </w:rPr>
              <w:t>Integrate frameworks</w:t>
            </w:r>
          </w:p>
          <w:p w14:paraId="73214B7B" w14:textId="77777777" w:rsidR="00F42A45" w:rsidRPr="000572D3" w:rsidRDefault="00F42A45" w:rsidP="006A1236">
            <w:pPr>
              <w:rPr>
                <w:rFonts w:ascii="Arial" w:hAnsi="Arial" w:cs="Arial"/>
              </w:rPr>
            </w:pPr>
          </w:p>
        </w:tc>
        <w:tc>
          <w:tcPr>
            <w:tcW w:w="2133" w:type="pct"/>
          </w:tcPr>
          <w:p w14:paraId="5F59A485" w14:textId="72DA8104" w:rsidR="00F42A45" w:rsidRPr="000572D3" w:rsidRDefault="00F42A45" w:rsidP="006A1236">
            <w:pPr>
              <w:rPr>
                <w:rFonts w:ascii="Arial" w:hAnsi="Arial" w:cs="Arial"/>
              </w:rPr>
            </w:pPr>
            <w:r w:rsidRPr="000572D3">
              <w:rPr>
                <w:rFonts w:ascii="Arial" w:hAnsi="Arial" w:cs="Arial"/>
              </w:rPr>
              <w:t>In this, use PESTEL to support cultural analysis and STP and then relate it to the 7Ps and entry strategy</w:t>
            </w:r>
          </w:p>
        </w:tc>
        <w:tc>
          <w:tcPr>
            <w:tcW w:w="1667" w:type="pct"/>
            <w:shd w:val="clear" w:color="auto" w:fill="FFE599" w:themeFill="accent4" w:themeFillTint="66"/>
          </w:tcPr>
          <w:p w14:paraId="0D095F75" w14:textId="083F53E6" w:rsidR="00F42A45" w:rsidRPr="000572D3" w:rsidRDefault="00F42A45" w:rsidP="006A1236">
            <w:pPr>
              <w:rPr>
                <w:rFonts w:ascii="Arial" w:hAnsi="Arial" w:cs="Arial"/>
              </w:rPr>
            </w:pPr>
            <w:r w:rsidRPr="000572D3">
              <w:rPr>
                <w:rFonts w:ascii="Arial" w:hAnsi="Arial" w:cs="Arial"/>
              </w:rPr>
              <w:t>Higher level of coherence and less repetition and improved defensibility of recommendations</w:t>
            </w:r>
          </w:p>
        </w:tc>
      </w:tr>
    </w:tbl>
    <w:p w14:paraId="76ABF972" w14:textId="661992B7" w:rsidR="00521C50" w:rsidRPr="000572D3" w:rsidRDefault="00521C50" w:rsidP="006A1236">
      <w:pPr>
        <w:pStyle w:val="Caption"/>
        <w:keepNext/>
        <w:spacing w:after="160"/>
        <w:jc w:val="center"/>
        <w:rPr>
          <w:rFonts w:ascii="Arial" w:hAnsi="Arial" w:cs="Arial"/>
        </w:rPr>
      </w:pPr>
      <w:r w:rsidRPr="000572D3">
        <w:rPr>
          <w:rFonts w:ascii="Arial" w:hAnsi="Arial" w:cs="Arial"/>
        </w:rPr>
        <w:t xml:space="preserve">Table </w:t>
      </w:r>
      <w:r w:rsidR="000572D3" w:rsidRPr="000572D3">
        <w:rPr>
          <w:rFonts w:ascii="Arial" w:hAnsi="Arial" w:cs="Arial"/>
        </w:rPr>
        <w:t>4</w:t>
      </w:r>
      <w:r w:rsidRPr="000572D3">
        <w:rPr>
          <w:rFonts w:ascii="Arial" w:hAnsi="Arial" w:cs="Arial"/>
        </w:rPr>
        <w:t>: Action Plan</w:t>
      </w:r>
    </w:p>
    <w:p w14:paraId="230982A7" w14:textId="3E8D7C15" w:rsidR="00F42A45" w:rsidRPr="000572D3" w:rsidRDefault="00521C50" w:rsidP="006A1236">
      <w:pPr>
        <w:jc w:val="center"/>
        <w:rPr>
          <w:rFonts w:ascii="Arial" w:hAnsi="Arial" w:cs="Arial"/>
        </w:rPr>
      </w:pPr>
      <w:r w:rsidRPr="000572D3">
        <w:rPr>
          <w:rFonts w:ascii="Arial" w:hAnsi="Arial" w:cs="Arial"/>
        </w:rPr>
        <w:t>(Source: Self-Created)</w:t>
      </w:r>
    </w:p>
    <w:p w14:paraId="641AAF7A" w14:textId="1643A04F" w:rsidR="0059041F" w:rsidRPr="000572D3" w:rsidRDefault="007037B5" w:rsidP="006A1236">
      <w:pPr>
        <w:rPr>
          <w:rFonts w:ascii="Arial" w:hAnsi="Arial" w:cs="Arial"/>
        </w:rPr>
      </w:pPr>
      <w:r w:rsidRPr="000572D3">
        <w:rPr>
          <w:rFonts w:ascii="Arial" w:hAnsi="Arial" w:cs="Arial"/>
        </w:rPr>
        <w:t xml:space="preserve">The </w:t>
      </w:r>
      <w:r w:rsidR="00F42A45" w:rsidRPr="000572D3">
        <w:rPr>
          <w:rFonts w:ascii="Arial" w:hAnsi="Arial" w:cs="Arial"/>
        </w:rPr>
        <w:t>entire</w:t>
      </w:r>
      <w:r w:rsidRPr="000572D3">
        <w:rPr>
          <w:rFonts w:ascii="Arial" w:hAnsi="Arial" w:cs="Arial"/>
        </w:rPr>
        <w:t xml:space="preserve"> lesson is that critical judgement and evidence to integrate and reflect are in order in international marketing research. These improvements will prepare me for the research process in the future and will enhance the quality of recommendations for strategy.</w:t>
      </w:r>
    </w:p>
    <w:p w14:paraId="73232581" w14:textId="77777777" w:rsidR="000572D3" w:rsidRDefault="000572D3">
      <w:pPr>
        <w:spacing w:line="259" w:lineRule="auto"/>
        <w:jc w:val="left"/>
        <w:rPr>
          <w:rFonts w:ascii="Arial" w:eastAsiaTheme="majorEastAsia" w:hAnsi="Arial" w:cs="Arial"/>
          <w:b/>
          <w:color w:val="000000" w:themeColor="text1"/>
          <w:sz w:val="28"/>
          <w:szCs w:val="40"/>
        </w:rPr>
      </w:pPr>
      <w:r>
        <w:rPr>
          <w:rFonts w:cs="Arial"/>
        </w:rPr>
        <w:br w:type="page"/>
      </w:r>
    </w:p>
    <w:p w14:paraId="615B4F24" w14:textId="1AF99057" w:rsidR="00004F62" w:rsidRPr="000572D3" w:rsidRDefault="00E25D46" w:rsidP="006A1236">
      <w:pPr>
        <w:pStyle w:val="Heading1"/>
        <w:spacing w:after="160"/>
        <w:rPr>
          <w:rFonts w:cs="Arial"/>
        </w:rPr>
      </w:pPr>
      <w:bookmarkStart w:id="52" w:name="_Toc237444469"/>
      <w:r w:rsidRPr="000572D3">
        <w:rPr>
          <w:rFonts w:cs="Arial"/>
        </w:rPr>
        <w:lastRenderedPageBreak/>
        <w:t>References</w:t>
      </w:r>
      <w:bookmarkEnd w:id="52"/>
      <w:r w:rsidRPr="000572D3">
        <w:rPr>
          <w:rFonts w:cs="Arial"/>
        </w:rPr>
        <w:t xml:space="preserve"> </w:t>
      </w:r>
    </w:p>
    <w:p w14:paraId="15F8F62C" w14:textId="77777777" w:rsidR="00825942" w:rsidRPr="000572D3" w:rsidRDefault="00825942" w:rsidP="006A1236">
      <w:pPr>
        <w:rPr>
          <w:rFonts w:ascii="Arial" w:hAnsi="Arial" w:cs="Arial"/>
        </w:rPr>
      </w:pPr>
      <w:r w:rsidRPr="000572D3">
        <w:rPr>
          <w:rFonts w:ascii="Arial" w:hAnsi="Arial" w:cs="Arial"/>
        </w:rPr>
        <w:t>Aujla, D.S. (2022). an Analysis of the Marketing Strategies of Cadbury. </w:t>
      </w:r>
      <w:r w:rsidRPr="000572D3">
        <w:rPr>
          <w:rFonts w:ascii="Arial" w:hAnsi="Arial" w:cs="Arial"/>
          <w:i/>
          <w:iCs/>
        </w:rPr>
        <w:t>Marketing Mastery: Strategies for Captivating Audiences</w:t>
      </w:r>
      <w:r w:rsidRPr="000572D3">
        <w:rPr>
          <w:rFonts w:ascii="Arial" w:hAnsi="Arial" w:cs="Arial"/>
        </w:rPr>
        <w:t xml:space="preserve">, p.43. </w:t>
      </w:r>
      <w:hyperlink r:id="rId19" w:anchor="v=onepage&amp;q&amp;f=false" w:history="1">
        <w:r w:rsidRPr="000572D3">
          <w:rPr>
            <w:rStyle w:val="Hyperlink"/>
            <w:rFonts w:ascii="Arial" w:hAnsi="Arial" w:cs="Arial"/>
          </w:rPr>
          <w:t>https://books.google.co.in/books?hl=en&amp;lr=&amp;id=RgEJEQAAQBAJ&amp;oi=fnd&amp;pg=PA43&amp;dq=Marketing+Mix+7Ps+Cadbury&amp;ots=06UAjpnChq&amp;sig=JnGZIgu_VT-ZWao0a7vD04fGjmw&amp;redir_esc=y#v=onepage&amp;q&amp;f=false</w:t>
        </w:r>
      </w:hyperlink>
    </w:p>
    <w:p w14:paraId="0B08B228" w14:textId="77777777" w:rsidR="00825942" w:rsidRPr="000572D3" w:rsidRDefault="00825942" w:rsidP="006A1236">
      <w:pPr>
        <w:rPr>
          <w:rFonts w:ascii="Arial" w:hAnsi="Arial" w:cs="Arial"/>
        </w:rPr>
      </w:pPr>
      <w:r w:rsidRPr="000572D3">
        <w:rPr>
          <w:rFonts w:ascii="Arial" w:hAnsi="Arial" w:cs="Arial"/>
        </w:rPr>
        <w:t>Baden, D. and Wilkinson, S. (2021). Corporate Social Responsibility in Cuba. In </w:t>
      </w:r>
      <w:r w:rsidRPr="000572D3">
        <w:rPr>
          <w:rFonts w:ascii="Arial" w:hAnsi="Arial" w:cs="Arial"/>
          <w:i/>
          <w:iCs/>
        </w:rPr>
        <w:t>Current Global Practices of Corporate Social Responsibility: In the Era of Sustainable Development Goals</w:t>
      </w:r>
      <w:r w:rsidRPr="000572D3">
        <w:rPr>
          <w:rFonts w:ascii="Arial" w:hAnsi="Arial" w:cs="Arial"/>
        </w:rPr>
        <w:t xml:space="preserve"> (pp. 637-649). Cham: Springer International Publishing. </w:t>
      </w:r>
      <w:hyperlink r:id="rId20" w:history="1">
        <w:r w:rsidRPr="000572D3">
          <w:rPr>
            <w:rStyle w:val="Hyperlink"/>
            <w:rFonts w:ascii="Arial" w:hAnsi="Arial" w:cs="Arial"/>
          </w:rPr>
          <w:t>https://link.springer.com/chapter/10.1007/978-3-030-68386-3_30</w:t>
        </w:r>
      </w:hyperlink>
    </w:p>
    <w:p w14:paraId="67A76D8A" w14:textId="77777777" w:rsidR="00825942" w:rsidRPr="000572D3" w:rsidRDefault="00825942" w:rsidP="006A1236">
      <w:pPr>
        <w:rPr>
          <w:rFonts w:ascii="Arial" w:hAnsi="Arial" w:cs="Arial"/>
        </w:rPr>
      </w:pPr>
      <w:r w:rsidRPr="000572D3">
        <w:rPr>
          <w:rFonts w:ascii="Arial" w:hAnsi="Arial" w:cs="Arial"/>
        </w:rPr>
        <w:t xml:space="preserve">Balogun, F. (2022). </w:t>
      </w:r>
      <w:r w:rsidRPr="000572D3">
        <w:rPr>
          <w:rFonts w:ascii="Arial" w:hAnsi="Arial" w:cs="Arial"/>
          <w:i/>
          <w:iCs/>
        </w:rPr>
        <w:t>Beverage consumption lifts Cadbury’s half-year revenue By 50% -</w:t>
      </w:r>
      <w:r w:rsidRPr="000572D3">
        <w:rPr>
          <w:rFonts w:ascii="Arial" w:hAnsi="Arial" w:cs="Arial"/>
        </w:rPr>
        <w:t xml:space="preserve">. [online] </w:t>
      </w:r>
      <w:proofErr w:type="spellStart"/>
      <w:r w:rsidRPr="000572D3">
        <w:rPr>
          <w:rFonts w:ascii="Arial" w:hAnsi="Arial" w:cs="Arial"/>
          <w:i/>
          <w:iCs/>
        </w:rPr>
        <w:t>Businessday</w:t>
      </w:r>
      <w:proofErr w:type="spellEnd"/>
      <w:r w:rsidRPr="000572D3">
        <w:rPr>
          <w:rFonts w:ascii="Arial" w:hAnsi="Arial" w:cs="Arial"/>
          <w:i/>
          <w:iCs/>
        </w:rPr>
        <w:t xml:space="preserve"> NG</w:t>
      </w:r>
      <w:r w:rsidRPr="000572D3">
        <w:rPr>
          <w:rFonts w:ascii="Arial" w:hAnsi="Arial" w:cs="Arial"/>
        </w:rPr>
        <w:t>. Available at: https://businessday.ng/companies/article/beverage-consumption-lifts-cadburys-half-year-revenue-by-50/ [Accessed 8 Aug. 2026].</w:t>
      </w:r>
    </w:p>
    <w:p w14:paraId="1D222C23" w14:textId="77777777" w:rsidR="00825942" w:rsidRPr="000572D3" w:rsidRDefault="00825942" w:rsidP="006A1236">
      <w:pPr>
        <w:rPr>
          <w:rFonts w:ascii="Arial" w:hAnsi="Arial" w:cs="Arial"/>
        </w:rPr>
      </w:pPr>
      <w:r w:rsidRPr="000572D3">
        <w:rPr>
          <w:rFonts w:ascii="Arial" w:hAnsi="Arial" w:cs="Arial"/>
        </w:rPr>
        <w:t>Bassot, B. (2024). </w:t>
      </w:r>
      <w:r w:rsidRPr="000572D3">
        <w:rPr>
          <w:rFonts w:ascii="Arial" w:hAnsi="Arial" w:cs="Arial"/>
          <w:i/>
          <w:iCs/>
        </w:rPr>
        <w:t>The reflective journal</w:t>
      </w:r>
      <w:r w:rsidRPr="000572D3">
        <w:rPr>
          <w:rFonts w:ascii="Arial" w:hAnsi="Arial" w:cs="Arial"/>
        </w:rPr>
        <w:t xml:space="preserve">. Bloomsbury Publishing. </w:t>
      </w:r>
      <w:hyperlink r:id="rId21" w:history="1">
        <w:r w:rsidRPr="000572D3">
          <w:rPr>
            <w:rStyle w:val="Hyperlink"/>
            <w:rFonts w:ascii="Arial" w:hAnsi="Arial" w:cs="Arial"/>
          </w:rPr>
          <w:t>https://books.google.co.in/books?hl=en&amp;lr=&amp;id=GAIZEQAAQBAJ&amp;oi=fnd&amp;pg=PP1&amp;dq=Gibbs%27+Reflective+Cycle&amp;ots=ayzjmJ4LVF&amp;sig=FxhceICpV3grMJpUXsTnwZIFtms&amp;redir_esc=y</w:t>
        </w:r>
      </w:hyperlink>
    </w:p>
    <w:p w14:paraId="43040EDC" w14:textId="77777777" w:rsidR="00825942" w:rsidRPr="000572D3" w:rsidRDefault="00825942" w:rsidP="006A1236">
      <w:pPr>
        <w:rPr>
          <w:rFonts w:ascii="Arial" w:hAnsi="Arial" w:cs="Arial"/>
        </w:rPr>
      </w:pPr>
      <w:proofErr w:type="spellStart"/>
      <w:r w:rsidRPr="000572D3">
        <w:rPr>
          <w:rFonts w:ascii="Arial" w:hAnsi="Arial" w:cs="Arial"/>
        </w:rPr>
        <w:t>Bizzdesign</w:t>
      </w:r>
      <w:proofErr w:type="spellEnd"/>
      <w:r w:rsidRPr="000572D3">
        <w:rPr>
          <w:rFonts w:ascii="Arial" w:hAnsi="Arial" w:cs="Arial"/>
        </w:rPr>
        <w:t xml:space="preserve"> (2026). </w:t>
      </w:r>
      <w:r w:rsidRPr="000572D3">
        <w:rPr>
          <w:rFonts w:ascii="Arial" w:hAnsi="Arial" w:cs="Arial"/>
          <w:i/>
          <w:iCs/>
        </w:rPr>
        <w:t>Articles</w:t>
      </w:r>
      <w:r w:rsidRPr="000572D3">
        <w:rPr>
          <w:rFonts w:ascii="Arial" w:hAnsi="Arial" w:cs="Arial"/>
        </w:rPr>
        <w:t>. [online] Bizzdesign.com. Available at: https://help.bizzdesign.com/articles/# [Accessed 8 Aug. 2026].</w:t>
      </w:r>
    </w:p>
    <w:p w14:paraId="0DBAE717" w14:textId="77777777" w:rsidR="00825942" w:rsidRPr="000572D3" w:rsidRDefault="00825942" w:rsidP="006A1236">
      <w:pPr>
        <w:rPr>
          <w:rFonts w:ascii="Arial" w:hAnsi="Arial" w:cs="Arial"/>
        </w:rPr>
      </w:pPr>
      <w:r w:rsidRPr="000572D3">
        <w:rPr>
          <w:rFonts w:ascii="Arial" w:hAnsi="Arial" w:cs="Arial"/>
        </w:rPr>
        <w:t>Brandts, M., Bertheau, P., Plana, D.R., Lammers, K. and Rodriguez, M.A.R. (2024). An energy system model-based approach to investigate cost-optimal technology mixes for the Cuban power system to meet national targets. </w:t>
      </w:r>
      <w:r w:rsidRPr="000572D3">
        <w:rPr>
          <w:rFonts w:ascii="Arial" w:hAnsi="Arial" w:cs="Arial"/>
          <w:i/>
          <w:iCs/>
        </w:rPr>
        <w:t>Energy</w:t>
      </w:r>
      <w:r w:rsidRPr="000572D3">
        <w:rPr>
          <w:rFonts w:ascii="Arial" w:hAnsi="Arial" w:cs="Arial"/>
        </w:rPr>
        <w:t>, </w:t>
      </w:r>
      <w:r w:rsidRPr="000572D3">
        <w:rPr>
          <w:rFonts w:ascii="Arial" w:hAnsi="Arial" w:cs="Arial"/>
          <w:i/>
          <w:iCs/>
        </w:rPr>
        <w:t>306</w:t>
      </w:r>
      <w:r w:rsidRPr="000572D3">
        <w:rPr>
          <w:rFonts w:ascii="Arial" w:hAnsi="Arial" w:cs="Arial"/>
        </w:rPr>
        <w:t xml:space="preserve">, p.132492. </w:t>
      </w:r>
      <w:hyperlink r:id="rId22" w:history="1">
        <w:r w:rsidRPr="000572D3">
          <w:rPr>
            <w:rStyle w:val="Hyperlink"/>
            <w:rFonts w:ascii="Arial" w:hAnsi="Arial" w:cs="Arial"/>
          </w:rPr>
          <w:t>https://www.sciencedirect.com/science/article/abs/pii/S0360544224022667</w:t>
        </w:r>
      </w:hyperlink>
    </w:p>
    <w:p w14:paraId="564016AD" w14:textId="77777777" w:rsidR="00825942" w:rsidRPr="000572D3" w:rsidRDefault="00825942" w:rsidP="006A1236">
      <w:pPr>
        <w:rPr>
          <w:rFonts w:ascii="Arial" w:hAnsi="Arial" w:cs="Arial"/>
        </w:rPr>
      </w:pPr>
      <w:r w:rsidRPr="000572D3">
        <w:rPr>
          <w:rFonts w:ascii="Arial" w:hAnsi="Arial" w:cs="Arial"/>
        </w:rPr>
        <w:t>Buye, R. (2021). Critical examination of the PESTEL Analysis Model. </w:t>
      </w:r>
      <w:r w:rsidRPr="000572D3">
        <w:rPr>
          <w:rFonts w:ascii="Arial" w:hAnsi="Arial" w:cs="Arial"/>
          <w:i/>
          <w:iCs/>
        </w:rPr>
        <w:t>Project: Action Research for Development</w:t>
      </w:r>
      <w:r w:rsidRPr="000572D3">
        <w:rPr>
          <w:rFonts w:ascii="Arial" w:hAnsi="Arial" w:cs="Arial"/>
        </w:rPr>
        <w:t>, pp.1-12.</w:t>
      </w:r>
    </w:p>
    <w:p w14:paraId="73B2C2F6" w14:textId="77777777" w:rsidR="00825942" w:rsidRPr="000572D3" w:rsidRDefault="00825942" w:rsidP="006A1236">
      <w:pPr>
        <w:rPr>
          <w:rFonts w:ascii="Arial" w:hAnsi="Arial" w:cs="Arial"/>
        </w:rPr>
      </w:pPr>
      <w:r w:rsidRPr="000572D3">
        <w:rPr>
          <w:rFonts w:ascii="Arial" w:hAnsi="Arial" w:cs="Arial"/>
        </w:rPr>
        <w:t xml:space="preserve">Cadbury (2023). </w:t>
      </w:r>
      <w:r w:rsidRPr="000572D3">
        <w:rPr>
          <w:rFonts w:ascii="Arial" w:hAnsi="Arial" w:cs="Arial"/>
          <w:i/>
          <w:iCs/>
        </w:rPr>
        <w:t>Cadbury timeline</w:t>
      </w:r>
      <w:r w:rsidRPr="000572D3">
        <w:rPr>
          <w:rFonts w:ascii="Arial" w:hAnsi="Arial" w:cs="Arial"/>
        </w:rPr>
        <w:t xml:space="preserve">. [online] </w:t>
      </w:r>
      <w:r w:rsidRPr="000572D3">
        <w:rPr>
          <w:rFonts w:ascii="Arial" w:hAnsi="Arial" w:cs="Arial"/>
          <w:i/>
          <w:iCs/>
        </w:rPr>
        <w:t>Cadbury UK</w:t>
      </w:r>
      <w:r w:rsidRPr="000572D3">
        <w:rPr>
          <w:rFonts w:ascii="Arial" w:hAnsi="Arial" w:cs="Arial"/>
        </w:rPr>
        <w:t>. Available at: https://www.cadbury.co.uk/about/history/timeline/ [Accessed 8 Aug. 2026].</w:t>
      </w:r>
    </w:p>
    <w:p w14:paraId="2BEE4896" w14:textId="77777777" w:rsidR="00825942" w:rsidRPr="000572D3" w:rsidRDefault="00825942" w:rsidP="006A1236">
      <w:pPr>
        <w:rPr>
          <w:rFonts w:ascii="Arial" w:hAnsi="Arial" w:cs="Arial"/>
        </w:rPr>
      </w:pPr>
      <w:r w:rsidRPr="000572D3">
        <w:rPr>
          <w:rFonts w:ascii="Arial" w:hAnsi="Arial" w:cs="Arial"/>
        </w:rPr>
        <w:t xml:space="preserve">Cadbury (2024). </w:t>
      </w:r>
      <w:r w:rsidRPr="000572D3">
        <w:rPr>
          <w:rFonts w:ascii="Arial" w:hAnsi="Arial" w:cs="Arial"/>
          <w:i/>
          <w:iCs/>
        </w:rPr>
        <w:t>Cadbury chocolate | cadbury.Co.uk</w:t>
      </w:r>
      <w:r w:rsidRPr="000572D3">
        <w:rPr>
          <w:rFonts w:ascii="Arial" w:hAnsi="Arial" w:cs="Arial"/>
        </w:rPr>
        <w:t xml:space="preserve">. [online] </w:t>
      </w:r>
      <w:r w:rsidRPr="000572D3">
        <w:rPr>
          <w:rFonts w:ascii="Arial" w:hAnsi="Arial" w:cs="Arial"/>
          <w:i/>
          <w:iCs/>
        </w:rPr>
        <w:t>Cadbury.co.uk</w:t>
      </w:r>
      <w:r w:rsidRPr="000572D3">
        <w:rPr>
          <w:rFonts w:ascii="Arial" w:hAnsi="Arial" w:cs="Arial"/>
        </w:rPr>
        <w:t>. Available at: https://www.cadbury.co.uk/ [Accessed 8 Aug. 2026].</w:t>
      </w:r>
    </w:p>
    <w:p w14:paraId="6F6367A6" w14:textId="77777777" w:rsidR="00825942" w:rsidRPr="000572D3" w:rsidRDefault="00825942" w:rsidP="006A1236">
      <w:pPr>
        <w:rPr>
          <w:rFonts w:ascii="Arial" w:hAnsi="Arial" w:cs="Arial"/>
        </w:rPr>
      </w:pPr>
      <w:r w:rsidRPr="000572D3">
        <w:rPr>
          <w:rFonts w:ascii="Arial" w:hAnsi="Arial" w:cs="Arial"/>
        </w:rPr>
        <w:lastRenderedPageBreak/>
        <w:t xml:space="preserve">Cadbury (2024b). </w:t>
      </w:r>
      <w:r w:rsidRPr="000572D3">
        <w:rPr>
          <w:rFonts w:ascii="Arial" w:hAnsi="Arial" w:cs="Arial"/>
          <w:i/>
          <w:iCs/>
        </w:rPr>
        <w:t>Cadbury unwrapped - reporting on key trends &amp; influences</w:t>
      </w:r>
      <w:r w:rsidRPr="000572D3">
        <w:rPr>
          <w:rFonts w:ascii="Arial" w:hAnsi="Arial" w:cs="Arial"/>
        </w:rPr>
        <w:t xml:space="preserve">. [online] </w:t>
      </w:r>
      <w:r w:rsidRPr="000572D3">
        <w:rPr>
          <w:rFonts w:ascii="Arial" w:hAnsi="Arial" w:cs="Arial"/>
          <w:i/>
          <w:iCs/>
        </w:rPr>
        <w:t>Cadbury.co.uk</w:t>
      </w:r>
      <w:r w:rsidRPr="000572D3">
        <w:rPr>
          <w:rFonts w:ascii="Arial" w:hAnsi="Arial" w:cs="Arial"/>
        </w:rPr>
        <w:t>. Available at: https://www.cadbury.co.uk/about/impact/cadbury-unwrapped/ [Accessed 8 Aug. 2026].</w:t>
      </w:r>
    </w:p>
    <w:p w14:paraId="538C3E3E" w14:textId="77777777" w:rsidR="00825942" w:rsidRPr="000572D3" w:rsidRDefault="00825942" w:rsidP="006A1236">
      <w:pPr>
        <w:rPr>
          <w:rFonts w:ascii="Arial" w:hAnsi="Arial" w:cs="Arial"/>
        </w:rPr>
      </w:pPr>
      <w:r w:rsidRPr="000572D3">
        <w:rPr>
          <w:rFonts w:ascii="Arial" w:hAnsi="Arial" w:cs="Arial"/>
        </w:rPr>
        <w:t xml:space="preserve">Cadbury (2024c). </w:t>
      </w:r>
      <w:r w:rsidRPr="000572D3">
        <w:rPr>
          <w:rFonts w:ascii="Arial" w:hAnsi="Arial" w:cs="Arial"/>
          <w:i/>
          <w:iCs/>
        </w:rPr>
        <w:t>Our story</w:t>
      </w:r>
      <w:r w:rsidRPr="000572D3">
        <w:rPr>
          <w:rFonts w:ascii="Arial" w:hAnsi="Arial" w:cs="Arial"/>
        </w:rPr>
        <w:t xml:space="preserve">. [online] </w:t>
      </w:r>
      <w:r w:rsidRPr="000572D3">
        <w:rPr>
          <w:rFonts w:ascii="Arial" w:hAnsi="Arial" w:cs="Arial"/>
          <w:i/>
          <w:iCs/>
        </w:rPr>
        <w:t>Cadbury UK</w:t>
      </w:r>
      <w:r w:rsidRPr="000572D3">
        <w:rPr>
          <w:rFonts w:ascii="Arial" w:hAnsi="Arial" w:cs="Arial"/>
        </w:rPr>
        <w:t>. Available at: https://www.cadbury.co.uk/about/history/our-story/ [Accessed 8 Aug. 2026].</w:t>
      </w:r>
    </w:p>
    <w:p w14:paraId="463CC2F0" w14:textId="77777777" w:rsidR="00825942" w:rsidRPr="000572D3" w:rsidRDefault="00825942" w:rsidP="006A1236">
      <w:pPr>
        <w:rPr>
          <w:rFonts w:ascii="Arial" w:hAnsi="Arial" w:cs="Arial"/>
        </w:rPr>
      </w:pPr>
      <w:r w:rsidRPr="000572D3">
        <w:rPr>
          <w:rFonts w:ascii="Arial" w:hAnsi="Arial" w:cs="Arial"/>
        </w:rPr>
        <w:t xml:space="preserve">Cadbury (2025). </w:t>
      </w:r>
      <w:r w:rsidRPr="000572D3">
        <w:rPr>
          <w:rFonts w:ascii="Arial" w:hAnsi="Arial" w:cs="Arial"/>
          <w:i/>
          <w:iCs/>
        </w:rPr>
        <w:t>Business model of Cadbury: Bringing taste with quality</w:t>
      </w:r>
      <w:r w:rsidRPr="000572D3">
        <w:rPr>
          <w:rFonts w:ascii="Arial" w:hAnsi="Arial" w:cs="Arial"/>
        </w:rPr>
        <w:t xml:space="preserve">. [online] </w:t>
      </w:r>
      <w:r w:rsidRPr="000572D3">
        <w:rPr>
          <w:rFonts w:ascii="Arial" w:hAnsi="Arial" w:cs="Arial"/>
          <w:i/>
          <w:iCs/>
        </w:rPr>
        <w:t>www.99logos.in</w:t>
      </w:r>
      <w:r w:rsidRPr="000572D3">
        <w:rPr>
          <w:rFonts w:ascii="Arial" w:hAnsi="Arial" w:cs="Arial"/>
        </w:rPr>
        <w:t>. Available at: https://www.99logos.in/blog.php?blog_title=business-model-of-cadbury-bringing-taste-with-quality [Accessed 8 Aug. 2026].</w:t>
      </w:r>
    </w:p>
    <w:p w14:paraId="240F590A" w14:textId="77777777" w:rsidR="00825942" w:rsidRPr="000572D3" w:rsidRDefault="00825942" w:rsidP="006A1236">
      <w:pPr>
        <w:rPr>
          <w:rFonts w:ascii="Arial" w:hAnsi="Arial" w:cs="Arial"/>
        </w:rPr>
      </w:pPr>
      <w:r w:rsidRPr="000572D3">
        <w:rPr>
          <w:rFonts w:ascii="Arial" w:hAnsi="Arial" w:cs="Arial"/>
        </w:rPr>
        <w:t>Cao, Q., Ji, J. and Li, N. (2026). Entering self-employment as opportunity-driven entrepreneurship: evidence from ethnic enclaves in the United Kingdom. </w:t>
      </w:r>
      <w:r w:rsidRPr="000572D3">
        <w:rPr>
          <w:rFonts w:ascii="Arial" w:hAnsi="Arial" w:cs="Arial"/>
          <w:i/>
          <w:iCs/>
        </w:rPr>
        <w:t xml:space="preserve">International Journal of Entrepreneurial </w:t>
      </w:r>
      <w:proofErr w:type="spellStart"/>
      <w:r w:rsidRPr="000572D3">
        <w:rPr>
          <w:rFonts w:ascii="Arial" w:hAnsi="Arial" w:cs="Arial"/>
          <w:i/>
          <w:iCs/>
        </w:rPr>
        <w:t>Behavior</w:t>
      </w:r>
      <w:proofErr w:type="spellEnd"/>
      <w:r w:rsidRPr="000572D3">
        <w:rPr>
          <w:rFonts w:ascii="Arial" w:hAnsi="Arial" w:cs="Arial"/>
          <w:i/>
          <w:iCs/>
        </w:rPr>
        <w:t xml:space="preserve"> &amp; Research</w:t>
      </w:r>
      <w:r w:rsidRPr="000572D3">
        <w:rPr>
          <w:rFonts w:ascii="Arial" w:hAnsi="Arial" w:cs="Arial"/>
        </w:rPr>
        <w:t>, </w:t>
      </w:r>
      <w:r w:rsidRPr="000572D3">
        <w:rPr>
          <w:rFonts w:ascii="Arial" w:hAnsi="Arial" w:cs="Arial"/>
          <w:i/>
          <w:iCs/>
        </w:rPr>
        <w:t>32</w:t>
      </w:r>
      <w:r w:rsidRPr="000572D3">
        <w:rPr>
          <w:rFonts w:ascii="Arial" w:hAnsi="Arial" w:cs="Arial"/>
        </w:rPr>
        <w:t>(6), pp.1504-1533.</w:t>
      </w:r>
    </w:p>
    <w:p w14:paraId="7BD7A507" w14:textId="77777777" w:rsidR="00825942" w:rsidRPr="000572D3" w:rsidRDefault="00825942" w:rsidP="006A1236">
      <w:pPr>
        <w:rPr>
          <w:rFonts w:ascii="Arial" w:hAnsi="Arial" w:cs="Arial"/>
        </w:rPr>
      </w:pPr>
      <w:r w:rsidRPr="000572D3">
        <w:rPr>
          <w:rFonts w:ascii="Arial" w:hAnsi="Arial" w:cs="Arial"/>
        </w:rPr>
        <w:t>Cearns, J. (2023). </w:t>
      </w:r>
      <w:r w:rsidRPr="000572D3">
        <w:rPr>
          <w:rFonts w:ascii="Arial" w:hAnsi="Arial" w:cs="Arial"/>
          <w:i/>
          <w:iCs/>
        </w:rPr>
        <w:t>Circulating culture: transnational Cuban networks of exchange</w:t>
      </w:r>
      <w:r w:rsidRPr="000572D3">
        <w:rPr>
          <w:rFonts w:ascii="Arial" w:hAnsi="Arial" w:cs="Arial"/>
        </w:rPr>
        <w:t xml:space="preserve">. University Press of Florida. </w:t>
      </w:r>
      <w:hyperlink r:id="rId23" w:anchor="v=onepage&amp;q=Cuba%20Cultural%20Profile&amp;f=false" w:history="1">
        <w:r w:rsidRPr="000572D3">
          <w:rPr>
            <w:rStyle w:val="Hyperlink"/>
            <w:rFonts w:ascii="Arial" w:hAnsi="Arial" w:cs="Arial"/>
          </w:rPr>
          <w:t>https://books.google.co.in/books?hl=en&amp;lr=&amp;id=WYPSEAAAQBAJ&amp;oi=fnd&amp;pg=PA1991&amp;dq=Cuba+Cultural+Profile&amp;ots=oEdyTS95Ji&amp;sig=ZoTIbfRd60sJPGyWK_bi8ltIY3Y&amp;redir_esc=y#v=onepage&amp;q=Cuba%20Cultural%20Profile&amp;f=false</w:t>
        </w:r>
      </w:hyperlink>
    </w:p>
    <w:p w14:paraId="1AE2F9ED" w14:textId="77777777" w:rsidR="00825942" w:rsidRPr="000572D3" w:rsidRDefault="00825942" w:rsidP="006A1236">
      <w:pPr>
        <w:rPr>
          <w:rFonts w:ascii="Arial" w:hAnsi="Arial" w:cs="Arial"/>
        </w:rPr>
      </w:pPr>
      <w:r w:rsidRPr="000572D3">
        <w:rPr>
          <w:rFonts w:ascii="Arial" w:hAnsi="Arial" w:cs="Arial"/>
        </w:rPr>
        <w:t>Chávez, C. (2023). Selling Cuba: Havana Club Advertising and the Practice of Cultural Mediation. In </w:t>
      </w:r>
      <w:r w:rsidRPr="000572D3">
        <w:rPr>
          <w:rFonts w:ascii="Arial" w:hAnsi="Arial" w:cs="Arial"/>
          <w:i/>
          <w:iCs/>
        </w:rPr>
        <w:t>The Routledge Companion to Advertising and Promotional Culture</w:t>
      </w:r>
      <w:r w:rsidRPr="000572D3">
        <w:rPr>
          <w:rFonts w:ascii="Arial" w:hAnsi="Arial" w:cs="Arial"/>
        </w:rPr>
        <w:t xml:space="preserve"> (pp. 149-161). Routledge. </w:t>
      </w:r>
      <w:hyperlink r:id="rId24" w:history="1">
        <w:r w:rsidRPr="000572D3">
          <w:rPr>
            <w:rStyle w:val="Hyperlink"/>
            <w:rFonts w:ascii="Arial" w:hAnsi="Arial" w:cs="Arial"/>
          </w:rPr>
          <w:t>https://www.taylorfrancis.com/chapters/edit/10.4324/9781003124870-17/selling-cuba-christopher-ch%C3%A1vez</w:t>
        </w:r>
      </w:hyperlink>
    </w:p>
    <w:p w14:paraId="109AC0A8" w14:textId="77777777" w:rsidR="00825942" w:rsidRPr="000572D3" w:rsidRDefault="00825942" w:rsidP="006A1236">
      <w:pPr>
        <w:rPr>
          <w:rFonts w:ascii="Arial" w:hAnsi="Arial" w:cs="Arial"/>
        </w:rPr>
      </w:pPr>
      <w:proofErr w:type="spellStart"/>
      <w:r w:rsidRPr="000572D3">
        <w:rPr>
          <w:rFonts w:ascii="Arial" w:hAnsi="Arial" w:cs="Arial"/>
        </w:rPr>
        <w:t>Chiyem</w:t>
      </w:r>
      <w:proofErr w:type="spellEnd"/>
      <w:r w:rsidRPr="000572D3">
        <w:rPr>
          <w:rFonts w:ascii="Arial" w:hAnsi="Arial" w:cs="Arial"/>
        </w:rPr>
        <w:t>, I.R. and Christopher, C.N. (2022). Marketing research and organizational performance: A study of Cadbury Nigeria Plc. </w:t>
      </w:r>
      <w:r w:rsidRPr="000572D3">
        <w:rPr>
          <w:rFonts w:ascii="Arial" w:hAnsi="Arial" w:cs="Arial"/>
          <w:i/>
          <w:iCs/>
        </w:rPr>
        <w:t>International Journal of Intellectual Discourse</w:t>
      </w:r>
      <w:r w:rsidRPr="000572D3">
        <w:rPr>
          <w:rFonts w:ascii="Arial" w:hAnsi="Arial" w:cs="Arial"/>
        </w:rPr>
        <w:t>, </w:t>
      </w:r>
      <w:r w:rsidRPr="000572D3">
        <w:rPr>
          <w:rFonts w:ascii="Arial" w:hAnsi="Arial" w:cs="Arial"/>
          <w:i/>
          <w:iCs/>
        </w:rPr>
        <w:t>5</w:t>
      </w:r>
      <w:r w:rsidRPr="000572D3">
        <w:rPr>
          <w:rFonts w:ascii="Arial" w:hAnsi="Arial" w:cs="Arial"/>
        </w:rPr>
        <w:t xml:space="preserve">(2), pp.221-233. </w:t>
      </w:r>
      <w:hyperlink r:id="rId25" w:history="1">
        <w:r w:rsidRPr="000572D3">
          <w:rPr>
            <w:rStyle w:val="Hyperlink"/>
            <w:rFonts w:ascii="Arial" w:hAnsi="Arial" w:cs="Arial"/>
          </w:rPr>
          <w:t>https://ijidjournal.org/index.php/ijid/article/view/251</w:t>
        </w:r>
      </w:hyperlink>
    </w:p>
    <w:p w14:paraId="1BDDB26B" w14:textId="77777777" w:rsidR="00825942" w:rsidRPr="000572D3" w:rsidRDefault="00825942" w:rsidP="006A1236">
      <w:pPr>
        <w:rPr>
          <w:rFonts w:ascii="Arial" w:hAnsi="Arial" w:cs="Arial"/>
        </w:rPr>
      </w:pPr>
      <w:r w:rsidRPr="000572D3">
        <w:rPr>
          <w:rFonts w:ascii="Arial" w:hAnsi="Arial" w:cs="Arial"/>
        </w:rPr>
        <w:t xml:space="preserve">Dastane, O., Aw, E.C.X., </w:t>
      </w:r>
      <w:proofErr w:type="spellStart"/>
      <w:r w:rsidRPr="000572D3">
        <w:rPr>
          <w:rFonts w:ascii="Arial" w:hAnsi="Arial" w:cs="Arial"/>
        </w:rPr>
        <w:t>Fandos</w:t>
      </w:r>
      <w:proofErr w:type="spellEnd"/>
      <w:r w:rsidRPr="000572D3">
        <w:rPr>
          <w:rFonts w:ascii="Arial" w:hAnsi="Arial" w:cs="Arial"/>
        </w:rPr>
        <w:t>-Roig, J.C. and Sánchez-García, J. (2026). Ethical marketing: a review and research agenda. </w:t>
      </w:r>
      <w:r w:rsidRPr="000572D3">
        <w:rPr>
          <w:rFonts w:ascii="Arial" w:hAnsi="Arial" w:cs="Arial"/>
          <w:i/>
          <w:iCs/>
        </w:rPr>
        <w:t>Marketing Intelligence &amp; Planning</w:t>
      </w:r>
      <w:r w:rsidRPr="000572D3">
        <w:rPr>
          <w:rFonts w:ascii="Arial" w:hAnsi="Arial" w:cs="Arial"/>
        </w:rPr>
        <w:t>, </w:t>
      </w:r>
      <w:r w:rsidRPr="000572D3">
        <w:rPr>
          <w:rFonts w:ascii="Arial" w:hAnsi="Arial" w:cs="Arial"/>
          <w:i/>
          <w:iCs/>
        </w:rPr>
        <w:t>44</w:t>
      </w:r>
      <w:r w:rsidRPr="000572D3">
        <w:rPr>
          <w:rFonts w:ascii="Arial" w:hAnsi="Arial" w:cs="Arial"/>
        </w:rPr>
        <w:t xml:space="preserve">(1), pp.121-142. </w:t>
      </w:r>
      <w:hyperlink r:id="rId26" w:history="1">
        <w:r w:rsidRPr="000572D3">
          <w:rPr>
            <w:rStyle w:val="Hyperlink"/>
            <w:rFonts w:ascii="Arial" w:hAnsi="Arial" w:cs="Arial"/>
          </w:rPr>
          <w:t>https://www.emerald.com/mip/article-abstract/44/1/121/1265577/Ethical-marketing-a-review-and-research-agenda?redirectedFrom=fulltext</w:t>
        </w:r>
      </w:hyperlink>
    </w:p>
    <w:p w14:paraId="23126DFE" w14:textId="77777777" w:rsidR="00825942" w:rsidRPr="000572D3" w:rsidRDefault="00825942" w:rsidP="006A1236">
      <w:pPr>
        <w:rPr>
          <w:rFonts w:ascii="Arial" w:hAnsi="Arial" w:cs="Arial"/>
        </w:rPr>
      </w:pPr>
      <w:r w:rsidRPr="000572D3">
        <w:rPr>
          <w:rFonts w:ascii="Arial" w:hAnsi="Arial" w:cs="Arial"/>
        </w:rPr>
        <w:t>Desai, V, (2023). </w:t>
      </w:r>
      <w:r w:rsidRPr="000572D3">
        <w:rPr>
          <w:rFonts w:ascii="Arial" w:hAnsi="Arial" w:cs="Arial"/>
          <w:i/>
          <w:iCs/>
        </w:rPr>
        <w:t>Services marketing essentials you always wanted to know</w:t>
      </w:r>
      <w:r w:rsidRPr="000572D3">
        <w:rPr>
          <w:rFonts w:ascii="Arial" w:hAnsi="Arial" w:cs="Arial"/>
        </w:rPr>
        <w:t xml:space="preserve">. Vibrant Publishers. </w:t>
      </w:r>
      <w:hyperlink r:id="rId27" w:anchor="v=onepage&amp;q&amp;f=false" w:history="1">
        <w:r w:rsidRPr="000572D3">
          <w:rPr>
            <w:rStyle w:val="Hyperlink"/>
            <w:rFonts w:ascii="Arial" w:hAnsi="Arial" w:cs="Arial"/>
          </w:rPr>
          <w:t>https://books.google.co.in/books?hl=en&amp;lr=&amp;id=9r3NEAAAQBAJ&amp;oi=fnd&amp;pg=PT14&amp;dq=Marketing+Mix+7Ps+Cadbury&amp;ots=SLrNblxZRz&amp;sig=_kx6MU2kYk9ljFNmqmySPG-Ctl8&amp;redir_esc=y#v=onepage&amp;q&amp;f=false</w:t>
        </w:r>
      </w:hyperlink>
    </w:p>
    <w:p w14:paraId="151268D1" w14:textId="77777777" w:rsidR="00825942" w:rsidRPr="000572D3" w:rsidRDefault="00825942" w:rsidP="006A1236">
      <w:pPr>
        <w:rPr>
          <w:rFonts w:ascii="Arial" w:hAnsi="Arial" w:cs="Arial"/>
        </w:rPr>
      </w:pPr>
      <w:proofErr w:type="spellStart"/>
      <w:r w:rsidRPr="000572D3">
        <w:rPr>
          <w:rFonts w:ascii="Arial" w:hAnsi="Arial" w:cs="Arial"/>
        </w:rPr>
        <w:t>Dzreke</w:t>
      </w:r>
      <w:proofErr w:type="spellEnd"/>
      <w:r w:rsidRPr="000572D3">
        <w:rPr>
          <w:rFonts w:ascii="Arial" w:hAnsi="Arial" w:cs="Arial"/>
        </w:rPr>
        <w:t xml:space="preserve">, S.S. and </w:t>
      </w:r>
      <w:proofErr w:type="spellStart"/>
      <w:r w:rsidRPr="000572D3">
        <w:rPr>
          <w:rFonts w:ascii="Arial" w:hAnsi="Arial" w:cs="Arial"/>
        </w:rPr>
        <w:t>Dzreke</w:t>
      </w:r>
      <w:proofErr w:type="spellEnd"/>
      <w:r w:rsidRPr="000572D3">
        <w:rPr>
          <w:rFonts w:ascii="Arial" w:hAnsi="Arial" w:cs="Arial"/>
        </w:rPr>
        <w:t>, S.E. (2026). The Algorithmic Canvas: On the Autopoietic Redefinition of STP in the Age of Strategic Resilience. </w:t>
      </w:r>
      <w:r w:rsidRPr="000572D3">
        <w:rPr>
          <w:rFonts w:ascii="Arial" w:hAnsi="Arial" w:cs="Arial"/>
          <w:i/>
          <w:iCs/>
        </w:rPr>
        <w:t>International Journal of Management Science and Application</w:t>
      </w:r>
      <w:r w:rsidRPr="000572D3">
        <w:rPr>
          <w:rFonts w:ascii="Arial" w:hAnsi="Arial" w:cs="Arial"/>
        </w:rPr>
        <w:t>, </w:t>
      </w:r>
      <w:r w:rsidRPr="000572D3">
        <w:rPr>
          <w:rFonts w:ascii="Arial" w:hAnsi="Arial" w:cs="Arial"/>
          <w:i/>
          <w:iCs/>
        </w:rPr>
        <w:t>5</w:t>
      </w:r>
      <w:r w:rsidRPr="000572D3">
        <w:rPr>
          <w:rFonts w:ascii="Arial" w:hAnsi="Arial" w:cs="Arial"/>
        </w:rPr>
        <w:t xml:space="preserve">(1), pp.70-96. </w:t>
      </w:r>
      <w:hyperlink r:id="rId28" w:history="1">
        <w:r w:rsidRPr="000572D3">
          <w:rPr>
            <w:rStyle w:val="Hyperlink"/>
            <w:rFonts w:ascii="Arial" w:hAnsi="Arial" w:cs="Arial"/>
          </w:rPr>
          <w:t>https://ejournal.sultanpublisher.com/ijmsa/article/view/501</w:t>
        </w:r>
      </w:hyperlink>
    </w:p>
    <w:p w14:paraId="7E4BCE99" w14:textId="77777777" w:rsidR="00825942" w:rsidRPr="000572D3" w:rsidRDefault="00825942" w:rsidP="006A1236">
      <w:pPr>
        <w:rPr>
          <w:rFonts w:ascii="Arial" w:hAnsi="Arial" w:cs="Arial"/>
        </w:rPr>
      </w:pPr>
      <w:r w:rsidRPr="000572D3">
        <w:rPr>
          <w:rFonts w:ascii="Arial" w:hAnsi="Arial" w:cs="Arial"/>
        </w:rPr>
        <w:t xml:space="preserve">Emily Jo </w:t>
      </w:r>
      <w:proofErr w:type="spellStart"/>
      <w:r w:rsidRPr="000572D3">
        <w:rPr>
          <w:rFonts w:ascii="Arial" w:hAnsi="Arial" w:cs="Arial"/>
        </w:rPr>
        <w:t>Vizmonte</w:t>
      </w:r>
      <w:proofErr w:type="spellEnd"/>
      <w:r w:rsidRPr="000572D3">
        <w:rPr>
          <w:rFonts w:ascii="Arial" w:hAnsi="Arial" w:cs="Arial"/>
        </w:rPr>
        <w:t xml:space="preserve"> and Dominic Vincent Ligot (2024). </w:t>
      </w:r>
      <w:proofErr w:type="spellStart"/>
      <w:r w:rsidRPr="000572D3">
        <w:rPr>
          <w:rFonts w:ascii="Arial" w:hAnsi="Arial" w:cs="Arial"/>
        </w:rPr>
        <w:t>Analyzing</w:t>
      </w:r>
      <w:proofErr w:type="spellEnd"/>
      <w:r w:rsidRPr="000572D3">
        <w:rPr>
          <w:rFonts w:ascii="Arial" w:hAnsi="Arial" w:cs="Arial"/>
        </w:rPr>
        <w:t xml:space="preserve"> the relationship between cultural dimensions and educational performance using Hofstede model and PISA Data. </w:t>
      </w:r>
      <w:r w:rsidRPr="000572D3">
        <w:rPr>
          <w:rFonts w:ascii="Arial" w:hAnsi="Arial" w:cs="Arial"/>
          <w:i/>
          <w:iCs/>
        </w:rPr>
        <w:t>Social Science Research Network</w:t>
      </w:r>
      <w:r w:rsidRPr="000572D3">
        <w:rPr>
          <w:rFonts w:ascii="Arial" w:hAnsi="Arial" w:cs="Arial"/>
        </w:rPr>
        <w:t>. doi:10.2139/ssrn.4686789.</w:t>
      </w:r>
    </w:p>
    <w:p w14:paraId="3D41B805" w14:textId="77777777" w:rsidR="00825942" w:rsidRPr="000572D3" w:rsidRDefault="00825942" w:rsidP="006A1236">
      <w:pPr>
        <w:rPr>
          <w:rFonts w:ascii="Arial" w:hAnsi="Arial" w:cs="Arial"/>
        </w:rPr>
      </w:pPr>
      <w:r w:rsidRPr="000572D3">
        <w:rPr>
          <w:rFonts w:ascii="Arial" w:hAnsi="Arial" w:cs="Arial"/>
        </w:rPr>
        <w:t>Fagundes, T.S., Marques, R.C. and Malheiros, T.F. (2025). A comprehensive framework for water affordability analysis. </w:t>
      </w:r>
      <w:r w:rsidRPr="000572D3">
        <w:rPr>
          <w:rFonts w:ascii="Arial" w:hAnsi="Arial" w:cs="Arial"/>
          <w:i/>
          <w:iCs/>
        </w:rPr>
        <w:t>Water Resources Management</w:t>
      </w:r>
      <w:r w:rsidRPr="000572D3">
        <w:rPr>
          <w:rFonts w:ascii="Arial" w:hAnsi="Arial" w:cs="Arial"/>
        </w:rPr>
        <w:t>, </w:t>
      </w:r>
      <w:r w:rsidRPr="000572D3">
        <w:rPr>
          <w:rFonts w:ascii="Arial" w:hAnsi="Arial" w:cs="Arial"/>
          <w:i/>
          <w:iCs/>
        </w:rPr>
        <w:t>39</w:t>
      </w:r>
      <w:r w:rsidRPr="000572D3">
        <w:rPr>
          <w:rFonts w:ascii="Arial" w:hAnsi="Arial" w:cs="Arial"/>
        </w:rPr>
        <w:t xml:space="preserve">(6), pp.2527-2549. </w:t>
      </w:r>
      <w:hyperlink r:id="rId29" w:history="1">
        <w:r w:rsidRPr="000572D3">
          <w:rPr>
            <w:rStyle w:val="Hyperlink"/>
            <w:rFonts w:ascii="Arial" w:hAnsi="Arial" w:cs="Arial"/>
          </w:rPr>
          <w:t>https://link.springer.com/article/10.1007/s11269-024-04076-4</w:t>
        </w:r>
      </w:hyperlink>
    </w:p>
    <w:p w14:paraId="1D3D7C26" w14:textId="77777777" w:rsidR="00825942" w:rsidRPr="000572D3" w:rsidRDefault="00825942" w:rsidP="006A1236">
      <w:pPr>
        <w:rPr>
          <w:rFonts w:ascii="Arial" w:hAnsi="Arial" w:cs="Arial"/>
        </w:rPr>
      </w:pPr>
      <w:r w:rsidRPr="000572D3">
        <w:rPr>
          <w:rFonts w:ascii="Arial" w:hAnsi="Arial" w:cs="Arial"/>
        </w:rPr>
        <w:t xml:space="preserve">Geoghegan, D. (2019). </w:t>
      </w:r>
      <w:r w:rsidRPr="000572D3">
        <w:rPr>
          <w:rFonts w:ascii="Arial" w:hAnsi="Arial" w:cs="Arial"/>
          <w:i/>
          <w:iCs/>
        </w:rPr>
        <w:t>STP marketing model</w:t>
      </w:r>
      <w:r w:rsidRPr="000572D3">
        <w:rPr>
          <w:rFonts w:ascii="Arial" w:hAnsi="Arial" w:cs="Arial"/>
        </w:rPr>
        <w:t xml:space="preserve">. [online] </w:t>
      </w:r>
      <w:r w:rsidRPr="000572D3">
        <w:rPr>
          <w:rFonts w:ascii="Arial" w:hAnsi="Arial" w:cs="Arial"/>
          <w:i/>
          <w:iCs/>
        </w:rPr>
        <w:t>Expert Program Management</w:t>
      </w:r>
      <w:r w:rsidRPr="000572D3">
        <w:rPr>
          <w:rFonts w:ascii="Arial" w:hAnsi="Arial" w:cs="Arial"/>
        </w:rPr>
        <w:t>. EPM. Available at: https://expertprogrammanagement.com/2019/11/stp-marketing-model/ [Accessed 8 Aug. 2026].</w:t>
      </w:r>
    </w:p>
    <w:p w14:paraId="5AD07999" w14:textId="77777777" w:rsidR="00825942" w:rsidRPr="000572D3" w:rsidRDefault="00825942" w:rsidP="002F618C">
      <w:pPr>
        <w:rPr>
          <w:rFonts w:ascii="Arial" w:hAnsi="Arial" w:cs="Arial"/>
          <w:lang w:val="en-IN"/>
        </w:rPr>
      </w:pPr>
      <w:r w:rsidRPr="000572D3">
        <w:rPr>
          <w:rFonts w:ascii="Arial" w:hAnsi="Arial" w:cs="Arial"/>
          <w:lang w:val="en-IN"/>
        </w:rPr>
        <w:t xml:space="preserve">Greet Hofstede (2026). </w:t>
      </w:r>
      <w:r w:rsidRPr="000572D3">
        <w:rPr>
          <w:rFonts w:ascii="Arial" w:hAnsi="Arial" w:cs="Arial"/>
          <w:i/>
          <w:iCs/>
          <w:lang w:val="en-IN"/>
        </w:rPr>
        <w:t>Country comparison bar charts</w:t>
      </w:r>
      <w:r w:rsidRPr="000572D3">
        <w:rPr>
          <w:rFonts w:ascii="Arial" w:hAnsi="Arial" w:cs="Arial"/>
          <w:lang w:val="en-IN"/>
        </w:rPr>
        <w:t xml:space="preserve">. Available at: </w:t>
      </w:r>
      <w:hyperlink r:id="rId30" w:history="1">
        <w:r w:rsidRPr="000572D3">
          <w:rPr>
            <w:rStyle w:val="Hyperlink"/>
            <w:rFonts w:ascii="Arial" w:hAnsi="Arial" w:cs="Arial"/>
            <w:lang w:val="en-IN"/>
          </w:rPr>
          <w:t>https://geerthofstede.com/country-comparison-bar-charts/</w:t>
        </w:r>
      </w:hyperlink>
      <w:r w:rsidRPr="000572D3">
        <w:rPr>
          <w:rFonts w:ascii="Arial" w:hAnsi="Arial" w:cs="Arial"/>
          <w:lang w:val="en-IN"/>
        </w:rPr>
        <w:t xml:space="preserve"> [Accessed 10 Aug. 2026].</w:t>
      </w:r>
    </w:p>
    <w:p w14:paraId="0AD5BA7A" w14:textId="77777777" w:rsidR="00825942" w:rsidRPr="000572D3" w:rsidRDefault="00825942" w:rsidP="006A1236">
      <w:r w:rsidRPr="000572D3">
        <w:rPr>
          <w:rFonts w:ascii="Arial" w:hAnsi="Arial" w:cs="Arial"/>
        </w:rPr>
        <w:t>Ho, C.I., Liu, Y. and Chen, M.C. (2022). Factors influencing watching and purchase intentions on live streaming platforms: From a 7Ps marketing mix perspective. </w:t>
      </w:r>
      <w:r w:rsidRPr="000572D3">
        <w:rPr>
          <w:rFonts w:ascii="Arial" w:hAnsi="Arial" w:cs="Arial"/>
          <w:i/>
          <w:iCs/>
        </w:rPr>
        <w:t>Information</w:t>
      </w:r>
      <w:r w:rsidRPr="000572D3">
        <w:rPr>
          <w:rFonts w:ascii="Arial" w:hAnsi="Arial" w:cs="Arial"/>
        </w:rPr>
        <w:t>, </w:t>
      </w:r>
      <w:r w:rsidRPr="000572D3">
        <w:rPr>
          <w:rFonts w:ascii="Arial" w:hAnsi="Arial" w:cs="Arial"/>
          <w:i/>
          <w:iCs/>
        </w:rPr>
        <w:t>13</w:t>
      </w:r>
      <w:r w:rsidRPr="000572D3">
        <w:rPr>
          <w:rFonts w:ascii="Arial" w:hAnsi="Arial" w:cs="Arial"/>
        </w:rPr>
        <w:t xml:space="preserve">(5), p.239. </w:t>
      </w:r>
      <w:hyperlink r:id="rId31" w:history="1">
        <w:r w:rsidRPr="000572D3">
          <w:rPr>
            <w:rStyle w:val="Hyperlink"/>
            <w:rFonts w:ascii="Arial" w:hAnsi="Arial" w:cs="Arial"/>
          </w:rPr>
          <w:t>https://www.mdpi.com/2078-2489/13/5/239</w:t>
        </w:r>
      </w:hyperlink>
    </w:p>
    <w:p w14:paraId="445F9045" w14:textId="77777777" w:rsidR="00825942" w:rsidRPr="000572D3" w:rsidRDefault="00825942" w:rsidP="006A1236">
      <w:pPr>
        <w:rPr>
          <w:rFonts w:ascii="Arial" w:hAnsi="Arial" w:cs="Arial"/>
        </w:rPr>
      </w:pPr>
      <w:r w:rsidRPr="000572D3">
        <w:rPr>
          <w:rFonts w:ascii="Arial" w:hAnsi="Arial" w:cs="Arial"/>
        </w:rPr>
        <w:t>London, M., Sessa, V.I. and Shelley, L.A. (2023). Developing self-awareness: Learning processes for self-and interpersonal growth. </w:t>
      </w:r>
      <w:r w:rsidRPr="000572D3">
        <w:rPr>
          <w:rFonts w:ascii="Arial" w:hAnsi="Arial" w:cs="Arial"/>
          <w:i/>
          <w:iCs/>
        </w:rPr>
        <w:t xml:space="preserve">Annual review of organizational psychology and organizational </w:t>
      </w:r>
      <w:proofErr w:type="spellStart"/>
      <w:r w:rsidRPr="000572D3">
        <w:rPr>
          <w:rFonts w:ascii="Arial" w:hAnsi="Arial" w:cs="Arial"/>
          <w:i/>
          <w:iCs/>
        </w:rPr>
        <w:t>behavior</w:t>
      </w:r>
      <w:proofErr w:type="spellEnd"/>
      <w:r w:rsidRPr="000572D3">
        <w:rPr>
          <w:rFonts w:ascii="Arial" w:hAnsi="Arial" w:cs="Arial"/>
        </w:rPr>
        <w:t>, </w:t>
      </w:r>
      <w:r w:rsidRPr="000572D3">
        <w:rPr>
          <w:rFonts w:ascii="Arial" w:hAnsi="Arial" w:cs="Arial"/>
          <w:i/>
          <w:iCs/>
        </w:rPr>
        <w:t>10</w:t>
      </w:r>
      <w:r w:rsidRPr="000572D3">
        <w:rPr>
          <w:rFonts w:ascii="Arial" w:hAnsi="Arial" w:cs="Arial"/>
        </w:rPr>
        <w:t xml:space="preserve">(2023), pp.261-288. </w:t>
      </w:r>
      <w:hyperlink r:id="rId32" w:history="1">
        <w:r w:rsidRPr="000572D3">
          <w:rPr>
            <w:rStyle w:val="Hyperlink"/>
            <w:rFonts w:ascii="Arial" w:hAnsi="Arial" w:cs="Arial"/>
          </w:rPr>
          <w:t>https://www.annualreviews.org/content/journals/10.1146/annurev-orgpsych-120920-044531/?crawler=true</w:t>
        </w:r>
      </w:hyperlink>
    </w:p>
    <w:p w14:paraId="212E7884" w14:textId="77777777" w:rsidR="00825942" w:rsidRPr="000572D3" w:rsidRDefault="00825942" w:rsidP="006A1236">
      <w:pPr>
        <w:rPr>
          <w:rFonts w:ascii="Arial" w:hAnsi="Arial" w:cs="Arial"/>
        </w:rPr>
      </w:pPr>
      <w:r w:rsidRPr="000572D3">
        <w:rPr>
          <w:rFonts w:ascii="Arial" w:hAnsi="Arial" w:cs="Arial"/>
        </w:rPr>
        <w:t>Loss, J. (2021). Socialism with bling: aspiration, decency, and exclusivity in contemporary Cuba. </w:t>
      </w:r>
      <w:r w:rsidRPr="000572D3">
        <w:rPr>
          <w:rFonts w:ascii="Arial" w:hAnsi="Arial" w:cs="Arial"/>
          <w:i/>
          <w:iCs/>
        </w:rPr>
        <w:t>Journal of Latin American Cultural Studies</w:t>
      </w:r>
      <w:r w:rsidRPr="000572D3">
        <w:rPr>
          <w:rFonts w:ascii="Arial" w:hAnsi="Arial" w:cs="Arial"/>
        </w:rPr>
        <w:t>, </w:t>
      </w:r>
      <w:r w:rsidRPr="000572D3">
        <w:rPr>
          <w:rFonts w:ascii="Arial" w:hAnsi="Arial" w:cs="Arial"/>
          <w:i/>
          <w:iCs/>
        </w:rPr>
        <w:t>30</w:t>
      </w:r>
      <w:r w:rsidRPr="000572D3">
        <w:rPr>
          <w:rFonts w:ascii="Arial" w:hAnsi="Arial" w:cs="Arial"/>
        </w:rPr>
        <w:t xml:space="preserve">(2), pp.291-310. </w:t>
      </w:r>
      <w:hyperlink r:id="rId33" w:history="1">
        <w:r w:rsidRPr="000572D3">
          <w:rPr>
            <w:rStyle w:val="Hyperlink"/>
            <w:rFonts w:ascii="Arial" w:hAnsi="Arial" w:cs="Arial"/>
          </w:rPr>
          <w:t>https://www.tandfonline.com/doi/abs/10.1080/13569325.2021.1937965\</w:t>
        </w:r>
      </w:hyperlink>
    </w:p>
    <w:p w14:paraId="0ED22471" w14:textId="77777777" w:rsidR="00825942" w:rsidRPr="000572D3" w:rsidRDefault="00825942" w:rsidP="006A1236">
      <w:pPr>
        <w:rPr>
          <w:rFonts w:ascii="Arial" w:hAnsi="Arial" w:cs="Arial"/>
        </w:rPr>
      </w:pPr>
      <w:r w:rsidRPr="000572D3">
        <w:rPr>
          <w:rFonts w:ascii="Arial" w:hAnsi="Arial" w:cs="Arial"/>
        </w:rPr>
        <w:lastRenderedPageBreak/>
        <w:t>Meier, G.M. (2025). </w:t>
      </w:r>
      <w:r w:rsidRPr="000572D3">
        <w:rPr>
          <w:rFonts w:ascii="Arial" w:hAnsi="Arial" w:cs="Arial"/>
          <w:i/>
          <w:iCs/>
        </w:rPr>
        <w:t>Leading issues in economic development</w:t>
      </w:r>
      <w:r w:rsidRPr="000572D3">
        <w:rPr>
          <w:rFonts w:ascii="Arial" w:hAnsi="Arial" w:cs="Arial"/>
        </w:rPr>
        <w:t xml:space="preserve">. </w:t>
      </w:r>
      <w:hyperlink r:id="rId34" w:history="1">
        <w:r w:rsidRPr="000572D3">
          <w:rPr>
            <w:rStyle w:val="Hyperlink"/>
            <w:rFonts w:ascii="Arial" w:hAnsi="Arial" w:cs="Arial"/>
          </w:rPr>
          <w:t>http://thuvien.utt.edu.vn:8080/jspui/bitstream/123456789/1981/1/4.%20Leading%20Issue%20in%20Economic%20Development.pdf</w:t>
        </w:r>
      </w:hyperlink>
    </w:p>
    <w:p w14:paraId="2ECCB747" w14:textId="77777777" w:rsidR="00825942" w:rsidRPr="000572D3" w:rsidRDefault="00825942" w:rsidP="006A1236">
      <w:pPr>
        <w:rPr>
          <w:rFonts w:ascii="Arial" w:hAnsi="Arial" w:cs="Arial"/>
        </w:rPr>
      </w:pPr>
      <w:r w:rsidRPr="000572D3">
        <w:rPr>
          <w:rFonts w:ascii="Arial" w:hAnsi="Arial" w:cs="Arial"/>
        </w:rPr>
        <w:t>Minkov, M., Sokolov, B. and Lomakin, I. (2023). Evolution of the Hofstede model of cultural dimensions: parallels between objective and subjective culture. </w:t>
      </w:r>
      <w:proofErr w:type="spellStart"/>
      <w:r w:rsidRPr="000572D3">
        <w:rPr>
          <w:rFonts w:ascii="Arial" w:hAnsi="Arial" w:cs="Arial"/>
          <w:i/>
          <w:iCs/>
        </w:rPr>
        <w:t>Sociologičeskoe</w:t>
      </w:r>
      <w:proofErr w:type="spellEnd"/>
      <w:r w:rsidRPr="000572D3">
        <w:rPr>
          <w:rFonts w:ascii="Arial" w:hAnsi="Arial" w:cs="Arial"/>
          <w:i/>
          <w:iCs/>
        </w:rPr>
        <w:t xml:space="preserve"> </w:t>
      </w:r>
      <w:proofErr w:type="spellStart"/>
      <w:r w:rsidRPr="000572D3">
        <w:rPr>
          <w:rFonts w:ascii="Arial" w:hAnsi="Arial" w:cs="Arial"/>
          <w:i/>
          <w:iCs/>
        </w:rPr>
        <w:t>obozrenie</w:t>
      </w:r>
      <w:proofErr w:type="spellEnd"/>
      <w:r w:rsidRPr="000572D3">
        <w:rPr>
          <w:rFonts w:ascii="Arial" w:hAnsi="Arial" w:cs="Arial"/>
          <w:i/>
          <w:iCs/>
        </w:rPr>
        <w:t>.</w:t>
      </w:r>
      <w:r w:rsidRPr="000572D3">
        <w:rPr>
          <w:rFonts w:ascii="Arial" w:hAnsi="Arial" w:cs="Arial"/>
        </w:rPr>
        <w:t>, </w:t>
      </w:r>
      <w:r w:rsidRPr="000572D3">
        <w:rPr>
          <w:rFonts w:ascii="Arial" w:hAnsi="Arial" w:cs="Arial"/>
          <w:i/>
          <w:iCs/>
        </w:rPr>
        <w:t>22</w:t>
      </w:r>
      <w:r w:rsidRPr="000572D3">
        <w:rPr>
          <w:rFonts w:ascii="Arial" w:hAnsi="Arial" w:cs="Arial"/>
        </w:rPr>
        <w:t xml:space="preserve">(3), pp.287-317. </w:t>
      </w:r>
      <w:hyperlink r:id="rId35" w:history="1">
        <w:r w:rsidRPr="000572D3">
          <w:rPr>
            <w:rStyle w:val="Hyperlink"/>
            <w:rFonts w:ascii="Arial" w:hAnsi="Arial" w:cs="Arial"/>
          </w:rPr>
          <w:t>https://journals.rcsi.science/1728-192X/article/view/439527</w:t>
        </w:r>
      </w:hyperlink>
    </w:p>
    <w:p w14:paraId="7E9FE96B" w14:textId="77777777" w:rsidR="00825942" w:rsidRPr="000572D3" w:rsidRDefault="00825942" w:rsidP="006A1236">
      <w:pPr>
        <w:rPr>
          <w:rFonts w:ascii="Arial" w:hAnsi="Arial" w:cs="Arial"/>
        </w:rPr>
      </w:pPr>
      <w:r w:rsidRPr="000572D3">
        <w:rPr>
          <w:rFonts w:ascii="Arial" w:hAnsi="Arial" w:cs="Arial"/>
        </w:rPr>
        <w:t>Mishra, A. and Vijay, T.S. (2023). </w:t>
      </w:r>
      <w:r w:rsidRPr="000572D3">
        <w:rPr>
          <w:rFonts w:ascii="Arial" w:hAnsi="Arial" w:cs="Arial"/>
          <w:i/>
          <w:iCs/>
        </w:rPr>
        <w:t>Integrated advertising, promotion, and marketing: communicating in a Digital World</w:t>
      </w:r>
      <w:r w:rsidRPr="000572D3">
        <w:rPr>
          <w:rFonts w:ascii="Arial" w:hAnsi="Arial" w:cs="Arial"/>
        </w:rPr>
        <w:t xml:space="preserve">. Taylor &amp; Francis. </w:t>
      </w:r>
      <w:hyperlink r:id="rId36" w:anchor="v=onepage&amp;q&amp;f=false" w:history="1">
        <w:r w:rsidRPr="000572D3">
          <w:rPr>
            <w:rStyle w:val="Hyperlink"/>
            <w:rFonts w:ascii="Arial" w:hAnsi="Arial" w:cs="Arial"/>
          </w:rPr>
          <w:t>https://books.google.co.in/books?hl=en&amp;lr=&amp;id=lN7bEAAAQBAJ&amp;oi=fnd&amp;pg=PT9&amp;dq=STP+Framework+Cadbury&amp;ots=HMnr8MAI8H&amp;sig=sdTkAUJjZ0wZPKWTGJlzuLgQqJ4&amp;redir_esc=y#v=onepage&amp;q&amp;f=false</w:t>
        </w:r>
      </w:hyperlink>
    </w:p>
    <w:p w14:paraId="57CAAAC7" w14:textId="77777777" w:rsidR="00825942" w:rsidRPr="000572D3" w:rsidRDefault="00825942" w:rsidP="006A1236">
      <w:pPr>
        <w:rPr>
          <w:rFonts w:ascii="Arial" w:hAnsi="Arial" w:cs="Arial"/>
        </w:rPr>
      </w:pPr>
      <w:r w:rsidRPr="000572D3">
        <w:rPr>
          <w:rFonts w:ascii="Arial" w:hAnsi="Arial" w:cs="Arial"/>
        </w:rPr>
        <w:t xml:space="preserve">Mondelēz International (2023). </w:t>
      </w:r>
      <w:r w:rsidRPr="000572D3">
        <w:rPr>
          <w:rFonts w:ascii="Arial" w:hAnsi="Arial" w:cs="Arial"/>
          <w:i/>
          <w:iCs/>
        </w:rPr>
        <w:t>Cadbury</w:t>
      </w:r>
      <w:r w:rsidRPr="000572D3">
        <w:rPr>
          <w:rFonts w:ascii="Arial" w:hAnsi="Arial" w:cs="Arial"/>
        </w:rPr>
        <w:t xml:space="preserve">. [online] </w:t>
      </w:r>
      <w:r w:rsidRPr="000572D3">
        <w:rPr>
          <w:rFonts w:ascii="Arial" w:hAnsi="Arial" w:cs="Arial"/>
          <w:i/>
          <w:iCs/>
        </w:rPr>
        <w:t>Mondelēz International, Inc.</w:t>
      </w:r>
      <w:r w:rsidRPr="000572D3">
        <w:rPr>
          <w:rFonts w:ascii="Arial" w:hAnsi="Arial" w:cs="Arial"/>
        </w:rPr>
        <w:t xml:space="preserve"> Available at: https://www.mondelezinternational.com/our-brands/Cadbury/ [Accessed 8 Aug. 2026].</w:t>
      </w:r>
    </w:p>
    <w:p w14:paraId="15066658" w14:textId="77777777" w:rsidR="00825942" w:rsidRPr="000572D3" w:rsidRDefault="00825942" w:rsidP="006A1236">
      <w:pPr>
        <w:rPr>
          <w:rFonts w:ascii="Arial" w:hAnsi="Arial" w:cs="Arial"/>
        </w:rPr>
      </w:pPr>
      <w:r w:rsidRPr="000572D3">
        <w:rPr>
          <w:rFonts w:ascii="Arial" w:hAnsi="Arial" w:cs="Arial"/>
        </w:rPr>
        <w:t>Ortiz, F. (2023). On the social phenomenon of “transculturation” and its importance in Cuba. In </w:t>
      </w:r>
      <w:proofErr w:type="spellStart"/>
      <w:r w:rsidRPr="000572D3">
        <w:rPr>
          <w:rFonts w:ascii="Arial" w:hAnsi="Arial" w:cs="Arial"/>
          <w:i/>
          <w:iCs/>
        </w:rPr>
        <w:t>Postcolonlsm</w:t>
      </w:r>
      <w:proofErr w:type="spellEnd"/>
      <w:r w:rsidRPr="000572D3">
        <w:rPr>
          <w:rFonts w:ascii="Arial" w:hAnsi="Arial" w:cs="Arial"/>
        </w:rPr>
        <w:t xml:space="preserve"> (pp. 1779-1783). Routledge. </w:t>
      </w:r>
      <w:hyperlink r:id="rId37" w:history="1">
        <w:r w:rsidRPr="000572D3">
          <w:rPr>
            <w:rStyle w:val="Hyperlink"/>
            <w:rFonts w:ascii="Arial" w:hAnsi="Arial" w:cs="Arial"/>
          </w:rPr>
          <w:t>https://www.taylorfrancis.com/chapters/edit/10.4324/9781003101444-2/social-phenomenon-transculturation-importance-cuba-fernando-ortiz</w:t>
        </w:r>
      </w:hyperlink>
    </w:p>
    <w:p w14:paraId="3190ED79" w14:textId="77777777" w:rsidR="00825942" w:rsidRPr="000572D3" w:rsidRDefault="00825942" w:rsidP="006A1236">
      <w:pPr>
        <w:rPr>
          <w:rFonts w:ascii="Arial" w:hAnsi="Arial" w:cs="Arial"/>
        </w:rPr>
      </w:pPr>
      <w:r w:rsidRPr="000572D3">
        <w:rPr>
          <w:rFonts w:ascii="Arial" w:hAnsi="Arial" w:cs="Arial"/>
        </w:rPr>
        <w:t>Pioletti, M. (2025). Spatial governance and planning in Cuba: The socialist planning system. In </w:t>
      </w:r>
      <w:r w:rsidRPr="000572D3">
        <w:rPr>
          <w:rFonts w:ascii="Arial" w:hAnsi="Arial" w:cs="Arial"/>
          <w:i/>
          <w:iCs/>
        </w:rPr>
        <w:t>Spatial governance and planning in Latin America</w:t>
      </w:r>
      <w:r w:rsidRPr="000572D3">
        <w:rPr>
          <w:rFonts w:ascii="Arial" w:hAnsi="Arial" w:cs="Arial"/>
        </w:rPr>
        <w:t xml:space="preserve"> (pp. 121-137). Routledge. </w:t>
      </w:r>
      <w:hyperlink r:id="rId38" w:history="1">
        <w:r w:rsidRPr="000572D3">
          <w:rPr>
            <w:rStyle w:val="Hyperlink"/>
            <w:rFonts w:ascii="Arial" w:hAnsi="Arial" w:cs="Arial"/>
          </w:rPr>
          <w:t>https://www.taylorfrancis.com/chapters/edit/10.4324/9781003389309-8/spatial-governance-planning-cuba-maurizio-pioletti</w:t>
        </w:r>
      </w:hyperlink>
    </w:p>
    <w:p w14:paraId="1FF31AF1" w14:textId="77777777" w:rsidR="00825942" w:rsidRPr="000572D3" w:rsidRDefault="00825942" w:rsidP="006A1236">
      <w:pPr>
        <w:rPr>
          <w:rFonts w:ascii="Arial" w:hAnsi="Arial" w:cs="Arial"/>
        </w:rPr>
      </w:pPr>
      <w:r w:rsidRPr="000572D3">
        <w:rPr>
          <w:rFonts w:ascii="Arial" w:hAnsi="Arial" w:cs="Arial"/>
        </w:rPr>
        <w:t>Ramírez-Márquez, C., Posadas-Paredes, T. and Ponce-Ortega, J.M. (2025). From resource abundance to responsible scarcity: rethinking natural resource utilization in the age of hyper-consumption. </w:t>
      </w:r>
      <w:r w:rsidRPr="000572D3">
        <w:rPr>
          <w:rFonts w:ascii="Arial" w:hAnsi="Arial" w:cs="Arial"/>
          <w:i/>
          <w:iCs/>
        </w:rPr>
        <w:t>Resources</w:t>
      </w:r>
      <w:r w:rsidRPr="000572D3">
        <w:rPr>
          <w:rFonts w:ascii="Arial" w:hAnsi="Arial" w:cs="Arial"/>
        </w:rPr>
        <w:t>, </w:t>
      </w:r>
      <w:r w:rsidRPr="000572D3">
        <w:rPr>
          <w:rFonts w:ascii="Arial" w:hAnsi="Arial" w:cs="Arial"/>
          <w:i/>
          <w:iCs/>
        </w:rPr>
        <w:t>14</w:t>
      </w:r>
      <w:r w:rsidRPr="000572D3">
        <w:rPr>
          <w:rFonts w:ascii="Arial" w:hAnsi="Arial" w:cs="Arial"/>
        </w:rPr>
        <w:t xml:space="preserve">(8), p.118. </w:t>
      </w:r>
      <w:hyperlink r:id="rId39" w:history="1">
        <w:r w:rsidRPr="000572D3">
          <w:rPr>
            <w:rStyle w:val="Hyperlink"/>
            <w:rFonts w:ascii="Arial" w:hAnsi="Arial" w:cs="Arial"/>
          </w:rPr>
          <w:t>https://www.mdpi.com/2079-9276/14/8/118</w:t>
        </w:r>
      </w:hyperlink>
    </w:p>
    <w:p w14:paraId="4C5D5D2D" w14:textId="77777777" w:rsidR="00825942" w:rsidRPr="000572D3" w:rsidRDefault="00825942" w:rsidP="006A1236">
      <w:pPr>
        <w:rPr>
          <w:rFonts w:ascii="Arial" w:hAnsi="Arial" w:cs="Arial"/>
        </w:rPr>
      </w:pPr>
      <w:r w:rsidRPr="000572D3">
        <w:rPr>
          <w:rFonts w:ascii="Arial" w:hAnsi="Arial" w:cs="Arial"/>
        </w:rPr>
        <w:t xml:space="preserve">Rani, P., Sharma, P., Gupta, I. and Gaba, P. (2025). </w:t>
      </w:r>
      <w:proofErr w:type="spellStart"/>
      <w:r w:rsidRPr="000572D3">
        <w:rPr>
          <w:rFonts w:ascii="Arial" w:hAnsi="Arial" w:cs="Arial"/>
        </w:rPr>
        <w:t>Stp</w:t>
      </w:r>
      <w:proofErr w:type="spellEnd"/>
      <w:r w:rsidRPr="000572D3">
        <w:rPr>
          <w:rFonts w:ascii="Arial" w:hAnsi="Arial" w:cs="Arial"/>
        </w:rPr>
        <w:t>: a permissioned blockchain solution for dynamic pricing and traceability in food supply chain. </w:t>
      </w:r>
      <w:r w:rsidRPr="000572D3">
        <w:rPr>
          <w:rFonts w:ascii="Arial" w:hAnsi="Arial" w:cs="Arial"/>
          <w:i/>
          <w:iCs/>
        </w:rPr>
        <w:t>Peer-to-Peer Networking and Applications</w:t>
      </w:r>
      <w:r w:rsidRPr="000572D3">
        <w:rPr>
          <w:rFonts w:ascii="Arial" w:hAnsi="Arial" w:cs="Arial"/>
        </w:rPr>
        <w:t>, </w:t>
      </w:r>
      <w:r w:rsidRPr="000572D3">
        <w:rPr>
          <w:rFonts w:ascii="Arial" w:hAnsi="Arial" w:cs="Arial"/>
          <w:i/>
          <w:iCs/>
        </w:rPr>
        <w:t>18</w:t>
      </w:r>
      <w:r w:rsidRPr="000572D3">
        <w:rPr>
          <w:rFonts w:ascii="Arial" w:hAnsi="Arial" w:cs="Arial"/>
        </w:rPr>
        <w:t xml:space="preserve">(4), p.224. </w:t>
      </w:r>
      <w:hyperlink r:id="rId40" w:history="1">
        <w:r w:rsidRPr="000572D3">
          <w:rPr>
            <w:rStyle w:val="Hyperlink"/>
            <w:rFonts w:ascii="Arial" w:hAnsi="Arial" w:cs="Arial"/>
          </w:rPr>
          <w:t>https://link.springer.com/article/10.1007/s12083-025-02060-2</w:t>
        </w:r>
      </w:hyperlink>
    </w:p>
    <w:p w14:paraId="34CC6815" w14:textId="77777777" w:rsidR="00825942" w:rsidRPr="000572D3" w:rsidRDefault="00825942" w:rsidP="006A1236">
      <w:pPr>
        <w:rPr>
          <w:rFonts w:ascii="Arial" w:hAnsi="Arial" w:cs="Arial"/>
        </w:rPr>
      </w:pPr>
      <w:proofErr w:type="spellStart"/>
      <w:r w:rsidRPr="000572D3">
        <w:rPr>
          <w:rFonts w:ascii="Arial" w:hAnsi="Arial" w:cs="Arial"/>
        </w:rPr>
        <w:lastRenderedPageBreak/>
        <w:t>Romanò</w:t>
      </w:r>
      <w:proofErr w:type="spellEnd"/>
      <w:r w:rsidRPr="000572D3">
        <w:rPr>
          <w:rFonts w:ascii="Arial" w:hAnsi="Arial" w:cs="Arial"/>
        </w:rPr>
        <w:t>, S. and Barrera, D. (2021). The impact of market-oriented reforms on inequality in transitional countries: new evidence from Cuba. </w:t>
      </w:r>
      <w:r w:rsidRPr="000572D3">
        <w:rPr>
          <w:rFonts w:ascii="Arial" w:hAnsi="Arial" w:cs="Arial"/>
          <w:i/>
          <w:iCs/>
        </w:rPr>
        <w:t>Socio-Economic Review</w:t>
      </w:r>
      <w:r w:rsidRPr="000572D3">
        <w:rPr>
          <w:rFonts w:ascii="Arial" w:hAnsi="Arial" w:cs="Arial"/>
        </w:rPr>
        <w:t>, </w:t>
      </w:r>
      <w:r w:rsidRPr="000572D3">
        <w:rPr>
          <w:rFonts w:ascii="Arial" w:hAnsi="Arial" w:cs="Arial"/>
          <w:i/>
          <w:iCs/>
        </w:rPr>
        <w:t>19</w:t>
      </w:r>
      <w:r w:rsidRPr="000572D3">
        <w:rPr>
          <w:rFonts w:ascii="Arial" w:hAnsi="Arial" w:cs="Arial"/>
        </w:rPr>
        <w:t xml:space="preserve">(2), pp.765-787. </w:t>
      </w:r>
      <w:hyperlink r:id="rId41" w:history="1">
        <w:r w:rsidRPr="000572D3">
          <w:rPr>
            <w:rStyle w:val="Hyperlink"/>
            <w:rFonts w:ascii="Arial" w:hAnsi="Arial" w:cs="Arial"/>
          </w:rPr>
          <w:t>https://academic.oup.com/ser/article-abstract/19/2/765/5475881</w:t>
        </w:r>
      </w:hyperlink>
    </w:p>
    <w:p w14:paraId="20C1B437" w14:textId="77777777" w:rsidR="00825942" w:rsidRPr="000572D3" w:rsidRDefault="00825942" w:rsidP="006A1236">
      <w:pPr>
        <w:rPr>
          <w:rFonts w:ascii="Arial" w:hAnsi="Arial" w:cs="Arial"/>
        </w:rPr>
      </w:pPr>
      <w:r w:rsidRPr="000572D3">
        <w:rPr>
          <w:rFonts w:ascii="Arial" w:hAnsi="Arial" w:cs="Arial"/>
        </w:rPr>
        <w:t>Sainsbury, B. and McCarthy, C. (2022). </w:t>
      </w:r>
      <w:r w:rsidRPr="000572D3">
        <w:rPr>
          <w:rFonts w:ascii="Arial" w:hAnsi="Arial" w:cs="Arial"/>
          <w:i/>
          <w:iCs/>
        </w:rPr>
        <w:t>Lonely Planet Cuba</w:t>
      </w:r>
      <w:r w:rsidRPr="000572D3">
        <w:rPr>
          <w:rFonts w:ascii="Arial" w:hAnsi="Arial" w:cs="Arial"/>
        </w:rPr>
        <w:t xml:space="preserve">. Lonely Planet. </w:t>
      </w:r>
      <w:hyperlink r:id="rId42" w:history="1">
        <w:r w:rsidRPr="000572D3">
          <w:rPr>
            <w:rStyle w:val="Hyperlink"/>
            <w:rFonts w:ascii="Arial" w:hAnsi="Arial" w:cs="Arial"/>
          </w:rPr>
          <w:t>https://books.google.co.in/books?hl=en&amp;lr=&amp;id=S3GcEAAAQBAJ&amp;oi=fnd&amp;pg=PT12&amp;dq=Experiential+comparison:+United+Kingdom+and+Cuba+Retail&amp;ots=yQWmPUlLpz&amp;sig=37ifU-cYRrnpnVYmruRarlKBFuo&amp;redir_esc=y</w:t>
        </w:r>
      </w:hyperlink>
    </w:p>
    <w:p w14:paraId="422B5981" w14:textId="77777777" w:rsidR="00825942" w:rsidRPr="000572D3" w:rsidRDefault="00825942" w:rsidP="006A1236">
      <w:pPr>
        <w:rPr>
          <w:rFonts w:ascii="Arial" w:hAnsi="Arial" w:cs="Arial"/>
        </w:rPr>
      </w:pPr>
      <w:r w:rsidRPr="000572D3">
        <w:rPr>
          <w:rFonts w:ascii="Arial" w:hAnsi="Arial" w:cs="Arial"/>
        </w:rPr>
        <w:t xml:space="preserve">Shutov, D., </w:t>
      </w:r>
      <w:proofErr w:type="spellStart"/>
      <w:r w:rsidRPr="000572D3">
        <w:rPr>
          <w:rFonts w:ascii="Arial" w:hAnsi="Arial" w:cs="Arial"/>
        </w:rPr>
        <w:t>Anosova</w:t>
      </w:r>
      <w:proofErr w:type="spellEnd"/>
      <w:r w:rsidRPr="000572D3">
        <w:rPr>
          <w:rFonts w:ascii="Arial" w:hAnsi="Arial" w:cs="Arial"/>
        </w:rPr>
        <w:t xml:space="preserve">, A., </w:t>
      </w:r>
      <w:proofErr w:type="spellStart"/>
      <w:r w:rsidRPr="000572D3">
        <w:rPr>
          <w:rFonts w:ascii="Arial" w:hAnsi="Arial" w:cs="Arial"/>
        </w:rPr>
        <w:t>Krychkivska</w:t>
      </w:r>
      <w:proofErr w:type="spellEnd"/>
      <w:r w:rsidRPr="000572D3">
        <w:rPr>
          <w:rFonts w:ascii="Arial" w:hAnsi="Arial" w:cs="Arial"/>
        </w:rPr>
        <w:t xml:space="preserve">, O., Vorona, A. and Solodka, L. (2022). Implementation of self-education principles as a </w:t>
      </w:r>
      <w:proofErr w:type="spellStart"/>
      <w:r w:rsidRPr="000572D3">
        <w:rPr>
          <w:rFonts w:ascii="Arial" w:hAnsi="Arial" w:cs="Arial"/>
        </w:rPr>
        <w:t>baсkground</w:t>
      </w:r>
      <w:proofErr w:type="spellEnd"/>
      <w:r w:rsidRPr="000572D3">
        <w:rPr>
          <w:rFonts w:ascii="Arial" w:hAnsi="Arial" w:cs="Arial"/>
        </w:rPr>
        <w:t xml:space="preserve"> of quality professional education. </w:t>
      </w:r>
      <w:r w:rsidRPr="000572D3">
        <w:rPr>
          <w:rFonts w:ascii="Arial" w:hAnsi="Arial" w:cs="Arial"/>
          <w:i/>
          <w:iCs/>
        </w:rPr>
        <w:t>JETT</w:t>
      </w:r>
      <w:r w:rsidRPr="000572D3">
        <w:rPr>
          <w:rFonts w:ascii="Arial" w:hAnsi="Arial" w:cs="Arial"/>
        </w:rPr>
        <w:t>, </w:t>
      </w:r>
      <w:r w:rsidRPr="000572D3">
        <w:rPr>
          <w:rFonts w:ascii="Arial" w:hAnsi="Arial" w:cs="Arial"/>
          <w:i/>
          <w:iCs/>
        </w:rPr>
        <w:t>13</w:t>
      </w:r>
      <w:r w:rsidRPr="000572D3">
        <w:rPr>
          <w:rFonts w:ascii="Arial" w:hAnsi="Arial" w:cs="Arial"/>
        </w:rPr>
        <w:t xml:space="preserve">(3), pp.146-158. </w:t>
      </w:r>
      <w:hyperlink r:id="rId43" w:history="1">
        <w:r w:rsidRPr="000572D3">
          <w:rPr>
            <w:rStyle w:val="Hyperlink"/>
            <w:rFonts w:ascii="Arial" w:hAnsi="Arial" w:cs="Arial"/>
          </w:rPr>
          <w:t>https://dialnet.unirioja.es/servlet/articulo?codigo=8597176</w:t>
        </w:r>
      </w:hyperlink>
    </w:p>
    <w:p w14:paraId="14157432" w14:textId="77777777" w:rsidR="00825942" w:rsidRPr="000572D3" w:rsidRDefault="00825942" w:rsidP="006A1236">
      <w:pPr>
        <w:rPr>
          <w:rFonts w:ascii="Arial" w:hAnsi="Arial" w:cs="Arial"/>
        </w:rPr>
      </w:pPr>
      <w:r w:rsidRPr="000572D3">
        <w:rPr>
          <w:rFonts w:ascii="Arial" w:hAnsi="Arial" w:cs="Arial"/>
        </w:rPr>
        <w:t>Sondhi, N. and Chawla, D. (2021). Positioning implications for chocolate brands: An attribute-based approach. </w:t>
      </w:r>
      <w:r w:rsidRPr="000572D3">
        <w:rPr>
          <w:rFonts w:ascii="Arial" w:hAnsi="Arial" w:cs="Arial"/>
          <w:i/>
          <w:iCs/>
        </w:rPr>
        <w:t>Global Business Review</w:t>
      </w:r>
      <w:r w:rsidRPr="000572D3">
        <w:rPr>
          <w:rFonts w:ascii="Arial" w:hAnsi="Arial" w:cs="Arial"/>
        </w:rPr>
        <w:t>, </w:t>
      </w:r>
      <w:r w:rsidRPr="000572D3">
        <w:rPr>
          <w:rFonts w:ascii="Arial" w:hAnsi="Arial" w:cs="Arial"/>
          <w:i/>
          <w:iCs/>
        </w:rPr>
        <w:t>22</w:t>
      </w:r>
      <w:r w:rsidRPr="000572D3">
        <w:rPr>
          <w:rFonts w:ascii="Arial" w:hAnsi="Arial" w:cs="Arial"/>
        </w:rPr>
        <w:t xml:space="preserve">(1), pp.184-196. </w:t>
      </w:r>
      <w:hyperlink r:id="rId44" w:history="1">
        <w:r w:rsidRPr="000572D3">
          <w:rPr>
            <w:rStyle w:val="Hyperlink"/>
            <w:rFonts w:ascii="Arial" w:hAnsi="Arial" w:cs="Arial"/>
          </w:rPr>
          <w:t>https://journals.sagepub.com/doi/abs/10.1177/0972150918795360</w:t>
        </w:r>
      </w:hyperlink>
    </w:p>
    <w:p w14:paraId="16175CD6" w14:textId="77777777" w:rsidR="00825942" w:rsidRPr="000572D3" w:rsidRDefault="00825942" w:rsidP="006A1236">
      <w:pPr>
        <w:rPr>
          <w:rFonts w:ascii="Arial" w:hAnsi="Arial" w:cs="Arial"/>
        </w:rPr>
      </w:pPr>
      <w:r w:rsidRPr="000572D3">
        <w:rPr>
          <w:rFonts w:ascii="Arial" w:hAnsi="Arial" w:cs="Arial"/>
        </w:rPr>
        <w:t>Spadoni, P. (2023). The external sector of Cuba's economy: performance and challenges. </w:t>
      </w:r>
      <w:r w:rsidRPr="000572D3">
        <w:rPr>
          <w:rFonts w:ascii="Arial" w:hAnsi="Arial" w:cs="Arial"/>
          <w:i/>
          <w:iCs/>
        </w:rPr>
        <w:t>FIU L. Rev.</w:t>
      </w:r>
      <w:r w:rsidRPr="000572D3">
        <w:rPr>
          <w:rFonts w:ascii="Arial" w:hAnsi="Arial" w:cs="Arial"/>
        </w:rPr>
        <w:t>, </w:t>
      </w:r>
      <w:r w:rsidRPr="000572D3">
        <w:rPr>
          <w:rFonts w:ascii="Arial" w:hAnsi="Arial" w:cs="Arial"/>
          <w:i/>
          <w:iCs/>
        </w:rPr>
        <w:t>17</w:t>
      </w:r>
      <w:r w:rsidRPr="000572D3">
        <w:rPr>
          <w:rFonts w:ascii="Arial" w:hAnsi="Arial" w:cs="Arial"/>
        </w:rPr>
        <w:t xml:space="preserve">, p.635. </w:t>
      </w:r>
      <w:hyperlink r:id="rId45" w:history="1">
        <w:r w:rsidRPr="000572D3">
          <w:rPr>
            <w:rStyle w:val="Hyperlink"/>
            <w:rFonts w:ascii="Arial" w:hAnsi="Arial" w:cs="Arial"/>
          </w:rPr>
          <w:t>https://access.heinonline.com/HOL/Page?handle=hein.journals/fiulawr17&amp;div=31&amp;g_sent=1&amp;casa_token=</w:t>
        </w:r>
      </w:hyperlink>
    </w:p>
    <w:p w14:paraId="195139D6" w14:textId="77777777" w:rsidR="00825942" w:rsidRPr="000572D3" w:rsidRDefault="00825942" w:rsidP="006A1236">
      <w:pPr>
        <w:rPr>
          <w:rFonts w:ascii="Arial" w:hAnsi="Arial" w:cs="Arial"/>
        </w:rPr>
      </w:pPr>
      <w:r w:rsidRPr="000572D3">
        <w:rPr>
          <w:rFonts w:ascii="Arial" w:hAnsi="Arial" w:cs="Arial"/>
        </w:rPr>
        <w:t>Storry, M. and Childs, P. eds. (2022). </w:t>
      </w:r>
      <w:r w:rsidRPr="000572D3">
        <w:rPr>
          <w:rFonts w:ascii="Arial" w:hAnsi="Arial" w:cs="Arial"/>
          <w:i/>
          <w:iCs/>
        </w:rPr>
        <w:t>British cultural identities</w:t>
      </w:r>
      <w:r w:rsidRPr="000572D3">
        <w:rPr>
          <w:rFonts w:ascii="Arial" w:hAnsi="Arial" w:cs="Arial"/>
        </w:rPr>
        <w:t xml:space="preserve">. Taylor &amp; Francis. </w:t>
      </w:r>
      <w:hyperlink r:id="rId46" w:anchor="v=onepage&amp;q=UK%20Cultural%20Profile&amp;f=false" w:history="1">
        <w:r w:rsidRPr="000572D3">
          <w:rPr>
            <w:rStyle w:val="Hyperlink"/>
            <w:rFonts w:ascii="Arial" w:hAnsi="Arial" w:cs="Arial"/>
          </w:rPr>
          <w:t>https://books.google.co.in/books?hl=en&amp;lr=&amp;id=QiJ4EAAAQBAJ&amp;oi=fnd&amp;pg=PA11&amp;dq=UK+Cultural+Profile&amp;ots=4vom3lVKiE&amp;sig=cxAsjLjbpWVSax7KkU10mUJPJV0&amp;redir_esc=y#v=onepage&amp;q=UK%20Cultural%20Profile&amp;f=false</w:t>
        </w:r>
      </w:hyperlink>
    </w:p>
    <w:p w14:paraId="5C249424" w14:textId="77777777" w:rsidR="00825942" w:rsidRPr="000572D3" w:rsidRDefault="00825942" w:rsidP="006A1236">
      <w:pPr>
        <w:rPr>
          <w:rFonts w:ascii="Arial" w:hAnsi="Arial" w:cs="Arial"/>
        </w:rPr>
      </w:pPr>
      <w:r w:rsidRPr="000572D3">
        <w:rPr>
          <w:rFonts w:ascii="Arial" w:hAnsi="Arial" w:cs="Arial"/>
        </w:rPr>
        <w:t xml:space="preserve">Thomas, M.R. and George, G. (2021). Segmenting, Targeting, and Positioning (STP) of </w:t>
      </w:r>
      <w:proofErr w:type="spellStart"/>
      <w:r w:rsidRPr="000572D3">
        <w:rPr>
          <w:rFonts w:ascii="Arial" w:hAnsi="Arial" w:cs="Arial"/>
        </w:rPr>
        <w:t>GenerationalCohorts</w:t>
      </w:r>
      <w:proofErr w:type="spellEnd"/>
      <w:r w:rsidRPr="000572D3">
        <w:rPr>
          <w:rFonts w:ascii="Arial" w:hAnsi="Arial" w:cs="Arial"/>
        </w:rPr>
        <w:t xml:space="preserve"> Y, Z and Alpha. </w:t>
      </w:r>
      <w:r w:rsidRPr="000572D3">
        <w:rPr>
          <w:rFonts w:ascii="Arial" w:hAnsi="Arial" w:cs="Arial"/>
          <w:i/>
          <w:iCs/>
        </w:rPr>
        <w:t>IIMS Journal of Management Science</w:t>
      </w:r>
      <w:r w:rsidRPr="000572D3">
        <w:rPr>
          <w:rFonts w:ascii="Arial" w:hAnsi="Arial" w:cs="Arial"/>
        </w:rPr>
        <w:t>, </w:t>
      </w:r>
      <w:r w:rsidRPr="000572D3">
        <w:rPr>
          <w:rFonts w:ascii="Arial" w:hAnsi="Arial" w:cs="Arial"/>
          <w:i/>
          <w:iCs/>
        </w:rPr>
        <w:t>12</w:t>
      </w:r>
      <w:r w:rsidRPr="000572D3">
        <w:rPr>
          <w:rFonts w:ascii="Arial" w:hAnsi="Arial" w:cs="Arial"/>
        </w:rPr>
        <w:t xml:space="preserve">(2), pp.115-129. </w:t>
      </w:r>
      <w:hyperlink r:id="rId47" w:history="1">
        <w:r w:rsidRPr="000572D3">
          <w:rPr>
            <w:rStyle w:val="Hyperlink"/>
            <w:rFonts w:ascii="Arial" w:hAnsi="Arial" w:cs="Arial"/>
          </w:rPr>
          <w:t>https://indianjournals.com/article/iimsjms-12-2-004</w:t>
        </w:r>
      </w:hyperlink>
    </w:p>
    <w:p w14:paraId="02541B46" w14:textId="77777777" w:rsidR="00825942" w:rsidRPr="000572D3" w:rsidRDefault="00825942" w:rsidP="006A1236">
      <w:pPr>
        <w:rPr>
          <w:rFonts w:ascii="Arial" w:hAnsi="Arial" w:cs="Arial"/>
        </w:rPr>
      </w:pPr>
      <w:r w:rsidRPr="000572D3">
        <w:rPr>
          <w:rFonts w:ascii="Arial" w:hAnsi="Arial" w:cs="Arial"/>
        </w:rPr>
        <w:t>Vieira, F.T. (2025). </w:t>
      </w:r>
      <w:r w:rsidRPr="000572D3">
        <w:rPr>
          <w:rFonts w:ascii="Arial" w:hAnsi="Arial" w:cs="Arial"/>
          <w:i/>
          <w:iCs/>
        </w:rPr>
        <w:t>The Cadbury Takeover: Evaluating the Global Strategy of Kraft Foods</w:t>
      </w:r>
      <w:r w:rsidRPr="000572D3">
        <w:rPr>
          <w:rFonts w:ascii="Arial" w:hAnsi="Arial" w:cs="Arial"/>
        </w:rPr>
        <w:t xml:space="preserve"> (Master's thesis, </w:t>
      </w:r>
      <w:proofErr w:type="spellStart"/>
      <w:r w:rsidRPr="000572D3">
        <w:rPr>
          <w:rFonts w:ascii="Arial" w:hAnsi="Arial" w:cs="Arial"/>
        </w:rPr>
        <w:t>Universidade</w:t>
      </w:r>
      <w:proofErr w:type="spellEnd"/>
      <w:r w:rsidRPr="000572D3">
        <w:rPr>
          <w:rFonts w:ascii="Arial" w:hAnsi="Arial" w:cs="Arial"/>
        </w:rPr>
        <w:t xml:space="preserve"> NOVA de Lisboa (Portugal)). </w:t>
      </w:r>
      <w:hyperlink r:id="rId48" w:history="1">
        <w:r w:rsidRPr="000572D3">
          <w:rPr>
            <w:rStyle w:val="Hyperlink"/>
            <w:rFonts w:ascii="Arial" w:hAnsi="Arial" w:cs="Arial"/>
          </w:rPr>
          <w:t>https://www.proquest.com/openview/d169ec5df55e88f7f48e9427d93a38e0/1?pq-origsite=gscholar&amp;cbl=2026366&amp;diss=y</w:t>
        </w:r>
      </w:hyperlink>
    </w:p>
    <w:p w14:paraId="6FA6F902" w14:textId="77777777" w:rsidR="00825942" w:rsidRPr="000572D3" w:rsidRDefault="00825942" w:rsidP="006A1236">
      <w:pPr>
        <w:rPr>
          <w:rFonts w:ascii="Arial" w:hAnsi="Arial" w:cs="Arial"/>
        </w:rPr>
      </w:pPr>
      <w:r w:rsidRPr="000572D3">
        <w:rPr>
          <w:rFonts w:ascii="Arial" w:hAnsi="Arial" w:cs="Arial"/>
        </w:rPr>
        <w:lastRenderedPageBreak/>
        <w:t>Yan, Z. and Carless, D. (2022). Self-assessment is about more than self: The enabling role of feedback literacy. </w:t>
      </w:r>
      <w:r w:rsidRPr="000572D3">
        <w:rPr>
          <w:rFonts w:ascii="Arial" w:hAnsi="Arial" w:cs="Arial"/>
          <w:i/>
          <w:iCs/>
        </w:rPr>
        <w:t>Assessment &amp; Evaluation in Higher Education</w:t>
      </w:r>
      <w:r w:rsidRPr="000572D3">
        <w:rPr>
          <w:rFonts w:ascii="Arial" w:hAnsi="Arial" w:cs="Arial"/>
        </w:rPr>
        <w:t>, </w:t>
      </w:r>
      <w:r w:rsidRPr="000572D3">
        <w:rPr>
          <w:rFonts w:ascii="Arial" w:hAnsi="Arial" w:cs="Arial"/>
          <w:i/>
          <w:iCs/>
        </w:rPr>
        <w:t>47</w:t>
      </w:r>
      <w:r w:rsidRPr="000572D3">
        <w:rPr>
          <w:rFonts w:ascii="Arial" w:hAnsi="Arial" w:cs="Arial"/>
        </w:rPr>
        <w:t xml:space="preserve">(7), pp.1116-1128. </w:t>
      </w:r>
      <w:hyperlink r:id="rId49" w:history="1">
        <w:r w:rsidRPr="000572D3">
          <w:rPr>
            <w:rStyle w:val="Hyperlink"/>
            <w:rFonts w:ascii="Arial" w:hAnsi="Arial" w:cs="Arial"/>
          </w:rPr>
          <w:t>https://www.tandfonline.com/doi/full/10.1080/02602938.2021.2001431</w:t>
        </w:r>
      </w:hyperlink>
    </w:p>
    <w:p w14:paraId="73ABC4DA" w14:textId="77777777" w:rsidR="00825942" w:rsidRPr="006A1236" w:rsidRDefault="00825942" w:rsidP="006A1236">
      <w:pPr>
        <w:rPr>
          <w:rFonts w:ascii="Arial" w:hAnsi="Arial" w:cs="Arial"/>
        </w:rPr>
      </w:pPr>
      <w:proofErr w:type="spellStart"/>
      <w:r w:rsidRPr="000572D3">
        <w:rPr>
          <w:rFonts w:ascii="Arial" w:hAnsi="Arial" w:cs="Arial"/>
        </w:rPr>
        <w:t>Zigu</w:t>
      </w:r>
      <w:proofErr w:type="spellEnd"/>
      <w:r w:rsidRPr="000572D3">
        <w:rPr>
          <w:rFonts w:ascii="Arial" w:hAnsi="Arial" w:cs="Arial"/>
        </w:rPr>
        <w:t xml:space="preserve"> (2019). </w:t>
      </w:r>
      <w:r w:rsidRPr="000572D3">
        <w:rPr>
          <w:rFonts w:ascii="Arial" w:hAnsi="Arial" w:cs="Arial"/>
          <w:i/>
          <w:iCs/>
        </w:rPr>
        <w:t xml:space="preserve">Cadbury PESTLE analysis | MBA </w:t>
      </w:r>
      <w:proofErr w:type="spellStart"/>
      <w:r w:rsidRPr="000572D3">
        <w:rPr>
          <w:rFonts w:ascii="Arial" w:hAnsi="Arial" w:cs="Arial"/>
          <w:i/>
          <w:iCs/>
        </w:rPr>
        <w:t>skool-study.Learn.Share</w:t>
      </w:r>
      <w:proofErr w:type="spellEnd"/>
      <w:r w:rsidRPr="000572D3">
        <w:rPr>
          <w:rFonts w:ascii="Arial" w:hAnsi="Arial" w:cs="Arial"/>
          <w:i/>
          <w:iCs/>
        </w:rPr>
        <w:t>.</w:t>
      </w:r>
      <w:r w:rsidRPr="000572D3">
        <w:rPr>
          <w:rFonts w:ascii="Arial" w:hAnsi="Arial" w:cs="Arial"/>
        </w:rPr>
        <w:t xml:space="preserve"> [online] </w:t>
      </w:r>
      <w:r w:rsidRPr="000572D3">
        <w:rPr>
          <w:rFonts w:ascii="Arial" w:hAnsi="Arial" w:cs="Arial"/>
          <w:i/>
          <w:iCs/>
        </w:rPr>
        <w:t xml:space="preserve">MBA </w:t>
      </w:r>
      <w:proofErr w:type="spellStart"/>
      <w:r w:rsidRPr="000572D3">
        <w:rPr>
          <w:rFonts w:ascii="Arial" w:hAnsi="Arial" w:cs="Arial"/>
          <w:i/>
          <w:iCs/>
        </w:rPr>
        <w:t>Skool-Study.Learn.Share</w:t>
      </w:r>
      <w:proofErr w:type="spellEnd"/>
      <w:r w:rsidRPr="000572D3">
        <w:rPr>
          <w:rFonts w:ascii="Arial" w:hAnsi="Arial" w:cs="Arial"/>
          <w:i/>
          <w:iCs/>
        </w:rPr>
        <w:t>.</w:t>
      </w:r>
      <w:r w:rsidRPr="000572D3">
        <w:rPr>
          <w:rFonts w:ascii="Arial" w:hAnsi="Arial" w:cs="Arial"/>
        </w:rPr>
        <w:t xml:space="preserve"> Available at: https://www.mbaskool.com/pestle-analysis/companies/17961-cadbury.html [Accessed 8 Aug. 2026].</w:t>
      </w:r>
    </w:p>
    <w:p w14:paraId="6AF697E4" w14:textId="77777777" w:rsidR="0059041F" w:rsidRPr="006A1236" w:rsidRDefault="0059041F" w:rsidP="006A1236">
      <w:pPr>
        <w:rPr>
          <w:rFonts w:ascii="Arial" w:hAnsi="Arial" w:cs="Arial"/>
        </w:rPr>
      </w:pPr>
    </w:p>
    <w:sectPr w:rsidR="0059041F" w:rsidRPr="006A1236" w:rsidSect="006A1236">
      <w:footerReference w:type="default" r:id="rId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2ABBA" w14:textId="77777777" w:rsidR="00185E84" w:rsidRPr="007037B5" w:rsidRDefault="00185E84" w:rsidP="0059041F">
      <w:pPr>
        <w:spacing w:after="0" w:line="240" w:lineRule="auto"/>
      </w:pPr>
      <w:r w:rsidRPr="007037B5">
        <w:separator/>
      </w:r>
    </w:p>
  </w:endnote>
  <w:endnote w:type="continuationSeparator" w:id="0">
    <w:p w14:paraId="1E593578" w14:textId="77777777" w:rsidR="00185E84" w:rsidRPr="007037B5" w:rsidRDefault="00185E84" w:rsidP="0059041F">
      <w:pPr>
        <w:spacing w:after="0" w:line="240" w:lineRule="auto"/>
      </w:pPr>
      <w:r w:rsidRPr="007037B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956243825"/>
      <w:docPartObj>
        <w:docPartGallery w:val="Page Numbers (Bottom of Page)"/>
        <w:docPartUnique/>
      </w:docPartObj>
    </w:sdtPr>
    <w:sdtContent>
      <w:sdt>
        <w:sdtPr>
          <w:rPr>
            <w:rFonts w:ascii="Arial" w:hAnsi="Arial" w:cs="Arial"/>
          </w:rPr>
          <w:id w:val="1728636285"/>
          <w:docPartObj>
            <w:docPartGallery w:val="Page Numbers (Top of Page)"/>
            <w:docPartUnique/>
          </w:docPartObj>
        </w:sdtPr>
        <w:sdtContent>
          <w:p w14:paraId="660E5D3E" w14:textId="1C0521E9" w:rsidR="0059041F" w:rsidRPr="006A1236" w:rsidRDefault="0059041F" w:rsidP="006A1236">
            <w:pPr>
              <w:pStyle w:val="Footer"/>
              <w:jc w:val="center"/>
              <w:rPr>
                <w:rFonts w:ascii="Arial" w:hAnsi="Arial" w:cs="Arial"/>
              </w:rPr>
            </w:pPr>
            <w:r w:rsidRPr="006A1236">
              <w:rPr>
                <w:rFonts w:ascii="Arial" w:hAnsi="Arial" w:cs="Arial"/>
              </w:rPr>
              <w:t xml:space="preserve">Page </w:t>
            </w:r>
            <w:r w:rsidRPr="006A1236">
              <w:rPr>
                <w:rFonts w:ascii="Arial" w:hAnsi="Arial" w:cs="Arial"/>
                <w:b/>
                <w:bCs/>
                <w:szCs w:val="24"/>
              </w:rPr>
              <w:fldChar w:fldCharType="begin"/>
            </w:r>
            <w:r w:rsidRPr="006A1236">
              <w:rPr>
                <w:rFonts w:ascii="Arial" w:hAnsi="Arial" w:cs="Arial"/>
                <w:b/>
                <w:bCs/>
              </w:rPr>
              <w:instrText xml:space="preserve"> PAGE </w:instrText>
            </w:r>
            <w:r w:rsidRPr="006A1236">
              <w:rPr>
                <w:rFonts w:ascii="Arial" w:hAnsi="Arial" w:cs="Arial"/>
                <w:b/>
                <w:bCs/>
                <w:szCs w:val="24"/>
              </w:rPr>
              <w:fldChar w:fldCharType="separate"/>
            </w:r>
            <w:r w:rsidR="000572D3">
              <w:rPr>
                <w:rFonts w:ascii="Arial" w:hAnsi="Arial" w:cs="Arial"/>
                <w:b/>
                <w:bCs/>
                <w:noProof/>
              </w:rPr>
              <w:t>4</w:t>
            </w:r>
            <w:r w:rsidRPr="006A1236">
              <w:rPr>
                <w:rFonts w:ascii="Arial" w:hAnsi="Arial" w:cs="Arial"/>
                <w:b/>
                <w:bCs/>
                <w:szCs w:val="24"/>
              </w:rPr>
              <w:fldChar w:fldCharType="end"/>
            </w:r>
            <w:r w:rsidRPr="006A1236">
              <w:rPr>
                <w:rFonts w:ascii="Arial" w:hAnsi="Arial" w:cs="Arial"/>
              </w:rPr>
              <w:t xml:space="preserve"> of </w:t>
            </w:r>
            <w:r w:rsidRPr="006A1236">
              <w:rPr>
                <w:rFonts w:ascii="Arial" w:hAnsi="Arial" w:cs="Arial"/>
                <w:b/>
                <w:bCs/>
                <w:szCs w:val="24"/>
              </w:rPr>
              <w:fldChar w:fldCharType="begin"/>
            </w:r>
            <w:r w:rsidRPr="006A1236">
              <w:rPr>
                <w:rFonts w:ascii="Arial" w:hAnsi="Arial" w:cs="Arial"/>
                <w:b/>
                <w:bCs/>
              </w:rPr>
              <w:instrText xml:space="preserve"> NUMPAGES  </w:instrText>
            </w:r>
            <w:r w:rsidRPr="006A1236">
              <w:rPr>
                <w:rFonts w:ascii="Arial" w:hAnsi="Arial" w:cs="Arial"/>
                <w:b/>
                <w:bCs/>
                <w:szCs w:val="24"/>
              </w:rPr>
              <w:fldChar w:fldCharType="separate"/>
            </w:r>
            <w:r w:rsidR="000572D3">
              <w:rPr>
                <w:rFonts w:ascii="Arial" w:hAnsi="Arial" w:cs="Arial"/>
                <w:b/>
                <w:bCs/>
                <w:noProof/>
              </w:rPr>
              <w:t>33</w:t>
            </w:r>
            <w:r w:rsidRPr="006A1236">
              <w:rPr>
                <w:rFonts w:ascii="Arial" w:hAnsi="Arial" w:cs="Arial"/>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46F7D" w14:textId="77777777" w:rsidR="00185E84" w:rsidRPr="007037B5" w:rsidRDefault="00185E84" w:rsidP="0059041F">
      <w:pPr>
        <w:spacing w:after="0" w:line="240" w:lineRule="auto"/>
      </w:pPr>
      <w:r w:rsidRPr="007037B5">
        <w:separator/>
      </w:r>
    </w:p>
  </w:footnote>
  <w:footnote w:type="continuationSeparator" w:id="0">
    <w:p w14:paraId="159A56BF" w14:textId="77777777" w:rsidR="00185E84" w:rsidRPr="007037B5" w:rsidRDefault="00185E84" w:rsidP="0059041F">
      <w:pPr>
        <w:spacing w:after="0" w:line="240" w:lineRule="auto"/>
      </w:pPr>
      <w:r w:rsidRPr="007037B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41F"/>
    <w:rsid w:val="00002F13"/>
    <w:rsid w:val="00004F62"/>
    <w:rsid w:val="00005ED4"/>
    <w:rsid w:val="0003165D"/>
    <w:rsid w:val="00042A51"/>
    <w:rsid w:val="000572D3"/>
    <w:rsid w:val="000603BC"/>
    <w:rsid w:val="00090843"/>
    <w:rsid w:val="00093000"/>
    <w:rsid w:val="000A0311"/>
    <w:rsid w:val="000B4B11"/>
    <w:rsid w:val="000C7CB2"/>
    <w:rsid w:val="000D2270"/>
    <w:rsid w:val="000D6EB4"/>
    <w:rsid w:val="001103D2"/>
    <w:rsid w:val="00116238"/>
    <w:rsid w:val="00154A75"/>
    <w:rsid w:val="00165DF6"/>
    <w:rsid w:val="00185E84"/>
    <w:rsid w:val="001865AC"/>
    <w:rsid w:val="00187379"/>
    <w:rsid w:val="001932E3"/>
    <w:rsid w:val="001951C8"/>
    <w:rsid w:val="00195794"/>
    <w:rsid w:val="001A0406"/>
    <w:rsid w:val="001A105B"/>
    <w:rsid w:val="001A2916"/>
    <w:rsid w:val="00206115"/>
    <w:rsid w:val="0021414C"/>
    <w:rsid w:val="00225291"/>
    <w:rsid w:val="00232179"/>
    <w:rsid w:val="00232CD7"/>
    <w:rsid w:val="00255853"/>
    <w:rsid w:val="00261665"/>
    <w:rsid w:val="00262836"/>
    <w:rsid w:val="00263B52"/>
    <w:rsid w:val="00277C68"/>
    <w:rsid w:val="00285C45"/>
    <w:rsid w:val="0028689F"/>
    <w:rsid w:val="00291E61"/>
    <w:rsid w:val="002944C9"/>
    <w:rsid w:val="002A27F6"/>
    <w:rsid w:val="002A4D81"/>
    <w:rsid w:val="002B287F"/>
    <w:rsid w:val="002B580A"/>
    <w:rsid w:val="002C5083"/>
    <w:rsid w:val="002C7073"/>
    <w:rsid w:val="002D278E"/>
    <w:rsid w:val="002D3F97"/>
    <w:rsid w:val="002D4D41"/>
    <w:rsid w:val="002F618C"/>
    <w:rsid w:val="00300A69"/>
    <w:rsid w:val="00300A9B"/>
    <w:rsid w:val="0031590C"/>
    <w:rsid w:val="0032153F"/>
    <w:rsid w:val="00342840"/>
    <w:rsid w:val="00346E24"/>
    <w:rsid w:val="003655B0"/>
    <w:rsid w:val="0037760F"/>
    <w:rsid w:val="00385A71"/>
    <w:rsid w:val="003A170D"/>
    <w:rsid w:val="003A569F"/>
    <w:rsid w:val="003D0D10"/>
    <w:rsid w:val="003E6CA3"/>
    <w:rsid w:val="00405D36"/>
    <w:rsid w:val="00414B07"/>
    <w:rsid w:val="00422ACA"/>
    <w:rsid w:val="00422D57"/>
    <w:rsid w:val="00424B4B"/>
    <w:rsid w:val="00453617"/>
    <w:rsid w:val="004628B2"/>
    <w:rsid w:val="00464F07"/>
    <w:rsid w:val="004729F3"/>
    <w:rsid w:val="00482807"/>
    <w:rsid w:val="004943BE"/>
    <w:rsid w:val="004A016A"/>
    <w:rsid w:val="004A491B"/>
    <w:rsid w:val="004A5301"/>
    <w:rsid w:val="004B7CB8"/>
    <w:rsid w:val="004C3788"/>
    <w:rsid w:val="004C51FF"/>
    <w:rsid w:val="004C7F4E"/>
    <w:rsid w:val="004D056B"/>
    <w:rsid w:val="004E06BC"/>
    <w:rsid w:val="00521C50"/>
    <w:rsid w:val="005301A6"/>
    <w:rsid w:val="00540877"/>
    <w:rsid w:val="00544495"/>
    <w:rsid w:val="00552AEB"/>
    <w:rsid w:val="005553B0"/>
    <w:rsid w:val="00575723"/>
    <w:rsid w:val="00575EE6"/>
    <w:rsid w:val="0059041F"/>
    <w:rsid w:val="005B0F98"/>
    <w:rsid w:val="005B1614"/>
    <w:rsid w:val="005B630A"/>
    <w:rsid w:val="005C1893"/>
    <w:rsid w:val="005C4819"/>
    <w:rsid w:val="005D524F"/>
    <w:rsid w:val="005E0433"/>
    <w:rsid w:val="005F19CA"/>
    <w:rsid w:val="00616153"/>
    <w:rsid w:val="0062330B"/>
    <w:rsid w:val="0062482C"/>
    <w:rsid w:val="00626647"/>
    <w:rsid w:val="00635A3C"/>
    <w:rsid w:val="00637502"/>
    <w:rsid w:val="00656379"/>
    <w:rsid w:val="006751AD"/>
    <w:rsid w:val="00681D16"/>
    <w:rsid w:val="006867A1"/>
    <w:rsid w:val="006A1236"/>
    <w:rsid w:val="006A574E"/>
    <w:rsid w:val="006B0313"/>
    <w:rsid w:val="006F491C"/>
    <w:rsid w:val="007037B5"/>
    <w:rsid w:val="007049EF"/>
    <w:rsid w:val="00707E3B"/>
    <w:rsid w:val="007508A6"/>
    <w:rsid w:val="00753954"/>
    <w:rsid w:val="00766E2F"/>
    <w:rsid w:val="00770E21"/>
    <w:rsid w:val="007759F9"/>
    <w:rsid w:val="00777446"/>
    <w:rsid w:val="00780F51"/>
    <w:rsid w:val="00781BA0"/>
    <w:rsid w:val="007978A0"/>
    <w:rsid w:val="007C3CF8"/>
    <w:rsid w:val="007C685B"/>
    <w:rsid w:val="007C6B3A"/>
    <w:rsid w:val="007C72A0"/>
    <w:rsid w:val="007F421D"/>
    <w:rsid w:val="007F675A"/>
    <w:rsid w:val="00815269"/>
    <w:rsid w:val="00825942"/>
    <w:rsid w:val="00830ED6"/>
    <w:rsid w:val="008332E5"/>
    <w:rsid w:val="00841D7F"/>
    <w:rsid w:val="00842FAA"/>
    <w:rsid w:val="00855086"/>
    <w:rsid w:val="00855C6C"/>
    <w:rsid w:val="008640C1"/>
    <w:rsid w:val="008839B8"/>
    <w:rsid w:val="008A0AA3"/>
    <w:rsid w:val="008A7E12"/>
    <w:rsid w:val="008B4B35"/>
    <w:rsid w:val="008B57FD"/>
    <w:rsid w:val="008B6B89"/>
    <w:rsid w:val="008E5DCD"/>
    <w:rsid w:val="008E6687"/>
    <w:rsid w:val="008F3C3B"/>
    <w:rsid w:val="00902B32"/>
    <w:rsid w:val="009167E6"/>
    <w:rsid w:val="00933A46"/>
    <w:rsid w:val="009406D3"/>
    <w:rsid w:val="00944717"/>
    <w:rsid w:val="00952DC4"/>
    <w:rsid w:val="00961BD1"/>
    <w:rsid w:val="0096585A"/>
    <w:rsid w:val="0099426B"/>
    <w:rsid w:val="009A04AE"/>
    <w:rsid w:val="009C0297"/>
    <w:rsid w:val="009C32EC"/>
    <w:rsid w:val="009F4D82"/>
    <w:rsid w:val="009F72D3"/>
    <w:rsid w:val="00A31C81"/>
    <w:rsid w:val="00A373C5"/>
    <w:rsid w:val="00A453D3"/>
    <w:rsid w:val="00A5278B"/>
    <w:rsid w:val="00A63BE7"/>
    <w:rsid w:val="00A73746"/>
    <w:rsid w:val="00A86EFF"/>
    <w:rsid w:val="00AA4C46"/>
    <w:rsid w:val="00AA73C6"/>
    <w:rsid w:val="00AE2C00"/>
    <w:rsid w:val="00AF019A"/>
    <w:rsid w:val="00AF20A7"/>
    <w:rsid w:val="00AF3E96"/>
    <w:rsid w:val="00B13A14"/>
    <w:rsid w:val="00B317E6"/>
    <w:rsid w:val="00B319E4"/>
    <w:rsid w:val="00B43C98"/>
    <w:rsid w:val="00B51140"/>
    <w:rsid w:val="00B5580B"/>
    <w:rsid w:val="00B80DC6"/>
    <w:rsid w:val="00B90FDD"/>
    <w:rsid w:val="00BC766B"/>
    <w:rsid w:val="00BE1F08"/>
    <w:rsid w:val="00BF3FAA"/>
    <w:rsid w:val="00C01D16"/>
    <w:rsid w:val="00C021D4"/>
    <w:rsid w:val="00C26B04"/>
    <w:rsid w:val="00C36099"/>
    <w:rsid w:val="00C4152F"/>
    <w:rsid w:val="00C44D87"/>
    <w:rsid w:val="00C6396F"/>
    <w:rsid w:val="00C7415F"/>
    <w:rsid w:val="00C7637D"/>
    <w:rsid w:val="00C81214"/>
    <w:rsid w:val="00C97048"/>
    <w:rsid w:val="00CA17F2"/>
    <w:rsid w:val="00CA6D52"/>
    <w:rsid w:val="00CB3DCF"/>
    <w:rsid w:val="00CC190D"/>
    <w:rsid w:val="00CC6F58"/>
    <w:rsid w:val="00CF4410"/>
    <w:rsid w:val="00D149A5"/>
    <w:rsid w:val="00D308CB"/>
    <w:rsid w:val="00D30E4F"/>
    <w:rsid w:val="00D36900"/>
    <w:rsid w:val="00D37B22"/>
    <w:rsid w:val="00D516E7"/>
    <w:rsid w:val="00D82721"/>
    <w:rsid w:val="00D87D13"/>
    <w:rsid w:val="00D969DF"/>
    <w:rsid w:val="00DA657F"/>
    <w:rsid w:val="00DB26DD"/>
    <w:rsid w:val="00DC4917"/>
    <w:rsid w:val="00E02797"/>
    <w:rsid w:val="00E1098A"/>
    <w:rsid w:val="00E21997"/>
    <w:rsid w:val="00E252CA"/>
    <w:rsid w:val="00E25D46"/>
    <w:rsid w:val="00E32C67"/>
    <w:rsid w:val="00E44B19"/>
    <w:rsid w:val="00E4718B"/>
    <w:rsid w:val="00E56E62"/>
    <w:rsid w:val="00E704FF"/>
    <w:rsid w:val="00E7170D"/>
    <w:rsid w:val="00E84E74"/>
    <w:rsid w:val="00EB0265"/>
    <w:rsid w:val="00EB4542"/>
    <w:rsid w:val="00EC5C44"/>
    <w:rsid w:val="00EE245B"/>
    <w:rsid w:val="00EE2915"/>
    <w:rsid w:val="00F10543"/>
    <w:rsid w:val="00F42A45"/>
    <w:rsid w:val="00F473C6"/>
    <w:rsid w:val="00F52D50"/>
    <w:rsid w:val="00F8009C"/>
    <w:rsid w:val="00F835F6"/>
    <w:rsid w:val="00F90AB3"/>
    <w:rsid w:val="00F913D9"/>
    <w:rsid w:val="00F9479B"/>
    <w:rsid w:val="00FA0CF3"/>
    <w:rsid w:val="00FA4790"/>
    <w:rsid w:val="00FB51CC"/>
    <w:rsid w:val="00FC74F7"/>
    <w:rsid w:val="00FD39C9"/>
    <w:rsid w:val="00FF550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07869"/>
  <w15:chartTrackingRefBased/>
  <w15:docId w15:val="{3A9B9114-EF1A-4A9E-B42D-7EA414C98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09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A1236"/>
    <w:pPr>
      <w:keepNext/>
      <w:keepLines/>
      <w:spacing w:before="120" w:after="12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6A1236"/>
    <w:pPr>
      <w:keepNext/>
      <w:keepLines/>
      <w:spacing w:before="120" w:after="120"/>
      <w:outlineLvl w:val="1"/>
    </w:pPr>
    <w:rPr>
      <w:rFonts w:ascii="Arial" w:eastAsiaTheme="majorEastAsia" w:hAnsi="Arial" w:cstheme="majorBidi"/>
      <w:b/>
      <w:color w:val="000000" w:themeColor="text1"/>
      <w:sz w:val="26"/>
      <w:szCs w:val="32"/>
    </w:rPr>
  </w:style>
  <w:style w:type="paragraph" w:styleId="Heading3">
    <w:name w:val="heading 3"/>
    <w:basedOn w:val="Normal"/>
    <w:next w:val="Normal"/>
    <w:link w:val="Heading3Char"/>
    <w:uiPriority w:val="9"/>
    <w:unhideWhenUsed/>
    <w:qFormat/>
    <w:rsid w:val="006A1236"/>
    <w:pPr>
      <w:keepNext/>
      <w:keepLines/>
      <w:spacing w:before="120" w:after="12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59041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9041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9041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041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041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041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236"/>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6A1236"/>
    <w:rPr>
      <w:rFonts w:ascii="Arial" w:eastAsiaTheme="majorEastAsia" w:hAnsi="Arial" w:cstheme="majorBidi"/>
      <w:b/>
      <w:color w:val="000000" w:themeColor="text1"/>
      <w:sz w:val="26"/>
      <w:szCs w:val="32"/>
      <w:lang w:val="en-GB"/>
    </w:rPr>
  </w:style>
  <w:style w:type="character" w:customStyle="1" w:styleId="Heading3Char">
    <w:name w:val="Heading 3 Char"/>
    <w:basedOn w:val="DefaultParagraphFont"/>
    <w:link w:val="Heading3"/>
    <w:uiPriority w:val="9"/>
    <w:rsid w:val="006A1236"/>
    <w:rPr>
      <w:rFonts w:ascii="Arial" w:eastAsiaTheme="majorEastAsia" w:hAnsi="Arial"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59041F"/>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59041F"/>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59041F"/>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59041F"/>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59041F"/>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59041F"/>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5904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41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9041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41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9041F"/>
    <w:pPr>
      <w:spacing w:before="160"/>
      <w:jc w:val="center"/>
    </w:pPr>
    <w:rPr>
      <w:i/>
      <w:iCs/>
      <w:color w:val="404040" w:themeColor="text1" w:themeTint="BF"/>
    </w:rPr>
  </w:style>
  <w:style w:type="character" w:customStyle="1" w:styleId="QuoteChar">
    <w:name w:val="Quote Char"/>
    <w:basedOn w:val="DefaultParagraphFont"/>
    <w:link w:val="Quote"/>
    <w:uiPriority w:val="29"/>
    <w:rsid w:val="0059041F"/>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59041F"/>
    <w:pPr>
      <w:ind w:left="720"/>
      <w:contextualSpacing/>
    </w:pPr>
  </w:style>
  <w:style w:type="character" w:styleId="IntenseEmphasis">
    <w:name w:val="Intense Emphasis"/>
    <w:basedOn w:val="DefaultParagraphFont"/>
    <w:uiPriority w:val="21"/>
    <w:qFormat/>
    <w:rsid w:val="0059041F"/>
    <w:rPr>
      <w:i/>
      <w:iCs/>
      <w:color w:val="2F5496" w:themeColor="accent1" w:themeShade="BF"/>
    </w:rPr>
  </w:style>
  <w:style w:type="paragraph" w:styleId="IntenseQuote">
    <w:name w:val="Intense Quote"/>
    <w:basedOn w:val="Normal"/>
    <w:next w:val="Normal"/>
    <w:link w:val="IntenseQuoteChar"/>
    <w:uiPriority w:val="30"/>
    <w:qFormat/>
    <w:rsid w:val="005904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041F"/>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59041F"/>
    <w:rPr>
      <w:b/>
      <w:bCs/>
      <w:smallCaps/>
      <w:color w:val="2F5496" w:themeColor="accent1" w:themeShade="BF"/>
      <w:spacing w:val="5"/>
    </w:rPr>
  </w:style>
  <w:style w:type="paragraph" w:styleId="Header">
    <w:name w:val="header"/>
    <w:basedOn w:val="Normal"/>
    <w:link w:val="HeaderChar"/>
    <w:uiPriority w:val="99"/>
    <w:unhideWhenUsed/>
    <w:rsid w:val="00590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41F"/>
    <w:rPr>
      <w:rFonts w:ascii="Times New Roman" w:hAnsi="Times New Roman"/>
      <w:sz w:val="24"/>
      <w:lang w:val="en-GB"/>
    </w:rPr>
  </w:style>
  <w:style w:type="paragraph" w:styleId="Footer">
    <w:name w:val="footer"/>
    <w:basedOn w:val="Normal"/>
    <w:link w:val="FooterChar"/>
    <w:uiPriority w:val="99"/>
    <w:unhideWhenUsed/>
    <w:rsid w:val="00590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41F"/>
    <w:rPr>
      <w:rFonts w:ascii="Times New Roman" w:hAnsi="Times New Roman"/>
      <w:sz w:val="24"/>
      <w:lang w:val="en-GB"/>
    </w:rPr>
  </w:style>
  <w:style w:type="table" w:styleId="TableGrid">
    <w:name w:val="Table Grid"/>
    <w:basedOn w:val="TableNormal"/>
    <w:uiPriority w:val="39"/>
    <w:rsid w:val="007037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037B5"/>
    <w:pPr>
      <w:spacing w:after="200"/>
    </w:pPr>
    <w:rPr>
      <w:b/>
      <w:iCs/>
      <w:color w:val="000000" w:themeColor="text1"/>
      <w:szCs w:val="18"/>
    </w:rPr>
  </w:style>
  <w:style w:type="character" w:styleId="Hyperlink">
    <w:name w:val="Hyperlink"/>
    <w:basedOn w:val="DefaultParagraphFont"/>
    <w:uiPriority w:val="99"/>
    <w:unhideWhenUsed/>
    <w:rsid w:val="00004F62"/>
    <w:rPr>
      <w:color w:val="0563C1" w:themeColor="hyperlink"/>
      <w:u w:val="single"/>
    </w:rPr>
  </w:style>
  <w:style w:type="paragraph" w:styleId="TOCHeading">
    <w:name w:val="TOC Heading"/>
    <w:basedOn w:val="Heading1"/>
    <w:next w:val="Normal"/>
    <w:uiPriority w:val="39"/>
    <w:unhideWhenUsed/>
    <w:qFormat/>
    <w:rsid w:val="007978A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978A0"/>
    <w:pPr>
      <w:spacing w:after="100"/>
    </w:pPr>
  </w:style>
  <w:style w:type="paragraph" w:styleId="TOC2">
    <w:name w:val="toc 2"/>
    <w:basedOn w:val="Normal"/>
    <w:next w:val="Normal"/>
    <w:autoRedefine/>
    <w:uiPriority w:val="39"/>
    <w:unhideWhenUsed/>
    <w:rsid w:val="007978A0"/>
    <w:pPr>
      <w:spacing w:after="100"/>
      <w:ind w:left="240"/>
    </w:pPr>
  </w:style>
  <w:style w:type="paragraph" w:styleId="TOC3">
    <w:name w:val="toc 3"/>
    <w:basedOn w:val="Normal"/>
    <w:next w:val="Normal"/>
    <w:autoRedefine/>
    <w:uiPriority w:val="39"/>
    <w:unhideWhenUsed/>
    <w:rsid w:val="007978A0"/>
    <w:pPr>
      <w:spacing w:after="100"/>
      <w:ind w:left="480"/>
    </w:pPr>
  </w:style>
  <w:style w:type="paragraph" w:customStyle="1" w:styleId="TableParagraph">
    <w:name w:val="Table Paragraph"/>
    <w:basedOn w:val="Normal"/>
    <w:uiPriority w:val="1"/>
    <w:qFormat/>
    <w:rsid w:val="000B4B11"/>
    <w:pPr>
      <w:widowControl w:val="0"/>
      <w:autoSpaceDE w:val="0"/>
      <w:autoSpaceDN w:val="0"/>
      <w:spacing w:after="0" w:line="240" w:lineRule="auto"/>
      <w:ind w:left="108"/>
      <w:jc w:val="left"/>
    </w:pPr>
    <w:rPr>
      <w:rFonts w:ascii="Arial MT" w:eastAsia="Arial MT" w:hAnsi="Arial MT" w:cs="Arial MT"/>
      <w:kern w:val="0"/>
      <w:sz w:val="22"/>
      <w:lang w:val="en-US"/>
      <w14:ligatures w14:val="none"/>
    </w:rPr>
  </w:style>
  <w:style w:type="paragraph" w:styleId="NormalWeb">
    <w:name w:val="Normal (Web)"/>
    <w:basedOn w:val="Normal"/>
    <w:uiPriority w:val="99"/>
    <w:semiHidden/>
    <w:unhideWhenUsed/>
    <w:rsid w:val="00656379"/>
    <w:rPr>
      <w:rFonts w:cs="Times New Roman"/>
      <w:szCs w:val="24"/>
    </w:rPr>
  </w:style>
  <w:style w:type="character" w:styleId="UnresolvedMention">
    <w:name w:val="Unresolved Mention"/>
    <w:basedOn w:val="DefaultParagraphFont"/>
    <w:uiPriority w:val="99"/>
    <w:semiHidden/>
    <w:unhideWhenUsed/>
    <w:rsid w:val="00002F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209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8.png"/><Relationship Id="rId26" Type="http://schemas.openxmlformats.org/officeDocument/2006/relationships/hyperlink" Target="https://www.emerald.com/mip/article-abstract/44/1/121/1265577/Ethical-marketing-a-review-and-research-agenda?redirectedFrom=fulltext" TargetMode="External"/><Relationship Id="rId39" Type="http://schemas.openxmlformats.org/officeDocument/2006/relationships/hyperlink" Target="https://www.mdpi.com/2079-9276/14/8/118" TargetMode="External"/><Relationship Id="rId21" Type="http://schemas.openxmlformats.org/officeDocument/2006/relationships/hyperlink" Target="https://books.google.co.in/books?hl=en&amp;lr=&amp;id=GAIZEQAAQBAJ&amp;oi=fnd&amp;pg=PP1&amp;dq=Gibbs%27+Reflective+Cycle&amp;ots=ayzjmJ4LVF&amp;sig=FxhceICpV3grMJpUXsTnwZIFtms&amp;redir_esc=y" TargetMode="External"/><Relationship Id="rId34" Type="http://schemas.openxmlformats.org/officeDocument/2006/relationships/hyperlink" Target="http://thuvien.utt.edu.vn:8080/jspui/bitstream/123456789/1981/1/4.%20Leading%20Issue%20in%20Economic%20Development.pdf" TargetMode="External"/><Relationship Id="rId42" Type="http://schemas.openxmlformats.org/officeDocument/2006/relationships/hyperlink" Target="https://books.google.co.in/books?hl=en&amp;lr=&amp;id=S3GcEAAAQBAJ&amp;oi=fnd&amp;pg=PT12&amp;dq=Experiential+comparison:+United+Kingdom+and+Cuba+Retail&amp;ots=yQWmPUlLpz&amp;sig=37ifU-cYRrnpnVYmruRarlKBFuo&amp;redir_esc=y" TargetMode="External"/><Relationship Id="rId47" Type="http://schemas.openxmlformats.org/officeDocument/2006/relationships/hyperlink" Target="https://indianjournals.com/article/iimsjms-12-2-004" TargetMode="External"/><Relationship Id="rId50" Type="http://schemas.openxmlformats.org/officeDocument/2006/relationships/footer" Target="footer1.xml"/><Relationship Id="rId7" Type="http://schemas.openxmlformats.org/officeDocument/2006/relationships/image" Target="media/image2.jpg"/><Relationship Id="rId2" Type="http://schemas.openxmlformats.org/officeDocument/2006/relationships/settings" Target="settings.xml"/><Relationship Id="rId16" Type="http://schemas.openxmlformats.org/officeDocument/2006/relationships/image" Target="media/image6.png"/><Relationship Id="rId29" Type="http://schemas.openxmlformats.org/officeDocument/2006/relationships/hyperlink" Target="https://link.springer.com/article/10.1007/s11269-024-04076-4" TargetMode="External"/><Relationship Id="rId11" Type="http://schemas.openxmlformats.org/officeDocument/2006/relationships/diagramLayout" Target="diagrams/layout1.xml"/><Relationship Id="rId24" Type="http://schemas.openxmlformats.org/officeDocument/2006/relationships/hyperlink" Target="https://www.taylorfrancis.com/chapters/edit/10.4324/9781003124870-17/selling-cuba-christopher-ch%C3%A1vez" TargetMode="External"/><Relationship Id="rId32" Type="http://schemas.openxmlformats.org/officeDocument/2006/relationships/hyperlink" Target="https://www.annualreviews.org/content/journals/10.1146/annurev-orgpsych-120920-044531/?crawler=true" TargetMode="External"/><Relationship Id="rId37" Type="http://schemas.openxmlformats.org/officeDocument/2006/relationships/hyperlink" Target="https://www.taylorfrancis.com/chapters/edit/10.4324/9781003101444-2/social-phenomenon-transculturation-importance-cuba-fernando-ortiz" TargetMode="External"/><Relationship Id="rId40" Type="http://schemas.openxmlformats.org/officeDocument/2006/relationships/hyperlink" Target="https://link.springer.com/article/10.1007/s12083-025-02060-2" TargetMode="External"/><Relationship Id="rId45" Type="http://schemas.openxmlformats.org/officeDocument/2006/relationships/hyperlink" Target="https://access.heinonline.com/HOL/Page?handle=hein.journals/fiulawr17&amp;div=31&amp;g_sent=1&amp;casa_token=" TargetMode="External"/><Relationship Id="rId5"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hyperlink" Target="https://books.google.co.in/books?hl=en&amp;lr=&amp;id=WYPSEAAAQBAJ&amp;oi=fnd&amp;pg=PA1991&amp;dq=Cuba+Cultural+Profile&amp;ots=oEdyTS95Ji&amp;sig=ZoTIbfRd60sJPGyWK_bi8ltIY3Y&amp;redir_esc=y" TargetMode="External"/><Relationship Id="rId28" Type="http://schemas.openxmlformats.org/officeDocument/2006/relationships/hyperlink" Target="https://ejournal.sultanpublisher.com/ijmsa/article/view/501" TargetMode="External"/><Relationship Id="rId36" Type="http://schemas.openxmlformats.org/officeDocument/2006/relationships/hyperlink" Target="https://books.google.co.in/books?hl=en&amp;lr=&amp;id=lN7bEAAAQBAJ&amp;oi=fnd&amp;pg=PT9&amp;dq=STP+Framework+Cadbury&amp;ots=HMnr8MAI8H&amp;sig=sdTkAUJjZ0wZPKWTGJlzuLgQqJ4&amp;redir_esc=y" TargetMode="External"/><Relationship Id="rId49" Type="http://schemas.openxmlformats.org/officeDocument/2006/relationships/hyperlink" Target="https://www.tandfonline.com/doi/full/10.1080/02602938.2021.2001431" TargetMode="External"/><Relationship Id="rId10" Type="http://schemas.openxmlformats.org/officeDocument/2006/relationships/diagramData" Target="diagrams/data1.xml"/><Relationship Id="rId19" Type="http://schemas.openxmlformats.org/officeDocument/2006/relationships/hyperlink" Target="https://books.google.co.in/books?hl=en&amp;lr=&amp;id=RgEJEQAAQBAJ&amp;oi=fnd&amp;pg=PA43&amp;dq=Marketing+Mix+7Ps+Cadbury&amp;ots=06UAjpnChq&amp;sig=JnGZIgu_VT-ZWao0a7vD04fGjmw&amp;redir_esc=y" TargetMode="External"/><Relationship Id="rId31" Type="http://schemas.openxmlformats.org/officeDocument/2006/relationships/hyperlink" Target="https://www.mdpi.com/2078-2489/13/5/239" TargetMode="External"/><Relationship Id="rId44" Type="http://schemas.openxmlformats.org/officeDocument/2006/relationships/hyperlink" Target="https://journals.sagepub.com/doi/abs/10.1177/0972150918795360"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microsoft.com/office/2007/relationships/diagramDrawing" Target="diagrams/drawing1.xml"/><Relationship Id="rId22" Type="http://schemas.openxmlformats.org/officeDocument/2006/relationships/hyperlink" Target="https://www.sciencedirect.com/science/article/abs/pii/S0360544224022667" TargetMode="External"/><Relationship Id="rId27" Type="http://schemas.openxmlformats.org/officeDocument/2006/relationships/hyperlink" Target="https://books.google.co.in/books?hl=en&amp;lr=&amp;id=9r3NEAAAQBAJ&amp;oi=fnd&amp;pg=PT14&amp;dq=Marketing+Mix+7Ps+Cadbury&amp;ots=SLrNblxZRz&amp;sig=_kx6MU2kYk9ljFNmqmySPG-Ctl8&amp;redir_esc=y" TargetMode="External"/><Relationship Id="rId30" Type="http://schemas.openxmlformats.org/officeDocument/2006/relationships/hyperlink" Target="https://geerthofstede.com/country-comparison-bar-charts/" TargetMode="External"/><Relationship Id="rId35" Type="http://schemas.openxmlformats.org/officeDocument/2006/relationships/hyperlink" Target="https://journals.rcsi.science/1728-192X/article/view/439527" TargetMode="External"/><Relationship Id="rId43" Type="http://schemas.openxmlformats.org/officeDocument/2006/relationships/hyperlink" Target="https://dialnet.unirioja.es/servlet/articulo?codigo=8597176" TargetMode="External"/><Relationship Id="rId48" Type="http://schemas.openxmlformats.org/officeDocument/2006/relationships/hyperlink" Target="https://www.proquest.com/openview/d169ec5df55e88f7f48e9427d93a38e0/1?pq-origsite=gscholar&amp;cbl=2026366&amp;diss=y" TargetMode="External"/><Relationship Id="rId8" Type="http://schemas.openxmlformats.org/officeDocument/2006/relationships/image" Target="media/image3.jp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image" Target="media/image7.png"/><Relationship Id="rId25" Type="http://schemas.openxmlformats.org/officeDocument/2006/relationships/hyperlink" Target="https://ijidjournal.org/index.php/ijid/article/view/251" TargetMode="External"/><Relationship Id="rId33" Type="http://schemas.openxmlformats.org/officeDocument/2006/relationships/hyperlink" Target="https://www.tandfonline.com/doi/abs/10.1080/13569325.2021.1937965\" TargetMode="External"/><Relationship Id="rId38" Type="http://schemas.openxmlformats.org/officeDocument/2006/relationships/hyperlink" Target="https://www.taylorfrancis.com/chapters/edit/10.4324/9781003389309-8/spatial-governance-planning-cuba-maurizio-pioletti" TargetMode="External"/><Relationship Id="rId46" Type="http://schemas.openxmlformats.org/officeDocument/2006/relationships/hyperlink" Target="https://books.google.co.in/books?hl=en&amp;lr=&amp;id=QiJ4EAAAQBAJ&amp;oi=fnd&amp;pg=PA11&amp;dq=UK+Cultural+Profile&amp;ots=4vom3lVKiE&amp;sig=cxAsjLjbpWVSax7KkU10mUJPJV0&amp;redir_esc=y" TargetMode="External"/><Relationship Id="rId20" Type="http://schemas.openxmlformats.org/officeDocument/2006/relationships/hyperlink" Target="https://link.springer.com/chapter/10.1007/978-3-030-68386-3_30" TargetMode="External"/><Relationship Id="rId41" Type="http://schemas.openxmlformats.org/officeDocument/2006/relationships/hyperlink" Target="https://academic.oup.com/ser/article-abstract/19/2/765/5475881" TargetMode="External"/><Relationship Id="rId1" Type="http://schemas.openxmlformats.org/officeDocument/2006/relationships/styles" Target="styles.xml"/><Relationship Id="rId6"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98F9061-F353-4E79-B313-EDC16626574F}"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275FCAB2-0486-44AF-B54C-B048E95492F9}">
      <dgm:prSet phldrT="[Text]" custT="1"/>
      <dgm:spPr/>
      <dgm:t>
        <a:bodyPr/>
        <a:lstStyle/>
        <a:p>
          <a:r>
            <a:rPr lang="en-US" sz="1000" b="1">
              <a:solidFill>
                <a:schemeClr val="bg1"/>
              </a:solidFill>
              <a:latin typeface="Arial" panose="020B0604020202020204" pitchFamily="34" charset="0"/>
              <a:cs typeface="Arial" panose="020B0604020202020204" pitchFamily="34" charset="0"/>
            </a:rPr>
            <a:t>PESTEL</a:t>
          </a:r>
        </a:p>
      </dgm:t>
    </dgm:pt>
    <dgm:pt modelId="{0BEACD79-36B4-4D6C-8C87-1BA91727CD2A}" type="parTrans" cxnId="{2B5EFFB5-92D8-4A21-BE3A-56C1C4DF453F}">
      <dgm:prSet/>
      <dgm:spPr/>
      <dgm:t>
        <a:bodyPr/>
        <a:lstStyle/>
        <a:p>
          <a:endParaRPr lang="en-US"/>
        </a:p>
      </dgm:t>
    </dgm:pt>
    <dgm:pt modelId="{62181C61-8891-47E5-AC94-132B5C3FBA78}" type="sibTrans" cxnId="{2B5EFFB5-92D8-4A21-BE3A-56C1C4DF453F}">
      <dgm:prSet/>
      <dgm:spPr/>
      <dgm:t>
        <a:bodyPr/>
        <a:lstStyle/>
        <a:p>
          <a:endParaRPr lang="en-US"/>
        </a:p>
      </dgm:t>
    </dgm:pt>
    <dgm:pt modelId="{42CA05CC-4486-4A69-B8F3-B712658191DA}">
      <dgm:prSet phldrT="[Text]" custT="1"/>
      <dgm:spPr/>
      <dgm:t>
        <a:bodyPr/>
        <a:lstStyle/>
        <a:p>
          <a:r>
            <a:rPr lang="en-US" sz="800" b="1">
              <a:solidFill>
                <a:schemeClr val="bg1"/>
              </a:solidFill>
              <a:latin typeface="Arial" panose="020B0604020202020204" pitchFamily="34" charset="0"/>
              <a:cs typeface="Arial" panose="020B0604020202020204" pitchFamily="34" charset="0"/>
            </a:rPr>
            <a:t>Political</a:t>
          </a:r>
        </a:p>
      </dgm:t>
    </dgm:pt>
    <dgm:pt modelId="{DE639991-5E92-4DF5-A861-9CCFC3EC5154}" type="parTrans" cxnId="{49BB29DE-0862-4626-B1D0-6C46DB726BCB}">
      <dgm:prSet/>
      <dgm:spPr/>
      <dgm:t>
        <a:bodyPr/>
        <a:lstStyle/>
        <a:p>
          <a:endParaRPr lang="en-US"/>
        </a:p>
      </dgm:t>
    </dgm:pt>
    <dgm:pt modelId="{89406BBB-52B6-485E-B327-8CA956533D97}" type="sibTrans" cxnId="{49BB29DE-0862-4626-B1D0-6C46DB726BCB}">
      <dgm:prSet/>
      <dgm:spPr/>
      <dgm:t>
        <a:bodyPr/>
        <a:lstStyle/>
        <a:p>
          <a:endParaRPr lang="en-US"/>
        </a:p>
      </dgm:t>
    </dgm:pt>
    <dgm:pt modelId="{D2E09FDF-DC7B-497F-B1F3-44D2A9567534}">
      <dgm:prSet phldrT="[Text]" custT="1"/>
      <dgm:spPr/>
      <dgm:t>
        <a:bodyPr/>
        <a:lstStyle/>
        <a:p>
          <a:r>
            <a:rPr lang="en-US" sz="800" b="1">
              <a:solidFill>
                <a:schemeClr val="bg1"/>
              </a:solidFill>
              <a:latin typeface="Arial" panose="020B0604020202020204" pitchFamily="34" charset="0"/>
              <a:cs typeface="Arial" panose="020B0604020202020204" pitchFamily="34" charset="0"/>
            </a:rPr>
            <a:t>Economical</a:t>
          </a:r>
        </a:p>
      </dgm:t>
    </dgm:pt>
    <dgm:pt modelId="{4AB6855C-0C3F-4841-A820-5E5638591874}" type="parTrans" cxnId="{9BFE3D0E-A7FD-4454-9C6B-C0CB99F206E0}">
      <dgm:prSet/>
      <dgm:spPr/>
      <dgm:t>
        <a:bodyPr/>
        <a:lstStyle/>
        <a:p>
          <a:endParaRPr lang="en-US"/>
        </a:p>
      </dgm:t>
    </dgm:pt>
    <dgm:pt modelId="{339FA576-5721-4089-9C13-4820F97710CD}" type="sibTrans" cxnId="{9BFE3D0E-A7FD-4454-9C6B-C0CB99F206E0}">
      <dgm:prSet/>
      <dgm:spPr/>
      <dgm:t>
        <a:bodyPr/>
        <a:lstStyle/>
        <a:p>
          <a:endParaRPr lang="en-US"/>
        </a:p>
      </dgm:t>
    </dgm:pt>
    <dgm:pt modelId="{E232DDE8-E7EA-48F2-A916-B96BCE94C79D}">
      <dgm:prSet phldrT="[Text]" custT="1"/>
      <dgm:spPr/>
      <dgm:t>
        <a:bodyPr/>
        <a:lstStyle/>
        <a:p>
          <a:r>
            <a:rPr lang="en-US" sz="800" b="1">
              <a:solidFill>
                <a:schemeClr val="bg1"/>
              </a:solidFill>
              <a:latin typeface="Arial" panose="020B0604020202020204" pitchFamily="34" charset="0"/>
              <a:cs typeface="Arial" panose="020B0604020202020204" pitchFamily="34" charset="0"/>
            </a:rPr>
            <a:t>Social</a:t>
          </a:r>
        </a:p>
      </dgm:t>
    </dgm:pt>
    <dgm:pt modelId="{6441D6FB-7F5B-43EA-8C07-CE9ECC1D3A99}" type="parTrans" cxnId="{77E3D27B-98A1-40B3-A91F-397F09460313}">
      <dgm:prSet/>
      <dgm:spPr/>
      <dgm:t>
        <a:bodyPr/>
        <a:lstStyle/>
        <a:p>
          <a:endParaRPr lang="en-US"/>
        </a:p>
      </dgm:t>
    </dgm:pt>
    <dgm:pt modelId="{0CA301DE-56B6-4645-A7B0-C6B2787FC00F}" type="sibTrans" cxnId="{77E3D27B-98A1-40B3-A91F-397F09460313}">
      <dgm:prSet/>
      <dgm:spPr/>
      <dgm:t>
        <a:bodyPr/>
        <a:lstStyle/>
        <a:p>
          <a:endParaRPr lang="en-US"/>
        </a:p>
      </dgm:t>
    </dgm:pt>
    <dgm:pt modelId="{5463208A-BAF2-4245-93C1-60ED8D3EADA4}">
      <dgm:prSet phldrT="[Text]" custT="1"/>
      <dgm:spPr/>
      <dgm:t>
        <a:bodyPr/>
        <a:lstStyle/>
        <a:p>
          <a:r>
            <a:rPr lang="en-US" sz="800" b="1">
              <a:solidFill>
                <a:schemeClr val="bg1"/>
              </a:solidFill>
              <a:latin typeface="Arial" panose="020B0604020202020204" pitchFamily="34" charset="0"/>
              <a:cs typeface="Arial" panose="020B0604020202020204" pitchFamily="34" charset="0"/>
            </a:rPr>
            <a:t>Technological</a:t>
          </a:r>
        </a:p>
      </dgm:t>
    </dgm:pt>
    <dgm:pt modelId="{9CF2BC5B-F7CC-4CB6-8F8F-A37F74A73C98}" type="parTrans" cxnId="{A3681B85-4F12-436A-87F9-F36E72EF5A31}">
      <dgm:prSet/>
      <dgm:spPr/>
      <dgm:t>
        <a:bodyPr/>
        <a:lstStyle/>
        <a:p>
          <a:endParaRPr lang="en-US"/>
        </a:p>
      </dgm:t>
    </dgm:pt>
    <dgm:pt modelId="{A8ED00BD-CC54-40DC-825C-67F7BC52717F}" type="sibTrans" cxnId="{A3681B85-4F12-436A-87F9-F36E72EF5A31}">
      <dgm:prSet/>
      <dgm:spPr/>
      <dgm:t>
        <a:bodyPr/>
        <a:lstStyle/>
        <a:p>
          <a:endParaRPr lang="en-US"/>
        </a:p>
      </dgm:t>
    </dgm:pt>
    <dgm:pt modelId="{87921F3B-7006-4FD0-94BA-5C77F144034D}">
      <dgm:prSet phldrT="[Text]" custT="1"/>
      <dgm:spPr/>
      <dgm:t>
        <a:bodyPr/>
        <a:lstStyle/>
        <a:p>
          <a:r>
            <a:rPr lang="en-US" sz="800" b="1">
              <a:solidFill>
                <a:schemeClr val="bg1"/>
              </a:solidFill>
              <a:latin typeface="Arial" panose="020B0604020202020204" pitchFamily="34" charset="0"/>
              <a:cs typeface="Arial" panose="020B0604020202020204" pitchFamily="34" charset="0"/>
            </a:rPr>
            <a:t>Environmental</a:t>
          </a:r>
        </a:p>
      </dgm:t>
    </dgm:pt>
    <dgm:pt modelId="{484B52D6-E769-4B7D-A96E-B57A1D85CBF1}" type="parTrans" cxnId="{113B4CB2-59DD-4CF8-9CB4-55EB1CBE4EE1}">
      <dgm:prSet/>
      <dgm:spPr/>
      <dgm:t>
        <a:bodyPr/>
        <a:lstStyle/>
        <a:p>
          <a:endParaRPr lang="en-US"/>
        </a:p>
      </dgm:t>
    </dgm:pt>
    <dgm:pt modelId="{E72EC549-35B5-40A7-8CFC-EE4E81666204}" type="sibTrans" cxnId="{113B4CB2-59DD-4CF8-9CB4-55EB1CBE4EE1}">
      <dgm:prSet/>
      <dgm:spPr/>
      <dgm:t>
        <a:bodyPr/>
        <a:lstStyle/>
        <a:p>
          <a:endParaRPr lang="en-US"/>
        </a:p>
      </dgm:t>
    </dgm:pt>
    <dgm:pt modelId="{767D795D-89D0-43CD-ADB1-8815B37B7370}">
      <dgm:prSet phldrT="[Text]" custT="1"/>
      <dgm:spPr/>
      <dgm:t>
        <a:bodyPr/>
        <a:lstStyle/>
        <a:p>
          <a:r>
            <a:rPr lang="en-US" sz="800" b="1">
              <a:solidFill>
                <a:schemeClr val="bg1"/>
              </a:solidFill>
              <a:latin typeface="Arial" panose="020B0604020202020204" pitchFamily="34" charset="0"/>
              <a:cs typeface="Arial" panose="020B0604020202020204" pitchFamily="34" charset="0"/>
            </a:rPr>
            <a:t>Legal</a:t>
          </a:r>
        </a:p>
      </dgm:t>
    </dgm:pt>
    <dgm:pt modelId="{A60A4D7C-37FD-48F9-89F5-A3CDA326F405}" type="parTrans" cxnId="{8ED54E38-D287-470D-821C-89244F3FE6F3}">
      <dgm:prSet/>
      <dgm:spPr/>
      <dgm:t>
        <a:bodyPr/>
        <a:lstStyle/>
        <a:p>
          <a:endParaRPr lang="en-US"/>
        </a:p>
      </dgm:t>
    </dgm:pt>
    <dgm:pt modelId="{DC969E6C-B40E-4A79-83A6-3B012F30594B}" type="sibTrans" cxnId="{8ED54E38-D287-470D-821C-89244F3FE6F3}">
      <dgm:prSet/>
      <dgm:spPr/>
      <dgm:t>
        <a:bodyPr/>
        <a:lstStyle/>
        <a:p>
          <a:endParaRPr lang="en-US"/>
        </a:p>
      </dgm:t>
    </dgm:pt>
    <dgm:pt modelId="{549D0A07-8FA5-46F3-8B6F-CA75302AAF50}" type="pres">
      <dgm:prSet presAssocID="{698F9061-F353-4E79-B313-EDC16626574F}" presName="Name0" presStyleCnt="0">
        <dgm:presLayoutVars>
          <dgm:chMax val="1"/>
          <dgm:chPref val="1"/>
          <dgm:dir/>
          <dgm:animOne val="branch"/>
          <dgm:animLvl val="lvl"/>
        </dgm:presLayoutVars>
      </dgm:prSet>
      <dgm:spPr/>
    </dgm:pt>
    <dgm:pt modelId="{E09563D8-50F4-4C73-832A-E328DB227C49}" type="pres">
      <dgm:prSet presAssocID="{275FCAB2-0486-44AF-B54C-B048E95492F9}" presName="Parent" presStyleLbl="node0" presStyleIdx="0" presStyleCnt="1">
        <dgm:presLayoutVars>
          <dgm:chMax val="6"/>
          <dgm:chPref val="6"/>
        </dgm:presLayoutVars>
      </dgm:prSet>
      <dgm:spPr/>
    </dgm:pt>
    <dgm:pt modelId="{25C91779-4FC6-408C-85F7-B3FCF69F458D}" type="pres">
      <dgm:prSet presAssocID="{42CA05CC-4486-4A69-B8F3-B712658191DA}" presName="Accent1" presStyleCnt="0"/>
      <dgm:spPr/>
    </dgm:pt>
    <dgm:pt modelId="{7A4B1E2A-59BB-47C5-B697-F03AE748DA67}" type="pres">
      <dgm:prSet presAssocID="{42CA05CC-4486-4A69-B8F3-B712658191DA}" presName="Accent" presStyleLbl="bgShp" presStyleIdx="0" presStyleCnt="6"/>
      <dgm:spPr/>
    </dgm:pt>
    <dgm:pt modelId="{02F2FA74-2B23-4F3A-B4B5-EBE862F78ADD}" type="pres">
      <dgm:prSet presAssocID="{42CA05CC-4486-4A69-B8F3-B712658191DA}" presName="Child1" presStyleLbl="node1" presStyleIdx="0" presStyleCnt="6">
        <dgm:presLayoutVars>
          <dgm:chMax val="0"/>
          <dgm:chPref val="0"/>
          <dgm:bulletEnabled val="1"/>
        </dgm:presLayoutVars>
      </dgm:prSet>
      <dgm:spPr/>
    </dgm:pt>
    <dgm:pt modelId="{00068FB9-FFB8-47A3-9836-7EFE0B94F198}" type="pres">
      <dgm:prSet presAssocID="{D2E09FDF-DC7B-497F-B1F3-44D2A9567534}" presName="Accent2" presStyleCnt="0"/>
      <dgm:spPr/>
    </dgm:pt>
    <dgm:pt modelId="{DE161483-EA3B-41EC-946F-FE437DADA688}" type="pres">
      <dgm:prSet presAssocID="{D2E09FDF-DC7B-497F-B1F3-44D2A9567534}" presName="Accent" presStyleLbl="bgShp" presStyleIdx="1" presStyleCnt="6"/>
      <dgm:spPr/>
    </dgm:pt>
    <dgm:pt modelId="{E03C7B2D-A188-44C6-9D85-3DE1441DC872}" type="pres">
      <dgm:prSet presAssocID="{D2E09FDF-DC7B-497F-B1F3-44D2A9567534}" presName="Child2" presStyleLbl="node1" presStyleIdx="1" presStyleCnt="6">
        <dgm:presLayoutVars>
          <dgm:chMax val="0"/>
          <dgm:chPref val="0"/>
          <dgm:bulletEnabled val="1"/>
        </dgm:presLayoutVars>
      </dgm:prSet>
      <dgm:spPr/>
    </dgm:pt>
    <dgm:pt modelId="{4123A4AC-36F8-40D0-B8A1-475F8A9D79E9}" type="pres">
      <dgm:prSet presAssocID="{E232DDE8-E7EA-48F2-A916-B96BCE94C79D}" presName="Accent3" presStyleCnt="0"/>
      <dgm:spPr/>
    </dgm:pt>
    <dgm:pt modelId="{0B963DD4-2F47-4125-ABAE-B30FF83230EB}" type="pres">
      <dgm:prSet presAssocID="{E232DDE8-E7EA-48F2-A916-B96BCE94C79D}" presName="Accent" presStyleLbl="bgShp" presStyleIdx="2" presStyleCnt="6"/>
      <dgm:spPr/>
    </dgm:pt>
    <dgm:pt modelId="{83BEB76F-23D6-40E1-9677-BA7DB9B1FA8C}" type="pres">
      <dgm:prSet presAssocID="{E232DDE8-E7EA-48F2-A916-B96BCE94C79D}" presName="Child3" presStyleLbl="node1" presStyleIdx="2" presStyleCnt="6">
        <dgm:presLayoutVars>
          <dgm:chMax val="0"/>
          <dgm:chPref val="0"/>
          <dgm:bulletEnabled val="1"/>
        </dgm:presLayoutVars>
      </dgm:prSet>
      <dgm:spPr/>
    </dgm:pt>
    <dgm:pt modelId="{7DAFF0D8-40FF-4D90-83A7-46EA6FEB0E6F}" type="pres">
      <dgm:prSet presAssocID="{5463208A-BAF2-4245-93C1-60ED8D3EADA4}" presName="Accent4" presStyleCnt="0"/>
      <dgm:spPr/>
    </dgm:pt>
    <dgm:pt modelId="{250E8B1D-363C-4997-BD33-70ECA838FC62}" type="pres">
      <dgm:prSet presAssocID="{5463208A-BAF2-4245-93C1-60ED8D3EADA4}" presName="Accent" presStyleLbl="bgShp" presStyleIdx="3" presStyleCnt="6"/>
      <dgm:spPr/>
    </dgm:pt>
    <dgm:pt modelId="{2F2FB52E-7321-447C-AAF9-A8FACD9DC030}" type="pres">
      <dgm:prSet presAssocID="{5463208A-BAF2-4245-93C1-60ED8D3EADA4}" presName="Child4" presStyleLbl="node1" presStyleIdx="3" presStyleCnt="6">
        <dgm:presLayoutVars>
          <dgm:chMax val="0"/>
          <dgm:chPref val="0"/>
          <dgm:bulletEnabled val="1"/>
        </dgm:presLayoutVars>
      </dgm:prSet>
      <dgm:spPr/>
    </dgm:pt>
    <dgm:pt modelId="{A6AE8025-2AB7-489F-A234-828FD531FF91}" type="pres">
      <dgm:prSet presAssocID="{87921F3B-7006-4FD0-94BA-5C77F144034D}" presName="Accent5" presStyleCnt="0"/>
      <dgm:spPr/>
    </dgm:pt>
    <dgm:pt modelId="{A8076EE2-1620-4CEC-9FC8-D5F7C61DB452}" type="pres">
      <dgm:prSet presAssocID="{87921F3B-7006-4FD0-94BA-5C77F144034D}" presName="Accent" presStyleLbl="bgShp" presStyleIdx="4" presStyleCnt="6"/>
      <dgm:spPr/>
    </dgm:pt>
    <dgm:pt modelId="{68F44CE4-EF6F-4E29-9A8E-961C55258E29}" type="pres">
      <dgm:prSet presAssocID="{87921F3B-7006-4FD0-94BA-5C77F144034D}" presName="Child5" presStyleLbl="node1" presStyleIdx="4" presStyleCnt="6">
        <dgm:presLayoutVars>
          <dgm:chMax val="0"/>
          <dgm:chPref val="0"/>
          <dgm:bulletEnabled val="1"/>
        </dgm:presLayoutVars>
      </dgm:prSet>
      <dgm:spPr/>
    </dgm:pt>
    <dgm:pt modelId="{6627ABE5-4B3C-436C-B235-1BA6B9914361}" type="pres">
      <dgm:prSet presAssocID="{767D795D-89D0-43CD-ADB1-8815B37B7370}" presName="Accent6" presStyleCnt="0"/>
      <dgm:spPr/>
    </dgm:pt>
    <dgm:pt modelId="{91B568AD-02AD-41A0-856B-C2FCB5F3A80C}" type="pres">
      <dgm:prSet presAssocID="{767D795D-89D0-43CD-ADB1-8815B37B7370}" presName="Accent" presStyleLbl="bgShp" presStyleIdx="5" presStyleCnt="6"/>
      <dgm:spPr/>
    </dgm:pt>
    <dgm:pt modelId="{6627CAC6-54D9-45C5-9F47-3004B6D7D24E}" type="pres">
      <dgm:prSet presAssocID="{767D795D-89D0-43CD-ADB1-8815B37B7370}" presName="Child6" presStyleLbl="node1" presStyleIdx="5" presStyleCnt="6">
        <dgm:presLayoutVars>
          <dgm:chMax val="0"/>
          <dgm:chPref val="0"/>
          <dgm:bulletEnabled val="1"/>
        </dgm:presLayoutVars>
      </dgm:prSet>
      <dgm:spPr/>
    </dgm:pt>
  </dgm:ptLst>
  <dgm:cxnLst>
    <dgm:cxn modelId="{B953380A-CCD7-4290-A36C-3F8FE8101ACC}" type="presOf" srcId="{767D795D-89D0-43CD-ADB1-8815B37B7370}" destId="{6627CAC6-54D9-45C5-9F47-3004B6D7D24E}" srcOrd="0" destOrd="0" presId="urn:microsoft.com/office/officeart/2011/layout/HexagonRadial"/>
    <dgm:cxn modelId="{9BFE3D0E-A7FD-4454-9C6B-C0CB99F206E0}" srcId="{275FCAB2-0486-44AF-B54C-B048E95492F9}" destId="{D2E09FDF-DC7B-497F-B1F3-44D2A9567534}" srcOrd="1" destOrd="0" parTransId="{4AB6855C-0C3F-4841-A820-5E5638591874}" sibTransId="{339FA576-5721-4089-9C13-4820F97710CD}"/>
    <dgm:cxn modelId="{0BDF5634-7E56-4979-94DB-14719D712A07}" type="presOf" srcId="{698F9061-F353-4E79-B313-EDC16626574F}" destId="{549D0A07-8FA5-46F3-8B6F-CA75302AAF50}" srcOrd="0" destOrd="0" presId="urn:microsoft.com/office/officeart/2011/layout/HexagonRadial"/>
    <dgm:cxn modelId="{8ED54E38-D287-470D-821C-89244F3FE6F3}" srcId="{275FCAB2-0486-44AF-B54C-B048E95492F9}" destId="{767D795D-89D0-43CD-ADB1-8815B37B7370}" srcOrd="5" destOrd="0" parTransId="{A60A4D7C-37FD-48F9-89F5-A3CDA326F405}" sibTransId="{DC969E6C-B40E-4A79-83A6-3B012F30594B}"/>
    <dgm:cxn modelId="{7CAEC665-0BCB-442F-ABE7-7D636CDC3E05}" type="presOf" srcId="{42CA05CC-4486-4A69-B8F3-B712658191DA}" destId="{02F2FA74-2B23-4F3A-B4B5-EBE862F78ADD}" srcOrd="0" destOrd="0" presId="urn:microsoft.com/office/officeart/2011/layout/HexagonRadial"/>
    <dgm:cxn modelId="{2922BF51-DEDF-4FCB-9FCD-1B7D28BB8396}" type="presOf" srcId="{275FCAB2-0486-44AF-B54C-B048E95492F9}" destId="{E09563D8-50F4-4C73-832A-E328DB227C49}" srcOrd="0" destOrd="0" presId="urn:microsoft.com/office/officeart/2011/layout/HexagonRadial"/>
    <dgm:cxn modelId="{77E3D27B-98A1-40B3-A91F-397F09460313}" srcId="{275FCAB2-0486-44AF-B54C-B048E95492F9}" destId="{E232DDE8-E7EA-48F2-A916-B96BCE94C79D}" srcOrd="2" destOrd="0" parTransId="{6441D6FB-7F5B-43EA-8C07-CE9ECC1D3A99}" sibTransId="{0CA301DE-56B6-4645-A7B0-C6B2787FC00F}"/>
    <dgm:cxn modelId="{A3681B85-4F12-436A-87F9-F36E72EF5A31}" srcId="{275FCAB2-0486-44AF-B54C-B048E95492F9}" destId="{5463208A-BAF2-4245-93C1-60ED8D3EADA4}" srcOrd="3" destOrd="0" parTransId="{9CF2BC5B-F7CC-4CB6-8F8F-A37F74A73C98}" sibTransId="{A8ED00BD-CC54-40DC-825C-67F7BC52717F}"/>
    <dgm:cxn modelId="{D1F43F8F-60F1-4F4F-8DD9-7901C53F479A}" type="presOf" srcId="{87921F3B-7006-4FD0-94BA-5C77F144034D}" destId="{68F44CE4-EF6F-4E29-9A8E-961C55258E29}" srcOrd="0" destOrd="0" presId="urn:microsoft.com/office/officeart/2011/layout/HexagonRadial"/>
    <dgm:cxn modelId="{113B4CB2-59DD-4CF8-9CB4-55EB1CBE4EE1}" srcId="{275FCAB2-0486-44AF-B54C-B048E95492F9}" destId="{87921F3B-7006-4FD0-94BA-5C77F144034D}" srcOrd="4" destOrd="0" parTransId="{484B52D6-E769-4B7D-A96E-B57A1D85CBF1}" sibTransId="{E72EC549-35B5-40A7-8CFC-EE4E81666204}"/>
    <dgm:cxn modelId="{49FB22B3-58F8-40EC-87C3-A076C75ED22E}" type="presOf" srcId="{E232DDE8-E7EA-48F2-A916-B96BCE94C79D}" destId="{83BEB76F-23D6-40E1-9677-BA7DB9B1FA8C}" srcOrd="0" destOrd="0" presId="urn:microsoft.com/office/officeart/2011/layout/HexagonRadial"/>
    <dgm:cxn modelId="{5F6793B5-F9C5-481C-8A75-85135CFA5E1B}" type="presOf" srcId="{D2E09FDF-DC7B-497F-B1F3-44D2A9567534}" destId="{E03C7B2D-A188-44C6-9D85-3DE1441DC872}" srcOrd="0" destOrd="0" presId="urn:microsoft.com/office/officeart/2011/layout/HexagonRadial"/>
    <dgm:cxn modelId="{2B5EFFB5-92D8-4A21-BE3A-56C1C4DF453F}" srcId="{698F9061-F353-4E79-B313-EDC16626574F}" destId="{275FCAB2-0486-44AF-B54C-B048E95492F9}" srcOrd="0" destOrd="0" parTransId="{0BEACD79-36B4-4D6C-8C87-1BA91727CD2A}" sibTransId="{62181C61-8891-47E5-AC94-132B5C3FBA78}"/>
    <dgm:cxn modelId="{3798D3BC-8D3A-41A9-9ACC-5132922B0152}" type="presOf" srcId="{5463208A-BAF2-4245-93C1-60ED8D3EADA4}" destId="{2F2FB52E-7321-447C-AAF9-A8FACD9DC030}" srcOrd="0" destOrd="0" presId="urn:microsoft.com/office/officeart/2011/layout/HexagonRadial"/>
    <dgm:cxn modelId="{49BB29DE-0862-4626-B1D0-6C46DB726BCB}" srcId="{275FCAB2-0486-44AF-B54C-B048E95492F9}" destId="{42CA05CC-4486-4A69-B8F3-B712658191DA}" srcOrd="0" destOrd="0" parTransId="{DE639991-5E92-4DF5-A861-9CCFC3EC5154}" sibTransId="{89406BBB-52B6-485E-B327-8CA956533D97}"/>
    <dgm:cxn modelId="{72394497-DDE4-43AA-95D3-EA7C4A085035}" type="presParOf" srcId="{549D0A07-8FA5-46F3-8B6F-CA75302AAF50}" destId="{E09563D8-50F4-4C73-832A-E328DB227C49}" srcOrd="0" destOrd="0" presId="urn:microsoft.com/office/officeart/2011/layout/HexagonRadial"/>
    <dgm:cxn modelId="{D83B5E4C-069E-4B5B-B12E-256CDECFF4DE}" type="presParOf" srcId="{549D0A07-8FA5-46F3-8B6F-CA75302AAF50}" destId="{25C91779-4FC6-408C-85F7-B3FCF69F458D}" srcOrd="1" destOrd="0" presId="urn:microsoft.com/office/officeart/2011/layout/HexagonRadial"/>
    <dgm:cxn modelId="{46CDCE2E-B7D0-4B34-B2E6-8D7ADFBA9431}" type="presParOf" srcId="{25C91779-4FC6-408C-85F7-B3FCF69F458D}" destId="{7A4B1E2A-59BB-47C5-B697-F03AE748DA67}" srcOrd="0" destOrd="0" presId="urn:microsoft.com/office/officeart/2011/layout/HexagonRadial"/>
    <dgm:cxn modelId="{4A68D05C-6F69-476D-AB84-2C1172FEB3B4}" type="presParOf" srcId="{549D0A07-8FA5-46F3-8B6F-CA75302AAF50}" destId="{02F2FA74-2B23-4F3A-B4B5-EBE862F78ADD}" srcOrd="2" destOrd="0" presId="urn:microsoft.com/office/officeart/2011/layout/HexagonRadial"/>
    <dgm:cxn modelId="{7976C7A6-3E58-4CC5-B060-C23F0C3B12FD}" type="presParOf" srcId="{549D0A07-8FA5-46F3-8B6F-CA75302AAF50}" destId="{00068FB9-FFB8-47A3-9836-7EFE0B94F198}" srcOrd="3" destOrd="0" presId="urn:microsoft.com/office/officeart/2011/layout/HexagonRadial"/>
    <dgm:cxn modelId="{0F18B1BD-CC11-4E46-A5E5-2F4AF5C78A3F}" type="presParOf" srcId="{00068FB9-FFB8-47A3-9836-7EFE0B94F198}" destId="{DE161483-EA3B-41EC-946F-FE437DADA688}" srcOrd="0" destOrd="0" presId="urn:microsoft.com/office/officeart/2011/layout/HexagonRadial"/>
    <dgm:cxn modelId="{D50A1D46-441C-4833-9F3B-6EE8C09F06A6}" type="presParOf" srcId="{549D0A07-8FA5-46F3-8B6F-CA75302AAF50}" destId="{E03C7B2D-A188-44C6-9D85-3DE1441DC872}" srcOrd="4" destOrd="0" presId="urn:microsoft.com/office/officeart/2011/layout/HexagonRadial"/>
    <dgm:cxn modelId="{8C88B4A7-EAC9-48FF-9D26-E6BDEB5EE0B0}" type="presParOf" srcId="{549D0A07-8FA5-46F3-8B6F-CA75302AAF50}" destId="{4123A4AC-36F8-40D0-B8A1-475F8A9D79E9}" srcOrd="5" destOrd="0" presId="urn:microsoft.com/office/officeart/2011/layout/HexagonRadial"/>
    <dgm:cxn modelId="{F613F447-C586-4ACD-A6D8-A7528B9C8986}" type="presParOf" srcId="{4123A4AC-36F8-40D0-B8A1-475F8A9D79E9}" destId="{0B963DD4-2F47-4125-ABAE-B30FF83230EB}" srcOrd="0" destOrd="0" presId="urn:microsoft.com/office/officeart/2011/layout/HexagonRadial"/>
    <dgm:cxn modelId="{16185CBC-6842-4AF5-AD0C-0DE82B35AB97}" type="presParOf" srcId="{549D0A07-8FA5-46F3-8B6F-CA75302AAF50}" destId="{83BEB76F-23D6-40E1-9677-BA7DB9B1FA8C}" srcOrd="6" destOrd="0" presId="urn:microsoft.com/office/officeart/2011/layout/HexagonRadial"/>
    <dgm:cxn modelId="{FF63155A-C094-4030-AF4E-7E87E1A3CBCC}" type="presParOf" srcId="{549D0A07-8FA5-46F3-8B6F-CA75302AAF50}" destId="{7DAFF0D8-40FF-4D90-83A7-46EA6FEB0E6F}" srcOrd="7" destOrd="0" presId="urn:microsoft.com/office/officeart/2011/layout/HexagonRadial"/>
    <dgm:cxn modelId="{BA6AF980-8138-476A-A8F7-F4D77734C3DE}" type="presParOf" srcId="{7DAFF0D8-40FF-4D90-83A7-46EA6FEB0E6F}" destId="{250E8B1D-363C-4997-BD33-70ECA838FC62}" srcOrd="0" destOrd="0" presId="urn:microsoft.com/office/officeart/2011/layout/HexagonRadial"/>
    <dgm:cxn modelId="{82703266-576B-4B5D-A73F-69F397E35251}" type="presParOf" srcId="{549D0A07-8FA5-46F3-8B6F-CA75302AAF50}" destId="{2F2FB52E-7321-447C-AAF9-A8FACD9DC030}" srcOrd="8" destOrd="0" presId="urn:microsoft.com/office/officeart/2011/layout/HexagonRadial"/>
    <dgm:cxn modelId="{AA758DA3-7185-4508-81E2-29B76BA7AD13}" type="presParOf" srcId="{549D0A07-8FA5-46F3-8B6F-CA75302AAF50}" destId="{A6AE8025-2AB7-489F-A234-828FD531FF91}" srcOrd="9" destOrd="0" presId="urn:microsoft.com/office/officeart/2011/layout/HexagonRadial"/>
    <dgm:cxn modelId="{BD2ADA3C-5BAA-416D-9C4B-1F7FF001DF26}" type="presParOf" srcId="{A6AE8025-2AB7-489F-A234-828FD531FF91}" destId="{A8076EE2-1620-4CEC-9FC8-D5F7C61DB452}" srcOrd="0" destOrd="0" presId="urn:microsoft.com/office/officeart/2011/layout/HexagonRadial"/>
    <dgm:cxn modelId="{818874F4-7DA3-48AD-BF44-AB4860262C81}" type="presParOf" srcId="{549D0A07-8FA5-46F3-8B6F-CA75302AAF50}" destId="{68F44CE4-EF6F-4E29-9A8E-961C55258E29}" srcOrd="10" destOrd="0" presId="urn:microsoft.com/office/officeart/2011/layout/HexagonRadial"/>
    <dgm:cxn modelId="{E91BAAA6-315C-451F-A967-44BBF1F83FB3}" type="presParOf" srcId="{549D0A07-8FA5-46F3-8B6F-CA75302AAF50}" destId="{6627ABE5-4B3C-436C-B235-1BA6B9914361}" srcOrd="11" destOrd="0" presId="urn:microsoft.com/office/officeart/2011/layout/HexagonRadial"/>
    <dgm:cxn modelId="{4974E4C9-FB85-42A2-BC88-F8A34ED3A3F8}" type="presParOf" srcId="{6627ABE5-4B3C-436C-B235-1BA6B9914361}" destId="{91B568AD-02AD-41A0-856B-C2FCB5F3A80C}" srcOrd="0" destOrd="0" presId="urn:microsoft.com/office/officeart/2011/layout/HexagonRadial"/>
    <dgm:cxn modelId="{234A91F9-97C2-4ADA-B319-BF5BDBBD08DA}" type="presParOf" srcId="{549D0A07-8FA5-46F3-8B6F-CA75302AAF50}" destId="{6627CAC6-54D9-45C5-9F47-3004B6D7D24E}"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9563D8-50F4-4C73-832A-E328DB227C49}">
      <dsp:nvSpPr>
        <dsp:cNvPr id="0" name=""/>
        <dsp:cNvSpPr/>
      </dsp:nvSpPr>
      <dsp:spPr>
        <a:xfrm>
          <a:off x="2211951" y="1135913"/>
          <a:ext cx="1443796" cy="124894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PESTEL</a:t>
          </a:r>
        </a:p>
      </dsp:txBody>
      <dsp:txXfrm>
        <a:off x="2451208" y="1342880"/>
        <a:ext cx="965282" cy="835007"/>
      </dsp:txXfrm>
    </dsp:sp>
    <dsp:sp modelId="{DE161483-EA3B-41EC-946F-FE437DADA688}">
      <dsp:nvSpPr>
        <dsp:cNvPr id="0" name=""/>
        <dsp:cNvSpPr/>
      </dsp:nvSpPr>
      <dsp:spPr>
        <a:xfrm>
          <a:off x="3116045" y="538379"/>
          <a:ext cx="544739" cy="46936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2F2FA74-2B23-4F3A-B4B5-EBE862F78ADD}">
      <dsp:nvSpPr>
        <dsp:cNvPr id="0" name=""/>
        <dsp:cNvSpPr/>
      </dsp:nvSpPr>
      <dsp:spPr>
        <a:xfrm>
          <a:off x="2344946" y="0"/>
          <a:ext cx="1183180" cy="102359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bg1"/>
              </a:solidFill>
              <a:latin typeface="Arial" panose="020B0604020202020204" pitchFamily="34" charset="0"/>
              <a:cs typeface="Arial" panose="020B0604020202020204" pitchFamily="34" charset="0"/>
            </a:rPr>
            <a:t>Political</a:t>
          </a:r>
        </a:p>
      </dsp:txBody>
      <dsp:txXfrm>
        <a:off x="2541024" y="169631"/>
        <a:ext cx="791024" cy="684328"/>
      </dsp:txXfrm>
    </dsp:sp>
    <dsp:sp modelId="{0B963DD4-2F47-4125-ABAE-B30FF83230EB}">
      <dsp:nvSpPr>
        <dsp:cNvPr id="0" name=""/>
        <dsp:cNvSpPr/>
      </dsp:nvSpPr>
      <dsp:spPr>
        <a:xfrm>
          <a:off x="3751799" y="1415843"/>
          <a:ext cx="544739" cy="46936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03C7B2D-A188-44C6-9D85-3DE1441DC872}">
      <dsp:nvSpPr>
        <dsp:cNvPr id="0" name=""/>
        <dsp:cNvSpPr/>
      </dsp:nvSpPr>
      <dsp:spPr>
        <a:xfrm>
          <a:off x="3430059" y="629576"/>
          <a:ext cx="1183180" cy="102359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bg1"/>
              </a:solidFill>
              <a:latin typeface="Arial" panose="020B0604020202020204" pitchFamily="34" charset="0"/>
              <a:cs typeface="Arial" panose="020B0604020202020204" pitchFamily="34" charset="0"/>
            </a:rPr>
            <a:t>Economical</a:t>
          </a:r>
        </a:p>
      </dsp:txBody>
      <dsp:txXfrm>
        <a:off x="3626137" y="799207"/>
        <a:ext cx="791024" cy="684328"/>
      </dsp:txXfrm>
    </dsp:sp>
    <dsp:sp modelId="{250E8B1D-363C-4997-BD33-70ECA838FC62}">
      <dsp:nvSpPr>
        <dsp:cNvPr id="0" name=""/>
        <dsp:cNvSpPr/>
      </dsp:nvSpPr>
      <dsp:spPr>
        <a:xfrm>
          <a:off x="3310163" y="2406334"/>
          <a:ext cx="544739" cy="46936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3BEB76F-23D6-40E1-9677-BA7DB9B1FA8C}">
      <dsp:nvSpPr>
        <dsp:cNvPr id="0" name=""/>
        <dsp:cNvSpPr/>
      </dsp:nvSpPr>
      <dsp:spPr>
        <a:xfrm>
          <a:off x="3430059" y="1867250"/>
          <a:ext cx="1183180" cy="102359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bg1"/>
              </a:solidFill>
              <a:latin typeface="Arial" panose="020B0604020202020204" pitchFamily="34" charset="0"/>
              <a:cs typeface="Arial" panose="020B0604020202020204" pitchFamily="34" charset="0"/>
            </a:rPr>
            <a:t>Social</a:t>
          </a:r>
        </a:p>
      </dsp:txBody>
      <dsp:txXfrm>
        <a:off x="3626137" y="2036881"/>
        <a:ext cx="791024" cy="684328"/>
      </dsp:txXfrm>
    </dsp:sp>
    <dsp:sp modelId="{A8076EE2-1620-4CEC-9FC8-D5F7C61DB452}">
      <dsp:nvSpPr>
        <dsp:cNvPr id="0" name=""/>
        <dsp:cNvSpPr/>
      </dsp:nvSpPr>
      <dsp:spPr>
        <a:xfrm>
          <a:off x="2214638" y="2509151"/>
          <a:ext cx="544739" cy="46936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2FB52E-7321-447C-AAF9-A8FACD9DC030}">
      <dsp:nvSpPr>
        <dsp:cNvPr id="0" name=""/>
        <dsp:cNvSpPr/>
      </dsp:nvSpPr>
      <dsp:spPr>
        <a:xfrm>
          <a:off x="2344946" y="2497531"/>
          <a:ext cx="1183180" cy="102359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bg1"/>
              </a:solidFill>
              <a:latin typeface="Arial" panose="020B0604020202020204" pitchFamily="34" charset="0"/>
              <a:cs typeface="Arial" panose="020B0604020202020204" pitchFamily="34" charset="0"/>
            </a:rPr>
            <a:t>Technological</a:t>
          </a:r>
        </a:p>
      </dsp:txBody>
      <dsp:txXfrm>
        <a:off x="2541024" y="2667162"/>
        <a:ext cx="791024" cy="684328"/>
      </dsp:txXfrm>
    </dsp:sp>
    <dsp:sp modelId="{91B568AD-02AD-41A0-856B-C2FCB5F3A80C}">
      <dsp:nvSpPr>
        <dsp:cNvPr id="0" name=""/>
        <dsp:cNvSpPr/>
      </dsp:nvSpPr>
      <dsp:spPr>
        <a:xfrm>
          <a:off x="1568473" y="1632040"/>
          <a:ext cx="544739" cy="46936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8F44CE4-EF6F-4E29-9A8E-961C55258E29}">
      <dsp:nvSpPr>
        <dsp:cNvPr id="0" name=""/>
        <dsp:cNvSpPr/>
      </dsp:nvSpPr>
      <dsp:spPr>
        <a:xfrm>
          <a:off x="1254794" y="1867955"/>
          <a:ext cx="1183180" cy="102359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bg1"/>
              </a:solidFill>
              <a:latin typeface="Arial" panose="020B0604020202020204" pitchFamily="34" charset="0"/>
              <a:cs typeface="Arial" panose="020B0604020202020204" pitchFamily="34" charset="0"/>
            </a:rPr>
            <a:t>Environmental</a:t>
          </a:r>
        </a:p>
      </dsp:txBody>
      <dsp:txXfrm>
        <a:off x="1450872" y="2037586"/>
        <a:ext cx="791024" cy="684328"/>
      </dsp:txXfrm>
    </dsp:sp>
    <dsp:sp modelId="{6627CAC6-54D9-45C5-9F47-3004B6D7D24E}">
      <dsp:nvSpPr>
        <dsp:cNvPr id="0" name=""/>
        <dsp:cNvSpPr/>
      </dsp:nvSpPr>
      <dsp:spPr>
        <a:xfrm>
          <a:off x="1254794" y="628168"/>
          <a:ext cx="1183180" cy="102359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bg1"/>
              </a:solidFill>
              <a:latin typeface="Arial" panose="020B0604020202020204" pitchFamily="34" charset="0"/>
              <a:cs typeface="Arial" panose="020B0604020202020204" pitchFamily="34" charset="0"/>
            </a:rPr>
            <a:t>Legal</a:t>
          </a:r>
        </a:p>
      </dsp:txBody>
      <dsp:txXfrm>
        <a:off x="1450872" y="797799"/>
        <a:ext cx="791024" cy="68432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33</Pages>
  <Words>8730</Words>
  <Characters>49763</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Kartik Raval</cp:lastModifiedBy>
  <cp:revision>3</cp:revision>
  <dcterms:created xsi:type="dcterms:W3CDTF">2026-08-12T10:57:00Z</dcterms:created>
  <dcterms:modified xsi:type="dcterms:W3CDTF">2026-08-12T18:55:00Z</dcterms:modified>
</cp:coreProperties>
</file>