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22A6E" w14:textId="77777777" w:rsidR="00171EC0" w:rsidRDefault="00171EC0" w:rsidP="007F0CD6">
      <w:pPr>
        <w:pStyle w:val="Heading3"/>
        <w:jc w:val="center"/>
        <w:rPr>
          <w:b/>
          <w:bCs/>
          <w:sz w:val="28"/>
          <w:szCs w:val="28"/>
          <w:lang w:val="en-GB"/>
        </w:rPr>
      </w:pPr>
    </w:p>
    <w:p w14:paraId="6779B2BD" w14:textId="77777777" w:rsidR="00171EC0" w:rsidRDefault="00171EC0" w:rsidP="007F0CD6">
      <w:pPr>
        <w:pStyle w:val="Heading3"/>
        <w:jc w:val="center"/>
        <w:rPr>
          <w:b/>
          <w:bCs/>
          <w:sz w:val="28"/>
          <w:szCs w:val="28"/>
          <w:lang w:val="en-GB"/>
        </w:rPr>
      </w:pPr>
    </w:p>
    <w:p w14:paraId="3EAE8A63" w14:textId="77777777" w:rsidR="00D15D7B" w:rsidRDefault="00D15D7B" w:rsidP="00D15D7B">
      <w:pPr>
        <w:rPr>
          <w:lang w:val="en-GB" w:bidi="en-US"/>
        </w:rPr>
      </w:pPr>
    </w:p>
    <w:p w14:paraId="1AB8CB25" w14:textId="77777777" w:rsidR="00D15D7B" w:rsidRDefault="00D15D7B" w:rsidP="00D15D7B">
      <w:pPr>
        <w:rPr>
          <w:lang w:val="en-GB" w:bidi="en-US"/>
        </w:rPr>
      </w:pPr>
    </w:p>
    <w:p w14:paraId="0833C16C" w14:textId="77777777" w:rsidR="00D15D7B" w:rsidRDefault="00D15D7B" w:rsidP="00D15D7B">
      <w:pPr>
        <w:rPr>
          <w:lang w:val="en-GB" w:bidi="en-US"/>
        </w:rPr>
      </w:pPr>
    </w:p>
    <w:p w14:paraId="6101956E" w14:textId="77777777" w:rsidR="00D15D7B" w:rsidRDefault="00D15D7B" w:rsidP="00D15D7B">
      <w:pPr>
        <w:rPr>
          <w:lang w:val="en-GB" w:bidi="en-US"/>
        </w:rPr>
      </w:pPr>
    </w:p>
    <w:p w14:paraId="505CE062" w14:textId="77777777" w:rsidR="00D15D7B" w:rsidRDefault="00D15D7B" w:rsidP="00D15D7B">
      <w:pPr>
        <w:rPr>
          <w:lang w:val="en-GB" w:bidi="en-US"/>
        </w:rPr>
      </w:pPr>
    </w:p>
    <w:p w14:paraId="57DF81C5" w14:textId="77777777" w:rsidR="00D15D7B" w:rsidRPr="00D15D7B" w:rsidRDefault="00D15D7B" w:rsidP="00D15D7B">
      <w:pPr>
        <w:rPr>
          <w:lang w:val="en-GB" w:bidi="en-US"/>
        </w:rPr>
      </w:pPr>
    </w:p>
    <w:p w14:paraId="50963A00" w14:textId="1D3CB266" w:rsidR="00171EC0" w:rsidRPr="00D15D7B" w:rsidRDefault="00974988" w:rsidP="004F3521">
      <w:pPr>
        <w:pStyle w:val="Heading3"/>
        <w:jc w:val="center"/>
        <w:rPr>
          <w:b/>
          <w:bCs/>
          <w:sz w:val="36"/>
          <w:szCs w:val="36"/>
          <w:lang w:val="en-GB"/>
        </w:rPr>
      </w:pPr>
      <w:r w:rsidRPr="00D15D7B">
        <w:rPr>
          <w:b/>
          <w:bCs/>
          <w:sz w:val="36"/>
          <w:szCs w:val="36"/>
          <w:lang w:val="en-GB"/>
        </w:rPr>
        <w:t>BA Business Management</w:t>
      </w:r>
    </w:p>
    <w:p w14:paraId="4C3AE41F" w14:textId="3C94A901" w:rsidR="00171EC0" w:rsidRPr="00D15D7B" w:rsidRDefault="00974988" w:rsidP="007F0CD6">
      <w:pPr>
        <w:pStyle w:val="Heading3"/>
        <w:jc w:val="center"/>
        <w:rPr>
          <w:b/>
          <w:bCs/>
          <w:sz w:val="36"/>
          <w:szCs w:val="36"/>
          <w:lang w:val="en-GB"/>
        </w:rPr>
      </w:pPr>
      <w:r w:rsidRPr="00D15D7B">
        <w:rPr>
          <w:b/>
          <w:bCs/>
          <w:sz w:val="36"/>
          <w:szCs w:val="36"/>
          <w:lang w:val="en-GB"/>
        </w:rPr>
        <w:t>Introducing the Modern Workplace</w:t>
      </w:r>
    </w:p>
    <w:p w14:paraId="7A891618" w14:textId="1272F002" w:rsidR="00171EC0" w:rsidRPr="00D15D7B" w:rsidRDefault="004F3521" w:rsidP="007F0CD6">
      <w:pPr>
        <w:pStyle w:val="Heading3"/>
        <w:jc w:val="center"/>
        <w:rPr>
          <w:b/>
          <w:bCs/>
          <w:sz w:val="36"/>
          <w:szCs w:val="36"/>
          <w:lang w:val="en-GB"/>
        </w:rPr>
      </w:pPr>
      <w:r w:rsidRPr="00D15D7B">
        <w:rPr>
          <w:b/>
          <w:bCs/>
          <w:sz w:val="36"/>
          <w:szCs w:val="36"/>
          <w:lang w:val="en-GB"/>
        </w:rPr>
        <w:t>LCBB4003</w:t>
      </w:r>
    </w:p>
    <w:p w14:paraId="3D8A97C1" w14:textId="77777777" w:rsidR="00171EC0" w:rsidRDefault="00171EC0" w:rsidP="007F0CD6">
      <w:pPr>
        <w:pStyle w:val="Heading3"/>
        <w:jc w:val="center"/>
        <w:rPr>
          <w:b/>
          <w:bCs/>
          <w:sz w:val="28"/>
          <w:szCs w:val="28"/>
          <w:lang w:val="en-GB"/>
        </w:rPr>
      </w:pPr>
    </w:p>
    <w:p w14:paraId="799F7A08" w14:textId="77777777" w:rsidR="00171EC0" w:rsidRDefault="00171EC0" w:rsidP="007F0CD6">
      <w:pPr>
        <w:pStyle w:val="Heading3"/>
        <w:jc w:val="center"/>
        <w:rPr>
          <w:b/>
          <w:bCs/>
          <w:sz w:val="28"/>
          <w:szCs w:val="28"/>
          <w:lang w:val="en-GB"/>
        </w:rPr>
      </w:pPr>
    </w:p>
    <w:p w14:paraId="4CBB0D6B" w14:textId="77777777" w:rsidR="00171EC0" w:rsidRDefault="00171EC0" w:rsidP="007F0CD6">
      <w:pPr>
        <w:pStyle w:val="Heading3"/>
        <w:jc w:val="center"/>
        <w:rPr>
          <w:b/>
          <w:bCs/>
          <w:sz w:val="28"/>
          <w:szCs w:val="28"/>
          <w:lang w:val="en-GB"/>
        </w:rPr>
      </w:pPr>
    </w:p>
    <w:p w14:paraId="76DD1012" w14:textId="31FBC911" w:rsidR="00171EC0" w:rsidRDefault="00D15D7B" w:rsidP="00D15D7B">
      <w:pPr>
        <w:pStyle w:val="Heading3"/>
        <w:rPr>
          <w:b/>
          <w:bCs/>
          <w:sz w:val="28"/>
          <w:szCs w:val="28"/>
          <w:lang w:val="en-GB"/>
        </w:rPr>
      </w:pPr>
      <w:r w:rsidRPr="00D15D7B">
        <w:rPr>
          <w:b/>
          <w:bCs/>
          <w:sz w:val="28"/>
          <w:szCs w:val="28"/>
          <w:lang w:val="en-GB"/>
        </w:rPr>
        <w:t>Iulian Dumitru Filote-1920814</w:t>
      </w:r>
    </w:p>
    <w:p w14:paraId="2BA3E221" w14:textId="77777777" w:rsidR="00171EC0" w:rsidRDefault="00171EC0" w:rsidP="00171EC0">
      <w:pPr>
        <w:rPr>
          <w:lang w:val="en-GB"/>
        </w:rPr>
      </w:pPr>
    </w:p>
    <w:p w14:paraId="3AB57B40" w14:textId="77777777" w:rsidR="00D15D7B" w:rsidRDefault="00D15D7B" w:rsidP="00171EC0">
      <w:pPr>
        <w:rPr>
          <w:lang w:val="en-GB"/>
        </w:rPr>
      </w:pPr>
    </w:p>
    <w:p w14:paraId="1D27E81D" w14:textId="77777777" w:rsidR="00D15D7B" w:rsidRDefault="00D15D7B" w:rsidP="00171EC0">
      <w:pPr>
        <w:rPr>
          <w:lang w:val="en-GB"/>
        </w:rPr>
      </w:pPr>
    </w:p>
    <w:p w14:paraId="6A676B7A" w14:textId="77777777" w:rsidR="00D15D7B" w:rsidRDefault="00D15D7B" w:rsidP="00171EC0">
      <w:pPr>
        <w:rPr>
          <w:lang w:val="en-GB"/>
        </w:rPr>
      </w:pPr>
    </w:p>
    <w:p w14:paraId="5007A366" w14:textId="77777777" w:rsidR="00D15D7B" w:rsidRDefault="00D15D7B" w:rsidP="00171EC0">
      <w:pPr>
        <w:rPr>
          <w:lang w:val="en-GB"/>
        </w:rPr>
      </w:pPr>
    </w:p>
    <w:p w14:paraId="3B0272BF" w14:textId="77777777" w:rsidR="00D15D7B" w:rsidRDefault="00D15D7B" w:rsidP="00171EC0">
      <w:pPr>
        <w:rPr>
          <w:lang w:val="en-GB"/>
        </w:rPr>
      </w:pPr>
    </w:p>
    <w:p w14:paraId="531ACF44" w14:textId="77777777" w:rsidR="00D15D7B" w:rsidRDefault="00D15D7B" w:rsidP="00171EC0">
      <w:pPr>
        <w:rPr>
          <w:lang w:val="en-GB"/>
        </w:rPr>
      </w:pPr>
    </w:p>
    <w:p w14:paraId="5B825C28" w14:textId="77777777" w:rsidR="00D15D7B" w:rsidRDefault="00D15D7B" w:rsidP="00171EC0">
      <w:pPr>
        <w:rPr>
          <w:lang w:val="en-GB"/>
        </w:rPr>
      </w:pPr>
    </w:p>
    <w:p w14:paraId="796C151E" w14:textId="77777777" w:rsidR="00D15D7B" w:rsidRDefault="00D15D7B" w:rsidP="00171EC0">
      <w:pPr>
        <w:rPr>
          <w:lang w:val="en-GB"/>
        </w:rPr>
      </w:pPr>
    </w:p>
    <w:p w14:paraId="566F6E15" w14:textId="77777777" w:rsidR="00D15D7B" w:rsidRDefault="00D15D7B" w:rsidP="00171EC0">
      <w:pPr>
        <w:rPr>
          <w:lang w:val="en-GB"/>
        </w:rPr>
      </w:pPr>
    </w:p>
    <w:p w14:paraId="07A63E4A" w14:textId="77777777" w:rsidR="00D15D7B" w:rsidRDefault="00D15D7B" w:rsidP="00171EC0">
      <w:pPr>
        <w:rPr>
          <w:lang w:val="en-GB"/>
        </w:rPr>
      </w:pPr>
    </w:p>
    <w:p w14:paraId="7ACE022B" w14:textId="77777777" w:rsidR="00D15D7B" w:rsidRDefault="00D15D7B" w:rsidP="00171EC0">
      <w:pPr>
        <w:rPr>
          <w:lang w:val="en-GB"/>
        </w:rPr>
      </w:pPr>
    </w:p>
    <w:p w14:paraId="52CC4B89" w14:textId="77777777" w:rsidR="00D15D7B" w:rsidRDefault="00D15D7B" w:rsidP="00171EC0">
      <w:pPr>
        <w:rPr>
          <w:lang w:val="en-GB"/>
        </w:rPr>
      </w:pPr>
    </w:p>
    <w:p w14:paraId="58E1210F" w14:textId="77777777" w:rsidR="00D15D7B" w:rsidRDefault="00D15D7B" w:rsidP="00171EC0">
      <w:pPr>
        <w:rPr>
          <w:lang w:val="en-GB"/>
        </w:rPr>
      </w:pPr>
    </w:p>
    <w:p w14:paraId="7BF56EE5" w14:textId="77777777" w:rsidR="00D15D7B" w:rsidRDefault="00D15D7B" w:rsidP="00171EC0">
      <w:pPr>
        <w:rPr>
          <w:lang w:val="en-GB"/>
        </w:rPr>
      </w:pPr>
    </w:p>
    <w:p w14:paraId="1897E6E3" w14:textId="77777777" w:rsidR="00D15D7B" w:rsidRDefault="00D15D7B" w:rsidP="00171EC0">
      <w:pPr>
        <w:rPr>
          <w:lang w:val="en-GB"/>
        </w:rPr>
      </w:pPr>
    </w:p>
    <w:p w14:paraId="7B1F80CB" w14:textId="77777777" w:rsidR="00D15D7B" w:rsidRDefault="00D15D7B" w:rsidP="00171EC0">
      <w:pPr>
        <w:rPr>
          <w:lang w:val="en-GB"/>
        </w:rPr>
      </w:pPr>
    </w:p>
    <w:p w14:paraId="393EC681" w14:textId="77777777" w:rsidR="00D15D7B" w:rsidRDefault="00D15D7B" w:rsidP="00171EC0">
      <w:pPr>
        <w:rPr>
          <w:lang w:val="en-GB"/>
        </w:rPr>
      </w:pPr>
    </w:p>
    <w:sdt>
      <w:sdtPr>
        <w:id w:val="-828363128"/>
        <w:docPartObj>
          <w:docPartGallery w:val="Table of Contents"/>
          <w:docPartUnique/>
        </w:docPartObj>
      </w:sdtPr>
      <w:sdtEndPr>
        <w:rPr>
          <w:b/>
          <w:bCs/>
          <w:smallCaps w:val="0"/>
          <w:noProof/>
          <w:spacing w:val="0"/>
          <w:sz w:val="22"/>
          <w:szCs w:val="22"/>
          <w:lang w:bidi="ar-SA"/>
        </w:rPr>
      </w:sdtEndPr>
      <w:sdtContent>
        <w:p w14:paraId="3AD0D9A5" w14:textId="06B84C37" w:rsidR="00171EC0" w:rsidRDefault="00171EC0">
          <w:pPr>
            <w:pStyle w:val="TOCHeading"/>
          </w:pPr>
          <w:r>
            <w:t>Table of Contents</w:t>
          </w:r>
        </w:p>
        <w:p w14:paraId="2FE157FA" w14:textId="6F479E17" w:rsidR="00171EC0" w:rsidRDefault="00171EC0">
          <w:pPr>
            <w:pStyle w:val="TOC3"/>
            <w:tabs>
              <w:tab w:val="right" w:leader="dot" w:pos="9350"/>
            </w:tabs>
            <w:rPr>
              <w:noProof/>
            </w:rPr>
          </w:pPr>
          <w:r>
            <w:fldChar w:fldCharType="begin"/>
          </w:r>
          <w:r>
            <w:instrText xml:space="preserve"> TOC \o "1-3" \h \z \u </w:instrText>
          </w:r>
          <w:r>
            <w:fldChar w:fldCharType="separate"/>
          </w:r>
          <w:hyperlink w:anchor="_Toc150631383" w:history="1">
            <w:r w:rsidRPr="000D6475">
              <w:rPr>
                <w:rStyle w:val="Hyperlink"/>
                <w:b/>
                <w:bCs/>
                <w:noProof/>
                <w:lang w:val="en-GB"/>
              </w:rPr>
              <w:t>1.Introduction</w:t>
            </w:r>
            <w:r>
              <w:rPr>
                <w:noProof/>
                <w:webHidden/>
              </w:rPr>
              <w:tab/>
            </w:r>
            <w:r>
              <w:rPr>
                <w:noProof/>
                <w:webHidden/>
              </w:rPr>
              <w:fldChar w:fldCharType="begin"/>
            </w:r>
            <w:r>
              <w:rPr>
                <w:noProof/>
                <w:webHidden/>
              </w:rPr>
              <w:instrText xml:space="preserve"> PAGEREF _Toc150631383 \h </w:instrText>
            </w:r>
            <w:r>
              <w:rPr>
                <w:noProof/>
                <w:webHidden/>
              </w:rPr>
            </w:r>
            <w:r>
              <w:rPr>
                <w:noProof/>
                <w:webHidden/>
              </w:rPr>
              <w:fldChar w:fldCharType="separate"/>
            </w:r>
            <w:r>
              <w:rPr>
                <w:noProof/>
                <w:webHidden/>
              </w:rPr>
              <w:t>1</w:t>
            </w:r>
            <w:r>
              <w:rPr>
                <w:noProof/>
                <w:webHidden/>
              </w:rPr>
              <w:fldChar w:fldCharType="end"/>
            </w:r>
          </w:hyperlink>
        </w:p>
        <w:p w14:paraId="72F8CCDC" w14:textId="7BAF6B6E" w:rsidR="00171EC0" w:rsidRDefault="00171EC0">
          <w:pPr>
            <w:pStyle w:val="TOC3"/>
            <w:tabs>
              <w:tab w:val="right" w:leader="dot" w:pos="9350"/>
            </w:tabs>
            <w:rPr>
              <w:noProof/>
            </w:rPr>
          </w:pPr>
          <w:hyperlink w:anchor="_Toc150631384" w:history="1">
            <w:r w:rsidRPr="000D6475">
              <w:rPr>
                <w:rStyle w:val="Hyperlink"/>
                <w:b/>
                <w:bCs/>
                <w:noProof/>
                <w:lang w:val="en-GB"/>
              </w:rPr>
              <w:t>Shell’s Organizational Structure</w:t>
            </w:r>
            <w:r>
              <w:rPr>
                <w:noProof/>
                <w:webHidden/>
              </w:rPr>
              <w:tab/>
            </w:r>
            <w:r>
              <w:rPr>
                <w:noProof/>
                <w:webHidden/>
              </w:rPr>
              <w:fldChar w:fldCharType="begin"/>
            </w:r>
            <w:r>
              <w:rPr>
                <w:noProof/>
                <w:webHidden/>
              </w:rPr>
              <w:instrText xml:space="preserve"> PAGEREF _Toc150631384 \h </w:instrText>
            </w:r>
            <w:r>
              <w:rPr>
                <w:noProof/>
                <w:webHidden/>
              </w:rPr>
            </w:r>
            <w:r>
              <w:rPr>
                <w:noProof/>
                <w:webHidden/>
              </w:rPr>
              <w:fldChar w:fldCharType="separate"/>
            </w:r>
            <w:r>
              <w:rPr>
                <w:noProof/>
                <w:webHidden/>
              </w:rPr>
              <w:t>2</w:t>
            </w:r>
            <w:r>
              <w:rPr>
                <w:noProof/>
                <w:webHidden/>
              </w:rPr>
              <w:fldChar w:fldCharType="end"/>
            </w:r>
          </w:hyperlink>
        </w:p>
        <w:p w14:paraId="4DD81938" w14:textId="03675B37" w:rsidR="00171EC0" w:rsidRDefault="00171EC0">
          <w:pPr>
            <w:pStyle w:val="TOC3"/>
            <w:tabs>
              <w:tab w:val="right" w:leader="dot" w:pos="9350"/>
            </w:tabs>
            <w:rPr>
              <w:noProof/>
            </w:rPr>
          </w:pPr>
          <w:hyperlink w:anchor="_Toc150631385" w:history="1">
            <w:r w:rsidRPr="000D6475">
              <w:rPr>
                <w:rStyle w:val="Hyperlink"/>
                <w:b/>
                <w:bCs/>
                <w:noProof/>
                <w:lang w:val="en-GB"/>
              </w:rPr>
              <w:t>Shell’s Corporate Culture</w:t>
            </w:r>
            <w:r>
              <w:rPr>
                <w:noProof/>
                <w:webHidden/>
              </w:rPr>
              <w:tab/>
            </w:r>
            <w:r>
              <w:rPr>
                <w:noProof/>
                <w:webHidden/>
              </w:rPr>
              <w:fldChar w:fldCharType="begin"/>
            </w:r>
            <w:r>
              <w:rPr>
                <w:noProof/>
                <w:webHidden/>
              </w:rPr>
              <w:instrText xml:space="preserve"> PAGEREF _Toc150631385 \h </w:instrText>
            </w:r>
            <w:r>
              <w:rPr>
                <w:noProof/>
                <w:webHidden/>
              </w:rPr>
            </w:r>
            <w:r>
              <w:rPr>
                <w:noProof/>
                <w:webHidden/>
              </w:rPr>
              <w:fldChar w:fldCharType="separate"/>
            </w:r>
            <w:r>
              <w:rPr>
                <w:noProof/>
                <w:webHidden/>
              </w:rPr>
              <w:t>3</w:t>
            </w:r>
            <w:r>
              <w:rPr>
                <w:noProof/>
                <w:webHidden/>
              </w:rPr>
              <w:fldChar w:fldCharType="end"/>
            </w:r>
          </w:hyperlink>
        </w:p>
        <w:p w14:paraId="764C5893" w14:textId="0C9A7F38" w:rsidR="00171EC0" w:rsidRDefault="00171EC0">
          <w:pPr>
            <w:pStyle w:val="TOC3"/>
            <w:tabs>
              <w:tab w:val="right" w:leader="dot" w:pos="9350"/>
            </w:tabs>
            <w:rPr>
              <w:noProof/>
            </w:rPr>
          </w:pPr>
          <w:hyperlink w:anchor="_Toc150631386" w:history="1">
            <w:r w:rsidRPr="000D6475">
              <w:rPr>
                <w:rStyle w:val="Hyperlink"/>
                <w:b/>
                <w:bCs/>
                <w:noProof/>
                <w:lang w:val="en-GB"/>
              </w:rPr>
              <w:t>Impact on Performance</w:t>
            </w:r>
            <w:r>
              <w:rPr>
                <w:noProof/>
                <w:webHidden/>
              </w:rPr>
              <w:tab/>
            </w:r>
            <w:r>
              <w:rPr>
                <w:noProof/>
                <w:webHidden/>
              </w:rPr>
              <w:fldChar w:fldCharType="begin"/>
            </w:r>
            <w:r>
              <w:rPr>
                <w:noProof/>
                <w:webHidden/>
              </w:rPr>
              <w:instrText xml:space="preserve"> PAGEREF _Toc150631386 \h </w:instrText>
            </w:r>
            <w:r>
              <w:rPr>
                <w:noProof/>
                <w:webHidden/>
              </w:rPr>
            </w:r>
            <w:r>
              <w:rPr>
                <w:noProof/>
                <w:webHidden/>
              </w:rPr>
              <w:fldChar w:fldCharType="separate"/>
            </w:r>
            <w:r>
              <w:rPr>
                <w:noProof/>
                <w:webHidden/>
              </w:rPr>
              <w:t>4</w:t>
            </w:r>
            <w:r>
              <w:rPr>
                <w:noProof/>
                <w:webHidden/>
              </w:rPr>
              <w:fldChar w:fldCharType="end"/>
            </w:r>
          </w:hyperlink>
        </w:p>
        <w:p w14:paraId="69EEFA6F" w14:textId="6A2F8DF0" w:rsidR="00171EC0" w:rsidRDefault="00171EC0">
          <w:pPr>
            <w:pStyle w:val="TOC1"/>
            <w:tabs>
              <w:tab w:val="right" w:leader="dot" w:pos="9350"/>
            </w:tabs>
            <w:rPr>
              <w:noProof/>
            </w:rPr>
          </w:pPr>
          <w:hyperlink w:anchor="_Toc150631387" w:history="1">
            <w:r w:rsidRPr="000D6475">
              <w:rPr>
                <w:rStyle w:val="Hyperlink"/>
                <w:b/>
                <w:bCs/>
                <w:noProof/>
                <w:lang w:val="en-GB"/>
              </w:rPr>
              <w:t>Employee Motivation</w:t>
            </w:r>
            <w:r>
              <w:rPr>
                <w:noProof/>
                <w:webHidden/>
              </w:rPr>
              <w:tab/>
            </w:r>
            <w:r>
              <w:rPr>
                <w:noProof/>
                <w:webHidden/>
              </w:rPr>
              <w:fldChar w:fldCharType="begin"/>
            </w:r>
            <w:r>
              <w:rPr>
                <w:noProof/>
                <w:webHidden/>
              </w:rPr>
              <w:instrText xml:space="preserve"> PAGEREF _Toc150631387 \h </w:instrText>
            </w:r>
            <w:r>
              <w:rPr>
                <w:noProof/>
                <w:webHidden/>
              </w:rPr>
            </w:r>
            <w:r>
              <w:rPr>
                <w:noProof/>
                <w:webHidden/>
              </w:rPr>
              <w:fldChar w:fldCharType="separate"/>
            </w:r>
            <w:r>
              <w:rPr>
                <w:noProof/>
                <w:webHidden/>
              </w:rPr>
              <w:t>5</w:t>
            </w:r>
            <w:r>
              <w:rPr>
                <w:noProof/>
                <w:webHidden/>
              </w:rPr>
              <w:fldChar w:fldCharType="end"/>
            </w:r>
          </w:hyperlink>
        </w:p>
        <w:p w14:paraId="100A580F" w14:textId="5244F344" w:rsidR="00171EC0" w:rsidRDefault="00171EC0">
          <w:pPr>
            <w:pStyle w:val="TOC3"/>
            <w:tabs>
              <w:tab w:val="right" w:leader="dot" w:pos="9350"/>
            </w:tabs>
            <w:rPr>
              <w:noProof/>
            </w:rPr>
          </w:pPr>
          <w:hyperlink w:anchor="_Toc150631388" w:history="1">
            <w:r w:rsidRPr="000D6475">
              <w:rPr>
                <w:rStyle w:val="Hyperlink"/>
                <w:b/>
                <w:bCs/>
                <w:noProof/>
                <w:lang w:val="en-GB"/>
              </w:rPr>
              <w:t>Conclusion</w:t>
            </w:r>
            <w:r>
              <w:rPr>
                <w:noProof/>
                <w:webHidden/>
              </w:rPr>
              <w:tab/>
            </w:r>
            <w:r>
              <w:rPr>
                <w:noProof/>
                <w:webHidden/>
              </w:rPr>
              <w:fldChar w:fldCharType="begin"/>
            </w:r>
            <w:r>
              <w:rPr>
                <w:noProof/>
                <w:webHidden/>
              </w:rPr>
              <w:instrText xml:space="preserve"> PAGEREF _Toc150631388 \h </w:instrText>
            </w:r>
            <w:r>
              <w:rPr>
                <w:noProof/>
                <w:webHidden/>
              </w:rPr>
            </w:r>
            <w:r>
              <w:rPr>
                <w:noProof/>
                <w:webHidden/>
              </w:rPr>
              <w:fldChar w:fldCharType="separate"/>
            </w:r>
            <w:r>
              <w:rPr>
                <w:noProof/>
                <w:webHidden/>
              </w:rPr>
              <w:t>6</w:t>
            </w:r>
            <w:r>
              <w:rPr>
                <w:noProof/>
                <w:webHidden/>
              </w:rPr>
              <w:fldChar w:fldCharType="end"/>
            </w:r>
          </w:hyperlink>
        </w:p>
        <w:p w14:paraId="77E0E1DB" w14:textId="7A8D186A" w:rsidR="00171EC0" w:rsidRDefault="00171EC0">
          <w:pPr>
            <w:pStyle w:val="TOC3"/>
            <w:tabs>
              <w:tab w:val="right" w:leader="dot" w:pos="9350"/>
            </w:tabs>
            <w:rPr>
              <w:noProof/>
            </w:rPr>
          </w:pPr>
          <w:hyperlink w:anchor="_Toc150631389" w:history="1">
            <w:r w:rsidRPr="000D6475">
              <w:rPr>
                <w:rStyle w:val="Hyperlink"/>
                <w:b/>
                <w:bCs/>
                <w:noProof/>
              </w:rPr>
              <w:t>References</w:t>
            </w:r>
            <w:r>
              <w:rPr>
                <w:noProof/>
                <w:webHidden/>
              </w:rPr>
              <w:tab/>
            </w:r>
            <w:r>
              <w:rPr>
                <w:noProof/>
                <w:webHidden/>
              </w:rPr>
              <w:fldChar w:fldCharType="begin"/>
            </w:r>
            <w:r>
              <w:rPr>
                <w:noProof/>
                <w:webHidden/>
              </w:rPr>
              <w:instrText xml:space="preserve"> PAGEREF _Toc150631389 \h </w:instrText>
            </w:r>
            <w:r>
              <w:rPr>
                <w:noProof/>
                <w:webHidden/>
              </w:rPr>
            </w:r>
            <w:r>
              <w:rPr>
                <w:noProof/>
                <w:webHidden/>
              </w:rPr>
              <w:fldChar w:fldCharType="separate"/>
            </w:r>
            <w:r>
              <w:rPr>
                <w:noProof/>
                <w:webHidden/>
              </w:rPr>
              <w:t>7</w:t>
            </w:r>
            <w:r>
              <w:rPr>
                <w:noProof/>
                <w:webHidden/>
              </w:rPr>
              <w:fldChar w:fldCharType="end"/>
            </w:r>
          </w:hyperlink>
        </w:p>
        <w:p w14:paraId="793A670E" w14:textId="11EE86DB" w:rsidR="00171EC0" w:rsidRDefault="00171EC0">
          <w:r>
            <w:rPr>
              <w:b/>
              <w:bCs/>
              <w:noProof/>
            </w:rPr>
            <w:fldChar w:fldCharType="end"/>
          </w:r>
        </w:p>
      </w:sdtContent>
    </w:sdt>
    <w:p w14:paraId="71018D94" w14:textId="77777777" w:rsidR="00171EC0" w:rsidRPr="00171EC0" w:rsidRDefault="00171EC0" w:rsidP="00171EC0">
      <w:pPr>
        <w:rPr>
          <w:lang w:val="en-GB"/>
        </w:rPr>
      </w:pPr>
    </w:p>
    <w:p w14:paraId="3923ED61" w14:textId="77777777" w:rsidR="00171EC0" w:rsidRDefault="00171EC0" w:rsidP="007F0CD6">
      <w:pPr>
        <w:pStyle w:val="Heading3"/>
        <w:jc w:val="center"/>
        <w:rPr>
          <w:b/>
          <w:bCs/>
          <w:sz w:val="28"/>
          <w:szCs w:val="28"/>
          <w:lang w:val="en-GB"/>
        </w:rPr>
      </w:pPr>
    </w:p>
    <w:p w14:paraId="3A504389" w14:textId="77777777" w:rsidR="00171EC0" w:rsidRDefault="00171EC0" w:rsidP="007F0CD6">
      <w:pPr>
        <w:pStyle w:val="Heading3"/>
        <w:jc w:val="center"/>
        <w:rPr>
          <w:b/>
          <w:bCs/>
          <w:sz w:val="28"/>
          <w:szCs w:val="28"/>
          <w:lang w:val="en-GB"/>
        </w:rPr>
      </w:pPr>
    </w:p>
    <w:p w14:paraId="6F154DA6" w14:textId="77777777" w:rsidR="00171EC0" w:rsidRDefault="00171EC0" w:rsidP="007F0CD6">
      <w:pPr>
        <w:pStyle w:val="Heading3"/>
        <w:jc w:val="center"/>
        <w:rPr>
          <w:b/>
          <w:bCs/>
          <w:sz w:val="28"/>
          <w:szCs w:val="28"/>
          <w:lang w:val="en-GB"/>
        </w:rPr>
      </w:pPr>
    </w:p>
    <w:p w14:paraId="77C42F4A" w14:textId="77777777" w:rsidR="00171EC0" w:rsidRDefault="00171EC0" w:rsidP="007F0CD6">
      <w:pPr>
        <w:pStyle w:val="Heading3"/>
        <w:jc w:val="center"/>
        <w:rPr>
          <w:b/>
          <w:bCs/>
          <w:sz w:val="28"/>
          <w:szCs w:val="28"/>
          <w:lang w:val="en-GB"/>
        </w:rPr>
      </w:pPr>
    </w:p>
    <w:p w14:paraId="040C2B2E" w14:textId="77777777" w:rsidR="00D15D7B" w:rsidRDefault="00D15D7B" w:rsidP="007F0CD6">
      <w:pPr>
        <w:pStyle w:val="Heading3"/>
        <w:jc w:val="center"/>
        <w:rPr>
          <w:b/>
          <w:bCs/>
          <w:sz w:val="28"/>
          <w:szCs w:val="28"/>
          <w:lang w:val="en-GB"/>
        </w:rPr>
      </w:pPr>
      <w:bookmarkStart w:id="0" w:name="_Toc150631383"/>
    </w:p>
    <w:p w14:paraId="18B5B69C" w14:textId="77777777" w:rsidR="00D15D7B" w:rsidRDefault="00D15D7B" w:rsidP="007F0CD6">
      <w:pPr>
        <w:pStyle w:val="Heading3"/>
        <w:jc w:val="center"/>
        <w:rPr>
          <w:b/>
          <w:bCs/>
          <w:sz w:val="28"/>
          <w:szCs w:val="28"/>
          <w:lang w:val="en-GB"/>
        </w:rPr>
      </w:pPr>
    </w:p>
    <w:p w14:paraId="2E8AFB4D" w14:textId="77777777" w:rsidR="00D15D7B" w:rsidRDefault="00D15D7B" w:rsidP="007F0CD6">
      <w:pPr>
        <w:pStyle w:val="Heading3"/>
        <w:jc w:val="center"/>
        <w:rPr>
          <w:b/>
          <w:bCs/>
          <w:sz w:val="28"/>
          <w:szCs w:val="28"/>
          <w:lang w:val="en-GB"/>
        </w:rPr>
      </w:pPr>
    </w:p>
    <w:p w14:paraId="792E7503" w14:textId="77777777" w:rsidR="00D15D7B" w:rsidRDefault="00D15D7B" w:rsidP="007F0CD6">
      <w:pPr>
        <w:pStyle w:val="Heading3"/>
        <w:jc w:val="center"/>
        <w:rPr>
          <w:b/>
          <w:bCs/>
          <w:sz w:val="28"/>
          <w:szCs w:val="28"/>
          <w:lang w:val="en-GB"/>
        </w:rPr>
      </w:pPr>
    </w:p>
    <w:p w14:paraId="2AFEB1F6" w14:textId="77777777" w:rsidR="00D15D7B" w:rsidRDefault="00D15D7B" w:rsidP="007F0CD6">
      <w:pPr>
        <w:pStyle w:val="Heading3"/>
        <w:jc w:val="center"/>
        <w:rPr>
          <w:b/>
          <w:bCs/>
          <w:sz w:val="28"/>
          <w:szCs w:val="28"/>
          <w:lang w:val="en-GB"/>
        </w:rPr>
      </w:pPr>
    </w:p>
    <w:p w14:paraId="32FD8494" w14:textId="77777777" w:rsidR="00D15D7B" w:rsidRDefault="00D15D7B" w:rsidP="007F0CD6">
      <w:pPr>
        <w:pStyle w:val="Heading3"/>
        <w:jc w:val="center"/>
        <w:rPr>
          <w:b/>
          <w:bCs/>
          <w:sz w:val="28"/>
          <w:szCs w:val="28"/>
          <w:lang w:val="en-GB"/>
        </w:rPr>
      </w:pPr>
    </w:p>
    <w:p w14:paraId="41F64CE6" w14:textId="07FDE9C3" w:rsidR="002B0575" w:rsidRDefault="00570EEB" w:rsidP="007F0CD6">
      <w:pPr>
        <w:pStyle w:val="Heading3"/>
        <w:jc w:val="center"/>
        <w:rPr>
          <w:b/>
          <w:bCs/>
          <w:sz w:val="28"/>
          <w:szCs w:val="28"/>
          <w:lang w:val="en-GB"/>
        </w:rPr>
      </w:pPr>
      <w:r w:rsidRPr="007F0CD6">
        <w:rPr>
          <w:b/>
          <w:bCs/>
          <w:sz w:val="28"/>
          <w:szCs w:val="28"/>
          <w:lang w:val="en-GB"/>
        </w:rPr>
        <w:t>1.</w:t>
      </w:r>
      <w:r w:rsidR="002B0575" w:rsidRPr="007F0CD6">
        <w:rPr>
          <w:b/>
          <w:bCs/>
          <w:sz w:val="28"/>
          <w:szCs w:val="28"/>
          <w:lang w:val="en-GB"/>
        </w:rPr>
        <w:t>Introduction</w:t>
      </w:r>
      <w:bookmarkEnd w:id="0"/>
    </w:p>
    <w:p w14:paraId="2EDAE205" w14:textId="77777777" w:rsidR="007F0CD6" w:rsidRPr="007F0CD6" w:rsidRDefault="007F0CD6" w:rsidP="007F0CD6">
      <w:pPr>
        <w:rPr>
          <w:lang w:val="en-GB"/>
        </w:rPr>
      </w:pPr>
    </w:p>
    <w:p w14:paraId="5AD0F06F" w14:textId="77777777" w:rsidR="00570EEB" w:rsidRPr="00570EEB" w:rsidRDefault="00570EEB" w:rsidP="00570EEB">
      <w:pPr>
        <w:spacing w:line="360" w:lineRule="auto"/>
        <w:rPr>
          <w:sz w:val="24"/>
          <w:szCs w:val="24"/>
          <w:lang w:val="en-GB"/>
        </w:rPr>
      </w:pPr>
      <w:r w:rsidRPr="00570EEB">
        <w:rPr>
          <w:sz w:val="24"/>
          <w:szCs w:val="24"/>
          <w:lang w:val="en-GB"/>
        </w:rPr>
        <w:t xml:space="preserve">Royal Dutch Shell, a leading entity in the global energy and petrochemical sphere, epitomizes excellence in corporate organization and culture. This report aims to unravel the complexities of </w:t>
      </w:r>
      <w:r w:rsidRPr="00570EEB">
        <w:rPr>
          <w:sz w:val="24"/>
          <w:szCs w:val="24"/>
          <w:lang w:val="en-GB"/>
        </w:rPr>
        <w:lastRenderedPageBreak/>
        <w:t>Shell’s organizational structure and culture, shedding light on how they significantly influence the company's performance metrics and overall success.</w:t>
      </w:r>
    </w:p>
    <w:p w14:paraId="1CA4C4AB" w14:textId="77777777" w:rsidR="00570EEB" w:rsidRPr="00570EEB" w:rsidRDefault="00570EEB" w:rsidP="00570EEB">
      <w:pPr>
        <w:spacing w:line="360" w:lineRule="auto"/>
        <w:rPr>
          <w:sz w:val="24"/>
          <w:szCs w:val="24"/>
          <w:lang w:val="en-GB"/>
        </w:rPr>
      </w:pPr>
      <w:r w:rsidRPr="00570EEB">
        <w:rPr>
          <w:sz w:val="24"/>
          <w:szCs w:val="24"/>
          <w:lang w:val="en-GB"/>
        </w:rPr>
        <w:t>Shell's organizational framework is a testament to its adaptive strategies in a dynamic industry. According to Geert Hofstede's cultural dimensions theory, Shell exemplifies a blend of hierarchical and collaborative approaches, fostering a balance between structured decision-making and employee empowerment (Hofstede, 1980). This duality in structure is not just a reflection of Shell’s global presence but also a driver of its operational efficiency and strategic agility.</w:t>
      </w:r>
    </w:p>
    <w:p w14:paraId="78198EA3" w14:textId="217843AD" w:rsidR="00570EEB" w:rsidRPr="00570EEB" w:rsidRDefault="00570EEB" w:rsidP="00570EEB">
      <w:pPr>
        <w:spacing w:line="360" w:lineRule="auto"/>
        <w:rPr>
          <w:sz w:val="24"/>
          <w:szCs w:val="24"/>
          <w:lang w:val="en-GB"/>
        </w:rPr>
      </w:pPr>
      <w:r w:rsidRPr="00570EEB">
        <w:rPr>
          <w:sz w:val="24"/>
          <w:szCs w:val="24"/>
          <w:lang w:val="en-GB"/>
        </w:rPr>
        <w:t xml:space="preserve">The culture at Shell is deeply rooted in values of innovation, sustainability, and ethical responsibility. Schein (2010) emphasizes the importance of such a strong culture in shaping employee </w:t>
      </w:r>
      <w:r w:rsidRPr="00C92984">
        <w:rPr>
          <w:sz w:val="24"/>
          <w:szCs w:val="24"/>
          <w:lang w:val="en-GB"/>
        </w:rPr>
        <w:t>behaviour</w:t>
      </w:r>
      <w:r w:rsidRPr="00570EEB">
        <w:rPr>
          <w:sz w:val="24"/>
          <w:szCs w:val="24"/>
          <w:lang w:val="en-GB"/>
        </w:rPr>
        <w:t xml:space="preserve"> and aligning it with organizational goals. Shell's commitment to sustainability and ethical practices, for instance, resonates deeply within its workforce, creating a sense of shared purpose and direction.</w:t>
      </w:r>
    </w:p>
    <w:p w14:paraId="2A4DD431" w14:textId="77777777" w:rsidR="00570EEB" w:rsidRPr="007F0CD6" w:rsidRDefault="00570EEB" w:rsidP="00570EEB">
      <w:pPr>
        <w:rPr>
          <w:lang w:val="en-GB"/>
        </w:rPr>
      </w:pPr>
    </w:p>
    <w:p w14:paraId="5496BB75" w14:textId="77777777" w:rsidR="002B0575" w:rsidRDefault="002B0575" w:rsidP="007F0CD6">
      <w:pPr>
        <w:pStyle w:val="Heading3"/>
        <w:jc w:val="center"/>
        <w:rPr>
          <w:b/>
          <w:bCs/>
          <w:sz w:val="28"/>
          <w:szCs w:val="28"/>
          <w:lang w:val="en-GB"/>
        </w:rPr>
      </w:pPr>
      <w:bookmarkStart w:id="1" w:name="_Toc150631384"/>
      <w:r w:rsidRPr="007F0CD6">
        <w:rPr>
          <w:b/>
          <w:bCs/>
          <w:sz w:val="28"/>
          <w:szCs w:val="28"/>
          <w:lang w:val="en-GB"/>
        </w:rPr>
        <w:t>Shell’s Organizational Structure</w:t>
      </w:r>
      <w:bookmarkEnd w:id="1"/>
    </w:p>
    <w:p w14:paraId="7065F509" w14:textId="77777777" w:rsidR="007F0CD6" w:rsidRPr="007F0CD6" w:rsidRDefault="007F0CD6" w:rsidP="007F0CD6">
      <w:pPr>
        <w:rPr>
          <w:lang w:val="en-GB"/>
        </w:rPr>
      </w:pPr>
    </w:p>
    <w:p w14:paraId="1279A1E8" w14:textId="77777777" w:rsidR="008F7CA7" w:rsidRPr="008F7CA7" w:rsidRDefault="008F7CA7" w:rsidP="00171EC0">
      <w:pPr>
        <w:spacing w:line="360" w:lineRule="auto"/>
        <w:rPr>
          <w:sz w:val="24"/>
          <w:szCs w:val="24"/>
          <w:lang w:val="en-GB"/>
        </w:rPr>
      </w:pPr>
      <w:r w:rsidRPr="008F7CA7">
        <w:rPr>
          <w:sz w:val="24"/>
          <w:szCs w:val="24"/>
          <w:lang w:val="en-GB"/>
        </w:rPr>
        <w:t>Shell’s organizational structure, a key determinant of its global leadership in the energy and petrochemical industry, is a complex and dynamic framework that has evolved to meet the changing demands of the global energy market. This multidivisional structure, characterized by a decentralized system of management, is crucial for Shell’s operational efficiency and strategic adaptability.</w:t>
      </w:r>
    </w:p>
    <w:p w14:paraId="5F450CCF" w14:textId="77777777" w:rsidR="008F7CA7" w:rsidRPr="008F7CA7" w:rsidRDefault="008F7CA7" w:rsidP="00171EC0">
      <w:pPr>
        <w:spacing w:line="360" w:lineRule="auto"/>
        <w:rPr>
          <w:sz w:val="24"/>
          <w:szCs w:val="24"/>
          <w:lang w:val="en-GB"/>
        </w:rPr>
      </w:pPr>
      <w:r w:rsidRPr="008F7CA7">
        <w:rPr>
          <w:sz w:val="24"/>
          <w:szCs w:val="24"/>
          <w:lang w:val="en-GB"/>
        </w:rPr>
        <w:t xml:space="preserve">The decentralized nature of Shell’s structure, as Chandler (1962) notes, is particularly beneficial for large, diversified companies. It allows for efficient management across different product lines and geographical areas. This approach is instrumental in handling the complexities and varied demands of the energy sector. Shell’s divisions, which include upstream, downstream, and renewables, are organized both by product line and geographical region. This organizational design ensures that specialized teams with in-depth regional and sector-specific knowledge can </w:t>
      </w:r>
      <w:r w:rsidRPr="008F7CA7">
        <w:rPr>
          <w:sz w:val="24"/>
          <w:szCs w:val="24"/>
          <w:lang w:val="en-GB"/>
        </w:rPr>
        <w:lastRenderedPageBreak/>
        <w:t>make informed, contextually relevant decisions. Such a structure not only enhances operational efficiency but also aligns with Porter’s (1985) principles of competitive advantage, as it allows Shell to leverage its diverse capabilities and resources effectively.</w:t>
      </w:r>
    </w:p>
    <w:p w14:paraId="77093EA2" w14:textId="77777777" w:rsidR="008F7CA7" w:rsidRPr="008F7CA7" w:rsidRDefault="008F7CA7" w:rsidP="00171EC0">
      <w:pPr>
        <w:spacing w:line="360" w:lineRule="auto"/>
        <w:rPr>
          <w:sz w:val="24"/>
          <w:szCs w:val="24"/>
          <w:lang w:val="en-GB"/>
        </w:rPr>
      </w:pPr>
      <w:r w:rsidRPr="008F7CA7">
        <w:rPr>
          <w:sz w:val="24"/>
          <w:szCs w:val="24"/>
          <w:lang w:val="en-GB"/>
        </w:rPr>
        <w:t>Over the years, Shell’s structure has undergone significant transformations in response to shifts in the energy landscape. The increasing global focus on sustainability and renewable energy sources has prompted Shell to adapt its strategy and structure accordingly. The company’s heightened emphasis on its renewables division reflects a strategic realignment to meet these emerging market demands and environmental concerns. Johnson, Scholes, and Whittington (2008) emphasize the importance of organizational adaptability, highlighting that successful companies must evolve their structures to align with external environmental changes. Shell’s responsiveness to these changes is a testament to its strategic foresight and adaptability.</w:t>
      </w:r>
    </w:p>
    <w:p w14:paraId="38B4BA19" w14:textId="77777777" w:rsidR="008F7CA7" w:rsidRPr="008F7CA7" w:rsidRDefault="008F7CA7" w:rsidP="00171EC0">
      <w:pPr>
        <w:spacing w:line="360" w:lineRule="auto"/>
        <w:rPr>
          <w:sz w:val="24"/>
          <w:szCs w:val="24"/>
          <w:lang w:val="en-GB"/>
        </w:rPr>
      </w:pPr>
      <w:r w:rsidRPr="008F7CA7">
        <w:rPr>
          <w:sz w:val="24"/>
          <w:szCs w:val="24"/>
          <w:lang w:val="en-GB"/>
        </w:rPr>
        <w:t>This adaptability is further evident in Shell’s approach to managing its diverse energy portfolio. The company’s structure facilitates a balance between maintaining traditional energy operations while investing in and growing its renewable energy offerings. This balance is critical in a sector characterized by rapid technological advancements and changing regulatory landscapes. It ensures that Shell remains at the forefront of energy innovation while continuing to meet the current energy needs of its global customer base.</w:t>
      </w:r>
    </w:p>
    <w:p w14:paraId="50EBAEDF" w14:textId="77777777" w:rsidR="001A09BA" w:rsidRPr="001A09BA" w:rsidRDefault="001A09BA" w:rsidP="001A09BA">
      <w:pPr>
        <w:rPr>
          <w:lang w:val="en-GB"/>
        </w:rPr>
      </w:pPr>
    </w:p>
    <w:p w14:paraId="3319A079" w14:textId="77777777" w:rsidR="002B0575" w:rsidRPr="007F0CD6" w:rsidRDefault="002B0575" w:rsidP="007F0CD6">
      <w:pPr>
        <w:pStyle w:val="Heading3"/>
        <w:jc w:val="center"/>
        <w:rPr>
          <w:b/>
          <w:bCs/>
          <w:sz w:val="28"/>
          <w:szCs w:val="28"/>
          <w:lang w:val="en-GB"/>
        </w:rPr>
      </w:pPr>
      <w:bookmarkStart w:id="2" w:name="_Toc150631385"/>
      <w:r w:rsidRPr="007F0CD6">
        <w:rPr>
          <w:b/>
          <w:bCs/>
          <w:sz w:val="28"/>
          <w:szCs w:val="28"/>
          <w:lang w:val="en-GB"/>
        </w:rPr>
        <w:t>Shell’s Corporate Culture</w:t>
      </w:r>
      <w:bookmarkEnd w:id="2"/>
    </w:p>
    <w:p w14:paraId="2FA7BC7C" w14:textId="77777777" w:rsidR="007F0CD6" w:rsidRPr="007F0CD6" w:rsidRDefault="007F0CD6" w:rsidP="007F0CD6">
      <w:pPr>
        <w:rPr>
          <w:lang w:val="en-GB"/>
        </w:rPr>
      </w:pPr>
    </w:p>
    <w:p w14:paraId="6DF9AE6B" w14:textId="595CFD7A" w:rsidR="00D52FE5" w:rsidRPr="00D52FE5" w:rsidRDefault="00D52FE5" w:rsidP="00D52FE5">
      <w:pPr>
        <w:spacing w:line="360" w:lineRule="auto"/>
        <w:rPr>
          <w:sz w:val="24"/>
          <w:szCs w:val="24"/>
          <w:lang w:val="en-GB"/>
        </w:rPr>
      </w:pPr>
      <w:r w:rsidRPr="00D52FE5">
        <w:rPr>
          <w:sz w:val="24"/>
          <w:szCs w:val="24"/>
          <w:lang w:val="en-GB"/>
        </w:rPr>
        <w:t xml:space="preserve">The corporate culture at Shell, deeply ingrained in its organizational ethos, is characterized by a steadfast commitment to integrity, diversity, and sustainability. These core values are not mere rhetoric but are actively embedded in the company's operational and strategic frameworks, significantly influencing the </w:t>
      </w:r>
      <w:r w:rsidRPr="00C92984">
        <w:rPr>
          <w:sz w:val="24"/>
          <w:szCs w:val="24"/>
          <w:lang w:val="en-GB"/>
        </w:rPr>
        <w:t>behaviour</w:t>
      </w:r>
      <w:r w:rsidRPr="00D52FE5">
        <w:rPr>
          <w:sz w:val="24"/>
          <w:szCs w:val="24"/>
          <w:lang w:val="en-GB"/>
        </w:rPr>
        <w:t xml:space="preserve"> and decision-making processes of its workforce.</w:t>
      </w:r>
    </w:p>
    <w:p w14:paraId="1EA52753" w14:textId="09C15891" w:rsidR="00D52FE5" w:rsidRPr="00D52FE5" w:rsidRDefault="00D52FE5" w:rsidP="00D52FE5">
      <w:pPr>
        <w:spacing w:line="360" w:lineRule="auto"/>
        <w:rPr>
          <w:sz w:val="24"/>
          <w:szCs w:val="24"/>
          <w:lang w:val="en-GB"/>
        </w:rPr>
      </w:pPr>
      <w:r w:rsidRPr="00D52FE5">
        <w:rPr>
          <w:sz w:val="24"/>
          <w:szCs w:val="24"/>
          <w:lang w:val="en-GB"/>
        </w:rPr>
        <w:t xml:space="preserve">Integrity, a cornerstone of Shell's culture, dictates not only the ethical conduct expected of its employees but also guides the company's business practices. This commitment to integrity is reflected in Shell’s stringent adherence to legal and ethical standards across its global </w:t>
      </w:r>
      <w:r w:rsidRPr="00D52FE5">
        <w:rPr>
          <w:sz w:val="24"/>
          <w:szCs w:val="24"/>
          <w:lang w:val="en-GB"/>
        </w:rPr>
        <w:lastRenderedPageBreak/>
        <w:t xml:space="preserve">operations. Treviño and Nelson (2016) highlight the importance of such ethical practices in building trust and credibility, both within the company and in its external relations. Shell’s focus on integrity ensures a foundation of trust and ethical </w:t>
      </w:r>
      <w:r w:rsidRPr="00C92984">
        <w:rPr>
          <w:sz w:val="24"/>
          <w:szCs w:val="24"/>
          <w:lang w:val="en-GB"/>
        </w:rPr>
        <w:t>behaviour</w:t>
      </w:r>
      <w:r w:rsidRPr="00D52FE5">
        <w:rPr>
          <w:sz w:val="24"/>
          <w:szCs w:val="24"/>
          <w:lang w:val="en-GB"/>
        </w:rPr>
        <w:t xml:space="preserve"> that is essential in today’s business environment.</w:t>
      </w:r>
    </w:p>
    <w:p w14:paraId="40E256B8" w14:textId="77777777" w:rsidR="00D52FE5" w:rsidRPr="00D52FE5" w:rsidRDefault="00D52FE5" w:rsidP="00D52FE5">
      <w:pPr>
        <w:spacing w:line="360" w:lineRule="auto"/>
        <w:rPr>
          <w:sz w:val="24"/>
          <w:szCs w:val="24"/>
          <w:lang w:val="en-GB"/>
        </w:rPr>
      </w:pPr>
      <w:r w:rsidRPr="00D52FE5">
        <w:rPr>
          <w:sz w:val="24"/>
          <w:szCs w:val="24"/>
          <w:lang w:val="en-GB"/>
        </w:rPr>
        <w:t>Respect for diversity at Shell goes beyond mere compliance with equal opportunity laws. It encompasses a broader vision of inclusivity and representation across all levels of the organization. According to Cox and Blake (1991), fostering a diverse workforce enhances organizational creativity and problem-solving ability by bringing together a variety of perspectives and experiences. Shell’s commitment to diversity is evident in its global workforce, which represents a wide array of cultural, ethnic, and professional backgrounds, contributing to an enriched and inclusive corporate culture.</w:t>
      </w:r>
    </w:p>
    <w:p w14:paraId="4625BA31" w14:textId="77777777" w:rsidR="00D52FE5" w:rsidRPr="00D52FE5" w:rsidRDefault="00D52FE5" w:rsidP="00D52FE5">
      <w:pPr>
        <w:spacing w:line="360" w:lineRule="auto"/>
        <w:rPr>
          <w:sz w:val="24"/>
          <w:szCs w:val="24"/>
          <w:lang w:val="en-GB"/>
        </w:rPr>
      </w:pPr>
      <w:r w:rsidRPr="00D52FE5">
        <w:rPr>
          <w:sz w:val="24"/>
          <w:szCs w:val="24"/>
          <w:lang w:val="en-GB"/>
        </w:rPr>
        <w:t>Sustainability is another pillar of Shell's culture, reflecting its awareness of the environmental impact of its operations and its responsibility towards future generations. The company's emphasis on sustainability aligns with the concept of corporate social responsibility (CSR), as discussed by Carroll (1991), where businesses are expected to operate in a manner that is beneficial to society and the environment. Shell’s sustainability initiatives, which include investments in renewable energy and a focus on reducing its carbon footprint, demonstrate a proactive approach to environmental stewardship.</w:t>
      </w:r>
    </w:p>
    <w:p w14:paraId="6D38AF69" w14:textId="77777777" w:rsidR="00D52FE5" w:rsidRPr="00D52FE5" w:rsidRDefault="00D52FE5" w:rsidP="007F0CD6">
      <w:pPr>
        <w:jc w:val="center"/>
        <w:rPr>
          <w:lang w:val="en-GB"/>
        </w:rPr>
      </w:pPr>
    </w:p>
    <w:p w14:paraId="5D7DA8AB" w14:textId="55E2C2EF" w:rsidR="006B180C" w:rsidRPr="007F0CD6" w:rsidRDefault="002B0575" w:rsidP="007F0CD6">
      <w:pPr>
        <w:pStyle w:val="Heading3"/>
        <w:jc w:val="center"/>
        <w:rPr>
          <w:b/>
          <w:bCs/>
          <w:sz w:val="28"/>
          <w:szCs w:val="28"/>
          <w:lang w:val="en-GB"/>
        </w:rPr>
      </w:pPr>
      <w:bookmarkStart w:id="3" w:name="_Toc150631386"/>
      <w:r w:rsidRPr="007F0CD6">
        <w:rPr>
          <w:b/>
          <w:bCs/>
          <w:sz w:val="28"/>
          <w:szCs w:val="28"/>
          <w:lang w:val="en-GB"/>
        </w:rPr>
        <w:t>Impact on Performance</w:t>
      </w:r>
      <w:bookmarkEnd w:id="3"/>
    </w:p>
    <w:p w14:paraId="4598A4D9" w14:textId="77777777" w:rsidR="007F0CD6" w:rsidRPr="00C92984" w:rsidRDefault="007F0CD6" w:rsidP="007F0CD6">
      <w:pPr>
        <w:jc w:val="center"/>
        <w:rPr>
          <w:sz w:val="20"/>
          <w:szCs w:val="20"/>
          <w:lang w:val="en-GB"/>
        </w:rPr>
      </w:pPr>
    </w:p>
    <w:p w14:paraId="5650B4B8" w14:textId="77777777" w:rsidR="006B180C" w:rsidRPr="006B180C" w:rsidRDefault="006B180C" w:rsidP="006B180C">
      <w:pPr>
        <w:spacing w:line="360" w:lineRule="auto"/>
        <w:rPr>
          <w:sz w:val="24"/>
          <w:szCs w:val="24"/>
          <w:lang w:val="en-GB"/>
        </w:rPr>
      </w:pPr>
      <w:r w:rsidRPr="006B180C">
        <w:rPr>
          <w:sz w:val="24"/>
          <w:szCs w:val="24"/>
          <w:lang w:val="en-GB"/>
        </w:rPr>
        <w:t>The intricate relationship between Shell's organizational structure and its corporate culture has been a critical factor in shaping the company's performance and competitive stance in the global energy market. Shell's multidivisional structure, complemented by a culture that emphasizes sustainability and innovation, has played a pivotal role in its strategic adaptability and success.</w:t>
      </w:r>
    </w:p>
    <w:p w14:paraId="7131E74F" w14:textId="77777777" w:rsidR="006B180C" w:rsidRPr="006B180C" w:rsidRDefault="006B180C" w:rsidP="006B180C">
      <w:pPr>
        <w:spacing w:line="360" w:lineRule="auto"/>
        <w:rPr>
          <w:sz w:val="24"/>
          <w:szCs w:val="24"/>
          <w:lang w:val="en-GB"/>
        </w:rPr>
      </w:pPr>
      <w:r w:rsidRPr="006B180C">
        <w:rPr>
          <w:sz w:val="24"/>
          <w:szCs w:val="24"/>
          <w:lang w:val="en-GB"/>
        </w:rPr>
        <w:lastRenderedPageBreak/>
        <w:t>The organizational structure of Shell, characterized by its divisional setup, allows for efficient management of its diverse portfolio, which includes traditional fossil fuels and renewable energy sources. This structure supports the strategic autonomy of different divisions, enabling them to respond rapidly to market changes and technological advancements. According to Mintzberg (1979), such a flexible structure is essential for large, diversified corporations, as it allows for both centralized decision-making and decentralized execution, a balance that is critical in the fast-paced energy sector.</w:t>
      </w:r>
    </w:p>
    <w:p w14:paraId="2283B431" w14:textId="77777777" w:rsidR="006B180C" w:rsidRPr="006B180C" w:rsidRDefault="006B180C" w:rsidP="006B180C">
      <w:pPr>
        <w:spacing w:line="360" w:lineRule="auto"/>
        <w:rPr>
          <w:sz w:val="24"/>
          <w:szCs w:val="24"/>
          <w:lang w:val="en-GB"/>
        </w:rPr>
      </w:pPr>
      <w:r w:rsidRPr="006B180C">
        <w:rPr>
          <w:sz w:val="24"/>
          <w:szCs w:val="24"/>
          <w:lang w:val="en-GB"/>
        </w:rPr>
        <w:t>At the core of Shell's culture lies a strong emphasis on sustainability and innovation, two key drivers of its strategic direction in recent years. This cultural focus is not merely a response to external pressures but is deeply integrated into Shell's business model. Porter and Kramer (2006) argue that aligning a company’s business strategy with societal needs and challenges can lead to genuine societal improvements and sustainable business growth. Shell's investment in renewable energy sources like wind, solar, and biofuels exemplifies this approach, reflecting its commitment to a sustainable future while also catering to the growing demand for cleaner energy.</w:t>
      </w:r>
    </w:p>
    <w:p w14:paraId="31A48442" w14:textId="77777777" w:rsidR="006B180C" w:rsidRPr="006B180C" w:rsidRDefault="006B180C" w:rsidP="006B180C">
      <w:pPr>
        <w:spacing w:line="360" w:lineRule="auto"/>
        <w:rPr>
          <w:sz w:val="24"/>
          <w:szCs w:val="24"/>
          <w:lang w:val="en-GB"/>
        </w:rPr>
      </w:pPr>
      <w:r w:rsidRPr="006B180C">
        <w:rPr>
          <w:sz w:val="24"/>
          <w:szCs w:val="24"/>
          <w:lang w:val="en-GB"/>
        </w:rPr>
        <w:t>Moreover, Shell's culture of innovation has been instrumental in driving advancements in technology and new energy solutions. This culture encourages continuous learning, experimentation, and the pursuit of novel ideas, aligning with Tushman and O'Reilly's (1996) concept of ambidextrous organizations that balance exploratory and exploitative innovations. The company's significant investments in research and development have led to breakthroughs in energy efficiency and the development of more sustainable energy sources.</w:t>
      </w:r>
    </w:p>
    <w:p w14:paraId="22CA138E" w14:textId="77777777" w:rsidR="006B180C" w:rsidRPr="006B180C" w:rsidRDefault="006B180C" w:rsidP="006B180C">
      <w:pPr>
        <w:rPr>
          <w:lang w:val="en-GB"/>
        </w:rPr>
      </w:pPr>
    </w:p>
    <w:p w14:paraId="50CC1105" w14:textId="12763FCD" w:rsidR="002B0575" w:rsidRPr="007F0CD6" w:rsidRDefault="002B0575" w:rsidP="007F0CD6">
      <w:pPr>
        <w:pStyle w:val="Heading1"/>
        <w:jc w:val="center"/>
        <w:rPr>
          <w:b/>
          <w:bCs/>
          <w:sz w:val="28"/>
          <w:szCs w:val="28"/>
          <w:lang w:val="en-GB"/>
        </w:rPr>
      </w:pPr>
      <w:bookmarkStart w:id="4" w:name="_Toc150631387"/>
      <w:r w:rsidRPr="007F0CD6">
        <w:rPr>
          <w:b/>
          <w:bCs/>
          <w:sz w:val="28"/>
          <w:szCs w:val="28"/>
          <w:lang w:val="en-GB"/>
        </w:rPr>
        <w:t>Employee Motivation</w:t>
      </w:r>
      <w:bookmarkEnd w:id="4"/>
      <w:r w:rsidR="007F0CD6">
        <w:rPr>
          <w:b/>
          <w:bCs/>
          <w:sz w:val="28"/>
          <w:szCs w:val="28"/>
          <w:lang w:val="en-GB"/>
        </w:rPr>
        <w:br/>
      </w:r>
    </w:p>
    <w:p w14:paraId="1BFCB338" w14:textId="07030A24" w:rsidR="007F0CD6" w:rsidRPr="00C92984" w:rsidRDefault="007F0CD6" w:rsidP="007F0CD6">
      <w:pPr>
        <w:spacing w:line="360" w:lineRule="auto"/>
        <w:rPr>
          <w:sz w:val="24"/>
          <w:szCs w:val="24"/>
          <w:lang w:val="en-GB"/>
        </w:rPr>
      </w:pPr>
      <w:r w:rsidRPr="00C92984">
        <w:rPr>
          <w:sz w:val="24"/>
          <w:szCs w:val="24"/>
          <w:lang w:val="en-GB"/>
        </w:rPr>
        <w:t>-</w:t>
      </w:r>
      <w:r w:rsidRPr="00C92984">
        <w:rPr>
          <w:sz w:val="24"/>
          <w:szCs w:val="24"/>
          <w:lang w:val="en-GB"/>
        </w:rPr>
        <w:t xml:space="preserve">Employee motivation is a crucial aspect of Shell's human resource strategy, reflecting the company's understanding that a motivated workforce is essential for maintaining high levels of productivity and engagement. Shell's approach to motivation is multifaceted, incorporating </w:t>
      </w:r>
      <w:r w:rsidRPr="00C92984">
        <w:rPr>
          <w:sz w:val="24"/>
          <w:szCs w:val="24"/>
          <w:lang w:val="en-GB"/>
        </w:rPr>
        <w:lastRenderedPageBreak/>
        <w:t>both financial incentives and opportunities for personal and professional growth, resonating with established motivational theories.</w:t>
      </w:r>
    </w:p>
    <w:p w14:paraId="2D3348E8" w14:textId="04713B77" w:rsidR="007F0CD6" w:rsidRPr="00C92984" w:rsidRDefault="007F0CD6" w:rsidP="007F0CD6">
      <w:pPr>
        <w:spacing w:line="360" w:lineRule="auto"/>
        <w:rPr>
          <w:sz w:val="24"/>
          <w:szCs w:val="24"/>
          <w:lang w:val="en-GB"/>
        </w:rPr>
      </w:pPr>
      <w:r w:rsidRPr="00C92984">
        <w:rPr>
          <w:sz w:val="24"/>
          <w:szCs w:val="24"/>
          <w:lang w:val="en-GB"/>
        </w:rPr>
        <w:t>-</w:t>
      </w:r>
      <w:r w:rsidRPr="00C92984">
        <w:rPr>
          <w:sz w:val="24"/>
          <w:szCs w:val="24"/>
          <w:lang w:val="en-GB"/>
        </w:rPr>
        <w:t>Financial incentives at Shell, including competitive salaries, bonuses, and stock options, address the basic physiological and safety needs of the employees, as outlined in Maslow’s Hierarchy of Needs (Maslow, 1943). This foundational level of motivation ensures that employees feel secure and valued, which is essential for fostering a productive work environment. Additionally, these financial rewards serve as powerful extrinsic motivators, aligning employee objectives with the company’s goals.</w:t>
      </w:r>
    </w:p>
    <w:p w14:paraId="2380B4BD" w14:textId="00AB9690" w:rsidR="007F0CD6" w:rsidRPr="00C92984" w:rsidRDefault="007F0CD6" w:rsidP="007F0CD6">
      <w:pPr>
        <w:spacing w:line="360" w:lineRule="auto"/>
        <w:rPr>
          <w:sz w:val="24"/>
          <w:szCs w:val="24"/>
          <w:lang w:val="en-GB"/>
        </w:rPr>
      </w:pPr>
      <w:r w:rsidRPr="00C92984">
        <w:rPr>
          <w:sz w:val="24"/>
          <w:szCs w:val="24"/>
          <w:lang w:val="en-GB"/>
        </w:rPr>
        <w:t>-</w:t>
      </w:r>
      <w:r w:rsidRPr="00C92984">
        <w:rPr>
          <w:sz w:val="24"/>
          <w:szCs w:val="24"/>
          <w:lang w:val="en-GB"/>
        </w:rPr>
        <w:t xml:space="preserve">Beyond financial incentives, Shell places considerable emphasis on personal and professional development, catering to the higher levels of Maslow’s hierarchy, such as belonging, esteem, and self-actualization. By offering comprehensive training programs, career advancement opportunities, and support for continued education, Shell not only enhances the skill set of its workforce but also </w:t>
      </w:r>
      <w:r w:rsidR="00C92984" w:rsidRPr="00C92984">
        <w:rPr>
          <w:sz w:val="24"/>
          <w:szCs w:val="24"/>
          <w:lang w:val="en-GB"/>
        </w:rPr>
        <w:t>instils</w:t>
      </w:r>
      <w:r w:rsidRPr="00C92984">
        <w:rPr>
          <w:sz w:val="24"/>
          <w:szCs w:val="24"/>
          <w:lang w:val="en-GB"/>
        </w:rPr>
        <w:t xml:space="preserve"> a sense of belonging and achievement. These initiatives contribute to the intrinsic motivation of employees, as they feel more engaged and committed to their work and the organization.</w:t>
      </w:r>
    </w:p>
    <w:p w14:paraId="1BA282F1" w14:textId="77777777" w:rsidR="007F0CD6" w:rsidRPr="00C92984" w:rsidRDefault="007F0CD6" w:rsidP="007F0CD6">
      <w:pPr>
        <w:spacing w:line="360" w:lineRule="auto"/>
        <w:rPr>
          <w:sz w:val="24"/>
          <w:szCs w:val="24"/>
          <w:lang w:val="en-GB"/>
        </w:rPr>
      </w:pPr>
    </w:p>
    <w:p w14:paraId="64DDA329" w14:textId="58BE6C17" w:rsidR="007F0CD6" w:rsidRPr="00C92984" w:rsidRDefault="007F0CD6" w:rsidP="007F0CD6">
      <w:pPr>
        <w:spacing w:line="360" w:lineRule="auto"/>
        <w:rPr>
          <w:sz w:val="24"/>
          <w:szCs w:val="24"/>
          <w:lang w:val="en-GB"/>
        </w:rPr>
      </w:pPr>
      <w:r w:rsidRPr="00C92984">
        <w:rPr>
          <w:sz w:val="24"/>
          <w:szCs w:val="24"/>
          <w:lang w:val="en-GB"/>
        </w:rPr>
        <w:t>-</w:t>
      </w:r>
      <w:r w:rsidRPr="00C92984">
        <w:rPr>
          <w:sz w:val="24"/>
          <w:szCs w:val="24"/>
          <w:lang w:val="en-GB"/>
        </w:rPr>
        <w:t>Herzberg’s Two-Factor Theory, which distinguishes between hygiene factors (salary, work conditions) and motivators (recognition, responsibility), further illuminates Shell’s strategy (Herzberg, 1959). While Shell’s financial incentives address the hygiene factors, preventing job dissatisfaction, its focus on development and recognition caters to the motivators, actively promoting job satisfaction and engagement. For instance, leadership development programs and innovation challenges at Shell not only empower employees but also recognize their contributions, fostering a sense of accomplishment and p</w:t>
      </w:r>
      <w:r w:rsidRPr="00C92984">
        <w:rPr>
          <w:sz w:val="24"/>
          <w:szCs w:val="24"/>
          <w:lang w:val="en-GB"/>
        </w:rPr>
        <w:t>e</w:t>
      </w:r>
      <w:r w:rsidRPr="00C92984">
        <w:rPr>
          <w:sz w:val="24"/>
          <w:szCs w:val="24"/>
          <w:lang w:val="en-GB"/>
        </w:rPr>
        <w:t>rsonal growth.</w:t>
      </w:r>
    </w:p>
    <w:p w14:paraId="38778169" w14:textId="3319513E" w:rsidR="007F0CD6" w:rsidRPr="00C92984" w:rsidRDefault="007F0CD6" w:rsidP="007F0CD6">
      <w:pPr>
        <w:spacing w:line="360" w:lineRule="auto"/>
        <w:rPr>
          <w:sz w:val="24"/>
          <w:szCs w:val="24"/>
          <w:lang w:val="en-GB"/>
        </w:rPr>
      </w:pPr>
      <w:r w:rsidRPr="00C92984">
        <w:rPr>
          <w:sz w:val="24"/>
          <w:szCs w:val="24"/>
          <w:lang w:val="en-GB"/>
        </w:rPr>
        <w:t>-</w:t>
      </w:r>
      <w:r w:rsidRPr="00C92984">
        <w:rPr>
          <w:sz w:val="24"/>
          <w:szCs w:val="24"/>
          <w:lang w:val="en-GB"/>
        </w:rPr>
        <w:t xml:space="preserve">Moreover, Shell’s approach to employee motivation aligns with the concept of Total Rewards, which encompasses not just tangible rewards like pay and benefits, but also intangible aspects such as personal growth, recognition, and a supportive work environment (WorldatWork, 2007). </w:t>
      </w:r>
      <w:r w:rsidRPr="00C92984">
        <w:rPr>
          <w:sz w:val="24"/>
          <w:szCs w:val="24"/>
          <w:lang w:val="en-GB"/>
        </w:rPr>
        <w:lastRenderedPageBreak/>
        <w:t>This holistic approach ensures a well-rounded employee experience, contributing to higher levels of satisfaction and loyalty.</w:t>
      </w:r>
    </w:p>
    <w:p w14:paraId="2369D723" w14:textId="1C458C05" w:rsidR="007F0CD6" w:rsidRPr="00C92984" w:rsidRDefault="007F0CD6" w:rsidP="007F0CD6">
      <w:pPr>
        <w:spacing w:line="360" w:lineRule="auto"/>
        <w:rPr>
          <w:sz w:val="24"/>
          <w:szCs w:val="24"/>
          <w:lang w:val="en-GB"/>
        </w:rPr>
      </w:pPr>
      <w:r w:rsidRPr="00C92984">
        <w:rPr>
          <w:sz w:val="24"/>
          <w:szCs w:val="24"/>
          <w:lang w:val="en-GB"/>
        </w:rPr>
        <w:t>-</w:t>
      </w:r>
      <w:r w:rsidRPr="00C92984">
        <w:rPr>
          <w:sz w:val="24"/>
          <w:szCs w:val="24"/>
          <w:lang w:val="en-GB"/>
        </w:rPr>
        <w:t>The effectiveness of this comprehensive approach is evident in Shell’s ability to attract and retain top talent, as well as in its operational successes. Motivated employees are more likely to be innovative, productive, and committed to the organization’s goals, driving Shell’s continued success in the competitive energy sector.</w:t>
      </w:r>
    </w:p>
    <w:p w14:paraId="39C9E144" w14:textId="77777777" w:rsidR="002B0575" w:rsidRDefault="002B0575" w:rsidP="007F0CD6">
      <w:pPr>
        <w:pStyle w:val="Heading3"/>
        <w:jc w:val="center"/>
        <w:rPr>
          <w:b/>
          <w:bCs/>
          <w:sz w:val="28"/>
          <w:szCs w:val="28"/>
          <w:lang w:val="en-GB"/>
        </w:rPr>
      </w:pPr>
      <w:bookmarkStart w:id="5" w:name="_Toc150631388"/>
      <w:r w:rsidRPr="007F0CD6">
        <w:rPr>
          <w:b/>
          <w:bCs/>
          <w:sz w:val="28"/>
          <w:szCs w:val="28"/>
          <w:lang w:val="en-GB"/>
        </w:rPr>
        <w:t>Conclusion</w:t>
      </w:r>
      <w:bookmarkEnd w:id="5"/>
    </w:p>
    <w:p w14:paraId="5237453A" w14:textId="77777777" w:rsidR="001873C1" w:rsidRPr="001873C1" w:rsidRDefault="001873C1" w:rsidP="001873C1">
      <w:pPr>
        <w:rPr>
          <w:lang w:val="en-GB" w:bidi="en-US"/>
        </w:rPr>
      </w:pPr>
    </w:p>
    <w:p w14:paraId="73140CDE" w14:textId="77777777" w:rsidR="007A37A3" w:rsidRPr="007A37A3" w:rsidRDefault="007A37A3" w:rsidP="007A37A3">
      <w:pPr>
        <w:spacing w:line="360" w:lineRule="auto"/>
        <w:rPr>
          <w:sz w:val="24"/>
          <w:szCs w:val="24"/>
          <w:lang w:val="en-GB"/>
        </w:rPr>
      </w:pPr>
      <w:r w:rsidRPr="007A37A3">
        <w:rPr>
          <w:sz w:val="24"/>
          <w:szCs w:val="24"/>
          <w:lang w:val="en-GB"/>
        </w:rPr>
        <w:t>In concluding this comprehensive analysis, it is evident that Shell’s organizational structure and culture, along with its strategic approach to employee motivation, are fundamental elements that underpin its sustained success and leadership in the global energy sector. These facets, interwoven and mutually reinforcing, collectively shape the company's operational excellence and strategic direction.</w:t>
      </w:r>
    </w:p>
    <w:p w14:paraId="633E941C" w14:textId="77777777" w:rsidR="007A37A3" w:rsidRPr="007A37A3" w:rsidRDefault="007A37A3" w:rsidP="007A37A3">
      <w:pPr>
        <w:spacing w:line="360" w:lineRule="auto"/>
        <w:rPr>
          <w:sz w:val="24"/>
          <w:szCs w:val="24"/>
          <w:lang w:val="en-GB"/>
        </w:rPr>
      </w:pPr>
      <w:r w:rsidRPr="007A37A3">
        <w:rPr>
          <w:sz w:val="24"/>
          <w:szCs w:val="24"/>
          <w:lang w:val="en-GB"/>
        </w:rPr>
        <w:t>Shell's organizational structure, characterized by its divisional and decentralized nature, fosters a level of agility and flexibility that is crucial in the dynamic energy industry. This structure allows Shell to respond swiftly to market changes, manage its diverse portfolio effectively, and drive innovation. As Mintzberg (1979) asserts, such a structure is vital for large multinational corporations, enabling them to balance the benefits of centralized control with the adaptiveness of decentralized decision-making.</w:t>
      </w:r>
    </w:p>
    <w:p w14:paraId="72C4F2ED" w14:textId="1B746BAB" w:rsidR="007A37A3" w:rsidRPr="007A37A3" w:rsidRDefault="007A37A3" w:rsidP="007A37A3">
      <w:pPr>
        <w:spacing w:line="360" w:lineRule="auto"/>
        <w:rPr>
          <w:sz w:val="24"/>
          <w:szCs w:val="24"/>
          <w:lang w:val="en-GB"/>
        </w:rPr>
      </w:pPr>
      <w:r w:rsidRPr="007A37A3">
        <w:rPr>
          <w:sz w:val="24"/>
          <w:szCs w:val="24"/>
          <w:lang w:val="en-GB"/>
        </w:rPr>
        <w:t xml:space="preserve">The corporate culture at Shell, </w:t>
      </w:r>
      <w:r w:rsidRPr="007A37A3">
        <w:rPr>
          <w:sz w:val="24"/>
          <w:szCs w:val="24"/>
          <w:lang w:val="en-GB"/>
        </w:rPr>
        <w:t>cantered</w:t>
      </w:r>
      <w:r w:rsidRPr="007A37A3">
        <w:rPr>
          <w:sz w:val="24"/>
          <w:szCs w:val="24"/>
          <w:lang w:val="en-GB"/>
        </w:rPr>
        <w:t xml:space="preserve"> around core values of integrity, diversity, and sustainability, acts as a compass guiding employee </w:t>
      </w:r>
      <w:r w:rsidRPr="007A37A3">
        <w:rPr>
          <w:sz w:val="24"/>
          <w:szCs w:val="24"/>
          <w:lang w:val="en-GB"/>
        </w:rPr>
        <w:t>behaviours</w:t>
      </w:r>
      <w:r w:rsidRPr="007A37A3">
        <w:rPr>
          <w:sz w:val="24"/>
          <w:szCs w:val="24"/>
          <w:lang w:val="en-GB"/>
        </w:rPr>
        <w:t xml:space="preserve"> and business practices. This culture, deeply embedded in every aspect of the organization, is not only reflective of Shell’s ethical stance but also its strategic commitment to a sustainable future. Schein (2010) emphasizes the role of culture in shaping an organization's identity and actions, and in the case of Shell, it manifests in their continuous efforts towards environmental stewardship and social responsibility.</w:t>
      </w:r>
    </w:p>
    <w:p w14:paraId="08A85880" w14:textId="77777777" w:rsidR="007A37A3" w:rsidRPr="007A37A3" w:rsidRDefault="007A37A3" w:rsidP="007A37A3">
      <w:pPr>
        <w:spacing w:line="360" w:lineRule="auto"/>
        <w:rPr>
          <w:sz w:val="24"/>
          <w:szCs w:val="24"/>
          <w:lang w:val="en-GB"/>
        </w:rPr>
      </w:pPr>
      <w:r w:rsidRPr="007A37A3">
        <w:rPr>
          <w:sz w:val="24"/>
          <w:szCs w:val="24"/>
          <w:lang w:val="en-GB"/>
        </w:rPr>
        <w:t xml:space="preserve">Additionally, Shell’s strategic focus on employee motivation significantly contributes to its organizational performance. By aligning its motivational strategies with established theories like </w:t>
      </w:r>
      <w:r w:rsidRPr="007A37A3">
        <w:rPr>
          <w:sz w:val="24"/>
          <w:szCs w:val="24"/>
          <w:lang w:val="en-GB"/>
        </w:rPr>
        <w:lastRenderedPageBreak/>
        <w:t>Maslow’s Hierarchy of Needs and Herzberg’s Two-Factor Theory, Shell effectively addresses both the intrinsic and extrinsic motivations of its workforce (Maslow, 1943; Herzberg, 1959). This holistic approach not only enhances employee engagement and satisfaction but also drives productivity and innovation, key factors in Shell’s competitive advantage.</w:t>
      </w:r>
    </w:p>
    <w:p w14:paraId="5E01B539" w14:textId="77777777" w:rsidR="007A37A3" w:rsidRPr="007A37A3" w:rsidRDefault="007A37A3" w:rsidP="007A37A3">
      <w:pPr>
        <w:rPr>
          <w:lang w:val="en-GB"/>
        </w:rPr>
      </w:pPr>
    </w:p>
    <w:p w14:paraId="1FA82F2D" w14:textId="20CD3493" w:rsidR="00810DD9" w:rsidRDefault="002B0575" w:rsidP="007F0CD6">
      <w:pPr>
        <w:pStyle w:val="Heading3"/>
        <w:jc w:val="center"/>
        <w:rPr>
          <w:b/>
          <w:bCs/>
          <w:sz w:val="28"/>
          <w:szCs w:val="28"/>
        </w:rPr>
      </w:pPr>
      <w:bookmarkStart w:id="6" w:name="_Toc150631389"/>
      <w:r w:rsidRPr="007F0CD6">
        <w:rPr>
          <w:b/>
          <w:bCs/>
          <w:sz w:val="28"/>
          <w:szCs w:val="28"/>
        </w:rPr>
        <w:t>References</w:t>
      </w:r>
      <w:bookmarkEnd w:id="6"/>
    </w:p>
    <w:p w14:paraId="7D3C2FA3" w14:textId="77777777" w:rsidR="001873C1" w:rsidRPr="001873C1" w:rsidRDefault="001873C1" w:rsidP="001873C1">
      <w:pPr>
        <w:rPr>
          <w:lang w:bidi="en-US"/>
        </w:rPr>
      </w:pPr>
    </w:p>
    <w:p w14:paraId="6C0748EB" w14:textId="1F708358" w:rsidR="001579B8" w:rsidRDefault="001579B8" w:rsidP="001579B8">
      <w:r w:rsidRPr="001579B8">
        <w:t>Schein, E. H. (2010). Organizational Culture and Leadership. Jossey-Bass.</w:t>
      </w:r>
    </w:p>
    <w:p w14:paraId="0276AF5B" w14:textId="77777777" w:rsidR="00E93CC4" w:rsidRDefault="00570EEB" w:rsidP="00136C0A">
      <w:r w:rsidRPr="00570EEB">
        <w:t>Hofstede, G. (1980). Culture's Consequences: International Differences in Work-Related Values. Beverly Hills, CA: Sage Publications.</w:t>
      </w:r>
    </w:p>
    <w:p w14:paraId="722ED88D" w14:textId="7C2A6BCE" w:rsidR="00136C0A" w:rsidRPr="00136C0A" w:rsidRDefault="00136C0A" w:rsidP="00136C0A">
      <w:pPr>
        <w:rPr>
          <w:lang w:val="en-GB"/>
        </w:rPr>
      </w:pPr>
      <w:r>
        <w:br/>
      </w:r>
      <w:r w:rsidRPr="00136C0A">
        <w:rPr>
          <w:lang w:val="en-GB"/>
        </w:rPr>
        <w:t>Chandler, A. D. (1962). Strategy and Structure: Chapters in the History of the Industrial Enterprise. MIT Press.</w:t>
      </w:r>
    </w:p>
    <w:p w14:paraId="0A3697A1" w14:textId="77777777" w:rsidR="00136C0A" w:rsidRPr="00136C0A" w:rsidRDefault="00136C0A" w:rsidP="00136C0A">
      <w:pPr>
        <w:rPr>
          <w:lang w:val="en-GB"/>
        </w:rPr>
      </w:pPr>
      <w:r w:rsidRPr="00136C0A">
        <w:rPr>
          <w:lang w:val="en-GB"/>
        </w:rPr>
        <w:t>Porter, M. E. (1985). Competitive Advantage: Creating and Sustaining Superior Performance. Free Press.</w:t>
      </w:r>
    </w:p>
    <w:p w14:paraId="6B63BF72" w14:textId="77777777" w:rsidR="00136C0A" w:rsidRPr="00136C0A" w:rsidRDefault="00136C0A" w:rsidP="00136C0A">
      <w:pPr>
        <w:rPr>
          <w:lang w:val="en-GB"/>
        </w:rPr>
      </w:pPr>
      <w:r w:rsidRPr="00136C0A">
        <w:rPr>
          <w:lang w:val="en-GB"/>
        </w:rPr>
        <w:t>Johnson, G., Scholes, K., &amp; Whittington, R. (2008). Exploring Corporate Strategy. Prentice Hall.</w:t>
      </w:r>
    </w:p>
    <w:p w14:paraId="38C73ACA" w14:textId="77777777" w:rsidR="00E93CC4" w:rsidRDefault="00E93CC4" w:rsidP="00E93CC4">
      <w:r>
        <w:t>Treviño, L. K., &amp; Nelson, K. A. (2016). Managing Business Ethics: Straight Talk about How to Do It Right. John Wiley &amp; Sons.</w:t>
      </w:r>
    </w:p>
    <w:p w14:paraId="4E27242F" w14:textId="77777777" w:rsidR="00E93CC4" w:rsidRDefault="00E93CC4" w:rsidP="00E93CC4">
      <w:r>
        <w:t>Cox, T., &amp; Blake, S. (1991). Managing Cultural Diversity: Implications for Organizational Competitiveness. Academy of Management Executive, 5(3), 45-56.</w:t>
      </w:r>
    </w:p>
    <w:p w14:paraId="13E3C13B" w14:textId="4EA3FFE2" w:rsidR="00570EEB" w:rsidRDefault="00E93CC4" w:rsidP="00E93CC4">
      <w:r>
        <w:t>Carroll, A. B. (1991). The Pyramid of Corporate Social Responsibility: Toward the Moral</w:t>
      </w:r>
    </w:p>
    <w:p w14:paraId="7178439A" w14:textId="77777777" w:rsidR="00265F5E" w:rsidRPr="00265F5E" w:rsidRDefault="00265F5E" w:rsidP="00265F5E">
      <w:pPr>
        <w:rPr>
          <w:lang w:val="en-GB"/>
        </w:rPr>
      </w:pPr>
      <w:r w:rsidRPr="00265F5E">
        <w:rPr>
          <w:lang w:val="en-GB"/>
        </w:rPr>
        <w:t>Mintzberg, H. (1979). The Structuring of Organizations. Prentice-Hall.</w:t>
      </w:r>
    </w:p>
    <w:p w14:paraId="2DC65DA9" w14:textId="77777777" w:rsidR="00265F5E" w:rsidRPr="00265F5E" w:rsidRDefault="00265F5E" w:rsidP="00265F5E">
      <w:pPr>
        <w:rPr>
          <w:lang w:val="en-GB"/>
        </w:rPr>
      </w:pPr>
      <w:r w:rsidRPr="00265F5E">
        <w:rPr>
          <w:lang w:val="en-GB"/>
        </w:rPr>
        <w:t>Porter, M. E., &amp; Kramer, M. R. (2006). Strategy and Society: The Link Between Competitive Advantage and Corporate Social Responsibility. Harvard Business Review, 84(12), 78-92.</w:t>
      </w:r>
    </w:p>
    <w:p w14:paraId="2E03F9D5" w14:textId="77777777" w:rsidR="00265F5E" w:rsidRPr="00265F5E" w:rsidRDefault="00265F5E" w:rsidP="00265F5E">
      <w:pPr>
        <w:rPr>
          <w:lang w:val="en-GB"/>
        </w:rPr>
      </w:pPr>
      <w:r w:rsidRPr="00265F5E">
        <w:rPr>
          <w:lang w:val="en-GB"/>
        </w:rPr>
        <w:t>Tushman, M. L., &amp; O'Reilly, C. A. (1996). Ambidextrous Organizations: Managing Evolutionary and Revolutionary Change. California Management Review, 38(4), 8-30.</w:t>
      </w:r>
    </w:p>
    <w:p w14:paraId="3FE28532" w14:textId="77777777" w:rsidR="005D08E9" w:rsidRDefault="005D08E9" w:rsidP="005D08E9">
      <w:r>
        <w:t>Maslow, A. H. (1943). A Theory of Human Motivation. Psychological Review, 50(4), 370-396.</w:t>
      </w:r>
    </w:p>
    <w:p w14:paraId="701CAA33" w14:textId="77777777" w:rsidR="005D08E9" w:rsidRDefault="005D08E9" w:rsidP="005D08E9">
      <w:r>
        <w:t>Herzberg, F. (1959). The Motivation to Work. John Wiley &amp; Sons.</w:t>
      </w:r>
    </w:p>
    <w:p w14:paraId="4C4B98E2" w14:textId="16BA5AF8" w:rsidR="00265F5E" w:rsidRDefault="005D08E9" w:rsidP="005D08E9">
      <w:r>
        <w:t>WorldatWork (2007). The WorldatWork Handbook of Compensation, Benefits &amp; Total Rewards. Wiley.</w:t>
      </w:r>
    </w:p>
    <w:p w14:paraId="16DC3688" w14:textId="040F593B" w:rsidR="00171EC0" w:rsidRPr="001579B8" w:rsidRDefault="00171EC0" w:rsidP="005D08E9">
      <w:r w:rsidRPr="00171EC0">
        <w:t>Johnson, G., Scholes, K., &amp; Whittington, R. (2008). Exploring Corporate Strategy. Prentice H</w:t>
      </w:r>
    </w:p>
    <w:sectPr w:rsidR="00171EC0" w:rsidRPr="001579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D224C"/>
    <w:multiLevelType w:val="multilevel"/>
    <w:tmpl w:val="E0BA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152184"/>
    <w:multiLevelType w:val="multilevel"/>
    <w:tmpl w:val="F542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9980874">
    <w:abstractNumId w:val="1"/>
  </w:num>
  <w:num w:numId="2" w16cid:durableId="2058890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CD2"/>
    <w:rsid w:val="000B76A2"/>
    <w:rsid w:val="00136C0A"/>
    <w:rsid w:val="001579B8"/>
    <w:rsid w:val="00171EC0"/>
    <w:rsid w:val="001873C1"/>
    <w:rsid w:val="001A09BA"/>
    <w:rsid w:val="00265F5E"/>
    <w:rsid w:val="00266CD2"/>
    <w:rsid w:val="002B0575"/>
    <w:rsid w:val="004C67E3"/>
    <w:rsid w:val="004F3521"/>
    <w:rsid w:val="00570EEB"/>
    <w:rsid w:val="005D08E9"/>
    <w:rsid w:val="00644B12"/>
    <w:rsid w:val="006B180C"/>
    <w:rsid w:val="006D5D58"/>
    <w:rsid w:val="007A37A3"/>
    <w:rsid w:val="007F0CD6"/>
    <w:rsid w:val="00810DD9"/>
    <w:rsid w:val="008F7CA7"/>
    <w:rsid w:val="00974988"/>
    <w:rsid w:val="00C92984"/>
    <w:rsid w:val="00D15D7B"/>
    <w:rsid w:val="00D50864"/>
    <w:rsid w:val="00D52FE5"/>
    <w:rsid w:val="00DE1445"/>
    <w:rsid w:val="00E93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4FBB"/>
  <w15:chartTrackingRefBased/>
  <w15:docId w15:val="{15F755E3-C94F-4423-8141-48E6BA67D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B12"/>
  </w:style>
  <w:style w:type="paragraph" w:styleId="Heading1">
    <w:name w:val="heading 1"/>
    <w:basedOn w:val="Normal"/>
    <w:next w:val="Normal"/>
    <w:link w:val="Heading1Char"/>
    <w:uiPriority w:val="9"/>
    <w:qFormat/>
    <w:rsid w:val="00644B12"/>
    <w:pPr>
      <w:spacing w:before="480" w:after="0"/>
      <w:contextualSpacing/>
      <w:outlineLvl w:val="0"/>
    </w:pPr>
    <w:rPr>
      <w:smallCaps/>
      <w:spacing w:val="5"/>
      <w:sz w:val="36"/>
      <w:szCs w:val="36"/>
      <w:lang w:bidi="en-US"/>
    </w:rPr>
  </w:style>
  <w:style w:type="paragraph" w:styleId="Heading2">
    <w:name w:val="heading 2"/>
    <w:basedOn w:val="Normal"/>
    <w:next w:val="Normal"/>
    <w:link w:val="Heading2Char"/>
    <w:uiPriority w:val="9"/>
    <w:unhideWhenUsed/>
    <w:qFormat/>
    <w:rsid w:val="00644B12"/>
    <w:pPr>
      <w:spacing w:before="200" w:after="0" w:line="271" w:lineRule="auto"/>
      <w:outlineLvl w:val="1"/>
    </w:pPr>
    <w:rPr>
      <w:smallCaps/>
      <w:sz w:val="28"/>
      <w:szCs w:val="28"/>
      <w:lang w:bidi="en-US"/>
    </w:rPr>
  </w:style>
  <w:style w:type="paragraph" w:styleId="Heading3">
    <w:name w:val="heading 3"/>
    <w:basedOn w:val="Normal"/>
    <w:next w:val="Normal"/>
    <w:link w:val="Heading3Char"/>
    <w:uiPriority w:val="9"/>
    <w:unhideWhenUsed/>
    <w:qFormat/>
    <w:rsid w:val="00644B12"/>
    <w:pPr>
      <w:spacing w:before="200" w:after="0" w:line="271" w:lineRule="auto"/>
      <w:outlineLvl w:val="2"/>
    </w:pPr>
    <w:rPr>
      <w:i/>
      <w:iCs/>
      <w:smallCaps/>
      <w:spacing w:val="5"/>
      <w:sz w:val="26"/>
      <w:szCs w:val="26"/>
      <w:lang w:bidi="en-US"/>
    </w:rPr>
  </w:style>
  <w:style w:type="paragraph" w:styleId="Heading4">
    <w:name w:val="heading 4"/>
    <w:basedOn w:val="Normal"/>
    <w:next w:val="Normal"/>
    <w:link w:val="Heading4Char"/>
    <w:uiPriority w:val="9"/>
    <w:semiHidden/>
    <w:unhideWhenUsed/>
    <w:qFormat/>
    <w:rsid w:val="00644B12"/>
    <w:pPr>
      <w:spacing w:after="0" w:line="271" w:lineRule="auto"/>
      <w:outlineLvl w:val="3"/>
    </w:pPr>
    <w:rPr>
      <w:b/>
      <w:bCs/>
      <w:spacing w:val="5"/>
      <w:sz w:val="24"/>
      <w:szCs w:val="24"/>
      <w:lang w:bidi="en-US"/>
    </w:rPr>
  </w:style>
  <w:style w:type="paragraph" w:styleId="Heading5">
    <w:name w:val="heading 5"/>
    <w:basedOn w:val="Normal"/>
    <w:next w:val="Normal"/>
    <w:link w:val="Heading5Char"/>
    <w:uiPriority w:val="9"/>
    <w:semiHidden/>
    <w:unhideWhenUsed/>
    <w:qFormat/>
    <w:rsid w:val="00644B12"/>
    <w:pPr>
      <w:spacing w:after="0" w:line="271" w:lineRule="auto"/>
      <w:outlineLvl w:val="4"/>
    </w:pPr>
    <w:rPr>
      <w:i/>
      <w:iCs/>
      <w:sz w:val="24"/>
      <w:szCs w:val="24"/>
      <w:lang w:bidi="en-US"/>
    </w:rPr>
  </w:style>
  <w:style w:type="paragraph" w:styleId="Heading6">
    <w:name w:val="heading 6"/>
    <w:basedOn w:val="Normal"/>
    <w:next w:val="Normal"/>
    <w:link w:val="Heading6Char"/>
    <w:uiPriority w:val="9"/>
    <w:semiHidden/>
    <w:unhideWhenUsed/>
    <w:qFormat/>
    <w:rsid w:val="00644B12"/>
    <w:pPr>
      <w:shd w:val="clear" w:color="auto" w:fill="FFFFFF" w:themeFill="background1"/>
      <w:spacing w:after="0" w:line="271" w:lineRule="auto"/>
      <w:outlineLvl w:val="5"/>
    </w:pPr>
    <w:rPr>
      <w:b/>
      <w:bCs/>
      <w:color w:val="595959" w:themeColor="text1" w:themeTint="A6"/>
      <w:spacing w:val="5"/>
      <w:lang w:bidi="en-US"/>
    </w:rPr>
  </w:style>
  <w:style w:type="paragraph" w:styleId="Heading7">
    <w:name w:val="heading 7"/>
    <w:basedOn w:val="Normal"/>
    <w:next w:val="Normal"/>
    <w:link w:val="Heading7Char"/>
    <w:uiPriority w:val="9"/>
    <w:semiHidden/>
    <w:unhideWhenUsed/>
    <w:qFormat/>
    <w:rsid w:val="00644B12"/>
    <w:pPr>
      <w:spacing w:after="0"/>
      <w:outlineLvl w:val="6"/>
    </w:pPr>
    <w:rPr>
      <w:b/>
      <w:bCs/>
      <w:i/>
      <w:iCs/>
      <w:color w:val="5A5A5A" w:themeColor="text1" w:themeTint="A5"/>
      <w:sz w:val="20"/>
      <w:szCs w:val="20"/>
      <w:lang w:bidi="en-US"/>
    </w:rPr>
  </w:style>
  <w:style w:type="paragraph" w:styleId="Heading8">
    <w:name w:val="heading 8"/>
    <w:basedOn w:val="Normal"/>
    <w:next w:val="Normal"/>
    <w:link w:val="Heading8Char"/>
    <w:uiPriority w:val="9"/>
    <w:semiHidden/>
    <w:unhideWhenUsed/>
    <w:qFormat/>
    <w:rsid w:val="00644B12"/>
    <w:pPr>
      <w:spacing w:after="0"/>
      <w:outlineLvl w:val="7"/>
    </w:pPr>
    <w:rPr>
      <w:b/>
      <w:bCs/>
      <w:color w:val="7F7F7F" w:themeColor="text1" w:themeTint="80"/>
      <w:sz w:val="20"/>
      <w:szCs w:val="20"/>
      <w:lang w:bidi="en-US"/>
    </w:rPr>
  </w:style>
  <w:style w:type="paragraph" w:styleId="Heading9">
    <w:name w:val="heading 9"/>
    <w:basedOn w:val="Normal"/>
    <w:next w:val="Normal"/>
    <w:link w:val="Heading9Char"/>
    <w:uiPriority w:val="9"/>
    <w:semiHidden/>
    <w:unhideWhenUsed/>
    <w:qFormat/>
    <w:rsid w:val="00644B12"/>
    <w:pPr>
      <w:spacing w:after="0" w:line="271" w:lineRule="auto"/>
      <w:outlineLvl w:val="8"/>
    </w:pPr>
    <w:rPr>
      <w:b/>
      <w:bCs/>
      <w:i/>
      <w:iCs/>
      <w:color w:val="7F7F7F" w:themeColor="text1" w:themeTint="80"/>
      <w:sz w:val="18"/>
      <w:szCs w:val="1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B12"/>
    <w:rPr>
      <w:smallCaps/>
      <w:spacing w:val="5"/>
      <w:sz w:val="36"/>
      <w:szCs w:val="36"/>
      <w:lang w:bidi="en-US"/>
    </w:rPr>
  </w:style>
  <w:style w:type="character" w:customStyle="1" w:styleId="Heading2Char">
    <w:name w:val="Heading 2 Char"/>
    <w:basedOn w:val="DefaultParagraphFont"/>
    <w:link w:val="Heading2"/>
    <w:uiPriority w:val="9"/>
    <w:rsid w:val="00644B12"/>
    <w:rPr>
      <w:smallCaps/>
      <w:sz w:val="28"/>
      <w:szCs w:val="28"/>
      <w:lang w:bidi="en-US"/>
    </w:rPr>
  </w:style>
  <w:style w:type="character" w:customStyle="1" w:styleId="Heading3Char">
    <w:name w:val="Heading 3 Char"/>
    <w:basedOn w:val="DefaultParagraphFont"/>
    <w:link w:val="Heading3"/>
    <w:uiPriority w:val="9"/>
    <w:rsid w:val="00644B12"/>
    <w:rPr>
      <w:i/>
      <w:iCs/>
      <w:smallCaps/>
      <w:spacing w:val="5"/>
      <w:sz w:val="26"/>
      <w:szCs w:val="26"/>
      <w:lang w:bidi="en-US"/>
    </w:rPr>
  </w:style>
  <w:style w:type="paragraph" w:styleId="TOCHeading">
    <w:name w:val="TOC Heading"/>
    <w:basedOn w:val="Heading1"/>
    <w:next w:val="Normal"/>
    <w:uiPriority w:val="39"/>
    <w:unhideWhenUsed/>
    <w:qFormat/>
    <w:rsid w:val="00644B12"/>
    <w:pPr>
      <w:outlineLvl w:val="9"/>
    </w:pPr>
  </w:style>
  <w:style w:type="paragraph" w:styleId="TOC3">
    <w:name w:val="toc 3"/>
    <w:basedOn w:val="Normal"/>
    <w:next w:val="Normal"/>
    <w:autoRedefine/>
    <w:uiPriority w:val="39"/>
    <w:unhideWhenUsed/>
    <w:rsid w:val="00171EC0"/>
    <w:pPr>
      <w:spacing w:after="100"/>
      <w:ind w:left="440"/>
    </w:pPr>
  </w:style>
  <w:style w:type="paragraph" w:styleId="TOC1">
    <w:name w:val="toc 1"/>
    <w:basedOn w:val="Normal"/>
    <w:next w:val="Normal"/>
    <w:autoRedefine/>
    <w:uiPriority w:val="39"/>
    <w:unhideWhenUsed/>
    <w:rsid w:val="00171EC0"/>
    <w:pPr>
      <w:spacing w:after="100"/>
    </w:pPr>
  </w:style>
  <w:style w:type="character" w:styleId="Hyperlink">
    <w:name w:val="Hyperlink"/>
    <w:basedOn w:val="DefaultParagraphFont"/>
    <w:uiPriority w:val="99"/>
    <w:unhideWhenUsed/>
    <w:rsid w:val="00171EC0"/>
    <w:rPr>
      <w:color w:val="0000FF" w:themeColor="hyperlink"/>
      <w:u w:val="single"/>
    </w:rPr>
  </w:style>
  <w:style w:type="character" w:customStyle="1" w:styleId="Heading4Char">
    <w:name w:val="Heading 4 Char"/>
    <w:basedOn w:val="DefaultParagraphFont"/>
    <w:link w:val="Heading4"/>
    <w:uiPriority w:val="9"/>
    <w:semiHidden/>
    <w:rsid w:val="00644B12"/>
    <w:rPr>
      <w:b/>
      <w:bCs/>
      <w:spacing w:val="5"/>
      <w:sz w:val="24"/>
      <w:szCs w:val="24"/>
      <w:lang w:bidi="en-US"/>
    </w:rPr>
  </w:style>
  <w:style w:type="character" w:customStyle="1" w:styleId="Heading5Char">
    <w:name w:val="Heading 5 Char"/>
    <w:basedOn w:val="DefaultParagraphFont"/>
    <w:link w:val="Heading5"/>
    <w:uiPriority w:val="9"/>
    <w:semiHidden/>
    <w:rsid w:val="00644B12"/>
    <w:rPr>
      <w:i/>
      <w:iCs/>
      <w:sz w:val="24"/>
      <w:szCs w:val="24"/>
      <w:lang w:bidi="en-US"/>
    </w:rPr>
  </w:style>
  <w:style w:type="character" w:customStyle="1" w:styleId="Heading6Char">
    <w:name w:val="Heading 6 Char"/>
    <w:basedOn w:val="DefaultParagraphFont"/>
    <w:link w:val="Heading6"/>
    <w:uiPriority w:val="9"/>
    <w:semiHidden/>
    <w:rsid w:val="00644B12"/>
    <w:rPr>
      <w:b/>
      <w:bCs/>
      <w:color w:val="595959" w:themeColor="text1" w:themeTint="A6"/>
      <w:spacing w:val="5"/>
      <w:shd w:val="clear" w:color="auto" w:fill="FFFFFF" w:themeFill="background1"/>
      <w:lang w:bidi="en-US"/>
    </w:rPr>
  </w:style>
  <w:style w:type="character" w:customStyle="1" w:styleId="Heading7Char">
    <w:name w:val="Heading 7 Char"/>
    <w:basedOn w:val="DefaultParagraphFont"/>
    <w:link w:val="Heading7"/>
    <w:uiPriority w:val="9"/>
    <w:semiHidden/>
    <w:rsid w:val="00644B12"/>
    <w:rPr>
      <w:b/>
      <w:bCs/>
      <w:i/>
      <w:iCs/>
      <w:color w:val="5A5A5A" w:themeColor="text1" w:themeTint="A5"/>
      <w:sz w:val="20"/>
      <w:szCs w:val="20"/>
      <w:lang w:bidi="en-US"/>
    </w:rPr>
  </w:style>
  <w:style w:type="character" w:customStyle="1" w:styleId="Heading8Char">
    <w:name w:val="Heading 8 Char"/>
    <w:basedOn w:val="DefaultParagraphFont"/>
    <w:link w:val="Heading8"/>
    <w:uiPriority w:val="9"/>
    <w:semiHidden/>
    <w:rsid w:val="00644B12"/>
    <w:rPr>
      <w:b/>
      <w:bCs/>
      <w:color w:val="7F7F7F" w:themeColor="text1" w:themeTint="80"/>
      <w:sz w:val="20"/>
      <w:szCs w:val="20"/>
      <w:lang w:bidi="en-US"/>
    </w:rPr>
  </w:style>
  <w:style w:type="character" w:customStyle="1" w:styleId="Heading9Char">
    <w:name w:val="Heading 9 Char"/>
    <w:basedOn w:val="DefaultParagraphFont"/>
    <w:link w:val="Heading9"/>
    <w:uiPriority w:val="9"/>
    <w:semiHidden/>
    <w:rsid w:val="00644B12"/>
    <w:rPr>
      <w:b/>
      <w:bCs/>
      <w:i/>
      <w:iCs/>
      <w:color w:val="7F7F7F" w:themeColor="text1" w:themeTint="80"/>
      <w:sz w:val="18"/>
      <w:szCs w:val="18"/>
      <w:lang w:bidi="en-US"/>
    </w:rPr>
  </w:style>
  <w:style w:type="paragraph" w:styleId="Caption">
    <w:name w:val="caption"/>
    <w:basedOn w:val="Normal"/>
    <w:next w:val="Normal"/>
    <w:uiPriority w:val="35"/>
    <w:semiHidden/>
    <w:unhideWhenUsed/>
    <w:rsid w:val="001873C1"/>
    <w:pPr>
      <w:spacing w:line="240" w:lineRule="auto"/>
    </w:pPr>
    <w:rPr>
      <w:i/>
      <w:iCs/>
      <w:color w:val="1F497D" w:themeColor="text2"/>
      <w:sz w:val="18"/>
      <w:szCs w:val="18"/>
    </w:rPr>
  </w:style>
  <w:style w:type="paragraph" w:styleId="Title">
    <w:name w:val="Title"/>
    <w:basedOn w:val="Normal"/>
    <w:next w:val="Normal"/>
    <w:link w:val="TitleChar"/>
    <w:uiPriority w:val="10"/>
    <w:qFormat/>
    <w:rsid w:val="00644B12"/>
    <w:pPr>
      <w:spacing w:after="300" w:line="240" w:lineRule="auto"/>
      <w:contextualSpacing/>
    </w:pPr>
    <w:rPr>
      <w:smallCaps/>
      <w:sz w:val="52"/>
      <w:szCs w:val="52"/>
      <w:lang w:bidi="en-US"/>
    </w:rPr>
  </w:style>
  <w:style w:type="character" w:customStyle="1" w:styleId="TitleChar">
    <w:name w:val="Title Char"/>
    <w:basedOn w:val="DefaultParagraphFont"/>
    <w:link w:val="Title"/>
    <w:uiPriority w:val="10"/>
    <w:rsid w:val="00644B12"/>
    <w:rPr>
      <w:smallCaps/>
      <w:sz w:val="52"/>
      <w:szCs w:val="52"/>
      <w:lang w:bidi="en-US"/>
    </w:rPr>
  </w:style>
  <w:style w:type="paragraph" w:styleId="Subtitle">
    <w:name w:val="Subtitle"/>
    <w:basedOn w:val="Normal"/>
    <w:next w:val="Normal"/>
    <w:link w:val="SubtitleChar"/>
    <w:uiPriority w:val="11"/>
    <w:qFormat/>
    <w:rsid w:val="00644B12"/>
    <w:rPr>
      <w:i/>
      <w:iCs/>
      <w:smallCaps/>
      <w:spacing w:val="10"/>
      <w:sz w:val="28"/>
      <w:szCs w:val="28"/>
      <w:lang w:bidi="en-US"/>
    </w:rPr>
  </w:style>
  <w:style w:type="character" w:customStyle="1" w:styleId="SubtitleChar">
    <w:name w:val="Subtitle Char"/>
    <w:basedOn w:val="DefaultParagraphFont"/>
    <w:link w:val="Subtitle"/>
    <w:uiPriority w:val="11"/>
    <w:rsid w:val="00644B12"/>
    <w:rPr>
      <w:i/>
      <w:iCs/>
      <w:smallCaps/>
      <w:spacing w:val="10"/>
      <w:sz w:val="28"/>
      <w:szCs w:val="28"/>
      <w:lang w:bidi="en-US"/>
    </w:rPr>
  </w:style>
  <w:style w:type="character" w:styleId="Strong">
    <w:name w:val="Strong"/>
    <w:uiPriority w:val="22"/>
    <w:qFormat/>
    <w:rsid w:val="00644B12"/>
    <w:rPr>
      <w:b/>
      <w:bCs/>
    </w:rPr>
  </w:style>
  <w:style w:type="character" w:styleId="Emphasis">
    <w:name w:val="Emphasis"/>
    <w:uiPriority w:val="20"/>
    <w:qFormat/>
    <w:rsid w:val="00644B12"/>
    <w:rPr>
      <w:b/>
      <w:bCs/>
      <w:i/>
      <w:iCs/>
      <w:spacing w:val="10"/>
    </w:rPr>
  </w:style>
  <w:style w:type="paragraph" w:styleId="NoSpacing">
    <w:name w:val="No Spacing"/>
    <w:basedOn w:val="Normal"/>
    <w:link w:val="NoSpacingChar"/>
    <w:uiPriority w:val="1"/>
    <w:qFormat/>
    <w:rsid w:val="00644B12"/>
    <w:pPr>
      <w:spacing w:after="0" w:line="240" w:lineRule="auto"/>
    </w:pPr>
  </w:style>
  <w:style w:type="paragraph" w:styleId="Quote">
    <w:name w:val="Quote"/>
    <w:basedOn w:val="Normal"/>
    <w:next w:val="Normal"/>
    <w:link w:val="QuoteChar"/>
    <w:uiPriority w:val="29"/>
    <w:qFormat/>
    <w:rsid w:val="00644B12"/>
    <w:rPr>
      <w:i/>
      <w:iCs/>
      <w:lang w:bidi="en-US"/>
    </w:rPr>
  </w:style>
  <w:style w:type="character" w:customStyle="1" w:styleId="QuoteChar">
    <w:name w:val="Quote Char"/>
    <w:basedOn w:val="DefaultParagraphFont"/>
    <w:link w:val="Quote"/>
    <w:uiPriority w:val="29"/>
    <w:rsid w:val="00644B12"/>
    <w:rPr>
      <w:i/>
      <w:iCs/>
      <w:lang w:bidi="en-US"/>
    </w:rPr>
  </w:style>
  <w:style w:type="paragraph" w:styleId="IntenseQuote">
    <w:name w:val="Intense Quote"/>
    <w:basedOn w:val="Normal"/>
    <w:next w:val="Normal"/>
    <w:link w:val="IntenseQuoteChar"/>
    <w:uiPriority w:val="30"/>
    <w:qFormat/>
    <w:rsid w:val="00644B12"/>
    <w:pPr>
      <w:pBdr>
        <w:top w:val="single" w:sz="4" w:space="10" w:color="auto"/>
        <w:bottom w:val="single" w:sz="4" w:space="10" w:color="auto"/>
      </w:pBdr>
      <w:spacing w:before="240" w:after="240" w:line="300" w:lineRule="auto"/>
      <w:ind w:left="1152" w:right="1152"/>
      <w:jc w:val="both"/>
    </w:pPr>
    <w:rPr>
      <w:i/>
      <w:iCs/>
      <w:lang w:bidi="en-US"/>
    </w:rPr>
  </w:style>
  <w:style w:type="character" w:customStyle="1" w:styleId="IntenseQuoteChar">
    <w:name w:val="Intense Quote Char"/>
    <w:basedOn w:val="DefaultParagraphFont"/>
    <w:link w:val="IntenseQuote"/>
    <w:uiPriority w:val="30"/>
    <w:rsid w:val="00644B12"/>
    <w:rPr>
      <w:i/>
      <w:iCs/>
      <w:lang w:bidi="en-US"/>
    </w:rPr>
  </w:style>
  <w:style w:type="character" w:styleId="SubtleEmphasis">
    <w:name w:val="Subtle Emphasis"/>
    <w:uiPriority w:val="19"/>
    <w:qFormat/>
    <w:rsid w:val="00644B12"/>
    <w:rPr>
      <w:i/>
      <w:iCs/>
    </w:rPr>
  </w:style>
  <w:style w:type="character" w:styleId="IntenseEmphasis">
    <w:name w:val="Intense Emphasis"/>
    <w:uiPriority w:val="21"/>
    <w:qFormat/>
    <w:rsid w:val="00644B12"/>
    <w:rPr>
      <w:b/>
      <w:bCs/>
      <w:i/>
      <w:iCs/>
    </w:rPr>
  </w:style>
  <w:style w:type="character" w:styleId="SubtleReference">
    <w:name w:val="Subtle Reference"/>
    <w:basedOn w:val="DefaultParagraphFont"/>
    <w:uiPriority w:val="31"/>
    <w:qFormat/>
    <w:rsid w:val="00644B12"/>
    <w:rPr>
      <w:smallCaps/>
    </w:rPr>
  </w:style>
  <w:style w:type="character" w:styleId="IntenseReference">
    <w:name w:val="Intense Reference"/>
    <w:uiPriority w:val="32"/>
    <w:qFormat/>
    <w:rsid w:val="00644B12"/>
    <w:rPr>
      <w:b/>
      <w:bCs/>
      <w:smallCaps/>
    </w:rPr>
  </w:style>
  <w:style w:type="character" w:styleId="BookTitle">
    <w:name w:val="Book Title"/>
    <w:basedOn w:val="DefaultParagraphFont"/>
    <w:uiPriority w:val="33"/>
    <w:qFormat/>
    <w:rsid w:val="00644B12"/>
    <w:rPr>
      <w:i/>
      <w:iCs/>
      <w:smallCaps/>
      <w:spacing w:val="5"/>
    </w:rPr>
  </w:style>
  <w:style w:type="character" w:customStyle="1" w:styleId="NoSpacingChar">
    <w:name w:val="No Spacing Char"/>
    <w:basedOn w:val="DefaultParagraphFont"/>
    <w:link w:val="NoSpacing"/>
    <w:uiPriority w:val="1"/>
    <w:rsid w:val="001873C1"/>
  </w:style>
  <w:style w:type="paragraph" w:styleId="ListParagraph">
    <w:name w:val="List Paragraph"/>
    <w:basedOn w:val="Normal"/>
    <w:uiPriority w:val="34"/>
    <w:qFormat/>
    <w:rsid w:val="00644B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209297">
      <w:bodyDiv w:val="1"/>
      <w:marLeft w:val="0"/>
      <w:marRight w:val="0"/>
      <w:marTop w:val="0"/>
      <w:marBottom w:val="0"/>
      <w:divBdr>
        <w:top w:val="none" w:sz="0" w:space="0" w:color="auto"/>
        <w:left w:val="none" w:sz="0" w:space="0" w:color="auto"/>
        <w:bottom w:val="none" w:sz="0" w:space="0" w:color="auto"/>
        <w:right w:val="none" w:sz="0" w:space="0" w:color="auto"/>
      </w:divBdr>
    </w:div>
    <w:div w:id="458187723">
      <w:bodyDiv w:val="1"/>
      <w:marLeft w:val="0"/>
      <w:marRight w:val="0"/>
      <w:marTop w:val="0"/>
      <w:marBottom w:val="0"/>
      <w:divBdr>
        <w:top w:val="none" w:sz="0" w:space="0" w:color="auto"/>
        <w:left w:val="none" w:sz="0" w:space="0" w:color="auto"/>
        <w:bottom w:val="none" w:sz="0" w:space="0" w:color="auto"/>
        <w:right w:val="none" w:sz="0" w:space="0" w:color="auto"/>
      </w:divBdr>
    </w:div>
    <w:div w:id="559022443">
      <w:bodyDiv w:val="1"/>
      <w:marLeft w:val="0"/>
      <w:marRight w:val="0"/>
      <w:marTop w:val="0"/>
      <w:marBottom w:val="0"/>
      <w:divBdr>
        <w:top w:val="none" w:sz="0" w:space="0" w:color="auto"/>
        <w:left w:val="none" w:sz="0" w:space="0" w:color="auto"/>
        <w:bottom w:val="none" w:sz="0" w:space="0" w:color="auto"/>
        <w:right w:val="none" w:sz="0" w:space="0" w:color="auto"/>
      </w:divBdr>
    </w:div>
    <w:div w:id="773287616">
      <w:bodyDiv w:val="1"/>
      <w:marLeft w:val="0"/>
      <w:marRight w:val="0"/>
      <w:marTop w:val="0"/>
      <w:marBottom w:val="0"/>
      <w:divBdr>
        <w:top w:val="none" w:sz="0" w:space="0" w:color="auto"/>
        <w:left w:val="none" w:sz="0" w:space="0" w:color="auto"/>
        <w:bottom w:val="none" w:sz="0" w:space="0" w:color="auto"/>
        <w:right w:val="none" w:sz="0" w:space="0" w:color="auto"/>
      </w:divBdr>
    </w:div>
    <w:div w:id="895706656">
      <w:bodyDiv w:val="1"/>
      <w:marLeft w:val="0"/>
      <w:marRight w:val="0"/>
      <w:marTop w:val="0"/>
      <w:marBottom w:val="0"/>
      <w:divBdr>
        <w:top w:val="none" w:sz="0" w:space="0" w:color="auto"/>
        <w:left w:val="none" w:sz="0" w:space="0" w:color="auto"/>
        <w:bottom w:val="none" w:sz="0" w:space="0" w:color="auto"/>
        <w:right w:val="none" w:sz="0" w:space="0" w:color="auto"/>
      </w:divBdr>
    </w:div>
    <w:div w:id="918447079">
      <w:bodyDiv w:val="1"/>
      <w:marLeft w:val="0"/>
      <w:marRight w:val="0"/>
      <w:marTop w:val="0"/>
      <w:marBottom w:val="0"/>
      <w:divBdr>
        <w:top w:val="none" w:sz="0" w:space="0" w:color="auto"/>
        <w:left w:val="none" w:sz="0" w:space="0" w:color="auto"/>
        <w:bottom w:val="none" w:sz="0" w:space="0" w:color="auto"/>
        <w:right w:val="none" w:sz="0" w:space="0" w:color="auto"/>
      </w:divBdr>
    </w:div>
    <w:div w:id="1240090466">
      <w:bodyDiv w:val="1"/>
      <w:marLeft w:val="0"/>
      <w:marRight w:val="0"/>
      <w:marTop w:val="0"/>
      <w:marBottom w:val="0"/>
      <w:divBdr>
        <w:top w:val="none" w:sz="0" w:space="0" w:color="auto"/>
        <w:left w:val="none" w:sz="0" w:space="0" w:color="auto"/>
        <w:bottom w:val="none" w:sz="0" w:space="0" w:color="auto"/>
        <w:right w:val="none" w:sz="0" w:space="0" w:color="auto"/>
      </w:divBdr>
    </w:div>
    <w:div w:id="1464885671">
      <w:bodyDiv w:val="1"/>
      <w:marLeft w:val="0"/>
      <w:marRight w:val="0"/>
      <w:marTop w:val="0"/>
      <w:marBottom w:val="0"/>
      <w:divBdr>
        <w:top w:val="none" w:sz="0" w:space="0" w:color="auto"/>
        <w:left w:val="none" w:sz="0" w:space="0" w:color="auto"/>
        <w:bottom w:val="none" w:sz="0" w:space="0" w:color="auto"/>
        <w:right w:val="none" w:sz="0" w:space="0" w:color="auto"/>
      </w:divBdr>
    </w:div>
    <w:div w:id="1633560174">
      <w:bodyDiv w:val="1"/>
      <w:marLeft w:val="0"/>
      <w:marRight w:val="0"/>
      <w:marTop w:val="0"/>
      <w:marBottom w:val="0"/>
      <w:divBdr>
        <w:top w:val="none" w:sz="0" w:space="0" w:color="auto"/>
        <w:left w:val="none" w:sz="0" w:space="0" w:color="auto"/>
        <w:bottom w:val="none" w:sz="0" w:space="0" w:color="auto"/>
        <w:right w:val="none" w:sz="0" w:space="0" w:color="auto"/>
      </w:divBdr>
    </w:div>
    <w:div w:id="1789006665">
      <w:bodyDiv w:val="1"/>
      <w:marLeft w:val="0"/>
      <w:marRight w:val="0"/>
      <w:marTop w:val="0"/>
      <w:marBottom w:val="0"/>
      <w:divBdr>
        <w:top w:val="none" w:sz="0" w:space="0" w:color="auto"/>
        <w:left w:val="none" w:sz="0" w:space="0" w:color="auto"/>
        <w:bottom w:val="none" w:sz="0" w:space="0" w:color="auto"/>
        <w:right w:val="none" w:sz="0" w:space="0" w:color="auto"/>
      </w:divBdr>
    </w:div>
    <w:div w:id="191669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D51BD-D15D-4F92-85D7-371CA4075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2320</Words>
  <Characters>13228</Characters>
  <Application>Microsoft Office Word</Application>
  <DocSecurity>0</DocSecurity>
  <Lines>110</Lines>
  <Paragraphs>31</Paragraphs>
  <ScaleCrop>false</ScaleCrop>
  <Company>Grizli777</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2023-11-11T21:48:00Z</dcterms:created>
  <dcterms:modified xsi:type="dcterms:W3CDTF">2023-11-11T21:48:00Z</dcterms:modified>
</cp:coreProperties>
</file>