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D8EE18" w14:textId="005459C0" w:rsidR="001518C2" w:rsidRDefault="007E11D9">
      <w:pPr>
        <w:spacing w:after="20"/>
      </w:pPr>
      <w:r>
        <w:t xml:space="preserve">  </w:t>
      </w:r>
      <w:r w:rsidR="00855895">
        <w:t xml:space="preserve">             </w:t>
      </w:r>
      <w:r>
        <w:t xml:space="preserve">  </w:t>
      </w:r>
      <w:r w:rsidR="00855895">
        <w:t>IND</w:t>
      </w:r>
      <w:r w:rsidR="00C97DD1">
        <w:t>IVIDUAL</w:t>
      </w:r>
      <w:r w:rsidR="00855895">
        <w:t xml:space="preserve"> REPORT </w:t>
      </w:r>
    </w:p>
    <w:p w14:paraId="2D456D79" w14:textId="45BB874D" w:rsidR="001518C2" w:rsidRPr="00537933" w:rsidRDefault="001518C2" w:rsidP="006A78CF">
      <w:pPr>
        <w:spacing w:before="0" w:after="0" w:line="240" w:lineRule="auto"/>
        <w:ind w:firstLine="0"/>
        <w:rPr>
          <w:sz w:val="24"/>
          <w:szCs w:val="24"/>
        </w:rPr>
      </w:pPr>
    </w:p>
    <w:tbl>
      <w:tblPr>
        <w:tblW w:w="5000" w:type="pct"/>
        <w:jc w:val="center"/>
        <w:tblLook w:val="04A0" w:firstRow="1" w:lastRow="0" w:firstColumn="1" w:lastColumn="0" w:noHBand="0" w:noVBand="1"/>
      </w:tblPr>
      <w:tblGrid>
        <w:gridCol w:w="2254"/>
        <w:gridCol w:w="2254"/>
        <w:gridCol w:w="2254"/>
        <w:gridCol w:w="2254"/>
      </w:tblGrid>
      <w:tr w:rsidR="001518C2" w:rsidRPr="00537933" w14:paraId="253B3183" w14:textId="77777777" w:rsidTr="004A1DFA">
        <w:trPr>
          <w:cantSplit/>
          <w:jc w:val="center"/>
        </w:trPr>
        <w:tc>
          <w:tcPr>
            <w:tcW w:w="1250" w:type="pct"/>
            <w:tcBorders>
              <w:top w:val="single" w:sz="4" w:space="0" w:color="888888"/>
              <w:left w:val="single" w:sz="4" w:space="0" w:color="888888"/>
              <w:bottom w:val="single" w:sz="4" w:space="0" w:color="888888"/>
              <w:right w:val="single" w:sz="4" w:space="0" w:color="888888"/>
            </w:tcBorders>
            <w:shd w:val="clear" w:color="auto" w:fill="E7E6E6"/>
            <w:tcMar>
              <w:top w:w="70" w:type="dxa"/>
              <w:left w:w="80" w:type="dxa"/>
              <w:bottom w:w="70" w:type="dxa"/>
              <w:right w:w="80" w:type="dxa"/>
            </w:tcMar>
            <w:vAlign w:val="center"/>
          </w:tcPr>
          <w:p w14:paraId="5B858057" w14:textId="77777777" w:rsidR="001518C2" w:rsidRPr="00537933" w:rsidRDefault="00D53DB3" w:rsidP="006A78CF">
            <w:pPr>
              <w:spacing w:before="0" w:after="0" w:line="240" w:lineRule="auto"/>
              <w:ind w:firstLine="0"/>
              <w:rPr>
                <w:sz w:val="24"/>
                <w:szCs w:val="24"/>
              </w:rPr>
            </w:pPr>
            <w:r w:rsidRPr="00537933">
              <w:rPr>
                <w:b/>
                <w:sz w:val="24"/>
                <w:szCs w:val="24"/>
                <w:lang w:val="en-GB"/>
              </w:rPr>
              <w:t>Name</w:t>
            </w:r>
          </w:p>
        </w:tc>
        <w:tc>
          <w:tcPr>
            <w:tcW w:w="1250" w:type="pct"/>
            <w:tcBorders>
              <w:top w:val="single" w:sz="4" w:space="0" w:color="888888"/>
              <w:left w:val="single" w:sz="4" w:space="0" w:color="888888"/>
              <w:bottom w:val="single" w:sz="4" w:space="0" w:color="888888"/>
              <w:right w:val="single" w:sz="4" w:space="0" w:color="888888"/>
            </w:tcBorders>
            <w:tcMar>
              <w:top w:w="70" w:type="dxa"/>
              <w:left w:w="80" w:type="dxa"/>
              <w:bottom w:w="70" w:type="dxa"/>
              <w:right w:w="80" w:type="dxa"/>
            </w:tcMar>
            <w:vAlign w:val="center"/>
          </w:tcPr>
          <w:p w14:paraId="2B996B17" w14:textId="77777777" w:rsidR="001518C2" w:rsidRPr="00537933" w:rsidRDefault="00D53DB3" w:rsidP="006A78CF">
            <w:pPr>
              <w:spacing w:before="0" w:after="0" w:line="240" w:lineRule="auto"/>
              <w:ind w:firstLine="0"/>
              <w:rPr>
                <w:sz w:val="24"/>
                <w:szCs w:val="24"/>
              </w:rPr>
            </w:pPr>
            <w:r w:rsidRPr="00537933">
              <w:rPr>
                <w:sz w:val="24"/>
                <w:szCs w:val="24"/>
                <w:lang w:val="en-GB"/>
              </w:rPr>
              <w:t>Olivier Degri</w:t>
            </w:r>
          </w:p>
        </w:tc>
        <w:tc>
          <w:tcPr>
            <w:tcW w:w="1250" w:type="pct"/>
            <w:tcBorders>
              <w:top w:val="single" w:sz="4" w:space="0" w:color="888888"/>
              <w:left w:val="single" w:sz="4" w:space="0" w:color="888888"/>
              <w:bottom w:val="single" w:sz="4" w:space="0" w:color="888888"/>
              <w:right w:val="single" w:sz="4" w:space="0" w:color="888888"/>
            </w:tcBorders>
            <w:shd w:val="clear" w:color="auto" w:fill="E7E6E6"/>
            <w:tcMar>
              <w:top w:w="70" w:type="dxa"/>
              <w:left w:w="80" w:type="dxa"/>
              <w:bottom w:w="70" w:type="dxa"/>
              <w:right w:w="80" w:type="dxa"/>
            </w:tcMar>
            <w:vAlign w:val="center"/>
          </w:tcPr>
          <w:p w14:paraId="37AE10E5" w14:textId="77777777" w:rsidR="001518C2" w:rsidRPr="00537933" w:rsidRDefault="00D53DB3" w:rsidP="006A78CF">
            <w:pPr>
              <w:spacing w:before="0" w:after="0" w:line="240" w:lineRule="auto"/>
              <w:ind w:firstLine="0"/>
              <w:rPr>
                <w:sz w:val="24"/>
                <w:szCs w:val="24"/>
              </w:rPr>
            </w:pPr>
            <w:r w:rsidRPr="00537933">
              <w:rPr>
                <w:b/>
                <w:sz w:val="24"/>
                <w:szCs w:val="24"/>
                <w:lang w:val="en-GB"/>
              </w:rPr>
              <w:t>Student number</w:t>
            </w:r>
          </w:p>
        </w:tc>
        <w:tc>
          <w:tcPr>
            <w:tcW w:w="1250" w:type="pct"/>
            <w:tcBorders>
              <w:top w:val="single" w:sz="4" w:space="0" w:color="888888"/>
              <w:left w:val="single" w:sz="4" w:space="0" w:color="888888"/>
              <w:bottom w:val="single" w:sz="4" w:space="0" w:color="888888"/>
              <w:right w:val="single" w:sz="4" w:space="0" w:color="888888"/>
            </w:tcBorders>
            <w:tcMar>
              <w:top w:w="70" w:type="dxa"/>
              <w:left w:w="80" w:type="dxa"/>
              <w:bottom w:w="70" w:type="dxa"/>
              <w:right w:w="80" w:type="dxa"/>
            </w:tcMar>
            <w:vAlign w:val="center"/>
          </w:tcPr>
          <w:p w14:paraId="2BCAFC3B" w14:textId="77777777" w:rsidR="001518C2" w:rsidRPr="00537933" w:rsidRDefault="00D53DB3" w:rsidP="006A78CF">
            <w:pPr>
              <w:spacing w:before="0" w:after="0" w:line="240" w:lineRule="auto"/>
              <w:ind w:firstLine="0"/>
              <w:rPr>
                <w:sz w:val="24"/>
                <w:szCs w:val="24"/>
              </w:rPr>
            </w:pPr>
            <w:r w:rsidRPr="00537933">
              <w:rPr>
                <w:sz w:val="24"/>
                <w:szCs w:val="24"/>
                <w:lang w:val="en-GB"/>
              </w:rPr>
              <w:t>2442935</w:t>
            </w:r>
          </w:p>
        </w:tc>
      </w:tr>
      <w:tr w:rsidR="001518C2" w:rsidRPr="00537933" w14:paraId="5B100E7F" w14:textId="77777777" w:rsidTr="004A1DFA">
        <w:trPr>
          <w:cantSplit/>
          <w:jc w:val="center"/>
        </w:trPr>
        <w:tc>
          <w:tcPr>
            <w:tcW w:w="1250" w:type="pct"/>
            <w:tcBorders>
              <w:top w:val="single" w:sz="4" w:space="0" w:color="888888"/>
              <w:left w:val="single" w:sz="4" w:space="0" w:color="888888"/>
              <w:bottom w:val="single" w:sz="4" w:space="0" w:color="888888"/>
              <w:right w:val="single" w:sz="4" w:space="0" w:color="888888"/>
            </w:tcBorders>
            <w:shd w:val="clear" w:color="auto" w:fill="E7E6E6"/>
            <w:tcMar>
              <w:top w:w="70" w:type="dxa"/>
              <w:left w:w="80" w:type="dxa"/>
              <w:bottom w:w="70" w:type="dxa"/>
              <w:right w:w="80" w:type="dxa"/>
            </w:tcMar>
            <w:vAlign w:val="center"/>
          </w:tcPr>
          <w:p w14:paraId="6AE72C67" w14:textId="77777777" w:rsidR="001518C2" w:rsidRPr="00537933" w:rsidRDefault="00D53DB3" w:rsidP="006A78CF">
            <w:pPr>
              <w:spacing w:before="0" w:after="0" w:line="240" w:lineRule="auto"/>
              <w:ind w:firstLine="0"/>
              <w:rPr>
                <w:sz w:val="24"/>
                <w:szCs w:val="24"/>
              </w:rPr>
            </w:pPr>
            <w:r w:rsidRPr="00537933">
              <w:rPr>
                <w:b/>
                <w:sz w:val="24"/>
                <w:szCs w:val="24"/>
                <w:lang w:val="en-GB"/>
              </w:rPr>
              <w:t>Module code</w:t>
            </w:r>
          </w:p>
        </w:tc>
        <w:tc>
          <w:tcPr>
            <w:tcW w:w="1250" w:type="pct"/>
            <w:tcBorders>
              <w:top w:val="single" w:sz="4" w:space="0" w:color="888888"/>
              <w:left w:val="single" w:sz="4" w:space="0" w:color="888888"/>
              <w:bottom w:val="single" w:sz="4" w:space="0" w:color="888888"/>
              <w:right w:val="single" w:sz="4" w:space="0" w:color="888888"/>
            </w:tcBorders>
            <w:tcMar>
              <w:top w:w="70" w:type="dxa"/>
              <w:left w:w="80" w:type="dxa"/>
              <w:bottom w:w="70" w:type="dxa"/>
              <w:right w:w="80" w:type="dxa"/>
            </w:tcMar>
            <w:vAlign w:val="center"/>
          </w:tcPr>
          <w:p w14:paraId="419F6600" w14:textId="77777777" w:rsidR="001518C2" w:rsidRPr="00537933" w:rsidRDefault="00D53DB3" w:rsidP="006A78CF">
            <w:pPr>
              <w:spacing w:before="0" w:after="0" w:line="240" w:lineRule="auto"/>
              <w:ind w:firstLine="0"/>
              <w:rPr>
                <w:sz w:val="24"/>
                <w:szCs w:val="24"/>
              </w:rPr>
            </w:pPr>
            <w:r w:rsidRPr="00537933">
              <w:rPr>
                <w:sz w:val="24"/>
                <w:szCs w:val="24"/>
                <w:lang w:val="en-GB"/>
              </w:rPr>
              <w:t>LCLM5002</w:t>
            </w:r>
          </w:p>
        </w:tc>
        <w:tc>
          <w:tcPr>
            <w:tcW w:w="1250" w:type="pct"/>
            <w:tcBorders>
              <w:top w:val="single" w:sz="4" w:space="0" w:color="888888"/>
              <w:left w:val="single" w:sz="4" w:space="0" w:color="888888"/>
              <w:bottom w:val="single" w:sz="4" w:space="0" w:color="888888"/>
              <w:right w:val="single" w:sz="4" w:space="0" w:color="888888"/>
            </w:tcBorders>
            <w:shd w:val="clear" w:color="auto" w:fill="E7E6E6"/>
            <w:tcMar>
              <w:top w:w="70" w:type="dxa"/>
              <w:left w:w="80" w:type="dxa"/>
              <w:bottom w:w="70" w:type="dxa"/>
              <w:right w:w="80" w:type="dxa"/>
            </w:tcMar>
            <w:vAlign w:val="center"/>
          </w:tcPr>
          <w:p w14:paraId="1B18EE23" w14:textId="77777777" w:rsidR="001518C2" w:rsidRPr="00537933" w:rsidRDefault="00D53DB3" w:rsidP="006A78CF">
            <w:pPr>
              <w:spacing w:before="0" w:after="0" w:line="240" w:lineRule="auto"/>
              <w:ind w:firstLine="0"/>
              <w:rPr>
                <w:sz w:val="24"/>
                <w:szCs w:val="24"/>
              </w:rPr>
            </w:pPr>
            <w:r w:rsidRPr="00537933">
              <w:rPr>
                <w:b/>
                <w:sz w:val="24"/>
                <w:szCs w:val="24"/>
                <w:lang w:val="en-GB"/>
              </w:rPr>
              <w:t>Lecturer</w:t>
            </w:r>
          </w:p>
        </w:tc>
        <w:tc>
          <w:tcPr>
            <w:tcW w:w="1250" w:type="pct"/>
            <w:tcBorders>
              <w:top w:val="single" w:sz="4" w:space="0" w:color="888888"/>
              <w:left w:val="single" w:sz="4" w:space="0" w:color="888888"/>
              <w:bottom w:val="single" w:sz="4" w:space="0" w:color="888888"/>
              <w:right w:val="single" w:sz="4" w:space="0" w:color="888888"/>
            </w:tcBorders>
            <w:tcMar>
              <w:top w:w="70" w:type="dxa"/>
              <w:left w:w="80" w:type="dxa"/>
              <w:bottom w:w="70" w:type="dxa"/>
              <w:right w:w="80" w:type="dxa"/>
            </w:tcMar>
            <w:vAlign w:val="center"/>
          </w:tcPr>
          <w:p w14:paraId="267469EA" w14:textId="77777777" w:rsidR="001518C2" w:rsidRPr="00537933" w:rsidRDefault="00D53DB3" w:rsidP="006A78CF">
            <w:pPr>
              <w:spacing w:before="0" w:after="0" w:line="240" w:lineRule="auto"/>
              <w:ind w:firstLine="0"/>
              <w:rPr>
                <w:sz w:val="24"/>
                <w:szCs w:val="24"/>
              </w:rPr>
            </w:pPr>
            <w:r w:rsidRPr="00537933">
              <w:rPr>
                <w:sz w:val="24"/>
                <w:szCs w:val="24"/>
                <w:lang w:val="en-GB"/>
              </w:rPr>
              <w:t>MUBASHIR QURASHI</w:t>
            </w:r>
          </w:p>
        </w:tc>
      </w:tr>
      <w:tr w:rsidR="001518C2" w:rsidRPr="00537933" w14:paraId="3E2B5638" w14:textId="77777777" w:rsidTr="004A1DFA">
        <w:trPr>
          <w:cantSplit/>
          <w:jc w:val="center"/>
        </w:trPr>
        <w:tc>
          <w:tcPr>
            <w:tcW w:w="1250" w:type="pct"/>
            <w:tcBorders>
              <w:top w:val="single" w:sz="4" w:space="0" w:color="888888"/>
              <w:left w:val="single" w:sz="4" w:space="0" w:color="888888"/>
              <w:bottom w:val="single" w:sz="4" w:space="0" w:color="888888"/>
              <w:right w:val="single" w:sz="4" w:space="0" w:color="888888"/>
            </w:tcBorders>
            <w:shd w:val="clear" w:color="auto" w:fill="E7E6E6"/>
            <w:tcMar>
              <w:top w:w="70" w:type="dxa"/>
              <w:left w:w="80" w:type="dxa"/>
              <w:bottom w:w="70" w:type="dxa"/>
              <w:right w:w="80" w:type="dxa"/>
            </w:tcMar>
            <w:vAlign w:val="center"/>
          </w:tcPr>
          <w:p w14:paraId="12090BD6" w14:textId="77777777" w:rsidR="001518C2" w:rsidRPr="00537933" w:rsidRDefault="00D53DB3" w:rsidP="006A78CF">
            <w:pPr>
              <w:spacing w:before="0" w:after="0" w:line="240" w:lineRule="auto"/>
              <w:ind w:firstLine="0"/>
              <w:rPr>
                <w:sz w:val="24"/>
                <w:szCs w:val="24"/>
              </w:rPr>
            </w:pPr>
            <w:r w:rsidRPr="00537933">
              <w:rPr>
                <w:b/>
                <w:sz w:val="24"/>
                <w:szCs w:val="24"/>
                <w:lang w:val="en-GB"/>
              </w:rPr>
              <w:t>Chosen organisation</w:t>
            </w:r>
          </w:p>
        </w:tc>
        <w:tc>
          <w:tcPr>
            <w:tcW w:w="1250" w:type="pct"/>
            <w:tcBorders>
              <w:top w:val="single" w:sz="4" w:space="0" w:color="888888"/>
              <w:left w:val="single" w:sz="4" w:space="0" w:color="888888"/>
              <w:bottom w:val="single" w:sz="4" w:space="0" w:color="888888"/>
              <w:right w:val="single" w:sz="4" w:space="0" w:color="888888"/>
            </w:tcBorders>
            <w:tcMar>
              <w:top w:w="70" w:type="dxa"/>
              <w:left w:w="80" w:type="dxa"/>
              <w:bottom w:w="70" w:type="dxa"/>
              <w:right w:w="80" w:type="dxa"/>
            </w:tcMar>
            <w:vAlign w:val="center"/>
          </w:tcPr>
          <w:p w14:paraId="0017C13A" w14:textId="77777777" w:rsidR="001518C2" w:rsidRPr="00537933" w:rsidRDefault="00D53DB3" w:rsidP="006A78CF">
            <w:pPr>
              <w:spacing w:before="0" w:after="0" w:line="240" w:lineRule="auto"/>
              <w:ind w:firstLine="0"/>
              <w:rPr>
                <w:sz w:val="24"/>
                <w:szCs w:val="24"/>
              </w:rPr>
            </w:pPr>
            <w:r w:rsidRPr="00537933">
              <w:rPr>
                <w:sz w:val="24"/>
                <w:szCs w:val="24"/>
                <w:lang w:val="en-GB"/>
              </w:rPr>
              <w:t>Tesco PLC</w:t>
            </w:r>
          </w:p>
        </w:tc>
        <w:tc>
          <w:tcPr>
            <w:tcW w:w="1250" w:type="pct"/>
            <w:tcBorders>
              <w:top w:val="single" w:sz="4" w:space="0" w:color="888888"/>
              <w:left w:val="single" w:sz="4" w:space="0" w:color="888888"/>
              <w:bottom w:val="single" w:sz="4" w:space="0" w:color="888888"/>
              <w:right w:val="single" w:sz="4" w:space="0" w:color="888888"/>
            </w:tcBorders>
            <w:shd w:val="clear" w:color="auto" w:fill="E7E6E6"/>
            <w:tcMar>
              <w:top w:w="70" w:type="dxa"/>
              <w:left w:w="80" w:type="dxa"/>
              <w:bottom w:w="70" w:type="dxa"/>
              <w:right w:w="80" w:type="dxa"/>
            </w:tcMar>
            <w:vAlign w:val="center"/>
          </w:tcPr>
          <w:p w14:paraId="2A5C6F31" w14:textId="77777777" w:rsidR="001518C2" w:rsidRPr="00537933" w:rsidRDefault="00D53DB3" w:rsidP="006A78CF">
            <w:pPr>
              <w:spacing w:before="0" w:after="0" w:line="240" w:lineRule="auto"/>
              <w:ind w:firstLine="0"/>
              <w:rPr>
                <w:sz w:val="24"/>
                <w:szCs w:val="24"/>
              </w:rPr>
            </w:pPr>
            <w:r w:rsidRPr="00537933">
              <w:rPr>
                <w:b/>
                <w:sz w:val="24"/>
                <w:szCs w:val="24"/>
                <w:lang w:val="en-GB"/>
              </w:rPr>
              <w:t>Main report word count</w:t>
            </w:r>
          </w:p>
        </w:tc>
        <w:tc>
          <w:tcPr>
            <w:tcW w:w="1250" w:type="pct"/>
            <w:tcBorders>
              <w:top w:val="single" w:sz="4" w:space="0" w:color="888888"/>
              <w:left w:val="single" w:sz="4" w:space="0" w:color="888888"/>
              <w:bottom w:val="single" w:sz="4" w:space="0" w:color="888888"/>
              <w:right w:val="single" w:sz="4" w:space="0" w:color="888888"/>
            </w:tcBorders>
            <w:tcMar>
              <w:top w:w="70" w:type="dxa"/>
              <w:left w:w="80" w:type="dxa"/>
              <w:bottom w:w="70" w:type="dxa"/>
              <w:right w:w="80" w:type="dxa"/>
            </w:tcMar>
            <w:vAlign w:val="center"/>
          </w:tcPr>
          <w:p w14:paraId="37226938" w14:textId="644E2BF8" w:rsidR="001518C2" w:rsidRPr="00537933" w:rsidRDefault="001518C2" w:rsidP="006A78CF">
            <w:pPr>
              <w:spacing w:before="0" w:after="0" w:line="240" w:lineRule="auto"/>
              <w:ind w:firstLine="0"/>
              <w:rPr>
                <w:sz w:val="24"/>
                <w:szCs w:val="24"/>
              </w:rPr>
            </w:pPr>
          </w:p>
        </w:tc>
      </w:tr>
    </w:tbl>
    <w:p w14:paraId="3C02F591" w14:textId="77777777" w:rsidR="001518C2" w:rsidRDefault="001518C2">
      <w:pPr>
        <w:sectPr w:rsidR="001518C2" w:rsidSect="004A1DFA">
          <w:pgSz w:w="11906" w:h="16838" w:code="9"/>
          <w:pgMar w:top="1440" w:right="1440" w:bottom="1440" w:left="1440" w:header="283" w:footer="283" w:gutter="0"/>
          <w:cols w:space="720"/>
          <w:docGrid w:linePitch="360"/>
        </w:sectPr>
      </w:pPr>
    </w:p>
    <w:p w14:paraId="3B6F17BB" w14:textId="120E794E" w:rsidR="001518C2" w:rsidRPr="00CF0FEC" w:rsidRDefault="001518C2" w:rsidP="00CF0FEC">
      <w:pPr>
        <w:spacing w:before="100" w:after="40"/>
        <w:ind w:firstLine="0"/>
        <w:rPr>
          <w:sz w:val="24"/>
          <w:szCs w:val="24"/>
          <w:lang w:val="en-GB"/>
        </w:rPr>
        <w:sectPr w:rsidR="001518C2" w:rsidRPr="00CF0FEC" w:rsidSect="004A1DFA">
          <w:pgSz w:w="11906" w:h="16838" w:code="9"/>
          <w:pgMar w:top="1440" w:right="1440" w:bottom="1440" w:left="1440" w:header="283" w:footer="283" w:gutter="0"/>
          <w:cols w:space="720"/>
          <w:docGrid w:linePitch="360"/>
        </w:sectPr>
      </w:pPr>
    </w:p>
    <w:sdt>
      <w:sdtPr>
        <w:rPr>
          <w:b/>
          <w:bCs/>
        </w:rPr>
        <w:id w:val="1030604089"/>
        <w:docPartObj>
          <w:docPartGallery w:val="Table of Contents"/>
          <w:docPartUnique/>
        </w:docPartObj>
      </w:sdtPr>
      <w:sdtEndPr>
        <w:rPr>
          <w:noProof/>
        </w:rPr>
      </w:sdtEndPr>
      <w:sdtContent>
        <w:p w14:paraId="0EE2C70D" w14:textId="61F1B63A" w:rsidR="006A78CF" w:rsidRPr="006A78CF" w:rsidRDefault="006A78CF" w:rsidP="006A78CF">
          <w:pPr>
            <w:jc w:val="center"/>
            <w:rPr>
              <w:b/>
              <w:bCs/>
            </w:rPr>
          </w:pPr>
          <w:r w:rsidRPr="006A78CF">
            <w:rPr>
              <w:b/>
              <w:bCs/>
            </w:rPr>
            <w:t>TABLE OF CONTENTS</w:t>
          </w:r>
        </w:p>
        <w:p w14:paraId="5304F900" w14:textId="77777777" w:rsidR="00BF6CE9" w:rsidRDefault="006A78CF">
          <w:pPr>
            <w:pStyle w:val="TOC1"/>
            <w:tabs>
              <w:tab w:val="right" w:leader="dot" w:pos="9016"/>
            </w:tabs>
            <w:rPr>
              <w:rFonts w:asciiTheme="minorHAnsi" w:hAnsiTheme="minorHAnsi"/>
              <w:noProof/>
              <w:lang w:val="en-GB" w:eastAsia="en-GB"/>
            </w:rPr>
          </w:pPr>
          <w:r>
            <w:fldChar w:fldCharType="begin"/>
          </w:r>
          <w:r>
            <w:instrText xml:space="preserve"> TOC \o "1-3" \h \z \u </w:instrText>
          </w:r>
          <w:r>
            <w:fldChar w:fldCharType="separate"/>
          </w:r>
          <w:hyperlink w:anchor="_Toc236753967" w:history="1">
            <w:r w:rsidR="00BF6CE9" w:rsidRPr="00980E17">
              <w:rPr>
                <w:rStyle w:val="Hyperlink"/>
                <w:noProof/>
                <w:lang w:val="en-GB"/>
              </w:rPr>
              <w:t>Introduction</w:t>
            </w:r>
            <w:r w:rsidR="00BF6CE9">
              <w:rPr>
                <w:noProof/>
                <w:webHidden/>
              </w:rPr>
              <w:tab/>
            </w:r>
            <w:r w:rsidR="00BF6CE9">
              <w:rPr>
                <w:noProof/>
                <w:webHidden/>
              </w:rPr>
              <w:fldChar w:fldCharType="begin"/>
            </w:r>
            <w:r w:rsidR="00BF6CE9">
              <w:rPr>
                <w:noProof/>
                <w:webHidden/>
              </w:rPr>
              <w:instrText xml:space="preserve"> PAGEREF _Toc236753967 \h </w:instrText>
            </w:r>
            <w:r w:rsidR="00BF6CE9">
              <w:rPr>
                <w:noProof/>
                <w:webHidden/>
              </w:rPr>
            </w:r>
            <w:r w:rsidR="00BF6CE9">
              <w:rPr>
                <w:noProof/>
                <w:webHidden/>
              </w:rPr>
              <w:fldChar w:fldCharType="separate"/>
            </w:r>
            <w:r w:rsidR="00BF6CE9">
              <w:rPr>
                <w:noProof/>
                <w:webHidden/>
              </w:rPr>
              <w:t>4</w:t>
            </w:r>
            <w:r w:rsidR="00BF6CE9">
              <w:rPr>
                <w:noProof/>
                <w:webHidden/>
              </w:rPr>
              <w:fldChar w:fldCharType="end"/>
            </w:r>
          </w:hyperlink>
        </w:p>
        <w:p w14:paraId="00D1585C" w14:textId="77777777" w:rsidR="00BF6CE9" w:rsidRDefault="00BF6CE9">
          <w:pPr>
            <w:pStyle w:val="TOC1"/>
            <w:tabs>
              <w:tab w:val="right" w:leader="dot" w:pos="9016"/>
            </w:tabs>
            <w:rPr>
              <w:rFonts w:asciiTheme="minorHAnsi" w:hAnsiTheme="minorHAnsi"/>
              <w:noProof/>
              <w:lang w:val="en-GB" w:eastAsia="en-GB"/>
            </w:rPr>
          </w:pPr>
          <w:hyperlink w:anchor="_Toc236753968" w:history="1">
            <w:r w:rsidRPr="00980E17">
              <w:rPr>
                <w:rStyle w:val="Hyperlink"/>
                <w:noProof/>
                <w:lang w:val="en-GB"/>
              </w:rPr>
              <w:t>1. Explanation of Key Factors</w:t>
            </w:r>
            <w:r>
              <w:rPr>
                <w:noProof/>
                <w:webHidden/>
              </w:rPr>
              <w:tab/>
            </w:r>
            <w:r>
              <w:rPr>
                <w:noProof/>
                <w:webHidden/>
              </w:rPr>
              <w:fldChar w:fldCharType="begin"/>
            </w:r>
            <w:r>
              <w:rPr>
                <w:noProof/>
                <w:webHidden/>
              </w:rPr>
              <w:instrText xml:space="preserve"> PAGEREF _Toc236753968 \h </w:instrText>
            </w:r>
            <w:r>
              <w:rPr>
                <w:noProof/>
                <w:webHidden/>
              </w:rPr>
            </w:r>
            <w:r>
              <w:rPr>
                <w:noProof/>
                <w:webHidden/>
              </w:rPr>
              <w:fldChar w:fldCharType="separate"/>
            </w:r>
            <w:r>
              <w:rPr>
                <w:noProof/>
                <w:webHidden/>
              </w:rPr>
              <w:t>4</w:t>
            </w:r>
            <w:r>
              <w:rPr>
                <w:noProof/>
                <w:webHidden/>
              </w:rPr>
              <w:fldChar w:fldCharType="end"/>
            </w:r>
          </w:hyperlink>
        </w:p>
        <w:p w14:paraId="7A376F5A" w14:textId="77777777" w:rsidR="00BF6CE9" w:rsidRDefault="00BF6CE9">
          <w:pPr>
            <w:pStyle w:val="TOC2"/>
            <w:tabs>
              <w:tab w:val="right" w:leader="dot" w:pos="9016"/>
            </w:tabs>
            <w:rPr>
              <w:rFonts w:asciiTheme="minorHAnsi" w:hAnsiTheme="minorHAnsi"/>
              <w:noProof/>
              <w:lang w:val="en-GB" w:eastAsia="en-GB"/>
            </w:rPr>
          </w:pPr>
          <w:hyperlink w:anchor="_Toc236753969" w:history="1">
            <w:r w:rsidRPr="00980E17">
              <w:rPr>
                <w:rStyle w:val="Hyperlink"/>
                <w:noProof/>
                <w:lang w:val="en-GB"/>
              </w:rPr>
              <w:t>1.1 Adapting to Technological Advancements</w:t>
            </w:r>
            <w:r>
              <w:rPr>
                <w:noProof/>
                <w:webHidden/>
              </w:rPr>
              <w:tab/>
            </w:r>
            <w:r>
              <w:rPr>
                <w:noProof/>
                <w:webHidden/>
              </w:rPr>
              <w:fldChar w:fldCharType="begin"/>
            </w:r>
            <w:r>
              <w:rPr>
                <w:noProof/>
                <w:webHidden/>
              </w:rPr>
              <w:instrText xml:space="preserve"> PAGEREF _Toc236753969 \h </w:instrText>
            </w:r>
            <w:r>
              <w:rPr>
                <w:noProof/>
                <w:webHidden/>
              </w:rPr>
            </w:r>
            <w:r>
              <w:rPr>
                <w:noProof/>
                <w:webHidden/>
              </w:rPr>
              <w:fldChar w:fldCharType="separate"/>
            </w:r>
            <w:r>
              <w:rPr>
                <w:noProof/>
                <w:webHidden/>
              </w:rPr>
              <w:t>4</w:t>
            </w:r>
            <w:r>
              <w:rPr>
                <w:noProof/>
                <w:webHidden/>
              </w:rPr>
              <w:fldChar w:fldCharType="end"/>
            </w:r>
          </w:hyperlink>
        </w:p>
        <w:p w14:paraId="3BB7B6CC" w14:textId="77777777" w:rsidR="00BF6CE9" w:rsidRDefault="00BF6CE9">
          <w:pPr>
            <w:pStyle w:val="TOC2"/>
            <w:tabs>
              <w:tab w:val="right" w:leader="dot" w:pos="9016"/>
            </w:tabs>
            <w:rPr>
              <w:rFonts w:asciiTheme="minorHAnsi" w:hAnsiTheme="minorHAnsi"/>
              <w:noProof/>
              <w:lang w:val="en-GB" w:eastAsia="en-GB"/>
            </w:rPr>
          </w:pPr>
          <w:hyperlink w:anchor="_Toc236753970" w:history="1">
            <w:r w:rsidRPr="00980E17">
              <w:rPr>
                <w:rStyle w:val="Hyperlink"/>
                <w:noProof/>
                <w:lang w:val="en-GB"/>
              </w:rPr>
              <w:t>1.2 Talent Acquisition and Retention</w:t>
            </w:r>
            <w:r>
              <w:rPr>
                <w:noProof/>
                <w:webHidden/>
              </w:rPr>
              <w:tab/>
            </w:r>
            <w:r>
              <w:rPr>
                <w:noProof/>
                <w:webHidden/>
              </w:rPr>
              <w:fldChar w:fldCharType="begin"/>
            </w:r>
            <w:r>
              <w:rPr>
                <w:noProof/>
                <w:webHidden/>
              </w:rPr>
              <w:instrText xml:space="preserve"> PAGEREF _Toc236753970 \h </w:instrText>
            </w:r>
            <w:r>
              <w:rPr>
                <w:noProof/>
                <w:webHidden/>
              </w:rPr>
            </w:r>
            <w:r>
              <w:rPr>
                <w:noProof/>
                <w:webHidden/>
              </w:rPr>
              <w:fldChar w:fldCharType="separate"/>
            </w:r>
            <w:r>
              <w:rPr>
                <w:noProof/>
                <w:webHidden/>
              </w:rPr>
              <w:t>4</w:t>
            </w:r>
            <w:r>
              <w:rPr>
                <w:noProof/>
                <w:webHidden/>
              </w:rPr>
              <w:fldChar w:fldCharType="end"/>
            </w:r>
          </w:hyperlink>
        </w:p>
        <w:p w14:paraId="11EC9318" w14:textId="77777777" w:rsidR="00BF6CE9" w:rsidRDefault="00BF6CE9">
          <w:pPr>
            <w:pStyle w:val="TOC2"/>
            <w:tabs>
              <w:tab w:val="right" w:leader="dot" w:pos="9016"/>
            </w:tabs>
            <w:rPr>
              <w:rFonts w:asciiTheme="minorHAnsi" w:hAnsiTheme="minorHAnsi"/>
              <w:noProof/>
              <w:lang w:val="en-GB" w:eastAsia="en-GB"/>
            </w:rPr>
          </w:pPr>
          <w:hyperlink w:anchor="_Toc236753971" w:history="1">
            <w:r w:rsidRPr="00980E17">
              <w:rPr>
                <w:rStyle w:val="Hyperlink"/>
                <w:noProof/>
                <w:lang w:val="en-GB"/>
              </w:rPr>
              <w:t>1.3 Diversity, Equity and Inclusion</w:t>
            </w:r>
            <w:r>
              <w:rPr>
                <w:noProof/>
                <w:webHidden/>
              </w:rPr>
              <w:tab/>
            </w:r>
            <w:r>
              <w:rPr>
                <w:noProof/>
                <w:webHidden/>
              </w:rPr>
              <w:fldChar w:fldCharType="begin"/>
            </w:r>
            <w:r>
              <w:rPr>
                <w:noProof/>
                <w:webHidden/>
              </w:rPr>
              <w:instrText xml:space="preserve"> PAGEREF _Toc236753971 \h </w:instrText>
            </w:r>
            <w:r>
              <w:rPr>
                <w:noProof/>
                <w:webHidden/>
              </w:rPr>
            </w:r>
            <w:r>
              <w:rPr>
                <w:noProof/>
                <w:webHidden/>
              </w:rPr>
              <w:fldChar w:fldCharType="separate"/>
            </w:r>
            <w:r>
              <w:rPr>
                <w:noProof/>
                <w:webHidden/>
              </w:rPr>
              <w:t>5</w:t>
            </w:r>
            <w:r>
              <w:rPr>
                <w:noProof/>
                <w:webHidden/>
              </w:rPr>
              <w:fldChar w:fldCharType="end"/>
            </w:r>
          </w:hyperlink>
        </w:p>
        <w:p w14:paraId="3BD3B12C" w14:textId="77777777" w:rsidR="00BF6CE9" w:rsidRDefault="00BF6CE9">
          <w:pPr>
            <w:pStyle w:val="TOC1"/>
            <w:tabs>
              <w:tab w:val="right" w:leader="dot" w:pos="9016"/>
            </w:tabs>
            <w:rPr>
              <w:rFonts w:asciiTheme="minorHAnsi" w:hAnsiTheme="minorHAnsi"/>
              <w:noProof/>
              <w:lang w:val="en-GB" w:eastAsia="en-GB"/>
            </w:rPr>
          </w:pPr>
          <w:hyperlink w:anchor="_Toc236753972" w:history="1">
            <w:r w:rsidRPr="00980E17">
              <w:rPr>
                <w:rStyle w:val="Hyperlink"/>
                <w:noProof/>
                <w:lang w:val="en-GB"/>
              </w:rPr>
              <w:t>2. Evaluation of Contemporary HR Practices</w:t>
            </w:r>
            <w:r>
              <w:rPr>
                <w:noProof/>
                <w:webHidden/>
              </w:rPr>
              <w:tab/>
            </w:r>
            <w:r>
              <w:rPr>
                <w:noProof/>
                <w:webHidden/>
              </w:rPr>
              <w:fldChar w:fldCharType="begin"/>
            </w:r>
            <w:r>
              <w:rPr>
                <w:noProof/>
                <w:webHidden/>
              </w:rPr>
              <w:instrText xml:space="preserve"> PAGEREF _Toc236753972 \h </w:instrText>
            </w:r>
            <w:r>
              <w:rPr>
                <w:noProof/>
                <w:webHidden/>
              </w:rPr>
            </w:r>
            <w:r>
              <w:rPr>
                <w:noProof/>
                <w:webHidden/>
              </w:rPr>
              <w:fldChar w:fldCharType="separate"/>
            </w:r>
            <w:r>
              <w:rPr>
                <w:noProof/>
                <w:webHidden/>
              </w:rPr>
              <w:t>5</w:t>
            </w:r>
            <w:r>
              <w:rPr>
                <w:noProof/>
                <w:webHidden/>
              </w:rPr>
              <w:fldChar w:fldCharType="end"/>
            </w:r>
          </w:hyperlink>
        </w:p>
        <w:p w14:paraId="4340BA54" w14:textId="77777777" w:rsidR="00BF6CE9" w:rsidRDefault="00BF6CE9">
          <w:pPr>
            <w:pStyle w:val="TOC2"/>
            <w:tabs>
              <w:tab w:val="right" w:leader="dot" w:pos="9016"/>
            </w:tabs>
            <w:rPr>
              <w:rFonts w:asciiTheme="minorHAnsi" w:hAnsiTheme="minorHAnsi"/>
              <w:noProof/>
              <w:lang w:val="en-GB" w:eastAsia="en-GB"/>
            </w:rPr>
          </w:pPr>
          <w:hyperlink w:anchor="_Toc236753973" w:history="1">
            <w:r w:rsidRPr="00980E17">
              <w:rPr>
                <w:rStyle w:val="Hyperlink"/>
                <w:noProof/>
                <w:lang w:val="en-GB"/>
              </w:rPr>
              <w:t>2.1 Digital HR Systems and Workforce Analytics</w:t>
            </w:r>
            <w:r>
              <w:rPr>
                <w:noProof/>
                <w:webHidden/>
              </w:rPr>
              <w:tab/>
            </w:r>
            <w:r>
              <w:rPr>
                <w:noProof/>
                <w:webHidden/>
              </w:rPr>
              <w:fldChar w:fldCharType="begin"/>
            </w:r>
            <w:r>
              <w:rPr>
                <w:noProof/>
                <w:webHidden/>
              </w:rPr>
              <w:instrText xml:space="preserve"> PAGEREF _Toc236753973 \h </w:instrText>
            </w:r>
            <w:r>
              <w:rPr>
                <w:noProof/>
                <w:webHidden/>
              </w:rPr>
            </w:r>
            <w:r>
              <w:rPr>
                <w:noProof/>
                <w:webHidden/>
              </w:rPr>
              <w:fldChar w:fldCharType="separate"/>
            </w:r>
            <w:r>
              <w:rPr>
                <w:noProof/>
                <w:webHidden/>
              </w:rPr>
              <w:t>5</w:t>
            </w:r>
            <w:r>
              <w:rPr>
                <w:noProof/>
                <w:webHidden/>
              </w:rPr>
              <w:fldChar w:fldCharType="end"/>
            </w:r>
          </w:hyperlink>
        </w:p>
        <w:p w14:paraId="2538FE16" w14:textId="77777777" w:rsidR="00BF6CE9" w:rsidRDefault="00BF6CE9">
          <w:pPr>
            <w:pStyle w:val="TOC2"/>
            <w:tabs>
              <w:tab w:val="right" w:leader="dot" w:pos="9016"/>
            </w:tabs>
            <w:rPr>
              <w:rFonts w:asciiTheme="minorHAnsi" w:hAnsiTheme="minorHAnsi"/>
              <w:noProof/>
              <w:lang w:val="en-GB" w:eastAsia="en-GB"/>
            </w:rPr>
          </w:pPr>
          <w:hyperlink w:anchor="_Toc236753974" w:history="1">
            <w:r w:rsidRPr="00980E17">
              <w:rPr>
                <w:rStyle w:val="Hyperlink"/>
                <w:noProof/>
              </w:rPr>
              <w:t>2.2 Employer Brand, Engagement and Retention</w:t>
            </w:r>
            <w:r>
              <w:rPr>
                <w:noProof/>
                <w:webHidden/>
              </w:rPr>
              <w:tab/>
            </w:r>
            <w:r>
              <w:rPr>
                <w:noProof/>
                <w:webHidden/>
              </w:rPr>
              <w:fldChar w:fldCharType="begin"/>
            </w:r>
            <w:r>
              <w:rPr>
                <w:noProof/>
                <w:webHidden/>
              </w:rPr>
              <w:instrText xml:space="preserve"> PAGEREF _Toc236753974 \h </w:instrText>
            </w:r>
            <w:r>
              <w:rPr>
                <w:noProof/>
                <w:webHidden/>
              </w:rPr>
            </w:r>
            <w:r>
              <w:rPr>
                <w:noProof/>
                <w:webHidden/>
              </w:rPr>
              <w:fldChar w:fldCharType="separate"/>
            </w:r>
            <w:r>
              <w:rPr>
                <w:noProof/>
                <w:webHidden/>
              </w:rPr>
              <w:t>5</w:t>
            </w:r>
            <w:r>
              <w:rPr>
                <w:noProof/>
                <w:webHidden/>
              </w:rPr>
              <w:fldChar w:fldCharType="end"/>
            </w:r>
          </w:hyperlink>
        </w:p>
        <w:p w14:paraId="1678561B" w14:textId="77777777" w:rsidR="00BF6CE9" w:rsidRDefault="00BF6CE9">
          <w:pPr>
            <w:pStyle w:val="TOC2"/>
            <w:tabs>
              <w:tab w:val="right" w:leader="dot" w:pos="9016"/>
            </w:tabs>
            <w:rPr>
              <w:rFonts w:asciiTheme="minorHAnsi" w:hAnsiTheme="minorHAnsi"/>
              <w:noProof/>
              <w:lang w:val="en-GB" w:eastAsia="en-GB"/>
            </w:rPr>
          </w:pPr>
          <w:hyperlink w:anchor="_Toc236753975" w:history="1">
            <w:r w:rsidRPr="00980E17">
              <w:rPr>
                <w:rStyle w:val="Hyperlink"/>
                <w:noProof/>
                <w:lang w:val="en-GB"/>
              </w:rPr>
              <w:t>2.3 Inclusive Recruitment and Leadership Development</w:t>
            </w:r>
            <w:r>
              <w:rPr>
                <w:noProof/>
                <w:webHidden/>
              </w:rPr>
              <w:tab/>
            </w:r>
            <w:r>
              <w:rPr>
                <w:noProof/>
                <w:webHidden/>
              </w:rPr>
              <w:fldChar w:fldCharType="begin"/>
            </w:r>
            <w:r>
              <w:rPr>
                <w:noProof/>
                <w:webHidden/>
              </w:rPr>
              <w:instrText xml:space="preserve"> PAGEREF _Toc236753975 \h </w:instrText>
            </w:r>
            <w:r>
              <w:rPr>
                <w:noProof/>
                <w:webHidden/>
              </w:rPr>
            </w:r>
            <w:r>
              <w:rPr>
                <w:noProof/>
                <w:webHidden/>
              </w:rPr>
              <w:fldChar w:fldCharType="separate"/>
            </w:r>
            <w:r>
              <w:rPr>
                <w:noProof/>
                <w:webHidden/>
              </w:rPr>
              <w:t>6</w:t>
            </w:r>
            <w:r>
              <w:rPr>
                <w:noProof/>
                <w:webHidden/>
              </w:rPr>
              <w:fldChar w:fldCharType="end"/>
            </w:r>
          </w:hyperlink>
        </w:p>
        <w:p w14:paraId="218C018F" w14:textId="77777777" w:rsidR="00BF6CE9" w:rsidRDefault="00BF6CE9">
          <w:pPr>
            <w:pStyle w:val="TOC1"/>
            <w:tabs>
              <w:tab w:val="right" w:leader="dot" w:pos="9016"/>
            </w:tabs>
            <w:rPr>
              <w:rFonts w:asciiTheme="minorHAnsi" w:hAnsiTheme="minorHAnsi"/>
              <w:noProof/>
              <w:lang w:val="en-GB" w:eastAsia="en-GB"/>
            </w:rPr>
          </w:pPr>
          <w:hyperlink w:anchor="_Toc236753976" w:history="1">
            <w:r w:rsidRPr="00980E17">
              <w:rPr>
                <w:rStyle w:val="Hyperlink"/>
                <w:noProof/>
                <w:lang w:val="en-GB"/>
              </w:rPr>
              <w:t>3. Critical Evaluation of Managerial Implementation</w:t>
            </w:r>
            <w:r>
              <w:rPr>
                <w:noProof/>
                <w:webHidden/>
              </w:rPr>
              <w:tab/>
            </w:r>
            <w:r>
              <w:rPr>
                <w:noProof/>
                <w:webHidden/>
              </w:rPr>
              <w:fldChar w:fldCharType="begin"/>
            </w:r>
            <w:r>
              <w:rPr>
                <w:noProof/>
                <w:webHidden/>
              </w:rPr>
              <w:instrText xml:space="preserve"> PAGEREF _Toc236753976 \h </w:instrText>
            </w:r>
            <w:r>
              <w:rPr>
                <w:noProof/>
                <w:webHidden/>
              </w:rPr>
            </w:r>
            <w:r>
              <w:rPr>
                <w:noProof/>
                <w:webHidden/>
              </w:rPr>
              <w:fldChar w:fldCharType="separate"/>
            </w:r>
            <w:r>
              <w:rPr>
                <w:noProof/>
                <w:webHidden/>
              </w:rPr>
              <w:t>6</w:t>
            </w:r>
            <w:r>
              <w:rPr>
                <w:noProof/>
                <w:webHidden/>
              </w:rPr>
              <w:fldChar w:fldCharType="end"/>
            </w:r>
          </w:hyperlink>
        </w:p>
        <w:p w14:paraId="132483D3" w14:textId="77777777" w:rsidR="00BF6CE9" w:rsidRDefault="00BF6CE9">
          <w:pPr>
            <w:pStyle w:val="TOC2"/>
            <w:tabs>
              <w:tab w:val="right" w:leader="dot" w:pos="9016"/>
            </w:tabs>
            <w:rPr>
              <w:rFonts w:asciiTheme="minorHAnsi" w:hAnsiTheme="minorHAnsi"/>
              <w:noProof/>
              <w:lang w:val="en-GB" w:eastAsia="en-GB"/>
            </w:rPr>
          </w:pPr>
          <w:hyperlink w:anchor="_Toc236753977" w:history="1">
            <w:r w:rsidRPr="00980E17">
              <w:rPr>
                <w:rStyle w:val="Hyperlink"/>
                <w:noProof/>
                <w:lang w:val="en-GB"/>
              </w:rPr>
              <w:t>3.1 Leadership and Accountability</w:t>
            </w:r>
            <w:r>
              <w:rPr>
                <w:noProof/>
                <w:webHidden/>
              </w:rPr>
              <w:tab/>
            </w:r>
            <w:r>
              <w:rPr>
                <w:noProof/>
                <w:webHidden/>
              </w:rPr>
              <w:fldChar w:fldCharType="begin"/>
            </w:r>
            <w:r>
              <w:rPr>
                <w:noProof/>
                <w:webHidden/>
              </w:rPr>
              <w:instrText xml:space="preserve"> PAGEREF _Toc236753977 \h </w:instrText>
            </w:r>
            <w:r>
              <w:rPr>
                <w:noProof/>
                <w:webHidden/>
              </w:rPr>
            </w:r>
            <w:r>
              <w:rPr>
                <w:noProof/>
                <w:webHidden/>
              </w:rPr>
              <w:fldChar w:fldCharType="separate"/>
            </w:r>
            <w:r>
              <w:rPr>
                <w:noProof/>
                <w:webHidden/>
              </w:rPr>
              <w:t>6</w:t>
            </w:r>
            <w:r>
              <w:rPr>
                <w:noProof/>
                <w:webHidden/>
              </w:rPr>
              <w:fldChar w:fldCharType="end"/>
            </w:r>
          </w:hyperlink>
        </w:p>
        <w:p w14:paraId="7AE1E3F4" w14:textId="77777777" w:rsidR="00BF6CE9" w:rsidRDefault="00BF6CE9">
          <w:pPr>
            <w:pStyle w:val="TOC2"/>
            <w:tabs>
              <w:tab w:val="right" w:leader="dot" w:pos="9016"/>
            </w:tabs>
            <w:rPr>
              <w:rFonts w:asciiTheme="minorHAnsi" w:hAnsiTheme="minorHAnsi"/>
              <w:noProof/>
              <w:lang w:val="en-GB" w:eastAsia="en-GB"/>
            </w:rPr>
          </w:pPr>
          <w:hyperlink w:anchor="_Toc236753978" w:history="1">
            <w:r w:rsidRPr="00980E17">
              <w:rPr>
                <w:rStyle w:val="Hyperlink"/>
                <w:noProof/>
                <w:lang w:val="en-GB"/>
              </w:rPr>
              <w:t>3.2 Communication and Organisational Culture</w:t>
            </w:r>
            <w:r>
              <w:rPr>
                <w:noProof/>
                <w:webHidden/>
              </w:rPr>
              <w:tab/>
            </w:r>
            <w:r>
              <w:rPr>
                <w:noProof/>
                <w:webHidden/>
              </w:rPr>
              <w:fldChar w:fldCharType="begin"/>
            </w:r>
            <w:r>
              <w:rPr>
                <w:noProof/>
                <w:webHidden/>
              </w:rPr>
              <w:instrText xml:space="preserve"> PAGEREF _Toc236753978 \h </w:instrText>
            </w:r>
            <w:r>
              <w:rPr>
                <w:noProof/>
                <w:webHidden/>
              </w:rPr>
            </w:r>
            <w:r>
              <w:rPr>
                <w:noProof/>
                <w:webHidden/>
              </w:rPr>
              <w:fldChar w:fldCharType="separate"/>
            </w:r>
            <w:r>
              <w:rPr>
                <w:noProof/>
                <w:webHidden/>
              </w:rPr>
              <w:t>7</w:t>
            </w:r>
            <w:r>
              <w:rPr>
                <w:noProof/>
                <w:webHidden/>
              </w:rPr>
              <w:fldChar w:fldCharType="end"/>
            </w:r>
          </w:hyperlink>
        </w:p>
        <w:p w14:paraId="46F31195" w14:textId="77777777" w:rsidR="00BF6CE9" w:rsidRDefault="00BF6CE9">
          <w:pPr>
            <w:pStyle w:val="TOC2"/>
            <w:tabs>
              <w:tab w:val="right" w:leader="dot" w:pos="9016"/>
            </w:tabs>
            <w:rPr>
              <w:rFonts w:asciiTheme="minorHAnsi" w:hAnsiTheme="minorHAnsi"/>
              <w:noProof/>
              <w:lang w:val="en-GB" w:eastAsia="en-GB"/>
            </w:rPr>
          </w:pPr>
          <w:hyperlink w:anchor="_Toc236753979" w:history="1">
            <w:r w:rsidRPr="00980E17">
              <w:rPr>
                <w:rStyle w:val="Hyperlink"/>
                <w:noProof/>
                <w:lang w:val="en-GB"/>
              </w:rPr>
              <w:t>3.3 Monitoring, Measurement and Barriers</w:t>
            </w:r>
            <w:r>
              <w:rPr>
                <w:noProof/>
                <w:webHidden/>
              </w:rPr>
              <w:tab/>
            </w:r>
            <w:r>
              <w:rPr>
                <w:noProof/>
                <w:webHidden/>
              </w:rPr>
              <w:fldChar w:fldCharType="begin"/>
            </w:r>
            <w:r>
              <w:rPr>
                <w:noProof/>
                <w:webHidden/>
              </w:rPr>
              <w:instrText xml:space="preserve"> PAGEREF _Toc236753979 \h </w:instrText>
            </w:r>
            <w:r>
              <w:rPr>
                <w:noProof/>
                <w:webHidden/>
              </w:rPr>
            </w:r>
            <w:r>
              <w:rPr>
                <w:noProof/>
                <w:webHidden/>
              </w:rPr>
              <w:fldChar w:fldCharType="separate"/>
            </w:r>
            <w:r>
              <w:rPr>
                <w:noProof/>
                <w:webHidden/>
              </w:rPr>
              <w:t>7</w:t>
            </w:r>
            <w:r>
              <w:rPr>
                <w:noProof/>
                <w:webHidden/>
              </w:rPr>
              <w:fldChar w:fldCharType="end"/>
            </w:r>
          </w:hyperlink>
        </w:p>
        <w:p w14:paraId="75F66A66" w14:textId="77777777" w:rsidR="00BF6CE9" w:rsidRDefault="00BF6CE9">
          <w:pPr>
            <w:pStyle w:val="TOC1"/>
            <w:tabs>
              <w:tab w:val="right" w:leader="dot" w:pos="9016"/>
            </w:tabs>
            <w:rPr>
              <w:rFonts w:asciiTheme="minorHAnsi" w:hAnsiTheme="minorHAnsi"/>
              <w:noProof/>
              <w:lang w:val="en-GB" w:eastAsia="en-GB"/>
            </w:rPr>
          </w:pPr>
          <w:hyperlink w:anchor="_Toc236753980" w:history="1">
            <w:r w:rsidRPr="00980E17">
              <w:rPr>
                <w:rStyle w:val="Hyperlink"/>
                <w:noProof/>
                <w:lang w:val="en-GB"/>
              </w:rPr>
              <w:t>4. Recommendations</w:t>
            </w:r>
            <w:r>
              <w:rPr>
                <w:noProof/>
                <w:webHidden/>
              </w:rPr>
              <w:tab/>
            </w:r>
            <w:r>
              <w:rPr>
                <w:noProof/>
                <w:webHidden/>
              </w:rPr>
              <w:fldChar w:fldCharType="begin"/>
            </w:r>
            <w:r>
              <w:rPr>
                <w:noProof/>
                <w:webHidden/>
              </w:rPr>
              <w:instrText xml:space="preserve"> PAGEREF _Toc236753980 \h </w:instrText>
            </w:r>
            <w:r>
              <w:rPr>
                <w:noProof/>
                <w:webHidden/>
              </w:rPr>
            </w:r>
            <w:r>
              <w:rPr>
                <w:noProof/>
                <w:webHidden/>
              </w:rPr>
              <w:fldChar w:fldCharType="separate"/>
            </w:r>
            <w:r>
              <w:rPr>
                <w:noProof/>
                <w:webHidden/>
              </w:rPr>
              <w:t>7</w:t>
            </w:r>
            <w:r>
              <w:rPr>
                <w:noProof/>
                <w:webHidden/>
              </w:rPr>
              <w:fldChar w:fldCharType="end"/>
            </w:r>
          </w:hyperlink>
        </w:p>
        <w:p w14:paraId="095CD321" w14:textId="77777777" w:rsidR="00BF6CE9" w:rsidRDefault="00BF6CE9">
          <w:pPr>
            <w:pStyle w:val="TOC1"/>
            <w:tabs>
              <w:tab w:val="right" w:leader="dot" w:pos="9016"/>
            </w:tabs>
            <w:rPr>
              <w:rFonts w:asciiTheme="minorHAnsi" w:hAnsiTheme="minorHAnsi"/>
              <w:noProof/>
              <w:lang w:val="en-GB" w:eastAsia="en-GB"/>
            </w:rPr>
          </w:pPr>
          <w:hyperlink w:anchor="_Toc236753981" w:history="1">
            <w:r w:rsidRPr="00980E17">
              <w:rPr>
                <w:rStyle w:val="Hyperlink"/>
                <w:noProof/>
                <w:lang w:val="en-GB"/>
              </w:rPr>
              <w:t>Conclusion</w:t>
            </w:r>
            <w:r>
              <w:rPr>
                <w:noProof/>
                <w:webHidden/>
              </w:rPr>
              <w:tab/>
            </w:r>
            <w:r>
              <w:rPr>
                <w:noProof/>
                <w:webHidden/>
              </w:rPr>
              <w:fldChar w:fldCharType="begin"/>
            </w:r>
            <w:r>
              <w:rPr>
                <w:noProof/>
                <w:webHidden/>
              </w:rPr>
              <w:instrText xml:space="preserve"> PAGEREF _Toc236753981 \h </w:instrText>
            </w:r>
            <w:r>
              <w:rPr>
                <w:noProof/>
                <w:webHidden/>
              </w:rPr>
            </w:r>
            <w:r>
              <w:rPr>
                <w:noProof/>
                <w:webHidden/>
              </w:rPr>
              <w:fldChar w:fldCharType="separate"/>
            </w:r>
            <w:r>
              <w:rPr>
                <w:noProof/>
                <w:webHidden/>
              </w:rPr>
              <w:t>8</w:t>
            </w:r>
            <w:r>
              <w:rPr>
                <w:noProof/>
                <w:webHidden/>
              </w:rPr>
              <w:fldChar w:fldCharType="end"/>
            </w:r>
          </w:hyperlink>
        </w:p>
        <w:p w14:paraId="491C4712" w14:textId="77777777" w:rsidR="00BF6CE9" w:rsidRDefault="00BF6CE9">
          <w:pPr>
            <w:pStyle w:val="TOC1"/>
            <w:tabs>
              <w:tab w:val="right" w:leader="dot" w:pos="9016"/>
            </w:tabs>
            <w:rPr>
              <w:rFonts w:asciiTheme="minorHAnsi" w:hAnsiTheme="minorHAnsi"/>
              <w:noProof/>
              <w:lang w:val="en-GB" w:eastAsia="en-GB"/>
            </w:rPr>
          </w:pPr>
          <w:hyperlink w:anchor="_Toc236753982" w:history="1">
            <w:r w:rsidRPr="00980E17">
              <w:rPr>
                <w:rStyle w:val="Hyperlink"/>
                <w:noProof/>
                <w:lang w:val="en-GB"/>
              </w:rPr>
              <w:t>References</w:t>
            </w:r>
            <w:r>
              <w:rPr>
                <w:noProof/>
                <w:webHidden/>
              </w:rPr>
              <w:tab/>
            </w:r>
            <w:r>
              <w:rPr>
                <w:noProof/>
                <w:webHidden/>
              </w:rPr>
              <w:fldChar w:fldCharType="begin"/>
            </w:r>
            <w:r>
              <w:rPr>
                <w:noProof/>
                <w:webHidden/>
              </w:rPr>
              <w:instrText xml:space="preserve"> PAGEREF _Toc236753982 \h </w:instrText>
            </w:r>
            <w:r>
              <w:rPr>
                <w:noProof/>
                <w:webHidden/>
              </w:rPr>
            </w:r>
            <w:r>
              <w:rPr>
                <w:noProof/>
                <w:webHidden/>
              </w:rPr>
              <w:fldChar w:fldCharType="separate"/>
            </w:r>
            <w:r>
              <w:rPr>
                <w:noProof/>
                <w:webHidden/>
              </w:rPr>
              <w:t>9</w:t>
            </w:r>
            <w:r>
              <w:rPr>
                <w:noProof/>
                <w:webHidden/>
              </w:rPr>
              <w:fldChar w:fldCharType="end"/>
            </w:r>
          </w:hyperlink>
        </w:p>
        <w:p w14:paraId="2CFB0761" w14:textId="2288816A" w:rsidR="006A78CF" w:rsidRDefault="006A78CF">
          <w:r>
            <w:rPr>
              <w:b/>
              <w:bCs/>
              <w:noProof/>
            </w:rPr>
            <w:fldChar w:fldCharType="end"/>
          </w:r>
        </w:p>
      </w:sdtContent>
    </w:sdt>
    <w:p w14:paraId="58F15136" w14:textId="77777777" w:rsidR="006A78CF" w:rsidRDefault="006A78CF" w:rsidP="006A78CF">
      <w:pPr>
        <w:rPr>
          <w:lang w:val="en-GB"/>
        </w:rPr>
      </w:pPr>
    </w:p>
    <w:p w14:paraId="23C3B27B" w14:textId="77777777" w:rsidR="006A78CF" w:rsidRDefault="006A78CF">
      <w:pPr>
        <w:spacing w:before="0" w:after="200" w:line="276" w:lineRule="auto"/>
        <w:jc w:val="left"/>
        <w:rPr>
          <w:b/>
          <w:bCs/>
          <w:lang w:val="en-GB"/>
        </w:rPr>
      </w:pPr>
      <w:r>
        <w:rPr>
          <w:b/>
          <w:bCs/>
          <w:lang w:val="en-GB"/>
        </w:rPr>
        <w:br w:type="page"/>
      </w:r>
    </w:p>
    <w:p w14:paraId="2FEE438A" w14:textId="3ED24591" w:rsidR="001518C2" w:rsidRPr="006A78CF" w:rsidRDefault="00D53DB3" w:rsidP="006A78CF">
      <w:pPr>
        <w:jc w:val="center"/>
        <w:rPr>
          <w:b/>
          <w:bCs/>
        </w:rPr>
      </w:pPr>
      <w:r w:rsidRPr="006A78CF">
        <w:rPr>
          <w:b/>
          <w:bCs/>
          <w:lang w:val="en-GB"/>
        </w:rPr>
        <w:t>Contemporary Human Resource Challenges at Tesco PLC</w:t>
      </w:r>
    </w:p>
    <w:p w14:paraId="1ED1B931" w14:textId="77777777" w:rsidR="001518C2" w:rsidRDefault="00D53DB3" w:rsidP="006A78CF">
      <w:pPr>
        <w:pStyle w:val="Heading1"/>
      </w:pPr>
      <w:bookmarkStart w:id="0" w:name="_Toc236753967"/>
      <w:r>
        <w:rPr>
          <w:lang w:val="en-GB"/>
        </w:rPr>
        <w:t>Introduction</w:t>
      </w:r>
      <w:bookmarkEnd w:id="0"/>
    </w:p>
    <w:p w14:paraId="34ED3D1D" w14:textId="77777777" w:rsidR="008557FD" w:rsidRPr="008557FD" w:rsidRDefault="008557FD" w:rsidP="008557FD">
      <w:pPr>
        <w:rPr>
          <w:sz w:val="21"/>
          <w:lang w:val="en-GB"/>
        </w:rPr>
      </w:pPr>
      <w:r w:rsidRPr="008557FD">
        <w:rPr>
          <w:sz w:val="21"/>
          <w:lang w:val="en-GB"/>
        </w:rPr>
        <w:t>This report explores the critical issues of technological change, talent competition and diversity, equity and inclusion (DEI) and how Tesco should address these issues. In 2025/26, Tesco had an average of 336,123 staff, so a lack of good HR decisions can have a significant impact on the service, cost and reputation of the business (Tesco PLC, 2026a). The analysis uses existing HR theories and recent evidence to evaluate existing practice, management of HR in practice and realistic changes that help to achieve sustainable business outcomes and employee performance at scale.</w:t>
      </w:r>
    </w:p>
    <w:p w14:paraId="0C4E60B3" w14:textId="77777777" w:rsidR="008557FD" w:rsidRPr="008557FD" w:rsidRDefault="008557FD" w:rsidP="0054056E">
      <w:pPr>
        <w:pStyle w:val="Heading1"/>
        <w:rPr>
          <w:lang w:val="en-GB"/>
        </w:rPr>
      </w:pPr>
      <w:bookmarkStart w:id="1" w:name="_Toc236753968"/>
      <w:r w:rsidRPr="008557FD">
        <w:rPr>
          <w:lang w:val="en-GB"/>
        </w:rPr>
        <w:t>1. Explanation of Key Factors</w:t>
      </w:r>
      <w:bookmarkEnd w:id="1"/>
    </w:p>
    <w:p w14:paraId="35E05A5E" w14:textId="77777777" w:rsidR="008557FD" w:rsidRPr="008557FD" w:rsidRDefault="008557FD" w:rsidP="0054056E">
      <w:pPr>
        <w:pStyle w:val="Heading2"/>
        <w:rPr>
          <w:lang w:val="en-GB"/>
        </w:rPr>
      </w:pPr>
      <w:bookmarkStart w:id="2" w:name="_Toc236753969"/>
      <w:r w:rsidRPr="008557FD">
        <w:rPr>
          <w:lang w:val="en-GB"/>
        </w:rPr>
        <w:t>1.1 Adapting to Technological Advancements</w:t>
      </w:r>
      <w:bookmarkEnd w:id="2"/>
    </w:p>
    <w:p w14:paraId="7AF7897C" w14:textId="7D618845" w:rsidR="008557FD" w:rsidRPr="008557FD" w:rsidRDefault="008557FD" w:rsidP="008557FD">
      <w:pPr>
        <w:rPr>
          <w:sz w:val="21"/>
          <w:lang w:val="en-GB"/>
        </w:rPr>
      </w:pPr>
      <w:r w:rsidRPr="008557FD">
        <w:rPr>
          <w:sz w:val="21"/>
          <w:lang w:val="en-GB"/>
        </w:rPr>
        <w:t>Technological adaptation is more than just an IT upgrade</w:t>
      </w:r>
      <w:r w:rsidR="00F35AA5">
        <w:rPr>
          <w:sz w:val="21"/>
          <w:lang w:val="en-GB"/>
        </w:rPr>
        <w:t>;</w:t>
      </w:r>
      <w:r w:rsidRPr="008557FD">
        <w:rPr>
          <w:sz w:val="21"/>
          <w:lang w:val="en-GB"/>
        </w:rPr>
        <w:t xml:space="preserve"> it transforms jobs, skills, control and employee trust. According to </w:t>
      </w:r>
      <w:proofErr w:type="spellStart"/>
      <w:r w:rsidRPr="008557FD">
        <w:rPr>
          <w:sz w:val="21"/>
          <w:lang w:val="en-GB"/>
        </w:rPr>
        <w:t>Teece</w:t>
      </w:r>
      <w:proofErr w:type="spellEnd"/>
      <w:r w:rsidRPr="008557FD">
        <w:rPr>
          <w:sz w:val="21"/>
          <w:lang w:val="en-GB"/>
        </w:rPr>
        <w:t xml:space="preserve">, Pisano and </w:t>
      </w:r>
      <w:proofErr w:type="spellStart"/>
      <w:r w:rsidR="00F35AA5">
        <w:rPr>
          <w:sz w:val="21"/>
          <w:lang w:val="en-GB"/>
        </w:rPr>
        <w:t>Shuen's</w:t>
      </w:r>
      <w:proofErr w:type="spellEnd"/>
      <w:r w:rsidR="00F35AA5">
        <w:rPr>
          <w:sz w:val="21"/>
          <w:lang w:val="en-GB"/>
        </w:rPr>
        <w:t xml:space="preserve"> (1997) Dynamic Capabilities Theory, it is necessary for Tesco to detect technological opportunities, capture them and constantly reconfigure</w:t>
      </w:r>
      <w:r w:rsidRPr="008557FD">
        <w:rPr>
          <w:sz w:val="21"/>
          <w:lang w:val="en-GB"/>
        </w:rPr>
        <w:t xml:space="preserve"> the workforce capability. Tesco regards technology as a key threat and </w:t>
      </w:r>
      <w:r w:rsidR="00F35AA5">
        <w:rPr>
          <w:sz w:val="21"/>
          <w:lang w:val="en-GB"/>
        </w:rPr>
        <w:t xml:space="preserve">has </w:t>
      </w:r>
      <w:r w:rsidRPr="008557FD">
        <w:rPr>
          <w:sz w:val="21"/>
          <w:lang w:val="en-GB"/>
        </w:rPr>
        <w:t xml:space="preserve">established a Technology Risk and Compliance Committee and an AI Strategy Governance Group (Tesco PLC, 2026a). This governance can lead to greater resilience and responsible experimentation. On the other hand, </w:t>
      </w:r>
      <w:proofErr w:type="spellStart"/>
      <w:r w:rsidRPr="008557FD">
        <w:rPr>
          <w:sz w:val="21"/>
          <w:lang w:val="en-GB"/>
        </w:rPr>
        <w:t>Budhwar</w:t>
      </w:r>
      <w:proofErr w:type="spellEnd"/>
      <w:r w:rsidRPr="008557FD">
        <w:rPr>
          <w:sz w:val="21"/>
          <w:lang w:val="en-GB"/>
        </w:rPr>
        <w:t xml:space="preserve"> et al. (2022) highlight how AI-driven HR can inadvertently perpetuate bias and undermine transparency, and </w:t>
      </w:r>
      <w:proofErr w:type="spellStart"/>
      <w:r w:rsidRPr="008557FD">
        <w:rPr>
          <w:sz w:val="21"/>
          <w:lang w:val="en-GB"/>
        </w:rPr>
        <w:t>Vrontis</w:t>
      </w:r>
      <w:proofErr w:type="spellEnd"/>
      <w:r w:rsidRPr="008557FD">
        <w:rPr>
          <w:sz w:val="21"/>
          <w:lang w:val="en-GB"/>
        </w:rPr>
        <w:t xml:space="preserve"> et al. (2022) demonstrate that automation could lead to loss of jobs as well as learning opportunities. </w:t>
      </w:r>
      <w:r w:rsidR="00F35AA5">
        <w:rPr>
          <w:sz w:val="21"/>
          <w:lang w:val="en-GB"/>
        </w:rPr>
        <w:t>However,</w:t>
      </w:r>
      <w:r w:rsidRPr="008557FD">
        <w:rPr>
          <w:sz w:val="21"/>
          <w:lang w:val="en-GB"/>
        </w:rPr>
        <w:t xml:space="preserve"> technology can only enhance productivity if Tesco changes how people work, </w:t>
      </w:r>
      <w:r w:rsidR="00F35AA5">
        <w:rPr>
          <w:sz w:val="21"/>
          <w:lang w:val="en-GB"/>
        </w:rPr>
        <w:t>retrains staff and maintains</w:t>
      </w:r>
      <w:r w:rsidRPr="008557FD">
        <w:rPr>
          <w:sz w:val="21"/>
          <w:lang w:val="en-GB"/>
        </w:rPr>
        <w:t xml:space="preserve"> human oversight. Scheduling, stock and customer service are all linked in retail systems, meaning that a bad implementation can escalate quickly throughout the operations. Otherwise, decisions could be less fair</w:t>
      </w:r>
      <w:r w:rsidR="00F35AA5">
        <w:rPr>
          <w:sz w:val="21"/>
          <w:lang w:val="en-GB"/>
        </w:rPr>
        <w:t>,</w:t>
      </w:r>
      <w:r w:rsidRPr="008557FD">
        <w:rPr>
          <w:sz w:val="21"/>
          <w:lang w:val="en-GB"/>
        </w:rPr>
        <w:t xml:space="preserve"> and concern over surveillance could impact engagement.</w:t>
      </w:r>
    </w:p>
    <w:p w14:paraId="056242E0" w14:textId="77777777" w:rsidR="008557FD" w:rsidRPr="008557FD" w:rsidRDefault="008557FD" w:rsidP="0054056E">
      <w:pPr>
        <w:pStyle w:val="Heading2"/>
        <w:rPr>
          <w:lang w:val="en-GB"/>
        </w:rPr>
      </w:pPr>
      <w:bookmarkStart w:id="3" w:name="_Toc236753970"/>
      <w:r w:rsidRPr="008557FD">
        <w:rPr>
          <w:lang w:val="en-GB"/>
        </w:rPr>
        <w:t>1.2 Talent Acquisition and Retention</w:t>
      </w:r>
      <w:bookmarkEnd w:id="3"/>
    </w:p>
    <w:p w14:paraId="25AC4359" w14:textId="69D1EFDB" w:rsidR="008557FD" w:rsidRPr="008557FD" w:rsidRDefault="008557FD" w:rsidP="008557FD">
      <w:pPr>
        <w:rPr>
          <w:sz w:val="21"/>
          <w:lang w:val="en-GB"/>
        </w:rPr>
      </w:pPr>
      <w:r w:rsidRPr="008557FD">
        <w:rPr>
          <w:sz w:val="21"/>
          <w:lang w:val="en-GB"/>
        </w:rPr>
        <w:t xml:space="preserve">Talent acquisition and retention </w:t>
      </w:r>
      <w:r w:rsidR="00F35AA5">
        <w:rPr>
          <w:sz w:val="21"/>
          <w:lang w:val="en-GB"/>
        </w:rPr>
        <w:t>are strategic as they rely on the availability of digital specialists within an organisation</w:t>
      </w:r>
      <w:r w:rsidRPr="008557FD">
        <w:rPr>
          <w:sz w:val="21"/>
          <w:lang w:val="en-GB"/>
        </w:rPr>
        <w:t xml:space="preserve">, along with capable managers and reliable frontline employees. Valuable and </w:t>
      </w:r>
      <w:r w:rsidR="00F35AA5">
        <w:rPr>
          <w:sz w:val="21"/>
          <w:lang w:val="en-GB"/>
        </w:rPr>
        <w:t>hard-to-copy human capability is a source of advantage, according to Barney's Resource-Based</w:t>
      </w:r>
      <w:r w:rsidRPr="008557FD">
        <w:rPr>
          <w:sz w:val="21"/>
          <w:lang w:val="en-GB"/>
        </w:rPr>
        <w:t xml:space="preserve"> View (1991), but Tesco claims to still be facing competition for leadership and specialist talent (Tesco PLC, 2026a). The risk is evident in employee information: 82% would recommend Tesco as a great place to work in 2025/26 (down from 85%) and only 73% felt they had opportunities to learn and develop (Tesco PLC, 2026b). Inclusive talent development will help retain talent, says </w:t>
      </w:r>
      <w:proofErr w:type="spellStart"/>
      <w:r w:rsidRPr="008557FD">
        <w:rPr>
          <w:sz w:val="21"/>
          <w:lang w:val="en-GB"/>
        </w:rPr>
        <w:t>Kaliannan</w:t>
      </w:r>
      <w:proofErr w:type="spellEnd"/>
      <w:r w:rsidRPr="008557FD">
        <w:rPr>
          <w:sz w:val="21"/>
          <w:lang w:val="en-GB"/>
        </w:rPr>
        <w:t xml:space="preserve"> et al. (2023), who </w:t>
      </w:r>
      <w:r w:rsidR="00F35AA5">
        <w:rPr>
          <w:sz w:val="21"/>
          <w:lang w:val="en-GB"/>
        </w:rPr>
        <w:t>believe</w:t>
      </w:r>
      <w:r w:rsidRPr="008557FD">
        <w:rPr>
          <w:sz w:val="21"/>
          <w:lang w:val="en-GB"/>
        </w:rPr>
        <w:t xml:space="preserve"> the focus should not be just on a limited talent pool, but on developing talent. But training is not enough to compensate for workload</w:t>
      </w:r>
      <w:r w:rsidR="00F35AA5">
        <w:rPr>
          <w:sz w:val="21"/>
          <w:lang w:val="en-GB"/>
        </w:rPr>
        <w:t xml:space="preserve">, low supervision, and lack of </w:t>
      </w:r>
      <w:r w:rsidRPr="008557FD">
        <w:rPr>
          <w:sz w:val="21"/>
          <w:lang w:val="en-GB"/>
        </w:rPr>
        <w:t>progression. Blau's Social Exchange Theory (1964) states that employees give back to credible support rather than promises. The cost of external recruitment is also high and may lead to the mixing of internal career signals. Tesco needs to link pay, development, scheduling, wellbeing and manager quality, instead of focusing primarily on employer branding.</w:t>
      </w:r>
    </w:p>
    <w:p w14:paraId="5CA07B1B" w14:textId="77777777" w:rsidR="008557FD" w:rsidRPr="008557FD" w:rsidRDefault="008557FD" w:rsidP="0054056E">
      <w:pPr>
        <w:pStyle w:val="Heading2"/>
        <w:rPr>
          <w:lang w:val="en-GB"/>
        </w:rPr>
      </w:pPr>
      <w:bookmarkStart w:id="4" w:name="_Toc236753971"/>
      <w:r w:rsidRPr="008557FD">
        <w:rPr>
          <w:lang w:val="en-GB"/>
        </w:rPr>
        <w:t>1.3 Diversity, Equity and Inclusion</w:t>
      </w:r>
      <w:bookmarkEnd w:id="4"/>
    </w:p>
    <w:p w14:paraId="139FA97B" w14:textId="67A4628F" w:rsidR="008557FD" w:rsidRPr="008557FD" w:rsidRDefault="008557FD" w:rsidP="008557FD">
      <w:pPr>
        <w:rPr>
          <w:sz w:val="21"/>
          <w:lang w:val="en-GB"/>
        </w:rPr>
      </w:pPr>
      <w:r w:rsidRPr="008557FD">
        <w:rPr>
          <w:sz w:val="21"/>
          <w:lang w:val="en-GB"/>
        </w:rPr>
        <w:t xml:space="preserve">The impact of DEI on fairness, sense of belonging, decision quality and Tesco's understanding of diverse customers. Under-represented employees may turn down leadership when it communicates that certain groups are less valued, as demonstrated by Tajfel and Turner's Social Identity Theory (1979). In 2025/26, women made up 51% of Tesco's </w:t>
      </w:r>
      <w:r w:rsidR="00F35AA5">
        <w:rPr>
          <w:sz w:val="21"/>
          <w:lang w:val="en-GB"/>
        </w:rPr>
        <w:t>workforce</w:t>
      </w:r>
      <w:r w:rsidRPr="008557FD">
        <w:rPr>
          <w:sz w:val="21"/>
          <w:lang w:val="en-GB"/>
        </w:rPr>
        <w:t>, and 35% of top global leaders and 36% of the Board were female, but women's representation in the workforce was only 13% of top global leaders, being 19% of the target by 2029 (Tesco PLC, 2026b). The median gender pay gap for the UK Retail industry decreased to 4.7%, while the mean bonus gap increased to 53.9% due to a higher percentage of men in senior, higher bonus roles (Tesco PLC, 2026a). Progress is unparalleled in these years. According to Adamovic et al. (2023), minority employees' self-efficacy and wellbeing can be safeguarded by a strong climate for inclusion. Greater diversity must lead to greater representation in leadership to improve challenge and customer understanding, but if the diversity isn't reflected in the leadership</w:t>
      </w:r>
      <w:r w:rsidR="00F35AA5">
        <w:rPr>
          <w:sz w:val="21"/>
          <w:lang w:val="en-GB"/>
        </w:rPr>
        <w:t>,</w:t>
      </w:r>
      <w:r w:rsidRPr="008557FD">
        <w:rPr>
          <w:sz w:val="21"/>
          <w:lang w:val="en-GB"/>
        </w:rPr>
        <w:t xml:space="preserve"> it is tokenism. So, for Tesco, DEI cannot just be on the job description or in the policies and procedures</w:t>
      </w:r>
      <w:r w:rsidR="00F35AA5">
        <w:rPr>
          <w:sz w:val="21"/>
          <w:lang w:val="en-GB"/>
        </w:rPr>
        <w:t>;</w:t>
      </w:r>
      <w:r w:rsidRPr="008557FD">
        <w:rPr>
          <w:sz w:val="21"/>
          <w:lang w:val="en-GB"/>
        </w:rPr>
        <w:t xml:space="preserve"> it must also be judged by promotion, pay and lived experience.</w:t>
      </w:r>
    </w:p>
    <w:p w14:paraId="6F359205" w14:textId="77777777" w:rsidR="008557FD" w:rsidRPr="008557FD" w:rsidRDefault="008557FD" w:rsidP="0054056E">
      <w:pPr>
        <w:pStyle w:val="Heading1"/>
        <w:rPr>
          <w:lang w:val="en-GB"/>
        </w:rPr>
      </w:pPr>
      <w:bookmarkStart w:id="5" w:name="_Toc236753972"/>
      <w:r w:rsidRPr="008557FD">
        <w:rPr>
          <w:lang w:val="en-GB"/>
        </w:rPr>
        <w:t>2. Evaluation of Contemporary HR Practices</w:t>
      </w:r>
      <w:bookmarkEnd w:id="5"/>
    </w:p>
    <w:p w14:paraId="752FCED0" w14:textId="77777777" w:rsidR="008557FD" w:rsidRPr="008557FD" w:rsidRDefault="008557FD" w:rsidP="0054056E">
      <w:pPr>
        <w:pStyle w:val="Heading2"/>
        <w:rPr>
          <w:lang w:val="en-GB"/>
        </w:rPr>
      </w:pPr>
      <w:bookmarkStart w:id="6" w:name="_Toc236753973"/>
      <w:r w:rsidRPr="008557FD">
        <w:rPr>
          <w:lang w:val="en-GB"/>
        </w:rPr>
        <w:t>2.1 Digital HR Systems and Workforce Analytics</w:t>
      </w:r>
      <w:bookmarkEnd w:id="6"/>
    </w:p>
    <w:p w14:paraId="461DEB49" w14:textId="5762F509" w:rsidR="008557FD" w:rsidRPr="008557FD" w:rsidRDefault="008557FD" w:rsidP="008557FD">
      <w:pPr>
        <w:rPr>
          <w:sz w:val="21"/>
          <w:lang w:val="en-GB"/>
        </w:rPr>
      </w:pPr>
      <w:r w:rsidRPr="008557FD">
        <w:rPr>
          <w:sz w:val="21"/>
          <w:lang w:val="en-GB"/>
        </w:rPr>
        <w:t>Tesco's global careers platform, workforce analytics and strategic workforce planning can enhance recruitment speed, demand forecasting and targeted learning (Tesco PLC, 2026a). Kim et al. (2025) argue algorithmic technology can assist HR delivery, and its impact is contingent upon human agency and organisation. Well leveraged, analytics can help you detect areas for growth, skill deficiencies and uneven progression prior to their impact on operations. If overused, it can become a kind of "scoring for" historical discrimination. Dima et al. (2024) also find that AI will automate processes, enhance the utilisation of data, and alter the power dynamics in the HR triangle: employee, manager, HR specialist. There is therefore a need for Tesco to have explainable criteria, data quality checks, adverse impact testing, and a named human decision maker for recruitment or promotion. Staff should be aware of what data is used and how long it is held for. This not only helps to curb legal and ethical risks but also slows down the pace and cost benefits of full automation.</w:t>
      </w:r>
    </w:p>
    <w:p w14:paraId="04D834C0" w14:textId="4728F8C3" w:rsidR="008557FD" w:rsidRPr="008557FD" w:rsidRDefault="00F35AA5" w:rsidP="00F35AA5">
      <w:pPr>
        <w:pStyle w:val="Heading2"/>
        <w:rPr>
          <w:lang w:val="en-GB"/>
        </w:rPr>
      </w:pPr>
      <w:bookmarkStart w:id="7" w:name="_Toc236753974"/>
      <w:r w:rsidRPr="00F35AA5">
        <w:t>2.2 Employer Brand, Engagement and Retention</w:t>
      </w:r>
      <w:bookmarkEnd w:id="7"/>
    </w:p>
    <w:p w14:paraId="5032EEDF" w14:textId="48476988" w:rsidR="001518C2" w:rsidRDefault="008557FD" w:rsidP="008557FD">
      <w:r w:rsidRPr="008557FD">
        <w:rPr>
          <w:sz w:val="21"/>
          <w:lang w:val="en-GB"/>
        </w:rPr>
        <w:t>The offer of employment at Tesco includes: pay, flexibility, share ownership, family support and wellbeing. The company spent over £200 million to improve pay to its colleagues in the UK, and 82% of its colleagues rated Tesco a great place to work, compared to a global retailing benchmark of 71% (Tesco PLC, 2026b). Based on the Job Demands-Resources model developed by Demerouti et al. (2001), Lu et al. (2023) demonstrate that sustainable HR practices can foster HR resilience and employee engagement when resources sufficiently support employees to cope with job demands. Useful, but mixed, is the evidence for Tesco's virtual GP service and family-friendly policies</w:t>
      </w:r>
      <w:r w:rsidR="00F35AA5">
        <w:rPr>
          <w:sz w:val="21"/>
          <w:lang w:val="en-GB"/>
        </w:rPr>
        <w:t>,</w:t>
      </w:r>
      <w:r w:rsidRPr="008557FD">
        <w:rPr>
          <w:sz w:val="21"/>
          <w:lang w:val="en-GB"/>
        </w:rPr>
        <w:t xml:space="preserve"> as 71% felt supported in health and wellbeing, compared to 74% (Tesco PLC, 2026b). According to Sypniewska</w:t>
      </w:r>
      <w:r w:rsidR="00FE4B5A">
        <w:rPr>
          <w:sz w:val="21"/>
          <w:lang w:val="en-GB"/>
        </w:rPr>
        <w:t xml:space="preserve"> et al.,</w:t>
      </w:r>
      <w:r w:rsidRPr="008557FD">
        <w:rPr>
          <w:sz w:val="21"/>
          <w:lang w:val="en-GB"/>
        </w:rPr>
        <w:t xml:space="preserve"> (2023), satisfaction is linked to development, wellbeing and retention</w:t>
      </w:r>
      <w:r w:rsidR="00F35AA5">
        <w:rPr>
          <w:sz w:val="21"/>
          <w:lang w:val="en-GB"/>
        </w:rPr>
        <w:t>; however, cross-sectional</w:t>
      </w:r>
      <w:r w:rsidRPr="008557FD">
        <w:rPr>
          <w:sz w:val="21"/>
          <w:lang w:val="en-GB"/>
        </w:rPr>
        <w:t xml:space="preserve"> evidence does not allow determining whether the benefits are what leads to retention. Tesco needs to be able to analyse the breakdown of turnover and absence by role, store and manager and then be able to rectify the operational causes. Benefits should also be available while an employee is on paid leave for colleagues on the front line. Predictability of work, line management and/or blocked progression are not attributes of a strong brand that can be mitigated.</w:t>
      </w:r>
    </w:p>
    <w:p w14:paraId="4D02CE8E" w14:textId="77777777" w:rsidR="001518C2" w:rsidRDefault="00D53DB3" w:rsidP="008557FD">
      <w:pPr>
        <w:pStyle w:val="Heading2"/>
      </w:pPr>
      <w:bookmarkStart w:id="8" w:name="_Toc236753975"/>
      <w:r>
        <w:rPr>
          <w:lang w:val="en-GB"/>
        </w:rPr>
        <w:t>2.3 Inclusive Recruitment and Leadership Development</w:t>
      </w:r>
      <w:bookmarkEnd w:id="8"/>
    </w:p>
    <w:p w14:paraId="5F7137E6" w14:textId="5E47BC0B" w:rsidR="0054056E" w:rsidRPr="0054056E" w:rsidRDefault="0054056E" w:rsidP="0054056E">
      <w:pPr>
        <w:rPr>
          <w:sz w:val="21"/>
          <w:lang w:val="en-GB"/>
        </w:rPr>
      </w:pPr>
      <w:r w:rsidRPr="0054056E">
        <w:rPr>
          <w:sz w:val="21"/>
          <w:lang w:val="en-GB"/>
        </w:rPr>
        <w:t>Inclusive recruitment, independent assessment of senior recruitment, colleague networks and leadership programmes strengthen the process of recruitment compared to informal manager judgement (Tesco PLC, 2026a). Liu et al. (2024) conclude inclusive leadership can positively impact wellbeing in the workplace by raising employee vigour and offering developmental feedback, which means managers need to go above and beyond to prevent discrimination and encourage contribution and sponsorship of growth. Tesco's female leadership development is positive, but there is still much more to do</w:t>
      </w:r>
      <w:r w:rsidR="00F35AA5">
        <w:rPr>
          <w:sz w:val="21"/>
          <w:lang w:val="en-GB"/>
        </w:rPr>
        <w:t>,</w:t>
      </w:r>
      <w:r w:rsidRPr="0054056E">
        <w:rPr>
          <w:sz w:val="21"/>
          <w:lang w:val="en-GB"/>
        </w:rPr>
        <w:t xml:space="preserve"> as the 13% ethnic representation in the top global leaders and the large bonus gap (Tesco PLC, 2026b) indicate that equal access does not yet lead to equal outcomes. There are ways to </w:t>
      </w:r>
      <w:r w:rsidR="00F35AA5">
        <w:rPr>
          <w:sz w:val="21"/>
          <w:lang w:val="en-GB"/>
        </w:rPr>
        <w:t>minimise discretion through structured interviews, standard scoring, balanced panels and promotion audits, but none of these tools takes</w:t>
      </w:r>
      <w:r w:rsidRPr="0054056E">
        <w:rPr>
          <w:sz w:val="21"/>
          <w:lang w:val="en-GB"/>
        </w:rPr>
        <w:t xml:space="preserve"> bias out of the system. The targets could also be rejected if they're perceived as a substitute for merit, which is a component of inclusive talent systems. Tesco should share </w:t>
      </w:r>
      <w:r w:rsidR="00F35AA5">
        <w:rPr>
          <w:sz w:val="21"/>
          <w:lang w:val="en-GB"/>
        </w:rPr>
        <w:t>its evidence of progression at the role level and make its</w:t>
      </w:r>
      <w:r w:rsidRPr="0054056E">
        <w:rPr>
          <w:sz w:val="21"/>
          <w:lang w:val="en-GB"/>
        </w:rPr>
        <w:t xml:space="preserve"> skills and outcomes of work clear. Areas of unintended gaming </w:t>
      </w:r>
      <w:r w:rsidR="00F35AA5">
        <w:rPr>
          <w:sz w:val="21"/>
          <w:lang w:val="en-GB"/>
        </w:rPr>
        <w:t>need</w:t>
      </w:r>
      <w:r w:rsidRPr="0054056E">
        <w:rPr>
          <w:sz w:val="21"/>
          <w:lang w:val="en-GB"/>
        </w:rPr>
        <w:t xml:space="preserve"> to be reviewed in accordance with targets and supported with succession pipelines. That has increased the accountability beyond </w:t>
      </w:r>
      <w:r w:rsidR="00F35AA5">
        <w:rPr>
          <w:sz w:val="21"/>
          <w:lang w:val="en-GB"/>
        </w:rPr>
        <w:t>symbolising</w:t>
      </w:r>
      <w:r w:rsidRPr="0054056E">
        <w:rPr>
          <w:sz w:val="21"/>
          <w:lang w:val="en-GB"/>
        </w:rPr>
        <w:t xml:space="preserve"> or claiming diversity in a broad sense.</w:t>
      </w:r>
    </w:p>
    <w:p w14:paraId="157A528A" w14:textId="77777777" w:rsidR="0054056E" w:rsidRPr="0054056E" w:rsidRDefault="0054056E" w:rsidP="00F35AA5">
      <w:pPr>
        <w:pStyle w:val="Heading1"/>
        <w:rPr>
          <w:lang w:val="en-GB"/>
        </w:rPr>
      </w:pPr>
      <w:bookmarkStart w:id="9" w:name="_Toc236753976"/>
      <w:r w:rsidRPr="0054056E">
        <w:rPr>
          <w:lang w:val="en-GB"/>
        </w:rPr>
        <w:t>3. Critical Evaluation of Managerial Implementation</w:t>
      </w:r>
      <w:bookmarkEnd w:id="9"/>
    </w:p>
    <w:p w14:paraId="10BD45C3" w14:textId="77777777" w:rsidR="0054056E" w:rsidRPr="0054056E" w:rsidRDefault="0054056E" w:rsidP="00F35AA5">
      <w:pPr>
        <w:pStyle w:val="Heading2"/>
        <w:rPr>
          <w:lang w:val="en-GB"/>
        </w:rPr>
      </w:pPr>
      <w:bookmarkStart w:id="10" w:name="_Toc236753977"/>
      <w:r w:rsidRPr="0054056E">
        <w:rPr>
          <w:lang w:val="en-GB"/>
        </w:rPr>
        <w:t>3.1 Leadership and Accountability</w:t>
      </w:r>
      <w:bookmarkEnd w:id="10"/>
    </w:p>
    <w:p w14:paraId="482A0435" w14:textId="77777777" w:rsidR="0054056E" w:rsidRPr="0054056E" w:rsidRDefault="0054056E" w:rsidP="0054056E">
      <w:pPr>
        <w:rPr>
          <w:sz w:val="21"/>
          <w:lang w:val="en-GB"/>
        </w:rPr>
      </w:pPr>
      <w:r w:rsidRPr="0054056E">
        <w:rPr>
          <w:sz w:val="21"/>
          <w:lang w:val="en-GB"/>
        </w:rPr>
        <w:t>Central HR Policy is a matter of policy and practice, and it is decided by departmental managers. The Ability-Motivation-Opportunity model of Appelbaum et al (2000) suggests that Tesco should provide managers with HR knowledge, motivation to place emphasis on people and autonomy and time. The orientation of the HR managers can influence the perception of HR effectiveness by employees, as managers with a compliance orientation may make HR support appear to be control (Ogbonnaya et al., 2025). Tesco should incorporate a range of measures into manager scorecards – with some of these being related to the quality of people, such as regretted turnover, in-house promotion, learning completion, absence and inclusion. There should be accountability, but too high targets can lead to 'box-ticking' with too much haste or hiding. Senior leaders need to consider both evidence and behaviour, challenge local explanations and praise managers' ability to enhance capability, not just to generate good figures.</w:t>
      </w:r>
    </w:p>
    <w:p w14:paraId="0EF05234" w14:textId="77777777" w:rsidR="0054056E" w:rsidRPr="0054056E" w:rsidRDefault="0054056E" w:rsidP="00F35AA5">
      <w:pPr>
        <w:pStyle w:val="Heading2"/>
        <w:rPr>
          <w:lang w:val="en-GB"/>
        </w:rPr>
      </w:pPr>
      <w:bookmarkStart w:id="11" w:name="_Toc236753978"/>
      <w:r w:rsidRPr="0054056E">
        <w:rPr>
          <w:lang w:val="en-GB"/>
        </w:rPr>
        <w:t>3.2 Communication and Organisational Culture</w:t>
      </w:r>
      <w:bookmarkEnd w:id="11"/>
    </w:p>
    <w:p w14:paraId="348E4C6A" w14:textId="46FF251F" w:rsidR="0054056E" w:rsidRPr="0054056E" w:rsidRDefault="0054056E" w:rsidP="0054056E">
      <w:pPr>
        <w:rPr>
          <w:sz w:val="21"/>
          <w:lang w:val="en-GB"/>
        </w:rPr>
      </w:pPr>
      <w:r w:rsidRPr="0054056E">
        <w:rPr>
          <w:sz w:val="21"/>
          <w:lang w:val="en-GB"/>
        </w:rPr>
        <w:t>However, there must also be a process of two-way communication to implement it. Tesco's Every Voice Matters survey is a great way to get scale, but participation has come down to 73%</w:t>
      </w:r>
      <w:r w:rsidR="00F35AA5">
        <w:rPr>
          <w:sz w:val="21"/>
          <w:lang w:val="en-GB"/>
        </w:rPr>
        <w:t>,</w:t>
      </w:r>
      <w:r w:rsidRPr="0054056E">
        <w:rPr>
          <w:sz w:val="21"/>
          <w:lang w:val="en-GB"/>
        </w:rPr>
        <w:t xml:space="preserve"> and the great-place-to-work score is three points down (Tesco PLC, 2026b). Pak and </w:t>
      </w:r>
      <w:proofErr w:type="spellStart"/>
      <w:r w:rsidRPr="0054056E">
        <w:rPr>
          <w:sz w:val="21"/>
          <w:lang w:val="en-GB"/>
        </w:rPr>
        <w:t>Heidarian</w:t>
      </w:r>
      <w:proofErr w:type="spellEnd"/>
      <w:r w:rsidRPr="0054056E">
        <w:rPr>
          <w:sz w:val="21"/>
          <w:lang w:val="en-GB"/>
        </w:rPr>
        <w:t xml:space="preserve"> </w:t>
      </w:r>
      <w:proofErr w:type="spellStart"/>
      <w:r w:rsidRPr="0054056E">
        <w:rPr>
          <w:sz w:val="21"/>
          <w:lang w:val="en-GB"/>
        </w:rPr>
        <w:t>Ghaleh</w:t>
      </w:r>
      <w:proofErr w:type="spellEnd"/>
      <w:r w:rsidRPr="0054056E">
        <w:rPr>
          <w:sz w:val="21"/>
          <w:lang w:val="en-GB"/>
        </w:rPr>
        <w:t xml:space="preserve"> (2024) show that team acceptance has an impact on the implementation behaviour of frontline managers and team performance. Managers </w:t>
      </w:r>
      <w:r w:rsidR="00F35AA5">
        <w:rPr>
          <w:sz w:val="21"/>
          <w:lang w:val="en-GB"/>
        </w:rPr>
        <w:t>should</w:t>
      </w:r>
      <w:r w:rsidRPr="0054056E">
        <w:rPr>
          <w:sz w:val="21"/>
          <w:lang w:val="en-GB"/>
        </w:rPr>
        <w:t xml:space="preserve"> communicate the rationale behind a technology change, assess understanding and document observable change following feedback on recruitment or DEI changes. When there is pervasive silence following a survey, it is a message to colleagues that voice has a limited value. Communication should also cater for the "store and distribution/office" as well as digital messages, so some workers who are not connected during work hours. Scripts, briefing time and escalation routes are also required for managers. The downside is it takes longer to get in place, but consultation can also reveal real-world challenges at a relatively early stage and mitigate resistance.</w:t>
      </w:r>
    </w:p>
    <w:p w14:paraId="521648D6" w14:textId="77777777" w:rsidR="0054056E" w:rsidRPr="0054056E" w:rsidRDefault="0054056E" w:rsidP="00F35AA5">
      <w:pPr>
        <w:pStyle w:val="Heading2"/>
        <w:rPr>
          <w:lang w:val="en-GB"/>
        </w:rPr>
      </w:pPr>
      <w:bookmarkStart w:id="12" w:name="_Toc236753979"/>
      <w:r w:rsidRPr="0054056E">
        <w:rPr>
          <w:lang w:val="en-GB"/>
        </w:rPr>
        <w:t>3.3 Monitoring, Measurement and Barriers</w:t>
      </w:r>
      <w:bookmarkEnd w:id="12"/>
    </w:p>
    <w:p w14:paraId="3BF51AC6" w14:textId="3C0457CA" w:rsidR="0054056E" w:rsidRPr="0054056E" w:rsidRDefault="0054056E" w:rsidP="0054056E">
      <w:pPr>
        <w:rPr>
          <w:sz w:val="21"/>
          <w:lang w:val="en-GB"/>
        </w:rPr>
      </w:pPr>
      <w:r w:rsidRPr="0054056E">
        <w:rPr>
          <w:sz w:val="21"/>
          <w:lang w:val="en-GB"/>
        </w:rPr>
        <w:t>Tesco should track leading indicators like the completion of skills plans and the shortlist diversity</w:t>
      </w:r>
      <w:r w:rsidR="00F35AA5">
        <w:rPr>
          <w:sz w:val="21"/>
          <w:lang w:val="en-GB"/>
        </w:rPr>
        <w:t>,</w:t>
      </w:r>
      <w:r w:rsidRPr="0054056E">
        <w:rPr>
          <w:sz w:val="21"/>
          <w:lang w:val="en-GB"/>
        </w:rPr>
        <w:t xml:space="preserve"> as well as lagging indicators like turnover, pay progression, grievance and customer service. </w:t>
      </w:r>
      <w:proofErr w:type="spellStart"/>
      <w:r w:rsidRPr="0054056E">
        <w:rPr>
          <w:sz w:val="21"/>
          <w:lang w:val="en-GB"/>
        </w:rPr>
        <w:t>Ekuma</w:t>
      </w:r>
      <w:proofErr w:type="spellEnd"/>
      <w:r w:rsidRPr="0054056E">
        <w:rPr>
          <w:sz w:val="21"/>
          <w:lang w:val="en-GB"/>
        </w:rPr>
        <w:t xml:space="preserve"> (2024) believes that HR development automation demands ongoing reskilling and a focus on people issues. Key challenges will include manager workload, inconsistent capability, data fragmentation, and a fear of algorithmic control and local resistance to the standardisation. Tesco can overcome these in a number of ways: protected management time, practical coaching, HR business-partner </w:t>
      </w:r>
      <w:r w:rsidR="00F35AA5">
        <w:rPr>
          <w:sz w:val="21"/>
          <w:lang w:val="en-GB"/>
        </w:rPr>
        <w:t>help, calibration meetings and limited pilots prior to scale-up</w:t>
      </w:r>
      <w:r w:rsidRPr="0054056E">
        <w:rPr>
          <w:sz w:val="21"/>
          <w:lang w:val="en-GB"/>
        </w:rPr>
        <w:t xml:space="preserve">. It is important to look at data by role and demographic group, beyond company averages, as apparently good data may mask poor stores or uneven performance. Important changes to look at by unions and colleague networks. Where careers are impacted by automated </w:t>
      </w:r>
      <w:r w:rsidR="00F35AA5">
        <w:rPr>
          <w:sz w:val="21"/>
          <w:lang w:val="en-GB"/>
        </w:rPr>
        <w:t>decision-making</w:t>
      </w:r>
      <w:r w:rsidRPr="0054056E">
        <w:rPr>
          <w:sz w:val="21"/>
          <w:lang w:val="en-GB"/>
        </w:rPr>
        <w:t>, there should be independent auditing and employee challenge routes.</w:t>
      </w:r>
    </w:p>
    <w:p w14:paraId="45110063" w14:textId="77777777" w:rsidR="0054056E" w:rsidRPr="0054056E" w:rsidRDefault="0054056E" w:rsidP="0054056E">
      <w:pPr>
        <w:pStyle w:val="Heading1"/>
        <w:rPr>
          <w:lang w:val="en-GB"/>
        </w:rPr>
      </w:pPr>
      <w:bookmarkStart w:id="13" w:name="_Toc236753980"/>
      <w:r w:rsidRPr="0054056E">
        <w:rPr>
          <w:lang w:val="en-GB"/>
        </w:rPr>
        <w:t>4. Recommendations</w:t>
      </w:r>
      <w:bookmarkEnd w:id="13"/>
    </w:p>
    <w:p w14:paraId="3848A35E" w14:textId="7FBEF200" w:rsidR="0054056E" w:rsidRPr="0054056E" w:rsidRDefault="0054056E" w:rsidP="0054056E">
      <w:pPr>
        <w:rPr>
          <w:sz w:val="21"/>
          <w:lang w:val="en-GB"/>
        </w:rPr>
      </w:pPr>
      <w:r w:rsidRPr="0054056E">
        <w:rPr>
          <w:sz w:val="21"/>
          <w:lang w:val="en-GB"/>
        </w:rPr>
        <w:t xml:space="preserve">To begin with, in every business unit, quarterly, independently-tackled </w:t>
      </w:r>
      <w:r w:rsidR="00F35AA5">
        <w:rPr>
          <w:sz w:val="21"/>
          <w:lang w:val="en-GB"/>
        </w:rPr>
        <w:t>individual</w:t>
      </w:r>
      <w:r w:rsidRPr="0054056E">
        <w:rPr>
          <w:sz w:val="21"/>
          <w:lang w:val="en-GB"/>
        </w:rPr>
        <w:t xml:space="preserve"> dashboards should be implemented, which contain regretted turnover, internal mobility, learning, wellbeing, pay development and selection results by demographic group (Tesco PLC, 2026b). Second, it should be required to be reviewed by humans, undergo adverse-impact testing and appeal processes for all algorithms used in recruitment, scheduling, and performance decisions, as per the risks identified by Dima et al. (2024). Thirdly, involve line managers in protected coaching time and </w:t>
      </w:r>
      <w:r w:rsidR="00F35AA5">
        <w:rPr>
          <w:sz w:val="21"/>
          <w:lang w:val="en-GB"/>
        </w:rPr>
        <w:t>evaluate training on coaching, inclusive leadership and change communication, and then part of the performance assessment be tied to sustained team results instead of completion of the activities or short-term</w:t>
      </w:r>
      <w:r w:rsidRPr="0054056E">
        <w:rPr>
          <w:sz w:val="21"/>
          <w:lang w:val="en-GB"/>
        </w:rPr>
        <w:t xml:space="preserve"> scores.</w:t>
      </w:r>
    </w:p>
    <w:p w14:paraId="55B018FA" w14:textId="77777777" w:rsidR="0054056E" w:rsidRPr="0054056E" w:rsidRDefault="0054056E" w:rsidP="0054056E">
      <w:pPr>
        <w:pStyle w:val="Heading1"/>
        <w:rPr>
          <w:lang w:val="en-GB"/>
        </w:rPr>
      </w:pPr>
      <w:bookmarkStart w:id="14" w:name="_Toc236753981"/>
      <w:r w:rsidRPr="0054056E">
        <w:rPr>
          <w:lang w:val="en-GB"/>
        </w:rPr>
        <w:t>Conclusion</w:t>
      </w:r>
      <w:bookmarkEnd w:id="14"/>
    </w:p>
    <w:p w14:paraId="0F21F7C9" w14:textId="70CB52CD" w:rsidR="001518C2" w:rsidRDefault="0054056E" w:rsidP="00670667">
      <w:r w:rsidRPr="0054056E">
        <w:rPr>
          <w:sz w:val="21"/>
          <w:lang w:val="en-GB"/>
        </w:rPr>
        <w:t>Tesco has some very solid ground to build on: pay investment, digital governance, targets on listening and inclusion, employee targets. But weak engagement scores, unequal leadership representation and a vast bonus differential indicate that policy is not enough to drive employee results. Sustainable performance will only be achieved if action is taken on integration: responsible technology, wide talent development, measurable inclusion and managers able to translate HR policy into fair practice. There is a clear need for Tesco to measure success in their workforce, not a programme.</w:t>
      </w:r>
      <w:r w:rsidR="00D53DB3">
        <w:rPr>
          <w:lang w:val="en-GB"/>
        </w:rPr>
        <w:br w:type="page"/>
      </w:r>
    </w:p>
    <w:p w14:paraId="252B8A93" w14:textId="09203ABA" w:rsidR="001518C2" w:rsidRDefault="00D53DB3" w:rsidP="006A78CF">
      <w:pPr>
        <w:pStyle w:val="Heading1"/>
      </w:pPr>
      <w:bookmarkStart w:id="15" w:name="_Toc236753982"/>
      <w:r>
        <w:rPr>
          <w:lang w:val="en-GB"/>
        </w:rPr>
        <w:t>Reference</w:t>
      </w:r>
      <w:r w:rsidR="006A78CF">
        <w:rPr>
          <w:lang w:val="en-GB"/>
        </w:rPr>
        <w:t>s</w:t>
      </w:r>
      <w:bookmarkEnd w:id="15"/>
    </w:p>
    <w:p w14:paraId="450413DD" w14:textId="77777777" w:rsidR="00F44BC6" w:rsidRPr="006A78CF" w:rsidRDefault="00F44BC6" w:rsidP="00670667">
      <w:pPr>
        <w:ind w:left="720" w:hanging="720"/>
        <w:rPr>
          <w:sz w:val="28"/>
        </w:rPr>
      </w:pPr>
      <w:r w:rsidRPr="006A78CF">
        <w:rPr>
          <w:lang w:val="en-GB"/>
        </w:rPr>
        <w:t>Adamovic, M., Sojo, V.E., Schachtman, R. and Vargas, A. (2023) ‘Explaining the relationship between ethnicity and depressive symptoms: The roles of climate for inclusion, job self-efficacy, and job demands’, Asia Pacific Journal of Management, 40(3), pp. 903–928.</w:t>
      </w:r>
    </w:p>
    <w:p w14:paraId="487ADC0D" w14:textId="77777777" w:rsidR="00F44BC6" w:rsidRPr="006A78CF" w:rsidRDefault="00F44BC6" w:rsidP="00670667">
      <w:pPr>
        <w:ind w:left="720" w:hanging="720"/>
        <w:rPr>
          <w:sz w:val="28"/>
        </w:rPr>
      </w:pPr>
      <w:r w:rsidRPr="006A78CF">
        <w:rPr>
          <w:lang w:val="en-GB"/>
        </w:rPr>
        <w:t>Appelbaum, E., Bailey, T., Berg, P. and Kalleberg, A.L. (2000) Manufacturing Advantage: Why High-Performance Work Systems Pay Off. Ithaca, NY: Cornell University Press.</w:t>
      </w:r>
    </w:p>
    <w:p w14:paraId="2C58C59A" w14:textId="77777777" w:rsidR="00F44BC6" w:rsidRPr="006A78CF" w:rsidRDefault="00F44BC6" w:rsidP="00670667">
      <w:pPr>
        <w:ind w:left="720" w:hanging="720"/>
        <w:rPr>
          <w:sz w:val="28"/>
        </w:rPr>
      </w:pPr>
      <w:r w:rsidRPr="006A78CF">
        <w:rPr>
          <w:lang w:val="en-GB"/>
        </w:rPr>
        <w:t xml:space="preserve">Barney, J. (1991) ‘Firm resources and sustained competitive advantage’, Journal of Management, 17(1), pp. 99–120. </w:t>
      </w:r>
    </w:p>
    <w:p w14:paraId="64A1677B" w14:textId="77777777" w:rsidR="00F44BC6" w:rsidRPr="006A78CF" w:rsidRDefault="00F44BC6" w:rsidP="00670667">
      <w:pPr>
        <w:ind w:left="720" w:hanging="720"/>
        <w:rPr>
          <w:sz w:val="28"/>
        </w:rPr>
      </w:pPr>
      <w:r w:rsidRPr="006A78CF">
        <w:rPr>
          <w:lang w:val="en-GB"/>
        </w:rPr>
        <w:t>Blau, P.M. (1964) Exchange and Power in Social Life. New York: Wiley.</w:t>
      </w:r>
    </w:p>
    <w:p w14:paraId="1F0BBEEA" w14:textId="77777777" w:rsidR="00F44BC6" w:rsidRPr="006A78CF" w:rsidRDefault="00F44BC6" w:rsidP="00670667">
      <w:pPr>
        <w:ind w:left="720" w:hanging="720"/>
        <w:rPr>
          <w:sz w:val="28"/>
        </w:rPr>
      </w:pPr>
      <w:r w:rsidRPr="006A78CF">
        <w:rPr>
          <w:lang w:val="en-GB"/>
        </w:rPr>
        <w:t>Budhwar, P., Malik, A., De Silva, M.T.T. and Thevisuthan, P. (2022) ‘Artificial intelligence – challenges and opportunities for international HRM: A review and research agenda’, The International Journal of Human Resource Management, 33(6), pp. 1065–1097.</w:t>
      </w:r>
    </w:p>
    <w:p w14:paraId="20A7D9B2" w14:textId="77777777" w:rsidR="00F44BC6" w:rsidRPr="006A78CF" w:rsidRDefault="00F44BC6" w:rsidP="00670667">
      <w:pPr>
        <w:ind w:left="720" w:hanging="720"/>
        <w:rPr>
          <w:sz w:val="28"/>
        </w:rPr>
      </w:pPr>
      <w:r w:rsidRPr="006A78CF">
        <w:rPr>
          <w:lang w:val="en-GB"/>
        </w:rPr>
        <w:t>Demerouti, E., Bakker, A.B., Nachreiner, F. and Schaufeli, W.B. (2001) ‘The job demands-resources model of burnout’, Journal of Applied Psychology, 86(3), pp. 499–512.</w:t>
      </w:r>
    </w:p>
    <w:p w14:paraId="62574E77" w14:textId="77777777" w:rsidR="00F44BC6" w:rsidRPr="006A78CF" w:rsidRDefault="00F44BC6" w:rsidP="00670667">
      <w:pPr>
        <w:ind w:left="720" w:hanging="720"/>
        <w:rPr>
          <w:sz w:val="28"/>
        </w:rPr>
      </w:pPr>
      <w:r w:rsidRPr="006A78CF">
        <w:rPr>
          <w:lang w:val="en-GB"/>
        </w:rPr>
        <w:t>Dima, J., Gilbert, M.-H., Dextras-Gauthier, J. and Giraud, L. (2024) ‘The effects of artificial intelligence on human resource activities and the roles of the human resource triad: Opportunities and challenges’, Frontiers in Psychology, 15, article 1360401.</w:t>
      </w:r>
    </w:p>
    <w:p w14:paraId="4A6A0C0A" w14:textId="77777777" w:rsidR="00F44BC6" w:rsidRPr="006A78CF" w:rsidRDefault="00F44BC6" w:rsidP="00670667">
      <w:pPr>
        <w:ind w:left="720" w:hanging="720"/>
        <w:rPr>
          <w:sz w:val="28"/>
        </w:rPr>
      </w:pPr>
      <w:r w:rsidRPr="006A78CF">
        <w:rPr>
          <w:lang w:val="en-GB"/>
        </w:rPr>
        <w:t>Ekuma, K. (2024) ‘Artificial intelligence and automation in human resource development: A systematic review’, Human Resource Development Review, 23(2), pp. 199–229.</w:t>
      </w:r>
    </w:p>
    <w:p w14:paraId="615CA92F" w14:textId="77777777" w:rsidR="00F44BC6" w:rsidRPr="006A78CF" w:rsidRDefault="00F44BC6" w:rsidP="00670667">
      <w:pPr>
        <w:ind w:left="720" w:hanging="720"/>
        <w:rPr>
          <w:sz w:val="28"/>
        </w:rPr>
      </w:pPr>
      <w:r w:rsidRPr="006A78CF">
        <w:rPr>
          <w:lang w:val="en-GB"/>
        </w:rPr>
        <w:t>Kaliannan, M., Darmalinggam, D., Dorasamy, M. and Abraham, M. (2023) ‘Inclusive talent development as a key talent management approach: A systematic literature review’, Human Resource Management Review, 33(1), article 100926.</w:t>
      </w:r>
    </w:p>
    <w:p w14:paraId="3AD349D7" w14:textId="77777777" w:rsidR="00F44BC6" w:rsidRPr="006A78CF" w:rsidRDefault="00F44BC6" w:rsidP="00670667">
      <w:pPr>
        <w:ind w:left="720" w:hanging="720"/>
        <w:rPr>
          <w:sz w:val="28"/>
        </w:rPr>
      </w:pPr>
      <w:r w:rsidRPr="006A78CF">
        <w:rPr>
          <w:lang w:val="en-GB"/>
        </w:rPr>
        <w:t xml:space="preserve">Kim, S., Khoreva, V. and Vaiman, V. (2025) ‘Strategic human resource management in the era of algorithmic technologies: Key insights and future research agenda’, Human Resource Management, 64(2), pp. 447–464. </w:t>
      </w:r>
    </w:p>
    <w:p w14:paraId="56C487CF" w14:textId="77777777" w:rsidR="00F44BC6" w:rsidRPr="006A78CF" w:rsidRDefault="00F44BC6" w:rsidP="00670667">
      <w:pPr>
        <w:ind w:left="720" w:hanging="720"/>
        <w:rPr>
          <w:sz w:val="28"/>
        </w:rPr>
      </w:pPr>
      <w:r w:rsidRPr="006A78CF">
        <w:rPr>
          <w:lang w:val="en-GB"/>
        </w:rPr>
        <w:t xml:space="preserve">Liu, Y., Fang, Y., Hu, L., Chen, N., Li, X. and Cai, Y. (2024) ‘Inclusive leadership and employee workplace well-being: The role of </w:t>
      </w:r>
      <w:r>
        <w:rPr>
          <w:lang w:val="en-GB"/>
        </w:rPr>
        <w:t>vigour</w:t>
      </w:r>
      <w:r w:rsidRPr="006A78CF">
        <w:rPr>
          <w:lang w:val="en-GB"/>
        </w:rPr>
        <w:t xml:space="preserve"> and supervisor developmental feedback’, BMC Psychology, 12, article 540.</w:t>
      </w:r>
    </w:p>
    <w:p w14:paraId="4C9AEDB6" w14:textId="77777777" w:rsidR="00F44BC6" w:rsidRPr="006A78CF" w:rsidRDefault="00F44BC6" w:rsidP="00670667">
      <w:pPr>
        <w:ind w:left="720" w:hanging="720"/>
        <w:rPr>
          <w:sz w:val="28"/>
        </w:rPr>
      </w:pPr>
      <w:r w:rsidRPr="006A78CF">
        <w:rPr>
          <w:lang w:val="en-GB"/>
        </w:rPr>
        <w:t>Lu, Y., Zhang, M.M., Yang, M.M. and Wang, Y. (2023) ‘Sustainable human resource management practices, employee resilience, and employee outcomes: Toward common good values’, Human Resource Management, 62(3), pp. 331–353.</w:t>
      </w:r>
    </w:p>
    <w:p w14:paraId="6E9E2CF7" w14:textId="77777777" w:rsidR="00F44BC6" w:rsidRPr="006A78CF" w:rsidRDefault="00F44BC6" w:rsidP="00670667">
      <w:pPr>
        <w:ind w:left="720" w:hanging="720"/>
        <w:rPr>
          <w:sz w:val="28"/>
        </w:rPr>
      </w:pPr>
      <w:r w:rsidRPr="006A78CF">
        <w:rPr>
          <w:lang w:val="en-GB"/>
        </w:rPr>
        <w:t>Ogbonnaya, C., Messersmith, J., Schnacker, M. and Laker, B. (2025) ‘Setting the stage: Line managers’ HR orientation as an antecedent to perceived HR effectiveness’, Human Resource Management, 64(6), pp. 1581–1604.</w:t>
      </w:r>
    </w:p>
    <w:p w14:paraId="452FF55E" w14:textId="77777777" w:rsidR="00F44BC6" w:rsidRPr="006A78CF" w:rsidRDefault="00F44BC6" w:rsidP="00670667">
      <w:pPr>
        <w:ind w:left="720" w:hanging="720"/>
        <w:rPr>
          <w:sz w:val="28"/>
        </w:rPr>
      </w:pPr>
      <w:r w:rsidRPr="006A78CF">
        <w:rPr>
          <w:lang w:val="en-GB"/>
        </w:rPr>
        <w:t xml:space="preserve">Pak, J. and Heidarian Ghaleh, H. (2024) ‘How do employees shape HR implementation? Intra-team acceptance of espoused HR practices, frontline managers’ implementation </w:t>
      </w:r>
      <w:r>
        <w:rPr>
          <w:lang w:val="en-GB"/>
        </w:rPr>
        <w:t>behaviour</w:t>
      </w:r>
      <w:r w:rsidRPr="006A78CF">
        <w:rPr>
          <w:lang w:val="en-GB"/>
        </w:rPr>
        <w:t>, and team performance’, The International Journal of Human Resource Management, 35(16), pp. 2742–2771</w:t>
      </w:r>
      <w:r>
        <w:rPr>
          <w:lang w:val="en-GB"/>
        </w:rPr>
        <w:t>.</w:t>
      </w:r>
    </w:p>
    <w:p w14:paraId="5BE4F7E1" w14:textId="77777777" w:rsidR="00F44BC6" w:rsidRPr="006A78CF" w:rsidRDefault="00F44BC6" w:rsidP="00670667">
      <w:pPr>
        <w:ind w:left="720" w:hanging="720"/>
        <w:rPr>
          <w:sz w:val="28"/>
        </w:rPr>
      </w:pPr>
      <w:r w:rsidRPr="006A78CF">
        <w:rPr>
          <w:lang w:val="en-GB"/>
        </w:rPr>
        <w:t xml:space="preserve">Sypniewska, B., Baran, M. and Kłos, M. (2023) ‘Work engagement and employee satisfaction in the practice of sustainable human resource management – based on the study of Polish employees’, International Entrepreneurship and Management Journal, 19(3), pp. 1069–1100. </w:t>
      </w:r>
    </w:p>
    <w:p w14:paraId="7A065FAE" w14:textId="77777777" w:rsidR="00F44BC6" w:rsidRPr="006A78CF" w:rsidRDefault="00F44BC6" w:rsidP="00670667">
      <w:pPr>
        <w:ind w:left="720" w:hanging="720"/>
        <w:rPr>
          <w:sz w:val="28"/>
        </w:rPr>
      </w:pPr>
      <w:r w:rsidRPr="006A78CF">
        <w:rPr>
          <w:lang w:val="en-GB"/>
        </w:rPr>
        <w:t>Tajfel, H. and Turner, J.C. (1979) ‘An integrative theory of intergroup conflict’, in Austin, W.G. and Worchel, S. (eds.) The Social Psychology of Intergroup Relations. Monterey, CA: Brooks/Cole, pp. 33–47.</w:t>
      </w:r>
    </w:p>
    <w:p w14:paraId="61919A75" w14:textId="77777777" w:rsidR="00F44BC6" w:rsidRPr="006A78CF" w:rsidRDefault="00F44BC6" w:rsidP="00670667">
      <w:pPr>
        <w:ind w:left="720" w:hanging="720"/>
        <w:rPr>
          <w:sz w:val="28"/>
        </w:rPr>
      </w:pPr>
      <w:r w:rsidRPr="006A78CF">
        <w:rPr>
          <w:lang w:val="en-GB"/>
        </w:rPr>
        <w:t xml:space="preserve">Teece, D.J., Pisano, G. and Shuen, A. (1997) ‘Dynamic capabilities and strategic management’, Strategic Management Journal, 18(7), pp. 509–533. </w:t>
      </w:r>
    </w:p>
    <w:p w14:paraId="29DF6B46" w14:textId="77777777" w:rsidR="00F44BC6" w:rsidRPr="006A78CF" w:rsidRDefault="00F44BC6" w:rsidP="00670667">
      <w:pPr>
        <w:ind w:left="720" w:hanging="720"/>
        <w:rPr>
          <w:sz w:val="28"/>
        </w:rPr>
      </w:pPr>
      <w:r w:rsidRPr="006A78CF">
        <w:rPr>
          <w:lang w:val="en-GB"/>
        </w:rPr>
        <w:t xml:space="preserve">Tesco PLC (2026a) Annual Report and Financial Statements 2026. Available at: </w:t>
      </w:r>
      <w:hyperlink r:id="rId8" w:history="1">
        <w:r w:rsidRPr="00A952DC">
          <w:rPr>
            <w:rStyle w:val="Hyperlink"/>
            <w:szCs w:val="28"/>
            <w:lang w:val="en-GB"/>
          </w:rPr>
          <w:t>https://www.tescoplc.com/media/gmylxjfw/tesco_ar26_interactive.pdf</w:t>
        </w:r>
      </w:hyperlink>
      <w:r>
        <w:rPr>
          <w:lang w:val="en-GB"/>
        </w:rPr>
        <w:t xml:space="preserve"> </w:t>
      </w:r>
    </w:p>
    <w:p w14:paraId="7B231E10" w14:textId="77777777" w:rsidR="00F44BC6" w:rsidRDefault="00F44BC6" w:rsidP="00670667">
      <w:pPr>
        <w:ind w:left="720" w:hanging="720"/>
        <w:rPr>
          <w:lang w:val="en-GB"/>
        </w:rPr>
      </w:pPr>
      <w:r w:rsidRPr="006A78CF">
        <w:rPr>
          <w:lang w:val="en-GB"/>
        </w:rPr>
        <w:t xml:space="preserve">Tesco PLC (2026b) Sustainability Report 2025/26. Available at: </w:t>
      </w:r>
      <w:hyperlink r:id="rId9" w:history="1">
        <w:r w:rsidRPr="00A952DC">
          <w:rPr>
            <w:rStyle w:val="Hyperlink"/>
            <w:szCs w:val="28"/>
            <w:lang w:val="en-GB"/>
          </w:rPr>
          <w:t>https://www.tescoplc.com/media/yjmlhji0/tesco-sustainability-report-2026.pdf</w:t>
        </w:r>
      </w:hyperlink>
    </w:p>
    <w:p w14:paraId="0D455084" w14:textId="77777777" w:rsidR="00F44BC6" w:rsidRPr="006A78CF" w:rsidRDefault="00F44BC6" w:rsidP="00670667">
      <w:pPr>
        <w:ind w:left="720" w:hanging="720"/>
        <w:rPr>
          <w:sz w:val="28"/>
        </w:rPr>
      </w:pPr>
      <w:proofErr w:type="spellStart"/>
      <w:r w:rsidRPr="006A78CF">
        <w:rPr>
          <w:lang w:val="en-GB"/>
        </w:rPr>
        <w:t>Vrontis</w:t>
      </w:r>
      <w:proofErr w:type="spellEnd"/>
      <w:r w:rsidRPr="006A78CF">
        <w:rPr>
          <w:lang w:val="en-GB"/>
        </w:rPr>
        <w:t xml:space="preserve">, D., Christofi, M., Pereira, V., Tarba, S., Makrides, A. and Trichina, E. (2022) ‘Artificial intelligence, robotics, advanced technologies and human resource management: A systematic review’, The International Journal of Human Resource Management, 33(6), pp. 1237–1266. </w:t>
      </w:r>
    </w:p>
    <w:sectPr w:rsidR="00F44BC6" w:rsidRPr="006A78CF" w:rsidSect="004A1DFA">
      <w:headerReference w:type="default" r:id="rId10"/>
      <w:footerReference w:type="default" r:id="rId11"/>
      <w:pgSz w:w="11906" w:h="16838" w:code="9"/>
      <w:pgMar w:top="1440" w:right="1440" w:bottom="1440" w:left="1440" w:header="397" w:footer="397"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B23377" w14:textId="77777777" w:rsidR="00BE3B39" w:rsidRDefault="00BE3B39">
      <w:pPr>
        <w:spacing w:before="0" w:after="0" w:line="240" w:lineRule="auto"/>
      </w:pPr>
      <w:r>
        <w:separator/>
      </w:r>
    </w:p>
  </w:endnote>
  <w:endnote w:type="continuationSeparator" w:id="0">
    <w:p w14:paraId="13CED896" w14:textId="77777777" w:rsidR="00BE3B39" w:rsidRDefault="00BE3B3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ourier">
    <w:panose1 w:val="02070409020205020404"/>
    <w:charset w:val="00"/>
    <w:family w:val="modern"/>
    <w:notTrueType/>
    <w:pitch w:val="fixed"/>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EA5515" w14:textId="77777777" w:rsidR="001518C2" w:rsidRDefault="00D53DB3">
    <w:pPr>
      <w:pStyle w:val="Footer"/>
      <w:jc w:val="center"/>
    </w:pPr>
    <w:r>
      <w:rPr>
        <w:color w:val="595959"/>
        <w:sz w:val="16"/>
      </w:rPr>
      <w:t xml:space="preserve">Page </w:t>
    </w:r>
    <w:r>
      <w:rPr>
        <w:color w:val="595959"/>
        <w:sz w:val="16"/>
      </w:rPr>
      <w:fldChar w:fldCharType="begin"/>
    </w:r>
    <w:r>
      <w:rPr>
        <w:color w:val="595959"/>
        <w:sz w:val="16"/>
      </w:rPr>
      <w:instrText>PAGE</w:instrText>
    </w:r>
    <w:r>
      <w:rPr>
        <w:color w:val="595959"/>
        <w:sz w:val="16"/>
      </w:rPr>
      <w:fldChar w:fldCharType="separate"/>
    </w:r>
    <w:r w:rsidR="00BF6CE9">
      <w:rPr>
        <w:noProof/>
        <w:color w:val="595959"/>
        <w:sz w:val="16"/>
      </w:rPr>
      <w:t>4</w:t>
    </w:r>
    <w:r>
      <w:rPr>
        <w:color w:val="595959"/>
        <w:sz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ACE16B" w14:textId="77777777" w:rsidR="00BE3B39" w:rsidRDefault="00BE3B39">
      <w:pPr>
        <w:spacing w:before="0" w:after="0" w:line="240" w:lineRule="auto"/>
      </w:pPr>
      <w:r>
        <w:separator/>
      </w:r>
    </w:p>
  </w:footnote>
  <w:footnote w:type="continuationSeparator" w:id="0">
    <w:p w14:paraId="77ACFF0E" w14:textId="77777777" w:rsidR="00BE3B39" w:rsidRDefault="00BE3B3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5B11CD" w14:textId="4C38F98F" w:rsidR="001518C2" w:rsidRDefault="001518C2" w:rsidP="006A78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0684520">
    <w:abstractNumId w:val="8"/>
  </w:num>
  <w:num w:numId="2" w16cid:durableId="1537356435">
    <w:abstractNumId w:val="6"/>
  </w:num>
  <w:num w:numId="3" w16cid:durableId="708577001">
    <w:abstractNumId w:val="5"/>
  </w:num>
  <w:num w:numId="4" w16cid:durableId="919412201">
    <w:abstractNumId w:val="4"/>
  </w:num>
  <w:num w:numId="5" w16cid:durableId="2032486201">
    <w:abstractNumId w:val="7"/>
  </w:num>
  <w:num w:numId="6" w16cid:durableId="1033265428">
    <w:abstractNumId w:val="3"/>
  </w:num>
  <w:num w:numId="7" w16cid:durableId="269094756">
    <w:abstractNumId w:val="2"/>
  </w:num>
  <w:num w:numId="8" w16cid:durableId="45223693">
    <w:abstractNumId w:val="1"/>
  </w:num>
  <w:num w:numId="9" w16cid:durableId="19048737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730"/>
    <w:rsid w:val="00034616"/>
    <w:rsid w:val="0006063C"/>
    <w:rsid w:val="0015074B"/>
    <w:rsid w:val="001518C2"/>
    <w:rsid w:val="0029639D"/>
    <w:rsid w:val="003219B5"/>
    <w:rsid w:val="00326F90"/>
    <w:rsid w:val="004A1DFA"/>
    <w:rsid w:val="00523164"/>
    <w:rsid w:val="00537933"/>
    <w:rsid w:val="0054056E"/>
    <w:rsid w:val="005809D2"/>
    <w:rsid w:val="00603C8D"/>
    <w:rsid w:val="00622DE9"/>
    <w:rsid w:val="00670667"/>
    <w:rsid w:val="006A78CF"/>
    <w:rsid w:val="007E11D9"/>
    <w:rsid w:val="008557FD"/>
    <w:rsid w:val="00855895"/>
    <w:rsid w:val="00AA1D8D"/>
    <w:rsid w:val="00AE4010"/>
    <w:rsid w:val="00B47730"/>
    <w:rsid w:val="00BE3B39"/>
    <w:rsid w:val="00BF6CE9"/>
    <w:rsid w:val="00C97DD1"/>
    <w:rsid w:val="00CB0664"/>
    <w:rsid w:val="00CF0FEC"/>
    <w:rsid w:val="00D53DB3"/>
    <w:rsid w:val="00E573CA"/>
    <w:rsid w:val="00F35AA5"/>
    <w:rsid w:val="00F44A87"/>
    <w:rsid w:val="00F44BC6"/>
    <w:rsid w:val="00F813E1"/>
    <w:rsid w:val="00FC693F"/>
    <w:rsid w:val="00FE4B5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A926530"/>
  <w14:defaultImageDpi w14:val="300"/>
  <w15:docId w15:val="{E7CBB8FA-2B88-4729-8ECE-112B8CD7D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0667"/>
    <w:pPr>
      <w:spacing w:before="120" w:after="120" w:line="360" w:lineRule="auto"/>
      <w:ind w:firstLine="720"/>
      <w:jc w:val="both"/>
    </w:pPr>
    <w:rPr>
      <w:rFonts w:ascii="Arial" w:hAnsi="Arial"/>
    </w:rPr>
  </w:style>
  <w:style w:type="paragraph" w:styleId="Heading1">
    <w:name w:val="heading 1"/>
    <w:basedOn w:val="Normal"/>
    <w:next w:val="Normal"/>
    <w:link w:val="Heading1Char"/>
    <w:uiPriority w:val="9"/>
    <w:qFormat/>
    <w:rsid w:val="00670667"/>
    <w:pPr>
      <w:keepNext/>
      <w:keepLines/>
      <w:ind w:firstLine="0"/>
      <w:outlineLvl w:val="0"/>
    </w:pPr>
    <w:rPr>
      <w:rFonts w:eastAsiaTheme="majorEastAsia" w:cstheme="majorBidi"/>
      <w:b/>
      <w:bCs/>
      <w:i/>
      <w:color w:val="000000" w:themeColor="text1"/>
      <w:szCs w:val="28"/>
    </w:rPr>
  </w:style>
  <w:style w:type="paragraph" w:styleId="Heading2">
    <w:name w:val="heading 2"/>
    <w:basedOn w:val="Normal"/>
    <w:next w:val="Normal"/>
    <w:link w:val="Heading2Char"/>
    <w:uiPriority w:val="9"/>
    <w:unhideWhenUsed/>
    <w:qFormat/>
    <w:rsid w:val="00670667"/>
    <w:pPr>
      <w:keepNext/>
      <w:keepLines/>
      <w:ind w:firstLine="0"/>
      <w:outlineLvl w:val="1"/>
    </w:pPr>
    <w:rPr>
      <w:rFonts w:eastAsiaTheme="majorEastAsia" w:cstheme="majorBidi"/>
      <w:bCs/>
      <w:i/>
      <w:color w:val="000000" w:themeColor="text1"/>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670667"/>
    <w:rPr>
      <w:rFonts w:ascii="Arial" w:eastAsiaTheme="majorEastAsia" w:hAnsi="Arial" w:cstheme="majorBidi"/>
      <w:b/>
      <w:bCs/>
      <w:i/>
      <w:color w:val="000000" w:themeColor="text1"/>
      <w:szCs w:val="28"/>
    </w:rPr>
  </w:style>
  <w:style w:type="character" w:customStyle="1" w:styleId="Heading2Char">
    <w:name w:val="Heading 2 Char"/>
    <w:basedOn w:val="DefaultParagraphFont"/>
    <w:link w:val="Heading2"/>
    <w:uiPriority w:val="9"/>
    <w:rsid w:val="00670667"/>
    <w:rPr>
      <w:rFonts w:ascii="Arial" w:eastAsiaTheme="majorEastAsia" w:hAnsi="Arial" w:cstheme="majorBidi"/>
      <w:bCs/>
      <w:i/>
      <w:color w:val="000000" w:themeColor="text1"/>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ind w:firstLine="720"/>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ReportTitle">
    <w:name w:val="Report Title"/>
    <w:rPr>
      <w:rFonts w:ascii="Arial" w:hAnsi="Arial"/>
      <w:b/>
      <w:color w:val="000000"/>
      <w:sz w:val="34"/>
    </w:rPr>
  </w:style>
  <w:style w:type="paragraph" w:customStyle="1" w:styleId="ReportH1">
    <w:name w:val="Report H1"/>
    <w:rPr>
      <w:rFonts w:ascii="Arial" w:hAnsi="Arial"/>
      <w:b/>
      <w:color w:val="1F4E79"/>
      <w:sz w:val="26"/>
    </w:rPr>
  </w:style>
  <w:style w:type="paragraph" w:customStyle="1" w:styleId="ReportH2">
    <w:name w:val="Report H2"/>
    <w:rPr>
      <w:rFonts w:ascii="Arial" w:hAnsi="Arial"/>
      <w:b/>
      <w:color w:val="1F4E79"/>
    </w:rPr>
  </w:style>
  <w:style w:type="paragraph" w:customStyle="1" w:styleId="SmallGrey">
    <w:name w:val="Small Grey"/>
    <w:rPr>
      <w:rFonts w:ascii="Arial" w:hAnsi="Arial"/>
      <w:color w:val="595959"/>
      <w:sz w:val="18"/>
    </w:rPr>
  </w:style>
  <w:style w:type="paragraph" w:styleId="TOC1">
    <w:name w:val="toc 1"/>
    <w:basedOn w:val="Normal"/>
    <w:next w:val="Normal"/>
    <w:autoRedefine/>
    <w:uiPriority w:val="39"/>
    <w:unhideWhenUsed/>
    <w:rsid w:val="006A78CF"/>
    <w:pPr>
      <w:spacing w:after="100"/>
    </w:pPr>
  </w:style>
  <w:style w:type="character" w:styleId="Hyperlink">
    <w:name w:val="Hyperlink"/>
    <w:basedOn w:val="DefaultParagraphFont"/>
    <w:uiPriority w:val="99"/>
    <w:unhideWhenUsed/>
    <w:rsid w:val="006A78CF"/>
    <w:rPr>
      <w:color w:val="0000FF" w:themeColor="hyperlink"/>
      <w:u w:val="single"/>
    </w:rPr>
  </w:style>
  <w:style w:type="character" w:customStyle="1" w:styleId="UnresolvedMention1">
    <w:name w:val="Unresolved Mention1"/>
    <w:basedOn w:val="DefaultParagraphFont"/>
    <w:uiPriority w:val="99"/>
    <w:semiHidden/>
    <w:unhideWhenUsed/>
    <w:rsid w:val="00E573CA"/>
    <w:rPr>
      <w:color w:val="605E5C"/>
      <w:shd w:val="clear" w:color="auto" w:fill="E1DFDD"/>
    </w:rPr>
  </w:style>
  <w:style w:type="character" w:styleId="FollowedHyperlink">
    <w:name w:val="FollowedHyperlink"/>
    <w:basedOn w:val="DefaultParagraphFont"/>
    <w:uiPriority w:val="99"/>
    <w:semiHidden/>
    <w:unhideWhenUsed/>
    <w:rsid w:val="00E573CA"/>
    <w:rPr>
      <w:color w:val="800080" w:themeColor="followedHyperlink"/>
      <w:u w:val="single"/>
    </w:rPr>
  </w:style>
  <w:style w:type="paragraph" w:styleId="TOC2">
    <w:name w:val="toc 2"/>
    <w:basedOn w:val="Normal"/>
    <w:next w:val="Normal"/>
    <w:autoRedefine/>
    <w:uiPriority w:val="39"/>
    <w:unhideWhenUsed/>
    <w:rsid w:val="00F44BC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plc.com/media/gmylxjfw/tesco_ar26_interactive.pdf" TargetMode="External"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hyperlink" Target="https://www.tescoplc.com/media/yjmlhji0/tesco-sustainability-report-2026.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DA8BF5-2AB3-4E7A-B946-3FA436044D5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2862</Words>
  <Characters>16317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Contemporary Human Resource Challenges at Tesco PLC</vt:lpstr>
    </vt:vector>
  </TitlesOfParts>
  <Manager/>
  <Company/>
  <LinksUpToDate>false</LinksUpToDate>
  <CharactersWithSpaces>19141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Olivier Kader Degri (2442935)</cp:lastModifiedBy>
  <cp:revision>9</cp:revision>
  <dcterms:created xsi:type="dcterms:W3CDTF">2026-08-04T10:06:00Z</dcterms:created>
  <dcterms:modified xsi:type="dcterms:W3CDTF">2026-08-08T14:04:00Z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af74df5e-a2e9-4976-9eca-be3bdea8a932</vt:lpwstr>
  </property>
</Properties>
</file>