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ACB59" w14:textId="26160E3B" w:rsidR="008937FE" w:rsidRPr="00516D67" w:rsidRDefault="006C69F1" w:rsidP="006C69F1">
      <w:pPr>
        <w:spacing w:line="480" w:lineRule="auto"/>
        <w:rPr>
          <w:rFonts w:cstheme="minorHAnsi"/>
          <w:sz w:val="28"/>
          <w:szCs w:val="28"/>
          <w:u w:val="single"/>
        </w:rPr>
      </w:pPr>
      <w:r w:rsidRPr="00516D67">
        <w:rPr>
          <w:rFonts w:cstheme="minorHAnsi"/>
          <w:sz w:val="28"/>
          <w:szCs w:val="28"/>
          <w:u w:val="single"/>
        </w:rPr>
        <w:t>Defenders gobbet-1000 words- due 24/04/18     Grace Moreton</w:t>
      </w:r>
    </w:p>
    <w:p w14:paraId="372CA8C7" w14:textId="48853EA6" w:rsidR="006C69F1" w:rsidRPr="00516D67" w:rsidRDefault="006C69F1" w:rsidP="006C69F1">
      <w:pPr>
        <w:spacing w:line="480" w:lineRule="auto"/>
        <w:rPr>
          <w:rFonts w:cstheme="minorHAnsi"/>
          <w:sz w:val="24"/>
          <w:szCs w:val="24"/>
        </w:rPr>
      </w:pPr>
      <w:r w:rsidRPr="00516D67">
        <w:rPr>
          <w:rFonts w:cstheme="minorHAnsi"/>
          <w:sz w:val="24"/>
          <w:szCs w:val="24"/>
        </w:rPr>
        <w:t>Written by Plutarch in 75AD</w:t>
      </w:r>
      <w:r w:rsidR="00C90042" w:rsidRPr="00516D67">
        <w:rPr>
          <w:rFonts w:cstheme="minorHAnsi"/>
          <w:sz w:val="24"/>
          <w:szCs w:val="24"/>
        </w:rPr>
        <w:t xml:space="preserve"> with the audience of the roman elite</w:t>
      </w:r>
      <w:r w:rsidRPr="00516D67">
        <w:rPr>
          <w:rFonts w:cstheme="minorHAnsi"/>
          <w:sz w:val="24"/>
          <w:szCs w:val="24"/>
        </w:rPr>
        <w:t>,</w:t>
      </w:r>
      <w:r w:rsidRPr="00516D67">
        <w:rPr>
          <w:rStyle w:val="FootnoteReference"/>
          <w:rFonts w:cstheme="minorHAnsi"/>
          <w:sz w:val="24"/>
          <w:szCs w:val="24"/>
        </w:rPr>
        <w:footnoteReference w:id="1"/>
      </w:r>
      <w:r w:rsidRPr="00516D67">
        <w:rPr>
          <w:rFonts w:cstheme="minorHAnsi"/>
          <w:sz w:val="24"/>
          <w:szCs w:val="24"/>
        </w:rPr>
        <w:t xml:space="preserve"> this extract from his work </w:t>
      </w:r>
      <w:r w:rsidRPr="00516D67">
        <w:rPr>
          <w:rFonts w:cstheme="minorHAnsi"/>
          <w:i/>
          <w:sz w:val="24"/>
          <w:szCs w:val="24"/>
        </w:rPr>
        <w:t>Life of Alexander 14</w:t>
      </w:r>
      <w:r w:rsidRPr="00516D67">
        <w:rPr>
          <w:rFonts w:cstheme="minorHAnsi"/>
          <w:sz w:val="24"/>
          <w:szCs w:val="24"/>
        </w:rPr>
        <w:t xml:space="preserve"> covers the meeting that took place between Alexander the Great and Diogenes. This was said to have taken place in Athens just before the League of Corinth was formed. As this is the main source for this event it is uncertain where Plutarch found a contemporary source for it, or if he did at all. Other sources for this event include: Arrian VIII-2 and Curtius, however</w:t>
      </w:r>
      <w:r w:rsidR="00CB0543" w:rsidRPr="00516D67">
        <w:rPr>
          <w:rFonts w:cstheme="minorHAnsi"/>
          <w:sz w:val="24"/>
          <w:szCs w:val="24"/>
        </w:rPr>
        <w:t xml:space="preserve"> as they were also alive in the first century and it is likely they used Plutarch’s account in their own works</w:t>
      </w:r>
      <w:r w:rsidR="00C90042" w:rsidRPr="00516D67">
        <w:rPr>
          <w:rFonts w:cstheme="minorHAnsi"/>
          <w:sz w:val="24"/>
          <w:szCs w:val="24"/>
        </w:rPr>
        <w:t>, with no consequences because it was a public piece of recorded history</w:t>
      </w:r>
      <w:r w:rsidR="00CB0543" w:rsidRPr="00516D67">
        <w:rPr>
          <w:rFonts w:cstheme="minorHAnsi"/>
          <w:sz w:val="24"/>
          <w:szCs w:val="24"/>
        </w:rPr>
        <w:t xml:space="preserve">. </w:t>
      </w:r>
    </w:p>
    <w:p w14:paraId="43C6BE49" w14:textId="359526E6" w:rsidR="00CB0543" w:rsidRPr="00516D67" w:rsidRDefault="00CB0543" w:rsidP="006C69F1">
      <w:pPr>
        <w:spacing w:line="480" w:lineRule="auto"/>
        <w:rPr>
          <w:rFonts w:cstheme="minorHAnsi"/>
          <w:sz w:val="24"/>
          <w:szCs w:val="24"/>
        </w:rPr>
      </w:pPr>
      <w:r w:rsidRPr="00516D67">
        <w:rPr>
          <w:rFonts w:cstheme="minorHAnsi"/>
          <w:sz w:val="24"/>
          <w:szCs w:val="24"/>
        </w:rPr>
        <w:t>Having lived through the changes brought about by Augustan rule, including the rewriting of history to suit new Roman ideals- such as peace or Pax</w:t>
      </w:r>
      <w:r w:rsidR="00E40F1C" w:rsidRPr="00516D67">
        <w:rPr>
          <w:rFonts w:cstheme="minorHAnsi"/>
          <w:sz w:val="24"/>
          <w:szCs w:val="24"/>
        </w:rPr>
        <w:t>, piety, clemency which would</w:t>
      </w:r>
      <w:r w:rsidR="00C90042" w:rsidRPr="00516D67">
        <w:rPr>
          <w:rFonts w:cstheme="minorHAnsi"/>
          <w:sz w:val="24"/>
          <w:szCs w:val="24"/>
        </w:rPr>
        <w:t xml:space="preserve"> all</w:t>
      </w:r>
      <w:r w:rsidR="00E40F1C" w:rsidRPr="00516D67">
        <w:rPr>
          <w:rFonts w:cstheme="minorHAnsi"/>
          <w:sz w:val="24"/>
          <w:szCs w:val="24"/>
        </w:rPr>
        <w:t xml:space="preserve"> lead to victory</w:t>
      </w:r>
      <w:r w:rsidR="00C90042" w:rsidRPr="00516D67">
        <w:rPr>
          <w:rFonts w:cstheme="minorHAnsi"/>
          <w:sz w:val="24"/>
          <w:szCs w:val="24"/>
        </w:rPr>
        <w:t xml:space="preserve"> if you embraced them</w:t>
      </w:r>
      <w:r w:rsidRPr="00516D67">
        <w:rPr>
          <w:rFonts w:cstheme="minorHAnsi"/>
          <w:sz w:val="24"/>
          <w:szCs w:val="24"/>
        </w:rPr>
        <w:t xml:space="preserve">-  and rewriting the history of the provinces </w:t>
      </w:r>
      <w:r w:rsidR="00C90042" w:rsidRPr="00516D67">
        <w:rPr>
          <w:rFonts w:cstheme="minorHAnsi"/>
          <w:sz w:val="24"/>
          <w:szCs w:val="24"/>
        </w:rPr>
        <w:t>such as</w:t>
      </w:r>
      <w:r w:rsidRPr="00516D67">
        <w:rPr>
          <w:rFonts w:cstheme="minorHAnsi"/>
          <w:sz w:val="24"/>
          <w:szCs w:val="24"/>
        </w:rPr>
        <w:t xml:space="preserve"> Greece in order to further integrate their cultures, adding anecdotes displaying this into public histories was quite common. </w:t>
      </w:r>
      <w:r w:rsidR="00E40F1C" w:rsidRPr="00516D67">
        <w:rPr>
          <w:rFonts w:cstheme="minorHAnsi"/>
          <w:sz w:val="24"/>
          <w:szCs w:val="24"/>
        </w:rPr>
        <w:t>This recurring motif in Plutarch’s work has earned him the reputation among modern historians as being more of a “moralist then historian”,</w:t>
      </w:r>
      <w:r w:rsidR="00E40F1C" w:rsidRPr="00516D67">
        <w:rPr>
          <w:rStyle w:val="FootnoteReference"/>
          <w:rFonts w:cstheme="minorHAnsi"/>
          <w:sz w:val="24"/>
          <w:szCs w:val="24"/>
        </w:rPr>
        <w:footnoteReference w:id="2"/>
      </w:r>
      <w:r w:rsidR="00A65EA9" w:rsidRPr="00516D67">
        <w:rPr>
          <w:rFonts w:cstheme="minorHAnsi"/>
          <w:sz w:val="24"/>
          <w:szCs w:val="24"/>
        </w:rPr>
        <w:t xml:space="preserve"> because of his emphasis and praise of specific behaviours of the elite men he wrote biographies about. The extract itself in its depiction of one meeting in a</w:t>
      </w:r>
      <w:r w:rsidR="00C90042" w:rsidRPr="00516D67">
        <w:rPr>
          <w:rFonts w:cstheme="minorHAnsi"/>
          <w:sz w:val="24"/>
          <w:szCs w:val="24"/>
        </w:rPr>
        <w:t>n otherwise</w:t>
      </w:r>
      <w:r w:rsidR="00A65EA9" w:rsidRPr="00516D67">
        <w:rPr>
          <w:rFonts w:cstheme="minorHAnsi"/>
          <w:sz w:val="24"/>
          <w:szCs w:val="24"/>
        </w:rPr>
        <w:t xml:space="preserve"> very chaotic series of events that filled Alexander’s life, is an example of synecdoche- using one small event/story to explain wider events or cultural changes-</w:t>
      </w:r>
      <w:r w:rsidR="00A65EA9" w:rsidRPr="00516D67">
        <w:rPr>
          <w:rStyle w:val="FootnoteReference"/>
          <w:rFonts w:cstheme="minorHAnsi"/>
          <w:sz w:val="24"/>
          <w:szCs w:val="24"/>
        </w:rPr>
        <w:footnoteReference w:id="3"/>
      </w:r>
      <w:r w:rsidR="00A65EA9" w:rsidRPr="00516D67">
        <w:rPr>
          <w:rFonts w:cstheme="minorHAnsi"/>
          <w:sz w:val="24"/>
          <w:szCs w:val="24"/>
        </w:rPr>
        <w:t xml:space="preserve"> however, it was not to represent culture in </w:t>
      </w:r>
      <w:r w:rsidR="00A65EA9" w:rsidRPr="00516D67">
        <w:rPr>
          <w:rFonts w:cstheme="minorHAnsi"/>
          <w:sz w:val="24"/>
          <w:szCs w:val="24"/>
        </w:rPr>
        <w:lastRenderedPageBreak/>
        <w:t>Alexander’s era but rather Plutarch’s, as it highlights qualities important to roman culture i.e. clemency, over the more widely known victories</w:t>
      </w:r>
      <w:r w:rsidR="00DE3AA0" w:rsidRPr="00516D67">
        <w:rPr>
          <w:rFonts w:cstheme="minorHAnsi"/>
          <w:sz w:val="24"/>
          <w:szCs w:val="24"/>
        </w:rPr>
        <w:t>; the concept of mercy through sparing and praising Diogenes over the formation of the League of Corinth</w:t>
      </w:r>
      <w:r w:rsidR="00C90042" w:rsidRPr="00516D67">
        <w:rPr>
          <w:rFonts w:cstheme="minorHAnsi"/>
          <w:sz w:val="24"/>
          <w:szCs w:val="24"/>
        </w:rPr>
        <w:t xml:space="preserve"> as the focus of the piece</w:t>
      </w:r>
      <w:r w:rsidR="00DE3AA0" w:rsidRPr="00516D67">
        <w:rPr>
          <w:rFonts w:cstheme="minorHAnsi"/>
          <w:sz w:val="24"/>
          <w:szCs w:val="24"/>
        </w:rPr>
        <w:t>.</w:t>
      </w:r>
    </w:p>
    <w:p w14:paraId="06CC534D" w14:textId="63306676" w:rsidR="00DE3AA0" w:rsidRPr="00516D67" w:rsidRDefault="00DE3AA0" w:rsidP="006C69F1">
      <w:pPr>
        <w:spacing w:line="480" w:lineRule="auto"/>
        <w:rPr>
          <w:rFonts w:cstheme="minorHAnsi"/>
          <w:sz w:val="24"/>
          <w:szCs w:val="24"/>
        </w:rPr>
      </w:pPr>
      <w:r w:rsidRPr="00516D67">
        <w:rPr>
          <w:rFonts w:cstheme="minorHAnsi"/>
          <w:sz w:val="24"/>
          <w:szCs w:val="24"/>
        </w:rPr>
        <w:t>Diogenes, a cynic philosopher,</w:t>
      </w:r>
      <w:r w:rsidRPr="00516D67">
        <w:rPr>
          <w:rStyle w:val="FootnoteReference"/>
          <w:rFonts w:cstheme="minorHAnsi"/>
          <w:sz w:val="24"/>
          <w:szCs w:val="24"/>
        </w:rPr>
        <w:footnoteReference w:id="4"/>
      </w:r>
      <w:r w:rsidRPr="00516D67">
        <w:rPr>
          <w:rFonts w:cstheme="minorHAnsi"/>
          <w:sz w:val="24"/>
          <w:szCs w:val="24"/>
        </w:rPr>
        <w:t>was well known for his views on morality in both Alexander’s and Plutarch’s lifetimes, but he was not the only philosopher connected to Alexander. Indeed, he was taught by Aristotle and he also went on campaign with his nephew Callisthenes with Callisthenes</w:t>
      </w:r>
      <w:r w:rsidR="00C90042" w:rsidRPr="00516D67">
        <w:rPr>
          <w:rFonts w:cstheme="minorHAnsi"/>
          <w:sz w:val="24"/>
          <w:szCs w:val="24"/>
        </w:rPr>
        <w:t xml:space="preserve"> as his historiographer</w:t>
      </w:r>
      <w:r w:rsidRPr="00516D67">
        <w:rPr>
          <w:rFonts w:cstheme="minorHAnsi"/>
          <w:sz w:val="24"/>
          <w:szCs w:val="24"/>
        </w:rPr>
        <w:t xml:space="preserve"> recording his victories. Throughout his campaigns and in all of the </w:t>
      </w:r>
      <w:r w:rsidR="007F211F" w:rsidRPr="00516D67">
        <w:rPr>
          <w:rFonts w:cstheme="minorHAnsi"/>
          <w:sz w:val="24"/>
          <w:szCs w:val="24"/>
        </w:rPr>
        <w:t xml:space="preserve">rumours </w:t>
      </w:r>
      <w:r w:rsidRPr="00516D67">
        <w:rPr>
          <w:rFonts w:cstheme="minorHAnsi"/>
          <w:sz w:val="24"/>
          <w:szCs w:val="24"/>
        </w:rPr>
        <w:t>surrounding Alexander’s rule</w:t>
      </w:r>
      <w:r w:rsidR="007F211F" w:rsidRPr="00516D67">
        <w:rPr>
          <w:rFonts w:cstheme="minorHAnsi"/>
          <w:sz w:val="24"/>
          <w:szCs w:val="24"/>
        </w:rPr>
        <w:t xml:space="preserve"> and personal life</w:t>
      </w:r>
      <w:r w:rsidRPr="00516D67">
        <w:rPr>
          <w:rFonts w:cstheme="minorHAnsi"/>
          <w:sz w:val="24"/>
          <w:szCs w:val="24"/>
        </w:rPr>
        <w:t>, there is constant reference to familial links with the divine, homage to Greek heroes and religious ceremonies and myths</w:t>
      </w:r>
      <w:r w:rsidR="007F211F" w:rsidRPr="00516D67">
        <w:rPr>
          <w:rFonts w:cstheme="minorHAnsi"/>
          <w:sz w:val="24"/>
          <w:szCs w:val="24"/>
        </w:rPr>
        <w:t xml:space="preserve"> from across his empire including Egypt.</w:t>
      </w:r>
      <w:r w:rsidRPr="00516D67">
        <w:rPr>
          <w:rFonts w:cstheme="minorHAnsi"/>
          <w:sz w:val="24"/>
          <w:szCs w:val="24"/>
        </w:rPr>
        <w:t xml:space="preserve"> </w:t>
      </w:r>
      <w:r w:rsidR="007F211F" w:rsidRPr="00516D67">
        <w:rPr>
          <w:rFonts w:cstheme="minorHAnsi"/>
          <w:sz w:val="24"/>
          <w:szCs w:val="24"/>
        </w:rPr>
        <w:t>T</w:t>
      </w:r>
      <w:r w:rsidRPr="00516D67">
        <w:rPr>
          <w:rFonts w:cstheme="minorHAnsi"/>
          <w:sz w:val="24"/>
          <w:szCs w:val="24"/>
        </w:rPr>
        <w:t>he likes of which were adopted by Augustus and his successors with the rise of the imperial cults in Rome</w:t>
      </w:r>
      <w:r w:rsidR="007F211F" w:rsidRPr="00516D67">
        <w:rPr>
          <w:rFonts w:cstheme="minorHAnsi"/>
          <w:sz w:val="24"/>
          <w:szCs w:val="24"/>
        </w:rPr>
        <w:t>,</w:t>
      </w:r>
      <w:r w:rsidRPr="00516D67">
        <w:rPr>
          <w:rFonts w:cstheme="minorHAnsi"/>
          <w:sz w:val="24"/>
          <w:szCs w:val="24"/>
        </w:rPr>
        <w:t xml:space="preserve"> </w:t>
      </w:r>
      <w:r w:rsidR="007F211F" w:rsidRPr="00516D67">
        <w:rPr>
          <w:rFonts w:cstheme="minorHAnsi"/>
          <w:sz w:val="24"/>
          <w:szCs w:val="24"/>
        </w:rPr>
        <w:t>e</w:t>
      </w:r>
      <w:r w:rsidRPr="00516D67">
        <w:rPr>
          <w:rFonts w:cstheme="minorHAnsi"/>
          <w:sz w:val="24"/>
          <w:szCs w:val="24"/>
        </w:rPr>
        <w:t xml:space="preserve">ssentially, it strengthens the link between religious and philosophical propaganda in both eras to ensure victory and </w:t>
      </w:r>
      <w:r w:rsidR="00B926DD" w:rsidRPr="00516D67">
        <w:rPr>
          <w:rFonts w:cstheme="minorHAnsi"/>
          <w:sz w:val="24"/>
          <w:szCs w:val="24"/>
        </w:rPr>
        <w:t>each ruler’s reign</w:t>
      </w:r>
      <w:r w:rsidRPr="00516D67">
        <w:rPr>
          <w:rFonts w:cstheme="minorHAnsi"/>
          <w:sz w:val="24"/>
          <w:szCs w:val="24"/>
        </w:rPr>
        <w:t xml:space="preserve">. </w:t>
      </w:r>
      <w:r w:rsidR="00B926DD" w:rsidRPr="00516D67">
        <w:rPr>
          <w:rFonts w:cstheme="minorHAnsi"/>
          <w:sz w:val="24"/>
          <w:szCs w:val="24"/>
        </w:rPr>
        <w:t xml:space="preserve">This extract illustrates this </w:t>
      </w:r>
      <w:r w:rsidR="007F211F" w:rsidRPr="00516D67">
        <w:rPr>
          <w:rFonts w:cstheme="minorHAnsi"/>
          <w:sz w:val="24"/>
          <w:szCs w:val="24"/>
        </w:rPr>
        <w:t xml:space="preserve">connection </w:t>
      </w:r>
      <w:r w:rsidR="00B926DD" w:rsidRPr="00516D67">
        <w:rPr>
          <w:rFonts w:cstheme="minorHAnsi"/>
          <w:sz w:val="24"/>
          <w:szCs w:val="24"/>
        </w:rPr>
        <w:t>particularly</w:t>
      </w:r>
      <w:r w:rsidR="007F211F" w:rsidRPr="00516D67">
        <w:rPr>
          <w:rFonts w:cstheme="minorHAnsi"/>
          <w:sz w:val="24"/>
          <w:szCs w:val="24"/>
        </w:rPr>
        <w:t xml:space="preserve"> well</w:t>
      </w:r>
      <w:r w:rsidR="00B926DD" w:rsidRPr="00516D67">
        <w:rPr>
          <w:rFonts w:cstheme="minorHAnsi"/>
          <w:sz w:val="24"/>
          <w:szCs w:val="24"/>
        </w:rPr>
        <w:t xml:space="preserve"> when Alexander is quoted to have admitted, “If I were not Alexander, I would be Diogenes.” All of this fulfils the ideal of Plato’s ‘Philosopher King’,</w:t>
      </w:r>
      <w:r w:rsidR="00B926DD" w:rsidRPr="00516D67">
        <w:rPr>
          <w:rStyle w:val="FootnoteReference"/>
          <w:rFonts w:cstheme="minorHAnsi"/>
          <w:sz w:val="24"/>
          <w:szCs w:val="24"/>
        </w:rPr>
        <w:footnoteReference w:id="5"/>
      </w:r>
      <w:r w:rsidR="00B926DD" w:rsidRPr="00516D67">
        <w:rPr>
          <w:rFonts w:cstheme="minorHAnsi"/>
          <w:sz w:val="24"/>
          <w:szCs w:val="24"/>
        </w:rPr>
        <w:t xml:space="preserve"> which would have been common knowledge among the roman elite who spoke and read Greek as well as having studied Greek philosophers and their works.</w:t>
      </w:r>
    </w:p>
    <w:p w14:paraId="05A07C3D" w14:textId="530C5A82" w:rsidR="00B926DD" w:rsidRPr="00516D67" w:rsidRDefault="00B926DD" w:rsidP="006C69F1">
      <w:pPr>
        <w:spacing w:line="480" w:lineRule="auto"/>
        <w:rPr>
          <w:rFonts w:cstheme="minorHAnsi"/>
          <w:sz w:val="24"/>
          <w:szCs w:val="24"/>
        </w:rPr>
      </w:pPr>
      <w:r w:rsidRPr="00516D67">
        <w:rPr>
          <w:rFonts w:cstheme="minorHAnsi"/>
          <w:sz w:val="24"/>
          <w:szCs w:val="24"/>
        </w:rPr>
        <w:t xml:space="preserve">Fulfilment of ideals and virtues publicly </w:t>
      </w:r>
      <w:r w:rsidR="007F211F" w:rsidRPr="00516D67">
        <w:rPr>
          <w:rFonts w:cstheme="minorHAnsi"/>
          <w:sz w:val="24"/>
          <w:szCs w:val="24"/>
        </w:rPr>
        <w:t>if not privately</w:t>
      </w:r>
      <w:r w:rsidRPr="00516D67">
        <w:rPr>
          <w:rFonts w:cstheme="minorHAnsi"/>
          <w:sz w:val="24"/>
          <w:szCs w:val="24"/>
        </w:rPr>
        <w:t>, was how rulers in the hellenistic and roman republic eras maintained the right to rule</w:t>
      </w:r>
      <w:r w:rsidR="007F211F" w:rsidRPr="00516D67">
        <w:rPr>
          <w:rFonts w:cstheme="minorHAnsi"/>
          <w:sz w:val="24"/>
          <w:szCs w:val="24"/>
        </w:rPr>
        <w:t xml:space="preserve"> </w:t>
      </w:r>
      <w:r w:rsidRPr="00516D67">
        <w:rPr>
          <w:rFonts w:cstheme="minorHAnsi"/>
          <w:sz w:val="24"/>
          <w:szCs w:val="24"/>
        </w:rPr>
        <w:t>whether it was factually accurate or not</w:t>
      </w:r>
      <w:r w:rsidR="007F211F" w:rsidRPr="00516D67">
        <w:rPr>
          <w:rFonts w:cstheme="minorHAnsi"/>
          <w:sz w:val="24"/>
          <w:szCs w:val="24"/>
        </w:rPr>
        <w:t>, even if their methods differed</w:t>
      </w:r>
      <w:r w:rsidRPr="00516D67">
        <w:rPr>
          <w:rFonts w:cstheme="minorHAnsi"/>
          <w:sz w:val="24"/>
          <w:szCs w:val="24"/>
        </w:rPr>
        <w:t xml:space="preserve">. The propaganda and the attitudes or views it created allowed for the more ruthless acts </w:t>
      </w:r>
      <w:r w:rsidR="007F211F" w:rsidRPr="00516D67">
        <w:rPr>
          <w:rFonts w:cstheme="minorHAnsi"/>
          <w:sz w:val="24"/>
          <w:szCs w:val="24"/>
        </w:rPr>
        <w:t>such as the</w:t>
      </w:r>
      <w:r w:rsidRPr="00516D67">
        <w:rPr>
          <w:rFonts w:cstheme="minorHAnsi"/>
          <w:sz w:val="24"/>
          <w:szCs w:val="24"/>
        </w:rPr>
        <w:t xml:space="preserve"> proscription</w:t>
      </w:r>
      <w:r w:rsidR="007F211F" w:rsidRPr="00516D67">
        <w:rPr>
          <w:rFonts w:cstheme="minorHAnsi"/>
          <w:sz w:val="24"/>
          <w:szCs w:val="24"/>
        </w:rPr>
        <w:t>s</w:t>
      </w:r>
      <w:r w:rsidRPr="00516D67">
        <w:rPr>
          <w:rFonts w:cstheme="minorHAnsi"/>
          <w:sz w:val="24"/>
          <w:szCs w:val="24"/>
        </w:rPr>
        <w:t xml:space="preserve"> in Augustus’ time as ruler, to be </w:t>
      </w:r>
      <w:r w:rsidRPr="00516D67">
        <w:rPr>
          <w:rFonts w:cstheme="minorHAnsi"/>
          <w:sz w:val="24"/>
          <w:szCs w:val="24"/>
        </w:rPr>
        <w:lastRenderedPageBreak/>
        <w:t>glossed over and maintain a good</w:t>
      </w:r>
      <w:r w:rsidR="007F211F" w:rsidRPr="00516D67">
        <w:rPr>
          <w:rFonts w:cstheme="minorHAnsi"/>
          <w:sz w:val="24"/>
          <w:szCs w:val="24"/>
        </w:rPr>
        <w:t>,</w:t>
      </w:r>
      <w:r w:rsidRPr="00516D67">
        <w:rPr>
          <w:rFonts w:cstheme="minorHAnsi"/>
          <w:sz w:val="24"/>
          <w:szCs w:val="24"/>
        </w:rPr>
        <w:t xml:space="preserve"> sometimes even pious public reputation. Plutarch reinforced</w:t>
      </w:r>
      <w:r w:rsidR="00FB3FAA" w:rsidRPr="00516D67">
        <w:rPr>
          <w:rFonts w:cstheme="minorHAnsi"/>
          <w:sz w:val="24"/>
          <w:szCs w:val="24"/>
        </w:rPr>
        <w:t xml:space="preserve"> this message when he compared Alexander to Caesar in his later works,</w:t>
      </w:r>
      <w:r w:rsidR="00FB3FAA" w:rsidRPr="00516D67">
        <w:rPr>
          <w:rStyle w:val="FootnoteReference"/>
          <w:rFonts w:cstheme="minorHAnsi"/>
          <w:sz w:val="24"/>
          <w:szCs w:val="24"/>
        </w:rPr>
        <w:footnoteReference w:id="6"/>
      </w:r>
      <w:r w:rsidR="00FB3FAA" w:rsidRPr="00516D67">
        <w:rPr>
          <w:rFonts w:cstheme="minorHAnsi"/>
          <w:sz w:val="24"/>
          <w:szCs w:val="24"/>
        </w:rPr>
        <w:t xml:space="preserve"> by only praising the virtues of both rulers. </w:t>
      </w:r>
      <w:r w:rsidRPr="00516D67">
        <w:rPr>
          <w:rFonts w:cstheme="minorHAnsi"/>
          <w:sz w:val="24"/>
          <w:szCs w:val="24"/>
        </w:rPr>
        <w:t>Whilst the extract’s purpose may have been to romanticize the past to fit the ideals of the present,</w:t>
      </w:r>
      <w:r w:rsidR="00FB3FAA" w:rsidRPr="00516D67">
        <w:rPr>
          <w:rFonts w:cstheme="minorHAnsi"/>
          <w:sz w:val="24"/>
          <w:szCs w:val="24"/>
        </w:rPr>
        <w:t xml:space="preserve"> it had influence well in to the Middle Ages where a tapestry was made of the event according to Plutarch’s account but stylised to fit a medieval audience and their beliefs.</w:t>
      </w:r>
      <w:r w:rsidR="00FB3FAA" w:rsidRPr="00516D67">
        <w:rPr>
          <w:rStyle w:val="FootnoteReference"/>
          <w:rFonts w:cstheme="minorHAnsi"/>
          <w:sz w:val="24"/>
          <w:szCs w:val="24"/>
        </w:rPr>
        <w:footnoteReference w:id="7"/>
      </w:r>
      <w:r w:rsidR="00FB3FAA" w:rsidRPr="00516D67">
        <w:rPr>
          <w:rFonts w:cstheme="minorHAnsi"/>
          <w:sz w:val="24"/>
          <w:szCs w:val="24"/>
        </w:rPr>
        <w:t xml:space="preserve"> In short each new century or age reinvented this event to suits its needs a</w:t>
      </w:r>
      <w:r w:rsidR="007F211F" w:rsidRPr="00516D67">
        <w:rPr>
          <w:rFonts w:cstheme="minorHAnsi"/>
          <w:sz w:val="24"/>
          <w:szCs w:val="24"/>
        </w:rPr>
        <w:t xml:space="preserve">nd </w:t>
      </w:r>
      <w:r w:rsidR="00FB3FAA" w:rsidRPr="00516D67">
        <w:rPr>
          <w:rFonts w:cstheme="minorHAnsi"/>
          <w:sz w:val="24"/>
          <w:szCs w:val="24"/>
        </w:rPr>
        <w:t>commemorate the past</w:t>
      </w:r>
      <w:r w:rsidR="007F211F" w:rsidRPr="00516D67">
        <w:rPr>
          <w:rFonts w:cstheme="minorHAnsi"/>
          <w:sz w:val="24"/>
          <w:szCs w:val="24"/>
        </w:rPr>
        <w:t>, which was a trend that preceded Plutarch and continued after the tapestry was made for general history as well ad this event- it was nothing new.</w:t>
      </w:r>
    </w:p>
    <w:p w14:paraId="1BF90B6A" w14:textId="520BCBC5" w:rsidR="00BB7806" w:rsidRPr="00516D67" w:rsidRDefault="00BB7806" w:rsidP="006C69F1">
      <w:pPr>
        <w:spacing w:line="480" w:lineRule="auto"/>
        <w:rPr>
          <w:rFonts w:cstheme="minorHAnsi"/>
          <w:sz w:val="24"/>
          <w:szCs w:val="24"/>
        </w:rPr>
      </w:pPr>
      <w:r w:rsidRPr="00516D67">
        <w:rPr>
          <w:rFonts w:cstheme="minorHAnsi"/>
          <w:sz w:val="24"/>
          <w:szCs w:val="24"/>
        </w:rPr>
        <w:t>In spite of this being a public history piece, as I have discussed previously, the underlying purpose was propaganda which makes who was there in the extract more important than what occurred in it. Alexander’s role is obvious- Plutarch was writing his biography with the intent of displaying his ideal behaviours- but Diogenes is a different matter. If this event is something of Plutarch’s own making, then who he chose for the philosopher for Alexander to show clemency towards (he had a variety in Alexander’s life to chose from including Aristotle) shows whose philosophy Plutarch favoured. In that respect, this is actually a promotional piece for both of them because if the reader knew nothing else of Diogenes, they knew he was worth a king moving out the sunlight for him creating curiosity towards the philosopher and his work if nothing else.</w:t>
      </w:r>
    </w:p>
    <w:p w14:paraId="29951A23" w14:textId="581874D3" w:rsidR="00BB7806" w:rsidRPr="00516D67" w:rsidRDefault="00BB7806" w:rsidP="006C69F1">
      <w:pPr>
        <w:spacing w:line="480" w:lineRule="auto"/>
        <w:rPr>
          <w:rFonts w:cstheme="minorHAnsi"/>
          <w:sz w:val="24"/>
          <w:szCs w:val="24"/>
        </w:rPr>
      </w:pPr>
    </w:p>
    <w:p w14:paraId="3D46A0C3" w14:textId="48BF9678" w:rsidR="00BB7806" w:rsidRPr="00516D67" w:rsidRDefault="00BB7806" w:rsidP="006C69F1">
      <w:pPr>
        <w:spacing w:line="480" w:lineRule="auto"/>
        <w:rPr>
          <w:rFonts w:cstheme="minorHAnsi"/>
          <w:sz w:val="24"/>
          <w:szCs w:val="24"/>
        </w:rPr>
      </w:pPr>
      <w:r w:rsidRPr="00516D67">
        <w:rPr>
          <w:rFonts w:cstheme="minorHAnsi"/>
          <w:sz w:val="24"/>
          <w:szCs w:val="24"/>
        </w:rPr>
        <w:lastRenderedPageBreak/>
        <w:t xml:space="preserve">This extract from the </w:t>
      </w:r>
      <w:r w:rsidRPr="00516D67">
        <w:rPr>
          <w:rFonts w:cstheme="minorHAnsi"/>
          <w:i/>
          <w:sz w:val="24"/>
          <w:szCs w:val="24"/>
        </w:rPr>
        <w:t>Life of Alexander</w:t>
      </w:r>
      <w:r w:rsidRPr="00516D67">
        <w:rPr>
          <w:rFonts w:cstheme="minorHAnsi"/>
          <w:sz w:val="24"/>
          <w:szCs w:val="24"/>
        </w:rPr>
        <w:t xml:space="preserve"> reads as a simple recording of an event, but on closer inspection and with a wider knowledge of author, his opinions and what he lived through, it is a political and moral promotional piece far more focused on Plutarch and his beliefs than</w:t>
      </w:r>
      <w:r w:rsidR="00FB6B78" w:rsidRPr="00516D67">
        <w:rPr>
          <w:rFonts w:cstheme="minorHAnsi"/>
          <w:sz w:val="24"/>
          <w:szCs w:val="24"/>
        </w:rPr>
        <w:t xml:space="preserve"> about Alexander and his life. Without this prior knowledge however, as there aren’t any contemporary sources of this event, this is exceedingly hard to interpret this as propaganda which is why it worked; it subtly informed the beliefs of its readers towards what its author intended.</w:t>
      </w:r>
    </w:p>
    <w:p w14:paraId="78FC6004" w14:textId="76E0F692" w:rsidR="00516D67" w:rsidRPr="00516D67" w:rsidRDefault="00516D67" w:rsidP="006C69F1">
      <w:pPr>
        <w:spacing w:line="480" w:lineRule="auto"/>
        <w:rPr>
          <w:rFonts w:cstheme="minorHAnsi"/>
          <w:sz w:val="24"/>
          <w:szCs w:val="24"/>
        </w:rPr>
      </w:pPr>
    </w:p>
    <w:p w14:paraId="2F603F18" w14:textId="1A613F88" w:rsidR="00516D67" w:rsidRPr="00516D67" w:rsidRDefault="00516D67" w:rsidP="006C69F1">
      <w:pPr>
        <w:spacing w:line="480" w:lineRule="auto"/>
        <w:rPr>
          <w:rFonts w:cstheme="minorHAnsi"/>
          <w:sz w:val="24"/>
          <w:szCs w:val="24"/>
        </w:rPr>
      </w:pPr>
    </w:p>
    <w:p w14:paraId="1FCF06A5" w14:textId="643EB14B" w:rsidR="00516D67" w:rsidRPr="00516D67" w:rsidRDefault="00516D67" w:rsidP="006C69F1">
      <w:pPr>
        <w:spacing w:line="480" w:lineRule="auto"/>
        <w:rPr>
          <w:rFonts w:cstheme="minorHAnsi"/>
          <w:sz w:val="24"/>
          <w:szCs w:val="24"/>
        </w:rPr>
      </w:pPr>
    </w:p>
    <w:p w14:paraId="542483C7" w14:textId="17E05AF6" w:rsidR="00516D67" w:rsidRPr="00516D67" w:rsidRDefault="00516D67" w:rsidP="006C69F1">
      <w:pPr>
        <w:spacing w:line="480" w:lineRule="auto"/>
        <w:rPr>
          <w:rFonts w:cstheme="minorHAnsi"/>
          <w:sz w:val="24"/>
          <w:szCs w:val="24"/>
        </w:rPr>
      </w:pPr>
    </w:p>
    <w:p w14:paraId="150E57E7" w14:textId="624EE5CC" w:rsidR="00516D67" w:rsidRPr="00516D67" w:rsidRDefault="00516D67" w:rsidP="006C69F1">
      <w:pPr>
        <w:spacing w:line="480" w:lineRule="auto"/>
        <w:rPr>
          <w:rFonts w:cstheme="minorHAnsi"/>
          <w:sz w:val="24"/>
          <w:szCs w:val="24"/>
        </w:rPr>
      </w:pPr>
    </w:p>
    <w:p w14:paraId="07D2BBBF" w14:textId="3A7952CC" w:rsidR="00516D67" w:rsidRPr="00516D67" w:rsidRDefault="00516D67" w:rsidP="006C69F1">
      <w:pPr>
        <w:spacing w:line="480" w:lineRule="auto"/>
        <w:rPr>
          <w:rFonts w:cstheme="minorHAnsi"/>
          <w:sz w:val="24"/>
          <w:szCs w:val="24"/>
        </w:rPr>
      </w:pPr>
    </w:p>
    <w:p w14:paraId="5B6A2FBA" w14:textId="13B5E7B0" w:rsidR="00516D67" w:rsidRPr="00516D67" w:rsidRDefault="00516D67" w:rsidP="006C69F1">
      <w:pPr>
        <w:spacing w:line="480" w:lineRule="auto"/>
        <w:rPr>
          <w:rFonts w:cstheme="minorHAnsi"/>
          <w:sz w:val="24"/>
          <w:szCs w:val="24"/>
        </w:rPr>
      </w:pPr>
    </w:p>
    <w:p w14:paraId="4485FABE" w14:textId="62F12084" w:rsidR="00516D67" w:rsidRPr="00516D67" w:rsidRDefault="00516D67" w:rsidP="006C69F1">
      <w:pPr>
        <w:spacing w:line="480" w:lineRule="auto"/>
        <w:rPr>
          <w:rFonts w:cstheme="minorHAnsi"/>
          <w:sz w:val="24"/>
          <w:szCs w:val="24"/>
        </w:rPr>
      </w:pPr>
    </w:p>
    <w:p w14:paraId="57794B75" w14:textId="6350A9BC" w:rsidR="00516D67" w:rsidRPr="00516D67" w:rsidRDefault="00516D67" w:rsidP="006C69F1">
      <w:pPr>
        <w:spacing w:line="480" w:lineRule="auto"/>
        <w:rPr>
          <w:rFonts w:cstheme="minorHAnsi"/>
          <w:sz w:val="24"/>
          <w:szCs w:val="24"/>
        </w:rPr>
      </w:pPr>
    </w:p>
    <w:p w14:paraId="288C7028" w14:textId="2EB786B9" w:rsidR="00516D67" w:rsidRPr="00516D67" w:rsidRDefault="00516D67" w:rsidP="006C69F1">
      <w:pPr>
        <w:spacing w:line="480" w:lineRule="auto"/>
        <w:rPr>
          <w:rFonts w:cstheme="minorHAnsi"/>
          <w:sz w:val="24"/>
          <w:szCs w:val="24"/>
        </w:rPr>
      </w:pPr>
    </w:p>
    <w:p w14:paraId="51B83907" w14:textId="2370A8DF" w:rsidR="00516D67" w:rsidRPr="00516D67" w:rsidRDefault="00516D67" w:rsidP="006C69F1">
      <w:pPr>
        <w:spacing w:line="480" w:lineRule="auto"/>
        <w:rPr>
          <w:rFonts w:cstheme="minorHAnsi"/>
          <w:sz w:val="24"/>
          <w:szCs w:val="24"/>
        </w:rPr>
      </w:pPr>
    </w:p>
    <w:p w14:paraId="340B38FF" w14:textId="2D965B24" w:rsidR="00516D67" w:rsidRPr="00516D67" w:rsidRDefault="00516D67" w:rsidP="006C69F1">
      <w:pPr>
        <w:spacing w:line="480" w:lineRule="auto"/>
        <w:rPr>
          <w:rFonts w:cstheme="minorHAnsi"/>
          <w:sz w:val="24"/>
          <w:szCs w:val="24"/>
        </w:rPr>
      </w:pPr>
    </w:p>
    <w:p w14:paraId="7C333902" w14:textId="541F0620" w:rsidR="00516D67" w:rsidRPr="00516D67" w:rsidRDefault="00516D67" w:rsidP="006C69F1">
      <w:pPr>
        <w:spacing w:line="480" w:lineRule="auto"/>
        <w:rPr>
          <w:rFonts w:cstheme="minorHAnsi"/>
          <w:sz w:val="24"/>
          <w:szCs w:val="24"/>
        </w:rPr>
      </w:pPr>
    </w:p>
    <w:p w14:paraId="4970148A" w14:textId="77777777" w:rsidR="00516D67" w:rsidRPr="00516D67" w:rsidRDefault="00516D67" w:rsidP="00516D67">
      <w:pPr>
        <w:spacing w:after="264"/>
        <w:rPr>
          <w:rFonts w:cstheme="minorHAnsi"/>
          <w:b/>
        </w:rPr>
      </w:pPr>
      <w:r w:rsidRPr="00516D67">
        <w:rPr>
          <w:rFonts w:cstheme="minorHAnsi"/>
          <w:b/>
          <w:sz w:val="36"/>
          <w:szCs w:val="36"/>
        </w:rPr>
        <w:lastRenderedPageBreak/>
        <w:t>Bibliography</w:t>
      </w:r>
    </w:p>
    <w:p w14:paraId="6BD0C587" w14:textId="77777777" w:rsidR="00516D67" w:rsidRPr="00516D67" w:rsidRDefault="00516D67" w:rsidP="00516D67">
      <w:pPr>
        <w:spacing w:after="336" w:line="360" w:lineRule="auto"/>
        <w:rPr>
          <w:rFonts w:cstheme="minorHAnsi"/>
        </w:rPr>
      </w:pPr>
      <w:r w:rsidRPr="00516D67">
        <w:rPr>
          <w:rFonts w:cstheme="minorHAnsi"/>
          <w:sz w:val="24"/>
          <w:szCs w:val="24"/>
        </w:rPr>
        <w:t xml:space="preserve">Bostonleadershipbuilders.com. (2018). </w:t>
      </w:r>
      <w:r w:rsidRPr="00516D67">
        <w:rPr>
          <w:rFonts w:cstheme="minorHAnsi"/>
          <w:i/>
          <w:sz w:val="24"/>
          <w:szCs w:val="24"/>
        </w:rPr>
        <w:t>David Trumbull's Comparison of Plutarch's Lives of Alexander and Caesar</w:t>
      </w:r>
      <w:r w:rsidRPr="00516D67">
        <w:rPr>
          <w:rFonts w:cstheme="minorHAnsi"/>
          <w:sz w:val="24"/>
          <w:szCs w:val="24"/>
        </w:rPr>
        <w:t>. [online] Available at: http://www.bostonleadershipbuilders.com/plutarch/trumbull_comparison_alexander_caesar.htm [Accessed 16 Apr. 2018].</w:t>
      </w:r>
    </w:p>
    <w:p w14:paraId="4336AC40" w14:textId="77777777" w:rsidR="00516D67" w:rsidRPr="00516D67" w:rsidRDefault="00516D67" w:rsidP="00516D67">
      <w:pPr>
        <w:spacing w:after="336" w:line="360" w:lineRule="auto"/>
        <w:rPr>
          <w:rFonts w:cstheme="minorHAnsi"/>
        </w:rPr>
      </w:pPr>
      <w:r w:rsidRPr="00516D67">
        <w:rPr>
          <w:rFonts w:cstheme="minorHAnsi"/>
          <w:sz w:val="24"/>
          <w:szCs w:val="24"/>
        </w:rPr>
        <w:t xml:space="preserve">Classics.mit.edu. (2018). </w:t>
      </w:r>
      <w:r w:rsidRPr="00516D67">
        <w:rPr>
          <w:rFonts w:cstheme="minorHAnsi"/>
          <w:i/>
          <w:sz w:val="24"/>
          <w:szCs w:val="24"/>
        </w:rPr>
        <w:t>The Internet Classics Archive | Alexander by Plutarch</w:t>
      </w:r>
      <w:r w:rsidRPr="00516D67">
        <w:rPr>
          <w:rFonts w:cstheme="minorHAnsi"/>
          <w:sz w:val="24"/>
          <w:szCs w:val="24"/>
        </w:rPr>
        <w:t>. [online] Available at: http://classics.mit.edu/Plutarch/alexandr.html [Accessed 13 Apr. 2018].</w:t>
      </w:r>
    </w:p>
    <w:p w14:paraId="237AF5C8" w14:textId="77777777" w:rsidR="00516D67" w:rsidRPr="00516D67" w:rsidRDefault="00516D67" w:rsidP="00516D67">
      <w:pPr>
        <w:spacing w:after="336" w:line="360" w:lineRule="auto"/>
        <w:rPr>
          <w:rFonts w:cstheme="minorHAnsi"/>
        </w:rPr>
      </w:pPr>
      <w:r w:rsidRPr="00516D67">
        <w:rPr>
          <w:rFonts w:cstheme="minorHAnsi"/>
          <w:sz w:val="24"/>
          <w:szCs w:val="24"/>
        </w:rPr>
        <w:t xml:space="preserve">Encyclopedia Britannica. (2018). </w:t>
      </w:r>
      <w:r w:rsidRPr="00516D67">
        <w:rPr>
          <w:rFonts w:cstheme="minorHAnsi"/>
          <w:i/>
          <w:sz w:val="24"/>
          <w:szCs w:val="24"/>
        </w:rPr>
        <w:t>Philosopher king | philosophy</w:t>
      </w:r>
      <w:r w:rsidRPr="00516D67">
        <w:rPr>
          <w:rFonts w:cstheme="minorHAnsi"/>
          <w:sz w:val="24"/>
          <w:szCs w:val="24"/>
        </w:rPr>
        <w:t>. [online] Available at: https://www.britannica.com/topic/philosopher-king [Accessed 13 Apr. 2018].</w:t>
      </w:r>
    </w:p>
    <w:p w14:paraId="3F33CE07" w14:textId="77777777" w:rsidR="00516D67" w:rsidRPr="00516D67" w:rsidRDefault="00516D67" w:rsidP="00516D67">
      <w:pPr>
        <w:spacing w:after="336" w:line="360" w:lineRule="auto"/>
        <w:rPr>
          <w:rFonts w:cstheme="minorHAnsi"/>
        </w:rPr>
      </w:pPr>
      <w:r w:rsidRPr="00516D67">
        <w:rPr>
          <w:rFonts w:cstheme="minorHAnsi"/>
          <w:sz w:val="24"/>
          <w:szCs w:val="24"/>
        </w:rPr>
        <w:t xml:space="preserve">Iep.utm.edu. (2018). </w:t>
      </w:r>
      <w:r w:rsidRPr="00516D67">
        <w:rPr>
          <w:rFonts w:cstheme="minorHAnsi"/>
          <w:i/>
          <w:sz w:val="24"/>
          <w:szCs w:val="24"/>
        </w:rPr>
        <w:t>Diogenes of Sinope | Internet Encyclopedia of Philosophy</w:t>
      </w:r>
      <w:r w:rsidRPr="00516D67">
        <w:rPr>
          <w:rFonts w:cstheme="minorHAnsi"/>
          <w:sz w:val="24"/>
          <w:szCs w:val="24"/>
        </w:rPr>
        <w:t>. [online] Available at: http://www.iep.utm.edu/diogsino/ [Accessed 22 Apr. 2018].</w:t>
      </w:r>
    </w:p>
    <w:p w14:paraId="4173AA40" w14:textId="77777777" w:rsidR="00516D67" w:rsidRPr="00516D67" w:rsidRDefault="00516D67" w:rsidP="00516D67">
      <w:pPr>
        <w:spacing w:after="336" w:line="360" w:lineRule="auto"/>
        <w:rPr>
          <w:rFonts w:cstheme="minorHAnsi"/>
        </w:rPr>
      </w:pPr>
      <w:r w:rsidRPr="00516D67">
        <w:rPr>
          <w:rFonts w:cstheme="minorHAnsi"/>
          <w:sz w:val="24"/>
          <w:szCs w:val="24"/>
        </w:rPr>
        <w:t xml:space="preserve">Jstor.org. (2018). </w:t>
      </w:r>
      <w:r w:rsidRPr="00516D67">
        <w:rPr>
          <w:rFonts w:cstheme="minorHAnsi"/>
          <w:i/>
          <w:sz w:val="24"/>
          <w:szCs w:val="24"/>
        </w:rPr>
        <w:t>The Sources of Plutarch's Alexander on JSTOR</w:t>
      </w:r>
      <w:r w:rsidRPr="00516D67">
        <w:rPr>
          <w:rFonts w:cstheme="minorHAnsi"/>
          <w:sz w:val="24"/>
          <w:szCs w:val="24"/>
        </w:rPr>
        <w:t>. [online] Available at: https://www.jstor.org/stable/626595?seq=1#page_scan_tab_contents [Accessed 13 Apr. 2018].</w:t>
      </w:r>
    </w:p>
    <w:p w14:paraId="0D572C93" w14:textId="77777777" w:rsidR="00516D67" w:rsidRPr="00516D67" w:rsidRDefault="00516D67" w:rsidP="00516D67">
      <w:pPr>
        <w:spacing w:after="336" w:line="360" w:lineRule="auto"/>
        <w:rPr>
          <w:rFonts w:cstheme="minorHAnsi"/>
        </w:rPr>
      </w:pPr>
      <w:r w:rsidRPr="00516D67">
        <w:rPr>
          <w:rFonts w:cstheme="minorHAnsi"/>
          <w:sz w:val="24"/>
          <w:szCs w:val="24"/>
        </w:rPr>
        <w:t xml:space="preserve">Penelope.uchicago.edu. (2018). </w:t>
      </w:r>
      <w:r w:rsidRPr="00516D67">
        <w:rPr>
          <w:rFonts w:cstheme="minorHAnsi"/>
          <w:i/>
          <w:sz w:val="24"/>
          <w:szCs w:val="24"/>
        </w:rPr>
        <w:t>Plutarch • Parallel Lives — Translator's Introduction</w:t>
      </w:r>
      <w:r w:rsidRPr="00516D67">
        <w:rPr>
          <w:rFonts w:cstheme="minorHAnsi"/>
          <w:sz w:val="24"/>
          <w:szCs w:val="24"/>
        </w:rPr>
        <w:t>. [online] Available at: http://penelope.uchicago.edu/Thayer/E/Roman/Texts/Plutarch/Lives/Introduction*.html [Accessed 20 Apr. 2018].</w:t>
      </w:r>
    </w:p>
    <w:p w14:paraId="6455B647" w14:textId="4FB70D1F" w:rsidR="00516D67" w:rsidRPr="00516D67" w:rsidRDefault="00516D67" w:rsidP="00516D67">
      <w:pPr>
        <w:spacing w:after="336" w:line="360" w:lineRule="auto"/>
        <w:rPr>
          <w:rFonts w:cstheme="minorHAnsi"/>
        </w:rPr>
      </w:pPr>
      <w:r w:rsidRPr="00516D67">
        <w:rPr>
          <w:rFonts w:cstheme="minorHAnsi"/>
          <w:sz w:val="24"/>
          <w:szCs w:val="24"/>
        </w:rPr>
        <w:t xml:space="preserve">Royalcollection.org.uk. (2018). </w:t>
      </w:r>
      <w:r w:rsidRPr="00516D67">
        <w:rPr>
          <w:rFonts w:cstheme="minorHAnsi"/>
          <w:i/>
          <w:sz w:val="24"/>
          <w:szCs w:val="24"/>
        </w:rPr>
        <w:t>Mortlak</w:t>
      </w:r>
      <w:r>
        <w:rPr>
          <w:rFonts w:cstheme="minorHAnsi"/>
          <w:i/>
          <w:sz w:val="24"/>
          <w:szCs w:val="24"/>
        </w:rPr>
        <w:t>e</w:t>
      </w:r>
      <w:r w:rsidRPr="00516D67">
        <w:rPr>
          <w:rFonts w:cstheme="minorHAnsi"/>
          <w:i/>
          <w:sz w:val="24"/>
          <w:szCs w:val="24"/>
        </w:rPr>
        <w:t xml:space="preserve"> - The meeting between Alexander the Great and Diogenes</w:t>
      </w:r>
      <w:r w:rsidRPr="00516D67">
        <w:rPr>
          <w:rFonts w:cstheme="minorHAnsi"/>
          <w:sz w:val="24"/>
          <w:szCs w:val="24"/>
        </w:rPr>
        <w:t>. [online] Available at: https://www.royalcollection.org.uk/collection/27903/the-meeting-between-alexander-the-great-and-diogenes [Accessed 13 Apr. 2018].</w:t>
      </w:r>
    </w:p>
    <w:p w14:paraId="473EA872" w14:textId="3C7F4AFC" w:rsidR="00516D67" w:rsidRPr="00516D67" w:rsidRDefault="00516D67" w:rsidP="00516D67">
      <w:pPr>
        <w:spacing w:after="336" w:line="360" w:lineRule="auto"/>
        <w:rPr>
          <w:rFonts w:cstheme="minorHAnsi"/>
        </w:rPr>
      </w:pPr>
      <w:r w:rsidRPr="00516D67">
        <w:rPr>
          <w:rFonts w:cstheme="minorHAnsi"/>
          <w:sz w:val="24"/>
          <w:szCs w:val="24"/>
        </w:rPr>
        <w:t xml:space="preserve">Soanes, C. and Stevenson, A. (2005). </w:t>
      </w:r>
      <w:r w:rsidRPr="00516D67">
        <w:rPr>
          <w:rFonts w:cstheme="minorHAnsi"/>
          <w:i/>
          <w:sz w:val="24"/>
          <w:szCs w:val="24"/>
        </w:rPr>
        <w:t>Oxford dictionary of English</w:t>
      </w:r>
      <w:r w:rsidRPr="00516D67">
        <w:rPr>
          <w:rFonts w:cstheme="minorHAnsi"/>
          <w:sz w:val="24"/>
          <w:szCs w:val="24"/>
        </w:rPr>
        <w:t>. 2nd ed. Oxford: Oxford University Press, p.</w:t>
      </w:r>
      <w:r>
        <w:rPr>
          <w:rFonts w:cstheme="minorHAnsi"/>
          <w:sz w:val="24"/>
          <w:szCs w:val="24"/>
        </w:rPr>
        <w:t xml:space="preserve"> </w:t>
      </w:r>
      <w:bookmarkStart w:id="0" w:name="_GoBack"/>
      <w:bookmarkEnd w:id="0"/>
      <w:r w:rsidRPr="00516D67">
        <w:rPr>
          <w:rFonts w:cstheme="minorHAnsi"/>
          <w:sz w:val="24"/>
          <w:szCs w:val="24"/>
        </w:rPr>
        <w:t>synecdoche.</w:t>
      </w:r>
    </w:p>
    <w:p w14:paraId="49D0F169" w14:textId="77777777" w:rsidR="00516D67" w:rsidRPr="00516D67" w:rsidRDefault="00516D67" w:rsidP="00516D67">
      <w:pPr>
        <w:rPr>
          <w:rFonts w:cstheme="minorHAnsi"/>
        </w:rPr>
      </w:pPr>
    </w:p>
    <w:p w14:paraId="7332B471" w14:textId="77777777" w:rsidR="00516D67" w:rsidRPr="00516D67" w:rsidRDefault="00516D67" w:rsidP="006C69F1">
      <w:pPr>
        <w:spacing w:line="480" w:lineRule="auto"/>
        <w:rPr>
          <w:rFonts w:cstheme="minorHAnsi"/>
          <w:sz w:val="24"/>
          <w:szCs w:val="24"/>
        </w:rPr>
      </w:pPr>
    </w:p>
    <w:sectPr w:rsidR="00516D67" w:rsidRPr="00516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E7F10" w14:textId="77777777" w:rsidR="00F17B0F" w:rsidRDefault="00F17B0F" w:rsidP="006C69F1">
      <w:pPr>
        <w:spacing w:after="0" w:line="240" w:lineRule="auto"/>
      </w:pPr>
      <w:r>
        <w:separator/>
      </w:r>
    </w:p>
  </w:endnote>
  <w:endnote w:type="continuationSeparator" w:id="0">
    <w:p w14:paraId="565DD09A" w14:textId="77777777" w:rsidR="00F17B0F" w:rsidRDefault="00F17B0F" w:rsidP="006C6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EDD88" w14:textId="77777777" w:rsidR="00F17B0F" w:rsidRDefault="00F17B0F" w:rsidP="006C69F1">
      <w:pPr>
        <w:spacing w:after="0" w:line="240" w:lineRule="auto"/>
      </w:pPr>
      <w:r>
        <w:separator/>
      </w:r>
    </w:p>
  </w:footnote>
  <w:footnote w:type="continuationSeparator" w:id="0">
    <w:p w14:paraId="4F9F1133" w14:textId="77777777" w:rsidR="00F17B0F" w:rsidRDefault="00F17B0F" w:rsidP="006C69F1">
      <w:pPr>
        <w:spacing w:after="0" w:line="240" w:lineRule="auto"/>
      </w:pPr>
      <w:r>
        <w:continuationSeparator/>
      </w:r>
    </w:p>
  </w:footnote>
  <w:footnote w:id="1">
    <w:p w14:paraId="044C831D" w14:textId="1B87AA6B" w:rsidR="006C69F1" w:rsidRPr="00E40F1C" w:rsidRDefault="006C69F1">
      <w:pPr>
        <w:pStyle w:val="FootnoteText"/>
      </w:pPr>
      <w:r w:rsidRPr="00E40F1C">
        <w:rPr>
          <w:rStyle w:val="FootnoteReference"/>
        </w:rPr>
        <w:footnoteRef/>
      </w:r>
      <w:r w:rsidRPr="00E40F1C">
        <w:t xml:space="preserve"> </w:t>
      </w:r>
      <w:r w:rsidRPr="00E40F1C">
        <w:rPr>
          <w:rFonts w:ascii="Arial" w:hAnsi="Arial" w:cs="Arial"/>
          <w:i/>
          <w:iCs/>
          <w:color w:val="666666"/>
          <w:shd w:val="clear" w:color="auto" w:fill="FFFFFF"/>
        </w:rPr>
        <w:t>The Internet Classics Archive | Alexander by Plutarch</w:t>
      </w:r>
      <w:r w:rsidRPr="00E40F1C">
        <w:rPr>
          <w:rFonts w:ascii="Arial" w:hAnsi="Arial" w:cs="Arial"/>
          <w:color w:val="666666"/>
          <w:shd w:val="clear" w:color="auto" w:fill="FFFFFF"/>
        </w:rPr>
        <w:t>. [online] Available at: http://classics.mit.edu/Plutarch/alexandr.html [Accessed 13 Apr. 2018].</w:t>
      </w:r>
    </w:p>
  </w:footnote>
  <w:footnote w:id="2">
    <w:p w14:paraId="038CD6A1" w14:textId="4F378A31" w:rsidR="00E40F1C" w:rsidRDefault="00E40F1C">
      <w:pPr>
        <w:pStyle w:val="FootnoteText"/>
      </w:pPr>
      <w:r w:rsidRPr="00E40F1C">
        <w:rPr>
          <w:rStyle w:val="FootnoteReference"/>
        </w:rPr>
        <w:footnoteRef/>
      </w:r>
      <w:r w:rsidRPr="00E40F1C">
        <w:t xml:space="preserve"> </w:t>
      </w:r>
      <w:r w:rsidRPr="00E40F1C">
        <w:rPr>
          <w:rFonts w:ascii="Arial" w:hAnsi="Arial" w:cs="Arial"/>
          <w:color w:val="666666"/>
          <w:shd w:val="clear" w:color="auto" w:fill="FFF5AA"/>
        </w:rPr>
        <w:t> </w:t>
      </w:r>
      <w:r>
        <w:rPr>
          <w:rFonts w:ascii="Arial" w:hAnsi="Arial" w:cs="Arial"/>
          <w:i/>
          <w:iCs/>
          <w:color w:val="666666"/>
          <w:shd w:val="clear" w:color="auto" w:fill="FFFFFF"/>
        </w:rPr>
        <w:t>Plutarch • Parallel Lives — Translator's Introduction</w:t>
      </w:r>
      <w:r>
        <w:rPr>
          <w:rFonts w:ascii="Arial" w:hAnsi="Arial" w:cs="Arial"/>
          <w:color w:val="666666"/>
          <w:shd w:val="clear" w:color="auto" w:fill="FFFFFF"/>
        </w:rPr>
        <w:t>. [online] Available at: http://penelope.uchicago.edu/Thayer/E/Roman/Texts/Plutarch/Lives/Introduction*.html [Accessed 20 Apr. 2018].</w:t>
      </w:r>
    </w:p>
  </w:footnote>
  <w:footnote w:id="3">
    <w:p w14:paraId="4F2983C8" w14:textId="7B0333E9" w:rsidR="00A65EA9" w:rsidRDefault="00A65EA9">
      <w:pPr>
        <w:pStyle w:val="FootnoteText"/>
      </w:pPr>
      <w:r>
        <w:rPr>
          <w:rStyle w:val="FootnoteReference"/>
        </w:rPr>
        <w:footnoteRef/>
      </w:r>
      <w:r>
        <w:t xml:space="preserve"> A Stevenson,</w:t>
      </w:r>
      <w:r>
        <w:rPr>
          <w:rFonts w:ascii="Arial" w:hAnsi="Arial" w:cs="Arial"/>
          <w:color w:val="666666"/>
          <w:shd w:val="clear" w:color="auto" w:fill="FFFFFF"/>
        </w:rPr>
        <w:t> (2005). </w:t>
      </w:r>
      <w:r>
        <w:rPr>
          <w:rFonts w:ascii="Arial" w:hAnsi="Arial" w:cs="Arial"/>
          <w:i/>
          <w:iCs/>
          <w:color w:val="666666"/>
          <w:shd w:val="clear" w:color="auto" w:fill="FFFFFF"/>
        </w:rPr>
        <w:t>Oxford dictionary of English</w:t>
      </w:r>
      <w:r>
        <w:rPr>
          <w:rFonts w:ascii="Arial" w:hAnsi="Arial" w:cs="Arial"/>
          <w:color w:val="666666"/>
          <w:shd w:val="clear" w:color="auto" w:fill="FFFFFF"/>
        </w:rPr>
        <w:t>. 2nd ed. Oxford: Oxford University Press, p. synecdoche.</w:t>
      </w:r>
    </w:p>
  </w:footnote>
  <w:footnote w:id="4">
    <w:p w14:paraId="0A25DAD4" w14:textId="4463ECEC" w:rsidR="00DE3AA0" w:rsidRDefault="00DE3AA0">
      <w:pPr>
        <w:pStyle w:val="FootnoteText"/>
      </w:pPr>
      <w:r>
        <w:rPr>
          <w:rStyle w:val="FootnoteReference"/>
        </w:rPr>
        <w:footnoteRef/>
      </w:r>
      <w:r>
        <w:t xml:space="preserve"> </w:t>
      </w:r>
      <w:r>
        <w:rPr>
          <w:rFonts w:ascii="Arial" w:hAnsi="Arial" w:cs="Arial"/>
          <w:color w:val="666666"/>
          <w:shd w:val="clear" w:color="auto" w:fill="FFFFFF"/>
        </w:rPr>
        <w:t> </w:t>
      </w:r>
      <w:r>
        <w:rPr>
          <w:rFonts w:ascii="Arial" w:hAnsi="Arial" w:cs="Arial"/>
          <w:i/>
          <w:iCs/>
          <w:color w:val="666666"/>
          <w:shd w:val="clear" w:color="auto" w:fill="FFFFFF"/>
        </w:rPr>
        <w:t>Diogenes of Sinope | Internet Encyclopedia of Philosophy</w:t>
      </w:r>
      <w:r>
        <w:rPr>
          <w:rFonts w:ascii="Arial" w:hAnsi="Arial" w:cs="Arial"/>
          <w:color w:val="666666"/>
          <w:shd w:val="clear" w:color="auto" w:fill="FFFFFF"/>
        </w:rPr>
        <w:t>. [online] Available at: http://www.iep.utm.edu/diogsino/ [Accessed 22 Apr. 2018].</w:t>
      </w:r>
    </w:p>
  </w:footnote>
  <w:footnote w:id="5">
    <w:p w14:paraId="29F6FA68" w14:textId="3C12C15B" w:rsidR="00B926DD" w:rsidRDefault="00B926DD">
      <w:pPr>
        <w:pStyle w:val="FootnoteText"/>
      </w:pPr>
      <w:r>
        <w:rPr>
          <w:rStyle w:val="FootnoteReference"/>
        </w:rPr>
        <w:footnoteRef/>
      </w:r>
      <w:r>
        <w:t xml:space="preserve"> </w:t>
      </w:r>
      <w:r>
        <w:rPr>
          <w:rFonts w:ascii="Arial" w:hAnsi="Arial" w:cs="Arial"/>
          <w:color w:val="666666"/>
          <w:shd w:val="clear" w:color="auto" w:fill="FFFFFF"/>
        </w:rPr>
        <w:t> </w:t>
      </w:r>
      <w:r>
        <w:rPr>
          <w:rFonts w:ascii="Arial" w:hAnsi="Arial" w:cs="Arial"/>
          <w:i/>
          <w:iCs/>
          <w:color w:val="666666"/>
          <w:shd w:val="clear" w:color="auto" w:fill="FFFFFF"/>
        </w:rPr>
        <w:t>Philosopher king | philosophy</w:t>
      </w:r>
      <w:r>
        <w:rPr>
          <w:rFonts w:ascii="Arial" w:hAnsi="Arial" w:cs="Arial"/>
          <w:color w:val="666666"/>
          <w:shd w:val="clear" w:color="auto" w:fill="FFFFFF"/>
        </w:rPr>
        <w:t>. [online] Available at: https://www.britannica.com/topic/philosopher-king [Accessed 13 Apr. 2018].</w:t>
      </w:r>
    </w:p>
  </w:footnote>
  <w:footnote w:id="6">
    <w:p w14:paraId="1C2294BA" w14:textId="22CDF1BD" w:rsidR="00FB3FAA" w:rsidRDefault="00FB3FAA">
      <w:pPr>
        <w:pStyle w:val="FootnoteText"/>
      </w:pPr>
      <w:r>
        <w:rPr>
          <w:rStyle w:val="FootnoteReference"/>
        </w:rPr>
        <w:footnoteRef/>
      </w:r>
      <w:r>
        <w:t xml:space="preserve"> </w:t>
      </w:r>
      <w:r>
        <w:rPr>
          <w:rFonts w:ascii="Arial" w:hAnsi="Arial" w:cs="Arial"/>
          <w:color w:val="666666"/>
          <w:shd w:val="clear" w:color="auto" w:fill="FFFFFF"/>
        </w:rPr>
        <w:t> </w:t>
      </w:r>
      <w:r>
        <w:rPr>
          <w:rFonts w:ascii="Arial" w:hAnsi="Arial" w:cs="Arial"/>
          <w:i/>
          <w:iCs/>
          <w:color w:val="666666"/>
          <w:shd w:val="clear" w:color="auto" w:fill="FFFFFF"/>
        </w:rPr>
        <w:t>David Trumbull's Comparison of Plutarch's Lives of Alexander and Caesar</w:t>
      </w:r>
      <w:r>
        <w:rPr>
          <w:rFonts w:ascii="Arial" w:hAnsi="Arial" w:cs="Arial"/>
          <w:color w:val="666666"/>
          <w:shd w:val="clear" w:color="auto" w:fill="FFFFFF"/>
        </w:rPr>
        <w:t>. [online] Available at: http://www.bostonleadershipbuilders.com/plutarch/trumbull_comparison_alexander_caesar.htm [Accessed 16 Apr. 2018].</w:t>
      </w:r>
    </w:p>
  </w:footnote>
  <w:footnote w:id="7">
    <w:p w14:paraId="3F220DF0" w14:textId="6BF80BFE" w:rsidR="00FB3FAA" w:rsidRDefault="00FB3FAA">
      <w:pPr>
        <w:pStyle w:val="FootnoteText"/>
      </w:pPr>
      <w:r>
        <w:rPr>
          <w:rStyle w:val="FootnoteReference"/>
        </w:rPr>
        <w:footnoteRef/>
      </w:r>
      <w:r>
        <w:t xml:space="preserve"> </w:t>
      </w:r>
      <w:r>
        <w:rPr>
          <w:rFonts w:ascii="Arial" w:hAnsi="Arial" w:cs="Arial"/>
          <w:color w:val="666666"/>
          <w:shd w:val="clear" w:color="auto" w:fill="FFFFFF"/>
        </w:rPr>
        <w:t> </w:t>
      </w:r>
      <w:r>
        <w:rPr>
          <w:rFonts w:ascii="Arial" w:hAnsi="Arial" w:cs="Arial"/>
          <w:i/>
          <w:iCs/>
          <w:color w:val="666666"/>
          <w:shd w:val="clear" w:color="auto" w:fill="FFFFFF"/>
        </w:rPr>
        <w:t>Mortlake - The meeting between Alexander the Great and Diogenes</w:t>
      </w:r>
      <w:r>
        <w:rPr>
          <w:rFonts w:ascii="Arial" w:hAnsi="Arial" w:cs="Arial"/>
          <w:color w:val="666666"/>
          <w:shd w:val="clear" w:color="auto" w:fill="FFFFFF"/>
        </w:rPr>
        <w:t>. [online] Available at: https://www.royalcollection.org.uk/collection/27903/the-meeting-between-alexander-the-great-and-diogenes [Accessed 13 Apr.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9F1"/>
    <w:rsid w:val="001B08C9"/>
    <w:rsid w:val="001C7226"/>
    <w:rsid w:val="00375519"/>
    <w:rsid w:val="003931DC"/>
    <w:rsid w:val="004A6A12"/>
    <w:rsid w:val="00505C07"/>
    <w:rsid w:val="00516D67"/>
    <w:rsid w:val="006C69F1"/>
    <w:rsid w:val="00716280"/>
    <w:rsid w:val="00751A3C"/>
    <w:rsid w:val="007F211F"/>
    <w:rsid w:val="00A65EA9"/>
    <w:rsid w:val="00B52EC0"/>
    <w:rsid w:val="00B67012"/>
    <w:rsid w:val="00B926DD"/>
    <w:rsid w:val="00BB69C5"/>
    <w:rsid w:val="00BB7806"/>
    <w:rsid w:val="00C90042"/>
    <w:rsid w:val="00CB0543"/>
    <w:rsid w:val="00DE3AA0"/>
    <w:rsid w:val="00E40F1C"/>
    <w:rsid w:val="00F17B0F"/>
    <w:rsid w:val="00FB3FAA"/>
    <w:rsid w:val="00FB6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641C7"/>
  <w15:chartTrackingRefBased/>
  <w15:docId w15:val="{BF79BED0-7FC8-4093-B0BA-07EE9648E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C69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69F1"/>
    <w:rPr>
      <w:sz w:val="20"/>
      <w:szCs w:val="20"/>
    </w:rPr>
  </w:style>
  <w:style w:type="character" w:styleId="FootnoteReference">
    <w:name w:val="footnote reference"/>
    <w:basedOn w:val="DefaultParagraphFont"/>
    <w:uiPriority w:val="99"/>
    <w:semiHidden/>
    <w:unhideWhenUsed/>
    <w:rsid w:val="006C69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98AAA1-2110-4C88-9C28-9925A9207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5</Pages>
  <Words>1072</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8</cp:revision>
  <dcterms:created xsi:type="dcterms:W3CDTF">2018-04-16T09:15:00Z</dcterms:created>
  <dcterms:modified xsi:type="dcterms:W3CDTF">2018-04-24T07:37:00Z</dcterms:modified>
</cp:coreProperties>
</file>