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b/>
          <w:bCs/>
          <w:sz w:val="24"/>
        </w:rPr>
      </w:pPr>
      <w:r>
        <w:rPr>
          <w:rFonts w:ascii="Times New Roman" w:hAnsi="Times New Roman" w:cs="Times New Roman"/>
          <w:sz w:val="24"/>
        </w:rPr>
        <w:drawing>
          <wp:anchor distT="0" distB="0" distL="0" distR="0" simplePos="0" relativeHeight="251660288" behindDoc="1" locked="0" layoutInCell="1" allowOverlap="1">
            <wp:simplePos x="0" y="0"/>
            <wp:positionH relativeFrom="column">
              <wp:posOffset>-685800</wp:posOffset>
            </wp:positionH>
            <wp:positionV relativeFrom="paragraph">
              <wp:posOffset>-259080</wp:posOffset>
            </wp:positionV>
            <wp:extent cx="2522220" cy="990600"/>
            <wp:effectExtent l="0" t="0" r="7620" b="0"/>
            <wp:wrapNone/>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522220" cy="990600"/>
                    </a:xfrm>
                    <a:prstGeom prst="rect">
                      <a:avLst/>
                    </a:prstGeom>
                  </pic:spPr>
                </pic:pic>
              </a:graphicData>
            </a:graphic>
          </wp:anchor>
        </w:drawing>
      </w:r>
    </w:p>
    <w:p>
      <w:pPr>
        <w:spacing w:line="360" w:lineRule="auto"/>
        <w:jc w:val="center"/>
        <w:rPr>
          <w:b/>
          <w:bCs/>
          <w:sz w:val="24"/>
        </w:rPr>
      </w:pPr>
    </w:p>
    <w:p>
      <w:pPr>
        <w:spacing w:line="360" w:lineRule="auto"/>
        <w:jc w:val="center"/>
        <w:rPr>
          <w:b/>
          <w:bCs/>
          <w:sz w:val="24"/>
        </w:rPr>
      </w:pPr>
    </w:p>
    <w:p>
      <w:pPr>
        <w:spacing w:line="360" w:lineRule="auto"/>
        <w:jc w:val="center"/>
        <w:rPr>
          <w:b/>
          <w:bCs/>
          <w:sz w:val="24"/>
        </w:rPr>
      </w:pPr>
      <w:bookmarkStart w:id="14" w:name="_GoBack"/>
      <w:bookmarkEnd w:id="14"/>
    </w:p>
    <w:p>
      <w:pPr>
        <w:spacing w:line="360" w:lineRule="auto"/>
        <w:jc w:val="center"/>
        <w:rPr>
          <w:b/>
          <w:bCs/>
          <w:sz w:val="24"/>
        </w:rPr>
      </w:pPr>
    </w:p>
    <w:p>
      <w:pPr>
        <w:spacing w:line="480" w:lineRule="auto"/>
        <w:jc w:val="center"/>
        <w:rPr>
          <w:rFonts w:hint="default" w:ascii="Arial" w:hAnsi="Arial" w:cs="Arial"/>
          <w:b/>
          <w:bCs/>
          <w:sz w:val="22"/>
          <w:szCs w:val="22"/>
        </w:rPr>
      </w:pPr>
    </w:p>
    <w:p>
      <w:pPr>
        <w:spacing w:line="480" w:lineRule="auto"/>
        <w:jc w:val="center"/>
        <w:rPr>
          <w:rFonts w:hint="default" w:ascii="Arial" w:hAnsi="Arial" w:cs="Arial"/>
          <w:b/>
          <w:bCs/>
          <w:sz w:val="22"/>
          <w:szCs w:val="22"/>
        </w:rPr>
      </w:pPr>
      <w:r>
        <w:rPr>
          <w:rFonts w:hint="default" w:ascii="Arial" w:hAnsi="Arial" w:cs="Arial"/>
          <w:b/>
          <w:bCs/>
          <w:sz w:val="22"/>
          <w:szCs w:val="22"/>
        </w:rPr>
        <w:t>Report on Management Issues at X with</w:t>
      </w:r>
    </w:p>
    <w:p>
      <w:pPr>
        <w:spacing w:line="480" w:lineRule="auto"/>
        <w:jc w:val="center"/>
        <w:outlineLvl w:val="0"/>
        <w:rPr>
          <w:rFonts w:hint="default" w:ascii="Arial" w:hAnsi="Arial" w:cs="Arial"/>
          <w:b/>
          <w:bCs/>
          <w:sz w:val="22"/>
          <w:szCs w:val="22"/>
        </w:rPr>
      </w:pPr>
      <w:bookmarkStart w:id="0" w:name="_Toc139795779"/>
      <w:r>
        <w:rPr>
          <w:rFonts w:hint="default" w:ascii="Arial" w:hAnsi="Arial" w:cs="Arial"/>
          <w:b/>
          <w:bCs/>
          <w:sz w:val="22"/>
          <w:szCs w:val="22"/>
        </w:rPr>
        <w:t>Recommendations for Action</w:t>
      </w:r>
    </w:p>
    <w:p>
      <w:pPr>
        <w:spacing w:line="480" w:lineRule="auto"/>
        <w:outlineLvl w:val="0"/>
        <w:rPr>
          <w:rFonts w:hint="default" w:ascii="Arial" w:hAnsi="Arial" w:cs="Arial"/>
          <w:b/>
          <w:bCs/>
          <w:sz w:val="22"/>
          <w:szCs w:val="22"/>
        </w:rPr>
      </w:pPr>
    </w:p>
    <w:p>
      <w:pPr>
        <w:spacing w:line="480" w:lineRule="auto"/>
        <w:jc w:val="center"/>
        <w:outlineLvl w:val="0"/>
        <w:rPr>
          <w:rFonts w:hint="default" w:ascii="Arial" w:hAnsi="Arial" w:cs="Arial"/>
          <w:b/>
          <w:bCs/>
          <w:sz w:val="22"/>
          <w:szCs w:val="22"/>
        </w:rPr>
      </w:pPr>
      <w:r>
        <w:rPr>
          <w:rFonts w:hint="default" w:ascii="Arial" w:hAnsi="Arial" w:cs="Arial"/>
          <w:b/>
          <w:bCs/>
          <w:sz w:val="22"/>
          <w:szCs w:val="22"/>
        </w:rPr>
        <w:t>Contemporary Issues in Management (BMBM6003)</w:t>
      </w:r>
    </w:p>
    <w:p>
      <w:pPr>
        <w:spacing w:line="480" w:lineRule="auto"/>
        <w:outlineLvl w:val="0"/>
        <w:rPr>
          <w:rFonts w:hint="default" w:ascii="Arial" w:hAnsi="Arial" w:cs="Arial"/>
          <w:b/>
          <w:bCs/>
          <w:sz w:val="22"/>
          <w:szCs w:val="22"/>
        </w:rPr>
      </w:pPr>
    </w:p>
    <w:p>
      <w:pPr>
        <w:spacing w:line="480" w:lineRule="auto"/>
        <w:jc w:val="center"/>
        <w:outlineLvl w:val="0"/>
        <w:rPr>
          <w:rFonts w:hint="default" w:ascii="Arial" w:hAnsi="Arial" w:cs="Arial"/>
          <w:b/>
          <w:bCs/>
          <w:sz w:val="22"/>
          <w:szCs w:val="22"/>
        </w:rPr>
      </w:pPr>
      <w:r>
        <w:rPr>
          <w:rFonts w:hint="default" w:ascii="Arial" w:hAnsi="Arial" w:cs="Arial"/>
          <w:b/>
          <w:bCs/>
          <w:sz w:val="22"/>
          <w:szCs w:val="22"/>
        </w:rPr>
        <w:drawing>
          <wp:inline distT="0" distB="0" distL="114300" distR="114300">
            <wp:extent cx="5266690" cy="2962910"/>
            <wp:effectExtent l="139700" t="109220" r="125730" b="128270"/>
            <wp:docPr id="3" name="图片 3" descr="16565a6cf6ce241ec2f689ef879eb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6565a6cf6ce241ec2f689ef879ebc9"/>
                    <pic:cNvPicPr>
                      <a:picLocks noChangeAspect="1"/>
                    </pic:cNvPicPr>
                  </pic:nvPicPr>
                  <pic:blipFill>
                    <a:blip r:embed="rId6"/>
                    <a:stretch>
                      <a:fillRect/>
                    </a:stretch>
                  </pic:blipFill>
                  <pic:spPr>
                    <a:xfrm>
                      <a:off x="0" y="0"/>
                      <a:ext cx="5266690" cy="2962910"/>
                    </a:xfrm>
                    <a:prstGeom prst="rect">
                      <a:avLst/>
                    </a:prstGeom>
                    <a:effectLst>
                      <a:glow rad="139700">
                        <a:schemeClr val="accent1">
                          <a:satMod val="175000"/>
                          <a:alpha val="40000"/>
                        </a:schemeClr>
                      </a:glow>
                    </a:effectLst>
                  </pic:spPr>
                </pic:pic>
              </a:graphicData>
            </a:graphic>
          </wp:inline>
        </w:drawing>
      </w:r>
      <w:bookmarkEnd w:id="0"/>
      <w:bookmarkStart w:id="1" w:name="_Toc200547835"/>
    </w:p>
    <w:p>
      <w:pPr>
        <w:spacing w:line="480" w:lineRule="auto"/>
        <w:outlineLvl w:val="0"/>
        <w:rPr>
          <w:rFonts w:hint="default" w:ascii="Arial" w:hAnsi="Arial" w:cs="Arial"/>
          <w:b/>
          <w:bCs/>
          <w:sz w:val="22"/>
          <w:szCs w:val="22"/>
        </w:rPr>
      </w:pPr>
    </w:p>
    <w:p>
      <w:pPr>
        <w:spacing w:line="480" w:lineRule="auto"/>
        <w:jc w:val="right"/>
        <w:rPr>
          <w:rFonts w:hint="default" w:ascii="Arial" w:hAnsi="Arial" w:cs="Arial"/>
          <w:b w:val="0"/>
          <w:bCs w:val="0"/>
          <w:sz w:val="22"/>
          <w:szCs w:val="22"/>
          <w:lang w:val="en-US" w:eastAsia="zh-CN"/>
        </w:rPr>
      </w:pPr>
      <w:r>
        <w:rPr>
          <w:rFonts w:hint="default" w:ascii="Arial" w:hAnsi="Arial" w:cs="Arial"/>
          <w:b w:val="0"/>
          <w:bCs w:val="0"/>
          <w:sz w:val="22"/>
          <w:szCs w:val="22"/>
          <w:lang w:val="en-US" w:eastAsia="zh-CN"/>
        </w:rPr>
        <w:t>Student Name:.</w:t>
      </w:r>
      <w:r>
        <w:rPr>
          <w:rFonts w:hint="default" w:ascii="Arial" w:hAnsi="Arial" w:cs="Arial"/>
          <w:b w:val="0"/>
          <w:bCs w:val="0"/>
          <w:sz w:val="22"/>
          <w:szCs w:val="22"/>
          <w:lang w:val="en-US" w:eastAsia="zh-CN"/>
        </w:rPr>
        <w:tab/>
        <w:t xml:space="preserve"> Xiaotong Feng</w:t>
      </w:r>
    </w:p>
    <w:p>
      <w:pPr>
        <w:wordWrap w:val="0"/>
        <w:spacing w:line="480" w:lineRule="auto"/>
        <w:jc w:val="right"/>
        <w:rPr>
          <w:rFonts w:hint="default" w:ascii="Arial" w:hAnsi="Arial" w:cs="Arial"/>
          <w:b w:val="0"/>
          <w:bCs w:val="0"/>
          <w:sz w:val="22"/>
          <w:szCs w:val="22"/>
          <w:lang w:val="en-US" w:eastAsia="zh-CN"/>
        </w:rPr>
      </w:pPr>
      <w:r>
        <w:rPr>
          <w:rFonts w:hint="default" w:ascii="Arial" w:hAnsi="Arial" w:cs="Arial"/>
          <w:b w:val="0"/>
          <w:bCs w:val="0"/>
          <w:sz w:val="22"/>
          <w:szCs w:val="22"/>
          <w:lang w:val="en-US" w:eastAsia="zh-CN"/>
        </w:rPr>
        <w:t>Leturers: Gwyneth Jones</w:t>
      </w:r>
    </w:p>
    <w:p>
      <w:pPr>
        <w:spacing w:line="480" w:lineRule="auto"/>
        <w:jc w:val="right"/>
        <w:rPr>
          <w:rFonts w:hint="default" w:ascii="Arial" w:hAnsi="Arial" w:cs="Arial"/>
          <w:b w:val="0"/>
          <w:bCs w:val="0"/>
          <w:sz w:val="22"/>
          <w:szCs w:val="22"/>
          <w:lang w:val="en-US" w:eastAsia="zh-CN"/>
        </w:rPr>
      </w:pPr>
      <w:r>
        <w:rPr>
          <w:rFonts w:hint="default" w:ascii="Arial" w:hAnsi="Arial" w:cs="Arial"/>
          <w:b w:val="0"/>
          <w:bCs w:val="0"/>
          <w:sz w:val="22"/>
          <w:szCs w:val="22"/>
          <w:lang w:val="en-US" w:eastAsia="zh-CN"/>
        </w:rPr>
        <w:t>Student Id:2224462</w:t>
      </w:r>
    </w:p>
    <w:p>
      <w:pPr>
        <w:spacing w:line="480" w:lineRule="auto"/>
        <w:jc w:val="both"/>
        <w:rPr>
          <w:rFonts w:hint="default" w:ascii="Arial" w:hAnsi="Arial" w:cs="Arial"/>
          <w:b/>
          <w:bCs/>
          <w:sz w:val="22"/>
          <w:szCs w:val="22"/>
        </w:rPr>
      </w:pPr>
      <w:r>
        <w:rPr>
          <w:rFonts w:hint="default" w:ascii="Arial" w:hAnsi="Arial" w:cs="Arial"/>
          <w:b/>
          <w:bCs/>
          <w:sz w:val="22"/>
          <w:szCs w:val="22"/>
        </w:rPr>
        <w:t>Executive Summary</w:t>
      </w:r>
      <w:bookmarkEnd w:id="1"/>
    </w:p>
    <w:p>
      <w:pPr>
        <w:spacing w:line="480" w:lineRule="auto"/>
        <w:outlineLvl w:val="0"/>
        <w:rPr>
          <w:rFonts w:hint="default" w:ascii="Arial" w:hAnsi="Arial" w:cs="Arial"/>
          <w:b/>
          <w:bCs/>
          <w:sz w:val="22"/>
          <w:szCs w:val="22"/>
        </w:rPr>
      </w:pPr>
    </w:p>
    <w:p>
      <w:pPr>
        <w:spacing w:line="480" w:lineRule="auto"/>
        <w:rPr>
          <w:rFonts w:hint="default" w:ascii="Arial" w:hAnsi="Arial" w:cs="Arial"/>
          <w:sz w:val="22"/>
          <w:szCs w:val="22"/>
        </w:rPr>
      </w:pPr>
      <w:r>
        <w:rPr>
          <w:rFonts w:hint="default" w:ascii="Arial" w:hAnsi="Arial" w:cs="Arial"/>
          <w:sz w:val="22"/>
          <w:szCs w:val="22"/>
        </w:rPr>
        <w:t>Twitter encountered several difficulties following its acquisition by Elon Musk. There has been a notable decline in advertising income and a notable number of employee layoffs. Despite the fact that Twitter’s management approach reflects the idea of traditional approaches, bureaucratic theory causes problems with management. These problems include poor management and training of the workforce, as well as the employees' sense of loss and powerlessness following the purchase. Ethically speaking, these problems might be detrimental to stakeholders and staff. To enhance the management environment, Twitter ought to integrate essential measures with conventional approaches.</w:t>
      </w:r>
    </w:p>
    <w:p>
      <w:pPr>
        <w:spacing w:line="480" w:lineRule="auto"/>
        <w:rPr>
          <w:rFonts w:hint="default" w:ascii="Arial" w:hAnsi="Arial" w:cs="Arial"/>
          <w:sz w:val="22"/>
          <w:szCs w:val="22"/>
        </w:rPr>
      </w:pPr>
    </w:p>
    <w:p>
      <w:pPr>
        <w:spacing w:line="480" w:lineRule="auto"/>
        <w:rPr>
          <w:rFonts w:hint="default" w:ascii="Arial" w:hAnsi="Arial" w:cs="Arial"/>
          <w:sz w:val="22"/>
          <w:szCs w:val="22"/>
        </w:rPr>
      </w:pPr>
      <w:r>
        <w:rPr>
          <w:rFonts w:hint="default" w:ascii="Arial" w:hAnsi="Arial" w:cs="Arial"/>
          <w:sz w:val="22"/>
          <w:szCs w:val="22"/>
        </w:rPr>
        <w:t>Twitter ought to integrate classical measures with critical approaches to establish a more favorable management atmosphere. Employers should offer expert psychological counseling services to employees in order to assist them in managing the emotional and psychological strain that comes with layoffs. In order for staff members to comprehend the company's future development direction and their own duties, it is also vital to promptly update them on the acquisition's status and strategy. Employee trust and a sense of belonging to the organization may all be improved by doing this, as well as decreasing uncertainty and worry. In order to better govern platform comments and foster collaboration, Twitter should set explicit ethical norms and standards, control what may be published, and implement severe penalties for transgressing these standards. The ability to manually evaluate content should also be improved. Sensitive themes and content pertaining to bad information should be scrutinized more closely, and third-party organizations for arbitration and evaluation should be introduced.</w:t>
      </w:r>
    </w:p>
    <w:p>
      <w:pPr>
        <w:spacing w:line="480" w:lineRule="auto"/>
        <w:rPr>
          <w:rFonts w:hint="default" w:ascii="Arial" w:hAnsi="Arial" w:cs="Arial"/>
          <w:sz w:val="22"/>
          <w:szCs w:val="22"/>
        </w:rPr>
      </w:pPr>
    </w:p>
    <w:p>
      <w:pPr>
        <w:spacing w:line="480" w:lineRule="auto"/>
        <w:rPr>
          <w:rFonts w:hint="default" w:ascii="Arial" w:hAnsi="Arial" w:cs="Arial"/>
          <w:b/>
          <w:bCs/>
          <w:sz w:val="22"/>
          <w:szCs w:val="22"/>
        </w:rPr>
      </w:pPr>
      <w:r>
        <w:rPr>
          <w:rFonts w:hint="default" w:ascii="Arial" w:hAnsi="Arial" w:cs="Arial"/>
          <w:b/>
          <w:bCs/>
          <w:sz w:val="22"/>
          <w:szCs w:val="22"/>
        </w:rPr>
        <w:br w:type="page"/>
      </w:r>
    </w:p>
    <w:p>
      <w:pPr>
        <w:spacing w:line="480" w:lineRule="auto"/>
        <w:rPr>
          <w:rFonts w:hint="default" w:ascii="Arial" w:hAnsi="Arial" w:cs="Arial"/>
          <w:b/>
          <w:bCs/>
          <w:sz w:val="22"/>
          <w:szCs w:val="22"/>
        </w:rPr>
      </w:pPr>
      <w:r>
        <w:rPr>
          <w:rFonts w:hint="default" w:ascii="Arial" w:hAnsi="Arial" w:cs="Arial"/>
          <w:b/>
          <w:bCs/>
          <w:sz w:val="22"/>
          <w:szCs w:val="22"/>
        </w:rPr>
        <w:t>Content Page</w:t>
      </w:r>
    </w:p>
    <w:sdt>
      <w:sdtPr>
        <w:rPr>
          <w:rFonts w:hint="default" w:ascii="Arial" w:hAnsi="Arial" w:eastAsia="宋体" w:cs="Arial"/>
          <w:sz w:val="22"/>
          <w:szCs w:val="22"/>
        </w:rPr>
        <w:id w:val="996720032"/>
        <w15:color w:val="DBDBDB"/>
        <w:docPartObj>
          <w:docPartGallery w:val="Table of Contents"/>
          <w:docPartUnique/>
        </w:docPartObj>
      </w:sdtPr>
      <w:sdtEndPr>
        <w:rPr>
          <w:rFonts w:hint="default" w:ascii="Arial" w:hAnsi="Arial" w:cs="Arial" w:eastAsiaTheme="minorEastAsia"/>
          <w:bCs/>
          <w:sz w:val="22"/>
          <w:szCs w:val="22"/>
        </w:rPr>
      </w:sdtEndPr>
      <w:sdtContent>
        <w:p>
          <w:pPr>
            <w:spacing w:line="480" w:lineRule="auto"/>
            <w:rPr>
              <w:rFonts w:hint="default" w:ascii="Arial" w:hAnsi="Arial" w:cs="Arial"/>
              <w:sz w:val="22"/>
              <w:szCs w:val="22"/>
            </w:rPr>
          </w:pPr>
        </w:p>
        <w:p>
          <w:pPr>
            <w:pStyle w:val="10"/>
            <w:tabs>
              <w:tab w:val="right" w:leader="dot" w:pos="8306"/>
            </w:tabs>
            <w:spacing w:line="480" w:lineRule="auto"/>
            <w:jc w:val="both"/>
            <w:rPr>
              <w:rFonts w:hint="default" w:ascii="Arial" w:hAnsi="Arial" w:cs="Arial"/>
              <w:sz w:val="22"/>
              <w:szCs w:val="22"/>
            </w:rPr>
          </w:pPr>
          <w:r>
            <w:rPr>
              <w:rFonts w:hint="default" w:ascii="Arial" w:hAnsi="Arial" w:cs="Arial" w:eastAsiaTheme="minorEastAsia"/>
              <w:b/>
              <w:bCs/>
              <w:sz w:val="22"/>
              <w:szCs w:val="22"/>
              <w:lang w:val="en-US"/>
            </w:rPr>
            <w:fldChar w:fldCharType="begin"/>
          </w:r>
          <w:r>
            <w:rPr>
              <w:rFonts w:hint="default" w:ascii="Arial" w:hAnsi="Arial" w:cs="Arial" w:eastAsiaTheme="minorEastAsia"/>
              <w:b/>
              <w:bCs/>
              <w:sz w:val="22"/>
              <w:szCs w:val="22"/>
              <w:lang w:val="en-US"/>
            </w:rPr>
            <w:instrText xml:space="preserve">TOC \o "1-3" \h \u </w:instrText>
          </w:r>
          <w:r>
            <w:rPr>
              <w:rFonts w:hint="default" w:ascii="Arial" w:hAnsi="Arial" w:cs="Arial" w:eastAsiaTheme="minorEastAsia"/>
              <w:b/>
              <w:bCs/>
              <w:sz w:val="22"/>
              <w:szCs w:val="22"/>
              <w:lang w:val="en-US"/>
            </w:rPr>
            <w:fldChar w:fldCharType="separate"/>
          </w:r>
        </w:p>
        <w:p>
          <w:pPr>
            <w:pStyle w:val="10"/>
            <w:tabs>
              <w:tab w:val="right" w:leader="dot" w:pos="8306"/>
            </w:tabs>
            <w:spacing w:line="480" w:lineRule="auto"/>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"_Toc1205620702" </w:instrText>
          </w:r>
          <w:r>
            <w:rPr>
              <w:rFonts w:hint="default" w:ascii="Arial" w:hAnsi="Arial" w:cs="Arial"/>
              <w:sz w:val="22"/>
              <w:szCs w:val="22"/>
            </w:rPr>
            <w:fldChar w:fldCharType="separate"/>
          </w:r>
          <w:r>
            <w:rPr>
              <w:rFonts w:hint="default" w:ascii="Arial" w:hAnsi="Arial" w:cs="Arial" w:eastAsiaTheme="minorEastAsia"/>
              <w:bCs/>
              <w:sz w:val="22"/>
              <w:szCs w:val="22"/>
              <w:lang w:val="en-US"/>
            </w:rPr>
            <w:t>1</w:t>
          </w:r>
          <w:r>
            <w:rPr>
              <w:rFonts w:hint="default" w:ascii="Arial" w:hAnsi="Arial" w:cs="Arial"/>
              <w:sz w:val="22"/>
              <w:szCs w:val="22"/>
              <w:lang w:val="en-US"/>
            </w:rPr>
            <w:t>. Introduction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_Toc1205620702 \h </w:instrText>
          </w:r>
          <w:r>
            <w:rPr>
              <w:rFonts w:hint="default" w:ascii="Arial" w:hAnsi="Arial" w:cs="Arial"/>
              <w:sz w:val="22"/>
              <w:szCs w:val="22"/>
            </w:rPr>
            <w:fldChar w:fldCharType="separate"/>
          </w:r>
          <w:r>
            <w:rPr>
              <w:rFonts w:hint="default" w:ascii="Arial" w:hAnsi="Arial" w:cs="Arial"/>
              <w:sz w:val="22"/>
              <w:szCs w:val="22"/>
            </w:rPr>
            <w:t>1</w:t>
          </w:r>
          <w:r>
            <w:rPr>
              <w:rFonts w:hint="default" w:ascii="Arial" w:hAnsi="Arial" w:cs="Arial"/>
              <w:sz w:val="22"/>
              <w:szCs w:val="22"/>
            </w:rPr>
            <w:fldChar w:fldCharType="end"/>
          </w:r>
          <w:r>
            <w:rPr>
              <w:rFonts w:hint="default" w:ascii="Arial" w:hAnsi="Arial" w:cs="Arial"/>
              <w:sz w:val="22"/>
              <w:szCs w:val="22"/>
            </w:rPr>
            <w:fldChar w:fldCharType="end"/>
          </w:r>
        </w:p>
        <w:p>
          <w:pPr>
            <w:pStyle w:val="10"/>
            <w:tabs>
              <w:tab w:val="right" w:leader="dot" w:pos="8306"/>
            </w:tabs>
            <w:spacing w:line="480" w:lineRule="auto"/>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"_Toc1358929069" </w:instrText>
          </w:r>
          <w:r>
            <w:rPr>
              <w:rFonts w:hint="default" w:ascii="Arial" w:hAnsi="Arial" w:cs="Arial"/>
              <w:sz w:val="22"/>
              <w:szCs w:val="22"/>
            </w:rPr>
            <w:fldChar w:fldCharType="separate"/>
          </w:r>
          <w:r>
            <w:rPr>
              <w:rFonts w:hint="default" w:ascii="Arial" w:hAnsi="Arial" w:cs="Arial" w:eastAsiaTheme="minorEastAsia"/>
              <w:bCs/>
              <w:sz w:val="22"/>
              <w:szCs w:val="22"/>
              <w:lang w:val="en-US"/>
            </w:rPr>
            <w:t xml:space="preserve">2. </w:t>
          </w:r>
          <w:r>
            <w:rPr>
              <w:rFonts w:hint="default" w:ascii="Arial" w:hAnsi="Arial" w:cs="Arial"/>
              <w:bCs/>
              <w:sz w:val="22"/>
              <w:szCs w:val="22"/>
              <w:lang w:val="en-US"/>
            </w:rPr>
            <w:t>Main Findings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_Toc1358929069 \h </w:instrText>
          </w:r>
          <w:r>
            <w:rPr>
              <w:rFonts w:hint="default" w:ascii="Arial" w:hAnsi="Arial" w:cs="Arial"/>
              <w:sz w:val="22"/>
              <w:szCs w:val="22"/>
            </w:rPr>
            <w:fldChar w:fldCharType="separate"/>
          </w:r>
          <w:r>
            <w:rPr>
              <w:rFonts w:hint="default" w:ascii="Arial" w:hAnsi="Arial" w:cs="Arial"/>
              <w:sz w:val="22"/>
              <w:szCs w:val="22"/>
            </w:rPr>
            <w:t>2</w:t>
          </w:r>
          <w:r>
            <w:rPr>
              <w:rFonts w:hint="default" w:ascii="Arial" w:hAnsi="Arial" w:cs="Arial"/>
              <w:sz w:val="22"/>
              <w:szCs w:val="22"/>
            </w:rPr>
            <w:fldChar w:fldCharType="end"/>
          </w:r>
          <w:r>
            <w:rPr>
              <w:rFonts w:hint="default" w:ascii="Arial" w:hAnsi="Arial" w:cs="Arial"/>
              <w:sz w:val="22"/>
              <w:szCs w:val="22"/>
            </w:rPr>
            <w:fldChar w:fldCharType="end"/>
          </w:r>
        </w:p>
        <w:p>
          <w:pPr>
            <w:pStyle w:val="11"/>
            <w:tabs>
              <w:tab w:val="right" w:leader="dot" w:pos="8306"/>
            </w:tabs>
            <w:spacing w:line="480" w:lineRule="auto"/>
            <w:ind w:left="420"/>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"_Toc1032276838" </w:instrText>
          </w:r>
          <w:r>
            <w:rPr>
              <w:rFonts w:hint="default" w:ascii="Arial" w:hAnsi="Arial" w:cs="Arial"/>
              <w:sz w:val="22"/>
              <w:szCs w:val="22"/>
            </w:rPr>
            <w:fldChar w:fldCharType="separate"/>
          </w:r>
          <w:r>
            <w:rPr>
              <w:rFonts w:hint="default" w:ascii="Arial" w:hAnsi="Arial" w:cs="Arial" w:eastAsiaTheme="minorEastAsia"/>
              <w:bCs/>
              <w:sz w:val="22"/>
              <w:szCs w:val="22"/>
              <w:lang w:val="en-US"/>
            </w:rPr>
            <w:t>2</w:t>
          </w:r>
          <w:r>
            <w:rPr>
              <w:rFonts w:hint="default" w:ascii="Arial" w:hAnsi="Arial" w:cs="Arial"/>
              <w:sz w:val="22"/>
              <w:szCs w:val="22"/>
              <w:lang w:val="en-US"/>
            </w:rPr>
            <w:t>.1 Challenges to Management</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_Toc1032276838 \h </w:instrText>
          </w:r>
          <w:r>
            <w:rPr>
              <w:rFonts w:hint="default" w:ascii="Arial" w:hAnsi="Arial" w:cs="Arial"/>
              <w:sz w:val="22"/>
              <w:szCs w:val="22"/>
            </w:rPr>
            <w:fldChar w:fldCharType="separate"/>
          </w:r>
          <w:r>
            <w:rPr>
              <w:rFonts w:hint="default" w:ascii="Arial" w:hAnsi="Arial" w:cs="Arial"/>
              <w:sz w:val="22"/>
              <w:szCs w:val="22"/>
            </w:rPr>
            <w:t>2</w:t>
          </w:r>
          <w:r>
            <w:rPr>
              <w:rFonts w:hint="default" w:ascii="Arial" w:hAnsi="Arial" w:cs="Arial"/>
              <w:sz w:val="22"/>
              <w:szCs w:val="22"/>
            </w:rPr>
            <w:fldChar w:fldCharType="end"/>
          </w:r>
          <w:r>
            <w:rPr>
              <w:rFonts w:hint="default" w:ascii="Arial" w:hAnsi="Arial" w:cs="Arial"/>
              <w:sz w:val="22"/>
              <w:szCs w:val="22"/>
            </w:rPr>
            <w:fldChar w:fldCharType="end"/>
          </w:r>
        </w:p>
        <w:p>
          <w:pPr>
            <w:pStyle w:val="12"/>
            <w:tabs>
              <w:tab w:val="right" w:leader="dot" w:pos="8306"/>
            </w:tabs>
            <w:spacing w:line="480" w:lineRule="auto"/>
            <w:ind w:left="840"/>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"_Toc2103915800" </w:instrText>
          </w:r>
          <w:r>
            <w:rPr>
              <w:rFonts w:hint="default" w:ascii="Arial" w:hAnsi="Arial" w:cs="Arial"/>
              <w:sz w:val="22"/>
              <w:szCs w:val="22"/>
            </w:rPr>
            <w:fldChar w:fldCharType="separate"/>
          </w:r>
          <w:r>
            <w:rPr>
              <w:rFonts w:hint="default" w:ascii="Arial" w:hAnsi="Arial" w:cs="Arial"/>
              <w:sz w:val="22"/>
              <w:szCs w:val="22"/>
              <w:lang w:val="en-US"/>
            </w:rPr>
            <w:t>2.1.1 Uncertainty About the Future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_Toc2103915800 \h </w:instrText>
          </w:r>
          <w:r>
            <w:rPr>
              <w:rFonts w:hint="default" w:ascii="Arial" w:hAnsi="Arial" w:cs="Arial"/>
              <w:sz w:val="22"/>
              <w:szCs w:val="22"/>
            </w:rPr>
            <w:fldChar w:fldCharType="separate"/>
          </w:r>
          <w:r>
            <w:rPr>
              <w:rFonts w:hint="default" w:ascii="Arial" w:hAnsi="Arial" w:cs="Arial"/>
              <w:sz w:val="22"/>
              <w:szCs w:val="22"/>
            </w:rPr>
            <w:t>2</w:t>
          </w:r>
          <w:r>
            <w:rPr>
              <w:rFonts w:hint="default" w:ascii="Arial" w:hAnsi="Arial" w:cs="Arial"/>
              <w:sz w:val="22"/>
              <w:szCs w:val="22"/>
            </w:rPr>
            <w:fldChar w:fldCharType="end"/>
          </w:r>
          <w:r>
            <w:rPr>
              <w:rFonts w:hint="default" w:ascii="Arial" w:hAnsi="Arial" w:cs="Arial"/>
              <w:sz w:val="22"/>
              <w:szCs w:val="22"/>
            </w:rPr>
            <w:fldChar w:fldCharType="end"/>
          </w:r>
        </w:p>
        <w:p>
          <w:pPr>
            <w:pStyle w:val="12"/>
            <w:tabs>
              <w:tab w:val="right" w:leader="dot" w:pos="8306"/>
            </w:tabs>
            <w:spacing w:line="480" w:lineRule="auto"/>
            <w:ind w:left="840"/>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"_Toc47119098" </w:instrText>
          </w:r>
          <w:r>
            <w:rPr>
              <w:rFonts w:hint="default" w:ascii="Arial" w:hAnsi="Arial" w:cs="Arial"/>
              <w:sz w:val="22"/>
              <w:szCs w:val="22"/>
            </w:rPr>
            <w:fldChar w:fldCharType="separate"/>
          </w:r>
          <w:r>
            <w:rPr>
              <w:rFonts w:hint="default" w:ascii="Arial" w:hAnsi="Arial" w:cs="Arial"/>
              <w:sz w:val="22"/>
              <w:szCs w:val="22"/>
              <w:lang w:val="en-US"/>
            </w:rPr>
            <w:t>2.1.2 Wellbeing of Employees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_Toc47119098 \h </w:instrText>
          </w:r>
          <w:r>
            <w:rPr>
              <w:rFonts w:hint="default" w:ascii="Arial" w:hAnsi="Arial" w:cs="Arial"/>
              <w:sz w:val="22"/>
              <w:szCs w:val="22"/>
            </w:rPr>
            <w:fldChar w:fldCharType="separate"/>
          </w:r>
          <w:r>
            <w:rPr>
              <w:rFonts w:hint="default" w:ascii="Arial" w:hAnsi="Arial" w:cs="Arial"/>
              <w:sz w:val="22"/>
              <w:szCs w:val="22"/>
            </w:rPr>
            <w:t>3</w:t>
          </w:r>
          <w:r>
            <w:rPr>
              <w:rFonts w:hint="default" w:ascii="Arial" w:hAnsi="Arial" w:cs="Arial"/>
              <w:sz w:val="22"/>
              <w:szCs w:val="22"/>
            </w:rPr>
            <w:fldChar w:fldCharType="end"/>
          </w:r>
          <w:r>
            <w:rPr>
              <w:rFonts w:hint="default" w:ascii="Arial" w:hAnsi="Arial" w:cs="Arial"/>
              <w:sz w:val="22"/>
              <w:szCs w:val="22"/>
            </w:rPr>
            <w:fldChar w:fldCharType="end"/>
          </w:r>
        </w:p>
        <w:p>
          <w:pPr>
            <w:pStyle w:val="12"/>
            <w:tabs>
              <w:tab w:val="right" w:leader="dot" w:pos="8306"/>
            </w:tabs>
            <w:spacing w:line="480" w:lineRule="auto"/>
            <w:ind w:left="840"/>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"_Toc1656697990" </w:instrText>
          </w:r>
          <w:r>
            <w:rPr>
              <w:rFonts w:hint="default" w:ascii="Arial" w:hAnsi="Arial" w:cs="Arial"/>
              <w:sz w:val="22"/>
              <w:szCs w:val="22"/>
            </w:rPr>
            <w:fldChar w:fldCharType="separate"/>
          </w:r>
          <w:r>
            <w:rPr>
              <w:rFonts w:hint="default" w:ascii="Arial" w:hAnsi="Arial" w:cs="Arial"/>
              <w:sz w:val="22"/>
              <w:szCs w:val="22"/>
              <w:lang w:val="en-US"/>
            </w:rPr>
            <w:t>2.1.3 Shaping Company Culture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_Toc1656697990 \h </w:instrText>
          </w:r>
          <w:r>
            <w:rPr>
              <w:rFonts w:hint="default" w:ascii="Arial" w:hAnsi="Arial" w:cs="Arial"/>
              <w:sz w:val="22"/>
              <w:szCs w:val="22"/>
            </w:rPr>
            <w:fldChar w:fldCharType="separate"/>
          </w:r>
          <w:r>
            <w:rPr>
              <w:rFonts w:hint="default" w:ascii="Arial" w:hAnsi="Arial" w:cs="Arial"/>
              <w:sz w:val="22"/>
              <w:szCs w:val="22"/>
            </w:rPr>
            <w:t>4</w:t>
          </w:r>
          <w:r>
            <w:rPr>
              <w:rFonts w:hint="default" w:ascii="Arial" w:hAnsi="Arial" w:cs="Arial"/>
              <w:sz w:val="22"/>
              <w:szCs w:val="22"/>
            </w:rPr>
            <w:fldChar w:fldCharType="end"/>
          </w:r>
          <w:r>
            <w:rPr>
              <w:rFonts w:hint="default" w:ascii="Arial" w:hAnsi="Arial" w:cs="Arial"/>
              <w:sz w:val="22"/>
              <w:szCs w:val="22"/>
            </w:rPr>
            <w:fldChar w:fldCharType="end"/>
          </w:r>
        </w:p>
        <w:p>
          <w:pPr>
            <w:pStyle w:val="11"/>
            <w:tabs>
              <w:tab w:val="right" w:leader="dot" w:pos="8306"/>
            </w:tabs>
            <w:spacing w:line="480" w:lineRule="auto"/>
            <w:ind w:left="420"/>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"_Toc1997634575" </w:instrText>
          </w:r>
          <w:r>
            <w:rPr>
              <w:rFonts w:hint="default" w:ascii="Arial" w:hAnsi="Arial" w:cs="Arial"/>
              <w:sz w:val="22"/>
              <w:szCs w:val="22"/>
            </w:rPr>
            <w:fldChar w:fldCharType="separate"/>
          </w:r>
          <w:r>
            <w:rPr>
              <w:rFonts w:hint="default" w:ascii="Arial" w:hAnsi="Arial" w:cs="Arial" w:eastAsiaTheme="minorEastAsia"/>
              <w:bCs/>
              <w:sz w:val="22"/>
              <w:szCs w:val="22"/>
              <w:lang w:val="en-US"/>
            </w:rPr>
            <w:t>2</w:t>
          </w:r>
          <w:r>
            <w:rPr>
              <w:rFonts w:hint="default" w:ascii="Arial" w:hAnsi="Arial" w:cs="Arial"/>
              <w:sz w:val="22"/>
              <w:szCs w:val="22"/>
              <w:lang w:val="en-US"/>
            </w:rPr>
            <w:t>.2 Management Theories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_Toc1997634575 \h </w:instrText>
          </w:r>
          <w:r>
            <w:rPr>
              <w:rFonts w:hint="default" w:ascii="Arial" w:hAnsi="Arial" w:cs="Arial"/>
              <w:sz w:val="22"/>
              <w:szCs w:val="22"/>
            </w:rPr>
            <w:fldChar w:fldCharType="separate"/>
          </w:r>
          <w:r>
            <w:rPr>
              <w:rFonts w:hint="default" w:ascii="Arial" w:hAnsi="Arial" w:cs="Arial"/>
              <w:sz w:val="22"/>
              <w:szCs w:val="22"/>
            </w:rPr>
            <w:t>5</w:t>
          </w:r>
          <w:r>
            <w:rPr>
              <w:rFonts w:hint="default" w:ascii="Arial" w:hAnsi="Arial" w:cs="Arial"/>
              <w:sz w:val="22"/>
              <w:szCs w:val="22"/>
            </w:rPr>
            <w:fldChar w:fldCharType="end"/>
          </w:r>
          <w:r>
            <w:rPr>
              <w:rFonts w:hint="default" w:ascii="Arial" w:hAnsi="Arial" w:cs="Arial"/>
              <w:sz w:val="22"/>
              <w:szCs w:val="22"/>
            </w:rPr>
            <w:fldChar w:fldCharType="end"/>
          </w:r>
        </w:p>
        <w:p>
          <w:pPr>
            <w:pStyle w:val="12"/>
            <w:tabs>
              <w:tab w:val="right" w:leader="dot" w:pos="8306"/>
            </w:tabs>
            <w:spacing w:line="480" w:lineRule="auto"/>
            <w:ind w:left="840"/>
            <w:jc w:val="both"/>
            <w:rPr>
              <w:rFonts w:hint="default" w:ascii="Arial" w:hAnsi="Arial" w:cs="Arial" w:eastAsiaTheme="minorEastAsia"/>
              <w:bCs/>
              <w:sz w:val="22"/>
              <w:szCs w:val="22"/>
              <w:lang w:val="en-US"/>
            </w:rPr>
          </w:pPr>
          <w:r>
            <w:rPr>
              <w:rFonts w:hint="default" w:ascii="Arial" w:hAnsi="Arial" w:cs="Arial"/>
              <w:sz w:val="22"/>
              <w:szCs w:val="22"/>
            </w:rPr>
            <w:fldChar w:fldCharType="begin"/>
          </w:r>
          <w:r>
            <w:rPr>
              <w:rFonts w:hint="default" w:ascii="Arial" w:hAnsi="Arial" w:cs="Arial"/>
              <w:sz w:val="22"/>
              <w:szCs w:val="22"/>
            </w:rPr>
            <w:instrText xml:space="preserve"> HYPERLINK \l "_Toc484964827" </w:instrText>
          </w:r>
          <w:r>
            <w:rPr>
              <w:rFonts w:hint="default" w:ascii="Arial" w:hAnsi="Arial" w:cs="Arial"/>
              <w:sz w:val="22"/>
              <w:szCs w:val="22"/>
            </w:rPr>
            <w:fldChar w:fldCharType="separate"/>
          </w:r>
          <w:r>
            <w:rPr>
              <w:rFonts w:hint="default" w:ascii="Arial" w:hAnsi="Arial" w:cs="Arial"/>
              <w:sz w:val="22"/>
              <w:szCs w:val="22"/>
              <w:lang w:val="en-US"/>
            </w:rPr>
            <w:t>2.2.1 The Classical Approach</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_Toc484964827 \h </w:instrText>
          </w:r>
          <w:r>
            <w:rPr>
              <w:rFonts w:hint="default" w:ascii="Arial" w:hAnsi="Arial" w:cs="Arial"/>
              <w:sz w:val="22"/>
              <w:szCs w:val="22"/>
            </w:rPr>
            <w:fldChar w:fldCharType="separate"/>
          </w:r>
          <w:r>
            <w:rPr>
              <w:rFonts w:hint="default" w:ascii="Arial" w:hAnsi="Arial" w:cs="Arial"/>
              <w:sz w:val="22"/>
              <w:szCs w:val="22"/>
            </w:rPr>
            <w:t>5</w:t>
          </w:r>
          <w:r>
            <w:rPr>
              <w:rFonts w:hint="default" w:ascii="Arial" w:hAnsi="Arial" w:cs="Arial"/>
              <w:sz w:val="22"/>
              <w:szCs w:val="22"/>
            </w:rPr>
            <w:fldChar w:fldCharType="end"/>
          </w:r>
          <w:r>
            <w:rPr>
              <w:rFonts w:hint="default" w:ascii="Arial" w:hAnsi="Arial" w:cs="Arial"/>
              <w:sz w:val="22"/>
              <w:szCs w:val="22"/>
            </w:rPr>
            <w:fldChar w:fldCharType="end"/>
          </w:r>
        </w:p>
        <w:p>
          <w:pPr>
            <w:pStyle w:val="12"/>
            <w:tabs>
              <w:tab w:val="right" w:leader="dot" w:pos="8306"/>
            </w:tabs>
            <w:spacing w:line="480" w:lineRule="auto"/>
            <w:ind w:left="840"/>
            <w:jc w:val="both"/>
            <w:rPr>
              <w:rFonts w:hint="default" w:ascii="Arial" w:hAnsi="Arial" w:cs="Arial" w:eastAsiaTheme="minorEastAsia"/>
              <w:bCs/>
              <w:sz w:val="22"/>
              <w:szCs w:val="22"/>
              <w:lang w:val="en-US"/>
            </w:rPr>
          </w:pPr>
          <w:r>
            <w:rPr>
              <w:rFonts w:hint="default" w:ascii="Arial" w:hAnsi="Arial" w:cs="Arial" w:eastAsiaTheme="minorEastAsia"/>
              <w:bCs/>
              <w:sz w:val="22"/>
              <w:szCs w:val="22"/>
              <w:lang w:val="en-US"/>
            </w:rPr>
            <w:t>2.2.2 Bureaucracy Under the Classical Approach................................5</w:t>
          </w:r>
        </w:p>
        <w:p>
          <w:pPr>
            <w:pStyle w:val="11"/>
            <w:tabs>
              <w:tab w:val="right" w:leader="dot" w:pos="8306"/>
            </w:tabs>
            <w:spacing w:line="480" w:lineRule="auto"/>
            <w:ind w:left="420"/>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"_Toc1103407024" </w:instrText>
          </w:r>
          <w:r>
            <w:rPr>
              <w:rFonts w:hint="default" w:ascii="Arial" w:hAnsi="Arial" w:cs="Arial"/>
              <w:sz w:val="22"/>
              <w:szCs w:val="22"/>
            </w:rPr>
            <w:fldChar w:fldCharType="separate"/>
          </w:r>
          <w:r>
            <w:rPr>
              <w:rFonts w:hint="default" w:ascii="Arial" w:hAnsi="Arial" w:cs="Arial" w:eastAsiaTheme="minorEastAsia"/>
              <w:bCs/>
              <w:sz w:val="22"/>
              <w:szCs w:val="22"/>
              <w:lang w:val="en-US"/>
            </w:rPr>
            <w:t>2</w:t>
          </w:r>
          <w:r>
            <w:rPr>
              <w:rFonts w:hint="default" w:ascii="Arial" w:hAnsi="Arial" w:cs="Arial"/>
              <w:sz w:val="22"/>
              <w:szCs w:val="22"/>
              <w:lang w:val="en-US"/>
            </w:rPr>
            <w:t>.3 Mainstream vs Critical Theories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_Toc1103407024 \h </w:instrText>
          </w:r>
          <w:r>
            <w:rPr>
              <w:rFonts w:hint="default" w:ascii="Arial" w:hAnsi="Arial" w:cs="Arial"/>
              <w:sz w:val="22"/>
              <w:szCs w:val="22"/>
            </w:rPr>
            <w:fldChar w:fldCharType="separate"/>
          </w:r>
          <w:r>
            <w:rPr>
              <w:rFonts w:hint="default" w:ascii="Arial" w:hAnsi="Arial" w:cs="Arial"/>
              <w:sz w:val="22"/>
              <w:szCs w:val="22"/>
            </w:rPr>
            <w:t>8</w:t>
          </w:r>
          <w:r>
            <w:rPr>
              <w:rFonts w:hint="default" w:ascii="Arial" w:hAnsi="Arial" w:cs="Arial"/>
              <w:sz w:val="22"/>
              <w:szCs w:val="22"/>
            </w:rPr>
            <w:fldChar w:fldCharType="end"/>
          </w:r>
          <w:r>
            <w:rPr>
              <w:rFonts w:hint="default" w:ascii="Arial" w:hAnsi="Arial" w:cs="Arial"/>
              <w:sz w:val="22"/>
              <w:szCs w:val="22"/>
            </w:rPr>
            <w:fldChar w:fldCharType="end"/>
          </w:r>
        </w:p>
        <w:p>
          <w:pPr>
            <w:pStyle w:val="10"/>
            <w:tabs>
              <w:tab w:val="right" w:leader="dot" w:pos="8306"/>
            </w:tabs>
            <w:spacing w:line="480" w:lineRule="auto"/>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"_Toc1440560523" </w:instrText>
          </w:r>
          <w:r>
            <w:rPr>
              <w:rFonts w:hint="default" w:ascii="Arial" w:hAnsi="Arial" w:cs="Arial"/>
              <w:sz w:val="22"/>
              <w:szCs w:val="22"/>
            </w:rPr>
            <w:fldChar w:fldCharType="separate"/>
          </w:r>
          <w:r>
            <w:rPr>
              <w:rFonts w:hint="default" w:ascii="Arial" w:hAnsi="Arial" w:cs="Arial" w:eastAsiaTheme="minorEastAsia"/>
              <w:bCs/>
              <w:sz w:val="22"/>
              <w:szCs w:val="22"/>
              <w:lang w:val="en-US"/>
            </w:rPr>
            <w:t>3</w:t>
          </w:r>
          <w:r>
            <w:rPr>
              <w:rFonts w:hint="default" w:ascii="Arial" w:hAnsi="Arial" w:cs="Arial"/>
              <w:sz w:val="22"/>
              <w:szCs w:val="22"/>
              <w:lang w:val="en-US"/>
            </w:rPr>
            <w:t>. Conclusion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_Toc1440560523 \h </w:instrText>
          </w:r>
          <w:r>
            <w:rPr>
              <w:rFonts w:hint="default" w:ascii="Arial" w:hAnsi="Arial" w:cs="Arial"/>
              <w:sz w:val="22"/>
              <w:szCs w:val="22"/>
            </w:rPr>
            <w:fldChar w:fldCharType="separate"/>
          </w:r>
          <w:r>
            <w:rPr>
              <w:rFonts w:hint="default" w:ascii="Arial" w:hAnsi="Arial" w:cs="Arial"/>
              <w:sz w:val="22"/>
              <w:szCs w:val="22"/>
            </w:rPr>
            <w:t>10</w:t>
          </w:r>
          <w:r>
            <w:rPr>
              <w:rFonts w:hint="default" w:ascii="Arial" w:hAnsi="Arial" w:cs="Arial"/>
              <w:sz w:val="22"/>
              <w:szCs w:val="22"/>
            </w:rPr>
            <w:fldChar w:fldCharType="end"/>
          </w:r>
          <w:r>
            <w:rPr>
              <w:rFonts w:hint="default" w:ascii="Arial" w:hAnsi="Arial" w:cs="Arial"/>
              <w:sz w:val="22"/>
              <w:szCs w:val="22"/>
            </w:rPr>
            <w:fldChar w:fldCharType="end"/>
          </w:r>
        </w:p>
        <w:p>
          <w:pPr>
            <w:pStyle w:val="10"/>
            <w:tabs>
              <w:tab w:val="right" w:leader="dot" w:pos="8306"/>
            </w:tabs>
            <w:spacing w:line="480" w:lineRule="auto"/>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"_Toc770073783" </w:instrText>
          </w:r>
          <w:r>
            <w:rPr>
              <w:rFonts w:hint="default" w:ascii="Arial" w:hAnsi="Arial" w:cs="Arial"/>
              <w:sz w:val="22"/>
              <w:szCs w:val="22"/>
            </w:rPr>
            <w:fldChar w:fldCharType="separate"/>
          </w:r>
          <w:r>
            <w:rPr>
              <w:rFonts w:hint="default" w:ascii="Arial" w:hAnsi="Arial" w:cs="Arial" w:eastAsiaTheme="minorEastAsia"/>
              <w:bCs/>
              <w:sz w:val="22"/>
              <w:szCs w:val="22"/>
              <w:lang w:val="en-US"/>
            </w:rPr>
            <w:t>4</w:t>
          </w:r>
          <w:r>
            <w:rPr>
              <w:rFonts w:hint="default" w:ascii="Arial" w:hAnsi="Arial" w:cs="Arial"/>
              <w:sz w:val="22"/>
              <w:szCs w:val="22"/>
              <w:lang w:val="en-US"/>
            </w:rPr>
            <w:t>. Recommendations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_Toc770073783 \h </w:instrText>
          </w:r>
          <w:r>
            <w:rPr>
              <w:rFonts w:hint="default" w:ascii="Arial" w:hAnsi="Arial" w:cs="Arial"/>
              <w:sz w:val="22"/>
              <w:szCs w:val="22"/>
            </w:rPr>
            <w:fldChar w:fldCharType="separate"/>
          </w:r>
          <w:r>
            <w:rPr>
              <w:rFonts w:hint="default" w:ascii="Arial" w:hAnsi="Arial" w:cs="Arial"/>
              <w:sz w:val="22"/>
              <w:szCs w:val="22"/>
            </w:rPr>
            <w:t>11</w:t>
          </w:r>
          <w:r>
            <w:rPr>
              <w:rFonts w:hint="default" w:ascii="Arial" w:hAnsi="Arial" w:cs="Arial"/>
              <w:sz w:val="22"/>
              <w:szCs w:val="22"/>
            </w:rPr>
            <w:fldChar w:fldCharType="end"/>
          </w:r>
          <w:r>
            <w:rPr>
              <w:rFonts w:hint="default" w:ascii="Arial" w:hAnsi="Arial" w:cs="Arial"/>
              <w:sz w:val="22"/>
              <w:szCs w:val="22"/>
            </w:rPr>
            <w:fldChar w:fldCharType="end"/>
          </w:r>
        </w:p>
        <w:p>
          <w:pPr>
            <w:pStyle w:val="10"/>
            <w:tabs>
              <w:tab w:val="right" w:leader="dot" w:pos="8306"/>
            </w:tabs>
            <w:spacing w:line="480" w:lineRule="auto"/>
            <w:jc w:val="both"/>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"_Toc1893614059" </w:instrText>
          </w:r>
          <w:r>
            <w:rPr>
              <w:rFonts w:hint="default" w:ascii="Arial" w:hAnsi="Arial" w:cs="Arial"/>
              <w:sz w:val="22"/>
              <w:szCs w:val="22"/>
            </w:rPr>
            <w:fldChar w:fldCharType="separate"/>
          </w:r>
          <w:r>
            <w:rPr>
              <w:rFonts w:hint="default" w:ascii="Arial" w:hAnsi="Arial" w:cs="Arial"/>
              <w:sz w:val="22"/>
              <w:szCs w:val="22"/>
              <w:lang w:val="en-US"/>
            </w:rPr>
            <w:t>References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_Toc1893614059 \h </w:instrText>
          </w:r>
          <w:r>
            <w:rPr>
              <w:rFonts w:hint="default" w:ascii="Arial" w:hAnsi="Arial" w:cs="Arial"/>
              <w:sz w:val="22"/>
              <w:szCs w:val="22"/>
            </w:rPr>
            <w:fldChar w:fldCharType="separate"/>
          </w:r>
          <w:r>
            <w:rPr>
              <w:rFonts w:hint="default" w:ascii="Arial" w:hAnsi="Arial" w:cs="Arial"/>
              <w:sz w:val="22"/>
              <w:szCs w:val="22"/>
            </w:rPr>
            <w:t>15</w:t>
          </w:r>
          <w:r>
            <w:rPr>
              <w:rFonts w:hint="default" w:ascii="Arial" w:hAnsi="Arial" w:cs="Arial"/>
              <w:sz w:val="22"/>
              <w:szCs w:val="22"/>
            </w:rPr>
            <w:fldChar w:fldCharType="end"/>
          </w:r>
          <w:r>
            <w:rPr>
              <w:rFonts w:hint="default" w:ascii="Arial" w:hAnsi="Arial" w:cs="Arial"/>
              <w:sz w:val="22"/>
              <w:szCs w:val="22"/>
            </w:rPr>
            <w:fldChar w:fldCharType="end"/>
          </w:r>
        </w:p>
        <w:p>
          <w:pPr>
            <w:spacing w:line="480" w:lineRule="auto"/>
            <w:rPr>
              <w:rFonts w:hint="default" w:ascii="Arial" w:hAnsi="Arial" w:cs="Arial"/>
              <w:b/>
              <w:bCs/>
              <w:sz w:val="22"/>
              <w:szCs w:val="22"/>
            </w:rPr>
            <w:sectPr>
              <w:pgSz w:w="11906" w:h="16838"/>
              <w:pgMar w:top="1440" w:right="1800" w:bottom="1440" w:left="1800" w:header="851" w:footer="992" w:gutter="0"/>
              <w:cols w:space="425" w:num="1"/>
              <w:docGrid w:type="lines" w:linePitch="312" w:charSpace="0"/>
            </w:sectPr>
          </w:pPr>
          <w:r>
            <w:rPr>
              <w:rFonts w:hint="default" w:ascii="Arial" w:hAnsi="Arial" w:cs="Arial"/>
              <w:bCs/>
              <w:sz w:val="22"/>
              <w:szCs w:val="22"/>
            </w:rPr>
            <w:fldChar w:fldCharType="end"/>
          </w:r>
        </w:p>
      </w:sdtContent>
    </w:sdt>
    <w:p>
      <w:pPr>
        <w:pStyle w:val="13"/>
        <w:spacing w:line="480" w:lineRule="auto"/>
        <w:outlineLvl w:val="0"/>
        <w:rPr>
          <w:rFonts w:hint="default" w:ascii="Arial" w:hAnsi="Arial" w:cs="Arial"/>
          <w:sz w:val="22"/>
          <w:szCs w:val="22"/>
        </w:rPr>
      </w:pPr>
      <w:bookmarkStart w:id="2" w:name="_Toc1205620702"/>
      <w:r>
        <w:rPr>
          <w:rFonts w:hint="default" w:ascii="Arial" w:hAnsi="Arial" w:cs="Arial"/>
          <w:sz w:val="22"/>
          <w:szCs w:val="22"/>
        </w:rPr>
        <w:t>Introduction</w:t>
      </w:r>
      <w:bookmarkEnd w:id="2"/>
    </w:p>
    <w:p>
      <w:pPr>
        <w:spacing w:line="480" w:lineRule="auto"/>
        <w:rPr>
          <w:rFonts w:hint="default" w:ascii="Arial" w:hAnsi="Arial" w:cs="Arial"/>
          <w:b/>
          <w:bCs/>
          <w:sz w:val="22"/>
          <w:szCs w:val="22"/>
        </w:rPr>
      </w:pPr>
      <w:r>
        <w:rPr>
          <w:rFonts w:hint="default" w:ascii="Arial" w:hAnsi="Arial" w:cs="Arial"/>
          <w:sz w:val="22"/>
          <w:szCs w:val="22"/>
        </w:rPr>
        <w:t>On October 28, 2023, after multiple twists and turns, the world’s richest man, Elon Musk, finally completed his acquisition of the social media giant Twitter for $44 billion (Clayton and Hoskins, 2022). After the acquisition, Musk fired the former CEO of Twitter  and CFO Ned Segal. Since then, this social media platform seems to be experiencing an unprecedented challenge. Not only has its advertising revenue significantly declined, but the number of employees has also been significantly decreased. Twitter, later renamed X, one of the most influential social media platforms, is experiencing drastic changes.</w:t>
      </w:r>
    </w:p>
    <w:p>
      <w:pPr>
        <w:spacing w:line="480" w:lineRule="auto"/>
        <w:rPr>
          <w:rFonts w:hint="default" w:ascii="Arial" w:hAnsi="Arial" w:cs="Arial"/>
          <w:b/>
          <w:bCs/>
          <w:sz w:val="22"/>
          <w:szCs w:val="22"/>
        </w:rPr>
      </w:pPr>
    </w:p>
    <w:p>
      <w:pPr>
        <w:spacing w:line="480" w:lineRule="auto"/>
        <w:rPr>
          <w:rFonts w:hint="default" w:ascii="Arial" w:hAnsi="Arial" w:cs="Arial"/>
          <w:b/>
          <w:bCs/>
          <w:sz w:val="22"/>
          <w:szCs w:val="22"/>
        </w:rPr>
      </w:pPr>
      <w:r>
        <w:rPr>
          <w:rFonts w:hint="default" w:ascii="Arial" w:hAnsi="Arial" w:cs="Arial"/>
          <w:sz w:val="22"/>
          <w:szCs w:val="22"/>
        </w:rPr>
        <w:t>Although Musk repeatedly boasted about the views and interactions on the X platform after acquiring Twitter in an attempt to prove that everything was normal, in reality this was not the case. The latest survey results from Pew Research Center show that since Tesla CEO Elon Musk acquired Twitter, the user activity of the platform has gradually decreased. The survey shows that the most active users have significantly reduced their post volume in the months following the acquisition, and a considerable proportion of American adults who have used Twitter have stopped using the service (Vanian, 2023). Musk’s decision has sparked attention from the social media industry and users regarding X’s future.</w:t>
      </w:r>
    </w:p>
    <w:p>
      <w:pPr>
        <w:spacing w:line="480" w:lineRule="auto"/>
        <w:rPr>
          <w:rFonts w:hint="default" w:ascii="Arial" w:hAnsi="Arial" w:cs="Arial"/>
          <w:b/>
          <w:bCs/>
          <w:sz w:val="22"/>
          <w:szCs w:val="22"/>
        </w:rPr>
      </w:pPr>
    </w:p>
    <w:p>
      <w:pPr>
        <w:spacing w:line="480" w:lineRule="auto"/>
        <w:rPr>
          <w:rFonts w:hint="default" w:ascii="Arial" w:hAnsi="Arial" w:cs="Arial"/>
          <w:b/>
          <w:bCs/>
          <w:sz w:val="22"/>
          <w:szCs w:val="22"/>
        </w:rPr>
      </w:pPr>
      <w:r>
        <w:rPr>
          <w:rFonts w:hint="default" w:ascii="Arial" w:hAnsi="Arial" w:cs="Arial"/>
          <w:sz w:val="22"/>
          <w:szCs w:val="22"/>
        </w:rPr>
        <w:t>Furthermore, Musk admitted that he fired some employees who should have been retained for Twitter’s reform, reducing the number of employees in the company by about 80% to about 1500 (</w:t>
      </w:r>
      <w:r>
        <w:rPr>
          <w:rFonts w:hint="default" w:ascii="Arial" w:hAnsi="Arial" w:cs="Arial"/>
          <w:color w:val="000000" w:themeColor="text1"/>
          <w:sz w:val="22"/>
          <w:szCs w:val="22"/>
          <w14:textFill>
            <w14:solidFill>
              <w14:schemeClr w14:val="tx1"/>
            </w14:solidFill>
          </w14:textFill>
        </w:rPr>
        <w:t>Toh and Liu, 2023</w:t>
      </w:r>
      <w:r>
        <w:rPr>
          <w:rFonts w:hint="default" w:ascii="Arial" w:hAnsi="Arial" w:cs="Arial"/>
          <w:sz w:val="22"/>
          <w:szCs w:val="22"/>
        </w:rPr>
        <w:t>). He believes that in times of despair, desperate measures need to be taken. For Linda Yaccarino, the new Twitter CEO, there are important tasks facing her. Yaccarino will take over a Twitter which has been in trouble since Musk acquired it. Currently, Twitter has lost the trust of some advertisers due to racism and inappropriate content, and Yaccarino needs to repair their relationships with advertisers while managing current employees.</w:t>
      </w:r>
    </w:p>
    <w:p>
      <w:pPr>
        <w:spacing w:line="480" w:lineRule="auto"/>
        <w:rPr>
          <w:rFonts w:hint="default" w:ascii="Arial" w:hAnsi="Arial" w:cs="Arial"/>
          <w:b/>
          <w:bCs/>
          <w:sz w:val="22"/>
          <w:szCs w:val="22"/>
        </w:rPr>
      </w:pPr>
    </w:p>
    <w:p>
      <w:pPr>
        <w:numPr>
          <w:ilvl w:val="0"/>
          <w:numId w:val="1"/>
        </w:numPr>
        <w:spacing w:line="480" w:lineRule="auto"/>
        <w:outlineLvl w:val="0"/>
        <w:rPr>
          <w:rFonts w:hint="default" w:ascii="Arial" w:hAnsi="Arial" w:cs="Arial"/>
          <w:b/>
          <w:bCs/>
          <w:sz w:val="22"/>
          <w:szCs w:val="22"/>
        </w:rPr>
      </w:pPr>
      <w:bookmarkStart w:id="3" w:name="_Toc1358929069"/>
      <w:r>
        <w:rPr>
          <w:rFonts w:hint="default" w:ascii="Arial" w:hAnsi="Arial" w:cs="Arial"/>
          <w:b/>
          <w:bCs/>
          <w:sz w:val="22"/>
          <w:szCs w:val="22"/>
        </w:rPr>
        <w:t>Main Findings</w:t>
      </w:r>
      <w:bookmarkEnd w:id="3"/>
    </w:p>
    <w:p>
      <w:pPr>
        <w:pStyle w:val="14"/>
        <w:spacing w:line="480" w:lineRule="auto"/>
        <w:outlineLvl w:val="1"/>
        <w:rPr>
          <w:rFonts w:hint="default" w:ascii="Arial" w:hAnsi="Arial" w:cs="Arial"/>
          <w:sz w:val="22"/>
          <w:szCs w:val="22"/>
        </w:rPr>
      </w:pPr>
      <w:bookmarkStart w:id="4" w:name="_Toc1032276838"/>
      <w:r>
        <w:rPr>
          <w:rFonts w:hint="default" w:ascii="Arial" w:hAnsi="Arial" w:cs="Arial"/>
          <w:sz w:val="22"/>
          <w:szCs w:val="22"/>
          <w:lang w:val="en-US"/>
        </w:rPr>
        <w:t xml:space="preserve">2.1 </w:t>
      </w:r>
      <w:r>
        <w:rPr>
          <w:rFonts w:hint="default" w:ascii="Arial" w:hAnsi="Arial" w:cs="Arial"/>
          <w:sz w:val="22"/>
          <w:szCs w:val="22"/>
        </w:rPr>
        <w:t>Challenges to Management</w:t>
      </w:r>
      <w:bookmarkEnd w:id="4"/>
    </w:p>
    <w:p>
      <w:pPr>
        <w:pStyle w:val="15"/>
        <w:numPr>
          <w:ilvl w:val="1"/>
          <w:numId w:val="0"/>
        </w:numPr>
        <w:spacing w:line="480" w:lineRule="auto"/>
        <w:outlineLvl w:val="2"/>
        <w:rPr>
          <w:rFonts w:hint="default" w:ascii="Arial" w:hAnsi="Arial" w:cs="Arial"/>
          <w:sz w:val="22"/>
          <w:szCs w:val="22"/>
        </w:rPr>
      </w:pPr>
      <w:bookmarkStart w:id="5" w:name="_Toc2103915800"/>
      <w:r>
        <w:rPr>
          <w:rFonts w:hint="default" w:ascii="Arial" w:hAnsi="Arial" w:cs="Arial"/>
          <w:sz w:val="22"/>
          <w:szCs w:val="22"/>
        </w:rPr>
        <w:t>2.1.1 Uncertainty About the Future</w:t>
      </w:r>
      <w:bookmarkEnd w:id="5"/>
    </w:p>
    <w:p>
      <w:pPr>
        <w:spacing w:line="480" w:lineRule="auto"/>
        <w:rPr>
          <w:rFonts w:hint="default" w:ascii="Arial" w:hAnsi="Arial" w:cs="Arial"/>
          <w:b/>
          <w:bCs/>
          <w:sz w:val="22"/>
          <w:szCs w:val="22"/>
        </w:rPr>
      </w:pPr>
      <w:r>
        <w:rPr>
          <w:rFonts w:hint="default" w:ascii="Arial" w:hAnsi="Arial" w:cs="Arial"/>
          <w:sz w:val="22"/>
          <w:szCs w:val="22"/>
        </w:rPr>
        <w:t>First, it is worth looking into the significant decline in advertising revenue. As a social media platform with hundreds of millions of active users worldwide, Twitter’s advertising revenue has always been a very important source of revenue. However, since Elon Musk took over and renamed it, many companies have suspended advertising on the platform, which undoubtedly put great pressure on the platform’s overall profits and stakeholders (Bradley, 2022). Some of Musk’s reform measures, including the lifting of former President Trump, are seen as potentially having a negative impact on the long-term development of the Twitter platform. This has caused advertisers to have doubts about the future of the company, further exacerbating the decline in advertising revenue. Although the number of views and interactions on the Twitter platform may still be high, whether this can be converted into commercial value remains a question.</w:t>
      </w:r>
    </w:p>
    <w:p>
      <w:pPr>
        <w:spacing w:line="480" w:lineRule="auto"/>
        <w:rPr>
          <w:rFonts w:hint="default" w:ascii="Arial" w:hAnsi="Arial" w:cs="Arial"/>
          <w:b/>
          <w:bCs/>
          <w:sz w:val="22"/>
          <w:szCs w:val="22"/>
        </w:rPr>
      </w:pPr>
    </w:p>
    <w:p>
      <w:pPr>
        <w:spacing w:line="480" w:lineRule="auto"/>
        <w:rPr>
          <w:rFonts w:hint="default" w:ascii="Arial" w:hAnsi="Arial" w:cs="Arial"/>
          <w:sz w:val="22"/>
          <w:szCs w:val="22"/>
        </w:rPr>
      </w:pPr>
      <w:r>
        <w:rPr>
          <w:rFonts w:hint="default" w:ascii="Arial" w:hAnsi="Arial" w:cs="Arial"/>
          <w:sz w:val="22"/>
          <w:szCs w:val="22"/>
        </w:rPr>
        <w:t>Advertisers usually focus more on actual conversion rates and return on investment (ROI), rather than just browsing and interaction (Loveday and Niehaus, 2007). If the Twitter platform cannot provide enough valuable advertising space and forms, advertisers may choose to leave the platform, which will have a significant impact on the company's revenue and future development. On this issue, in-depth research is required on the actual impact of advertising revenue on the Twitter. This is not only related to the company’s financial situation, but also closely related to its strategic planning and future development.</w:t>
      </w:r>
    </w:p>
    <w:p>
      <w:pPr>
        <w:spacing w:line="480" w:lineRule="auto"/>
        <w:rPr>
          <w:rFonts w:hint="default" w:ascii="Arial" w:hAnsi="Arial" w:cs="Arial"/>
          <w:b/>
          <w:bCs/>
          <w:sz w:val="22"/>
          <w:szCs w:val="22"/>
          <w:highlight w:val="none"/>
        </w:rPr>
      </w:pPr>
    </w:p>
    <w:p>
      <w:pPr>
        <w:pStyle w:val="15"/>
        <w:numPr>
          <w:ilvl w:val="1"/>
          <w:numId w:val="0"/>
        </w:numPr>
        <w:spacing w:line="480" w:lineRule="auto"/>
        <w:outlineLvl w:val="2"/>
        <w:rPr>
          <w:rFonts w:hint="default" w:ascii="Arial" w:hAnsi="Arial" w:cs="Arial"/>
          <w:sz w:val="22"/>
          <w:szCs w:val="22"/>
          <w:highlight w:val="none"/>
        </w:rPr>
      </w:pPr>
      <w:bookmarkStart w:id="6" w:name="_Toc47119098"/>
      <w:r>
        <w:rPr>
          <w:rFonts w:hint="default" w:ascii="Arial" w:hAnsi="Arial" w:cs="Arial"/>
          <w:sz w:val="22"/>
          <w:szCs w:val="22"/>
          <w:highlight w:val="none"/>
        </w:rPr>
        <w:t>2.1.2 Wellbeing of Employees</w:t>
      </w:r>
      <w:bookmarkEnd w:id="6"/>
    </w:p>
    <w:p>
      <w:pPr>
        <w:spacing w:line="480" w:lineRule="auto"/>
        <w:rPr>
          <w:rFonts w:hint="default" w:ascii="Arial" w:hAnsi="Arial" w:cs="Arial" w:eastAsiaTheme="minorEastAsia"/>
          <w:b/>
          <w:bCs/>
          <w:sz w:val="22"/>
          <w:szCs w:val="22"/>
          <w:lang w:val="en-US" w:eastAsia="zh-CN"/>
        </w:rPr>
      </w:pPr>
      <w:r>
        <w:rPr>
          <w:rFonts w:hint="default" w:ascii="Arial" w:hAnsi="Arial" w:cs="Arial"/>
          <w:sz w:val="22"/>
          <w:szCs w:val="22"/>
          <w:highlight w:val="none"/>
        </w:rPr>
        <w:t>Since Elon Musk successfully acquired Twitter, this social media giant has gone through waves of layoffs</w:t>
      </w:r>
      <w:r>
        <w:rPr>
          <w:rFonts w:hint="default" w:ascii="Arial" w:hAnsi="Arial" w:cs="Arial"/>
          <w:sz w:val="22"/>
          <w:szCs w:val="22"/>
          <w:highlight w:val="none"/>
          <w:lang w:val="en-US"/>
        </w:rPr>
        <w:t>, an</w:t>
      </w:r>
      <w:r>
        <w:rPr>
          <w:rFonts w:hint="default" w:ascii="Arial" w:hAnsi="Arial" w:cs="Arial"/>
          <w:sz w:val="22"/>
          <w:szCs w:val="22"/>
          <w:lang w:val="en-US"/>
        </w:rPr>
        <w:t xml:space="preserve">d </w:t>
      </w:r>
      <w:r>
        <w:rPr>
          <w:rFonts w:hint="default" w:ascii="Arial" w:hAnsi="Arial" w:cs="Arial"/>
          <w:sz w:val="22"/>
          <w:szCs w:val="22"/>
        </w:rPr>
        <w:t>series of changes affected multiple important functional departments, including key positions such as product managers and data analysts</w:t>
      </w:r>
      <w:r>
        <w:rPr>
          <w:rFonts w:hint="default" w:ascii="Arial" w:hAnsi="Arial" w:cs="Arial"/>
          <w:sz w:val="22"/>
          <w:szCs w:val="22"/>
          <w:lang w:val="en-US"/>
        </w:rPr>
        <w:t xml:space="preserve"> (</w:t>
      </w:r>
      <w:r>
        <w:rPr>
          <w:rFonts w:hint="default" w:ascii="Arial" w:hAnsi="Arial" w:cs="Arial"/>
          <w:color w:val="000000" w:themeColor="text1"/>
          <w:sz w:val="22"/>
          <w:szCs w:val="22"/>
          <w14:textFill>
            <w14:solidFill>
              <w14:schemeClr w14:val="tx1"/>
            </w14:solidFill>
          </w14:textFill>
        </w:rPr>
        <w:t>O</w:t>
      </w:r>
      <w:r>
        <w:rPr>
          <w:rFonts w:hint="default" w:ascii="Arial" w:hAnsi="Arial" w:cs="Arial"/>
          <w:color w:val="000000" w:themeColor="text1"/>
          <w:sz w:val="22"/>
          <w:szCs w:val="22"/>
          <w:lang w:val="en-US"/>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Sullivan</w:t>
      </w:r>
      <w:r>
        <w:rPr>
          <w:rFonts w:hint="default" w:ascii="Arial" w:hAnsi="Arial" w:cs="Arial"/>
          <w:color w:val="000000" w:themeColor="text1"/>
          <w:sz w:val="22"/>
          <w:szCs w:val="22"/>
          <w:lang w:val="en-US"/>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and</w:t>
      </w:r>
      <w:r>
        <w:rPr>
          <w:rFonts w:hint="default" w:ascii="Arial" w:hAnsi="Arial" w:cs="Arial"/>
          <w:color w:val="000000" w:themeColor="text1"/>
          <w:sz w:val="22"/>
          <w:szCs w:val="22"/>
          <w:lang w:val="en-US"/>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Duffy</w:t>
      </w:r>
      <w:r>
        <w:rPr>
          <w:rFonts w:hint="default" w:ascii="Arial" w:hAnsi="Arial" w:cs="Arial"/>
          <w:color w:val="000000" w:themeColor="text1"/>
          <w:sz w:val="22"/>
          <w:szCs w:val="22"/>
          <w:lang w:val="en-US"/>
          <w14:textFill>
            <w14:solidFill>
              <w14:schemeClr w14:val="tx1"/>
            </w14:solidFill>
          </w14:textFill>
        </w:rPr>
        <w:t>, 2022</w:t>
      </w:r>
      <w:r>
        <w:rPr>
          <w:rFonts w:hint="default" w:ascii="Arial" w:hAnsi="Arial" w:cs="Arial"/>
          <w:sz w:val="22"/>
          <w:szCs w:val="22"/>
          <w:lang w:val="en-US"/>
        </w:rPr>
        <w:t>)</w:t>
      </w:r>
      <w:r>
        <w:rPr>
          <w:rFonts w:hint="default" w:ascii="Arial" w:hAnsi="Arial" w:cs="Arial"/>
          <w:sz w:val="22"/>
          <w:szCs w:val="22"/>
        </w:rPr>
        <w:t>. The sharp decrease in the number of employees undoubtedly poses a huge challenge to the daily operation of the Twitter platform, not only exerting a huge impact on individual employees and their families, but also sparking deep public questioning of Musk’s management style (</w:t>
      </w:r>
      <w:r>
        <w:rPr>
          <w:rFonts w:hint="default" w:ascii="Arial" w:hAnsi="Arial" w:cs="Arial"/>
          <w:color w:val="000000" w:themeColor="text1"/>
          <w:sz w:val="22"/>
          <w:szCs w:val="22"/>
          <w14:textFill>
            <w14:solidFill>
              <w14:schemeClr w14:val="tx1"/>
            </w14:solidFill>
          </w14:textFill>
        </w:rPr>
        <w:t>Bebchuk, Kastiel and Toniolo, 2023</w:t>
      </w:r>
      <w:r>
        <w:rPr>
          <w:rFonts w:hint="default" w:ascii="Arial" w:hAnsi="Arial" w:cs="Arial"/>
          <w:sz w:val="22"/>
          <w:szCs w:val="22"/>
        </w:rPr>
        <w:t>). Some critics point out that Musk may be too dictatorial, emphasizing individual decisions and willpower, while neglecting the importance of teamwork for a large enterprise (</w:t>
      </w:r>
      <w:r>
        <w:rPr>
          <w:rFonts w:hint="default" w:ascii="Arial" w:hAnsi="Arial" w:cs="Arial"/>
          <w:color w:val="000000" w:themeColor="text1"/>
          <w:sz w:val="22"/>
          <w:szCs w:val="22"/>
          <w14:textFill>
            <w14:solidFill>
              <w14:schemeClr w14:val="tx1"/>
            </w14:solidFill>
          </w14:textFill>
        </w:rPr>
        <w:t>Clayton and Hoskins, 2022</w:t>
      </w:r>
      <w:r>
        <w:rPr>
          <w:rFonts w:hint="default" w:ascii="Arial" w:hAnsi="Arial" w:cs="Arial"/>
          <w:sz w:val="22"/>
          <w:szCs w:val="22"/>
        </w:rPr>
        <w:t>). In the business world, an excellent leader not only needs to have decisive decision-making ability, but also needs to be good at coordinating and integrating team resources, stimulating the enthusiasm and creativity of team members</w:t>
      </w:r>
      <w:r>
        <w:rPr>
          <w:rFonts w:hint="default" w:ascii="Arial" w:hAnsi="Arial" w:cs="Arial"/>
          <w:sz w:val="22"/>
          <w:szCs w:val="22"/>
          <w:lang w:val="en-US"/>
        </w:rPr>
        <w:t>. Such leadership capabilities correspond to the contingency management theory which explains how effective decision-making and coordination are implemented under contingent circumstances (Homme, 1966).</w:t>
      </w:r>
    </w:p>
    <w:p>
      <w:pPr>
        <w:spacing w:line="480" w:lineRule="auto"/>
        <w:rPr>
          <w:rFonts w:hint="default" w:ascii="Arial" w:hAnsi="Arial" w:cs="Arial"/>
          <w:b/>
          <w:bCs/>
          <w:sz w:val="22"/>
          <w:szCs w:val="22"/>
        </w:rPr>
      </w:pPr>
    </w:p>
    <w:p>
      <w:pPr>
        <w:pStyle w:val="15"/>
        <w:numPr>
          <w:ilvl w:val="1"/>
          <w:numId w:val="0"/>
        </w:numPr>
        <w:spacing w:line="480" w:lineRule="auto"/>
        <w:outlineLvl w:val="2"/>
        <w:rPr>
          <w:rFonts w:hint="default" w:ascii="Arial" w:hAnsi="Arial" w:cs="Arial"/>
          <w:sz w:val="22"/>
          <w:szCs w:val="22"/>
        </w:rPr>
      </w:pPr>
      <w:bookmarkStart w:id="7" w:name="_Toc1656697990"/>
      <w:r>
        <w:rPr>
          <w:rFonts w:hint="default" w:ascii="Arial" w:hAnsi="Arial" w:cs="Arial"/>
          <w:sz w:val="22"/>
          <w:szCs w:val="22"/>
        </w:rPr>
        <w:t>2.1.3 Shaping Company Culture</w:t>
      </w:r>
      <w:bookmarkEnd w:id="7"/>
    </w:p>
    <w:p>
      <w:pPr>
        <w:spacing w:line="480" w:lineRule="auto"/>
        <w:rPr>
          <w:rFonts w:hint="default" w:ascii="Arial" w:hAnsi="Arial" w:cs="Arial"/>
          <w:b/>
          <w:bCs/>
          <w:sz w:val="22"/>
          <w:szCs w:val="22"/>
        </w:rPr>
      </w:pPr>
      <w:r>
        <w:rPr>
          <w:rFonts w:hint="default" w:ascii="Arial" w:hAnsi="Arial" w:cs="Arial"/>
          <w:sz w:val="22"/>
          <w:szCs w:val="22"/>
        </w:rPr>
        <w:t>Twitter faces various corporate culture issues after the acquisition. Musk has a strong personality and firm beliefs, and he may have his own ideas and requirements for the development direction and goals of Twitter. This has led to a change in the original culture of Twitter, and employees need to adapt to new leadership styles and work methods (Wu and Calic ,2022). These issues may affect employees’ work enthusiasm and efficiency, and also have an impact on the long-term development of the company. In addition, due to Musk's expectations for Twitter that may differ from employees' thoughts and values, this may lead to employee dissatisfaction and turnover. Some employees may choose to leave the company due to their inability to adapt to the new work environment and requirements.</w:t>
      </w:r>
    </w:p>
    <w:p>
      <w:pPr>
        <w:spacing w:line="480" w:lineRule="auto"/>
        <w:rPr>
          <w:rFonts w:hint="default" w:ascii="Arial" w:hAnsi="Arial" w:cs="Arial"/>
          <w:b/>
          <w:bCs/>
          <w:sz w:val="22"/>
          <w:szCs w:val="22"/>
        </w:rPr>
      </w:pPr>
    </w:p>
    <w:p>
      <w:pPr>
        <w:spacing w:line="480" w:lineRule="auto"/>
        <w:rPr>
          <w:rFonts w:hint="default" w:ascii="Arial" w:hAnsi="Arial" w:cs="Arial" w:eastAsiaTheme="minorEastAsia"/>
          <w:b/>
          <w:bCs/>
          <w:sz w:val="22"/>
          <w:szCs w:val="22"/>
          <w:lang w:val="en-US" w:eastAsia="zh-CN"/>
        </w:rPr>
      </w:pPr>
      <w:r>
        <w:rPr>
          <w:rFonts w:hint="default" w:ascii="Arial" w:hAnsi="Arial" w:cs="Arial"/>
          <w:sz w:val="22"/>
          <w:szCs w:val="22"/>
        </w:rPr>
        <w:t>Musk and existing Twitter employees have certain conflicts regarding the direction of the company’s management and development (Bond, 2022). One issue Twitter faces is how to balance short-term and long-term development goals. Musk has laid off a large number of employees in pursuit of quick profitability and efficient operation, while Twitter needs to maintain its leading position in social media and expand its user base. This may require a balance and decision-making between short-term benefits and long-term development</w:t>
      </w:r>
      <w:r>
        <w:rPr>
          <w:rFonts w:hint="default" w:ascii="Arial" w:hAnsi="Arial" w:cs="Arial"/>
          <w:sz w:val="22"/>
          <w:szCs w:val="22"/>
          <w:lang w:eastAsia="zh-CN"/>
        </w:rPr>
        <w:t>。</w:t>
      </w:r>
      <w:r>
        <w:rPr>
          <w:rFonts w:hint="default" w:ascii="Arial" w:hAnsi="Arial" w:cs="Arial"/>
          <w:sz w:val="22"/>
          <w:szCs w:val="22"/>
          <w:lang w:val="en-US" w:eastAsia="zh-CN"/>
        </w:rPr>
        <w:t xml:space="preserve"> Musk’s management style seems tightly connected to Weber’s bureaucracy theory where authorities make important decisions, yet the organization might stiffen under such a leadership and turnover may rise consequently (Hilbert, 1987).</w:t>
      </w:r>
    </w:p>
    <w:p>
      <w:pPr>
        <w:spacing w:line="480" w:lineRule="auto"/>
        <w:rPr>
          <w:rFonts w:hint="default" w:ascii="Arial" w:hAnsi="Arial" w:cs="Arial"/>
          <w:b/>
          <w:bCs/>
          <w:sz w:val="22"/>
          <w:szCs w:val="22"/>
        </w:rPr>
      </w:pPr>
    </w:p>
    <w:p>
      <w:pPr>
        <w:pStyle w:val="14"/>
        <w:spacing w:line="480" w:lineRule="auto"/>
        <w:outlineLvl w:val="1"/>
        <w:rPr>
          <w:rFonts w:hint="default" w:ascii="Arial" w:hAnsi="Arial" w:cs="Arial"/>
          <w:sz w:val="22"/>
          <w:szCs w:val="22"/>
        </w:rPr>
      </w:pPr>
      <w:bookmarkStart w:id="8" w:name="_Toc1997634575"/>
      <w:r>
        <w:rPr>
          <w:rFonts w:hint="default" w:ascii="Arial" w:hAnsi="Arial" w:cs="Arial"/>
          <w:sz w:val="22"/>
          <w:szCs w:val="22"/>
          <w:lang w:val="en-US"/>
        </w:rPr>
        <w:t xml:space="preserve">2.2 </w:t>
      </w:r>
      <w:r>
        <w:rPr>
          <w:rFonts w:hint="default" w:ascii="Arial" w:hAnsi="Arial" w:cs="Arial"/>
          <w:sz w:val="22"/>
          <w:szCs w:val="22"/>
        </w:rPr>
        <w:t>Management Theories</w:t>
      </w:r>
      <w:bookmarkEnd w:id="8"/>
    </w:p>
    <w:p>
      <w:pPr>
        <w:pStyle w:val="15"/>
        <w:numPr>
          <w:ilvl w:val="1"/>
          <w:numId w:val="0"/>
        </w:numPr>
        <w:spacing w:line="480" w:lineRule="auto"/>
        <w:outlineLvl w:val="2"/>
        <w:rPr>
          <w:rFonts w:hint="default" w:ascii="Arial" w:hAnsi="Arial" w:cs="Arial"/>
          <w:sz w:val="22"/>
          <w:szCs w:val="22"/>
        </w:rPr>
      </w:pPr>
      <w:bookmarkStart w:id="9" w:name="_Toc484964827"/>
      <w:r>
        <w:rPr>
          <w:rFonts w:hint="default" w:ascii="Arial" w:hAnsi="Arial" w:cs="Arial"/>
          <w:sz w:val="22"/>
          <w:szCs w:val="22"/>
        </w:rPr>
        <w:t>2.2.1 The Classical Approach</w:t>
      </w:r>
      <w:bookmarkEnd w:id="9"/>
    </w:p>
    <w:p>
      <w:pPr>
        <w:spacing w:line="480" w:lineRule="auto"/>
        <w:rPr>
          <w:rFonts w:hint="default" w:ascii="Arial" w:hAnsi="Arial" w:cs="Arial"/>
          <w:sz w:val="22"/>
          <w:szCs w:val="22"/>
        </w:rPr>
      </w:pPr>
      <w:r>
        <w:rPr>
          <w:rFonts w:hint="default" w:ascii="Arial" w:hAnsi="Arial" w:cs="Arial"/>
          <w:sz w:val="22"/>
          <w:szCs w:val="22"/>
        </w:rPr>
        <w:t>The classical approach to management emphasizes efficiency, organization, authority, and control, pursuing stability and order (Sarker and Khan, 2013). This theory suggests that organizations should manage in the most effective way to achieve established goals. It emphasizes the hierarchical structure, norms, and standardization of the organization, as well as guiding employee behavior through clear responsibilities and powers. The emergence of this theory marked the birth of management science and had a profound impact on later management theories and practices (Kumar, 2017).</w:t>
      </w:r>
    </w:p>
    <w:p>
      <w:pPr>
        <w:spacing w:line="480" w:lineRule="auto"/>
        <w:rPr>
          <w:rFonts w:hint="default" w:ascii="Arial" w:hAnsi="Arial" w:cs="Arial"/>
          <w:b/>
          <w:bCs/>
          <w:sz w:val="22"/>
          <w:szCs w:val="22"/>
        </w:rPr>
      </w:pPr>
    </w:p>
    <w:p>
      <w:pPr>
        <w:spacing w:line="480" w:lineRule="auto"/>
        <w:rPr>
          <w:rFonts w:hint="default" w:ascii="Arial" w:hAnsi="Arial" w:cs="Arial"/>
          <w:sz w:val="22"/>
          <w:szCs w:val="22"/>
        </w:rPr>
      </w:pPr>
      <w:r>
        <w:rPr>
          <w:rFonts w:hint="default" w:ascii="Arial" w:hAnsi="Arial" w:cs="Arial"/>
          <w:sz w:val="22"/>
          <w:szCs w:val="22"/>
        </w:rPr>
        <w:t>Twitter’s management strategy fully embodies the ideas and concepts of the classic approach. Among them, a highly flattened organizational structure is an important feature of Twitter’s management strategy, which can reduce management hierarchy, improve the efficiency and accuracy of information transmission, and make the company more flexible and efficient (Woo and Peterson, 2023). At the same time, a flattened structure can also enhance employees’ sense of participation and responsibility, and stimulate their work enthusiasm (</w:t>
      </w:r>
      <w:r>
        <w:rPr>
          <w:rFonts w:hint="default" w:ascii="Arial" w:hAnsi="Arial" w:cs="Arial"/>
          <w:color w:val="000000" w:themeColor="text1"/>
          <w:sz w:val="22"/>
          <w:szCs w:val="22"/>
          <w14:textFill>
            <w14:solidFill>
              <w14:schemeClr w14:val="tx1"/>
            </w14:solidFill>
          </w14:textFill>
        </w:rPr>
        <w:t>Kurstedt Jr, Gardner and Hindman, 1991</w:t>
      </w:r>
      <w:r>
        <w:rPr>
          <w:rFonts w:hint="default" w:ascii="Arial" w:hAnsi="Arial" w:cs="Arial"/>
          <w:sz w:val="22"/>
          <w:szCs w:val="22"/>
        </w:rPr>
        <w:t>). Moreover, Twitter also focuses on developing standards and processes to ensure efficiency and quality of work. Norms and processes can clarify work responsibilities and operating methods, avoid work duplication and waste, and improve work efficiency and quality. At the same time, norms and processes can also provide guidance and support for employees, helping them better complete work tasks. In addition, Twitter’s leadership has also utilized authority and control measures to ensure the stability and order of the company’s operations. Such leadership effectively controls and manages the company by formulating clear policies and regulations (Gardner, 1993).</w:t>
      </w:r>
    </w:p>
    <w:p>
      <w:pPr>
        <w:spacing w:line="480" w:lineRule="auto"/>
        <w:rPr>
          <w:rFonts w:hint="default" w:ascii="Arial" w:hAnsi="Arial" w:cs="Arial"/>
          <w:b/>
          <w:bCs/>
          <w:sz w:val="22"/>
          <w:szCs w:val="22"/>
        </w:rPr>
      </w:pPr>
    </w:p>
    <w:p>
      <w:pPr>
        <w:spacing w:line="480" w:lineRule="auto"/>
        <w:rPr>
          <w:rFonts w:hint="default" w:ascii="Arial" w:hAnsi="Arial" w:cs="Arial"/>
          <w:b/>
          <w:bCs/>
          <w:sz w:val="22"/>
          <w:szCs w:val="22"/>
        </w:rPr>
      </w:pPr>
      <w:r>
        <w:rPr>
          <w:rFonts w:hint="default" w:ascii="Arial" w:hAnsi="Arial" w:cs="Arial"/>
          <w:sz w:val="22"/>
          <w:szCs w:val="22"/>
        </w:rPr>
        <w:t>From an ethical perspective, a highly flattened organizational structure not only improves the company’s management efficiency and flexibility, but also enhances employees’ sense of participation and responsibility (Carzo and Yanouzas, 1969). This structure enables employees to participate more actively in the company's decision-making and development, thereby improving their work enthusiasm and engagement. Although Classic approach has many advantages, there are also some shortcomings. Firstly, the approach emphasizes efficiency, organization, authority, and control, which to some extent ignores the emotional and human needs of employees. In the process of pursuing efficiency, it increases the work pressure of employees, which may further lead to occupational burnout.</w:t>
      </w:r>
    </w:p>
    <w:p>
      <w:pPr>
        <w:spacing w:line="480" w:lineRule="auto"/>
        <w:rPr>
          <w:rFonts w:hint="default" w:ascii="Arial" w:hAnsi="Arial" w:cs="Arial"/>
          <w:b/>
          <w:bCs/>
          <w:sz w:val="22"/>
          <w:szCs w:val="22"/>
        </w:rPr>
      </w:pPr>
    </w:p>
    <w:p>
      <w:pPr>
        <w:pStyle w:val="15"/>
        <w:numPr>
          <w:ilvl w:val="1"/>
          <w:numId w:val="0"/>
        </w:numPr>
        <w:spacing w:line="480" w:lineRule="auto"/>
        <w:rPr>
          <w:rFonts w:hint="default" w:ascii="Arial" w:hAnsi="Arial" w:cs="Arial"/>
          <w:sz w:val="22"/>
          <w:szCs w:val="22"/>
        </w:rPr>
      </w:pPr>
      <w:r>
        <w:rPr>
          <w:rFonts w:hint="default" w:ascii="Arial" w:hAnsi="Arial" w:cs="Arial"/>
          <w:sz w:val="22"/>
          <w:szCs w:val="22"/>
        </w:rPr>
        <w:t>2.2.2 Bureaucracy Under the Classical Approach</w:t>
      </w:r>
    </w:p>
    <w:p>
      <w:pPr>
        <w:spacing w:line="480" w:lineRule="auto"/>
        <w:rPr>
          <w:rFonts w:hint="default" w:ascii="Arial" w:hAnsi="Arial" w:cs="Arial"/>
          <w:b/>
          <w:bCs/>
          <w:sz w:val="22"/>
          <w:szCs w:val="22"/>
        </w:rPr>
      </w:pPr>
      <w:r>
        <w:rPr>
          <w:rFonts w:hint="default" w:ascii="Arial" w:hAnsi="Arial" w:cs="Arial"/>
          <w:sz w:val="22"/>
          <w:szCs w:val="22"/>
        </w:rPr>
        <w:t>There are some bureaucracy management phenomena on Twitter after its acquisition. The large number of employees being laid off has led to a decrease in decision-making efficiency and insufficient execution, making it difficult for the company to quickly respond to market changes and user needs. At the same time, it increases the workload of employees and limits their creativity and flexibility. In addition, there are also some issues with Twitter’s employee training and management. Some employees feel lost and helpless after the company's acquisition, lacking the necessary skills and knowledge to adapt to the new work environment and requirements. At the same time, Twitter's leadership also has some management issues, such as insufficient motivation for employees and a lack of attention to their opinions and suggestions.</w:t>
      </w:r>
    </w:p>
    <w:p>
      <w:pPr>
        <w:spacing w:line="480" w:lineRule="auto"/>
        <w:rPr>
          <w:rFonts w:hint="default" w:ascii="Arial" w:hAnsi="Arial" w:cs="Arial"/>
          <w:b/>
          <w:bCs/>
          <w:sz w:val="22"/>
          <w:szCs w:val="22"/>
        </w:rPr>
      </w:pPr>
    </w:p>
    <w:p>
      <w:pPr>
        <w:spacing w:line="480" w:lineRule="auto"/>
        <w:rPr>
          <w:rFonts w:hint="default" w:ascii="Arial" w:hAnsi="Arial" w:cs="Arial"/>
          <w:b/>
          <w:bCs/>
          <w:sz w:val="22"/>
          <w:szCs w:val="22"/>
        </w:rPr>
      </w:pPr>
      <w:r>
        <w:rPr>
          <w:rFonts w:hint="default" w:ascii="Arial" w:hAnsi="Arial" w:cs="Arial"/>
          <w:sz w:val="22"/>
          <w:szCs w:val="22"/>
        </w:rPr>
        <w:t>From an ethical perspective, bureaucracy has some negative impacts on both Twitter employees and shareholders. For employees, bureaucracy may lead to excessive workload, limiting their creativity and flexibility. This may prevent them from focusing on innovation and providing high-quality services. At the same time, buracuracy may lead to situations where employees shift blame and distrust each other, which is not conducive to team collaboration and common development (Weber, 2023). Secondly, for shareholders, bureaucracy may lead to slow decision-making and poor execution (Neil and Phillips, 1995). This may miss out on market opportunities and reduce the organizational competitiveness and profitability. Besides, bureaucracy may lead to an increase in the company's management costs and a decrease in investment return, thereby affecting the company’s stock price and market value. Another important point is that bureaucracy may also damage the company’s reputation and credibility. If Twitter is perceived as a company with severe bureaucracy, lack of innovation and flexibility, it may cause potential users and investors to lose confidence in the company, thereby affecting its business development and market position.</w:t>
      </w:r>
    </w:p>
    <w:p>
      <w:pPr>
        <w:spacing w:line="480" w:lineRule="auto"/>
        <w:rPr>
          <w:rFonts w:hint="default" w:ascii="Arial" w:hAnsi="Arial" w:cs="Arial"/>
          <w:b/>
          <w:bCs/>
          <w:sz w:val="22"/>
          <w:szCs w:val="22"/>
        </w:rPr>
      </w:pPr>
    </w:p>
    <w:p>
      <w:pPr>
        <w:pStyle w:val="14"/>
        <w:spacing w:line="480" w:lineRule="auto"/>
        <w:outlineLvl w:val="1"/>
        <w:rPr>
          <w:rFonts w:hint="default" w:ascii="Arial" w:hAnsi="Arial" w:cs="Arial"/>
          <w:sz w:val="22"/>
          <w:szCs w:val="22"/>
        </w:rPr>
      </w:pPr>
      <w:bookmarkStart w:id="10" w:name="_Toc1103407024"/>
      <w:r>
        <w:rPr>
          <w:rFonts w:hint="default" w:ascii="Arial" w:hAnsi="Arial" w:cs="Arial"/>
          <w:sz w:val="22"/>
          <w:szCs w:val="22"/>
          <w:lang w:val="en-US"/>
        </w:rPr>
        <w:t xml:space="preserve">2.2.3 </w:t>
      </w:r>
      <w:r>
        <w:rPr>
          <w:rFonts w:hint="default" w:ascii="Arial" w:hAnsi="Arial" w:cs="Arial"/>
          <w:sz w:val="22"/>
          <w:szCs w:val="22"/>
        </w:rPr>
        <w:t>Mainstream vs Critical Theories</w:t>
      </w:r>
      <w:bookmarkEnd w:id="10"/>
    </w:p>
    <w:p>
      <w:pPr>
        <w:spacing w:line="480" w:lineRule="auto"/>
        <w:rPr>
          <w:rFonts w:hint="default" w:ascii="Arial" w:hAnsi="Arial" w:cs="Arial"/>
          <w:sz w:val="22"/>
          <w:szCs w:val="22"/>
        </w:rPr>
      </w:pPr>
      <w:r>
        <w:rPr>
          <w:rFonts w:hint="default" w:ascii="Arial" w:hAnsi="Arial" w:cs="Arial"/>
          <w:sz w:val="22"/>
          <w:szCs w:val="22"/>
        </w:rPr>
        <w:t>The mainstream management theory, commonly known as the classic approach, originated from factory management practices during the Industrial Revolution. It emphasizes the standardization and standardization of production processes through scientific methods and means to improve production efficiency and reduce costs. The goal of this theory is to achieve organizational stability and order, with a focus on short-term benefits and financial goals. The method of mainstream management is mainly based on empirical research and experience summary, emphasizing data-based decision-making and problem-solving (Brief and Weiss, 2002).</w:t>
      </w:r>
    </w:p>
    <w:p>
      <w:pPr>
        <w:spacing w:line="480" w:lineRule="auto"/>
        <w:rPr>
          <w:rFonts w:hint="default" w:ascii="Arial" w:hAnsi="Arial" w:cs="Arial"/>
          <w:sz w:val="22"/>
          <w:szCs w:val="22"/>
        </w:rPr>
      </w:pPr>
    </w:p>
    <w:p>
      <w:pPr>
        <w:spacing w:line="480" w:lineRule="auto"/>
        <w:rPr>
          <w:rFonts w:hint="default" w:ascii="Arial" w:hAnsi="Arial" w:cs="Arial"/>
          <w:sz w:val="22"/>
          <w:szCs w:val="22"/>
        </w:rPr>
      </w:pPr>
      <w:r>
        <w:rPr>
          <w:rFonts w:hint="default" w:ascii="Arial" w:hAnsi="Arial" w:cs="Arial"/>
          <w:sz w:val="22"/>
          <w:szCs w:val="22"/>
        </w:rPr>
        <w:t>Critical management theories originated from the social critical theory of the 1960s. This theory holds that management is not only about achieving efficiency and organization, but more importantly, it is about paying attention to social justice, power distribution, and inequality (</w:t>
      </w:r>
      <w:r>
        <w:rPr>
          <w:rFonts w:hint="default" w:ascii="Arial" w:hAnsi="Arial" w:cs="Arial"/>
          <w:color w:val="000000" w:themeColor="text1"/>
          <w:sz w:val="22"/>
          <w:szCs w:val="22"/>
          <w14:textFill>
            <w14:solidFill>
              <w14:schemeClr w14:val="tx1"/>
            </w14:solidFill>
          </w14:textFill>
        </w:rPr>
        <w:t>Alvesson and Spicer, 2003</w:t>
      </w:r>
      <w:r>
        <w:rPr>
          <w:rFonts w:hint="default" w:ascii="Arial" w:hAnsi="Arial" w:cs="Arial"/>
          <w:sz w:val="22"/>
          <w:szCs w:val="22"/>
        </w:rPr>
        <w:t>). Management is not only a technical process, but also a political process that involves the use of power and the distribution of benefits (</w:t>
      </w:r>
      <w:r>
        <w:rPr>
          <w:rFonts w:hint="default" w:ascii="Arial" w:hAnsi="Arial" w:cs="Arial"/>
          <w:color w:val="000000" w:themeColor="text1"/>
          <w:sz w:val="22"/>
          <w:szCs w:val="22"/>
          <w14:textFill>
            <w14:solidFill>
              <w14:schemeClr w14:val="tx1"/>
            </w14:solidFill>
          </w14:textFill>
        </w:rPr>
        <w:t>Levy, Alvesson and Willmott, 2003</w:t>
      </w:r>
      <w:r>
        <w:rPr>
          <w:rFonts w:hint="default" w:ascii="Arial" w:hAnsi="Arial" w:cs="Arial"/>
          <w:sz w:val="22"/>
          <w:szCs w:val="22"/>
        </w:rPr>
        <w:t>). Therefore, critical management themes pay more attention to the inequality and power structure within the organization, as well as the impact of these factors on employees and stakeholders (Kelemen and Rumens, 2008).</w:t>
      </w:r>
    </w:p>
    <w:p>
      <w:pPr>
        <w:spacing w:line="480" w:lineRule="auto"/>
        <w:rPr>
          <w:rFonts w:hint="default" w:ascii="Arial" w:hAnsi="Arial" w:cs="Arial"/>
          <w:sz w:val="22"/>
          <w:szCs w:val="22"/>
        </w:rPr>
      </w:pPr>
    </w:p>
    <w:p>
      <w:pPr>
        <w:spacing w:line="480" w:lineRule="auto"/>
        <w:rPr>
          <w:rFonts w:hint="default" w:ascii="Arial" w:hAnsi="Arial" w:cs="Arial"/>
          <w:sz w:val="22"/>
          <w:szCs w:val="22"/>
          <w:lang w:val="en-US"/>
        </w:rPr>
      </w:pPr>
      <w:r>
        <w:rPr>
          <w:rFonts w:hint="default" w:ascii="Arial" w:hAnsi="Arial" w:cs="Arial"/>
          <w:sz w:val="22"/>
          <w:szCs w:val="22"/>
        </w:rPr>
        <w:t>Although there are differences in management ideas, objectives, and methods between mainstream and critical management theories, they are not mutually exclusive. In fact, these two theories can complement and integrate with each other. Mainstream management theory can provide stable and efficient processes and norms, while critical management themes can provide a critical and reflective perspective, helping organizations better focus on social justice and power distribution issues (</w:t>
      </w:r>
      <w:r>
        <w:rPr>
          <w:rFonts w:hint="default" w:ascii="Arial" w:hAnsi="Arial" w:cs="Arial"/>
          <w:color w:val="000000" w:themeColor="text1"/>
          <w:sz w:val="22"/>
          <w:szCs w:val="22"/>
          <w14:textFill>
            <w14:solidFill>
              <w14:schemeClr w14:val="tx1"/>
            </w14:solidFill>
          </w14:textFill>
        </w:rPr>
        <w:t>Geppert and Dörrenbächer, 2014</w:t>
      </w:r>
      <w:r>
        <w:rPr>
          <w:rFonts w:hint="default" w:ascii="Arial" w:hAnsi="Arial" w:cs="Arial"/>
          <w:sz w:val="22"/>
          <w:szCs w:val="22"/>
        </w:rPr>
        <w:t>). In practical applications, Mainstream and Critical management themes can be combined to achieve organizational stability, efficiency, and social justice. For example, in organizational design and human resource management, the methods and tools of</w:t>
      </w:r>
      <w:r>
        <w:rPr>
          <w:rFonts w:hint="default" w:ascii="Arial" w:hAnsi="Arial" w:cs="Arial"/>
          <w:sz w:val="22"/>
          <w:szCs w:val="22"/>
          <w:lang w:val="en-US"/>
        </w:rPr>
        <w:t xml:space="preserve"> m</w:t>
      </w:r>
      <w:r>
        <w:rPr>
          <w:rFonts w:hint="default" w:ascii="Arial" w:hAnsi="Arial" w:cs="Arial"/>
          <w:sz w:val="22"/>
          <w:szCs w:val="22"/>
        </w:rPr>
        <w:t>ainstream management theory can be adopted to improve the efficiency and standardization of the organization. At the same time, the perspective and philosophy of critical management themes can also be introduced, focusing on issues such as employee rights and organizational social responsibility</w:t>
      </w:r>
      <w:r>
        <w:rPr>
          <w:rFonts w:hint="default" w:ascii="Arial" w:hAnsi="Arial" w:cs="Arial"/>
          <w:sz w:val="22"/>
          <w:szCs w:val="22"/>
          <w:lang w:val="en-US"/>
        </w:rPr>
        <w:t>. At X after being purchased, existing problems discussed above can be a result of the lack of consideration for employees and a democratic management team, and critical management theories could be applied to critically evaluate identified issues and tackle existing problems.</w:t>
      </w:r>
    </w:p>
    <w:p>
      <w:pPr>
        <w:spacing w:line="480" w:lineRule="auto"/>
        <w:rPr>
          <w:rFonts w:hint="default" w:ascii="Arial" w:hAnsi="Arial" w:cs="Arial"/>
          <w:b/>
          <w:bCs/>
          <w:sz w:val="22"/>
          <w:szCs w:val="22"/>
        </w:rPr>
      </w:pPr>
    </w:p>
    <w:p>
      <w:pPr>
        <w:pStyle w:val="13"/>
        <w:spacing w:line="480" w:lineRule="auto"/>
        <w:outlineLvl w:val="0"/>
        <w:rPr>
          <w:rFonts w:hint="default" w:ascii="Arial" w:hAnsi="Arial" w:cs="Arial"/>
          <w:sz w:val="22"/>
          <w:szCs w:val="22"/>
        </w:rPr>
      </w:pPr>
      <w:bookmarkStart w:id="11" w:name="_Toc1440560523"/>
      <w:r>
        <w:rPr>
          <w:rFonts w:hint="default" w:ascii="Arial" w:hAnsi="Arial" w:cs="Arial"/>
          <w:sz w:val="22"/>
          <w:szCs w:val="22"/>
        </w:rPr>
        <w:t>Conclusion</w:t>
      </w:r>
      <w:bookmarkEnd w:id="11"/>
    </w:p>
    <w:p>
      <w:pPr>
        <w:spacing w:line="480" w:lineRule="auto"/>
        <w:rPr>
          <w:rFonts w:hint="default" w:ascii="Arial" w:hAnsi="Arial" w:cs="Arial"/>
          <w:sz w:val="22"/>
          <w:szCs w:val="22"/>
        </w:rPr>
      </w:pPr>
      <w:r>
        <w:rPr>
          <w:rFonts w:hint="default" w:ascii="Arial" w:hAnsi="Arial" w:cs="Arial"/>
          <w:sz w:val="22"/>
          <w:szCs w:val="22"/>
        </w:rPr>
        <w:t>In summary, after acquisition by Elon Musk, advertising revenue at Twitter significantly decreased and employees also experienced drastic layoffs. Twitter’s management strategy strongly embodies the concepts of classical methods, but the bureaucratic theory underlying this approach is leading to conspicuous management issues. Twitter has some bureaucratic management problems with a large number of layoffs leading to insufficient execution. The company also has some issues with employee training and management, as some employees feel lost and helpless after the acquisition, lacking the necessary skills and knowledge to adapt to the new work environment and requirements. These management issues can have a negative impact on both employees and stakeholders from an ethical perspective. Twitter should combine classical approaches with critical measures to create a better management environment.</w:t>
      </w:r>
    </w:p>
    <w:p>
      <w:pPr>
        <w:spacing w:line="480" w:lineRule="auto"/>
        <w:rPr>
          <w:rFonts w:hint="default" w:ascii="Arial" w:hAnsi="Arial" w:cs="Arial"/>
          <w:b/>
          <w:bCs/>
          <w:sz w:val="22"/>
          <w:szCs w:val="22"/>
        </w:rPr>
      </w:pPr>
    </w:p>
    <w:p>
      <w:pPr>
        <w:pStyle w:val="13"/>
        <w:spacing w:line="480" w:lineRule="auto"/>
        <w:outlineLvl w:val="0"/>
        <w:rPr>
          <w:rFonts w:hint="default" w:ascii="Arial" w:hAnsi="Arial" w:cs="Arial"/>
          <w:sz w:val="22"/>
          <w:szCs w:val="22"/>
        </w:rPr>
      </w:pPr>
      <w:bookmarkStart w:id="12" w:name="_Toc770073783"/>
      <w:r>
        <w:rPr>
          <w:rFonts w:hint="default" w:ascii="Arial" w:hAnsi="Arial" w:cs="Arial"/>
          <w:sz w:val="22"/>
          <w:szCs w:val="22"/>
        </w:rPr>
        <w:t>Recommendations</w:t>
      </w:r>
      <w:bookmarkEnd w:id="12"/>
    </w:p>
    <w:p>
      <w:pPr>
        <w:pStyle w:val="14"/>
        <w:spacing w:line="480" w:lineRule="auto"/>
        <w:rPr>
          <w:rFonts w:hint="default" w:ascii="Arial" w:hAnsi="Arial" w:cs="Arial"/>
          <w:sz w:val="22"/>
          <w:szCs w:val="22"/>
        </w:rPr>
      </w:pPr>
      <w:r>
        <w:rPr>
          <w:rFonts w:hint="default" w:ascii="Arial" w:hAnsi="Arial" w:cs="Arial"/>
          <w:sz w:val="22"/>
          <w:szCs w:val="22"/>
        </w:rPr>
        <w:t>Ethical Management for Better Wellbeing</w:t>
      </w:r>
    </w:p>
    <w:p>
      <w:pPr>
        <w:spacing w:line="480" w:lineRule="auto"/>
        <w:rPr>
          <w:rFonts w:hint="default" w:ascii="Arial" w:hAnsi="Arial" w:cs="Arial"/>
          <w:b/>
          <w:bCs/>
          <w:sz w:val="22"/>
          <w:szCs w:val="22"/>
        </w:rPr>
      </w:pPr>
      <w:r>
        <w:rPr>
          <w:rFonts w:hint="default" w:ascii="Arial" w:hAnsi="Arial" w:cs="Arial"/>
          <w:sz w:val="22"/>
          <w:szCs w:val="22"/>
        </w:rPr>
        <w:t>Twitter should combine mainstream management approach and critical management approach, focusing on the rights and well-being of employees. In terms of organizational design and human resource management, the methods and tools of the mainstream management approach can be adopted to improve the efficiency and standardization of the organization. At the same time, the perspective and philosophy of critical management approach should also be introduced, focusing on issues such as employee rights and organizational social responsibility. The following two points can improve the wellbeing of employees in an organization:</w:t>
      </w:r>
    </w:p>
    <w:p>
      <w:pPr>
        <w:spacing w:line="480" w:lineRule="auto"/>
        <w:rPr>
          <w:rFonts w:hint="default" w:ascii="Arial" w:hAnsi="Arial" w:cs="Arial"/>
          <w:sz w:val="22"/>
          <w:szCs w:val="22"/>
        </w:rPr>
      </w:pPr>
    </w:p>
    <w:p>
      <w:pPr>
        <w:spacing w:line="480" w:lineRule="auto"/>
        <w:rPr>
          <w:rFonts w:hint="default" w:ascii="Arial" w:hAnsi="Arial" w:cs="Arial"/>
          <w:b/>
          <w:bCs/>
          <w:sz w:val="22"/>
          <w:szCs w:val="22"/>
        </w:rPr>
      </w:pPr>
      <w:r>
        <w:rPr>
          <w:rFonts w:hint="default" w:ascii="Arial" w:hAnsi="Arial" w:cs="Arial"/>
          <w:sz w:val="22"/>
          <w:szCs w:val="22"/>
        </w:rPr>
        <w:t>Firstly, the organization ought to help employees cope with the emotional and psychological pressure brought about by layoffs. These services can include employee mental health counseling, psychological counseling, stress management, and coping strategies (</w:t>
      </w:r>
      <w:r>
        <w:rPr>
          <w:rFonts w:hint="default" w:ascii="Arial" w:hAnsi="Arial" w:cs="Arial"/>
          <w:color w:val="000000" w:themeColor="text1"/>
          <w:sz w:val="22"/>
          <w:szCs w:val="22"/>
          <w14:textFill>
            <w14:solidFill>
              <w14:schemeClr w14:val="tx1"/>
            </w14:solidFill>
          </w14:textFill>
        </w:rPr>
        <w:t>Flatau, Galea and Petridis, 2000</w:t>
      </w:r>
      <w:r>
        <w:rPr>
          <w:rFonts w:hint="default" w:ascii="Arial" w:hAnsi="Arial" w:cs="Arial"/>
          <w:sz w:val="22"/>
          <w:szCs w:val="22"/>
        </w:rPr>
        <w:t>). The company can provide professional psychological counseling services to help employees handle emotions and psychological stress. These services can be provided by internal or external psychologists or psychologists. In addition, companies can establish mental health education and stress management courses to help employees master the skills and methods of emotional management and stress response. These measures can help employees better cope with emotional and psychological stress, enhance their psychological resilience and adaptability (</w:t>
      </w:r>
      <w:r>
        <w:rPr>
          <w:rFonts w:hint="default" w:ascii="Arial" w:hAnsi="Arial" w:cs="Arial"/>
          <w:color w:val="000000" w:themeColor="text1"/>
          <w:sz w:val="22"/>
          <w:szCs w:val="22"/>
          <w14:textFill>
            <w14:solidFill>
              <w14:schemeClr w14:val="tx1"/>
            </w14:solidFill>
          </w14:textFill>
        </w:rPr>
        <w:t>Tough, Siegrist and Fekete, 2017</w:t>
      </w:r>
      <w:r>
        <w:rPr>
          <w:rFonts w:hint="default" w:ascii="Arial" w:hAnsi="Arial" w:cs="Arial"/>
          <w:sz w:val="22"/>
          <w:szCs w:val="22"/>
        </w:rPr>
        <w:t>).</w:t>
      </w:r>
    </w:p>
    <w:p>
      <w:pPr>
        <w:spacing w:line="480" w:lineRule="auto"/>
        <w:rPr>
          <w:rFonts w:hint="default" w:ascii="Arial" w:hAnsi="Arial" w:cs="Arial"/>
          <w:b/>
          <w:bCs/>
          <w:sz w:val="22"/>
          <w:szCs w:val="22"/>
        </w:rPr>
      </w:pPr>
    </w:p>
    <w:p>
      <w:pPr>
        <w:spacing w:line="480" w:lineRule="auto"/>
        <w:rPr>
          <w:rFonts w:hint="default" w:ascii="Arial" w:hAnsi="Arial" w:cs="Arial"/>
          <w:b/>
          <w:bCs/>
          <w:sz w:val="22"/>
          <w:szCs w:val="22"/>
        </w:rPr>
      </w:pPr>
      <w:r>
        <w:rPr>
          <w:rFonts w:hint="default" w:ascii="Arial" w:hAnsi="Arial" w:cs="Arial"/>
          <w:sz w:val="22"/>
          <w:szCs w:val="22"/>
        </w:rPr>
        <w:t>Secondly, it is necessary to promptly inform employees of the progress and plans of the acquisition, so that they can understand the company’s future development direction and their own roles. This can reduce employees’ uncertainty and anxiety, and enhance their trust and sense of belonging to the company (</w:t>
      </w:r>
      <w:r>
        <w:rPr>
          <w:rFonts w:hint="default" w:ascii="Arial" w:hAnsi="Arial" w:cs="Arial"/>
          <w:color w:val="000000" w:themeColor="text1"/>
          <w:sz w:val="22"/>
          <w:szCs w:val="22"/>
          <w14:textFill>
            <w14:solidFill>
              <w14:schemeClr w14:val="tx1"/>
            </w14:solidFill>
          </w14:textFill>
        </w:rPr>
        <w:t>Bordi et al., 2018</w:t>
      </w:r>
      <w:r>
        <w:rPr>
          <w:rFonts w:hint="default" w:ascii="Arial" w:hAnsi="Arial" w:cs="Arial"/>
          <w:sz w:val="22"/>
          <w:szCs w:val="22"/>
        </w:rPr>
        <w:t>). In practice, companies can timely communicate the latest information and progress of acquisitions to employees through regular internal communication, employee meetings, or departmental meetings. At the same time, the company can establish dedicated communication channels, allowing employees to raise their questions and suggestions to the management or human resources department at any time. This can make employees feel that the company is actively communicating with them, enhancing their sense of participation and right to know, thereby reducing the impact of anxiety and uncertainty.</w:t>
      </w:r>
    </w:p>
    <w:p>
      <w:pPr>
        <w:spacing w:line="480" w:lineRule="auto"/>
        <w:rPr>
          <w:rFonts w:hint="default" w:ascii="Arial" w:hAnsi="Arial" w:cs="Arial"/>
          <w:b/>
          <w:bCs/>
          <w:sz w:val="22"/>
          <w:szCs w:val="22"/>
        </w:rPr>
      </w:pPr>
    </w:p>
    <w:p>
      <w:pPr>
        <w:pStyle w:val="14"/>
        <w:spacing w:line="480" w:lineRule="auto"/>
        <w:rPr>
          <w:rFonts w:hint="default" w:ascii="Arial" w:hAnsi="Arial" w:cs="Arial"/>
          <w:sz w:val="22"/>
          <w:szCs w:val="22"/>
        </w:rPr>
      </w:pPr>
      <w:r>
        <w:rPr>
          <w:rFonts w:hint="default" w:ascii="Arial" w:hAnsi="Arial" w:cs="Arial"/>
          <w:sz w:val="22"/>
          <w:szCs w:val="22"/>
        </w:rPr>
        <w:t>Ethical Management for Better Cooperation</w:t>
      </w:r>
    </w:p>
    <w:p>
      <w:pPr>
        <w:spacing w:line="480" w:lineRule="auto"/>
        <w:rPr>
          <w:rFonts w:hint="default" w:ascii="Arial" w:hAnsi="Arial" w:cs="Arial"/>
          <w:b/>
          <w:bCs/>
          <w:sz w:val="22"/>
          <w:szCs w:val="22"/>
        </w:rPr>
      </w:pPr>
      <w:r>
        <w:rPr>
          <w:rFonts w:hint="default" w:ascii="Arial" w:hAnsi="Arial" w:cs="Arial"/>
          <w:sz w:val="22"/>
          <w:szCs w:val="22"/>
        </w:rPr>
        <w:t>In today’s highly developed era of social media, advertisers have increasingly high requirements for advertising platforms. They not only pay attention to the user scale and activity of the platform, but also pay more attention to the brand image and credibility of the platform. Therefore, Twitter should strengthen the ethics of content review, establish a good, healthy, and reputable brand image, and attract more advertisers to place advertisements. Twitter can take the following measures to strengthen the ethics of content management:</w:t>
      </w:r>
    </w:p>
    <w:p>
      <w:pPr>
        <w:spacing w:line="480" w:lineRule="auto"/>
        <w:rPr>
          <w:rFonts w:hint="default" w:ascii="Arial" w:hAnsi="Arial" w:cs="Arial"/>
          <w:b/>
          <w:bCs/>
          <w:sz w:val="22"/>
          <w:szCs w:val="22"/>
        </w:rPr>
      </w:pPr>
    </w:p>
    <w:p>
      <w:pPr>
        <w:spacing w:line="480" w:lineRule="auto"/>
        <w:rPr>
          <w:rFonts w:hint="default" w:ascii="Arial" w:hAnsi="Arial" w:cs="Arial"/>
          <w:b/>
          <w:bCs/>
          <w:sz w:val="22"/>
          <w:szCs w:val="22"/>
        </w:rPr>
      </w:pPr>
      <w:r>
        <w:rPr>
          <w:rFonts w:hint="default" w:ascii="Arial" w:hAnsi="Arial" w:cs="Arial"/>
          <w:sz w:val="22"/>
          <w:szCs w:val="22"/>
        </w:rPr>
        <w:t>Firstly, Twitter can establish a clear set of ethical norms and standards, specifying which content is allowed and which is not (Townsend and Wallace, 2016). At the same time, Twitter should take strict punishment measures for behaviors that violate ethical standards to maintain the good order and image of the platform. Secondly, Twitter can strengthen manual review capabilities and conduct stricter reviews on content related to sensitive topics or negative information (</w:t>
      </w:r>
      <w:r>
        <w:rPr>
          <w:rFonts w:hint="default" w:ascii="Arial" w:hAnsi="Arial" w:cs="Arial"/>
          <w:color w:val="000000" w:themeColor="text1"/>
          <w:sz w:val="22"/>
          <w:szCs w:val="22"/>
          <w14:textFill>
            <w14:solidFill>
              <w14:schemeClr w14:val="tx1"/>
            </w14:solidFill>
          </w14:textFill>
        </w:rPr>
        <w:t>Barrett-Maitland and Lynch, 2020</w:t>
      </w:r>
      <w:r>
        <w:rPr>
          <w:rFonts w:hint="default" w:ascii="Arial" w:hAnsi="Arial" w:cs="Arial"/>
          <w:sz w:val="22"/>
          <w:szCs w:val="22"/>
        </w:rPr>
        <w:t>). Meanwhile, for disputed content, Twitter can introduce third-party institutions for evaluation and arbitration, ensuring the fairness and objectivity of the review.</w:t>
      </w:r>
      <w:r>
        <w:rPr>
          <w:rFonts w:hint="default" w:ascii="Arial" w:hAnsi="Arial" w:cs="Arial"/>
          <w:b/>
          <w:bCs/>
          <w:sz w:val="22"/>
          <w:szCs w:val="22"/>
        </w:rPr>
        <w:br w:type="page"/>
      </w:r>
    </w:p>
    <w:p>
      <w:pPr>
        <w:pStyle w:val="13"/>
        <w:numPr>
          <w:ilvl w:val="0"/>
          <w:numId w:val="0"/>
        </w:numPr>
        <w:spacing w:line="480" w:lineRule="auto"/>
        <w:outlineLvl w:val="0"/>
        <w:rPr>
          <w:rFonts w:hint="default" w:ascii="Arial" w:hAnsi="Arial" w:cs="Arial"/>
          <w:sz w:val="22"/>
          <w:szCs w:val="22"/>
        </w:rPr>
      </w:pPr>
      <w:bookmarkStart w:id="13" w:name="_Toc1893614059"/>
      <w:r>
        <w:rPr>
          <w:rFonts w:hint="default" w:ascii="Arial" w:hAnsi="Arial" w:cs="Arial"/>
          <w:sz w:val="22"/>
          <w:szCs w:val="22"/>
        </w:rPr>
        <w:t>References</w:t>
      </w:r>
      <w:bookmarkEnd w:id="13"/>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Alvesson, M. and Spicer, A. (2014) ‘Critical perspectives on leadership’, </w:t>
      </w:r>
      <w:r>
        <w:rPr>
          <w:rFonts w:hint="default" w:ascii="Arial" w:hAnsi="Arial" w:cs="Arial"/>
          <w:i/>
          <w:iCs/>
          <w:color w:val="000000" w:themeColor="text1"/>
          <w:sz w:val="22"/>
          <w:szCs w:val="22"/>
          <w14:textFill>
            <w14:solidFill>
              <w14:schemeClr w14:val="tx1"/>
            </w14:solidFill>
          </w14:textFill>
        </w:rPr>
        <w:t>The Oxford handbook of leadership and organizations</w:t>
      </w:r>
      <w:r>
        <w:rPr>
          <w:rFonts w:hint="default" w:ascii="Arial" w:hAnsi="Arial" w:cs="Arial"/>
          <w:color w:val="000000" w:themeColor="text1"/>
          <w:sz w:val="22"/>
          <w:szCs w:val="22"/>
          <w14:textFill>
            <w14:solidFill>
              <w14:schemeClr w14:val="tx1"/>
            </w14:solidFill>
          </w14:textFill>
        </w:rPr>
        <w:t>, pp. 40-56.</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Barrett-Maitland, N. and Lynch, J. (2020) ‘Social media, ethics and the privacy paradox’, </w:t>
      </w:r>
      <w:r>
        <w:rPr>
          <w:rFonts w:hint="default" w:ascii="Arial" w:hAnsi="Arial" w:cs="Arial"/>
          <w:i/>
          <w:iCs/>
          <w:color w:val="000000" w:themeColor="text1"/>
          <w:sz w:val="22"/>
          <w:szCs w:val="22"/>
          <w14:textFill>
            <w14:solidFill>
              <w14:schemeClr w14:val="tx1"/>
            </w14:solidFill>
          </w14:textFill>
        </w:rPr>
        <w:t>Security and privacy from a legal, ethical, and technical perspective</w:t>
      </w:r>
      <w:r>
        <w:rPr>
          <w:rFonts w:hint="default" w:ascii="Arial" w:hAnsi="Arial" w:cs="Arial"/>
          <w:color w:val="000000" w:themeColor="text1"/>
          <w:sz w:val="22"/>
          <w:szCs w:val="22"/>
          <w14:textFill>
            <w14:solidFill>
              <w14:schemeClr w14:val="tx1"/>
            </w14:solidFill>
          </w14:textFill>
        </w:rPr>
        <w:t>, 49.</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Bebchuk, L. A., Kastiel, K. and Toniolo, A. (2023) ‘How Twitter Pushed Stakeholders Under The Bus’, </w:t>
      </w:r>
      <w:r>
        <w:rPr>
          <w:rFonts w:hint="default" w:ascii="Arial" w:hAnsi="Arial" w:cs="Arial"/>
          <w:i/>
          <w:iCs/>
          <w:color w:val="000000" w:themeColor="text1"/>
          <w:sz w:val="22"/>
          <w:szCs w:val="22"/>
          <w14:textFill>
            <w14:solidFill>
              <w14:schemeClr w14:val="tx1"/>
            </w14:solidFill>
          </w14:textFill>
        </w:rPr>
        <w:t>Harvard Law School Program on Corporate Governance Working Paper</w:t>
      </w:r>
      <w:r>
        <w:rPr>
          <w:rFonts w:hint="default" w:ascii="Arial" w:hAnsi="Arial" w:cs="Arial"/>
          <w:color w:val="000000" w:themeColor="text1"/>
          <w:sz w:val="22"/>
          <w:szCs w:val="22"/>
          <w14:textFill>
            <w14:solidFill>
              <w14:schemeClr w14:val="tx1"/>
            </w14:solidFill>
          </w14:textFill>
        </w:rPr>
        <w:t>.</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Bond, S. (2022) </w:t>
      </w:r>
      <w:r>
        <w:rPr>
          <w:rFonts w:hint="default" w:ascii="Arial" w:hAnsi="Arial" w:cs="Arial"/>
          <w:i/>
          <w:iCs/>
          <w:color w:val="000000" w:themeColor="text1"/>
          <w:sz w:val="22"/>
          <w:szCs w:val="22"/>
          <w14:textFill>
            <w14:solidFill>
              <w14:schemeClr w14:val="tx1"/>
            </w14:solidFill>
          </w14:textFill>
        </w:rPr>
        <w:t>Twitter employees quit in droves after Elon Musk's ultimatum passes</w:t>
      </w:r>
      <w:r>
        <w:rPr>
          <w:rFonts w:hint="default" w:ascii="Arial" w:hAnsi="Arial" w:cs="Arial"/>
          <w:color w:val="000000" w:themeColor="text1"/>
          <w:sz w:val="22"/>
          <w:szCs w:val="22"/>
          <w14:textFill>
            <w14:solidFill>
              <w14:schemeClr w14:val="tx1"/>
            </w14:solidFill>
          </w14:textFill>
        </w:rPr>
        <w:t>. Available at: https://www.npr.org/2022/11/17/1137413251/ twitter-employees-quit-elon-musk (Accessed: 23 October 2023).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Bordi, L., Okkonen, J., Mäkiniemi, J. P. and Heikkilä-Tammi, K. (2018) </w:t>
      </w:r>
      <w:r>
        <w:rPr>
          <w:rFonts w:hint="default" w:ascii="Arial" w:hAnsi="Arial" w:cs="Arial"/>
          <w:i/>
          <w:iCs/>
          <w:color w:val="000000" w:themeColor="text1"/>
          <w:sz w:val="22"/>
          <w:szCs w:val="22"/>
          <w14:textFill>
            <w14:solidFill>
              <w14:schemeClr w14:val="tx1"/>
            </w14:solidFill>
          </w14:textFill>
        </w:rPr>
        <w:t>Communication in the digital work environment: implications for wellbeing at work</w:t>
      </w:r>
      <w:r>
        <w:rPr>
          <w:rFonts w:hint="default" w:ascii="Arial" w:hAnsi="Arial" w:cs="Arial"/>
          <w:color w:val="000000" w:themeColor="text1"/>
          <w:sz w:val="22"/>
          <w:szCs w:val="22"/>
          <w14:textFill>
            <w14:solidFill>
              <w14:schemeClr w14:val="tx1"/>
            </w14:solidFill>
          </w14:textFill>
        </w:rPr>
        <w:t>.</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Bradley, D. (2022) </w:t>
      </w:r>
      <w:r>
        <w:rPr>
          <w:rFonts w:hint="default" w:ascii="Arial" w:hAnsi="Arial" w:cs="Arial"/>
          <w:i/>
          <w:iCs/>
          <w:color w:val="000000" w:themeColor="text1"/>
          <w:sz w:val="22"/>
          <w:szCs w:val="22"/>
          <w14:textFill>
            <w14:solidFill>
              <w14:schemeClr w14:val="tx1"/>
            </w14:solidFill>
          </w14:textFill>
        </w:rPr>
        <w:t>These are the brands that have paused advertising on Twitter</w:t>
      </w:r>
      <w:r>
        <w:rPr>
          <w:rFonts w:hint="default" w:ascii="Arial" w:hAnsi="Arial" w:cs="Arial"/>
          <w:color w:val="000000" w:themeColor="text1"/>
          <w:sz w:val="22"/>
          <w:szCs w:val="22"/>
          <w14:textFill>
            <w14:solidFill>
              <w14:schemeClr w14:val="tx1"/>
            </w14:solidFill>
          </w14:textFill>
        </w:rPr>
        <w:t>. Available at: https://www.prweek.com/article/1804306/brands- paused-advertising-twitter (Accessed: 22 October, 2023).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Brief, A. P. and Weiss, H. M. (2002) ‘Organizational behavior: Affect in the workplace’, </w:t>
      </w:r>
      <w:r>
        <w:rPr>
          <w:rFonts w:hint="default" w:ascii="Arial" w:hAnsi="Arial" w:cs="Arial"/>
          <w:i/>
          <w:iCs/>
          <w:color w:val="000000" w:themeColor="text1"/>
          <w:sz w:val="22"/>
          <w:szCs w:val="22"/>
          <w14:textFill>
            <w14:solidFill>
              <w14:schemeClr w14:val="tx1"/>
            </w14:solidFill>
          </w14:textFill>
        </w:rPr>
        <w:t>Annual review of psycholog</w:t>
      </w:r>
      <w:r>
        <w:rPr>
          <w:rFonts w:hint="default" w:ascii="Arial" w:hAnsi="Arial" w:cs="Arial"/>
          <w:color w:val="000000" w:themeColor="text1"/>
          <w:sz w:val="22"/>
          <w:szCs w:val="22"/>
          <w14:textFill>
            <w14:solidFill>
              <w14:schemeClr w14:val="tx1"/>
            </w14:solidFill>
          </w14:textFill>
        </w:rPr>
        <w:t>y, 53(1), pp. 279-307.</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Carzo Jr, R. and Yanouzas, J. N. (1969) ‘Effects of flat and tall organization structure’, </w:t>
      </w:r>
      <w:r>
        <w:rPr>
          <w:rFonts w:hint="default" w:ascii="Arial" w:hAnsi="Arial" w:cs="Arial"/>
          <w:i/>
          <w:iCs/>
          <w:color w:val="000000" w:themeColor="text1"/>
          <w:sz w:val="22"/>
          <w:szCs w:val="22"/>
          <w14:textFill>
            <w14:solidFill>
              <w14:schemeClr w14:val="tx1"/>
            </w14:solidFill>
          </w14:textFill>
        </w:rPr>
        <w:t>Administrative science quarterly</w:t>
      </w:r>
      <w:r>
        <w:rPr>
          <w:rFonts w:hint="default" w:ascii="Arial" w:hAnsi="Arial" w:cs="Arial"/>
          <w:color w:val="000000" w:themeColor="text1"/>
          <w:sz w:val="22"/>
          <w:szCs w:val="22"/>
          <w14:textFill>
            <w14:solidFill>
              <w14:schemeClr w14:val="tx1"/>
            </w14:solidFill>
          </w14:textFill>
        </w:rPr>
        <w:t>, pp. 178-191.</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Clayton, J. and Hoskins, P. (2022) </w:t>
      </w:r>
      <w:r>
        <w:rPr>
          <w:rFonts w:hint="default" w:ascii="Arial" w:hAnsi="Arial" w:cs="Arial"/>
          <w:i/>
          <w:iCs/>
          <w:color w:val="000000" w:themeColor="text1"/>
          <w:sz w:val="22"/>
          <w:szCs w:val="22"/>
          <w14:textFill>
            <w14:solidFill>
              <w14:schemeClr w14:val="tx1"/>
            </w14:solidFill>
          </w14:textFill>
        </w:rPr>
        <w:t>Elon Musk takes control of Twitter in $44bn deal</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i/>
          <w:iCs/>
          <w:color w:val="000000" w:themeColor="text1"/>
          <w:sz w:val="22"/>
          <w:szCs w:val="22"/>
          <w14:textFill>
            <w14:solidFill>
              <w14:schemeClr w14:val="tx1"/>
            </w14:solidFill>
          </w14:textFill>
        </w:rPr>
        <w:t>BBC</w:t>
      </w:r>
      <w:r>
        <w:rPr>
          <w:rFonts w:hint="default" w:ascii="Arial" w:hAnsi="Arial" w:cs="Arial"/>
          <w:color w:val="000000" w:themeColor="text1"/>
          <w:sz w:val="22"/>
          <w:szCs w:val="22"/>
          <w14:textFill>
            <w14:solidFill>
              <w14:schemeClr w14:val="tx1"/>
            </w14:solidFill>
          </w14:textFill>
        </w:rPr>
        <w:t>: https://www.bbc.co.uk/news/ technology-63402338 (Accessed: 22 October 2023).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sz w:val="22"/>
          <w:szCs w:val="22"/>
        </w:rPr>
        <w:fldChar w:fldCharType="begin"/>
      </w:r>
      <w:r>
        <w:rPr>
          <w:rFonts w:hint="default" w:ascii="Arial" w:hAnsi="Arial" w:cs="Arial"/>
          <w:sz w:val="22"/>
          <w:szCs w:val="22"/>
        </w:rPr>
        <w:instrText xml:space="preserve"> HYPERLINK "https://www.nytimes.com/by/kate-conger" </w:instrText>
      </w:r>
      <w:r>
        <w:rPr>
          <w:rFonts w:hint="default" w:ascii="Arial" w:hAnsi="Arial" w:cs="Arial"/>
          <w:sz w:val="22"/>
          <w:szCs w:val="22"/>
        </w:rPr>
        <w:fldChar w:fldCharType="separate"/>
      </w:r>
      <w:r>
        <w:rPr>
          <w:rFonts w:hint="default" w:ascii="Arial" w:hAnsi="Arial" w:cs="Arial"/>
          <w:color w:val="000000" w:themeColor="text1"/>
          <w:sz w:val="22"/>
          <w:szCs w:val="22"/>
          <w14:textFill>
            <w14:solidFill>
              <w14:schemeClr w14:val="tx1"/>
            </w14:solidFill>
          </w14:textFill>
        </w:rPr>
        <w:t>Conger</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K., </w:t>
      </w:r>
      <w:r>
        <w:rPr>
          <w:rFonts w:hint="default" w:ascii="Arial" w:hAnsi="Arial" w:cs="Arial"/>
          <w:sz w:val="22"/>
          <w:szCs w:val="22"/>
        </w:rPr>
        <w:fldChar w:fldCharType="begin"/>
      </w:r>
      <w:r>
        <w:rPr>
          <w:rFonts w:hint="default" w:ascii="Arial" w:hAnsi="Arial" w:cs="Arial"/>
          <w:sz w:val="22"/>
          <w:szCs w:val="22"/>
        </w:rPr>
        <w:instrText xml:space="preserve"> HYPERLINK "https://www.nytimes.com/by/mike-isaac" </w:instrText>
      </w:r>
      <w:r>
        <w:rPr>
          <w:rFonts w:hint="default" w:ascii="Arial" w:hAnsi="Arial" w:cs="Arial"/>
          <w:sz w:val="22"/>
          <w:szCs w:val="22"/>
        </w:rPr>
        <w:fldChar w:fldCharType="separate"/>
      </w:r>
      <w:r>
        <w:rPr>
          <w:rFonts w:hint="default" w:ascii="Arial" w:hAnsi="Arial" w:cs="Arial"/>
          <w:color w:val="000000" w:themeColor="text1"/>
          <w:sz w:val="22"/>
          <w:szCs w:val="22"/>
          <w14:textFill>
            <w14:solidFill>
              <w14:schemeClr w14:val="tx1"/>
            </w14:solidFill>
          </w14:textFill>
        </w:rPr>
        <w:t>Isaac</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M., </w:t>
      </w:r>
      <w:r>
        <w:rPr>
          <w:rFonts w:hint="default" w:ascii="Arial" w:hAnsi="Arial" w:cs="Arial"/>
          <w:sz w:val="22"/>
          <w:szCs w:val="22"/>
        </w:rPr>
        <w:fldChar w:fldCharType="begin"/>
      </w:r>
      <w:r>
        <w:rPr>
          <w:rFonts w:hint="default" w:ascii="Arial" w:hAnsi="Arial" w:cs="Arial"/>
          <w:sz w:val="22"/>
          <w:szCs w:val="22"/>
        </w:rPr>
        <w:instrText xml:space="preserve"> HYPERLINK "https://www.nytimes.com/by/ryan-mac" </w:instrText>
      </w:r>
      <w:r>
        <w:rPr>
          <w:rFonts w:hint="default" w:ascii="Arial" w:hAnsi="Arial" w:cs="Arial"/>
          <w:sz w:val="22"/>
          <w:szCs w:val="22"/>
        </w:rPr>
        <w:fldChar w:fldCharType="separate"/>
      </w:r>
      <w:r>
        <w:rPr>
          <w:rFonts w:hint="default" w:ascii="Arial" w:hAnsi="Arial" w:cs="Arial"/>
          <w:color w:val="000000" w:themeColor="text1"/>
          <w:sz w:val="22"/>
          <w:szCs w:val="22"/>
          <w14:textFill>
            <w14:solidFill>
              <w14:schemeClr w14:val="tx1"/>
            </w14:solidFill>
          </w14:textFill>
        </w:rPr>
        <w:t>Mac</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R. and </w:t>
      </w:r>
      <w:r>
        <w:rPr>
          <w:rFonts w:hint="default" w:ascii="Arial" w:hAnsi="Arial" w:cs="Arial"/>
          <w:sz w:val="22"/>
          <w:szCs w:val="22"/>
        </w:rPr>
        <w:fldChar w:fldCharType="begin"/>
      </w:r>
      <w:r>
        <w:rPr>
          <w:rFonts w:hint="default" w:ascii="Arial" w:hAnsi="Arial" w:cs="Arial"/>
          <w:sz w:val="22"/>
          <w:szCs w:val="22"/>
        </w:rPr>
        <w:instrText xml:space="preserve"> HYPERLINK "https://www.nytimes.com/by/tiffany-hsu" </w:instrText>
      </w:r>
      <w:r>
        <w:rPr>
          <w:rFonts w:hint="default" w:ascii="Arial" w:hAnsi="Arial" w:cs="Arial"/>
          <w:sz w:val="22"/>
          <w:szCs w:val="22"/>
        </w:rPr>
        <w:fldChar w:fldCharType="separate"/>
      </w:r>
      <w:r>
        <w:rPr>
          <w:rFonts w:hint="default" w:ascii="Arial" w:hAnsi="Arial" w:cs="Arial"/>
          <w:color w:val="000000" w:themeColor="text1"/>
          <w:sz w:val="22"/>
          <w:szCs w:val="22"/>
          <w14:textFill>
            <w14:solidFill>
              <w14:schemeClr w14:val="tx1"/>
            </w14:solidFill>
          </w14:textFill>
        </w:rPr>
        <w:t>Hsu</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T. (2022) </w:t>
      </w:r>
      <w:r>
        <w:rPr>
          <w:rFonts w:hint="default" w:ascii="Arial" w:hAnsi="Arial" w:cs="Arial"/>
          <w:i/>
          <w:iCs/>
          <w:color w:val="000000" w:themeColor="text1"/>
          <w:sz w:val="22"/>
          <w:szCs w:val="22"/>
          <w14:textFill>
            <w14:solidFill>
              <w14:schemeClr w14:val="tx1"/>
            </w14:solidFill>
          </w14:textFill>
        </w:rPr>
        <w:t>Two Weeks of Chaos: Inside Elon Musk’s Takeover of Twitter</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i/>
          <w:iCs/>
          <w:color w:val="000000" w:themeColor="text1"/>
          <w:sz w:val="22"/>
          <w:szCs w:val="22"/>
          <w14:textFill>
            <w14:solidFill>
              <w14:schemeClr w14:val="tx1"/>
            </w14:solidFill>
          </w14:textFill>
        </w:rPr>
        <w:t>New York Times</w:t>
      </w:r>
      <w:r>
        <w:rPr>
          <w:rFonts w:hint="default" w:ascii="Arial" w:hAnsi="Arial" w:cs="Arial"/>
          <w:color w:val="000000" w:themeColor="text1"/>
          <w:sz w:val="22"/>
          <w:szCs w:val="22"/>
          <w14:textFill>
            <w14:solidFill>
              <w14:schemeClr w14:val="tx1"/>
            </w14:solidFill>
          </w14:textFill>
        </w:rPr>
        <w:t xml:space="preserve">: </w:t>
      </w:r>
      <w:r>
        <w:rPr>
          <w:rFonts w:hint="default" w:ascii="Arial" w:hAnsi="Arial" w:cs="Arial"/>
          <w:sz w:val="22"/>
          <w:szCs w:val="22"/>
        </w:rPr>
        <w:fldChar w:fldCharType="begin"/>
      </w:r>
      <w:r>
        <w:rPr>
          <w:rFonts w:hint="default" w:ascii="Arial" w:hAnsi="Arial" w:cs="Arial"/>
          <w:sz w:val="22"/>
          <w:szCs w:val="22"/>
        </w:rPr>
        <w:instrText xml:space="preserve"> HYPERLINK "https://www.nytimes.com/2022/11/11/technology/elon-musk-twitter-takeover.html" </w:instrText>
      </w:r>
      <w:r>
        <w:rPr>
          <w:rFonts w:hint="default" w:ascii="Arial" w:hAnsi="Arial" w:cs="Arial"/>
          <w:sz w:val="22"/>
          <w:szCs w:val="22"/>
        </w:rPr>
        <w:fldChar w:fldCharType="separate"/>
      </w:r>
      <w:r>
        <w:rPr>
          <w:rStyle w:val="8"/>
          <w:rFonts w:hint="default" w:ascii="Arial" w:hAnsi="Arial" w:cs="Arial"/>
          <w:color w:val="000000" w:themeColor="text1"/>
          <w:sz w:val="22"/>
          <w:szCs w:val="22"/>
          <w:u w:val="none"/>
          <w14:textFill>
            <w14:solidFill>
              <w14:schemeClr w14:val="tx1"/>
            </w14:solidFill>
          </w14:textFill>
        </w:rPr>
        <w:t>https://www.nytimes.com/2022/11/11/technology/elon-musk-twitter-takeover.html</w:t>
      </w:r>
      <w:r>
        <w:rPr>
          <w:rStyle w:val="8"/>
          <w:rFonts w:hint="default" w:ascii="Arial" w:hAnsi="Arial" w:cs="Arial"/>
          <w:color w:val="000000" w:themeColor="text1"/>
          <w:sz w:val="22"/>
          <w:szCs w:val="22"/>
          <w:u w:val="none"/>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24 October 2023).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Flatau, P., Galea, J. and Petridis, R. (2000) ‘Mental health and wellbeing and unemployment’, </w:t>
      </w:r>
      <w:r>
        <w:rPr>
          <w:rFonts w:hint="default" w:ascii="Arial" w:hAnsi="Arial" w:cs="Arial"/>
          <w:i/>
          <w:iCs/>
          <w:color w:val="000000" w:themeColor="text1"/>
          <w:sz w:val="22"/>
          <w:szCs w:val="22"/>
          <w14:textFill>
            <w14:solidFill>
              <w14:schemeClr w14:val="tx1"/>
            </w14:solidFill>
          </w14:textFill>
        </w:rPr>
        <w:t>Australian Economic Review</w:t>
      </w:r>
      <w:r>
        <w:rPr>
          <w:rFonts w:hint="default" w:ascii="Arial" w:hAnsi="Arial" w:cs="Arial"/>
          <w:color w:val="000000" w:themeColor="text1"/>
          <w:sz w:val="22"/>
          <w:szCs w:val="22"/>
          <w14:textFill>
            <w14:solidFill>
              <w14:schemeClr w14:val="tx1"/>
            </w14:solidFill>
          </w14:textFill>
        </w:rPr>
        <w:t>, 33(2), pp. 161-181.</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Gardner, J. (1993) </w:t>
      </w:r>
      <w:r>
        <w:rPr>
          <w:rFonts w:hint="default" w:ascii="Arial" w:hAnsi="Arial" w:cs="Arial"/>
          <w:i/>
          <w:iCs/>
          <w:color w:val="000000" w:themeColor="text1"/>
          <w:sz w:val="22"/>
          <w:szCs w:val="22"/>
          <w14:textFill>
            <w14:solidFill>
              <w14:schemeClr w14:val="tx1"/>
            </w14:solidFill>
          </w14:textFill>
        </w:rPr>
        <w:t>On leadership</w:t>
      </w:r>
      <w:r>
        <w:rPr>
          <w:rFonts w:hint="default" w:ascii="Arial" w:hAnsi="Arial" w:cs="Arial"/>
          <w:color w:val="000000" w:themeColor="text1"/>
          <w:sz w:val="22"/>
          <w:szCs w:val="22"/>
          <w14:textFill>
            <w14:solidFill>
              <w14:schemeClr w14:val="tx1"/>
            </w14:solidFill>
          </w14:textFill>
        </w:rPr>
        <w:t>, Simon and Schuster.</w:t>
      </w:r>
    </w:p>
    <w:p>
      <w:pPr>
        <w:spacing w:line="480" w:lineRule="auto"/>
        <w:ind w:left="480" w:hanging="440" w:hangingChars="200"/>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Geppert, M. and Dörrenbächer, C. (2014) ‘Politics and power within multinational corporations: Mainstream studies, emerging critical approaches and suggestions for future research’, </w:t>
      </w:r>
      <w:r>
        <w:rPr>
          <w:rFonts w:hint="default" w:ascii="Arial" w:hAnsi="Arial" w:cs="Arial"/>
          <w:i/>
          <w:iCs/>
          <w:color w:val="000000" w:themeColor="text1"/>
          <w:sz w:val="22"/>
          <w:szCs w:val="22"/>
          <w14:textFill>
            <w14:solidFill>
              <w14:schemeClr w14:val="tx1"/>
            </w14:solidFill>
          </w14:textFill>
        </w:rPr>
        <w:t>International Journal of Management Reviews</w:t>
      </w:r>
      <w:r>
        <w:rPr>
          <w:rFonts w:hint="default" w:ascii="Arial" w:hAnsi="Arial" w:cs="Arial"/>
          <w:color w:val="000000" w:themeColor="text1"/>
          <w:sz w:val="22"/>
          <w:szCs w:val="22"/>
          <w14:textFill>
            <w14:solidFill>
              <w14:schemeClr w14:val="tx1"/>
            </w14:solidFill>
          </w14:textFill>
        </w:rPr>
        <w:t>, 16(2), pp. 226-244</w:t>
      </w:r>
      <w:r>
        <w:rPr>
          <w:rFonts w:hint="default" w:ascii="Arial" w:hAnsi="Arial" w:cs="Arial"/>
          <w:color w:val="000000" w:themeColor="text1"/>
          <w:sz w:val="22"/>
          <w:szCs w:val="22"/>
          <w:lang w:val="en-US"/>
          <w14:textFill>
            <w14:solidFill>
              <w14:schemeClr w14:val="tx1"/>
            </w14:solidFill>
          </w14:textFill>
        </w:rPr>
        <w:t>.</w:t>
      </w:r>
    </w:p>
    <w:p>
      <w:pPr>
        <w:spacing w:line="480" w:lineRule="auto"/>
        <w:ind w:left="480" w:hanging="440" w:hangingChars="200"/>
        <w:rPr>
          <w:rFonts w:hint="default" w:ascii="Arial" w:hAnsi="Arial" w:cs="Arial"/>
          <w:color w:val="000000" w:themeColor="text1"/>
          <w:sz w:val="22"/>
          <w:szCs w:val="22"/>
          <w:lang w:val="en-US" w:eastAsia="zh-CN"/>
          <w14:textFill>
            <w14:solidFill>
              <w14:schemeClr w14:val="tx1"/>
            </w14:solidFill>
          </w14:textFill>
        </w:rPr>
      </w:pPr>
      <w:r>
        <w:rPr>
          <w:rFonts w:hint="default" w:ascii="Arial" w:hAnsi="Arial" w:cs="Arial"/>
          <w:color w:val="000000" w:themeColor="text1"/>
          <w:sz w:val="22"/>
          <w:szCs w:val="22"/>
          <w:lang w:val="en-US" w:eastAsia="zh-CN"/>
          <w14:textFill>
            <w14:solidFill>
              <w14:schemeClr w14:val="tx1"/>
            </w14:solidFill>
          </w14:textFill>
        </w:rPr>
        <w:t>Hilbert, R. A. (1987) ‘Bureaucracy as belief, rationalization as repair: Max Weber in a post-functionalist age’, </w:t>
      </w:r>
      <w:r>
        <w:rPr>
          <w:rFonts w:hint="default" w:ascii="Arial" w:hAnsi="Arial" w:cs="Arial"/>
          <w:i/>
          <w:iCs/>
          <w:color w:val="000000" w:themeColor="text1"/>
          <w:sz w:val="22"/>
          <w:szCs w:val="22"/>
          <w:lang w:val="en-US" w:eastAsia="zh-CN"/>
          <w14:textFill>
            <w14:solidFill>
              <w14:schemeClr w14:val="tx1"/>
            </w14:solidFill>
          </w14:textFill>
        </w:rPr>
        <w:t>Sociological Theory</w:t>
      </w:r>
      <w:r>
        <w:rPr>
          <w:rFonts w:hint="default" w:ascii="Arial" w:hAnsi="Arial" w:cs="Arial"/>
          <w:color w:val="000000" w:themeColor="text1"/>
          <w:sz w:val="22"/>
          <w:szCs w:val="22"/>
          <w:lang w:val="en-US" w:eastAsia="zh-CN"/>
          <w14:textFill>
            <w14:solidFill>
              <w14:schemeClr w14:val="tx1"/>
            </w14:solidFill>
          </w14:textFill>
        </w:rPr>
        <w:t>, pp. 70-86.</w:t>
      </w:r>
    </w:p>
    <w:p>
      <w:pPr>
        <w:spacing w:line="480" w:lineRule="auto"/>
        <w:ind w:left="480" w:hanging="440" w:hangingChars="200"/>
        <w:rPr>
          <w:rFonts w:hint="default" w:ascii="Arial" w:hAnsi="Arial" w:cs="Arial"/>
          <w:color w:val="000000" w:themeColor="text1"/>
          <w:sz w:val="22"/>
          <w:szCs w:val="22"/>
          <w:lang w:val="en-US" w:eastAsia="zh-CN"/>
          <w14:textFill>
            <w14:solidFill>
              <w14:schemeClr w14:val="tx1"/>
            </w14:solidFill>
          </w14:textFill>
        </w:rPr>
      </w:pPr>
      <w:r>
        <w:rPr>
          <w:rFonts w:hint="default" w:ascii="Arial" w:hAnsi="Arial" w:cs="Arial"/>
          <w:color w:val="000000" w:themeColor="text1"/>
          <w:sz w:val="22"/>
          <w:szCs w:val="22"/>
          <w:lang w:val="en-US" w:eastAsia="zh-CN"/>
          <w14:textFill>
            <w14:solidFill>
              <w14:schemeClr w14:val="tx1"/>
            </w14:solidFill>
          </w14:textFill>
        </w:rPr>
        <w:t>Homme, L. E. (1966) ‘Contiguity theory and contingency management’, </w:t>
      </w:r>
      <w:r>
        <w:rPr>
          <w:rFonts w:hint="default" w:ascii="Arial" w:hAnsi="Arial" w:cs="Arial"/>
          <w:i/>
          <w:iCs/>
          <w:color w:val="000000" w:themeColor="text1"/>
          <w:sz w:val="22"/>
          <w:szCs w:val="22"/>
          <w:lang w:val="en-US" w:eastAsia="zh-CN"/>
          <w14:textFill>
            <w14:solidFill>
              <w14:schemeClr w14:val="tx1"/>
            </w14:solidFill>
          </w14:textFill>
        </w:rPr>
        <w:t>The Psychological Record</w:t>
      </w:r>
      <w:r>
        <w:rPr>
          <w:rFonts w:hint="default" w:ascii="Arial" w:hAnsi="Arial" w:cs="Arial"/>
          <w:color w:val="000000" w:themeColor="text1"/>
          <w:sz w:val="22"/>
          <w:szCs w:val="22"/>
          <w:lang w:val="en-US" w:eastAsia="zh-CN"/>
          <w14:textFill>
            <w14:solidFill>
              <w14:schemeClr w14:val="tx1"/>
            </w14:solidFill>
          </w14:textFill>
        </w:rPr>
        <w:t>, 16(3), pp. 233-241.</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Kelemen, M. L. and Rumens, N. (2008) ‘An introduction to critical management research’, </w:t>
      </w:r>
      <w:r>
        <w:rPr>
          <w:rFonts w:hint="default" w:ascii="Arial" w:hAnsi="Arial" w:cs="Arial"/>
          <w:i/>
          <w:iCs/>
          <w:color w:val="000000" w:themeColor="text1"/>
          <w:sz w:val="22"/>
          <w:szCs w:val="22"/>
          <w14:textFill>
            <w14:solidFill>
              <w14:schemeClr w14:val="tx1"/>
            </w14:solidFill>
          </w14:textFill>
        </w:rPr>
        <w:t>Sage</w:t>
      </w:r>
      <w:r>
        <w:rPr>
          <w:rFonts w:hint="default" w:ascii="Arial" w:hAnsi="Arial" w:cs="Arial"/>
          <w:color w:val="000000" w:themeColor="text1"/>
          <w:sz w:val="22"/>
          <w:szCs w:val="22"/>
          <w14:textFill>
            <w14:solidFill>
              <w14:schemeClr w14:val="tx1"/>
            </w14:solidFill>
          </w14:textFill>
        </w:rPr>
        <w:t>.</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Kumar, P. (2017) ‘Analysis the impact of classical management approaches on the management practices’, </w:t>
      </w:r>
      <w:r>
        <w:rPr>
          <w:rFonts w:hint="default" w:ascii="Arial" w:hAnsi="Arial" w:cs="Arial"/>
          <w:i/>
          <w:iCs/>
          <w:color w:val="000000" w:themeColor="text1"/>
          <w:sz w:val="22"/>
          <w:szCs w:val="22"/>
          <w14:textFill>
            <w14:solidFill>
              <w14:schemeClr w14:val="tx1"/>
            </w14:solidFill>
          </w14:textFill>
        </w:rPr>
        <w:t>Asian Journal of Management</w:t>
      </w:r>
      <w:r>
        <w:rPr>
          <w:rFonts w:hint="default" w:ascii="Arial" w:hAnsi="Arial" w:cs="Arial"/>
          <w:color w:val="000000" w:themeColor="text1"/>
          <w:sz w:val="22"/>
          <w:szCs w:val="22"/>
          <w14:textFill>
            <w14:solidFill>
              <w14:schemeClr w14:val="tx1"/>
            </w14:solidFill>
          </w14:textFill>
        </w:rPr>
        <w:t>, 8(3), pp. 841-853.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Kurstedt Jr, H. A., Gardner, E. J. and Hindman Jr, T. B. (1991) ‘Design and use of a flat structure in a multiproject research organization’, </w:t>
      </w:r>
      <w:r>
        <w:rPr>
          <w:rFonts w:hint="default" w:ascii="Arial" w:hAnsi="Arial" w:cs="Arial"/>
          <w:i/>
          <w:iCs/>
          <w:color w:val="000000" w:themeColor="text1"/>
          <w:sz w:val="22"/>
          <w:szCs w:val="22"/>
          <w14:textFill>
            <w14:solidFill>
              <w14:schemeClr w14:val="tx1"/>
            </w14:solidFill>
          </w14:textFill>
        </w:rPr>
        <w:t>International Journal of Project Management</w:t>
      </w:r>
      <w:r>
        <w:rPr>
          <w:rFonts w:hint="default" w:ascii="Arial" w:hAnsi="Arial" w:cs="Arial"/>
          <w:color w:val="000000" w:themeColor="text1"/>
          <w:sz w:val="22"/>
          <w:szCs w:val="22"/>
          <w14:textFill>
            <w14:solidFill>
              <w14:schemeClr w14:val="tx1"/>
            </w14:solidFill>
          </w14:textFill>
        </w:rPr>
        <w:t>, 9(4), pp. 210-215.</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Levy, D. L., Alvesson, M. and Willmott, H. (2003) ‘Critical approaches to strategic management’, </w:t>
      </w:r>
      <w:r>
        <w:rPr>
          <w:rFonts w:hint="default" w:ascii="Arial" w:hAnsi="Arial" w:cs="Arial"/>
          <w:i/>
          <w:iCs/>
          <w:color w:val="000000" w:themeColor="text1"/>
          <w:sz w:val="22"/>
          <w:szCs w:val="22"/>
          <w14:textFill>
            <w14:solidFill>
              <w14:schemeClr w14:val="tx1"/>
            </w14:solidFill>
          </w14:textFill>
        </w:rPr>
        <w:t>Studying management critically</w:t>
      </w:r>
      <w:r>
        <w:rPr>
          <w:rFonts w:hint="default" w:ascii="Arial" w:hAnsi="Arial" w:cs="Arial"/>
          <w:color w:val="000000" w:themeColor="text1"/>
          <w:sz w:val="22"/>
          <w:szCs w:val="22"/>
          <w14:textFill>
            <w14:solidFill>
              <w14:schemeClr w14:val="tx1"/>
            </w14:solidFill>
          </w14:textFill>
        </w:rPr>
        <w:t>, 1, pp. 92-110.</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Loveday, L. and Niehaus, S. (2007) </w:t>
      </w:r>
      <w:r>
        <w:rPr>
          <w:rFonts w:hint="default" w:ascii="Arial" w:hAnsi="Arial" w:cs="Arial"/>
          <w:i/>
          <w:iCs/>
          <w:color w:val="000000" w:themeColor="text1"/>
          <w:sz w:val="22"/>
          <w:szCs w:val="22"/>
          <w14:textFill>
            <w14:solidFill>
              <w14:schemeClr w14:val="tx1"/>
            </w14:solidFill>
          </w14:textFill>
        </w:rPr>
        <w:t>Web design for ROI: Turning browsers into buyers &amp; prospects into leads</w:t>
      </w:r>
      <w:r>
        <w:rPr>
          <w:rFonts w:hint="default" w:ascii="Arial" w:hAnsi="Arial" w:cs="Arial"/>
          <w:color w:val="000000" w:themeColor="text1"/>
          <w:sz w:val="22"/>
          <w:szCs w:val="22"/>
          <w14:textFill>
            <w14:solidFill>
              <w14:schemeClr w14:val="tx1"/>
            </w14:solidFill>
          </w14:textFill>
        </w:rPr>
        <w:t>, New Riders.</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Neal, D. M. and Phillips, B. D. (1995) ‘Effective emergency management: Reconsidering the bureaucratic approach’, </w:t>
      </w:r>
      <w:r>
        <w:rPr>
          <w:rFonts w:hint="default" w:ascii="Arial" w:hAnsi="Arial" w:cs="Arial"/>
          <w:i/>
          <w:iCs/>
          <w:color w:val="000000" w:themeColor="text1"/>
          <w:sz w:val="22"/>
          <w:szCs w:val="22"/>
          <w14:textFill>
            <w14:solidFill>
              <w14:schemeClr w14:val="tx1"/>
            </w14:solidFill>
          </w14:textFill>
        </w:rPr>
        <w:t>Disasters</w:t>
      </w:r>
      <w:r>
        <w:rPr>
          <w:rFonts w:hint="default" w:ascii="Arial" w:hAnsi="Arial" w:cs="Arial"/>
          <w:color w:val="000000" w:themeColor="text1"/>
          <w:sz w:val="22"/>
          <w:szCs w:val="22"/>
          <w14:textFill>
            <w14:solidFill>
              <w14:schemeClr w14:val="tx1"/>
            </w14:solidFill>
          </w14:textFill>
        </w:rPr>
        <w:t>, 19(4), pp. 327-337.</w:t>
      </w:r>
    </w:p>
    <w:p>
      <w:pPr>
        <w:spacing w:line="480" w:lineRule="auto"/>
        <w:ind w:left="480" w:hanging="440" w:hangingChars="200"/>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O</w:t>
      </w:r>
      <w:r>
        <w:rPr>
          <w:rFonts w:hint="default" w:ascii="Arial" w:hAnsi="Arial" w:cs="Arial"/>
          <w:color w:val="000000" w:themeColor="text1"/>
          <w:sz w:val="22"/>
          <w:szCs w:val="22"/>
          <w:lang w:val="en-US"/>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Sullivan</w:t>
      </w:r>
      <w:r>
        <w:rPr>
          <w:rFonts w:hint="default" w:ascii="Arial" w:hAnsi="Arial" w:cs="Arial"/>
          <w:color w:val="000000" w:themeColor="text1"/>
          <w:sz w:val="22"/>
          <w:szCs w:val="22"/>
          <w:lang w:val="en-US"/>
          <w14:textFill>
            <w14:solidFill>
              <w14:schemeClr w14:val="tx1"/>
            </w14:solidFill>
          </w14:textFill>
        </w:rPr>
        <w:t>, D.</w:t>
      </w:r>
      <w:r>
        <w:rPr>
          <w:rFonts w:hint="default" w:ascii="Arial" w:hAnsi="Arial" w:cs="Arial"/>
          <w:color w:val="000000" w:themeColor="text1"/>
          <w:sz w:val="22"/>
          <w:szCs w:val="22"/>
          <w14:textFill>
            <w14:solidFill>
              <w14:schemeClr w14:val="tx1"/>
            </w14:solidFill>
          </w14:textFill>
        </w:rPr>
        <w:t xml:space="preserve"> and</w:t>
      </w:r>
      <w:r>
        <w:rPr>
          <w:rFonts w:hint="default" w:ascii="Arial" w:hAnsi="Arial" w:cs="Arial"/>
          <w:color w:val="000000" w:themeColor="text1"/>
          <w:sz w:val="22"/>
          <w:szCs w:val="22"/>
          <w:lang w:val="en-US"/>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Duffy</w:t>
      </w:r>
      <w:r>
        <w:rPr>
          <w:rFonts w:hint="default" w:ascii="Arial" w:hAnsi="Arial" w:cs="Arial"/>
          <w:color w:val="000000" w:themeColor="text1"/>
          <w:sz w:val="22"/>
          <w:szCs w:val="22"/>
          <w:lang w:val="en-US"/>
          <w14:textFill>
            <w14:solidFill>
              <w14:schemeClr w14:val="tx1"/>
            </w14:solidFill>
          </w14:textFill>
        </w:rPr>
        <w:t xml:space="preserve">, C. (2022) Elon Musk’s Twitter lays off employees across the company. Available at: </w:t>
      </w:r>
      <w:r>
        <w:rPr>
          <w:rFonts w:hint="default" w:ascii="Arial" w:hAnsi="Arial" w:cs="Arial"/>
          <w:color w:val="000000" w:themeColor="text1"/>
          <w:sz w:val="22"/>
          <w:szCs w:val="22"/>
          <w:u w:val="none"/>
          <w:lang w:val="en-US"/>
          <w14:textFill>
            <w14:solidFill>
              <w14:schemeClr w14:val="tx1"/>
            </w14:solidFill>
          </w14:textFill>
        </w:rPr>
        <w:t>https://edition.cnn.com/2022/11/03/tech /twitter-layoffs/index.html</w:t>
      </w:r>
      <w:r>
        <w:rPr>
          <w:rFonts w:hint="default" w:ascii="Arial" w:hAnsi="Arial" w:cs="Arial"/>
          <w:color w:val="000000" w:themeColor="text1"/>
          <w:sz w:val="22"/>
          <w:szCs w:val="22"/>
          <w:lang w:val="en-US"/>
          <w14:textFill>
            <w14:solidFill>
              <w14:schemeClr w14:val="tx1"/>
            </w14:solidFill>
          </w14:textFill>
        </w:rPr>
        <w:t xml:space="preserve"> (Accessed: 12 December 2023).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Sarker, S. I. and Khan, M. R. A. (2013) ‘Classical and neoclassical approaches of management: An overview’, </w:t>
      </w:r>
      <w:r>
        <w:rPr>
          <w:rFonts w:hint="default" w:ascii="Arial" w:hAnsi="Arial" w:cs="Arial"/>
          <w:i/>
          <w:iCs/>
          <w:color w:val="000000" w:themeColor="text1"/>
          <w:sz w:val="22"/>
          <w:szCs w:val="22"/>
          <w14:textFill>
            <w14:solidFill>
              <w14:schemeClr w14:val="tx1"/>
            </w14:solidFill>
          </w14:textFill>
        </w:rPr>
        <w:t>IOSR Journal of Business and Management</w:t>
      </w:r>
      <w:r>
        <w:rPr>
          <w:rFonts w:hint="default" w:ascii="Arial" w:hAnsi="Arial" w:cs="Arial"/>
          <w:color w:val="000000" w:themeColor="text1"/>
          <w:sz w:val="22"/>
          <w:szCs w:val="22"/>
          <w14:textFill>
            <w14:solidFill>
              <w14:schemeClr w14:val="tx1"/>
            </w14:solidFill>
          </w14:textFill>
        </w:rPr>
        <w:t>, 14(6), pp. 1-5.</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Toh, M. and Liu, J. (2023) </w:t>
      </w:r>
      <w:r>
        <w:rPr>
          <w:rFonts w:hint="default" w:ascii="Arial" w:hAnsi="Arial" w:cs="Arial"/>
          <w:i/>
          <w:iCs/>
          <w:color w:val="000000" w:themeColor="text1"/>
          <w:sz w:val="22"/>
          <w:szCs w:val="22"/>
          <w14:textFill>
            <w14:solidFill>
              <w14:schemeClr w14:val="tx1"/>
            </w14:solidFill>
          </w14:textFill>
        </w:rPr>
        <w:t>Elon Musk says he’s cut about 80% of Twitter’s staff</w:t>
      </w:r>
      <w:r>
        <w:rPr>
          <w:rFonts w:hint="default" w:ascii="Arial" w:hAnsi="Arial" w:cs="Arial"/>
          <w:color w:val="000000" w:themeColor="text1"/>
          <w:sz w:val="22"/>
          <w:szCs w:val="22"/>
          <w14:textFill>
            <w14:solidFill>
              <w14:schemeClr w14:val="tx1"/>
            </w14:solidFill>
          </w14:textFill>
        </w:rPr>
        <w:t>. Available at: https://edition.cnn.com/2023/04/12/tech/elon-musk-bbc- interview-twitter-intl-hnk/index.html (Accessed: 22 October 2023).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Tough, H., Siegrist, J. and Fekete, C. (2017) ‘Social relationships, mental health and wellbeing in physical disability: a systematic review’, </w:t>
      </w:r>
      <w:r>
        <w:rPr>
          <w:rFonts w:hint="default" w:ascii="Arial" w:hAnsi="Arial" w:cs="Arial"/>
          <w:i/>
          <w:iCs/>
          <w:color w:val="000000" w:themeColor="text1"/>
          <w:sz w:val="22"/>
          <w:szCs w:val="22"/>
          <w14:textFill>
            <w14:solidFill>
              <w14:schemeClr w14:val="tx1"/>
            </w14:solidFill>
          </w14:textFill>
        </w:rPr>
        <w:t>BMC public health</w:t>
      </w:r>
      <w:r>
        <w:rPr>
          <w:rFonts w:hint="default" w:ascii="Arial" w:hAnsi="Arial" w:cs="Arial"/>
          <w:color w:val="000000" w:themeColor="text1"/>
          <w:sz w:val="22"/>
          <w:szCs w:val="22"/>
          <w14:textFill>
            <w14:solidFill>
              <w14:schemeClr w14:val="tx1"/>
            </w14:solidFill>
          </w14:textFill>
        </w:rPr>
        <w:t>, 17(1), pp. 1-18.</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Townsend, L. and Wallace, C. (2016) ‘Social media research: A guide to ethics’, </w:t>
      </w:r>
      <w:r>
        <w:rPr>
          <w:rFonts w:hint="default" w:ascii="Arial" w:hAnsi="Arial" w:cs="Arial"/>
          <w:i/>
          <w:iCs/>
          <w:color w:val="000000" w:themeColor="text1"/>
          <w:sz w:val="22"/>
          <w:szCs w:val="22"/>
          <w14:textFill>
            <w14:solidFill>
              <w14:schemeClr w14:val="tx1"/>
            </w14:solidFill>
          </w14:textFill>
        </w:rPr>
        <w:t>University of Aberdeen</w:t>
      </w:r>
      <w:r>
        <w:rPr>
          <w:rFonts w:hint="default" w:ascii="Arial" w:hAnsi="Arial" w:cs="Arial"/>
          <w:color w:val="000000" w:themeColor="text1"/>
          <w:sz w:val="22"/>
          <w:szCs w:val="22"/>
          <w14:textFill>
            <w14:solidFill>
              <w14:schemeClr w14:val="tx1"/>
            </w14:solidFill>
          </w14:textFill>
        </w:rPr>
        <w:t>, 1(16).</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Vanian, J. (2023) </w:t>
      </w:r>
      <w:r>
        <w:rPr>
          <w:rFonts w:hint="default" w:ascii="Arial" w:hAnsi="Arial" w:cs="Arial"/>
          <w:i/>
          <w:iCs/>
          <w:color w:val="000000" w:themeColor="text1"/>
          <w:sz w:val="22"/>
          <w:szCs w:val="22"/>
          <w14:textFill>
            <w14:solidFill>
              <w14:schemeClr w14:val="tx1"/>
            </w14:solidFill>
          </w14:textFill>
        </w:rPr>
        <w:t>Twitter’s top users are posting less since Musk takeover last year, Pew Survey shows</w:t>
      </w:r>
      <w:r>
        <w:rPr>
          <w:rFonts w:hint="default" w:ascii="Arial" w:hAnsi="Arial" w:cs="Arial"/>
          <w:color w:val="000000" w:themeColor="text1"/>
          <w:sz w:val="22"/>
          <w:szCs w:val="22"/>
          <w14:textFill>
            <w14:solidFill>
              <w14:schemeClr w14:val="tx1"/>
            </w14:solidFill>
          </w14:textFill>
        </w:rPr>
        <w:t>. Available at: https://www.cnbc.com/ 2023/05/17/twitters-top-users-are-posting-less-since-musk-acquisition-pew-shows.html (Accessed: 22 October 2023).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Woo, E. and Peterson, B. (2023) </w:t>
      </w:r>
      <w:r>
        <w:rPr>
          <w:rFonts w:hint="default" w:ascii="Arial" w:hAnsi="Arial" w:cs="Arial"/>
          <w:i/>
          <w:iCs/>
          <w:color w:val="000000" w:themeColor="text1"/>
          <w:sz w:val="22"/>
          <w:szCs w:val="22"/>
          <w14:textFill>
            <w14:solidFill>
              <w14:schemeClr w14:val="tx1"/>
            </w14:solidFill>
          </w14:textFill>
        </w:rPr>
        <w:t>Twitter</w:t>
      </w:r>
      <w:r>
        <w:rPr>
          <w:rFonts w:hint="default" w:ascii="Arial" w:hAnsi="Arial" w:cs="Arial"/>
          <w:color w:val="000000" w:themeColor="text1"/>
          <w:sz w:val="22"/>
          <w:szCs w:val="22"/>
          <w14:textFill>
            <w14:solidFill>
              <w14:schemeClr w14:val="tx1"/>
            </w14:solidFill>
          </w14:textFill>
        </w:rPr>
        <w:t>. Available at: https://www.theinformation.com/org-charts/twitter (Accessed: 23 October 2023).</w:t>
      </w:r>
    </w:p>
    <w:p>
      <w:pPr>
        <w:spacing w:line="480" w:lineRule="auto"/>
        <w:ind w:left="480" w:hanging="440" w:hangingChars="20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Wu, A. and Calic, G. (2022) </w:t>
      </w:r>
      <w:r>
        <w:rPr>
          <w:rFonts w:hint="default" w:ascii="Arial" w:hAnsi="Arial" w:cs="Arial"/>
          <w:i/>
          <w:iCs/>
          <w:color w:val="000000" w:themeColor="text1"/>
          <w:sz w:val="22"/>
          <w:szCs w:val="22"/>
          <w14:textFill>
            <w14:solidFill>
              <w14:schemeClr w14:val="tx1"/>
            </w14:solidFill>
          </w14:textFill>
        </w:rPr>
        <w:t>The Challenges of Transforming Twitter</w:t>
      </w:r>
      <w:r>
        <w:rPr>
          <w:rFonts w:hint="default" w:ascii="Arial" w:hAnsi="Arial" w:cs="Arial"/>
          <w:color w:val="000000" w:themeColor="text1"/>
          <w:sz w:val="22"/>
          <w:szCs w:val="22"/>
          <w14:textFill>
            <w14:solidFill>
              <w14:schemeClr w14:val="tx1"/>
            </w14:solidFill>
          </w14:textFill>
        </w:rPr>
        <w:t>. Available at: https://hbr.org/2022/10/the-challenges-of-transforming-twitter (Accessed: 23 October 2023).</w:t>
      </w:r>
    </w:p>
    <w:p>
      <w:pPr>
        <w:spacing w:line="480" w:lineRule="auto"/>
        <w:rPr>
          <w:rFonts w:hint="default" w:ascii="Arial" w:hAnsi="Arial" w:cs="Arial"/>
          <w:sz w:val="24"/>
          <w:szCs w:val="24"/>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Italic">
    <w:altName w:val="Arial"/>
    <w:panose1 w:val="020B0604020202090204"/>
    <w:charset w:val="00"/>
    <w:family w:val="auto"/>
    <w:pitch w:val="default"/>
    <w:sig w:usb0="00000000" w:usb1="00000000" w:usb2="00000001" w:usb3="00000000" w:csb0="400001BF" w:csb1="DFF7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DE69FE"/>
    <w:multiLevelType w:val="multilevel"/>
    <w:tmpl w:val="77DE69FE"/>
    <w:lvl w:ilvl="0" w:tentative="0">
      <w:start w:val="1"/>
      <w:numFmt w:val="decimal"/>
      <w:pStyle w:val="13"/>
      <w:suff w:val="space"/>
      <w:lvlText w:val="%1."/>
      <w:lvlJc w:val="left"/>
    </w:lvl>
    <w:lvl w:ilvl="1" w:tentative="0">
      <w:start w:val="1"/>
      <w:numFmt w:val="decimal"/>
      <w:pStyle w:val="15"/>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EwM2E1ODIyZTk0ZGRhMTk3NGU1OWIzYzkzZjQ4MGQifQ=="/>
  </w:docVars>
  <w:rsids>
    <w:rsidRoot w:val="00F33FB3"/>
    <w:rsid w:val="006B7DEB"/>
    <w:rsid w:val="00C65D9F"/>
    <w:rsid w:val="00CB70AA"/>
    <w:rsid w:val="00E92E2F"/>
    <w:rsid w:val="00F33FB3"/>
    <w:rsid w:val="00FF294C"/>
    <w:rsid w:val="1DFF46FB"/>
    <w:rsid w:val="1FDF7C0C"/>
    <w:rsid w:val="20501FF7"/>
    <w:rsid w:val="2EE10BC4"/>
    <w:rsid w:val="33060799"/>
    <w:rsid w:val="33BD3032"/>
    <w:rsid w:val="46A47E62"/>
    <w:rsid w:val="4B1621D5"/>
    <w:rsid w:val="56A44A31"/>
    <w:rsid w:val="57FB886F"/>
    <w:rsid w:val="64540503"/>
    <w:rsid w:val="6A7B935F"/>
    <w:rsid w:val="6FBFD01E"/>
    <w:rsid w:val="77FE812A"/>
    <w:rsid w:val="78C9322D"/>
    <w:rsid w:val="79BD3841"/>
    <w:rsid w:val="7EF51756"/>
    <w:rsid w:val="DF3A3E30"/>
    <w:rsid w:val="F5FBFBFA"/>
    <w:rsid w:val="F6EF1C35"/>
    <w:rsid w:val="FF3F6FB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7">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3">
    <w:name w:val="annotation text"/>
    <w:basedOn w:val="1"/>
    <w:link w:val="16"/>
    <w:uiPriority w:val="0"/>
    <w:rPr>
      <w:sz w:val="20"/>
      <w:szCs w:val="20"/>
    </w:rPr>
  </w:style>
  <w:style w:type="paragraph" w:styleId="4">
    <w:name w:val="footer"/>
    <w:basedOn w:val="1"/>
    <w:qFormat/>
    <w:uiPriority w:val="0"/>
    <w:pPr>
      <w:tabs>
        <w:tab w:val="center" w:pos="4153"/>
        <w:tab w:val="right" w:pos="8306"/>
      </w:tabs>
      <w:snapToGrid w:val="0"/>
      <w:jc w:val="left"/>
    </w:pPr>
    <w:rPr>
      <w:sz w:val="18"/>
    </w:rPr>
  </w:style>
  <w:style w:type="paragraph" w:styleId="5">
    <w:name w:val="annotation subject"/>
    <w:basedOn w:val="3"/>
    <w:next w:val="3"/>
    <w:link w:val="17"/>
    <w:uiPriority w:val="0"/>
    <w:rPr>
      <w:b/>
      <w:bCs/>
    </w:rPr>
  </w:style>
  <w:style w:type="character" w:styleId="8">
    <w:name w:val="Hyperlink"/>
    <w:basedOn w:val="7"/>
    <w:qFormat/>
    <w:uiPriority w:val="0"/>
    <w:rPr>
      <w:color w:val="0000FF"/>
      <w:u w:val="single"/>
    </w:rPr>
  </w:style>
  <w:style w:type="character" w:styleId="9">
    <w:name w:val="annotation reference"/>
    <w:basedOn w:val="7"/>
    <w:uiPriority w:val="0"/>
    <w:rPr>
      <w:sz w:val="16"/>
      <w:szCs w:val="16"/>
    </w:rPr>
  </w:style>
  <w:style w:type="paragraph" w:customStyle="1" w:styleId="10">
    <w:name w:val="WPSOffice手动目录 1"/>
    <w:uiPriority w:val="0"/>
    <w:rPr>
      <w:rFonts w:ascii="Times New Roman" w:hAnsi="Times New Roman" w:eastAsia="宋体" w:cs="Times New Roman"/>
      <w:lang w:val="en-GB" w:eastAsia="zh-CN" w:bidi="ar-SA"/>
    </w:rPr>
  </w:style>
  <w:style w:type="paragraph" w:customStyle="1" w:styleId="11">
    <w:name w:val="WPSOffice手动目录 2"/>
    <w:qFormat/>
    <w:uiPriority w:val="0"/>
    <w:pPr>
      <w:ind w:left="200" w:leftChars="200"/>
    </w:pPr>
    <w:rPr>
      <w:rFonts w:ascii="Times New Roman" w:hAnsi="Times New Roman" w:eastAsia="宋体" w:cs="Times New Roman"/>
      <w:lang w:val="en-GB" w:eastAsia="zh-CN" w:bidi="ar-SA"/>
    </w:rPr>
  </w:style>
  <w:style w:type="paragraph" w:customStyle="1" w:styleId="12">
    <w:name w:val="WPSOffice手动目录 3"/>
    <w:qFormat/>
    <w:uiPriority w:val="0"/>
    <w:pPr>
      <w:ind w:left="400" w:leftChars="400"/>
    </w:pPr>
    <w:rPr>
      <w:rFonts w:ascii="Times New Roman" w:hAnsi="Times New Roman" w:eastAsia="宋体" w:cs="Times New Roman"/>
      <w:lang w:val="en-GB" w:eastAsia="zh-CN" w:bidi="ar-SA"/>
    </w:rPr>
  </w:style>
  <w:style w:type="paragraph" w:customStyle="1" w:styleId="13">
    <w:name w:val="样式1"/>
    <w:basedOn w:val="1"/>
    <w:qFormat/>
    <w:uiPriority w:val="0"/>
    <w:pPr>
      <w:numPr>
        <w:ilvl w:val="0"/>
        <w:numId w:val="1"/>
      </w:numPr>
      <w:spacing w:line="360" w:lineRule="auto"/>
    </w:pPr>
    <w:rPr>
      <w:rFonts w:ascii="Calibri" w:hAnsi="Calibri" w:eastAsia="Calibri"/>
      <w:b/>
      <w:bCs/>
      <w:sz w:val="24"/>
    </w:rPr>
  </w:style>
  <w:style w:type="paragraph" w:customStyle="1" w:styleId="14">
    <w:name w:val="样式2"/>
    <w:basedOn w:val="1"/>
    <w:qFormat/>
    <w:uiPriority w:val="0"/>
    <w:pPr>
      <w:spacing w:line="360" w:lineRule="auto"/>
    </w:pPr>
    <w:rPr>
      <w:rFonts w:ascii="Calibri" w:hAnsi="Calibri" w:eastAsia="Calibri"/>
      <w:b/>
      <w:bCs/>
      <w:sz w:val="24"/>
    </w:rPr>
  </w:style>
  <w:style w:type="paragraph" w:customStyle="1" w:styleId="15">
    <w:name w:val="样式3"/>
    <w:basedOn w:val="1"/>
    <w:qFormat/>
    <w:uiPriority w:val="0"/>
    <w:pPr>
      <w:numPr>
        <w:ilvl w:val="1"/>
        <w:numId w:val="1"/>
      </w:numPr>
      <w:spacing w:line="360" w:lineRule="auto"/>
    </w:pPr>
    <w:rPr>
      <w:rFonts w:ascii="Calibri" w:hAnsi="Calibri" w:eastAsia="Calibri"/>
      <w:b/>
      <w:bCs/>
      <w:sz w:val="24"/>
    </w:rPr>
  </w:style>
  <w:style w:type="character" w:customStyle="1" w:styleId="16">
    <w:name w:val="Comment Text Char"/>
    <w:basedOn w:val="7"/>
    <w:link w:val="3"/>
    <w:uiPriority w:val="0"/>
    <w:rPr>
      <w:kern w:val="2"/>
      <w:lang w:val="en-US"/>
    </w:rPr>
  </w:style>
  <w:style w:type="character" w:customStyle="1" w:styleId="17">
    <w:name w:val="Comment Subject Char"/>
    <w:basedOn w:val="16"/>
    <w:link w:val="5"/>
    <w:uiPriority w:val="0"/>
    <w:rPr>
      <w:b/>
      <w:bCs/>
      <w:kern w:val="2"/>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21</Pages>
  <Words>3824</Words>
  <Characters>21799</Characters>
  <Lines>181</Lines>
  <Paragraphs>51</Paragraphs>
  <TotalTime>0</TotalTime>
  <ScaleCrop>false</ScaleCrop>
  <LinksUpToDate>false</LinksUpToDate>
  <CharactersWithSpaces>25572</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2023-10-27T08:40:00Z</dcterms:created>
  <dc:creator>XIAOTONG FENG</dc:creator>
  <cp:lastModifiedBy>我想要的仅此而已</cp:lastModifiedBy>
  <dcterms:modified xsi:type="dcterms:W3CDTF">2023-12-13T21:39:35Z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7F6BD1AF94EF41BEBDBFCA14B69AF8FC_13</vt:lpwstr>
  </property>
</Properties>
</file>