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D35633" w14:textId="77777777" w:rsidR="004E7B18" w:rsidRDefault="004E7B18" w:rsidP="004E7B18">
      <w:pPr>
        <w:jc w:val="center"/>
        <w:rPr>
          <w:lang w:val="en-GB"/>
        </w:rPr>
      </w:pPr>
    </w:p>
    <w:p w14:paraId="439EB519" w14:textId="77777777" w:rsidR="004E7B18" w:rsidRDefault="004E7B18" w:rsidP="004E7B18">
      <w:pPr>
        <w:jc w:val="center"/>
        <w:rPr>
          <w:lang w:val="en-GB"/>
        </w:rPr>
      </w:pPr>
    </w:p>
    <w:p w14:paraId="003BF0CF" w14:textId="77777777" w:rsidR="00573426" w:rsidRPr="00573426" w:rsidRDefault="00573426" w:rsidP="00573426">
      <w:pPr>
        <w:tabs>
          <w:tab w:val="left" w:pos="5580"/>
        </w:tabs>
        <w:jc w:val="center"/>
        <w:rPr>
          <w:rFonts w:ascii="Times New Roman" w:eastAsia="Calibri" w:hAnsi="Times New Roman" w:cs="Times New Roman"/>
          <w:b/>
          <w:color w:val="000000" w:themeColor="text1"/>
        </w:rPr>
      </w:pPr>
      <w:r w:rsidRPr="00573426">
        <w:rPr>
          <w:rFonts w:ascii="Times New Roman" w:eastAsia="Calibri" w:hAnsi="Times New Roman" w:cs="Times New Roman"/>
          <w:b/>
          <w:color w:val="000000" w:themeColor="text1"/>
        </w:rPr>
        <w:t>Cy</w:t>
      </w:r>
      <w:r w:rsidRPr="00573426">
        <w:rPr>
          <w:rFonts w:ascii="Times New Roman" w:hAnsi="Times New Roman" w:cs="Times New Roman"/>
          <w:b/>
          <w:color w:val="000000" w:themeColor="text1"/>
        </w:rPr>
        <w:t>flwynwch gy</w:t>
      </w:r>
      <w:r w:rsidRPr="00573426">
        <w:rPr>
          <w:rFonts w:ascii="Times New Roman" w:eastAsia="Calibri" w:hAnsi="Times New Roman" w:cs="Times New Roman"/>
          <w:b/>
          <w:color w:val="000000" w:themeColor="text1"/>
        </w:rPr>
        <w:t>fres o dasgau portffolio ac adfyfyriad proffesiynol ar y cynnydd a wneir mewn datblygiad iaith bersonol ar gyfer llafaredd, darllen ac ysgrifennu.</w:t>
      </w:r>
    </w:p>
    <w:p w14:paraId="737A10DC" w14:textId="77777777" w:rsidR="00573426" w:rsidRDefault="00573426" w:rsidP="00573426">
      <w:pPr>
        <w:jc w:val="center"/>
        <w:rPr>
          <w:lang w:val="cy-GB"/>
        </w:rPr>
      </w:pPr>
    </w:p>
    <w:p w14:paraId="2CE5B817" w14:textId="77777777" w:rsidR="00573426" w:rsidRDefault="00573426" w:rsidP="00573426">
      <w:pPr>
        <w:jc w:val="both"/>
        <w:rPr>
          <w:lang w:val="cy-GB"/>
        </w:rPr>
      </w:pPr>
    </w:p>
    <w:p w14:paraId="03D4210D" w14:textId="77777777" w:rsidR="00573426" w:rsidRDefault="00573426" w:rsidP="00573426">
      <w:pPr>
        <w:jc w:val="both"/>
        <w:rPr>
          <w:lang w:val="cy-GB"/>
        </w:rPr>
      </w:pPr>
    </w:p>
    <w:p w14:paraId="0CA90456" w14:textId="7B99513A" w:rsidR="0063115E" w:rsidRPr="00B23A72" w:rsidRDefault="000C3800" w:rsidP="00573426">
      <w:pPr>
        <w:jc w:val="both"/>
        <w:rPr>
          <w:rFonts w:ascii="Times New Roman" w:hAnsi="Times New Roman" w:cs="Times New Roman"/>
          <w:b/>
          <w:u w:val="single"/>
          <w:lang w:val="cy-GB"/>
        </w:rPr>
      </w:pPr>
      <w:r w:rsidRPr="00B23A72">
        <w:rPr>
          <w:rFonts w:ascii="Times New Roman" w:hAnsi="Times New Roman" w:cs="Times New Roman"/>
          <w:b/>
          <w:u w:val="single"/>
          <w:lang w:val="cy-GB"/>
        </w:rPr>
        <w:t>Tasg 1</w:t>
      </w:r>
    </w:p>
    <w:p w14:paraId="4AF7774A" w14:textId="77777777" w:rsidR="00087B31" w:rsidRPr="00B23A72" w:rsidRDefault="00087B31" w:rsidP="00573426">
      <w:pPr>
        <w:jc w:val="both"/>
        <w:rPr>
          <w:rFonts w:ascii="Times New Roman" w:hAnsi="Times New Roman" w:cs="Times New Roman"/>
          <w:lang w:val="cy-GB"/>
        </w:rPr>
      </w:pPr>
    </w:p>
    <w:p w14:paraId="1603AED7" w14:textId="19A57CCA" w:rsidR="00711CAE" w:rsidRPr="00B23A72" w:rsidRDefault="00FA1E77" w:rsidP="00711CAE">
      <w:pPr>
        <w:pStyle w:val="HTMLPreformatted"/>
        <w:spacing w:line="360" w:lineRule="auto"/>
        <w:jc w:val="both"/>
        <w:rPr>
          <w:rFonts w:ascii="Times New Roman" w:hAnsi="Times New Roman" w:cs="Times New Roman"/>
          <w:color w:val="212121"/>
          <w:sz w:val="24"/>
          <w:szCs w:val="24"/>
          <w:lang w:val="cy-GB"/>
        </w:rPr>
      </w:pPr>
      <w:r w:rsidRPr="00B23A72">
        <w:rPr>
          <w:rFonts w:ascii="Times New Roman" w:hAnsi="Times New Roman" w:cs="Times New Roman"/>
          <w:sz w:val="24"/>
          <w:szCs w:val="24"/>
          <w:lang w:val="cy-GB"/>
        </w:rPr>
        <w:t>Mae’r gweithgareddau a chyflwynir yn yr aseiniad yma yn ffocysu ar ansoddeiriau, berfau, ac adferfau. Penderfynwyd cwblhau weithgareddau yn seiliedig ar y testunau yma, gan fod y dosbarth o dri deg un disgybl ym mlwyddyn pump, ar fin cynnal trafodaeth dosbarth yn seiliedig ar thema’r tymor, sef plastigion. Pwrpas y drafodaeth yw dod i benderfyniad ynglŷn ag os oes angen plastig neu beidio. Pwysig iawn oedd sicrhau bod adferfau yn cael eu cyflwyno llaw yn llaw gydag adolygu ansoddeiriau. Noda Collins (1990) bod adferfau yn effeithiol iawn ar gyfer cryfhau’r defnydd o ansoddair mewn brawddeg. Ychwanega Myhill (2006) wrth awgrymu bod defnyddio dyfeisiau iaith yn gywir, yn medru creu tôn ddarbwyllol ac argyhoeddiadol. Wrth gyflwyno gwers yn seiliedig ar adferfau, ansoddeiriau a berfau, bydd y disgyblion yn fwy ymwybodol o sut i greu sgript, sy’n trafod ei safbwyntiau mewn modd sy’n cael dylanwad enfawr ar deimladau’r gynulleidfa yn dilyn y drafodaeth.</w:t>
      </w:r>
    </w:p>
    <w:p w14:paraId="0E437BEB" w14:textId="77777777" w:rsidR="0031314D" w:rsidRPr="00B23A72" w:rsidRDefault="0031314D" w:rsidP="00711CAE">
      <w:pPr>
        <w:pStyle w:val="HTMLPreformatted"/>
        <w:spacing w:line="360" w:lineRule="auto"/>
        <w:jc w:val="both"/>
        <w:rPr>
          <w:rFonts w:ascii="Times New Roman" w:hAnsi="Times New Roman" w:cs="Times New Roman"/>
          <w:color w:val="212121"/>
          <w:sz w:val="24"/>
          <w:szCs w:val="24"/>
          <w:lang w:val="cy-GB"/>
        </w:rPr>
      </w:pPr>
    </w:p>
    <w:p w14:paraId="5EB33007" w14:textId="5F60D327" w:rsidR="007A20CF" w:rsidRPr="00B23A72" w:rsidRDefault="00127B0E" w:rsidP="00711CAE">
      <w:pPr>
        <w:pStyle w:val="HTMLPreformatted"/>
        <w:spacing w:line="360" w:lineRule="auto"/>
        <w:jc w:val="both"/>
        <w:rPr>
          <w:rFonts w:ascii="Times New Roman" w:hAnsi="Times New Roman" w:cs="Times New Roman"/>
          <w:color w:val="212121"/>
          <w:sz w:val="24"/>
          <w:szCs w:val="24"/>
          <w:lang w:val="cy-GB"/>
        </w:rPr>
      </w:pPr>
      <w:r w:rsidRPr="00B23A72">
        <w:rPr>
          <w:rFonts w:ascii="Times New Roman" w:hAnsi="Times New Roman" w:cs="Times New Roman"/>
          <w:color w:val="212121"/>
          <w:sz w:val="24"/>
          <w:szCs w:val="24"/>
          <w:lang w:val="cy-GB"/>
        </w:rPr>
        <w:t>Mae’n allweddol wrth baratoi ar gyfer y drafodaeth, bod yr holl ddisgyblion yn ymwybodol o beth yw berf, adferf, ansoddair, a sut i’w defnyddio’n effeithiol mewn brawddeg. Am y rheswm yma, roedd gwahaniaethu’r tasgau yn galed. Ar gyfer gwahaniaethu ar gyfer y dasg yma, ystyrir yr amser a chymerwyd i unigolion gwblhau taflenni penodol. Roedd y taflenni a ddosbarthwyd i’r disgyblion, yn cynnwys darn darllen yn seiliedig ar blastigion. Yn dilyn y darn darllen, bydd y disgyblion yn gorfod nodi naill ai pob ansoddair, berf, neu adferf a ddarganfyddir, yn dibynnu ar ba weithgaredd maent yn cwblhau yn gyntaf. i’r grŵp gallu uchel, bydd y darn darllen ychydig yn haws, wrth iddo fod yn llai mewn maint a chynnwys ansoddeiriau, berfau neu adferfau yn unig, yn hytrach na chymysg o’r tair.</w:t>
      </w:r>
    </w:p>
    <w:p w14:paraId="2091769B" w14:textId="77777777" w:rsidR="00127B0E" w:rsidRPr="00B23A72" w:rsidRDefault="00127B0E" w:rsidP="00711CAE">
      <w:pPr>
        <w:pStyle w:val="HTMLPreformatted"/>
        <w:spacing w:line="360" w:lineRule="auto"/>
        <w:jc w:val="both"/>
        <w:rPr>
          <w:rFonts w:ascii="Times New Roman" w:hAnsi="Times New Roman" w:cs="Times New Roman"/>
          <w:color w:val="212121"/>
          <w:sz w:val="24"/>
          <w:szCs w:val="24"/>
          <w:lang w:val="cy-GB"/>
        </w:rPr>
      </w:pPr>
    </w:p>
    <w:p w14:paraId="12A83551" w14:textId="307D7597" w:rsidR="00087B31" w:rsidRPr="00B23A72" w:rsidRDefault="00737C2D" w:rsidP="00737C2D">
      <w:pPr>
        <w:spacing w:line="360" w:lineRule="auto"/>
        <w:jc w:val="both"/>
        <w:rPr>
          <w:rFonts w:ascii="Times New Roman" w:hAnsi="Times New Roman" w:cs="Times New Roman"/>
        </w:rPr>
      </w:pPr>
      <w:r w:rsidRPr="00B23A72">
        <w:rPr>
          <w:rFonts w:ascii="Times New Roman" w:hAnsi="Times New Roman" w:cs="Times New Roman"/>
        </w:rPr>
        <w:t xml:space="preserve">Mae’r gwaith wedi eu gwahaniaethu fel hyn er mwyn sicrhau bod cyflymder prosesu unigolion ddim yn cael effaith ar ba mor llwyddiannus ydyn nhw, wrth gwblhau’r tasgau. Noda gan Wright (2019) bod cyflymder prosesu unigolyn yn ymddangos yn glir yn ystod gweithgareddau darllen. Ehanga Wright wrth nodi bod cyflymder darllen cyffredin y disgyblion, ddim yn cael unrhyw effaith ar gyflymder prosesu disgyblion. Serch hynny, mae’n amlwg bod disgyblion </w:t>
      </w:r>
      <w:r w:rsidRPr="00B23A72">
        <w:rPr>
          <w:rFonts w:ascii="Times New Roman" w:hAnsi="Times New Roman" w:cs="Times New Roman"/>
        </w:rPr>
        <w:lastRenderedPageBreak/>
        <w:t>sy’n darllen gwaith yn gyflym, yn fwy tebygol o brosesu’r wybodaeth yn gyflym, i gymharu â’r disgyblion sy’n darllen yn araf. Ychwanega Cicerchia (2019) bod rhaid rhoi mwy o amser i unigolion gwblhau’r gweithgaredd os mae cyflymder darllen yr unigolyn yn isel. Wrth roi darn darllen llai i’r disgyblion penodol yma, bydd ganddynt fwy o amser i gwblhau’r gweithgareddau.</w:t>
      </w:r>
    </w:p>
    <w:p w14:paraId="5814E9B6" w14:textId="77777777" w:rsidR="00737C2D" w:rsidRPr="00B23A72" w:rsidRDefault="00737C2D" w:rsidP="00737C2D">
      <w:pPr>
        <w:spacing w:line="360" w:lineRule="auto"/>
        <w:jc w:val="both"/>
        <w:rPr>
          <w:rFonts w:ascii="Times New Roman" w:hAnsi="Times New Roman" w:cs="Times New Roman"/>
        </w:rPr>
      </w:pPr>
    </w:p>
    <w:p w14:paraId="3A96605E" w14:textId="77777777" w:rsidR="004E7B18" w:rsidRPr="00B23A72" w:rsidRDefault="004E7B18" w:rsidP="00573426">
      <w:pPr>
        <w:jc w:val="both"/>
        <w:rPr>
          <w:rFonts w:ascii="Times New Roman" w:hAnsi="Times New Roman" w:cs="Times New Roman"/>
          <w:lang w:val="en-GB"/>
        </w:rPr>
      </w:pPr>
    </w:p>
    <w:p w14:paraId="1FCBAF8E" w14:textId="6BB8A947" w:rsidR="00573A7A" w:rsidRPr="00DC23D4" w:rsidRDefault="00DC23D4" w:rsidP="00573426">
      <w:pPr>
        <w:jc w:val="both"/>
        <w:rPr>
          <w:rFonts w:ascii="Times New Roman" w:hAnsi="Times New Roman" w:cs="Times New Roman"/>
          <w:lang w:val="en-GB"/>
        </w:rPr>
      </w:pPr>
      <w:r>
        <w:rPr>
          <w:rFonts w:ascii="Times New Roman" w:hAnsi="Times New Roman" w:cs="Times New Roman"/>
          <w:b/>
          <w:u w:val="single"/>
          <w:lang w:val="en-GB"/>
        </w:rPr>
        <w:t>Tasg 2:</w:t>
      </w:r>
      <w:r>
        <w:rPr>
          <w:rFonts w:ascii="Times New Roman" w:hAnsi="Times New Roman" w:cs="Times New Roman"/>
          <w:lang w:val="en-GB"/>
        </w:rPr>
        <w:t xml:space="preserve">  </w:t>
      </w:r>
      <w:hyperlink r:id="rId7" w:history="1">
        <w:r w:rsidRPr="003E5A27">
          <w:rPr>
            <w:rStyle w:val="Hyperlink"/>
            <w:rFonts w:ascii="Times New Roman" w:hAnsi="Times New Roman" w:cs="Times New Roman"/>
            <w:lang w:val="en-GB"/>
          </w:rPr>
          <w:t>https://yo</w:t>
        </w:r>
        <w:r w:rsidRPr="003E5A27">
          <w:rPr>
            <w:rStyle w:val="Hyperlink"/>
            <w:rFonts w:ascii="Times New Roman" w:hAnsi="Times New Roman" w:cs="Times New Roman"/>
            <w:lang w:val="en-GB"/>
          </w:rPr>
          <w:t>u</w:t>
        </w:r>
        <w:r w:rsidRPr="003E5A27">
          <w:rPr>
            <w:rStyle w:val="Hyperlink"/>
            <w:rFonts w:ascii="Times New Roman" w:hAnsi="Times New Roman" w:cs="Times New Roman"/>
            <w:lang w:val="en-GB"/>
          </w:rPr>
          <w:t>tu.be/vyJmV0sQVWU</w:t>
        </w:r>
      </w:hyperlink>
      <w:r>
        <w:rPr>
          <w:rFonts w:ascii="Times New Roman" w:hAnsi="Times New Roman" w:cs="Times New Roman"/>
          <w:lang w:val="en-GB"/>
        </w:rPr>
        <w:t xml:space="preserve"> </w:t>
      </w:r>
      <w:bookmarkStart w:id="0" w:name="_GoBack"/>
      <w:bookmarkEnd w:id="0"/>
    </w:p>
    <w:p w14:paraId="6C49D0A4" w14:textId="77777777" w:rsidR="00573A7A" w:rsidRPr="00B23A72" w:rsidRDefault="00573A7A" w:rsidP="00573426">
      <w:pPr>
        <w:jc w:val="both"/>
        <w:rPr>
          <w:rFonts w:ascii="Times New Roman" w:hAnsi="Times New Roman" w:cs="Times New Roman"/>
          <w:b/>
          <w:u w:val="single"/>
          <w:lang w:val="en-GB"/>
        </w:rPr>
      </w:pPr>
    </w:p>
    <w:p w14:paraId="40585F21" w14:textId="77777777" w:rsidR="00573A7A" w:rsidRPr="00B23A72" w:rsidRDefault="00573A7A" w:rsidP="00573426">
      <w:pPr>
        <w:jc w:val="both"/>
        <w:rPr>
          <w:rFonts w:ascii="Times New Roman" w:hAnsi="Times New Roman" w:cs="Times New Roman"/>
          <w:b/>
          <w:u w:val="single"/>
          <w:lang w:val="en-GB"/>
        </w:rPr>
      </w:pPr>
    </w:p>
    <w:p w14:paraId="3A3981F4" w14:textId="77777777" w:rsidR="00573A7A" w:rsidRPr="00B23A72" w:rsidRDefault="00573A7A" w:rsidP="00573426">
      <w:pPr>
        <w:jc w:val="both"/>
        <w:rPr>
          <w:rFonts w:ascii="Times New Roman" w:hAnsi="Times New Roman" w:cs="Times New Roman"/>
          <w:b/>
          <w:u w:val="single"/>
          <w:lang w:val="en-GB"/>
        </w:rPr>
      </w:pPr>
    </w:p>
    <w:p w14:paraId="4B3B4A40" w14:textId="3C9C6692" w:rsidR="00573A7A" w:rsidRPr="00B23A72" w:rsidRDefault="00573A7A" w:rsidP="00573426">
      <w:pPr>
        <w:jc w:val="both"/>
        <w:rPr>
          <w:rFonts w:ascii="Times New Roman" w:hAnsi="Times New Roman" w:cs="Times New Roman"/>
          <w:b/>
          <w:u w:val="single"/>
          <w:lang w:val="en-GB"/>
        </w:rPr>
      </w:pPr>
      <w:r w:rsidRPr="00B23A72">
        <w:rPr>
          <w:rFonts w:ascii="Times New Roman" w:hAnsi="Times New Roman" w:cs="Times New Roman"/>
          <w:b/>
          <w:u w:val="single"/>
          <w:lang w:val="en-GB"/>
        </w:rPr>
        <w:t>Tasg 3</w:t>
      </w:r>
    </w:p>
    <w:p w14:paraId="5717C967" w14:textId="77777777" w:rsidR="00573A7A" w:rsidRPr="00B23A72" w:rsidRDefault="00573A7A" w:rsidP="00573426">
      <w:pPr>
        <w:jc w:val="both"/>
        <w:rPr>
          <w:rFonts w:ascii="Times New Roman" w:hAnsi="Times New Roman" w:cs="Times New Roman"/>
          <w:b/>
          <w:u w:val="single"/>
          <w:lang w:val="en-GB"/>
        </w:rPr>
      </w:pPr>
    </w:p>
    <w:p w14:paraId="3BF338E6" w14:textId="4FB8CD9D" w:rsidR="0014404B" w:rsidRPr="00B23A72" w:rsidRDefault="00AD15D6" w:rsidP="001C6C77">
      <w:pPr>
        <w:spacing w:line="360" w:lineRule="auto"/>
        <w:jc w:val="both"/>
        <w:rPr>
          <w:rFonts w:ascii="Times New Roman" w:hAnsi="Times New Roman" w:cs="Times New Roman"/>
          <w:lang w:val="en-GB"/>
        </w:rPr>
      </w:pPr>
      <w:r w:rsidRPr="00B23A72">
        <w:rPr>
          <w:rFonts w:ascii="Times New Roman" w:hAnsi="Times New Roman" w:cs="Times New Roman"/>
          <w:lang w:val="en-GB"/>
        </w:rPr>
        <w:t>Y peth cyntaf sy’n ymddangos yn y fidio yw’r athro yn parhau i gwestiynu’r disgyblion, er mwyn darganfod dealltwriaeth y plant o’r testun. Mae cwestiynu yn elfen bwysig yn ystod pob rhan o’r wers, y cyflwyniad, y brif dasg a hefyd y diweddglo. Noda gan Paul a Elder (2000) bod y sgil o feddwl yn cael ei yrru gan gwestiynau, dim atebion. Dyma felly, pam penderfynodd yr athro i ychwanegu cwestiynau at bob rhan o’r gweithgaredd, gyda’r gobaith fydd y disgyblion yn parhau i feddwl yn ddwys trwy gydol y wers.</w:t>
      </w:r>
    </w:p>
    <w:p w14:paraId="7FB4E0B0" w14:textId="77777777" w:rsidR="00AD15D6" w:rsidRPr="00B23A72" w:rsidRDefault="00AD15D6" w:rsidP="001C6C77">
      <w:pPr>
        <w:spacing w:line="360" w:lineRule="auto"/>
        <w:jc w:val="both"/>
        <w:rPr>
          <w:rFonts w:ascii="Times New Roman" w:hAnsi="Times New Roman" w:cs="Times New Roman"/>
          <w:lang w:val="en-GB"/>
        </w:rPr>
      </w:pPr>
    </w:p>
    <w:p w14:paraId="26C4EFB2" w14:textId="1063A971" w:rsidR="00E132A5" w:rsidRPr="00B23A72" w:rsidRDefault="00BD0DEC" w:rsidP="001C6C77">
      <w:pPr>
        <w:spacing w:line="360" w:lineRule="auto"/>
        <w:jc w:val="both"/>
        <w:rPr>
          <w:rFonts w:ascii="Times New Roman" w:hAnsi="Times New Roman" w:cs="Times New Roman"/>
          <w:lang w:val="en-GB"/>
        </w:rPr>
      </w:pPr>
      <w:r w:rsidRPr="00B23A72">
        <w:rPr>
          <w:rFonts w:ascii="Times New Roman" w:hAnsi="Times New Roman" w:cs="Times New Roman"/>
          <w:lang w:val="en-GB"/>
        </w:rPr>
        <w:t>Dangosa’r fidio bod rhan fwyaf o’r cwestiynau a ofynnwyd gan yr athro, yn rhai caeedig, lle mae ond un ateb cywir i gael. Pwysleisir gan Brown et, al. (2014) bod cwestiynau caeedig yn chwarae rôl bwysig iawn mewn datblygu a gwreiddio’r wybodaeth graidd sydd angen ar ddisgyblion. Wrth sicrhau bod y cwestiynau a ofynnwyd yn gaeedig, rhoddwyd cyfle i’r disgyblion feddwl yn galed am un ateb pendant. Yn ogystal â hyn, wrth i’r ateb cywir yna cael ei rhannu, mae’r disgyblion yn cofio’r un darn o wybodaeth bynciol gadarn yna.</w:t>
      </w:r>
    </w:p>
    <w:p w14:paraId="5A680EDE" w14:textId="77777777" w:rsidR="00BD0DEC" w:rsidRPr="00B23A72" w:rsidRDefault="00BD0DEC" w:rsidP="001C6C77">
      <w:pPr>
        <w:spacing w:line="360" w:lineRule="auto"/>
        <w:jc w:val="both"/>
        <w:rPr>
          <w:rFonts w:ascii="Times New Roman" w:hAnsi="Times New Roman" w:cs="Times New Roman"/>
          <w:lang w:val="en-GB"/>
        </w:rPr>
      </w:pPr>
    </w:p>
    <w:p w14:paraId="3DA8054C" w14:textId="77777777" w:rsidR="00FB0A1E" w:rsidRPr="00B23A72" w:rsidRDefault="00FB0A1E" w:rsidP="001C6C77">
      <w:pPr>
        <w:spacing w:line="360" w:lineRule="auto"/>
        <w:jc w:val="both"/>
        <w:rPr>
          <w:rFonts w:ascii="Times New Roman" w:hAnsi="Times New Roman" w:cs="Times New Roman"/>
          <w:lang w:val="en-GB"/>
        </w:rPr>
      </w:pPr>
      <w:r w:rsidRPr="00B23A72">
        <w:rPr>
          <w:rFonts w:ascii="Times New Roman" w:hAnsi="Times New Roman" w:cs="Times New Roman"/>
          <w:lang w:val="en-GB"/>
        </w:rPr>
        <w:t xml:space="preserve">Yn ystod y diweddglo, rhannodd yr athro'r dosbarth i mewn i ddau tim gwahanol, er mwyn cwblhau cwis ac adolygu’r hyn a ddysgwyd yn ystod y wers. i ddechrau, roedd yr athro’n dewis yr unigolion a oedd yn codi llaw yn syth, i ateb. Fodd bynnag, erbyn diwedd y gweithgaredd, roedd yr athro’n dewis unigolion nad oedd yn codi llaw. Mae gofyn cwestiynau i’r unigolion swil yma, yn creu amryw o fanteision i’r wers. Nodir gan Lemov (2015) bod cwestiynu’r unigolion swil yn sicrhau bod yr athro ddim yn dibynnu’n ormodol ar yr un neu ddau unigolyn hyderus. Digwyddodd hyn yn ystod y cyflwyniad. Wrth i unigolyn parhau i godi llaw, roedd yr athro’n dueddol o ddewis y disgybl i ateb, yn hytrach nag adael rhywun arall i gynnig ateb. </w:t>
      </w:r>
    </w:p>
    <w:p w14:paraId="46965081" w14:textId="0478C295" w:rsidR="00573A7A" w:rsidRPr="00B23A72" w:rsidRDefault="00BB2108" w:rsidP="00BB2108">
      <w:pPr>
        <w:spacing w:line="360" w:lineRule="auto"/>
        <w:jc w:val="both"/>
        <w:rPr>
          <w:rFonts w:ascii="Times New Roman" w:hAnsi="Times New Roman" w:cs="Times New Roman"/>
          <w:lang w:val="en-GB"/>
        </w:rPr>
      </w:pPr>
      <w:r w:rsidRPr="00B23A72">
        <w:rPr>
          <w:rFonts w:ascii="Times New Roman" w:hAnsi="Times New Roman" w:cs="Times New Roman"/>
          <w:lang w:val="en-GB"/>
        </w:rPr>
        <w:t>Serch hynny, wrth ddewis disgybl gwahanol pob tro yn ystod y diweddglo, roedd yr athro’n medru darganfod os oedd llawer o unigolion wedi gwneud unrhyw gynnydd yn ystod y wers. Ychwanegir Lemov (2015) bod y dull yma o gwestiynu yn addas ar gyfer sicrhau canolbwyntio. Os mae’r disgyblion yn ymwybodol o’r athro’n gofyn cwestiynau i unrhyw un, yna mae’n debygol bydd y disgyblion i gyd yn cymryd mwy o sylw ar y gwaith er mwyn llwyddo i ateb y cwestiynau ar lafar yn gywir.</w:t>
      </w:r>
    </w:p>
    <w:p w14:paraId="27CD84FA" w14:textId="77777777" w:rsidR="00BB2108" w:rsidRPr="00B23A72" w:rsidRDefault="00BB2108" w:rsidP="00573426">
      <w:pPr>
        <w:jc w:val="both"/>
        <w:rPr>
          <w:rFonts w:ascii="Times New Roman" w:hAnsi="Times New Roman" w:cs="Times New Roman"/>
          <w:lang w:val="en-GB"/>
        </w:rPr>
      </w:pPr>
    </w:p>
    <w:p w14:paraId="192D4404" w14:textId="798E5BF1" w:rsidR="00E05274" w:rsidRPr="00B23A72" w:rsidRDefault="00BB2108" w:rsidP="00E05274">
      <w:pPr>
        <w:spacing w:line="360" w:lineRule="auto"/>
        <w:jc w:val="both"/>
        <w:rPr>
          <w:rFonts w:ascii="Times New Roman" w:hAnsi="Times New Roman" w:cs="Times New Roman"/>
          <w:lang w:val="en-GB"/>
        </w:rPr>
      </w:pPr>
      <w:r w:rsidRPr="00B23A72">
        <w:rPr>
          <w:rFonts w:ascii="Times New Roman" w:hAnsi="Times New Roman" w:cs="Times New Roman"/>
          <w:lang w:val="en-GB"/>
        </w:rPr>
        <w:t>Wrth gwblhau’r prif weithgareddau, rhodda’r athro caniatâd i’r disgyblion, i weithio mewn parau. Yn amlwg, dangosa’r disgyblion agwedd bositif tuag at y penderfyniad yma, gan fod nhw’n cael cyfle i drafod gyda ffrind. Cydnabyddir gan Race (2000) bod gwaith grŵp yn effeithiol gan ei fod yn troi unrhyw weithgaredd, yn llawer mwy hwylus i’r disgyblion. Wrth i’r athro osod y dosbarth mewn i barau er mwyn cwblhau’r gweithgareddau, mae’r dasg o ddarllen yn ogystal â’r elfen ysgrifenedig o’r dasg, yn fwy apelgar i’r disgyblion.</w:t>
      </w:r>
    </w:p>
    <w:p w14:paraId="656A173F" w14:textId="77777777" w:rsidR="00BB2108" w:rsidRPr="00B23A72" w:rsidRDefault="00BB2108" w:rsidP="00E05274">
      <w:pPr>
        <w:spacing w:line="360" w:lineRule="auto"/>
        <w:jc w:val="both"/>
        <w:rPr>
          <w:rFonts w:ascii="Times New Roman" w:hAnsi="Times New Roman" w:cs="Times New Roman"/>
          <w:lang w:val="en-GB"/>
        </w:rPr>
      </w:pPr>
    </w:p>
    <w:p w14:paraId="551ED72D" w14:textId="57A9E883" w:rsidR="00340524" w:rsidRPr="00B23A72" w:rsidRDefault="000B34AC" w:rsidP="00E05274">
      <w:pPr>
        <w:spacing w:line="360" w:lineRule="auto"/>
        <w:jc w:val="both"/>
        <w:rPr>
          <w:rFonts w:ascii="Times New Roman" w:hAnsi="Times New Roman" w:cs="Times New Roman"/>
          <w:lang w:val="en-GB"/>
        </w:rPr>
      </w:pPr>
      <w:r w:rsidRPr="00B23A72">
        <w:rPr>
          <w:rFonts w:ascii="Times New Roman" w:hAnsi="Times New Roman" w:cs="Times New Roman"/>
          <w:lang w:val="en-GB"/>
        </w:rPr>
        <w:t>Fodd bynnag, dadlau Davis (1993) bod gwaith pâr yn anfanteisiol, gan ei fod yn rhoi cyfle i ffrindiau drafod am amrywiaeth o bethau sydd ddim yn rhan o’r gwaith dan sylw. Serch hynny, dangosa’r fidio bod y disgyblion yn cymryd mantais o waith grŵp, wrth rannu atebion posib a gofyn am gymorth ffrind pan mae angen. Mae’r canlyniad yma yn cysylltu’n gryf at ganfyddiadau Jaques (2000), lle phwysleisiwyd bod gwaith pâr yn effeithiol gan fod disgybl yn debygol i ofyn cymorth ffrind, yn hytrach na chymorth athro neu athrawes.</w:t>
      </w:r>
    </w:p>
    <w:p w14:paraId="2C49C8D3" w14:textId="77777777" w:rsidR="000B34AC" w:rsidRPr="00B23A72" w:rsidRDefault="000B34AC" w:rsidP="00E05274">
      <w:pPr>
        <w:spacing w:line="360" w:lineRule="auto"/>
        <w:jc w:val="both"/>
        <w:rPr>
          <w:rFonts w:ascii="Times New Roman" w:hAnsi="Times New Roman" w:cs="Times New Roman"/>
          <w:lang w:val="en-GB"/>
        </w:rPr>
      </w:pPr>
    </w:p>
    <w:p w14:paraId="3D4C4176" w14:textId="77777777" w:rsidR="004C3FEE" w:rsidRPr="00B23A72" w:rsidRDefault="004C3FEE" w:rsidP="004C3FEE">
      <w:pPr>
        <w:spacing w:line="360" w:lineRule="auto"/>
        <w:jc w:val="both"/>
        <w:rPr>
          <w:rFonts w:ascii="Times New Roman" w:hAnsi="Times New Roman" w:cs="Times New Roman"/>
          <w:lang w:val="en-GB"/>
        </w:rPr>
      </w:pPr>
      <w:r w:rsidRPr="00B23A72">
        <w:rPr>
          <w:rFonts w:ascii="Times New Roman" w:hAnsi="Times New Roman" w:cs="Times New Roman"/>
          <w:lang w:val="en-GB"/>
        </w:rPr>
        <w:t xml:space="preserve">Defnyddiwyd yr athro bodiau fynnu fel strategaeth asesu ar gyfer dysgu yn ystod y wers. Yn benodol, defnyddia’r athro'r strategaeth yn dilyn cyflwyniad pwerbwynt yn seiliedig ar y gweithgareddau, wrth i’r disgyblion ar fin cychwyn a’r dasg. Dyffinir bodiau fynnu gan King (2015), fel strategaeth asesu ffurfiannol effeithiol, sy’n galluogi’r athro i wybod os mae pob disgybl yn deall y dasg. Gwelir arfer dda o’r strategaeth yma yn y fidio, lle sylwir gan yr athro bod un unigolyn ddim yn deall y gwaith yn llwyr. Yn dilyn hyn, dangosa’r fidio bod yr athro am roi cymorth ychwanegol i’r unigolyn yma, wrth i weddill y dosbarth cychwyn a’r dasg. </w:t>
      </w:r>
    </w:p>
    <w:p w14:paraId="702AAAFF" w14:textId="77777777" w:rsidR="0031415E" w:rsidRPr="00B23A72" w:rsidRDefault="0031415E" w:rsidP="00E05274">
      <w:pPr>
        <w:spacing w:line="360" w:lineRule="auto"/>
        <w:jc w:val="both"/>
        <w:rPr>
          <w:rFonts w:ascii="Times New Roman" w:hAnsi="Times New Roman" w:cs="Times New Roman"/>
          <w:lang w:val="en-GB"/>
        </w:rPr>
      </w:pPr>
    </w:p>
    <w:p w14:paraId="2FEEFE4F" w14:textId="6FD84B08" w:rsidR="0031415E" w:rsidRPr="00B23A72" w:rsidRDefault="004C3FEE" w:rsidP="00E05274">
      <w:pPr>
        <w:spacing w:line="360" w:lineRule="auto"/>
        <w:jc w:val="both"/>
        <w:rPr>
          <w:rFonts w:ascii="Times New Roman" w:hAnsi="Times New Roman" w:cs="Times New Roman"/>
          <w:lang w:val="en-GB"/>
        </w:rPr>
      </w:pPr>
      <w:r w:rsidRPr="00B23A72">
        <w:rPr>
          <w:rFonts w:ascii="Times New Roman" w:hAnsi="Times New Roman" w:cs="Times New Roman"/>
          <w:lang w:val="en-GB"/>
        </w:rPr>
        <w:t>Defnyddia’r athro cwestiynu hefyd, fel strategaeth i asesu dysgu’r disgyblion. Noda gan Armstrong (2018) bod cwestiynu effeithiol yn cael dylanwad enfawr ar ba mor llwyddiannus mae’r wers. Ehanga Armstrong (2018) wrth nodi yn gyntaf, bod rhaid i’r athrawon sicrhau ei fod nhw ond yn gofyn un cwestiwn ar y tro, neu ni fydd y disgyblion yn gwybod yn union beth mae’r athro eisiau nhw ateb. Gwelir arfer dda o hyn yn ystod cyflwyniad i’r wers dan sylw. Sylwir fod yr athro yn parhau i ofyn yr un cwestiwn, ac nid oedd yr athro erioed yn symud ymlaen neu’n ail eirio’r cwestiwn, nes iddo gael ateb cywir gan ddisgybl. Sylwir hefyd fod yr athro’n amseri gwestiynau yn effeithiol, yn benodol, wrth i’r disgyblion parhau i gwblhau’r tasgau. Awgryma Anderson a Krathwohl (2001) bod llwyddiant disgybl i gwblhau prif weithgaredd, yn dibynnu llawer ar y cyflwyniad, ond hefyd yn dibynnu ar y cymorth sydd ar gael iddynt yn ystod y dasg. Gwelir arfer dda eto o hyn yn ystod y wers. Wrth i’r disgyblion cwblhau’r gweithgareddau, roedd unigolion yn dueddol o ofyn cwestiynau i’r athro. Yn hytrach nag ateb y cwestiwn yn syth, roedd yr athro yn dueddol o ofyn cwestiwn yn ôl at yr unigolyn. Roedd gwneud hyn yn effeithiol oherwydd roedd y cwestiwn newydd yn hybu sgiliau meddwl y disgyblion, ac yn y pendraw, roedd ateb synhwyrol yn cael ei greu. Roedd y cwestiwn a ofynnwyd gan yr athro yn cysylltu’n gryf at y cwestiwn gwreiddiol, oherwydd roedd ateb i gwestiwn yr athro yn y pendraw, yn ateb cwestiwn gwreiddiol y disgybl. Felly, er bod y disgybl wedi gofyn am gymorth athro, y disgybl sydd yn gwneud y gwaith.</w:t>
      </w:r>
    </w:p>
    <w:p w14:paraId="6EAC402C" w14:textId="77777777" w:rsidR="000F0FCA" w:rsidRPr="00B23A72" w:rsidRDefault="000F0FCA" w:rsidP="00E05274">
      <w:pPr>
        <w:spacing w:line="360" w:lineRule="auto"/>
        <w:jc w:val="both"/>
        <w:rPr>
          <w:rFonts w:ascii="Times New Roman" w:hAnsi="Times New Roman" w:cs="Times New Roman"/>
          <w:lang w:val="en-GB"/>
        </w:rPr>
      </w:pPr>
    </w:p>
    <w:p w14:paraId="255D123E" w14:textId="0B07D721" w:rsidR="001C6C77" w:rsidRPr="00B23A72" w:rsidRDefault="00DE1039" w:rsidP="00DE1039">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Strategaeth arall oedd yn ymddangos yn y wers yma oedd hunan asesu, ac asesu cyfoedion. Noda Hughes (1995) bod asesu cyfoedion yn helpu disgybl i dderbyn adborth defnyddiol a pherthnasol gan ffrind. Ehanga Hughes wrth nodi bod plant yn fwy tebygol o dderbyn adborth yn bositif oddi wrth ffrind nag oddi wrth athro neu athrawes. Gwelir arfer dda o hyn yn ystod y gwaith pâr, wrth i barau edrych trwyddo waith ei gilydd a chymharu atebion gyda chywiriadau angenrheidiol. Pwysleisir gan Race (2001) bod hunan asesiad yn ddull effeithiol dros ben o asesu, gan fod disgyblion yn cael cyfle i uchel gryfderau a gwendidau eu hun o fewn y testun dan sylw. Yn yr achos yma, mae’r disgyblion yn medru penderfynu os oes angen adolygu berfau, adferfau, neu ansoddeiriau ym mhellach.</w:t>
      </w:r>
    </w:p>
    <w:p w14:paraId="46D4D239" w14:textId="77777777" w:rsidR="00DE1039" w:rsidRPr="00B23A72" w:rsidRDefault="00DE1039" w:rsidP="00315B29">
      <w:pPr>
        <w:textAlignment w:val="baseline"/>
        <w:rPr>
          <w:rFonts w:ascii="Times New Roman" w:eastAsia="Times New Roman" w:hAnsi="Times New Roman" w:cs="Times New Roman"/>
          <w:color w:val="333333"/>
        </w:rPr>
      </w:pPr>
    </w:p>
    <w:p w14:paraId="5EFBA014" w14:textId="135D64B6" w:rsidR="00AD3842" w:rsidRPr="00B23A72" w:rsidRDefault="001929C0" w:rsidP="001929C0">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Y peth olaf sy’n ymddangos yn y fidio yw’r defnydd o fatiau geiriau yn ystod y tasgau. Roedd matiau yn cael eu dosbarthu ar bob bwrdd, ac ar gael i’r disgyblion fel adnodd gweladwy ychwanegol, rhag ofn bod angen sbardun ychwanegol ar y disgyblion ynglŷn ag ystyr y termau iaith a ddysgwyd yn ystod y cyflwyniad. Noda gan Burrow (1986) bod y fath yma o adnoddau gweladwy yn ddefnyddiol er mwyn annog proses dysgu’r disgyblion. Yn yr achos yma, gwelir bod gosod enghreifftiau o ansoddeiriau, berfau ac adferfau ar fatiau, yn galluogi disgyblion i atgoffa’i hun o beth yw ystyr pob term.</w:t>
      </w:r>
    </w:p>
    <w:p w14:paraId="7595C367" w14:textId="77777777" w:rsidR="00AD3842" w:rsidRPr="00B23A72" w:rsidRDefault="00AD3842" w:rsidP="00AD3842">
      <w:pPr>
        <w:textAlignment w:val="baseline"/>
        <w:rPr>
          <w:rFonts w:ascii="Times New Roman" w:eastAsia="Times New Roman" w:hAnsi="Times New Roman" w:cs="Times New Roman"/>
          <w:color w:val="333333"/>
        </w:rPr>
      </w:pPr>
    </w:p>
    <w:p w14:paraId="4AEB19A1" w14:textId="77777777" w:rsidR="00926851" w:rsidRPr="00B23A72" w:rsidRDefault="00926851" w:rsidP="00AD3842">
      <w:pPr>
        <w:textAlignment w:val="baseline"/>
        <w:rPr>
          <w:rFonts w:ascii="Times New Roman" w:eastAsia="Times New Roman" w:hAnsi="Times New Roman" w:cs="Times New Roman"/>
          <w:color w:val="333333"/>
        </w:rPr>
      </w:pPr>
    </w:p>
    <w:p w14:paraId="2EA9B4AB" w14:textId="71FF3944" w:rsidR="005461ED" w:rsidRPr="00B23A72" w:rsidRDefault="001929C0" w:rsidP="005461ED">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Yn dilyn y cyflwyniad a’r prif weithgareddau, defnyddiwyd yr athro cwis er mwyn asesu dysgu’r disgyblion, a hefyd orffen y wers ar elfen hwylus, gan ychwanegu elfen gystadleuol i’r wers. Mae’r cwis yn cael ei gynnal er lles i’r athro yn ogystal â’r dosbarth, gan fod yr athro’n medru gweld lle mae unigolion arni o ran datblygiad yn y maes yma. Cytuna Smith (2016) gyda’r canfyddiad yma, wrth nodi bod cynnal cwis yn galluogi athro i asesu a thracio cynnydd y disgyblion ar ddiwedd y cyfnod dysgu.</w:t>
      </w:r>
    </w:p>
    <w:p w14:paraId="6744D02D" w14:textId="77777777" w:rsidR="001929C0" w:rsidRPr="00B23A72" w:rsidRDefault="001929C0" w:rsidP="005461ED">
      <w:pPr>
        <w:spacing w:line="360" w:lineRule="auto"/>
        <w:jc w:val="both"/>
        <w:textAlignment w:val="baseline"/>
        <w:rPr>
          <w:rFonts w:ascii="Times New Roman" w:eastAsia="Times New Roman" w:hAnsi="Times New Roman" w:cs="Times New Roman"/>
          <w:color w:val="333333"/>
        </w:rPr>
      </w:pPr>
    </w:p>
    <w:p w14:paraId="32A89FAB" w14:textId="3C01DDCB" w:rsidR="00961685" w:rsidRPr="00B23A72" w:rsidRDefault="001929C0" w:rsidP="005461ED">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Mae’r wers yma wedi llwyddo i ddatblygu sgiliau iaith y disgyblion ar lafar, sgiliau darllen y disgyblion, a hefyd sgiliau ysgrifenedig y disgyblion. Yn dilyn y cyflwyniad a gosod y disgyblion mewn i barau, darllenodd unigolion y darn darllen cyntaf i’w phartner. Roedd gwneud hyn yn sicrhau bod y partner yn gwrando ac yn meddwl yn syth am naill ai ansoddeiriau, berfau, neu adferfau sy’n ymddangos yn glir mewn brawddegau.</w:t>
      </w:r>
    </w:p>
    <w:p w14:paraId="2EA687D8" w14:textId="77777777" w:rsidR="001929C0" w:rsidRPr="00B23A72" w:rsidRDefault="001929C0" w:rsidP="005461ED">
      <w:pPr>
        <w:spacing w:line="360" w:lineRule="auto"/>
        <w:jc w:val="both"/>
        <w:textAlignment w:val="baseline"/>
        <w:rPr>
          <w:rFonts w:ascii="Times New Roman" w:eastAsia="Times New Roman" w:hAnsi="Times New Roman" w:cs="Times New Roman"/>
          <w:color w:val="333333"/>
        </w:rPr>
      </w:pPr>
    </w:p>
    <w:p w14:paraId="3F84CFCD" w14:textId="4D74F0D4" w:rsidR="005461ED" w:rsidRPr="00B23A72" w:rsidRDefault="008E5E28" w:rsidP="005461ED">
      <w:pPr>
        <w:spacing w:line="360" w:lineRule="auto"/>
        <w:jc w:val="both"/>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 xml:space="preserve"> </w:t>
      </w:r>
      <w:r w:rsidR="00B23A72" w:rsidRPr="00B23A72">
        <w:rPr>
          <w:rFonts w:ascii="Times New Roman" w:eastAsia="Times New Roman" w:hAnsi="Times New Roman" w:cs="Times New Roman"/>
          <w:color w:val="333333"/>
        </w:rPr>
        <w:t>Yn ogystal â hyn, roedd yr ail ddisgybl yn cael cyfle i ddarllen ar lafar a cheisio cymryd mewn gwybodaeth wrth ddarllen, yn hytrach na adrodd geiriau heb feddwl. Yn amlwg roedd elfen ysgrifenedig wrth i’r disgyblion rhestri eu hatebion, ond hefyd bydd y disgyblion yn mynd ati yn y wers ddilynol, i ddefnyddio’i gwybodaeth a dealltwriaeth newydd o’r pwnc, i greu brawddegau perswâd llawn, sy’n cynnwys ansoddeiriau, berfau ac adferfau. Bydd y brawddegau yma yn cael ei ddefnyddio unwaith eto ar lafar, wrth i’r dosbarth cynnal y drafodaeth bwysig ar blastigion.</w:t>
      </w:r>
    </w:p>
    <w:p w14:paraId="58A45B93" w14:textId="77777777" w:rsidR="0065494D" w:rsidRPr="00B23A72" w:rsidRDefault="0065494D" w:rsidP="00AD3842">
      <w:pPr>
        <w:textAlignment w:val="baseline"/>
        <w:rPr>
          <w:rFonts w:ascii="Times New Roman" w:eastAsia="Times New Roman" w:hAnsi="Times New Roman" w:cs="Times New Roman"/>
          <w:color w:val="333333"/>
        </w:rPr>
      </w:pPr>
    </w:p>
    <w:p w14:paraId="3459F7A9" w14:textId="77777777" w:rsidR="0065494D" w:rsidRPr="00B23A72" w:rsidRDefault="0065494D" w:rsidP="00AD3842">
      <w:pPr>
        <w:textAlignment w:val="baseline"/>
        <w:rPr>
          <w:rFonts w:ascii="Times New Roman" w:eastAsia="Times New Roman" w:hAnsi="Times New Roman" w:cs="Times New Roman"/>
          <w:color w:val="333333"/>
        </w:rPr>
      </w:pPr>
    </w:p>
    <w:p w14:paraId="25AD08AD" w14:textId="77777777" w:rsidR="00AD3842" w:rsidRPr="00B23A72" w:rsidRDefault="00AD3842" w:rsidP="00AD3842">
      <w:pPr>
        <w:textAlignment w:val="baseline"/>
        <w:rPr>
          <w:rFonts w:ascii="Times New Roman" w:eastAsia="Times New Roman" w:hAnsi="Times New Roman" w:cs="Times New Roman"/>
          <w:color w:val="333333"/>
        </w:rPr>
      </w:pPr>
    </w:p>
    <w:p w14:paraId="71E691DC" w14:textId="4FBD9A65" w:rsidR="00315B29" w:rsidRPr="00B23A72" w:rsidRDefault="00B23A72" w:rsidP="00315B29">
      <w:pPr>
        <w:textAlignment w:val="baseline"/>
        <w:rPr>
          <w:rFonts w:ascii="Times New Roman" w:eastAsia="Times New Roman" w:hAnsi="Times New Roman" w:cs="Times New Roman"/>
          <w:color w:val="333333"/>
        </w:rPr>
      </w:pPr>
      <w:r w:rsidRPr="00B23A72">
        <w:rPr>
          <w:rFonts w:ascii="Times New Roman" w:eastAsia="Times New Roman" w:hAnsi="Times New Roman" w:cs="Times New Roman"/>
          <w:color w:val="333333"/>
        </w:rPr>
        <w:t>Geiriau:1,852</w:t>
      </w:r>
    </w:p>
    <w:p w14:paraId="20177780" w14:textId="77777777" w:rsidR="00315B29" w:rsidRDefault="00315B29" w:rsidP="00315B29">
      <w:pPr>
        <w:textAlignment w:val="baseline"/>
        <w:rPr>
          <w:rFonts w:ascii="Georgia" w:eastAsia="Times New Roman" w:hAnsi="Georgia" w:cs="Times New Roman"/>
          <w:color w:val="333333"/>
        </w:rPr>
      </w:pPr>
    </w:p>
    <w:p w14:paraId="28BFC932" w14:textId="77777777" w:rsidR="00315B29" w:rsidRDefault="00315B29" w:rsidP="00315B29">
      <w:pPr>
        <w:textAlignment w:val="baseline"/>
        <w:rPr>
          <w:rFonts w:ascii="Georgia" w:eastAsia="Times New Roman" w:hAnsi="Georgia" w:cs="Times New Roman"/>
          <w:color w:val="333333"/>
        </w:rPr>
      </w:pPr>
    </w:p>
    <w:p w14:paraId="60963AFC" w14:textId="77777777" w:rsidR="00315B29" w:rsidRPr="00315B29" w:rsidRDefault="00315B29" w:rsidP="00315B29">
      <w:pPr>
        <w:textAlignment w:val="baseline"/>
        <w:rPr>
          <w:rFonts w:ascii="Georgia" w:eastAsia="Times New Roman" w:hAnsi="Georgia" w:cs="Times New Roman"/>
          <w:color w:val="333333"/>
        </w:rPr>
      </w:pPr>
    </w:p>
    <w:p w14:paraId="44750098" w14:textId="77777777" w:rsidR="00315B29" w:rsidRPr="00315B29" w:rsidRDefault="00315B29" w:rsidP="00315B29">
      <w:pPr>
        <w:jc w:val="both"/>
        <w:textAlignment w:val="baseline"/>
        <w:rPr>
          <w:rFonts w:ascii="Georgia" w:eastAsia="Times New Roman" w:hAnsi="Georgia" w:cs="Times New Roman"/>
          <w:color w:val="333333"/>
        </w:rPr>
      </w:pPr>
    </w:p>
    <w:p w14:paraId="73251CAA" w14:textId="77777777" w:rsidR="00A46D4D" w:rsidRDefault="00A46D4D" w:rsidP="00BA7477">
      <w:pPr>
        <w:pStyle w:val="NormalWeb"/>
        <w:rPr>
          <w:rFonts w:ascii="Georgia" w:hAnsi="Georgia"/>
          <w:color w:val="000000"/>
        </w:rPr>
      </w:pPr>
    </w:p>
    <w:p w14:paraId="71C99C11" w14:textId="77777777" w:rsidR="00A46D4D" w:rsidRDefault="00A46D4D" w:rsidP="00BA7477">
      <w:pPr>
        <w:pStyle w:val="NormalWeb"/>
        <w:rPr>
          <w:rFonts w:ascii="Georgia" w:hAnsi="Georgia"/>
          <w:color w:val="000000"/>
        </w:rPr>
      </w:pPr>
    </w:p>
    <w:p w14:paraId="5E75312F" w14:textId="77777777" w:rsidR="00A46D4D" w:rsidRDefault="00A46D4D" w:rsidP="00BA7477">
      <w:pPr>
        <w:pStyle w:val="NormalWeb"/>
        <w:rPr>
          <w:rFonts w:ascii="Georgia" w:hAnsi="Georgia"/>
          <w:color w:val="000000"/>
        </w:rPr>
      </w:pPr>
    </w:p>
    <w:p w14:paraId="50ECBF66" w14:textId="77777777" w:rsidR="00A46D4D" w:rsidRDefault="00A46D4D" w:rsidP="00BA7477">
      <w:pPr>
        <w:pStyle w:val="NormalWeb"/>
        <w:rPr>
          <w:rFonts w:ascii="Georgia" w:hAnsi="Georgia"/>
          <w:color w:val="000000"/>
        </w:rPr>
      </w:pPr>
    </w:p>
    <w:p w14:paraId="42EDCA2E" w14:textId="77777777" w:rsidR="003E7233" w:rsidRDefault="003E7233" w:rsidP="00BA7477">
      <w:pPr>
        <w:pStyle w:val="NormalWeb"/>
        <w:rPr>
          <w:rFonts w:ascii="Georgia" w:hAnsi="Georgia"/>
          <w:color w:val="000000"/>
        </w:rPr>
      </w:pPr>
    </w:p>
    <w:p w14:paraId="37D8ECCF" w14:textId="77777777" w:rsidR="00B23A72" w:rsidRDefault="00B23A72" w:rsidP="00BA7477">
      <w:pPr>
        <w:pStyle w:val="NormalWeb"/>
        <w:rPr>
          <w:rFonts w:ascii="Georgia" w:hAnsi="Georgia"/>
          <w:color w:val="000000"/>
        </w:rPr>
      </w:pPr>
    </w:p>
    <w:p w14:paraId="18018C0E" w14:textId="77777777" w:rsidR="00B23A72" w:rsidRDefault="00B23A72" w:rsidP="00BA7477">
      <w:pPr>
        <w:pStyle w:val="NormalWeb"/>
        <w:rPr>
          <w:rFonts w:ascii="Georgia" w:hAnsi="Georgia"/>
          <w:color w:val="000000"/>
        </w:rPr>
      </w:pPr>
    </w:p>
    <w:p w14:paraId="5329D805" w14:textId="0DB3F046" w:rsidR="000E53F8" w:rsidRPr="00106E28" w:rsidRDefault="00366577" w:rsidP="000E53F8">
      <w:pPr>
        <w:pStyle w:val="NormalWeb"/>
        <w:rPr>
          <w:b/>
          <w:color w:val="000000"/>
          <w:u w:val="single"/>
        </w:rPr>
      </w:pPr>
      <w:r w:rsidRPr="000E53F8">
        <w:rPr>
          <w:b/>
          <w:color w:val="000000"/>
          <w:u w:val="single"/>
        </w:rPr>
        <w:t>Rhestr o gyfeiriadau</w:t>
      </w:r>
    </w:p>
    <w:p w14:paraId="07511242" w14:textId="5D4284C5" w:rsidR="000E53F8" w:rsidRDefault="000E53F8" w:rsidP="00B84BFD">
      <w:pPr>
        <w:rPr>
          <w:rFonts w:ascii="Times New Roman" w:eastAsia="Times New Roman" w:hAnsi="Times New Roman" w:cs="Times New Roman"/>
          <w:color w:val="000000"/>
          <w:shd w:val="clear" w:color="auto" w:fill="FFFFFF"/>
        </w:rPr>
      </w:pPr>
      <w:r w:rsidRPr="000E53F8">
        <w:rPr>
          <w:rFonts w:ascii="Times New Roman" w:eastAsia="Times New Roman" w:hAnsi="Times New Roman" w:cs="Times New Roman"/>
          <w:color w:val="000000"/>
          <w:shd w:val="clear" w:color="auto" w:fill="FFFFFF"/>
        </w:rPr>
        <w:t>An</w:t>
      </w:r>
      <w:r>
        <w:rPr>
          <w:rFonts w:ascii="Times New Roman" w:eastAsia="Times New Roman" w:hAnsi="Times New Roman" w:cs="Times New Roman"/>
          <w:color w:val="000000"/>
          <w:shd w:val="clear" w:color="auto" w:fill="FFFFFF"/>
        </w:rPr>
        <w:t>derson, L.W., Krathwohl, D. (2001)</w:t>
      </w:r>
      <w:r w:rsidRPr="000E53F8">
        <w:rPr>
          <w:rFonts w:ascii="Times New Roman" w:eastAsia="Times New Roman" w:hAnsi="Times New Roman" w:cs="Times New Roman"/>
          <w:color w:val="000000"/>
          <w:shd w:val="clear" w:color="auto" w:fill="FFFFFF"/>
        </w:rPr>
        <w:t xml:space="preserve">. </w:t>
      </w:r>
      <w:r w:rsidRPr="000E53F8">
        <w:rPr>
          <w:rFonts w:ascii="Times New Roman" w:eastAsia="Times New Roman" w:hAnsi="Times New Roman" w:cs="Times New Roman"/>
          <w:i/>
          <w:color w:val="000000"/>
          <w:shd w:val="clear" w:color="auto" w:fill="FFFFFF"/>
        </w:rPr>
        <w:t>A taxonomy for learning, teaching, and assessing: a revision of Bloom’s taxonomy of educational objectives.</w:t>
      </w:r>
      <w:r>
        <w:rPr>
          <w:rFonts w:ascii="Times New Roman" w:eastAsia="Times New Roman" w:hAnsi="Times New Roman" w:cs="Times New Roman"/>
          <w:color w:val="000000"/>
          <w:shd w:val="clear" w:color="auto" w:fill="FFFFFF"/>
        </w:rPr>
        <w:t xml:space="preserve"> New York: Longman.</w:t>
      </w:r>
    </w:p>
    <w:p w14:paraId="4B1563C1" w14:textId="77777777" w:rsidR="000E53F8" w:rsidRPr="000E53F8" w:rsidRDefault="000E53F8" w:rsidP="00B84BFD">
      <w:pPr>
        <w:rPr>
          <w:rFonts w:ascii="Times New Roman" w:eastAsia="Times New Roman" w:hAnsi="Times New Roman" w:cs="Times New Roman"/>
        </w:rPr>
      </w:pPr>
    </w:p>
    <w:p w14:paraId="4C362AAB" w14:textId="77777777" w:rsidR="000E53F8" w:rsidRDefault="000E53F8" w:rsidP="00B84BFD">
      <w:pPr>
        <w:rPr>
          <w:rFonts w:ascii="Times New Roman" w:eastAsia="Times New Roman" w:hAnsi="Times New Roman" w:cs="Times New Roman"/>
          <w:color w:val="000000"/>
          <w:shd w:val="clear" w:color="auto" w:fill="FFFFFF"/>
        </w:rPr>
      </w:pPr>
      <w:r w:rsidRPr="000E53F8">
        <w:rPr>
          <w:rFonts w:ascii="Times New Roman" w:eastAsia="Times New Roman" w:hAnsi="Times New Roman" w:cs="Times New Roman"/>
          <w:color w:val="000000"/>
          <w:shd w:val="clear" w:color="auto" w:fill="FFFFFF"/>
        </w:rPr>
        <w:t>Armstrong, P. (2018). Bloom’s taxonomy. Center for Teaching. Vanderbilt University.</w:t>
      </w:r>
      <w:hyperlink r:id="rId8" w:history="1">
        <w:r w:rsidRPr="000E53F8">
          <w:rPr>
            <w:rFonts w:ascii="Times New Roman" w:eastAsia="Times New Roman" w:hAnsi="Times New Roman" w:cs="Times New Roman"/>
            <w:color w:val="000000"/>
          </w:rPr>
          <w:t>https://cft.vanderbilt.edu/guides-sub-pages/blooms-taxonomy/</w:t>
        </w:r>
      </w:hyperlink>
      <w:r w:rsidRPr="000E53F8">
        <w:rPr>
          <w:rFonts w:ascii="Times New Roman" w:eastAsia="Times New Roman" w:hAnsi="Times New Roman" w:cs="Times New Roman"/>
          <w:color w:val="000000"/>
          <w:shd w:val="clear" w:color="auto" w:fill="FFFFFF"/>
        </w:rPr>
        <w:t>.</w:t>
      </w:r>
    </w:p>
    <w:p w14:paraId="0EA0B10B" w14:textId="77777777" w:rsidR="000E53F8" w:rsidRPr="000E53F8" w:rsidRDefault="000E53F8" w:rsidP="00B84BFD">
      <w:pPr>
        <w:rPr>
          <w:rFonts w:ascii="Times New Roman" w:eastAsia="Times New Roman" w:hAnsi="Times New Roman" w:cs="Times New Roman"/>
        </w:rPr>
      </w:pPr>
    </w:p>
    <w:p w14:paraId="550FC0E8" w14:textId="77777777" w:rsidR="000E53F8" w:rsidRPr="00B519D3" w:rsidRDefault="000E53F8" w:rsidP="00B519D3">
      <w:pPr>
        <w:rPr>
          <w:rFonts w:ascii="Times New Roman" w:eastAsia="Times New Roman" w:hAnsi="Times New Roman" w:cs="Times New Roman"/>
        </w:rPr>
      </w:pPr>
      <w:r w:rsidRPr="000E53F8">
        <w:rPr>
          <w:rFonts w:ascii="Times New Roman" w:eastAsia="Times New Roman" w:hAnsi="Times New Roman" w:cs="Times New Roman"/>
          <w:color w:val="1C1D1E"/>
        </w:rPr>
        <w:t>Brown, T.</w:t>
      </w:r>
      <w:r w:rsidRPr="00B519D3">
        <w:rPr>
          <w:rFonts w:ascii="Times New Roman" w:eastAsia="Times New Roman" w:hAnsi="Times New Roman" w:cs="Times New Roman"/>
          <w:color w:val="1C1D1E"/>
          <w:shd w:val="clear" w:color="auto" w:fill="FFFFFF"/>
        </w:rPr>
        <w:t>,</w:t>
      </w:r>
      <w:r w:rsidRPr="000E53F8">
        <w:rPr>
          <w:rFonts w:ascii="Times New Roman" w:eastAsia="Times New Roman" w:hAnsi="Times New Roman" w:cs="Times New Roman"/>
          <w:color w:val="1C1D1E"/>
          <w:shd w:val="clear" w:color="auto" w:fill="FFFFFF"/>
        </w:rPr>
        <w:t> </w:t>
      </w:r>
      <w:r w:rsidRPr="000E53F8">
        <w:rPr>
          <w:rFonts w:ascii="Times New Roman" w:eastAsia="Times New Roman" w:hAnsi="Times New Roman" w:cs="Times New Roman"/>
          <w:color w:val="1C1D1E"/>
        </w:rPr>
        <w:t>Rowley, H.</w:t>
      </w:r>
      <w:r w:rsidRPr="000E53F8">
        <w:rPr>
          <w:rFonts w:ascii="Times New Roman" w:eastAsia="Times New Roman" w:hAnsi="Times New Roman" w:cs="Times New Roman"/>
          <w:color w:val="1C1D1E"/>
          <w:shd w:val="clear" w:color="auto" w:fill="FFFFFF"/>
        </w:rPr>
        <w:t> </w:t>
      </w:r>
      <w:r w:rsidRPr="00B519D3">
        <w:rPr>
          <w:rFonts w:ascii="Times New Roman" w:eastAsia="Times New Roman" w:hAnsi="Times New Roman" w:cs="Times New Roman"/>
          <w:color w:val="1C1D1E"/>
          <w:shd w:val="clear" w:color="auto" w:fill="FFFFFF"/>
        </w:rPr>
        <w:t>&amp;</w:t>
      </w:r>
      <w:r w:rsidRPr="000E53F8">
        <w:rPr>
          <w:rFonts w:ascii="Times New Roman" w:eastAsia="Times New Roman" w:hAnsi="Times New Roman" w:cs="Times New Roman"/>
          <w:color w:val="1C1D1E"/>
          <w:shd w:val="clear" w:color="auto" w:fill="FFFFFF"/>
        </w:rPr>
        <w:t>  </w:t>
      </w:r>
      <w:r w:rsidRPr="000E53F8">
        <w:rPr>
          <w:rFonts w:ascii="Times New Roman" w:eastAsia="Times New Roman" w:hAnsi="Times New Roman" w:cs="Times New Roman"/>
          <w:color w:val="1C1D1E"/>
        </w:rPr>
        <w:t>Smith, K.</w:t>
      </w:r>
      <w:r w:rsidRPr="000E53F8">
        <w:rPr>
          <w:rFonts w:ascii="Times New Roman" w:eastAsia="Times New Roman" w:hAnsi="Times New Roman" w:cs="Times New Roman"/>
          <w:color w:val="1C1D1E"/>
          <w:shd w:val="clear" w:color="auto" w:fill="FFFFFF"/>
        </w:rPr>
        <w:t> </w:t>
      </w:r>
      <w:r w:rsidRPr="00B519D3">
        <w:rPr>
          <w:rFonts w:ascii="Times New Roman" w:eastAsia="Times New Roman" w:hAnsi="Times New Roman" w:cs="Times New Roman"/>
          <w:color w:val="1C1D1E"/>
          <w:shd w:val="clear" w:color="auto" w:fill="FFFFFF"/>
        </w:rPr>
        <w:t>(</w:t>
      </w:r>
      <w:r w:rsidRPr="000E53F8">
        <w:rPr>
          <w:rFonts w:ascii="Times New Roman" w:eastAsia="Times New Roman" w:hAnsi="Times New Roman" w:cs="Times New Roman"/>
          <w:color w:val="1C1D1E"/>
          <w:shd w:val="clear" w:color="auto" w:fill="FFFFFF"/>
        </w:rPr>
        <w:t> </w:t>
      </w:r>
      <w:r w:rsidRPr="000E53F8">
        <w:rPr>
          <w:rFonts w:ascii="Times New Roman" w:eastAsia="Times New Roman" w:hAnsi="Times New Roman" w:cs="Times New Roman"/>
          <w:color w:val="1C1D1E"/>
        </w:rPr>
        <w:t>2014</w:t>
      </w:r>
      <w:r w:rsidRPr="00B519D3">
        <w:rPr>
          <w:rFonts w:ascii="Times New Roman" w:eastAsia="Times New Roman" w:hAnsi="Times New Roman" w:cs="Times New Roman"/>
          <w:color w:val="1C1D1E"/>
          <w:shd w:val="clear" w:color="auto" w:fill="FFFFFF"/>
        </w:rPr>
        <w:t>)</w:t>
      </w:r>
      <w:r w:rsidRPr="000E53F8">
        <w:rPr>
          <w:rFonts w:ascii="Times New Roman" w:eastAsia="Times New Roman" w:hAnsi="Times New Roman" w:cs="Times New Roman"/>
          <w:color w:val="1C1D1E"/>
          <w:shd w:val="clear" w:color="auto" w:fill="FFFFFF"/>
        </w:rPr>
        <w:t>  </w:t>
      </w:r>
      <w:r w:rsidRPr="000E53F8">
        <w:rPr>
          <w:rFonts w:ascii="Times New Roman" w:eastAsia="Times New Roman" w:hAnsi="Times New Roman" w:cs="Times New Roman"/>
          <w:i/>
          <w:color w:val="1C1D1E"/>
        </w:rPr>
        <w:t>Rethinking research in teacher education</w:t>
      </w:r>
      <w:r w:rsidRPr="000E53F8">
        <w:rPr>
          <w:rFonts w:ascii="Times New Roman" w:eastAsia="Times New Roman" w:hAnsi="Times New Roman" w:cs="Times New Roman"/>
          <w:color w:val="1C1D1E"/>
          <w:shd w:val="clear" w:color="auto" w:fill="FFFFFF"/>
        </w:rPr>
        <w:t xml:space="preserve">. </w:t>
      </w:r>
      <w:r w:rsidRPr="00B519D3">
        <w:rPr>
          <w:rFonts w:ascii="Times New Roman" w:eastAsia="Times New Roman" w:hAnsi="Times New Roman" w:cs="Times New Roman"/>
          <w:iCs/>
          <w:color w:val="1C1D1E"/>
        </w:rPr>
        <w:t>British Journal of Educational Studies</w:t>
      </w:r>
    </w:p>
    <w:p w14:paraId="58685581" w14:textId="77777777" w:rsidR="000E53F8" w:rsidRPr="000E53F8" w:rsidRDefault="000E53F8" w:rsidP="003777D9">
      <w:pPr>
        <w:pStyle w:val="NormalWeb"/>
      </w:pPr>
      <w:r w:rsidRPr="000E53F8">
        <w:t xml:space="preserve">Burrow, T (1986) Horizons in Human Geography. Macmillan: London </w:t>
      </w:r>
    </w:p>
    <w:p w14:paraId="35A50BCF" w14:textId="760E6DEA" w:rsidR="000E53F8" w:rsidRDefault="000E53F8" w:rsidP="00CB776A">
      <w:pPr>
        <w:rPr>
          <w:rFonts w:ascii="Times New Roman" w:eastAsia="Times New Roman" w:hAnsi="Times New Roman" w:cs="Times New Roman"/>
          <w:color w:val="000000"/>
          <w:shd w:val="clear" w:color="auto" w:fill="FFFFFF"/>
        </w:rPr>
      </w:pPr>
      <w:r w:rsidRPr="00CB776A">
        <w:rPr>
          <w:rFonts w:ascii="Times New Roman" w:eastAsia="Times New Roman" w:hAnsi="Times New Roman" w:cs="Times New Roman"/>
          <w:color w:val="000000"/>
          <w:shd w:val="clear" w:color="auto" w:fill="FFFFFF"/>
        </w:rPr>
        <w:t>Cicerchia, M. (2019).</w:t>
      </w:r>
      <w:r w:rsidRPr="000E53F8">
        <w:rPr>
          <w:rFonts w:ascii="Times New Roman" w:eastAsia="Times New Roman" w:hAnsi="Times New Roman" w:cs="Times New Roman"/>
          <w:color w:val="000000"/>
          <w:shd w:val="clear" w:color="auto" w:fill="FFFFFF"/>
        </w:rPr>
        <w:t> </w:t>
      </w:r>
      <w:r w:rsidRPr="00CB776A">
        <w:rPr>
          <w:rFonts w:ascii="Times New Roman" w:eastAsia="Times New Roman" w:hAnsi="Times New Roman" w:cs="Times New Roman"/>
          <w:i/>
          <w:iCs/>
          <w:color w:val="000000"/>
        </w:rPr>
        <w:t>9 Tips for helping students with slow processing</w:t>
      </w:r>
      <w:r w:rsidR="00FD3C18">
        <w:rPr>
          <w:rFonts w:ascii="Times New Roman" w:eastAsia="Times New Roman" w:hAnsi="Times New Roman" w:cs="Times New Roman"/>
          <w:color w:val="000000"/>
          <w:shd w:val="clear" w:color="auto" w:fill="FFFFFF"/>
        </w:rPr>
        <w:t>. [Ar lein</w:t>
      </w:r>
      <w:r w:rsidRPr="00CB776A">
        <w:rPr>
          <w:rFonts w:ascii="Times New Roman" w:eastAsia="Times New Roman" w:hAnsi="Times New Roman" w:cs="Times New Roman"/>
          <w:color w:val="000000"/>
          <w:shd w:val="clear" w:color="auto" w:fill="FFFFFF"/>
        </w:rPr>
        <w:t xml:space="preserve">] Touch-type </w:t>
      </w:r>
      <w:r w:rsidR="00FD3C18">
        <w:rPr>
          <w:rFonts w:ascii="Times New Roman" w:eastAsia="Times New Roman" w:hAnsi="Times New Roman" w:cs="Times New Roman"/>
          <w:color w:val="000000"/>
          <w:shd w:val="clear" w:color="auto" w:fill="FFFFFF"/>
        </w:rPr>
        <w:t>Read and Spell (TTRS). Ar gael</w:t>
      </w:r>
      <w:r w:rsidRPr="00CB776A">
        <w:rPr>
          <w:rFonts w:ascii="Times New Roman" w:eastAsia="Times New Roman" w:hAnsi="Times New Roman" w:cs="Times New Roman"/>
          <w:color w:val="000000"/>
          <w:shd w:val="clear" w:color="auto" w:fill="FFFFFF"/>
        </w:rPr>
        <w:t xml:space="preserve"> at: https://www.readandspell.com/what-is-processing-speed [Accessed 21 May 2019].</w:t>
      </w:r>
    </w:p>
    <w:p w14:paraId="77205824" w14:textId="77777777" w:rsidR="00722BB8" w:rsidRPr="00CB776A" w:rsidRDefault="00722BB8" w:rsidP="00CB776A">
      <w:pPr>
        <w:rPr>
          <w:rFonts w:ascii="Times New Roman" w:eastAsia="Times New Roman" w:hAnsi="Times New Roman" w:cs="Times New Roman"/>
        </w:rPr>
      </w:pPr>
    </w:p>
    <w:p w14:paraId="17C2C4CA" w14:textId="77777777" w:rsidR="000E53F8" w:rsidRPr="003E7233" w:rsidRDefault="000E53F8" w:rsidP="003E7233">
      <w:pPr>
        <w:rPr>
          <w:rFonts w:ascii="Times New Roman" w:eastAsia="Times New Roman" w:hAnsi="Times New Roman" w:cs="Times New Roman"/>
        </w:rPr>
      </w:pPr>
      <w:r w:rsidRPr="003E7233">
        <w:rPr>
          <w:rFonts w:ascii="Times New Roman" w:eastAsia="Times New Roman" w:hAnsi="Times New Roman" w:cs="Times New Roman"/>
          <w:color w:val="000000"/>
          <w:shd w:val="clear" w:color="auto" w:fill="FFFFFF"/>
        </w:rPr>
        <w:t>Collins, S. (1990).</w:t>
      </w:r>
      <w:r w:rsidRPr="000E53F8">
        <w:rPr>
          <w:rFonts w:ascii="Times New Roman" w:eastAsia="Times New Roman" w:hAnsi="Times New Roman" w:cs="Times New Roman"/>
          <w:color w:val="000000"/>
          <w:shd w:val="clear" w:color="auto" w:fill="FFFFFF"/>
        </w:rPr>
        <w:t> </w:t>
      </w:r>
      <w:r w:rsidRPr="003E7233">
        <w:rPr>
          <w:rFonts w:ascii="Times New Roman" w:eastAsia="Times New Roman" w:hAnsi="Times New Roman" w:cs="Times New Roman"/>
          <w:i/>
          <w:iCs/>
          <w:color w:val="000000"/>
        </w:rPr>
        <w:t>Verbs</w:t>
      </w:r>
      <w:r w:rsidRPr="003E7233">
        <w:rPr>
          <w:rFonts w:ascii="Times New Roman" w:eastAsia="Times New Roman" w:hAnsi="Times New Roman" w:cs="Times New Roman"/>
          <w:color w:val="000000"/>
          <w:shd w:val="clear" w:color="auto" w:fill="FFFFFF"/>
        </w:rPr>
        <w:t>. Eugene, OR: Garlic Press.</w:t>
      </w:r>
    </w:p>
    <w:p w14:paraId="260442E4" w14:textId="77777777" w:rsidR="000E53F8" w:rsidRPr="000E53F8" w:rsidRDefault="000E53F8" w:rsidP="00BA7477">
      <w:pPr>
        <w:pStyle w:val="NormalWeb"/>
        <w:rPr>
          <w:color w:val="000000"/>
        </w:rPr>
      </w:pPr>
      <w:r w:rsidRPr="000E53F8">
        <w:rPr>
          <w:color w:val="000000"/>
        </w:rPr>
        <w:t>Gross Davis, B. (1993).</w:t>
      </w:r>
      <w:r w:rsidRPr="000E53F8">
        <w:rPr>
          <w:rStyle w:val="apple-converted-space"/>
          <w:i/>
          <w:iCs/>
          <w:color w:val="000000"/>
        </w:rPr>
        <w:t> </w:t>
      </w:r>
      <w:r w:rsidRPr="000E53F8">
        <w:rPr>
          <w:rStyle w:val="Emphasis"/>
          <w:color w:val="000000"/>
        </w:rPr>
        <w:t>Tools for Teaching.</w:t>
      </w:r>
      <w:r w:rsidRPr="000E53F8">
        <w:rPr>
          <w:rStyle w:val="apple-converted-space"/>
          <w:color w:val="000000"/>
        </w:rPr>
        <w:t> </w:t>
      </w:r>
      <w:r w:rsidRPr="000E53F8">
        <w:rPr>
          <w:color w:val="000000"/>
        </w:rPr>
        <w:t>San Francisco: Jossey-Bass Publishers.</w:t>
      </w:r>
    </w:p>
    <w:p w14:paraId="0C86DF93" w14:textId="24F01B94" w:rsidR="000E53F8" w:rsidRPr="000E53F8" w:rsidRDefault="000E53F8" w:rsidP="003E7233">
      <w:pPr>
        <w:pStyle w:val="NormalWeb"/>
        <w:spacing w:before="0" w:beforeAutospacing="0" w:after="0" w:afterAutospacing="0"/>
        <w:rPr>
          <w:color w:val="333333"/>
        </w:rPr>
      </w:pPr>
      <w:r w:rsidRPr="000E53F8">
        <w:rPr>
          <w:color w:val="333333"/>
        </w:rPr>
        <w:t>Hughes, I E (1995) Peer assessment of student practical reports and its influence on learning and skill acquisition. Capability</w:t>
      </w:r>
      <w:r w:rsidR="00FD3C18">
        <w:rPr>
          <w:color w:val="333333"/>
        </w:rPr>
        <w:t>.</w:t>
      </w:r>
    </w:p>
    <w:p w14:paraId="2D3BCD77" w14:textId="77777777" w:rsidR="000E53F8" w:rsidRPr="000E53F8" w:rsidRDefault="000E53F8" w:rsidP="00BA7477">
      <w:pPr>
        <w:pStyle w:val="NormalWeb"/>
        <w:rPr>
          <w:color w:val="000000"/>
        </w:rPr>
      </w:pPr>
      <w:r w:rsidRPr="000E53F8">
        <w:rPr>
          <w:color w:val="000000"/>
        </w:rPr>
        <w:t>Jaques, D. (2000).</w:t>
      </w:r>
      <w:r w:rsidRPr="000E53F8">
        <w:rPr>
          <w:rStyle w:val="apple-converted-space"/>
          <w:color w:val="000000"/>
        </w:rPr>
        <w:t> </w:t>
      </w:r>
      <w:r w:rsidRPr="000E53F8">
        <w:rPr>
          <w:rStyle w:val="Emphasis"/>
          <w:color w:val="000000"/>
        </w:rPr>
        <w:t>Learning in Groups: A Handbook for Improving Group Work, 3rd ed.</w:t>
      </w:r>
      <w:r w:rsidRPr="000E53F8">
        <w:rPr>
          <w:rStyle w:val="apple-converted-space"/>
          <w:color w:val="000000"/>
        </w:rPr>
        <w:t> </w:t>
      </w:r>
      <w:r w:rsidRPr="000E53F8">
        <w:rPr>
          <w:color w:val="000000"/>
        </w:rPr>
        <w:t>London: Kogan Page.</w:t>
      </w:r>
    </w:p>
    <w:p w14:paraId="6A461782" w14:textId="6CA779ED" w:rsidR="000E53F8" w:rsidRPr="000E53F8" w:rsidRDefault="000E53F8" w:rsidP="00106E28">
      <w:pPr>
        <w:rPr>
          <w:rFonts w:ascii="Times New Roman" w:eastAsia="Times New Roman" w:hAnsi="Times New Roman" w:cs="Times New Roman"/>
          <w:color w:val="000000"/>
          <w:shd w:val="clear" w:color="auto" w:fill="FFFFFF"/>
        </w:rPr>
      </w:pPr>
      <w:r w:rsidRPr="00106E28">
        <w:rPr>
          <w:rFonts w:ascii="Times New Roman" w:eastAsia="Times New Roman" w:hAnsi="Times New Roman" w:cs="Times New Roman"/>
          <w:color w:val="000000"/>
          <w:shd w:val="clear" w:color="auto" w:fill="FFFFFF"/>
        </w:rPr>
        <w:t>King, P. (2015).</w:t>
      </w:r>
      <w:r w:rsidRPr="000E53F8">
        <w:rPr>
          <w:rFonts w:ascii="Times New Roman" w:eastAsia="Times New Roman" w:hAnsi="Times New Roman" w:cs="Times New Roman"/>
          <w:color w:val="000000"/>
          <w:shd w:val="clear" w:color="auto" w:fill="FFFFFF"/>
        </w:rPr>
        <w:t> </w:t>
      </w:r>
      <w:r w:rsidRPr="00106E28">
        <w:rPr>
          <w:rFonts w:ascii="Times New Roman" w:eastAsia="Times New Roman" w:hAnsi="Times New Roman" w:cs="Times New Roman"/>
          <w:i/>
          <w:iCs/>
          <w:color w:val="000000"/>
        </w:rPr>
        <w:t>'Thumbs down for hands-up in lessons'</w:t>
      </w:r>
      <w:r w:rsidR="00FD3C18">
        <w:rPr>
          <w:rFonts w:ascii="Times New Roman" w:eastAsia="Times New Roman" w:hAnsi="Times New Roman" w:cs="Times New Roman"/>
          <w:color w:val="000000"/>
          <w:shd w:val="clear" w:color="auto" w:fill="FFFFFF"/>
        </w:rPr>
        <w:t>. [Ar lein</w:t>
      </w:r>
      <w:r w:rsidRPr="00106E28">
        <w:rPr>
          <w:rFonts w:ascii="Times New Roman" w:eastAsia="Times New Roman" w:hAnsi="Times New Roman" w:cs="Times New Roman"/>
          <w:color w:val="000000"/>
          <w:shd w:val="clear" w:color="auto" w:fill="FFFFFF"/>
        </w:rPr>
        <w:t>] Telegraph.co.uk. Available at: https://www.telegraph.co.uk/education/educationopinion/11903587/Thumbs-down-for-hands-up-in-lessons.html [Accessed 25 May 2019].</w:t>
      </w:r>
    </w:p>
    <w:p w14:paraId="1E00C8CB" w14:textId="77777777" w:rsidR="000E53F8" w:rsidRPr="000E53F8" w:rsidRDefault="000E53F8" w:rsidP="00FE3459">
      <w:pPr>
        <w:spacing w:before="100" w:beforeAutospacing="1" w:after="150" w:line="312" w:lineRule="atLeast"/>
        <w:rPr>
          <w:rFonts w:ascii="Times New Roman" w:eastAsia="Arial Unicode MS" w:hAnsi="Times New Roman" w:cs="Times New Roman"/>
          <w:color w:val="000000"/>
        </w:rPr>
      </w:pPr>
      <w:r w:rsidRPr="000E53F8">
        <w:rPr>
          <w:rFonts w:ascii="Times New Roman" w:eastAsia="Arial Unicode MS" w:hAnsi="Times New Roman" w:cs="Times New Roman"/>
          <w:color w:val="000000"/>
        </w:rPr>
        <w:t>Lemov</w:t>
      </w:r>
      <w:r w:rsidRPr="00FE3459">
        <w:rPr>
          <w:rFonts w:ascii="Times New Roman" w:eastAsia="Arial Unicode MS" w:hAnsi="Times New Roman" w:cs="Times New Roman"/>
          <w:color w:val="000000"/>
        </w:rPr>
        <w:t>, D. (2015).</w:t>
      </w:r>
      <w:r w:rsidRPr="000E53F8">
        <w:rPr>
          <w:rFonts w:ascii="Times New Roman" w:eastAsia="Arial Unicode MS" w:hAnsi="Times New Roman" w:cs="Times New Roman"/>
          <w:color w:val="000000"/>
        </w:rPr>
        <w:t> </w:t>
      </w:r>
      <w:r w:rsidRPr="00FE3459">
        <w:rPr>
          <w:rFonts w:ascii="Times New Roman" w:eastAsia="Arial Unicode MS" w:hAnsi="Times New Roman" w:cs="Times New Roman"/>
          <w:i/>
          <w:iCs/>
          <w:color w:val="000000"/>
        </w:rPr>
        <w:t>Teach like a champion 2.0: 62 techniques that put students on the path to college</w:t>
      </w:r>
      <w:r w:rsidRPr="00FE3459">
        <w:rPr>
          <w:rFonts w:ascii="Times New Roman" w:eastAsia="Arial Unicode MS" w:hAnsi="Times New Roman" w:cs="Times New Roman"/>
          <w:color w:val="000000"/>
        </w:rPr>
        <w:t>.</w:t>
      </w:r>
    </w:p>
    <w:p w14:paraId="1F23E32C" w14:textId="77777777" w:rsidR="000E53F8" w:rsidRDefault="000E53F8" w:rsidP="005C0D60">
      <w:pPr>
        <w:rPr>
          <w:rFonts w:ascii="Times New Roman" w:eastAsia="Times New Roman" w:hAnsi="Times New Roman" w:cs="Times New Roman"/>
          <w:color w:val="000000"/>
          <w:shd w:val="clear" w:color="auto" w:fill="FFFFFF"/>
        </w:rPr>
      </w:pPr>
      <w:r w:rsidRPr="000E53F8">
        <w:rPr>
          <w:rFonts w:ascii="Times New Roman" w:eastAsia="Times New Roman" w:hAnsi="Times New Roman" w:cs="Times New Roman"/>
          <w:color w:val="000000"/>
          <w:shd w:val="clear" w:color="auto" w:fill="FFFFFF"/>
        </w:rPr>
        <w:t>Myhill, D. (2006</w:t>
      </w:r>
      <w:r w:rsidRPr="005C0D60">
        <w:rPr>
          <w:rFonts w:ascii="Times New Roman" w:eastAsia="Times New Roman" w:hAnsi="Times New Roman" w:cs="Times New Roman"/>
          <w:color w:val="000000"/>
          <w:shd w:val="clear" w:color="auto" w:fill="FFFFFF"/>
        </w:rPr>
        <w:t>).</w:t>
      </w:r>
      <w:r w:rsidRPr="000E53F8">
        <w:rPr>
          <w:rFonts w:ascii="Times New Roman" w:eastAsia="Times New Roman" w:hAnsi="Times New Roman" w:cs="Times New Roman"/>
          <w:color w:val="000000"/>
          <w:shd w:val="clear" w:color="auto" w:fill="FFFFFF"/>
        </w:rPr>
        <w:t> </w:t>
      </w:r>
      <w:r w:rsidRPr="005C0D60">
        <w:rPr>
          <w:rFonts w:ascii="Times New Roman" w:eastAsia="Times New Roman" w:hAnsi="Times New Roman" w:cs="Times New Roman"/>
          <w:i/>
          <w:iCs/>
          <w:color w:val="000000"/>
        </w:rPr>
        <w:t>CyberGrammar &gt; Discourses &gt; Coherence</w:t>
      </w:r>
      <w:r w:rsidRPr="000E53F8">
        <w:rPr>
          <w:rFonts w:ascii="Times New Roman" w:eastAsia="Times New Roman" w:hAnsi="Times New Roman" w:cs="Times New Roman"/>
          <w:color w:val="000000"/>
          <w:shd w:val="clear" w:color="auto" w:fill="FFFFFF"/>
        </w:rPr>
        <w:t>. [Ar lein] Cybergrammar.co.uk. Ar gael</w:t>
      </w:r>
      <w:r w:rsidRPr="005C0D60">
        <w:rPr>
          <w:rFonts w:ascii="Times New Roman" w:eastAsia="Times New Roman" w:hAnsi="Times New Roman" w:cs="Times New Roman"/>
          <w:color w:val="000000"/>
          <w:shd w:val="clear" w:color="auto" w:fill="FFFFFF"/>
        </w:rPr>
        <w:t xml:space="preserve"> at: http://www.cybergrammar.co.uk/discourses_coherence.php [Accessed 8 May 2019].</w:t>
      </w:r>
    </w:p>
    <w:p w14:paraId="2EE24887" w14:textId="77777777" w:rsidR="00722BB8" w:rsidRPr="005C0D60" w:rsidRDefault="00722BB8" w:rsidP="005C0D60">
      <w:pPr>
        <w:rPr>
          <w:rFonts w:ascii="Times New Roman" w:eastAsia="Times New Roman" w:hAnsi="Times New Roman" w:cs="Times New Roman"/>
        </w:rPr>
      </w:pPr>
    </w:p>
    <w:p w14:paraId="3ECED724" w14:textId="77777777" w:rsidR="000E53F8" w:rsidRDefault="000E53F8" w:rsidP="002044C7">
      <w:pPr>
        <w:rPr>
          <w:rFonts w:ascii="Times New Roman" w:eastAsia="Times New Roman" w:hAnsi="Times New Roman" w:cs="Times New Roman"/>
          <w:color w:val="000000"/>
          <w:shd w:val="clear" w:color="auto" w:fill="FFFFFF"/>
        </w:rPr>
      </w:pPr>
      <w:r w:rsidRPr="002044C7">
        <w:rPr>
          <w:rFonts w:ascii="Times New Roman" w:eastAsia="Times New Roman" w:hAnsi="Times New Roman" w:cs="Times New Roman"/>
          <w:color w:val="000000"/>
          <w:shd w:val="clear" w:color="auto" w:fill="FFFFFF"/>
        </w:rPr>
        <w:t>Paul, R. and Elder, L. (2000).</w:t>
      </w:r>
      <w:r w:rsidRPr="000E53F8">
        <w:rPr>
          <w:rFonts w:ascii="Times New Roman" w:eastAsia="Times New Roman" w:hAnsi="Times New Roman" w:cs="Times New Roman"/>
          <w:color w:val="000000"/>
          <w:shd w:val="clear" w:color="auto" w:fill="FFFFFF"/>
        </w:rPr>
        <w:t> </w:t>
      </w:r>
      <w:r w:rsidRPr="002044C7">
        <w:rPr>
          <w:rFonts w:ascii="Times New Roman" w:eastAsia="Times New Roman" w:hAnsi="Times New Roman" w:cs="Times New Roman"/>
          <w:i/>
          <w:iCs/>
          <w:color w:val="000000"/>
        </w:rPr>
        <w:t>Critical Thinking: Basic Theory and Instructional Structures</w:t>
      </w:r>
      <w:r w:rsidRPr="000E53F8">
        <w:rPr>
          <w:rFonts w:ascii="Times New Roman" w:eastAsia="Times New Roman" w:hAnsi="Times New Roman" w:cs="Times New Roman"/>
          <w:color w:val="000000"/>
          <w:shd w:val="clear" w:color="auto" w:fill="FFFFFF"/>
        </w:rPr>
        <w:t xml:space="preserve">. </w:t>
      </w:r>
      <w:r w:rsidRPr="002044C7">
        <w:rPr>
          <w:rFonts w:ascii="Times New Roman" w:eastAsia="Times New Roman" w:hAnsi="Times New Roman" w:cs="Times New Roman"/>
          <w:color w:val="000000"/>
          <w:shd w:val="clear" w:color="auto" w:fill="FFFFFF"/>
        </w:rPr>
        <w:t xml:space="preserve"> Foundation of Critical Thinking.</w:t>
      </w:r>
    </w:p>
    <w:p w14:paraId="3A0528CD" w14:textId="77777777" w:rsidR="00722BB8" w:rsidRPr="002044C7" w:rsidRDefault="00722BB8" w:rsidP="002044C7">
      <w:pPr>
        <w:rPr>
          <w:rFonts w:ascii="Times New Roman" w:eastAsia="Times New Roman" w:hAnsi="Times New Roman" w:cs="Times New Roman"/>
        </w:rPr>
      </w:pPr>
    </w:p>
    <w:p w14:paraId="202056D9" w14:textId="77777777" w:rsidR="000E53F8" w:rsidRPr="00357433" w:rsidRDefault="000E53F8" w:rsidP="00357433">
      <w:pPr>
        <w:rPr>
          <w:rFonts w:ascii="Times New Roman" w:eastAsia="Times New Roman" w:hAnsi="Times New Roman" w:cs="Times New Roman"/>
        </w:rPr>
      </w:pPr>
      <w:r w:rsidRPr="00357433">
        <w:rPr>
          <w:rFonts w:ascii="Times New Roman" w:eastAsia="Times New Roman" w:hAnsi="Times New Roman" w:cs="Times New Roman"/>
          <w:color w:val="333333"/>
          <w:shd w:val="clear" w:color="auto" w:fill="FFFFFF"/>
        </w:rPr>
        <w:t>Race, P (2000)</w:t>
      </w:r>
      <w:r w:rsidRPr="000E53F8">
        <w:rPr>
          <w:rFonts w:ascii="Times New Roman" w:eastAsia="Times New Roman" w:hAnsi="Times New Roman" w:cs="Times New Roman"/>
          <w:color w:val="333333"/>
          <w:shd w:val="clear" w:color="auto" w:fill="FFFFFF"/>
        </w:rPr>
        <w:t> </w:t>
      </w:r>
      <w:r w:rsidRPr="000E53F8">
        <w:rPr>
          <w:rFonts w:ascii="Times New Roman" w:eastAsia="Times New Roman" w:hAnsi="Times New Roman" w:cs="Times New Roman"/>
          <w:i/>
          <w:iCs/>
          <w:color w:val="333333"/>
        </w:rPr>
        <w:t>500 Tips on Group Learning, </w:t>
      </w:r>
      <w:r w:rsidRPr="00357433">
        <w:rPr>
          <w:rFonts w:ascii="Times New Roman" w:eastAsia="Times New Roman" w:hAnsi="Times New Roman" w:cs="Times New Roman"/>
          <w:color w:val="333333"/>
          <w:shd w:val="clear" w:color="auto" w:fill="FFFFFF"/>
        </w:rPr>
        <w:t>London: Routledge.</w:t>
      </w:r>
    </w:p>
    <w:p w14:paraId="13B08359" w14:textId="77777777" w:rsidR="000E53F8" w:rsidRPr="000E53F8" w:rsidRDefault="000E53F8" w:rsidP="00BA7477">
      <w:pPr>
        <w:pStyle w:val="NormalWeb"/>
        <w:rPr>
          <w:color w:val="000000"/>
        </w:rPr>
      </w:pPr>
      <w:r w:rsidRPr="000E53F8">
        <w:rPr>
          <w:color w:val="000000"/>
        </w:rPr>
        <w:t>Race, P. (2000).</w:t>
      </w:r>
      <w:r w:rsidRPr="000E53F8">
        <w:rPr>
          <w:rStyle w:val="apple-converted-space"/>
          <w:color w:val="000000"/>
        </w:rPr>
        <w:t> </w:t>
      </w:r>
      <w:r w:rsidRPr="000E53F8">
        <w:rPr>
          <w:rStyle w:val="Emphasis"/>
          <w:color w:val="000000"/>
        </w:rPr>
        <w:t>500 Tips on Group Learning.</w:t>
      </w:r>
      <w:r w:rsidRPr="000E53F8">
        <w:rPr>
          <w:rStyle w:val="apple-converted-space"/>
          <w:color w:val="000000"/>
        </w:rPr>
        <w:t> </w:t>
      </w:r>
      <w:r w:rsidRPr="000E53F8">
        <w:rPr>
          <w:color w:val="000000"/>
        </w:rPr>
        <w:t>London: Kogan Page.</w:t>
      </w:r>
    </w:p>
    <w:p w14:paraId="75ABAFDE" w14:textId="77777777" w:rsidR="000E53F8" w:rsidRPr="000E53F8" w:rsidRDefault="000E53F8" w:rsidP="00B0506B">
      <w:pPr>
        <w:rPr>
          <w:rFonts w:ascii="Times New Roman" w:eastAsia="Times New Roman" w:hAnsi="Times New Roman" w:cs="Times New Roman"/>
        </w:rPr>
      </w:pPr>
      <w:r w:rsidRPr="000E53F8">
        <w:rPr>
          <w:rFonts w:ascii="Times New Roman" w:eastAsia="Times New Roman" w:hAnsi="Times New Roman" w:cs="Times New Roman"/>
          <w:color w:val="000000"/>
          <w:shd w:val="clear" w:color="auto" w:fill="FFFFFF"/>
        </w:rPr>
        <w:t>Race, P. (2001). </w:t>
      </w:r>
      <w:r w:rsidRPr="000E53F8">
        <w:rPr>
          <w:rFonts w:ascii="Times New Roman" w:eastAsia="Times New Roman" w:hAnsi="Times New Roman" w:cs="Times New Roman"/>
          <w:i/>
          <w:iCs/>
          <w:color w:val="000000"/>
        </w:rPr>
        <w:t>The Lecturer's Toolkit</w:t>
      </w:r>
      <w:r w:rsidRPr="000E53F8">
        <w:rPr>
          <w:rFonts w:ascii="Times New Roman" w:eastAsia="Times New Roman" w:hAnsi="Times New Roman" w:cs="Times New Roman"/>
          <w:color w:val="000000"/>
          <w:shd w:val="clear" w:color="auto" w:fill="FFFFFF"/>
        </w:rPr>
        <w:t>. London. Kogan Page, pp. 94-95.</w:t>
      </w:r>
    </w:p>
    <w:p w14:paraId="5686BCE0" w14:textId="266C6FB9" w:rsidR="000E53F8" w:rsidRPr="00366577" w:rsidRDefault="000E53F8" w:rsidP="00366577">
      <w:pPr>
        <w:rPr>
          <w:rFonts w:ascii="Times New Roman" w:eastAsia="Times New Roman" w:hAnsi="Times New Roman" w:cs="Times New Roman"/>
        </w:rPr>
      </w:pPr>
      <w:r w:rsidRPr="00366577">
        <w:rPr>
          <w:rFonts w:ascii="Times New Roman" w:eastAsia="Times New Roman" w:hAnsi="Times New Roman" w:cs="Times New Roman"/>
          <w:color w:val="000000"/>
          <w:shd w:val="clear" w:color="auto" w:fill="FFFFFF"/>
        </w:rPr>
        <w:t>Smith, M. (2019).</w:t>
      </w:r>
      <w:r w:rsidRPr="000E53F8">
        <w:rPr>
          <w:rFonts w:ascii="Times New Roman" w:eastAsia="Times New Roman" w:hAnsi="Times New Roman" w:cs="Times New Roman"/>
          <w:color w:val="000000"/>
          <w:shd w:val="clear" w:color="auto" w:fill="FFFFFF"/>
        </w:rPr>
        <w:t> </w:t>
      </w:r>
      <w:r w:rsidRPr="00366577">
        <w:rPr>
          <w:rFonts w:ascii="Times New Roman" w:eastAsia="Times New Roman" w:hAnsi="Times New Roman" w:cs="Times New Roman"/>
          <w:i/>
          <w:iCs/>
          <w:color w:val="000000"/>
        </w:rPr>
        <w:t>Five reasons to embrace the class quiz, according to cognitive science</w:t>
      </w:r>
      <w:r w:rsidR="00722BB8">
        <w:rPr>
          <w:rFonts w:ascii="Times New Roman" w:eastAsia="Times New Roman" w:hAnsi="Times New Roman" w:cs="Times New Roman"/>
          <w:color w:val="000000"/>
          <w:shd w:val="clear" w:color="auto" w:fill="FFFFFF"/>
        </w:rPr>
        <w:t>. [Ar lein] Tes. Ar gael</w:t>
      </w:r>
      <w:r w:rsidRPr="00366577">
        <w:rPr>
          <w:rFonts w:ascii="Times New Roman" w:eastAsia="Times New Roman" w:hAnsi="Times New Roman" w:cs="Times New Roman"/>
          <w:color w:val="000000"/>
          <w:shd w:val="clear" w:color="auto" w:fill="FFFFFF"/>
        </w:rPr>
        <w:t xml:space="preserve"> at: https://www.tes.com/news/five-reasons-embrace-class-quiz-according-cognitive-science [Accessed 18 May 2019].</w:t>
      </w:r>
    </w:p>
    <w:p w14:paraId="0A08C681" w14:textId="66FB5A2F" w:rsidR="000E53F8" w:rsidRPr="003913DF" w:rsidRDefault="000E53F8" w:rsidP="003913DF">
      <w:pPr>
        <w:rPr>
          <w:rFonts w:ascii="Times New Roman" w:eastAsia="Times New Roman" w:hAnsi="Times New Roman" w:cs="Times New Roman"/>
        </w:rPr>
      </w:pPr>
      <w:r w:rsidRPr="003913DF">
        <w:rPr>
          <w:rFonts w:ascii="Times New Roman" w:eastAsia="Times New Roman" w:hAnsi="Times New Roman" w:cs="Times New Roman"/>
          <w:color w:val="000000"/>
          <w:shd w:val="clear" w:color="auto" w:fill="FFFFFF"/>
        </w:rPr>
        <w:t>Wright, L. (2019).</w:t>
      </w:r>
      <w:r w:rsidRPr="000E53F8">
        <w:rPr>
          <w:rFonts w:ascii="Times New Roman" w:eastAsia="Times New Roman" w:hAnsi="Times New Roman" w:cs="Times New Roman"/>
          <w:color w:val="000000"/>
          <w:shd w:val="clear" w:color="auto" w:fill="FFFFFF"/>
        </w:rPr>
        <w:t> </w:t>
      </w:r>
      <w:r w:rsidRPr="003913DF">
        <w:rPr>
          <w:rFonts w:ascii="Times New Roman" w:eastAsia="Times New Roman" w:hAnsi="Times New Roman" w:cs="Times New Roman"/>
          <w:i/>
          <w:iCs/>
          <w:color w:val="000000"/>
        </w:rPr>
        <w:t>I Just Found Out My Child Has Slow Processing Speed. Now What?</w:t>
      </w:r>
      <w:r w:rsidR="00722BB8">
        <w:rPr>
          <w:rFonts w:ascii="Times New Roman" w:eastAsia="Times New Roman" w:hAnsi="Times New Roman" w:cs="Times New Roman"/>
          <w:color w:val="000000"/>
          <w:shd w:val="clear" w:color="auto" w:fill="FFFFFF"/>
        </w:rPr>
        <w:t>. [Ar lein] Understood.org. Ar gael</w:t>
      </w:r>
      <w:r w:rsidRPr="003913DF">
        <w:rPr>
          <w:rFonts w:ascii="Times New Roman" w:eastAsia="Times New Roman" w:hAnsi="Times New Roman" w:cs="Times New Roman"/>
          <w:color w:val="000000"/>
          <w:shd w:val="clear" w:color="auto" w:fill="FFFFFF"/>
        </w:rPr>
        <w:t xml:space="preserve"> at: https://www.understood.org/en/learning-attention-issues/child-learning-disabilities/information-processing-issues/i-just-found-out-my-child-has-slow-processing-speed-now-what [Accessed 19 May 2019].</w:t>
      </w:r>
    </w:p>
    <w:p w14:paraId="35382237" w14:textId="77777777" w:rsidR="00FE3459" w:rsidRPr="00FE3459" w:rsidRDefault="00FE3459" w:rsidP="00FE3459">
      <w:pPr>
        <w:spacing w:before="100" w:beforeAutospacing="1" w:after="150" w:line="312" w:lineRule="atLeast"/>
        <w:rPr>
          <w:rFonts w:ascii="Times New Roman" w:eastAsia="Arial Unicode MS" w:hAnsi="Times New Roman" w:cs="Times New Roman"/>
          <w:color w:val="000000"/>
        </w:rPr>
      </w:pPr>
    </w:p>
    <w:p w14:paraId="6DEF231A" w14:textId="77777777" w:rsidR="00FE3459" w:rsidRDefault="00FE3459" w:rsidP="00A11FE5"/>
    <w:sectPr w:rsidR="00FE3459" w:rsidSect="00307805">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132A5" w14:textId="77777777" w:rsidR="00C22F06" w:rsidRDefault="00C22F06" w:rsidP="004E7B18">
      <w:r>
        <w:separator/>
      </w:r>
    </w:p>
  </w:endnote>
  <w:endnote w:type="continuationSeparator" w:id="0">
    <w:p w14:paraId="06AB7D91" w14:textId="77777777" w:rsidR="00C22F06" w:rsidRDefault="00C22F06" w:rsidP="004E7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A1718" w14:textId="77777777" w:rsidR="0000227C" w:rsidRDefault="0000227C" w:rsidP="003E5A2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3AF6C8" w14:textId="77777777" w:rsidR="0000227C" w:rsidRDefault="0000227C" w:rsidP="0000227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C1FA4" w14:textId="77777777" w:rsidR="0000227C" w:rsidRDefault="0000227C" w:rsidP="003E5A2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2F06">
      <w:rPr>
        <w:rStyle w:val="PageNumber"/>
        <w:noProof/>
      </w:rPr>
      <w:t>1</w:t>
    </w:r>
    <w:r>
      <w:rPr>
        <w:rStyle w:val="PageNumber"/>
      </w:rPr>
      <w:fldChar w:fldCharType="end"/>
    </w:r>
  </w:p>
  <w:p w14:paraId="1F6E66D8" w14:textId="77777777" w:rsidR="0000227C" w:rsidRDefault="0000227C" w:rsidP="0000227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7AC7A" w14:textId="77777777" w:rsidR="00C22F06" w:rsidRDefault="00C22F06" w:rsidP="004E7B18">
      <w:r>
        <w:separator/>
      </w:r>
    </w:p>
  </w:footnote>
  <w:footnote w:type="continuationSeparator" w:id="0">
    <w:p w14:paraId="1C39E022" w14:textId="77777777" w:rsidR="00C22F06" w:rsidRDefault="00C22F06" w:rsidP="004E7B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09778" w14:textId="77777777" w:rsidR="004E7B18" w:rsidRDefault="004E7B18">
    <w:pPr>
      <w:pStyle w:val="Header"/>
    </w:pPr>
    <w:r>
      <w:t>ECAD6006C</w:t>
    </w:r>
    <w:r>
      <w:ptab w:relativeTo="margin" w:alignment="center" w:leader="none"/>
    </w:r>
    <w:r>
      <w:ptab w:relativeTo="margin" w:alignment="right" w:leader="none"/>
    </w:r>
    <w:r>
      <w:t>1304139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85BE1"/>
    <w:multiLevelType w:val="multilevel"/>
    <w:tmpl w:val="0B1A2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7F12CB"/>
    <w:multiLevelType w:val="hybridMultilevel"/>
    <w:tmpl w:val="43685206"/>
    <w:lvl w:ilvl="0" w:tplc="11FC37D4">
      <w:start w:val="1"/>
      <w:numFmt w:val="bullet"/>
      <w:lvlText w:val="•"/>
      <w:lvlJc w:val="left"/>
      <w:pPr>
        <w:tabs>
          <w:tab w:val="num" w:pos="720"/>
        </w:tabs>
        <w:ind w:left="720" w:hanging="360"/>
      </w:pPr>
      <w:rPr>
        <w:rFonts w:ascii="Arial" w:hAnsi="Arial" w:hint="default"/>
      </w:rPr>
    </w:lvl>
    <w:lvl w:ilvl="1" w:tplc="39E6928C" w:tentative="1">
      <w:start w:val="1"/>
      <w:numFmt w:val="bullet"/>
      <w:lvlText w:val="•"/>
      <w:lvlJc w:val="left"/>
      <w:pPr>
        <w:tabs>
          <w:tab w:val="num" w:pos="1440"/>
        </w:tabs>
        <w:ind w:left="1440" w:hanging="360"/>
      </w:pPr>
      <w:rPr>
        <w:rFonts w:ascii="Arial" w:hAnsi="Arial" w:hint="default"/>
      </w:rPr>
    </w:lvl>
    <w:lvl w:ilvl="2" w:tplc="A8487F56" w:tentative="1">
      <w:start w:val="1"/>
      <w:numFmt w:val="bullet"/>
      <w:lvlText w:val="•"/>
      <w:lvlJc w:val="left"/>
      <w:pPr>
        <w:tabs>
          <w:tab w:val="num" w:pos="2160"/>
        </w:tabs>
        <w:ind w:left="2160" w:hanging="360"/>
      </w:pPr>
      <w:rPr>
        <w:rFonts w:ascii="Arial" w:hAnsi="Arial" w:hint="default"/>
      </w:rPr>
    </w:lvl>
    <w:lvl w:ilvl="3" w:tplc="AC164928" w:tentative="1">
      <w:start w:val="1"/>
      <w:numFmt w:val="bullet"/>
      <w:lvlText w:val="•"/>
      <w:lvlJc w:val="left"/>
      <w:pPr>
        <w:tabs>
          <w:tab w:val="num" w:pos="2880"/>
        </w:tabs>
        <w:ind w:left="2880" w:hanging="360"/>
      </w:pPr>
      <w:rPr>
        <w:rFonts w:ascii="Arial" w:hAnsi="Arial" w:hint="default"/>
      </w:rPr>
    </w:lvl>
    <w:lvl w:ilvl="4" w:tplc="10F4BFD2" w:tentative="1">
      <w:start w:val="1"/>
      <w:numFmt w:val="bullet"/>
      <w:lvlText w:val="•"/>
      <w:lvlJc w:val="left"/>
      <w:pPr>
        <w:tabs>
          <w:tab w:val="num" w:pos="3600"/>
        </w:tabs>
        <w:ind w:left="3600" w:hanging="360"/>
      </w:pPr>
      <w:rPr>
        <w:rFonts w:ascii="Arial" w:hAnsi="Arial" w:hint="default"/>
      </w:rPr>
    </w:lvl>
    <w:lvl w:ilvl="5" w:tplc="66DC5B3A" w:tentative="1">
      <w:start w:val="1"/>
      <w:numFmt w:val="bullet"/>
      <w:lvlText w:val="•"/>
      <w:lvlJc w:val="left"/>
      <w:pPr>
        <w:tabs>
          <w:tab w:val="num" w:pos="4320"/>
        </w:tabs>
        <w:ind w:left="4320" w:hanging="360"/>
      </w:pPr>
      <w:rPr>
        <w:rFonts w:ascii="Arial" w:hAnsi="Arial" w:hint="default"/>
      </w:rPr>
    </w:lvl>
    <w:lvl w:ilvl="6" w:tplc="4E2C5E3A" w:tentative="1">
      <w:start w:val="1"/>
      <w:numFmt w:val="bullet"/>
      <w:lvlText w:val="•"/>
      <w:lvlJc w:val="left"/>
      <w:pPr>
        <w:tabs>
          <w:tab w:val="num" w:pos="5040"/>
        </w:tabs>
        <w:ind w:left="5040" w:hanging="360"/>
      </w:pPr>
      <w:rPr>
        <w:rFonts w:ascii="Arial" w:hAnsi="Arial" w:hint="default"/>
      </w:rPr>
    </w:lvl>
    <w:lvl w:ilvl="7" w:tplc="5F28D730" w:tentative="1">
      <w:start w:val="1"/>
      <w:numFmt w:val="bullet"/>
      <w:lvlText w:val="•"/>
      <w:lvlJc w:val="left"/>
      <w:pPr>
        <w:tabs>
          <w:tab w:val="num" w:pos="5760"/>
        </w:tabs>
        <w:ind w:left="5760" w:hanging="360"/>
      </w:pPr>
      <w:rPr>
        <w:rFonts w:ascii="Arial" w:hAnsi="Arial" w:hint="default"/>
      </w:rPr>
    </w:lvl>
    <w:lvl w:ilvl="8" w:tplc="F07A0266" w:tentative="1">
      <w:start w:val="1"/>
      <w:numFmt w:val="bullet"/>
      <w:lvlText w:val="•"/>
      <w:lvlJc w:val="left"/>
      <w:pPr>
        <w:tabs>
          <w:tab w:val="num" w:pos="6480"/>
        </w:tabs>
        <w:ind w:left="6480" w:hanging="360"/>
      </w:pPr>
      <w:rPr>
        <w:rFonts w:ascii="Arial" w:hAnsi="Arial" w:hint="default"/>
      </w:rPr>
    </w:lvl>
  </w:abstractNum>
  <w:abstractNum w:abstractNumId="2">
    <w:nsid w:val="430E39B2"/>
    <w:multiLevelType w:val="multilevel"/>
    <w:tmpl w:val="63B200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FA737F"/>
    <w:multiLevelType w:val="multilevel"/>
    <w:tmpl w:val="44B656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A1533E"/>
    <w:multiLevelType w:val="hybridMultilevel"/>
    <w:tmpl w:val="2E8AB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397D1E"/>
    <w:multiLevelType w:val="hybridMultilevel"/>
    <w:tmpl w:val="A58A1C0C"/>
    <w:lvl w:ilvl="0" w:tplc="7108CA9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C44945"/>
    <w:multiLevelType w:val="multilevel"/>
    <w:tmpl w:val="2B049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BE1B50"/>
    <w:multiLevelType w:val="hybridMultilevel"/>
    <w:tmpl w:val="00D8BF94"/>
    <w:lvl w:ilvl="0" w:tplc="347A9EA8">
      <w:start w:val="5"/>
      <w:numFmt w:val="bullet"/>
      <w:lvlText w:val="-"/>
      <w:lvlJc w:val="left"/>
      <w:pPr>
        <w:ind w:left="720" w:hanging="360"/>
      </w:pPr>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AC4CFB"/>
    <w:multiLevelType w:val="multilevel"/>
    <w:tmpl w:val="1A78D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5"/>
  </w:num>
  <w:num w:numId="4">
    <w:abstractNumId w:val="2"/>
  </w:num>
  <w:num w:numId="5">
    <w:abstractNumId w:val="3"/>
  </w:num>
  <w:num w:numId="6">
    <w:abstractNumId w:val="0"/>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FE"/>
    <w:rsid w:val="0000227C"/>
    <w:rsid w:val="00012A59"/>
    <w:rsid w:val="000219D1"/>
    <w:rsid w:val="00046E27"/>
    <w:rsid w:val="00050E39"/>
    <w:rsid w:val="00087B31"/>
    <w:rsid w:val="000B34AC"/>
    <w:rsid w:val="000C0DE2"/>
    <w:rsid w:val="000C3800"/>
    <w:rsid w:val="000C7F94"/>
    <w:rsid w:val="000E53F8"/>
    <w:rsid w:val="000F0FCA"/>
    <w:rsid w:val="000F2930"/>
    <w:rsid w:val="001005B9"/>
    <w:rsid w:val="00106E28"/>
    <w:rsid w:val="00123D37"/>
    <w:rsid w:val="00127B0E"/>
    <w:rsid w:val="00136C99"/>
    <w:rsid w:val="0014404B"/>
    <w:rsid w:val="0015235C"/>
    <w:rsid w:val="001600DE"/>
    <w:rsid w:val="001868C0"/>
    <w:rsid w:val="00191F47"/>
    <w:rsid w:val="001929C0"/>
    <w:rsid w:val="001952F0"/>
    <w:rsid w:val="001C6C77"/>
    <w:rsid w:val="001F51EE"/>
    <w:rsid w:val="002044C7"/>
    <w:rsid w:val="00215258"/>
    <w:rsid w:val="00221BD0"/>
    <w:rsid w:val="00280829"/>
    <w:rsid w:val="00302785"/>
    <w:rsid w:val="00307805"/>
    <w:rsid w:val="0031314D"/>
    <w:rsid w:val="0031415E"/>
    <w:rsid w:val="00315B29"/>
    <w:rsid w:val="00340524"/>
    <w:rsid w:val="00341966"/>
    <w:rsid w:val="00357433"/>
    <w:rsid w:val="00366577"/>
    <w:rsid w:val="00370DAB"/>
    <w:rsid w:val="00375D5C"/>
    <w:rsid w:val="003777D9"/>
    <w:rsid w:val="0038035A"/>
    <w:rsid w:val="003913DF"/>
    <w:rsid w:val="003A5EFE"/>
    <w:rsid w:val="003D2607"/>
    <w:rsid w:val="003D4501"/>
    <w:rsid w:val="003E7233"/>
    <w:rsid w:val="0047536A"/>
    <w:rsid w:val="00480E8F"/>
    <w:rsid w:val="00495FF2"/>
    <w:rsid w:val="004A291A"/>
    <w:rsid w:val="004C33E7"/>
    <w:rsid w:val="004C3FEE"/>
    <w:rsid w:val="004C76DD"/>
    <w:rsid w:val="004D4545"/>
    <w:rsid w:val="004D5F53"/>
    <w:rsid w:val="004D6A7D"/>
    <w:rsid w:val="004E76C4"/>
    <w:rsid w:val="004E7B18"/>
    <w:rsid w:val="004F2CA2"/>
    <w:rsid w:val="004F2EA3"/>
    <w:rsid w:val="005046E2"/>
    <w:rsid w:val="005461ED"/>
    <w:rsid w:val="00550533"/>
    <w:rsid w:val="0055183F"/>
    <w:rsid w:val="00573426"/>
    <w:rsid w:val="00573A7A"/>
    <w:rsid w:val="005C0D60"/>
    <w:rsid w:val="005C6B91"/>
    <w:rsid w:val="00607039"/>
    <w:rsid w:val="0061187D"/>
    <w:rsid w:val="0063115E"/>
    <w:rsid w:val="0065494D"/>
    <w:rsid w:val="00692951"/>
    <w:rsid w:val="00693159"/>
    <w:rsid w:val="006B71C3"/>
    <w:rsid w:val="006E192E"/>
    <w:rsid w:val="00711CAE"/>
    <w:rsid w:val="00722BB8"/>
    <w:rsid w:val="00737C2D"/>
    <w:rsid w:val="007A20CF"/>
    <w:rsid w:val="007D772F"/>
    <w:rsid w:val="00854DD3"/>
    <w:rsid w:val="00895C53"/>
    <w:rsid w:val="008A0AFF"/>
    <w:rsid w:val="008B3FFD"/>
    <w:rsid w:val="008E5E28"/>
    <w:rsid w:val="008F4747"/>
    <w:rsid w:val="00904692"/>
    <w:rsid w:val="00924443"/>
    <w:rsid w:val="00926851"/>
    <w:rsid w:val="00944D69"/>
    <w:rsid w:val="00961685"/>
    <w:rsid w:val="009B2DEE"/>
    <w:rsid w:val="009C2840"/>
    <w:rsid w:val="009C2B6B"/>
    <w:rsid w:val="009D25B8"/>
    <w:rsid w:val="009F066D"/>
    <w:rsid w:val="00A11FE5"/>
    <w:rsid w:val="00A46D4D"/>
    <w:rsid w:val="00AD15D6"/>
    <w:rsid w:val="00AD3842"/>
    <w:rsid w:val="00B04283"/>
    <w:rsid w:val="00B0506B"/>
    <w:rsid w:val="00B12370"/>
    <w:rsid w:val="00B23A72"/>
    <w:rsid w:val="00B519D3"/>
    <w:rsid w:val="00B84BFD"/>
    <w:rsid w:val="00B920A6"/>
    <w:rsid w:val="00BA7477"/>
    <w:rsid w:val="00BB2108"/>
    <w:rsid w:val="00BB7EA4"/>
    <w:rsid w:val="00BC27C1"/>
    <w:rsid w:val="00BD0DEC"/>
    <w:rsid w:val="00C04C13"/>
    <w:rsid w:val="00C10134"/>
    <w:rsid w:val="00C22F06"/>
    <w:rsid w:val="00C410DC"/>
    <w:rsid w:val="00CB3AA0"/>
    <w:rsid w:val="00CB4D82"/>
    <w:rsid w:val="00CB776A"/>
    <w:rsid w:val="00D34928"/>
    <w:rsid w:val="00D425FE"/>
    <w:rsid w:val="00D621A0"/>
    <w:rsid w:val="00D9257D"/>
    <w:rsid w:val="00DB035D"/>
    <w:rsid w:val="00DB4CA2"/>
    <w:rsid w:val="00DC23D4"/>
    <w:rsid w:val="00DC2FEA"/>
    <w:rsid w:val="00DE1039"/>
    <w:rsid w:val="00DE319D"/>
    <w:rsid w:val="00E05274"/>
    <w:rsid w:val="00E132A5"/>
    <w:rsid w:val="00E87F9C"/>
    <w:rsid w:val="00EA3341"/>
    <w:rsid w:val="00EF24AA"/>
    <w:rsid w:val="00F24BB9"/>
    <w:rsid w:val="00F56F83"/>
    <w:rsid w:val="00F625F0"/>
    <w:rsid w:val="00FA1E77"/>
    <w:rsid w:val="00FB0A1E"/>
    <w:rsid w:val="00FD3C18"/>
    <w:rsid w:val="00FE3459"/>
    <w:rsid w:val="00FE6B37"/>
    <w:rsid w:val="00FF5858"/>
    <w:rsid w:val="00FF5E3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DAD1C0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EFE"/>
    <w:pPr>
      <w:ind w:left="720"/>
      <w:contextualSpacing/>
    </w:pPr>
  </w:style>
  <w:style w:type="paragraph" w:styleId="Header">
    <w:name w:val="header"/>
    <w:basedOn w:val="Normal"/>
    <w:link w:val="HeaderChar"/>
    <w:uiPriority w:val="99"/>
    <w:unhideWhenUsed/>
    <w:rsid w:val="004E7B18"/>
    <w:pPr>
      <w:tabs>
        <w:tab w:val="center" w:pos="4513"/>
        <w:tab w:val="right" w:pos="9026"/>
      </w:tabs>
    </w:pPr>
  </w:style>
  <w:style w:type="character" w:customStyle="1" w:styleId="HeaderChar">
    <w:name w:val="Header Char"/>
    <w:basedOn w:val="DefaultParagraphFont"/>
    <w:link w:val="Header"/>
    <w:uiPriority w:val="99"/>
    <w:rsid w:val="004E7B18"/>
  </w:style>
  <w:style w:type="paragraph" w:styleId="Footer">
    <w:name w:val="footer"/>
    <w:basedOn w:val="Normal"/>
    <w:link w:val="FooterChar"/>
    <w:uiPriority w:val="99"/>
    <w:unhideWhenUsed/>
    <w:rsid w:val="004E7B18"/>
    <w:pPr>
      <w:tabs>
        <w:tab w:val="center" w:pos="4513"/>
        <w:tab w:val="right" w:pos="9026"/>
      </w:tabs>
    </w:pPr>
  </w:style>
  <w:style w:type="character" w:customStyle="1" w:styleId="FooterChar">
    <w:name w:val="Footer Char"/>
    <w:basedOn w:val="DefaultParagraphFont"/>
    <w:link w:val="Footer"/>
    <w:uiPriority w:val="99"/>
    <w:rsid w:val="004E7B18"/>
  </w:style>
  <w:style w:type="paragraph" w:styleId="HTMLPreformatted">
    <w:name w:val="HTML Preformatted"/>
    <w:basedOn w:val="Normal"/>
    <w:link w:val="HTMLPreformattedChar"/>
    <w:uiPriority w:val="99"/>
    <w:semiHidden/>
    <w:unhideWhenUsed/>
    <w:rsid w:val="00711C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11CAE"/>
    <w:rPr>
      <w:rFonts w:ascii="Courier New" w:hAnsi="Courier New" w:cs="Courier New"/>
      <w:sz w:val="20"/>
      <w:szCs w:val="20"/>
    </w:rPr>
  </w:style>
  <w:style w:type="character" w:styleId="Emphasis">
    <w:name w:val="Emphasis"/>
    <w:basedOn w:val="DefaultParagraphFont"/>
    <w:uiPriority w:val="20"/>
    <w:qFormat/>
    <w:rsid w:val="004D5F53"/>
    <w:rPr>
      <w:i/>
      <w:iCs/>
    </w:rPr>
  </w:style>
  <w:style w:type="character" w:customStyle="1" w:styleId="apple-converted-space">
    <w:name w:val="apple-converted-space"/>
    <w:basedOn w:val="DefaultParagraphFont"/>
    <w:rsid w:val="004D5F53"/>
  </w:style>
  <w:style w:type="paragraph" w:styleId="NormalWeb">
    <w:name w:val="Normal (Web)"/>
    <w:basedOn w:val="Normal"/>
    <w:uiPriority w:val="99"/>
    <w:unhideWhenUsed/>
    <w:rsid w:val="00BA7477"/>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B84BFD"/>
    <w:rPr>
      <w:color w:val="0000FF"/>
      <w:u w:val="single"/>
    </w:rPr>
  </w:style>
  <w:style w:type="character" w:styleId="Strong">
    <w:name w:val="Strong"/>
    <w:basedOn w:val="DefaultParagraphFont"/>
    <w:uiPriority w:val="22"/>
    <w:qFormat/>
    <w:rsid w:val="00495FF2"/>
    <w:rPr>
      <w:b/>
      <w:bCs/>
    </w:rPr>
  </w:style>
  <w:style w:type="character" w:customStyle="1" w:styleId="author">
    <w:name w:val="author"/>
    <w:basedOn w:val="DefaultParagraphFont"/>
    <w:rsid w:val="00B519D3"/>
  </w:style>
  <w:style w:type="character" w:customStyle="1" w:styleId="pubyear">
    <w:name w:val="pubyear"/>
    <w:basedOn w:val="DefaultParagraphFont"/>
    <w:rsid w:val="00B519D3"/>
  </w:style>
  <w:style w:type="character" w:customStyle="1" w:styleId="articletitle">
    <w:name w:val="articletitle"/>
    <w:basedOn w:val="DefaultParagraphFont"/>
    <w:rsid w:val="00B519D3"/>
  </w:style>
  <w:style w:type="character" w:styleId="FollowedHyperlink">
    <w:name w:val="FollowedHyperlink"/>
    <w:basedOn w:val="DefaultParagraphFont"/>
    <w:uiPriority w:val="99"/>
    <w:semiHidden/>
    <w:unhideWhenUsed/>
    <w:rsid w:val="00DC23D4"/>
    <w:rPr>
      <w:color w:val="954F72" w:themeColor="followedHyperlink"/>
      <w:u w:val="single"/>
    </w:rPr>
  </w:style>
  <w:style w:type="character" w:styleId="PageNumber">
    <w:name w:val="page number"/>
    <w:basedOn w:val="DefaultParagraphFont"/>
    <w:uiPriority w:val="99"/>
    <w:semiHidden/>
    <w:unhideWhenUsed/>
    <w:rsid w:val="00002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13123">
      <w:bodyDiv w:val="1"/>
      <w:marLeft w:val="0"/>
      <w:marRight w:val="0"/>
      <w:marTop w:val="0"/>
      <w:marBottom w:val="0"/>
      <w:divBdr>
        <w:top w:val="none" w:sz="0" w:space="0" w:color="auto"/>
        <w:left w:val="none" w:sz="0" w:space="0" w:color="auto"/>
        <w:bottom w:val="none" w:sz="0" w:space="0" w:color="auto"/>
        <w:right w:val="none" w:sz="0" w:space="0" w:color="auto"/>
      </w:divBdr>
    </w:div>
    <w:div w:id="74671426">
      <w:bodyDiv w:val="1"/>
      <w:marLeft w:val="0"/>
      <w:marRight w:val="0"/>
      <w:marTop w:val="0"/>
      <w:marBottom w:val="0"/>
      <w:divBdr>
        <w:top w:val="none" w:sz="0" w:space="0" w:color="auto"/>
        <w:left w:val="none" w:sz="0" w:space="0" w:color="auto"/>
        <w:bottom w:val="none" w:sz="0" w:space="0" w:color="auto"/>
        <w:right w:val="none" w:sz="0" w:space="0" w:color="auto"/>
      </w:divBdr>
    </w:div>
    <w:div w:id="92366279">
      <w:bodyDiv w:val="1"/>
      <w:marLeft w:val="0"/>
      <w:marRight w:val="0"/>
      <w:marTop w:val="0"/>
      <w:marBottom w:val="0"/>
      <w:divBdr>
        <w:top w:val="none" w:sz="0" w:space="0" w:color="auto"/>
        <w:left w:val="none" w:sz="0" w:space="0" w:color="auto"/>
        <w:bottom w:val="none" w:sz="0" w:space="0" w:color="auto"/>
        <w:right w:val="none" w:sz="0" w:space="0" w:color="auto"/>
      </w:divBdr>
    </w:div>
    <w:div w:id="100419986">
      <w:bodyDiv w:val="1"/>
      <w:marLeft w:val="0"/>
      <w:marRight w:val="0"/>
      <w:marTop w:val="0"/>
      <w:marBottom w:val="0"/>
      <w:divBdr>
        <w:top w:val="none" w:sz="0" w:space="0" w:color="auto"/>
        <w:left w:val="none" w:sz="0" w:space="0" w:color="auto"/>
        <w:bottom w:val="none" w:sz="0" w:space="0" w:color="auto"/>
        <w:right w:val="none" w:sz="0" w:space="0" w:color="auto"/>
      </w:divBdr>
    </w:div>
    <w:div w:id="238105066">
      <w:bodyDiv w:val="1"/>
      <w:marLeft w:val="0"/>
      <w:marRight w:val="0"/>
      <w:marTop w:val="0"/>
      <w:marBottom w:val="0"/>
      <w:divBdr>
        <w:top w:val="none" w:sz="0" w:space="0" w:color="auto"/>
        <w:left w:val="none" w:sz="0" w:space="0" w:color="auto"/>
        <w:bottom w:val="none" w:sz="0" w:space="0" w:color="auto"/>
        <w:right w:val="none" w:sz="0" w:space="0" w:color="auto"/>
      </w:divBdr>
    </w:div>
    <w:div w:id="325548435">
      <w:bodyDiv w:val="1"/>
      <w:marLeft w:val="0"/>
      <w:marRight w:val="0"/>
      <w:marTop w:val="0"/>
      <w:marBottom w:val="0"/>
      <w:divBdr>
        <w:top w:val="none" w:sz="0" w:space="0" w:color="auto"/>
        <w:left w:val="none" w:sz="0" w:space="0" w:color="auto"/>
        <w:bottom w:val="none" w:sz="0" w:space="0" w:color="auto"/>
        <w:right w:val="none" w:sz="0" w:space="0" w:color="auto"/>
      </w:divBdr>
    </w:div>
    <w:div w:id="404913915">
      <w:bodyDiv w:val="1"/>
      <w:marLeft w:val="0"/>
      <w:marRight w:val="0"/>
      <w:marTop w:val="0"/>
      <w:marBottom w:val="0"/>
      <w:divBdr>
        <w:top w:val="none" w:sz="0" w:space="0" w:color="auto"/>
        <w:left w:val="none" w:sz="0" w:space="0" w:color="auto"/>
        <w:bottom w:val="none" w:sz="0" w:space="0" w:color="auto"/>
        <w:right w:val="none" w:sz="0" w:space="0" w:color="auto"/>
      </w:divBdr>
    </w:div>
    <w:div w:id="663555338">
      <w:bodyDiv w:val="1"/>
      <w:marLeft w:val="0"/>
      <w:marRight w:val="0"/>
      <w:marTop w:val="0"/>
      <w:marBottom w:val="0"/>
      <w:divBdr>
        <w:top w:val="none" w:sz="0" w:space="0" w:color="auto"/>
        <w:left w:val="none" w:sz="0" w:space="0" w:color="auto"/>
        <w:bottom w:val="none" w:sz="0" w:space="0" w:color="auto"/>
        <w:right w:val="none" w:sz="0" w:space="0" w:color="auto"/>
      </w:divBdr>
    </w:div>
    <w:div w:id="770048909">
      <w:bodyDiv w:val="1"/>
      <w:marLeft w:val="0"/>
      <w:marRight w:val="0"/>
      <w:marTop w:val="0"/>
      <w:marBottom w:val="0"/>
      <w:divBdr>
        <w:top w:val="none" w:sz="0" w:space="0" w:color="auto"/>
        <w:left w:val="none" w:sz="0" w:space="0" w:color="auto"/>
        <w:bottom w:val="none" w:sz="0" w:space="0" w:color="auto"/>
        <w:right w:val="none" w:sz="0" w:space="0" w:color="auto"/>
      </w:divBdr>
    </w:div>
    <w:div w:id="1133911696">
      <w:bodyDiv w:val="1"/>
      <w:marLeft w:val="0"/>
      <w:marRight w:val="0"/>
      <w:marTop w:val="0"/>
      <w:marBottom w:val="0"/>
      <w:divBdr>
        <w:top w:val="none" w:sz="0" w:space="0" w:color="auto"/>
        <w:left w:val="none" w:sz="0" w:space="0" w:color="auto"/>
        <w:bottom w:val="none" w:sz="0" w:space="0" w:color="auto"/>
        <w:right w:val="none" w:sz="0" w:space="0" w:color="auto"/>
      </w:divBdr>
    </w:div>
    <w:div w:id="1310788657">
      <w:bodyDiv w:val="1"/>
      <w:marLeft w:val="0"/>
      <w:marRight w:val="0"/>
      <w:marTop w:val="0"/>
      <w:marBottom w:val="0"/>
      <w:divBdr>
        <w:top w:val="none" w:sz="0" w:space="0" w:color="auto"/>
        <w:left w:val="none" w:sz="0" w:space="0" w:color="auto"/>
        <w:bottom w:val="none" w:sz="0" w:space="0" w:color="auto"/>
        <w:right w:val="none" w:sz="0" w:space="0" w:color="auto"/>
      </w:divBdr>
    </w:div>
    <w:div w:id="1379356655">
      <w:bodyDiv w:val="1"/>
      <w:marLeft w:val="0"/>
      <w:marRight w:val="0"/>
      <w:marTop w:val="0"/>
      <w:marBottom w:val="0"/>
      <w:divBdr>
        <w:top w:val="none" w:sz="0" w:space="0" w:color="auto"/>
        <w:left w:val="none" w:sz="0" w:space="0" w:color="auto"/>
        <w:bottom w:val="none" w:sz="0" w:space="0" w:color="auto"/>
        <w:right w:val="none" w:sz="0" w:space="0" w:color="auto"/>
      </w:divBdr>
    </w:div>
    <w:div w:id="1413745640">
      <w:bodyDiv w:val="1"/>
      <w:marLeft w:val="0"/>
      <w:marRight w:val="0"/>
      <w:marTop w:val="0"/>
      <w:marBottom w:val="0"/>
      <w:divBdr>
        <w:top w:val="none" w:sz="0" w:space="0" w:color="auto"/>
        <w:left w:val="none" w:sz="0" w:space="0" w:color="auto"/>
        <w:bottom w:val="none" w:sz="0" w:space="0" w:color="auto"/>
        <w:right w:val="none" w:sz="0" w:space="0" w:color="auto"/>
      </w:divBdr>
    </w:div>
    <w:div w:id="1492284066">
      <w:bodyDiv w:val="1"/>
      <w:marLeft w:val="0"/>
      <w:marRight w:val="0"/>
      <w:marTop w:val="0"/>
      <w:marBottom w:val="0"/>
      <w:divBdr>
        <w:top w:val="none" w:sz="0" w:space="0" w:color="auto"/>
        <w:left w:val="none" w:sz="0" w:space="0" w:color="auto"/>
        <w:bottom w:val="none" w:sz="0" w:space="0" w:color="auto"/>
        <w:right w:val="none" w:sz="0" w:space="0" w:color="auto"/>
      </w:divBdr>
    </w:div>
    <w:div w:id="1520385127">
      <w:bodyDiv w:val="1"/>
      <w:marLeft w:val="0"/>
      <w:marRight w:val="0"/>
      <w:marTop w:val="0"/>
      <w:marBottom w:val="0"/>
      <w:divBdr>
        <w:top w:val="none" w:sz="0" w:space="0" w:color="auto"/>
        <w:left w:val="none" w:sz="0" w:space="0" w:color="auto"/>
        <w:bottom w:val="none" w:sz="0" w:space="0" w:color="auto"/>
        <w:right w:val="none" w:sz="0" w:space="0" w:color="auto"/>
      </w:divBdr>
    </w:div>
    <w:div w:id="1577202115">
      <w:bodyDiv w:val="1"/>
      <w:marLeft w:val="0"/>
      <w:marRight w:val="0"/>
      <w:marTop w:val="0"/>
      <w:marBottom w:val="0"/>
      <w:divBdr>
        <w:top w:val="none" w:sz="0" w:space="0" w:color="auto"/>
        <w:left w:val="none" w:sz="0" w:space="0" w:color="auto"/>
        <w:bottom w:val="none" w:sz="0" w:space="0" w:color="auto"/>
        <w:right w:val="none" w:sz="0" w:space="0" w:color="auto"/>
      </w:divBdr>
    </w:div>
    <w:div w:id="1594701428">
      <w:bodyDiv w:val="1"/>
      <w:marLeft w:val="0"/>
      <w:marRight w:val="0"/>
      <w:marTop w:val="0"/>
      <w:marBottom w:val="0"/>
      <w:divBdr>
        <w:top w:val="none" w:sz="0" w:space="0" w:color="auto"/>
        <w:left w:val="none" w:sz="0" w:space="0" w:color="auto"/>
        <w:bottom w:val="none" w:sz="0" w:space="0" w:color="auto"/>
        <w:right w:val="none" w:sz="0" w:space="0" w:color="auto"/>
      </w:divBdr>
    </w:div>
    <w:div w:id="1649940729">
      <w:bodyDiv w:val="1"/>
      <w:marLeft w:val="0"/>
      <w:marRight w:val="0"/>
      <w:marTop w:val="0"/>
      <w:marBottom w:val="0"/>
      <w:divBdr>
        <w:top w:val="none" w:sz="0" w:space="0" w:color="auto"/>
        <w:left w:val="none" w:sz="0" w:space="0" w:color="auto"/>
        <w:bottom w:val="none" w:sz="0" w:space="0" w:color="auto"/>
        <w:right w:val="none" w:sz="0" w:space="0" w:color="auto"/>
      </w:divBdr>
    </w:div>
    <w:div w:id="1761834564">
      <w:bodyDiv w:val="1"/>
      <w:marLeft w:val="0"/>
      <w:marRight w:val="0"/>
      <w:marTop w:val="0"/>
      <w:marBottom w:val="0"/>
      <w:divBdr>
        <w:top w:val="none" w:sz="0" w:space="0" w:color="auto"/>
        <w:left w:val="none" w:sz="0" w:space="0" w:color="auto"/>
        <w:bottom w:val="none" w:sz="0" w:space="0" w:color="auto"/>
        <w:right w:val="none" w:sz="0" w:space="0" w:color="auto"/>
      </w:divBdr>
      <w:divsChild>
        <w:div w:id="786702674">
          <w:marLeft w:val="0"/>
          <w:marRight w:val="0"/>
          <w:marTop w:val="0"/>
          <w:marBottom w:val="0"/>
          <w:divBdr>
            <w:top w:val="none" w:sz="0" w:space="0" w:color="auto"/>
            <w:left w:val="none" w:sz="0" w:space="0" w:color="auto"/>
            <w:bottom w:val="none" w:sz="0" w:space="0" w:color="auto"/>
            <w:right w:val="none" w:sz="0" w:space="0" w:color="auto"/>
          </w:divBdr>
          <w:divsChild>
            <w:div w:id="1753114819">
              <w:marLeft w:val="0"/>
              <w:marRight w:val="0"/>
              <w:marTop w:val="0"/>
              <w:marBottom w:val="0"/>
              <w:divBdr>
                <w:top w:val="none" w:sz="0" w:space="0" w:color="auto"/>
                <w:left w:val="none" w:sz="0" w:space="0" w:color="auto"/>
                <w:bottom w:val="none" w:sz="0" w:space="0" w:color="auto"/>
                <w:right w:val="none" w:sz="0" w:space="0" w:color="auto"/>
              </w:divBdr>
              <w:divsChild>
                <w:div w:id="157851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700507">
      <w:bodyDiv w:val="1"/>
      <w:marLeft w:val="0"/>
      <w:marRight w:val="0"/>
      <w:marTop w:val="0"/>
      <w:marBottom w:val="0"/>
      <w:divBdr>
        <w:top w:val="none" w:sz="0" w:space="0" w:color="auto"/>
        <w:left w:val="none" w:sz="0" w:space="0" w:color="auto"/>
        <w:bottom w:val="none" w:sz="0" w:space="0" w:color="auto"/>
        <w:right w:val="none" w:sz="0" w:space="0" w:color="auto"/>
      </w:divBdr>
    </w:div>
    <w:div w:id="1863394724">
      <w:bodyDiv w:val="1"/>
      <w:marLeft w:val="0"/>
      <w:marRight w:val="0"/>
      <w:marTop w:val="0"/>
      <w:marBottom w:val="0"/>
      <w:divBdr>
        <w:top w:val="none" w:sz="0" w:space="0" w:color="auto"/>
        <w:left w:val="none" w:sz="0" w:space="0" w:color="auto"/>
        <w:bottom w:val="none" w:sz="0" w:space="0" w:color="auto"/>
        <w:right w:val="none" w:sz="0" w:space="0" w:color="auto"/>
      </w:divBdr>
    </w:div>
    <w:div w:id="1888375250">
      <w:bodyDiv w:val="1"/>
      <w:marLeft w:val="0"/>
      <w:marRight w:val="0"/>
      <w:marTop w:val="0"/>
      <w:marBottom w:val="0"/>
      <w:divBdr>
        <w:top w:val="none" w:sz="0" w:space="0" w:color="auto"/>
        <w:left w:val="none" w:sz="0" w:space="0" w:color="auto"/>
        <w:bottom w:val="none" w:sz="0" w:space="0" w:color="auto"/>
        <w:right w:val="none" w:sz="0" w:space="0" w:color="auto"/>
      </w:divBdr>
      <w:divsChild>
        <w:div w:id="2026783618">
          <w:marLeft w:val="547"/>
          <w:marRight w:val="0"/>
          <w:marTop w:val="106"/>
          <w:marBottom w:val="0"/>
          <w:divBdr>
            <w:top w:val="none" w:sz="0" w:space="0" w:color="auto"/>
            <w:left w:val="none" w:sz="0" w:space="0" w:color="auto"/>
            <w:bottom w:val="none" w:sz="0" w:space="0" w:color="auto"/>
            <w:right w:val="none" w:sz="0" w:space="0" w:color="auto"/>
          </w:divBdr>
        </w:div>
      </w:divsChild>
    </w:div>
    <w:div w:id="1911191126">
      <w:bodyDiv w:val="1"/>
      <w:marLeft w:val="0"/>
      <w:marRight w:val="0"/>
      <w:marTop w:val="0"/>
      <w:marBottom w:val="0"/>
      <w:divBdr>
        <w:top w:val="none" w:sz="0" w:space="0" w:color="auto"/>
        <w:left w:val="none" w:sz="0" w:space="0" w:color="auto"/>
        <w:bottom w:val="none" w:sz="0" w:space="0" w:color="auto"/>
        <w:right w:val="none" w:sz="0" w:space="0" w:color="auto"/>
      </w:divBdr>
    </w:div>
    <w:div w:id="20966287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youtu.be/vyJmV0sQVWU" TargetMode="External"/><Relationship Id="rId8" Type="http://schemas.openxmlformats.org/officeDocument/2006/relationships/hyperlink" Target="https://cft.vanderbilt.edu/guides-sub-pages/blooms-taxonomy/"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7</Pages>
  <Words>2061</Words>
  <Characters>11748</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sambo777@icloud.com</dc:creator>
  <cp:keywords/>
  <dc:description/>
  <cp:lastModifiedBy>sambo777@icloud.com</cp:lastModifiedBy>
  <cp:revision>16</cp:revision>
  <dcterms:created xsi:type="dcterms:W3CDTF">2019-05-22T19:32:00Z</dcterms:created>
  <dcterms:modified xsi:type="dcterms:W3CDTF">2019-05-30T11:53:00Z</dcterms:modified>
</cp:coreProperties>
</file>