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58A32" w14:textId="5A1EE338" w:rsidR="00E6618D" w:rsidRPr="00C75AE9" w:rsidRDefault="00000000" w:rsidP="00C75AE9">
      <w:pPr>
        <w:spacing w:line="360" w:lineRule="auto"/>
        <w:jc w:val="both"/>
        <w:rPr>
          <w:rFonts w:ascii="Arial" w:hAnsi="Arial" w:cs="Arial"/>
          <w:b/>
          <w:sz w:val="24"/>
          <w:szCs w:val="24"/>
        </w:rPr>
      </w:pPr>
      <w:sdt>
        <w:sdtPr>
          <w:rPr>
            <w:rFonts w:ascii="Arial" w:hAnsi="Arial" w:cs="Arial"/>
            <w:b/>
            <w:sz w:val="24"/>
            <w:szCs w:val="24"/>
          </w:rPr>
          <w:id w:val="941728007"/>
          <w:docPartObj>
            <w:docPartGallery w:val="Cover Pages"/>
            <w:docPartUnique/>
          </w:docPartObj>
        </w:sdtPr>
        <w:sdtContent>
          <w:r w:rsidR="00E6618D" w:rsidRPr="00C75AE9">
            <w:rPr>
              <w:rFonts w:ascii="Arial" w:hAnsi="Arial" w:cs="Arial"/>
              <w:b/>
              <w:noProof/>
              <w:sz w:val="24"/>
              <w:szCs w:val="24"/>
              <w:lang w:eastAsia="zh-CN"/>
            </w:rPr>
            <mc:AlternateContent>
              <mc:Choice Requires="wps">
                <w:drawing>
                  <wp:anchor distT="0" distB="0" distL="114300" distR="114300" simplePos="0" relativeHeight="251659264" behindDoc="0" locked="0" layoutInCell="1" allowOverlap="1" wp14:anchorId="4C0DB241" wp14:editId="447C492C">
                    <wp:simplePos x="0" y="0"/>
                    <wp:positionH relativeFrom="page">
                      <wp:align>center</wp:align>
                    </wp:positionH>
                    <wp:positionV relativeFrom="page">
                      <wp:align>center</wp:align>
                    </wp:positionV>
                    <wp:extent cx="1712890" cy="3840480"/>
                    <wp:effectExtent l="0" t="0" r="1270" b="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450"/>
                                  <w:gridCol w:w="2792"/>
                                </w:tblGrid>
                                <w:tr w:rsidR="00E6618D" w14:paraId="72E78D04" w14:textId="77777777">
                                  <w:trPr>
                                    <w:jc w:val="center"/>
                                  </w:trPr>
                                  <w:tc>
                                    <w:tcPr>
                                      <w:tcW w:w="2568" w:type="pct"/>
                                      <w:vAlign w:val="center"/>
                                    </w:tcPr>
                                    <w:p w14:paraId="4A5B5030" w14:textId="7284B567" w:rsidR="00E6618D" w:rsidRDefault="00E6618D">
                                      <w:pPr>
                                        <w:jc w:val="right"/>
                                      </w:pPr>
                                      <w:r>
                                        <w:rPr>
                                          <w:noProof/>
                                        </w:rPr>
                                        <w:drawing>
                                          <wp:inline distT="0" distB="0" distL="0" distR="0" wp14:anchorId="6830180B" wp14:editId="18173FEE">
                                            <wp:extent cx="3638550" cy="1819275"/>
                                            <wp:effectExtent l="0" t="0" r="0" b="0"/>
                                            <wp:docPr id="486318100" name="Picture 4863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201103" w14:textId="5E60A70F" w:rsidR="00E6618D" w:rsidRDefault="00596B0B">
                                          <w:pPr>
                                            <w:pStyle w:val="NoSpacing"/>
                                            <w:spacing w:line="312" w:lineRule="auto"/>
                                            <w:jc w:val="right"/>
                                            <w:rPr>
                                              <w:caps/>
                                              <w:color w:val="191919" w:themeColor="text1" w:themeTint="E6"/>
                                              <w:sz w:val="72"/>
                                              <w:szCs w:val="72"/>
                                            </w:rPr>
                                          </w:pPr>
                                          <w:r>
                                            <w:rPr>
                                              <w:caps/>
                                              <w:color w:val="191919" w:themeColor="text1" w:themeTint="E6"/>
                                              <w:sz w:val="72"/>
                                              <w:szCs w:val="72"/>
                                            </w:rPr>
                                            <w:t>report</w:t>
                                          </w:r>
                                        </w:p>
                                      </w:sdtContent>
                                    </w:sdt>
                                    <w:sdt>
                                      <w:sdtPr>
                                        <w:rPr>
                                          <w:rFonts w:eastAsiaTheme="minorHAnsi"/>
                                          <w:color w:val="000000" w:themeColor="text1"/>
                                          <w:kern w:val="2"/>
                                          <w:sz w:val="40"/>
                                          <w:szCs w:val="40"/>
                                          <w:lang w:val="en-GB" w:eastAsia="en-US"/>
                                          <w14:ligatures w14:val="standardContextu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39762E" w14:textId="726AC207" w:rsidR="00E6618D" w:rsidRDefault="00E6618D">
                                          <w:pPr>
                                            <w:jc w:val="right"/>
                                            <w:rPr>
                                              <w:sz w:val="24"/>
                                              <w:szCs w:val="24"/>
                                            </w:rPr>
                                          </w:pPr>
                                          <w:r w:rsidRPr="00E6618D">
                                            <w:rPr>
                                              <w:rFonts w:eastAsiaTheme="minorHAnsi"/>
                                              <w:color w:val="000000" w:themeColor="text1"/>
                                              <w:kern w:val="2"/>
                                              <w:sz w:val="40"/>
                                              <w:szCs w:val="40"/>
                                              <w:lang w:val="en-GB" w:eastAsia="en-US"/>
                                              <w14:ligatures w14:val="standardContextual"/>
                                            </w:rPr>
                                            <w:t xml:space="preserve">Assignment </w:t>
                                          </w:r>
                                          <w:r w:rsidR="00596B0B">
                                            <w:rPr>
                                              <w:rFonts w:eastAsiaTheme="minorHAnsi"/>
                                              <w:color w:val="000000" w:themeColor="text1"/>
                                              <w:kern w:val="2"/>
                                              <w:sz w:val="40"/>
                                              <w:szCs w:val="40"/>
                                              <w:lang w:val="en-GB" w:eastAsia="en-US"/>
                                              <w14:ligatures w14:val="standardContextual"/>
                                            </w:rPr>
                                            <w:t>2</w:t>
                                          </w:r>
                                        </w:p>
                                      </w:sdtContent>
                                    </w:sdt>
                                  </w:tc>
                                  <w:tc>
                                    <w:tcPr>
                                      <w:tcW w:w="2432" w:type="pct"/>
                                      <w:vAlign w:val="center"/>
                                    </w:tcPr>
                                    <w:p w14:paraId="53CB5035" w14:textId="7DA42088" w:rsidR="00E6618D" w:rsidRPr="00E6618D" w:rsidRDefault="00E6618D" w:rsidP="00E6618D">
                                      <w:pPr>
                                        <w:pStyle w:val="NoSpacing"/>
                                        <w:rPr>
                                          <w:caps/>
                                          <w:color w:val="C0504D" w:themeColor="accent2"/>
                                          <w:sz w:val="26"/>
                                          <w:szCs w:val="26"/>
                                        </w:rPr>
                                      </w:pPr>
                                    </w:p>
                                    <w:sdt>
                                      <w:sdtPr>
                                        <w:rPr>
                                          <w:color w:val="C0504D"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0E31C" w14:textId="653117C0" w:rsidR="00E6618D" w:rsidRPr="00E6618D" w:rsidRDefault="00E6618D">
                                          <w:pPr>
                                            <w:pStyle w:val="NoSpacing"/>
                                            <w:rPr>
                                              <w:color w:val="C0504D" w:themeColor="accent2"/>
                                              <w:sz w:val="44"/>
                                              <w:szCs w:val="44"/>
                                            </w:rPr>
                                          </w:pPr>
                                          <w:r w:rsidRPr="00E6618D">
                                            <w:rPr>
                                              <w:color w:val="C0504D" w:themeColor="accent2"/>
                                              <w:sz w:val="44"/>
                                              <w:szCs w:val="44"/>
                                            </w:rPr>
                                            <w:t>Ionut Agrigoroaei (2247225)</w:t>
                                          </w:r>
                                        </w:p>
                                      </w:sdtContent>
                                    </w:sdt>
                                    <w:p w14:paraId="1DA58B8E" w14:textId="558D6398" w:rsidR="00E6618D" w:rsidRDefault="00000000">
                                      <w:pPr>
                                        <w:pStyle w:val="NoSpacing"/>
                                      </w:pPr>
                                      <w:sdt>
                                        <w:sdtPr>
                                          <w:rPr>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6618D" w:rsidRPr="00E6618D">
                                            <w:rPr>
                                              <w:color w:val="1F497D" w:themeColor="text2"/>
                                              <w:sz w:val="32"/>
                                              <w:szCs w:val="32"/>
                                            </w:rPr>
                                            <w:t>Principles of Human Resource Management (LCBB5012)</w:t>
                                          </w:r>
                                        </w:sdtContent>
                                      </w:sdt>
                                    </w:p>
                                  </w:tc>
                                </w:tr>
                              </w:tbl>
                              <w:p w14:paraId="3819C8C4" w14:textId="77777777" w:rsidR="00E6618D" w:rsidRDefault="00E6618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0DB241" id="_x0000_t202" coordsize="21600,21600" o:spt="202" path="m,l,21600r21600,l21600,xe">
                    <v:stroke joinstyle="miter"/>
                    <v:path gradientshapeok="t" o:connecttype="rect"/>
                  </v:shapetype>
                  <v:shape id="Text Box 101"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450"/>
                            <w:gridCol w:w="2792"/>
                          </w:tblGrid>
                          <w:tr w:rsidR="00E6618D" w14:paraId="72E78D04" w14:textId="77777777">
                            <w:trPr>
                              <w:jc w:val="center"/>
                            </w:trPr>
                            <w:tc>
                              <w:tcPr>
                                <w:tcW w:w="2568" w:type="pct"/>
                                <w:vAlign w:val="center"/>
                              </w:tcPr>
                              <w:p w14:paraId="4A5B5030" w14:textId="7284B567" w:rsidR="00E6618D" w:rsidRDefault="00E6618D">
                                <w:pPr>
                                  <w:jc w:val="right"/>
                                </w:pPr>
                                <w:r>
                                  <w:rPr>
                                    <w:noProof/>
                                  </w:rPr>
                                  <w:drawing>
                                    <wp:inline distT="0" distB="0" distL="0" distR="0" wp14:anchorId="6830180B" wp14:editId="18173FEE">
                                      <wp:extent cx="3638550" cy="1819275"/>
                                      <wp:effectExtent l="0" t="0" r="0" b="0"/>
                                      <wp:docPr id="486318100" name="Picture 4863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201103" w14:textId="5E60A70F" w:rsidR="00E6618D" w:rsidRDefault="00596B0B">
                                    <w:pPr>
                                      <w:pStyle w:val="NoSpacing"/>
                                      <w:spacing w:line="312" w:lineRule="auto"/>
                                      <w:jc w:val="right"/>
                                      <w:rPr>
                                        <w:caps/>
                                        <w:color w:val="191919" w:themeColor="text1" w:themeTint="E6"/>
                                        <w:sz w:val="72"/>
                                        <w:szCs w:val="72"/>
                                      </w:rPr>
                                    </w:pPr>
                                    <w:r>
                                      <w:rPr>
                                        <w:caps/>
                                        <w:color w:val="191919" w:themeColor="text1" w:themeTint="E6"/>
                                        <w:sz w:val="72"/>
                                        <w:szCs w:val="72"/>
                                      </w:rPr>
                                      <w:t>report</w:t>
                                    </w:r>
                                  </w:p>
                                </w:sdtContent>
                              </w:sdt>
                              <w:sdt>
                                <w:sdtPr>
                                  <w:rPr>
                                    <w:rFonts w:eastAsiaTheme="minorHAnsi"/>
                                    <w:color w:val="000000" w:themeColor="text1"/>
                                    <w:kern w:val="2"/>
                                    <w:sz w:val="40"/>
                                    <w:szCs w:val="40"/>
                                    <w:lang w:val="en-GB" w:eastAsia="en-US"/>
                                    <w14:ligatures w14:val="standardContextu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39762E" w14:textId="726AC207" w:rsidR="00E6618D" w:rsidRDefault="00E6618D">
                                    <w:pPr>
                                      <w:jc w:val="right"/>
                                      <w:rPr>
                                        <w:sz w:val="24"/>
                                        <w:szCs w:val="24"/>
                                      </w:rPr>
                                    </w:pPr>
                                    <w:r w:rsidRPr="00E6618D">
                                      <w:rPr>
                                        <w:rFonts w:eastAsiaTheme="minorHAnsi"/>
                                        <w:color w:val="000000" w:themeColor="text1"/>
                                        <w:kern w:val="2"/>
                                        <w:sz w:val="40"/>
                                        <w:szCs w:val="40"/>
                                        <w:lang w:val="en-GB" w:eastAsia="en-US"/>
                                        <w14:ligatures w14:val="standardContextual"/>
                                      </w:rPr>
                                      <w:t xml:space="preserve">Assignment </w:t>
                                    </w:r>
                                    <w:r w:rsidR="00596B0B">
                                      <w:rPr>
                                        <w:rFonts w:eastAsiaTheme="minorHAnsi"/>
                                        <w:color w:val="000000" w:themeColor="text1"/>
                                        <w:kern w:val="2"/>
                                        <w:sz w:val="40"/>
                                        <w:szCs w:val="40"/>
                                        <w:lang w:val="en-GB" w:eastAsia="en-US"/>
                                        <w14:ligatures w14:val="standardContextual"/>
                                      </w:rPr>
                                      <w:t>2</w:t>
                                    </w:r>
                                  </w:p>
                                </w:sdtContent>
                              </w:sdt>
                            </w:tc>
                            <w:tc>
                              <w:tcPr>
                                <w:tcW w:w="2432" w:type="pct"/>
                                <w:vAlign w:val="center"/>
                              </w:tcPr>
                              <w:p w14:paraId="53CB5035" w14:textId="7DA42088" w:rsidR="00E6618D" w:rsidRPr="00E6618D" w:rsidRDefault="00E6618D" w:rsidP="00E6618D">
                                <w:pPr>
                                  <w:pStyle w:val="NoSpacing"/>
                                  <w:rPr>
                                    <w:caps/>
                                    <w:color w:val="C0504D" w:themeColor="accent2"/>
                                    <w:sz w:val="26"/>
                                    <w:szCs w:val="26"/>
                                  </w:rPr>
                                </w:pPr>
                              </w:p>
                              <w:sdt>
                                <w:sdtPr>
                                  <w:rPr>
                                    <w:color w:val="C0504D"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0E31C" w14:textId="653117C0" w:rsidR="00E6618D" w:rsidRPr="00E6618D" w:rsidRDefault="00E6618D">
                                    <w:pPr>
                                      <w:pStyle w:val="NoSpacing"/>
                                      <w:rPr>
                                        <w:color w:val="C0504D" w:themeColor="accent2"/>
                                        <w:sz w:val="44"/>
                                        <w:szCs w:val="44"/>
                                      </w:rPr>
                                    </w:pPr>
                                    <w:r w:rsidRPr="00E6618D">
                                      <w:rPr>
                                        <w:color w:val="C0504D" w:themeColor="accent2"/>
                                        <w:sz w:val="44"/>
                                        <w:szCs w:val="44"/>
                                      </w:rPr>
                                      <w:t>Ionut Agrigoroaei (2247225)</w:t>
                                    </w:r>
                                  </w:p>
                                </w:sdtContent>
                              </w:sdt>
                              <w:p w14:paraId="1DA58B8E" w14:textId="558D6398" w:rsidR="00E6618D" w:rsidRDefault="00000000">
                                <w:pPr>
                                  <w:pStyle w:val="NoSpacing"/>
                                </w:pPr>
                                <w:sdt>
                                  <w:sdtPr>
                                    <w:rPr>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6618D" w:rsidRPr="00E6618D">
                                      <w:rPr>
                                        <w:color w:val="1F497D" w:themeColor="text2"/>
                                        <w:sz w:val="32"/>
                                        <w:szCs w:val="32"/>
                                      </w:rPr>
                                      <w:t>Principles of Human Resource Management (LCBB5012)</w:t>
                                    </w:r>
                                  </w:sdtContent>
                                </w:sdt>
                              </w:p>
                            </w:tc>
                          </w:tr>
                        </w:tbl>
                        <w:p w14:paraId="3819C8C4" w14:textId="77777777" w:rsidR="00E6618D" w:rsidRDefault="00E6618D"/>
                      </w:txbxContent>
                    </v:textbox>
                    <w10:wrap anchorx="page" anchory="page"/>
                  </v:shape>
                </w:pict>
              </mc:Fallback>
            </mc:AlternateContent>
          </w:r>
          <w:r w:rsidR="00E6618D" w:rsidRPr="00C75AE9">
            <w:rPr>
              <w:rFonts w:ascii="Arial" w:hAnsi="Arial" w:cs="Arial"/>
              <w:b/>
              <w:sz w:val="24"/>
              <w:szCs w:val="24"/>
            </w:rPr>
            <w:br w:type="page"/>
          </w:r>
        </w:sdtContent>
      </w:sdt>
    </w:p>
    <w:sdt>
      <w:sdtPr>
        <w:rPr>
          <w:rFonts w:ascii="Arial" w:eastAsiaTheme="minorEastAsia" w:hAnsi="Arial" w:cs="Arial"/>
          <w:b w:val="0"/>
          <w:smallCaps w:val="0"/>
          <w:sz w:val="24"/>
          <w:szCs w:val="24"/>
        </w:rPr>
        <w:id w:val="619656859"/>
        <w:docPartObj>
          <w:docPartGallery w:val="Table of Contents"/>
          <w:docPartUnique/>
        </w:docPartObj>
      </w:sdtPr>
      <w:sdtEndPr>
        <w:rPr>
          <w:bCs/>
          <w:noProof/>
        </w:rPr>
      </w:sdtEndPr>
      <w:sdtContent>
        <w:p w14:paraId="4643805F" w14:textId="4E93AD9A" w:rsidR="00E6618D" w:rsidRPr="00C75AE9" w:rsidRDefault="00E6618D" w:rsidP="00C75AE9">
          <w:pPr>
            <w:pStyle w:val="TOCHeading"/>
            <w:spacing w:line="360" w:lineRule="auto"/>
            <w:jc w:val="both"/>
            <w:rPr>
              <w:rFonts w:ascii="Arial" w:hAnsi="Arial" w:cs="Arial"/>
              <w:sz w:val="24"/>
              <w:szCs w:val="24"/>
            </w:rPr>
          </w:pPr>
          <w:r w:rsidRPr="00C75AE9">
            <w:rPr>
              <w:rFonts w:ascii="Arial" w:hAnsi="Arial" w:cs="Arial"/>
              <w:sz w:val="24"/>
              <w:szCs w:val="24"/>
            </w:rPr>
            <w:t>Table of Contents</w:t>
          </w:r>
        </w:p>
        <w:p w14:paraId="16A352E2" w14:textId="37D35038" w:rsidR="00C75AE9" w:rsidRDefault="00E6618D">
          <w:pPr>
            <w:pStyle w:val="TOC1"/>
            <w:tabs>
              <w:tab w:val="right" w:leader="dot" w:pos="9016"/>
            </w:tabs>
            <w:rPr>
              <w:rFonts w:cstheme="minorBidi"/>
              <w:b w:val="0"/>
              <w:bCs w:val="0"/>
              <w:i w:val="0"/>
              <w:iCs w:val="0"/>
              <w:noProof/>
              <w:kern w:val="2"/>
              <w:lang w:val="en-GB" w:eastAsia="en-GB"/>
              <w14:ligatures w14:val="standardContextual"/>
            </w:rPr>
          </w:pPr>
          <w:r w:rsidRPr="00C75AE9">
            <w:rPr>
              <w:rFonts w:ascii="Arial" w:hAnsi="Arial" w:cs="Arial"/>
              <w:b w:val="0"/>
              <w:bCs w:val="0"/>
            </w:rPr>
            <w:fldChar w:fldCharType="begin"/>
          </w:r>
          <w:r w:rsidRPr="00C75AE9">
            <w:rPr>
              <w:rFonts w:ascii="Arial" w:hAnsi="Arial" w:cs="Arial"/>
            </w:rPr>
            <w:instrText xml:space="preserve"> TOC \o "1-3" \h \z \u </w:instrText>
          </w:r>
          <w:r w:rsidRPr="00C75AE9">
            <w:rPr>
              <w:rFonts w:ascii="Arial" w:hAnsi="Arial" w:cs="Arial"/>
              <w:b w:val="0"/>
              <w:bCs w:val="0"/>
            </w:rPr>
            <w:fldChar w:fldCharType="separate"/>
          </w:r>
          <w:hyperlink w:anchor="_Toc217657370" w:history="1">
            <w:r w:rsidR="00C75AE9" w:rsidRPr="007F037C">
              <w:rPr>
                <w:rStyle w:val="Hyperlink"/>
                <w:rFonts w:ascii="Arial" w:hAnsi="Arial" w:cs="Arial"/>
                <w:noProof/>
              </w:rPr>
              <w:t>Introduction</w:t>
            </w:r>
            <w:r w:rsidR="00C75AE9">
              <w:rPr>
                <w:noProof/>
                <w:webHidden/>
              </w:rPr>
              <w:tab/>
            </w:r>
            <w:r w:rsidR="00C75AE9">
              <w:rPr>
                <w:noProof/>
                <w:webHidden/>
              </w:rPr>
              <w:fldChar w:fldCharType="begin"/>
            </w:r>
            <w:r w:rsidR="00C75AE9">
              <w:rPr>
                <w:noProof/>
                <w:webHidden/>
              </w:rPr>
              <w:instrText xml:space="preserve"> PAGEREF _Toc217657370 \h </w:instrText>
            </w:r>
            <w:r w:rsidR="00C75AE9">
              <w:rPr>
                <w:noProof/>
                <w:webHidden/>
              </w:rPr>
            </w:r>
            <w:r w:rsidR="00C75AE9">
              <w:rPr>
                <w:noProof/>
                <w:webHidden/>
              </w:rPr>
              <w:fldChar w:fldCharType="separate"/>
            </w:r>
            <w:r w:rsidR="00C75AE9">
              <w:rPr>
                <w:noProof/>
                <w:webHidden/>
              </w:rPr>
              <w:t>2</w:t>
            </w:r>
            <w:r w:rsidR="00C75AE9">
              <w:rPr>
                <w:noProof/>
                <w:webHidden/>
              </w:rPr>
              <w:fldChar w:fldCharType="end"/>
            </w:r>
          </w:hyperlink>
        </w:p>
        <w:p w14:paraId="12AF5416" w14:textId="1E33072F" w:rsidR="00C75AE9" w:rsidRDefault="00C75AE9">
          <w:pPr>
            <w:pStyle w:val="TOC1"/>
            <w:tabs>
              <w:tab w:val="right" w:leader="dot" w:pos="9016"/>
            </w:tabs>
            <w:rPr>
              <w:rFonts w:cstheme="minorBidi"/>
              <w:b w:val="0"/>
              <w:bCs w:val="0"/>
              <w:i w:val="0"/>
              <w:iCs w:val="0"/>
              <w:noProof/>
              <w:kern w:val="2"/>
              <w:lang w:val="en-GB" w:eastAsia="en-GB"/>
              <w14:ligatures w14:val="standardContextual"/>
            </w:rPr>
          </w:pPr>
          <w:hyperlink w:anchor="_Toc217657371" w:history="1">
            <w:r w:rsidRPr="007F037C">
              <w:rPr>
                <w:rStyle w:val="Hyperlink"/>
                <w:rFonts w:ascii="Arial" w:hAnsi="Arial" w:cs="Arial"/>
                <w:noProof/>
              </w:rPr>
              <w:t>Internal and External Environment</w:t>
            </w:r>
            <w:r>
              <w:rPr>
                <w:noProof/>
                <w:webHidden/>
              </w:rPr>
              <w:tab/>
            </w:r>
            <w:r>
              <w:rPr>
                <w:noProof/>
                <w:webHidden/>
              </w:rPr>
              <w:fldChar w:fldCharType="begin"/>
            </w:r>
            <w:r>
              <w:rPr>
                <w:noProof/>
                <w:webHidden/>
              </w:rPr>
              <w:instrText xml:space="preserve"> PAGEREF _Toc217657371 \h </w:instrText>
            </w:r>
            <w:r>
              <w:rPr>
                <w:noProof/>
                <w:webHidden/>
              </w:rPr>
            </w:r>
            <w:r>
              <w:rPr>
                <w:noProof/>
                <w:webHidden/>
              </w:rPr>
              <w:fldChar w:fldCharType="separate"/>
            </w:r>
            <w:r>
              <w:rPr>
                <w:noProof/>
                <w:webHidden/>
              </w:rPr>
              <w:t>2</w:t>
            </w:r>
            <w:r>
              <w:rPr>
                <w:noProof/>
                <w:webHidden/>
              </w:rPr>
              <w:fldChar w:fldCharType="end"/>
            </w:r>
          </w:hyperlink>
        </w:p>
        <w:p w14:paraId="6B399B5E" w14:textId="7A83FA7A" w:rsidR="00C75AE9" w:rsidRDefault="00C75AE9">
          <w:pPr>
            <w:pStyle w:val="TOC2"/>
            <w:tabs>
              <w:tab w:val="right" w:leader="dot" w:pos="9016"/>
            </w:tabs>
            <w:rPr>
              <w:rFonts w:cstheme="minorBidi"/>
              <w:b w:val="0"/>
              <w:bCs w:val="0"/>
              <w:noProof/>
              <w:kern w:val="2"/>
              <w:sz w:val="24"/>
              <w:szCs w:val="24"/>
              <w:lang w:val="en-GB" w:eastAsia="en-GB"/>
              <w14:ligatures w14:val="standardContextual"/>
            </w:rPr>
          </w:pPr>
          <w:hyperlink w:anchor="_Toc217657372" w:history="1">
            <w:r w:rsidRPr="007F037C">
              <w:rPr>
                <w:rStyle w:val="Hyperlink"/>
                <w:rFonts w:ascii="Arial" w:hAnsi="Arial" w:cs="Arial"/>
                <w:noProof/>
              </w:rPr>
              <w:t>Link to HR Functions</w:t>
            </w:r>
            <w:r>
              <w:rPr>
                <w:noProof/>
                <w:webHidden/>
              </w:rPr>
              <w:tab/>
            </w:r>
            <w:r>
              <w:rPr>
                <w:noProof/>
                <w:webHidden/>
              </w:rPr>
              <w:fldChar w:fldCharType="begin"/>
            </w:r>
            <w:r>
              <w:rPr>
                <w:noProof/>
                <w:webHidden/>
              </w:rPr>
              <w:instrText xml:space="preserve"> PAGEREF _Toc217657372 \h </w:instrText>
            </w:r>
            <w:r>
              <w:rPr>
                <w:noProof/>
                <w:webHidden/>
              </w:rPr>
            </w:r>
            <w:r>
              <w:rPr>
                <w:noProof/>
                <w:webHidden/>
              </w:rPr>
              <w:fldChar w:fldCharType="separate"/>
            </w:r>
            <w:r>
              <w:rPr>
                <w:noProof/>
                <w:webHidden/>
              </w:rPr>
              <w:t>3</w:t>
            </w:r>
            <w:r>
              <w:rPr>
                <w:noProof/>
                <w:webHidden/>
              </w:rPr>
              <w:fldChar w:fldCharType="end"/>
            </w:r>
          </w:hyperlink>
        </w:p>
        <w:p w14:paraId="1C0A5B03" w14:textId="42288F60" w:rsidR="00C75AE9" w:rsidRDefault="00C75AE9">
          <w:pPr>
            <w:pStyle w:val="TOC1"/>
            <w:tabs>
              <w:tab w:val="right" w:leader="dot" w:pos="9016"/>
            </w:tabs>
            <w:rPr>
              <w:rFonts w:cstheme="minorBidi"/>
              <w:b w:val="0"/>
              <w:bCs w:val="0"/>
              <w:i w:val="0"/>
              <w:iCs w:val="0"/>
              <w:noProof/>
              <w:kern w:val="2"/>
              <w:lang w:val="en-GB" w:eastAsia="en-GB"/>
              <w14:ligatures w14:val="standardContextual"/>
            </w:rPr>
          </w:pPr>
          <w:hyperlink w:anchor="_Toc217657373" w:history="1">
            <w:r w:rsidRPr="007F037C">
              <w:rPr>
                <w:rStyle w:val="Hyperlink"/>
                <w:rFonts w:ascii="Arial" w:hAnsi="Arial" w:cs="Arial"/>
                <w:noProof/>
              </w:rPr>
              <w:t>Organisation Application</w:t>
            </w:r>
            <w:r>
              <w:rPr>
                <w:noProof/>
                <w:webHidden/>
              </w:rPr>
              <w:tab/>
            </w:r>
            <w:r>
              <w:rPr>
                <w:noProof/>
                <w:webHidden/>
              </w:rPr>
              <w:fldChar w:fldCharType="begin"/>
            </w:r>
            <w:r>
              <w:rPr>
                <w:noProof/>
                <w:webHidden/>
              </w:rPr>
              <w:instrText xml:space="preserve"> PAGEREF _Toc217657373 \h </w:instrText>
            </w:r>
            <w:r>
              <w:rPr>
                <w:noProof/>
                <w:webHidden/>
              </w:rPr>
            </w:r>
            <w:r>
              <w:rPr>
                <w:noProof/>
                <w:webHidden/>
              </w:rPr>
              <w:fldChar w:fldCharType="separate"/>
            </w:r>
            <w:r>
              <w:rPr>
                <w:noProof/>
                <w:webHidden/>
              </w:rPr>
              <w:t>4</w:t>
            </w:r>
            <w:r>
              <w:rPr>
                <w:noProof/>
                <w:webHidden/>
              </w:rPr>
              <w:fldChar w:fldCharType="end"/>
            </w:r>
          </w:hyperlink>
        </w:p>
        <w:p w14:paraId="5452514A" w14:textId="115DC84E" w:rsidR="00C75AE9" w:rsidRDefault="00C75AE9">
          <w:pPr>
            <w:pStyle w:val="TOC2"/>
            <w:tabs>
              <w:tab w:val="right" w:leader="dot" w:pos="9016"/>
            </w:tabs>
            <w:rPr>
              <w:rFonts w:cstheme="minorBidi"/>
              <w:b w:val="0"/>
              <w:bCs w:val="0"/>
              <w:noProof/>
              <w:kern w:val="2"/>
              <w:sz w:val="24"/>
              <w:szCs w:val="24"/>
              <w:lang w:val="en-GB" w:eastAsia="en-GB"/>
              <w14:ligatures w14:val="standardContextual"/>
            </w:rPr>
          </w:pPr>
          <w:hyperlink w:anchor="_Toc217657374" w:history="1">
            <w:r w:rsidRPr="007F037C">
              <w:rPr>
                <w:rStyle w:val="Hyperlink"/>
                <w:rFonts w:ascii="Arial" w:hAnsi="Arial" w:cs="Arial"/>
                <w:noProof/>
              </w:rPr>
              <w:t>Organisation Introduction</w:t>
            </w:r>
            <w:r>
              <w:rPr>
                <w:noProof/>
                <w:webHidden/>
              </w:rPr>
              <w:tab/>
            </w:r>
            <w:r>
              <w:rPr>
                <w:noProof/>
                <w:webHidden/>
              </w:rPr>
              <w:fldChar w:fldCharType="begin"/>
            </w:r>
            <w:r>
              <w:rPr>
                <w:noProof/>
                <w:webHidden/>
              </w:rPr>
              <w:instrText xml:space="preserve"> PAGEREF _Toc217657374 \h </w:instrText>
            </w:r>
            <w:r>
              <w:rPr>
                <w:noProof/>
                <w:webHidden/>
              </w:rPr>
            </w:r>
            <w:r>
              <w:rPr>
                <w:noProof/>
                <w:webHidden/>
              </w:rPr>
              <w:fldChar w:fldCharType="separate"/>
            </w:r>
            <w:r>
              <w:rPr>
                <w:noProof/>
                <w:webHidden/>
              </w:rPr>
              <w:t>4</w:t>
            </w:r>
            <w:r>
              <w:rPr>
                <w:noProof/>
                <w:webHidden/>
              </w:rPr>
              <w:fldChar w:fldCharType="end"/>
            </w:r>
          </w:hyperlink>
        </w:p>
        <w:p w14:paraId="75055D7E" w14:textId="2A430DE1" w:rsidR="00C75AE9" w:rsidRDefault="00C75AE9">
          <w:pPr>
            <w:pStyle w:val="TOC2"/>
            <w:tabs>
              <w:tab w:val="right" w:leader="dot" w:pos="9016"/>
            </w:tabs>
            <w:rPr>
              <w:rFonts w:cstheme="minorBidi"/>
              <w:b w:val="0"/>
              <w:bCs w:val="0"/>
              <w:noProof/>
              <w:kern w:val="2"/>
              <w:sz w:val="24"/>
              <w:szCs w:val="24"/>
              <w:lang w:val="en-GB" w:eastAsia="en-GB"/>
              <w14:ligatures w14:val="standardContextual"/>
            </w:rPr>
          </w:pPr>
          <w:hyperlink w:anchor="_Toc217657375" w:history="1">
            <w:r w:rsidRPr="007F037C">
              <w:rPr>
                <w:rStyle w:val="Hyperlink"/>
                <w:rFonts w:ascii="Arial" w:hAnsi="Arial" w:cs="Arial"/>
                <w:noProof/>
              </w:rPr>
              <w:t>HR Practices</w:t>
            </w:r>
            <w:r>
              <w:rPr>
                <w:noProof/>
                <w:webHidden/>
              </w:rPr>
              <w:tab/>
            </w:r>
            <w:r>
              <w:rPr>
                <w:noProof/>
                <w:webHidden/>
              </w:rPr>
              <w:fldChar w:fldCharType="begin"/>
            </w:r>
            <w:r>
              <w:rPr>
                <w:noProof/>
                <w:webHidden/>
              </w:rPr>
              <w:instrText xml:space="preserve"> PAGEREF _Toc217657375 \h </w:instrText>
            </w:r>
            <w:r>
              <w:rPr>
                <w:noProof/>
                <w:webHidden/>
              </w:rPr>
            </w:r>
            <w:r>
              <w:rPr>
                <w:noProof/>
                <w:webHidden/>
              </w:rPr>
              <w:fldChar w:fldCharType="separate"/>
            </w:r>
            <w:r>
              <w:rPr>
                <w:noProof/>
                <w:webHidden/>
              </w:rPr>
              <w:t>5</w:t>
            </w:r>
            <w:r>
              <w:rPr>
                <w:noProof/>
                <w:webHidden/>
              </w:rPr>
              <w:fldChar w:fldCharType="end"/>
            </w:r>
          </w:hyperlink>
        </w:p>
        <w:p w14:paraId="69E0B444" w14:textId="4730BD2B" w:rsidR="00C75AE9" w:rsidRDefault="00C75AE9">
          <w:pPr>
            <w:pStyle w:val="TOC1"/>
            <w:tabs>
              <w:tab w:val="right" w:leader="dot" w:pos="9016"/>
            </w:tabs>
            <w:rPr>
              <w:rFonts w:cstheme="minorBidi"/>
              <w:b w:val="0"/>
              <w:bCs w:val="0"/>
              <w:i w:val="0"/>
              <w:iCs w:val="0"/>
              <w:noProof/>
              <w:kern w:val="2"/>
              <w:lang w:val="en-GB" w:eastAsia="en-GB"/>
              <w14:ligatures w14:val="standardContextual"/>
            </w:rPr>
          </w:pPr>
          <w:hyperlink w:anchor="_Toc217657376" w:history="1">
            <w:r w:rsidRPr="007F037C">
              <w:rPr>
                <w:rStyle w:val="Hyperlink"/>
                <w:rFonts w:ascii="Arial" w:hAnsi="Arial" w:cs="Arial"/>
                <w:noProof/>
              </w:rPr>
              <w:t>Application of Model</w:t>
            </w:r>
            <w:r>
              <w:rPr>
                <w:noProof/>
                <w:webHidden/>
              </w:rPr>
              <w:tab/>
            </w:r>
            <w:r>
              <w:rPr>
                <w:noProof/>
                <w:webHidden/>
              </w:rPr>
              <w:fldChar w:fldCharType="begin"/>
            </w:r>
            <w:r>
              <w:rPr>
                <w:noProof/>
                <w:webHidden/>
              </w:rPr>
              <w:instrText xml:space="preserve"> PAGEREF _Toc217657376 \h </w:instrText>
            </w:r>
            <w:r>
              <w:rPr>
                <w:noProof/>
                <w:webHidden/>
              </w:rPr>
            </w:r>
            <w:r>
              <w:rPr>
                <w:noProof/>
                <w:webHidden/>
              </w:rPr>
              <w:fldChar w:fldCharType="separate"/>
            </w:r>
            <w:r>
              <w:rPr>
                <w:noProof/>
                <w:webHidden/>
              </w:rPr>
              <w:t>5</w:t>
            </w:r>
            <w:r>
              <w:rPr>
                <w:noProof/>
                <w:webHidden/>
              </w:rPr>
              <w:fldChar w:fldCharType="end"/>
            </w:r>
          </w:hyperlink>
        </w:p>
        <w:p w14:paraId="6C707A87" w14:textId="349CA72F" w:rsidR="00C75AE9" w:rsidRDefault="00C75AE9">
          <w:pPr>
            <w:pStyle w:val="TOC2"/>
            <w:tabs>
              <w:tab w:val="right" w:leader="dot" w:pos="9016"/>
            </w:tabs>
            <w:rPr>
              <w:rFonts w:cstheme="minorBidi"/>
              <w:b w:val="0"/>
              <w:bCs w:val="0"/>
              <w:noProof/>
              <w:kern w:val="2"/>
              <w:sz w:val="24"/>
              <w:szCs w:val="24"/>
              <w:lang w:val="en-GB" w:eastAsia="en-GB"/>
              <w14:ligatures w14:val="standardContextual"/>
            </w:rPr>
          </w:pPr>
          <w:hyperlink w:anchor="_Toc217657377" w:history="1">
            <w:r w:rsidRPr="007F037C">
              <w:rPr>
                <w:rStyle w:val="Hyperlink"/>
                <w:rFonts w:ascii="Arial" w:hAnsi="Arial" w:cs="Arial"/>
                <w:noProof/>
              </w:rPr>
              <w:t>Impact on Organisation</w:t>
            </w:r>
            <w:r>
              <w:rPr>
                <w:noProof/>
                <w:webHidden/>
              </w:rPr>
              <w:tab/>
            </w:r>
            <w:r>
              <w:rPr>
                <w:noProof/>
                <w:webHidden/>
              </w:rPr>
              <w:fldChar w:fldCharType="begin"/>
            </w:r>
            <w:r>
              <w:rPr>
                <w:noProof/>
                <w:webHidden/>
              </w:rPr>
              <w:instrText xml:space="preserve"> PAGEREF _Toc217657377 \h </w:instrText>
            </w:r>
            <w:r>
              <w:rPr>
                <w:noProof/>
                <w:webHidden/>
              </w:rPr>
            </w:r>
            <w:r>
              <w:rPr>
                <w:noProof/>
                <w:webHidden/>
              </w:rPr>
              <w:fldChar w:fldCharType="separate"/>
            </w:r>
            <w:r>
              <w:rPr>
                <w:noProof/>
                <w:webHidden/>
              </w:rPr>
              <w:t>5</w:t>
            </w:r>
            <w:r>
              <w:rPr>
                <w:noProof/>
                <w:webHidden/>
              </w:rPr>
              <w:fldChar w:fldCharType="end"/>
            </w:r>
          </w:hyperlink>
        </w:p>
        <w:p w14:paraId="3219877A" w14:textId="72444FEE" w:rsidR="00C75AE9" w:rsidRDefault="00C75AE9">
          <w:pPr>
            <w:pStyle w:val="TOC2"/>
            <w:tabs>
              <w:tab w:val="right" w:leader="dot" w:pos="9016"/>
            </w:tabs>
            <w:rPr>
              <w:rFonts w:cstheme="minorBidi"/>
              <w:b w:val="0"/>
              <w:bCs w:val="0"/>
              <w:noProof/>
              <w:kern w:val="2"/>
              <w:sz w:val="24"/>
              <w:szCs w:val="24"/>
              <w:lang w:val="en-GB" w:eastAsia="en-GB"/>
              <w14:ligatures w14:val="standardContextual"/>
            </w:rPr>
          </w:pPr>
          <w:hyperlink w:anchor="_Toc217657378" w:history="1">
            <w:r w:rsidRPr="007F037C">
              <w:rPr>
                <w:rStyle w:val="Hyperlink"/>
                <w:rFonts w:ascii="Arial" w:hAnsi="Arial" w:cs="Arial"/>
                <w:noProof/>
              </w:rPr>
              <w:t>Environmental &amp; Political Factors (Green HRM)</w:t>
            </w:r>
            <w:r>
              <w:rPr>
                <w:noProof/>
                <w:webHidden/>
              </w:rPr>
              <w:tab/>
            </w:r>
            <w:r>
              <w:rPr>
                <w:noProof/>
                <w:webHidden/>
              </w:rPr>
              <w:fldChar w:fldCharType="begin"/>
            </w:r>
            <w:r>
              <w:rPr>
                <w:noProof/>
                <w:webHidden/>
              </w:rPr>
              <w:instrText xml:space="preserve"> PAGEREF _Toc217657378 \h </w:instrText>
            </w:r>
            <w:r>
              <w:rPr>
                <w:noProof/>
                <w:webHidden/>
              </w:rPr>
            </w:r>
            <w:r>
              <w:rPr>
                <w:noProof/>
                <w:webHidden/>
              </w:rPr>
              <w:fldChar w:fldCharType="separate"/>
            </w:r>
            <w:r>
              <w:rPr>
                <w:noProof/>
                <w:webHidden/>
              </w:rPr>
              <w:t>6</w:t>
            </w:r>
            <w:r>
              <w:rPr>
                <w:noProof/>
                <w:webHidden/>
              </w:rPr>
              <w:fldChar w:fldCharType="end"/>
            </w:r>
          </w:hyperlink>
        </w:p>
        <w:p w14:paraId="186F2585" w14:textId="4ADA21F4" w:rsidR="00C75AE9" w:rsidRDefault="00C75AE9">
          <w:pPr>
            <w:pStyle w:val="TOC2"/>
            <w:tabs>
              <w:tab w:val="right" w:leader="dot" w:pos="9016"/>
            </w:tabs>
            <w:rPr>
              <w:rFonts w:cstheme="minorBidi"/>
              <w:b w:val="0"/>
              <w:bCs w:val="0"/>
              <w:noProof/>
              <w:kern w:val="2"/>
              <w:sz w:val="24"/>
              <w:szCs w:val="24"/>
              <w:lang w:val="en-GB" w:eastAsia="en-GB"/>
              <w14:ligatures w14:val="standardContextual"/>
            </w:rPr>
          </w:pPr>
          <w:hyperlink w:anchor="_Toc217657379" w:history="1">
            <w:r w:rsidRPr="007F037C">
              <w:rPr>
                <w:rStyle w:val="Hyperlink"/>
                <w:rFonts w:ascii="Arial" w:hAnsi="Arial" w:cs="Arial"/>
                <w:noProof/>
              </w:rPr>
              <w:t>Country Differences</w:t>
            </w:r>
            <w:r>
              <w:rPr>
                <w:noProof/>
                <w:webHidden/>
              </w:rPr>
              <w:tab/>
            </w:r>
            <w:r>
              <w:rPr>
                <w:noProof/>
                <w:webHidden/>
              </w:rPr>
              <w:fldChar w:fldCharType="begin"/>
            </w:r>
            <w:r>
              <w:rPr>
                <w:noProof/>
                <w:webHidden/>
              </w:rPr>
              <w:instrText xml:space="preserve"> PAGEREF _Toc217657379 \h </w:instrText>
            </w:r>
            <w:r>
              <w:rPr>
                <w:noProof/>
                <w:webHidden/>
              </w:rPr>
            </w:r>
            <w:r>
              <w:rPr>
                <w:noProof/>
                <w:webHidden/>
              </w:rPr>
              <w:fldChar w:fldCharType="separate"/>
            </w:r>
            <w:r>
              <w:rPr>
                <w:noProof/>
                <w:webHidden/>
              </w:rPr>
              <w:t>7</w:t>
            </w:r>
            <w:r>
              <w:rPr>
                <w:noProof/>
                <w:webHidden/>
              </w:rPr>
              <w:fldChar w:fldCharType="end"/>
            </w:r>
          </w:hyperlink>
        </w:p>
        <w:p w14:paraId="7AFF1CC1" w14:textId="4266B4B9" w:rsidR="00C75AE9" w:rsidRDefault="00C75AE9">
          <w:pPr>
            <w:pStyle w:val="TOC1"/>
            <w:tabs>
              <w:tab w:val="right" w:leader="dot" w:pos="9016"/>
            </w:tabs>
            <w:rPr>
              <w:rFonts w:cstheme="minorBidi"/>
              <w:b w:val="0"/>
              <w:bCs w:val="0"/>
              <w:i w:val="0"/>
              <w:iCs w:val="0"/>
              <w:noProof/>
              <w:kern w:val="2"/>
              <w:lang w:val="en-GB" w:eastAsia="en-GB"/>
              <w14:ligatures w14:val="standardContextual"/>
            </w:rPr>
          </w:pPr>
          <w:hyperlink w:anchor="_Toc217657380" w:history="1">
            <w:r w:rsidRPr="007F037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_Toc217657380 \h </w:instrText>
            </w:r>
            <w:r>
              <w:rPr>
                <w:noProof/>
                <w:webHidden/>
              </w:rPr>
            </w:r>
            <w:r>
              <w:rPr>
                <w:noProof/>
                <w:webHidden/>
              </w:rPr>
              <w:fldChar w:fldCharType="separate"/>
            </w:r>
            <w:r>
              <w:rPr>
                <w:noProof/>
                <w:webHidden/>
              </w:rPr>
              <w:t>8</w:t>
            </w:r>
            <w:r>
              <w:rPr>
                <w:noProof/>
                <w:webHidden/>
              </w:rPr>
              <w:fldChar w:fldCharType="end"/>
            </w:r>
          </w:hyperlink>
        </w:p>
        <w:p w14:paraId="27FF1638" w14:textId="413C2C7D" w:rsidR="00C75AE9" w:rsidRDefault="00C75AE9">
          <w:pPr>
            <w:pStyle w:val="TOC1"/>
            <w:tabs>
              <w:tab w:val="right" w:leader="dot" w:pos="9016"/>
            </w:tabs>
            <w:rPr>
              <w:rFonts w:cstheme="minorBidi"/>
              <w:b w:val="0"/>
              <w:bCs w:val="0"/>
              <w:i w:val="0"/>
              <w:iCs w:val="0"/>
              <w:noProof/>
              <w:kern w:val="2"/>
              <w:lang w:val="en-GB" w:eastAsia="en-GB"/>
              <w14:ligatures w14:val="standardContextual"/>
            </w:rPr>
          </w:pPr>
          <w:hyperlink w:anchor="_Toc217657381" w:history="1">
            <w:r w:rsidRPr="007F037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_Toc217657381 \h </w:instrText>
            </w:r>
            <w:r>
              <w:rPr>
                <w:noProof/>
                <w:webHidden/>
              </w:rPr>
            </w:r>
            <w:r>
              <w:rPr>
                <w:noProof/>
                <w:webHidden/>
              </w:rPr>
              <w:fldChar w:fldCharType="separate"/>
            </w:r>
            <w:r>
              <w:rPr>
                <w:noProof/>
                <w:webHidden/>
              </w:rPr>
              <w:t>9</w:t>
            </w:r>
            <w:r>
              <w:rPr>
                <w:noProof/>
                <w:webHidden/>
              </w:rPr>
              <w:fldChar w:fldCharType="end"/>
            </w:r>
          </w:hyperlink>
        </w:p>
        <w:p w14:paraId="26A09F0B" w14:textId="000430CC" w:rsidR="00E6618D" w:rsidRPr="00C75AE9" w:rsidRDefault="00E6618D" w:rsidP="00C75AE9">
          <w:pPr>
            <w:spacing w:line="360" w:lineRule="auto"/>
            <w:jc w:val="both"/>
            <w:rPr>
              <w:rFonts w:ascii="Arial" w:hAnsi="Arial" w:cs="Arial"/>
              <w:sz w:val="24"/>
              <w:szCs w:val="24"/>
            </w:rPr>
          </w:pPr>
          <w:r w:rsidRPr="00C75AE9">
            <w:rPr>
              <w:rFonts w:ascii="Arial" w:hAnsi="Arial" w:cs="Arial"/>
              <w:b/>
              <w:bCs/>
              <w:noProof/>
              <w:sz w:val="24"/>
              <w:szCs w:val="24"/>
            </w:rPr>
            <w:fldChar w:fldCharType="end"/>
          </w:r>
        </w:p>
      </w:sdtContent>
    </w:sdt>
    <w:p w14:paraId="767AD812" w14:textId="57FAF73D" w:rsidR="00E6618D" w:rsidRPr="00C75AE9" w:rsidRDefault="00E6618D" w:rsidP="00C75AE9">
      <w:pPr>
        <w:pStyle w:val="Heading1"/>
        <w:spacing w:line="360" w:lineRule="auto"/>
        <w:jc w:val="both"/>
        <w:rPr>
          <w:rFonts w:ascii="Arial" w:hAnsi="Arial" w:cs="Arial"/>
          <w:sz w:val="24"/>
          <w:szCs w:val="24"/>
        </w:rPr>
      </w:pPr>
      <w:r w:rsidRPr="00C75AE9">
        <w:rPr>
          <w:rFonts w:ascii="Arial" w:hAnsi="Arial" w:cs="Arial"/>
          <w:sz w:val="24"/>
          <w:szCs w:val="24"/>
        </w:rPr>
        <w:br w:type="page"/>
      </w:r>
      <w:bookmarkStart w:id="0" w:name="_Toc217657370"/>
      <w:r w:rsidR="00596B0B" w:rsidRPr="00C75AE9">
        <w:rPr>
          <w:rFonts w:ascii="Arial" w:hAnsi="Arial" w:cs="Arial"/>
          <w:sz w:val="24"/>
          <w:szCs w:val="24"/>
        </w:rPr>
        <w:lastRenderedPageBreak/>
        <w:t>Introduction</w:t>
      </w:r>
      <w:bookmarkEnd w:id="0"/>
    </w:p>
    <w:p w14:paraId="481EC9E9" w14:textId="55AB812D"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Human Resource Management (HRM) is defined as the strategic and coherent approach to the management of an organization's most valued assets: the people working there who individually and collectively contribute to the achievement of its objectives</w:t>
      </w:r>
      <w:r w:rsidRPr="00C75AE9">
        <w:rPr>
          <w:rFonts w:ascii="Arial" w:hAnsi="Arial" w:cs="Arial"/>
          <w:sz w:val="24"/>
          <w:szCs w:val="24"/>
        </w:rPr>
        <w:t xml:space="preserve"> ()</w:t>
      </w:r>
      <w:r w:rsidRPr="00C75AE9">
        <w:rPr>
          <w:rFonts w:ascii="Arial" w:hAnsi="Arial" w:cs="Arial"/>
          <w:sz w:val="24"/>
          <w:szCs w:val="24"/>
        </w:rPr>
        <w:t>. In the modern global business landscape, HR managers play a critical role in navigating complex environmental forces to maintain organizational effectiveness. The success of contemporary organizations is increasingly determined not merely by financial capital or technological infrastructure, but by the caliber of their human capital and the strategic management of their workforce.</w:t>
      </w:r>
    </w:p>
    <w:p w14:paraId="65D7580F" w14:textId="79A77BA1"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However, organizational effectiveness is not contingent solely on HR strategy in isolation. Rather, it is shaped by the internal and external environments in which organizations operate. Internal factors—such as organizational culture, existing resources, and managerial capability—interact dynamically with external forces including technological disruption, economic volatility, regulatory changes, and shifting social values. These environmental pressures place unprecedented demands on HR managers to balance competing priorities: maintaining global consistency while adapting to local contexts, leveraging digital tools while preserving human-centered practices, and managing traditional employment relationships while embracing flexible workforce models.</w:t>
      </w:r>
    </w:p>
    <w:p w14:paraId="115A2A9E" w14:textId="77777777"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By examining Unilever through the PESTLE lens, this report demonstrates that HR managers' effectiveness in multinational organizations is contingent upon their ability to balance the imperatives of technological integration and workforce flexibility—forces driven by external environmental factors—while adapting these global strategies to accommodate local cultural, legal, and economic contexts. This analysis will identify key HR functions (recruitment, training and development, performance management, and employee relations), evaluate how environmental factors influence these functions, and ultimately reveal how leading global organizations navigate the tension between standardization and localization in their HR practices.</w:t>
      </w:r>
    </w:p>
    <w:p w14:paraId="63920602" w14:textId="0EC09247" w:rsidR="00596B0B" w:rsidRPr="00C75AE9" w:rsidRDefault="00596B0B" w:rsidP="00C75AE9">
      <w:pPr>
        <w:pStyle w:val="Heading1"/>
        <w:spacing w:line="360" w:lineRule="auto"/>
        <w:jc w:val="both"/>
        <w:rPr>
          <w:rFonts w:ascii="Arial" w:hAnsi="Arial" w:cs="Arial"/>
          <w:sz w:val="24"/>
          <w:szCs w:val="24"/>
        </w:rPr>
      </w:pPr>
      <w:bookmarkStart w:id="1" w:name="_Toc217657371"/>
      <w:r w:rsidRPr="00C75AE9">
        <w:rPr>
          <w:rFonts w:ascii="Arial" w:hAnsi="Arial" w:cs="Arial"/>
          <w:sz w:val="24"/>
          <w:szCs w:val="24"/>
        </w:rPr>
        <w:t>Internal and External Environment</w:t>
      </w:r>
      <w:bookmarkEnd w:id="1"/>
    </w:p>
    <w:p w14:paraId="62B91A21" w14:textId="77777777"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 xml:space="preserve">To provide a comprehensive understanding of the external macro-environment within which organizations operate, this report employs the PESTLE framework, which encompasses six critical dimensions: Political, Economic, Social, Technological, Legal, and Environmental factors. According to John, Coetsee, and Flood (2022), PESTLE </w:t>
      </w:r>
      <w:r w:rsidRPr="00C75AE9">
        <w:rPr>
          <w:rFonts w:ascii="Arial" w:hAnsi="Arial" w:cs="Arial"/>
          <w:sz w:val="24"/>
          <w:szCs w:val="24"/>
        </w:rPr>
        <w:lastRenderedPageBreak/>
        <w:t>proves highly effective for HR managers by offering a holistic and panoramic perspective of external forces that, though largely beyond organizational control, exert significant influence on workforce strategy and human capital management. This analytical framework facilitates proactive strategic planning by enabling HR professionals to anticipate and forecast long-term trends, such as demographic shifts and regulatory changes, rather than merely responding reactively to crisis situations (Aibaghi Esfahani et al., 2017). However, despite its considerable utility, the PESTLE model is not without notable limitations. As Parajuli, Mahat, and Kandel (2023) argue, the framework has been criticized for presenting a static and oversimplified snapshot of the business environment, failing to adequately capture the dynamic and interconnected nature of environmental factors and the complex causal relationships that exist between them. For instance, a political decision in one domain can immediately precipitate economic consequences elsewhere, yet the model does not inherently illuminate such interdependencies. Furthermore, when applied without strategic prioritization, PESTLE analysis can lead to "paralysis by analysis," wherein the proliferation of identified factors without a clear hierarchy of importance becomes counterproductive to decision-making rather than facilitating it. Therefore, while PESTLE provides a valuable structured framework for environmental scanning, HR managers must complement its application with additional analytical tools and critical judgment to navigate the complexities of the contemporary business landscape effectively.</w:t>
      </w:r>
    </w:p>
    <w:p w14:paraId="722C3FC6" w14:textId="77777777" w:rsidR="00C75AE9" w:rsidRPr="00C75AE9" w:rsidRDefault="00C75AE9" w:rsidP="00C75AE9">
      <w:pPr>
        <w:spacing w:line="360" w:lineRule="auto"/>
        <w:jc w:val="both"/>
        <w:rPr>
          <w:rFonts w:ascii="Arial" w:hAnsi="Arial" w:cs="Arial"/>
          <w:sz w:val="24"/>
          <w:szCs w:val="24"/>
        </w:rPr>
      </w:pPr>
    </w:p>
    <w:p w14:paraId="68974D2B" w14:textId="74C7941A" w:rsidR="00C75AE9" w:rsidRPr="00C75AE9" w:rsidRDefault="00596B0B" w:rsidP="00C75AE9">
      <w:pPr>
        <w:pStyle w:val="Heading2"/>
        <w:spacing w:line="360" w:lineRule="auto"/>
        <w:jc w:val="both"/>
        <w:rPr>
          <w:rFonts w:ascii="Arial" w:hAnsi="Arial" w:cs="Arial"/>
          <w:sz w:val="24"/>
          <w:szCs w:val="24"/>
        </w:rPr>
      </w:pPr>
      <w:bookmarkStart w:id="2" w:name="_Toc217657372"/>
      <w:r w:rsidRPr="00C75AE9">
        <w:rPr>
          <w:rFonts w:ascii="Arial" w:hAnsi="Arial" w:cs="Arial"/>
          <w:sz w:val="24"/>
          <w:szCs w:val="24"/>
        </w:rPr>
        <w:t>Link to HR Functions</w:t>
      </w:r>
      <w:bookmarkEnd w:id="2"/>
    </w:p>
    <w:p w14:paraId="0F786488" w14:textId="77777777"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 xml:space="preserve">The PESTLE model establishes a fundamental linkage to HR functions by delineating the external constraints and opportunities that shape talent management strategies within organizations. According to Lankanath (2025), economic factors, encompassing phenomena such as inflation and the proliferation of gig economy trends, exert direct influence on performance management systems and compensation strategies, thereby compelling HR professionals to fundamentally redesign reward packages and remuneration structures in ways that facilitate talent retention without correspondingly inflating organizational costs. Technological advancement, including the integration of artificial intelligence and automation systems, has substantially transformed both recruitment and training functions, as demonstrated by Rathore (2023), shifting the </w:t>
      </w:r>
      <w:r w:rsidRPr="00C75AE9">
        <w:rPr>
          <w:rFonts w:ascii="Arial" w:hAnsi="Arial" w:cs="Arial"/>
          <w:sz w:val="24"/>
          <w:szCs w:val="24"/>
        </w:rPr>
        <w:lastRenderedPageBreak/>
        <w:t>analytical focus from routine administrative processing toward more sophisticated strategic cognitive assessment methodologies that prioritize candidate potential and learning capacity. Furthermore, according to Saha (2025), legal frameworks encompassing labor legislation and data protection regulations such as GDPR exercise considerable influence over employee relations practices, establishing clear definitional boundaries regarding employment contracts, employee privacy rights, and the parameters within which union negotiations and labor disputes are conducted. Additionally, as Adriaenssen, Johannessen, and Sætersdal (2016) note, social and cultural factors, particularly the evolving value systems of Generation Z cohorts and intensifying organizational demands for diversity and inclusion, have substantially impacted recruitment strategies, necessitating that contemporary organizations actively market their organizational purpose, sustainability commitments, and social responsibility credentials as integral components of their employer branding to effectively attract and compete for top-tier talent in an increasingly value-conscious labor market. These interconnected environmental forces demonstrate that HR functions are not isolated from the broader business ecosystem but are, rather, fundamentally contingent upon and responsive to the multifaceted external pressures that characterize the contemporary organizational landscape.</w:t>
      </w:r>
    </w:p>
    <w:p w14:paraId="79EE9AF6" w14:textId="7BDF08B9" w:rsidR="00596B0B" w:rsidRPr="00C75AE9" w:rsidRDefault="00596B0B" w:rsidP="00C75AE9">
      <w:pPr>
        <w:pStyle w:val="Heading1"/>
        <w:spacing w:line="360" w:lineRule="auto"/>
        <w:jc w:val="both"/>
        <w:rPr>
          <w:rFonts w:ascii="Arial" w:hAnsi="Arial" w:cs="Arial"/>
          <w:sz w:val="24"/>
          <w:szCs w:val="24"/>
        </w:rPr>
      </w:pPr>
      <w:bookmarkStart w:id="3" w:name="_Toc217657373"/>
      <w:r w:rsidRPr="00C75AE9">
        <w:rPr>
          <w:rFonts w:ascii="Arial" w:hAnsi="Arial" w:cs="Arial"/>
          <w:sz w:val="24"/>
          <w:szCs w:val="24"/>
        </w:rPr>
        <w:t>Organisation</w:t>
      </w:r>
      <w:r w:rsidRPr="00C75AE9">
        <w:rPr>
          <w:rFonts w:ascii="Arial" w:hAnsi="Arial" w:cs="Arial"/>
          <w:sz w:val="24"/>
          <w:szCs w:val="24"/>
        </w:rPr>
        <w:t xml:space="preserve"> Application</w:t>
      </w:r>
      <w:bookmarkEnd w:id="3"/>
    </w:p>
    <w:p w14:paraId="76D15B76" w14:textId="77777777" w:rsidR="00596B0B" w:rsidRPr="00C75AE9" w:rsidRDefault="00596B0B" w:rsidP="00C75AE9">
      <w:pPr>
        <w:pStyle w:val="Heading2"/>
        <w:spacing w:line="360" w:lineRule="auto"/>
        <w:jc w:val="both"/>
        <w:rPr>
          <w:rFonts w:ascii="Arial" w:hAnsi="Arial" w:cs="Arial"/>
          <w:sz w:val="24"/>
          <w:szCs w:val="24"/>
        </w:rPr>
      </w:pPr>
      <w:bookmarkStart w:id="4" w:name="_Toc217657374"/>
      <w:r w:rsidRPr="00C75AE9">
        <w:rPr>
          <w:rFonts w:ascii="Arial" w:hAnsi="Arial" w:cs="Arial"/>
          <w:sz w:val="24"/>
          <w:szCs w:val="24"/>
        </w:rPr>
        <w:t>Organisation Introduction</w:t>
      </w:r>
      <w:bookmarkEnd w:id="4"/>
    </w:p>
    <w:p w14:paraId="50A837E8" w14:textId="77777777"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 xml:space="preserve">Unilever represents a preeminent global consumer goods corporation with an extensive operational footprint spanning over 190 countries and encompassing a diversified portfolio exceeding 400 internationally recognized brands, including Dove, Ben &amp; Jerry's, and Hellmann's. With approximately 128,000 employees distributed across its global operations, according to Giuseppe (2001), Unilever maintains a decentralized multi-local organizational structure that strategically synthesizes global economies of scale with geographically-rooted local market expertise and cultural sensitivity. The organization's overarching strategic framework, designated the "Unilever Compass," as noted by Bocheer and Aishwarya (2023), represents an innovative business model that fundamentally integrates sustainability and corporate social responsibility imperatives directly into its core business performance metrics and competitive strategy, thereby positioning Unilever as a distinctive leader within the </w:t>
      </w:r>
      <w:r w:rsidRPr="00C75AE9">
        <w:rPr>
          <w:rFonts w:ascii="Arial" w:hAnsi="Arial" w:cs="Arial"/>
          <w:sz w:val="24"/>
          <w:szCs w:val="24"/>
        </w:rPr>
        <w:lastRenderedPageBreak/>
        <w:t>contemporary paradigm of purpose-driven organizational management and sustainable value creation.</w:t>
      </w:r>
    </w:p>
    <w:p w14:paraId="41379BE0" w14:textId="2789ADC5" w:rsidR="00596B0B" w:rsidRPr="00C75AE9" w:rsidRDefault="00596B0B" w:rsidP="00C75AE9">
      <w:pPr>
        <w:pStyle w:val="Heading2"/>
        <w:spacing w:line="360" w:lineRule="auto"/>
        <w:jc w:val="both"/>
        <w:rPr>
          <w:rFonts w:ascii="Arial" w:hAnsi="Arial" w:cs="Arial"/>
          <w:sz w:val="24"/>
          <w:szCs w:val="24"/>
        </w:rPr>
      </w:pPr>
      <w:bookmarkStart w:id="5" w:name="_Toc217657375"/>
      <w:r w:rsidRPr="00C75AE9">
        <w:rPr>
          <w:rFonts w:ascii="Arial" w:hAnsi="Arial" w:cs="Arial"/>
          <w:sz w:val="24"/>
          <w:szCs w:val="24"/>
        </w:rPr>
        <w:t>HR Practices</w:t>
      </w:r>
      <w:bookmarkEnd w:id="5"/>
    </w:p>
    <w:p w14:paraId="0FE50A67" w14:textId="77777777"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Unilever’s contemporary HR strategy reflects a fundamental organizational transition from traditional, inflexible employment models toward innovative, forward-looking practices aligned with evolving workforce expectations and technological capabilities. According to Jabeen (2025), the organization has pioneered the integration of Artificial Intelligence within its recruitment processes, leveraging sophisticated digital assessment tools that evaluate candidate potential and cognitive competencies rather than relying exclusively on conventional curriculum vitae documentation, thereby substantially mitigating inherent selection biases. Under its “Future of Work” framework, as noted by Ayanponle et al. (2024), Unilever has committed to comprehensive upskilling and reskilling initiatives targeting its entire workforce by 2025, emphasizing workforce employability within a digitally-driven economic context rather than merely guaranteeing traditional job security. Furthermore, according to Giuseppe (2001), the organization employs “Future Fit,” a progressive performance management methodology characterized by continuous, dialogue-based interactions that prioritize employee development and holistic well-being over retrospective, snapshot-based annual evaluations. Additionally, in accordance with John, Coetsee, and Flood (2022), Unilever maintains a Global Framework Agreement with IndustriALL, a multinational union federation, thereby institutionalizing the protection of labor rights throughout its extended supply chain and demonstrating a substantive commitment to ethical employee relations practices that extend beyond its direct organizational payroll.</w:t>
      </w:r>
    </w:p>
    <w:p w14:paraId="28A4011E" w14:textId="134E68FF" w:rsidR="00596B0B" w:rsidRPr="00C75AE9" w:rsidRDefault="00596B0B" w:rsidP="00C75AE9">
      <w:pPr>
        <w:pStyle w:val="Heading1"/>
        <w:spacing w:line="360" w:lineRule="auto"/>
        <w:jc w:val="both"/>
        <w:rPr>
          <w:rFonts w:ascii="Arial" w:hAnsi="Arial" w:cs="Arial"/>
          <w:sz w:val="24"/>
          <w:szCs w:val="24"/>
        </w:rPr>
      </w:pPr>
      <w:bookmarkStart w:id="6" w:name="_Toc217657376"/>
      <w:r w:rsidRPr="00C75AE9">
        <w:rPr>
          <w:rFonts w:ascii="Arial" w:hAnsi="Arial" w:cs="Arial"/>
          <w:sz w:val="24"/>
          <w:szCs w:val="24"/>
        </w:rPr>
        <w:t>Application of Model</w:t>
      </w:r>
      <w:bookmarkEnd w:id="6"/>
    </w:p>
    <w:p w14:paraId="3A0017F6" w14:textId="77777777" w:rsidR="00596B0B" w:rsidRPr="00C75AE9" w:rsidRDefault="00596B0B" w:rsidP="00C75AE9">
      <w:pPr>
        <w:pStyle w:val="Heading2"/>
        <w:spacing w:line="360" w:lineRule="auto"/>
        <w:jc w:val="both"/>
        <w:rPr>
          <w:rFonts w:ascii="Arial" w:hAnsi="Arial" w:cs="Arial"/>
          <w:sz w:val="24"/>
          <w:szCs w:val="24"/>
        </w:rPr>
      </w:pPr>
      <w:bookmarkStart w:id="7" w:name="_Toc217657377"/>
      <w:r w:rsidRPr="00C75AE9">
        <w:rPr>
          <w:rFonts w:ascii="Arial" w:hAnsi="Arial" w:cs="Arial"/>
          <w:sz w:val="24"/>
          <w:szCs w:val="24"/>
        </w:rPr>
        <w:t>Impact on Organisation</w:t>
      </w:r>
      <w:bookmarkEnd w:id="7"/>
    </w:p>
    <w:p w14:paraId="7C3DCAC0" w14:textId="41917278"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 xml:space="preserve">The rapid and continuous advancement of technological innovation has fundamentally reconfigured Unilever’s HR effectiveness and organizational capacity. According to Rathore (2023), the strategic integration of Artificial Intelligence within recruitment processes has substantially expanded HR managers’ capacity to process millions of employment applications with heightened efficiency and demographic diversity whilst simultaneously mitigating the occurrence of initial human cognitive biases inherent in traditional screening methodologies. This technological transformation, as evidenced </w:t>
      </w:r>
      <w:r w:rsidRPr="00C75AE9">
        <w:rPr>
          <w:rFonts w:ascii="Arial" w:hAnsi="Arial" w:cs="Arial"/>
          <w:sz w:val="24"/>
          <w:szCs w:val="24"/>
        </w:rPr>
        <w:lastRenderedPageBreak/>
        <w:t>by Jabeen (2025), permits HR professionals to redirect their efforts toward high-value strategic functions, including candidate engagement and relationship development, rather than consuming organizational resources on routine administrative screening activities; however, this paradigmatic shift simultaneously introduces considerable challenges, as HR effectiveness becomes contingent upon managerial “digital literacy” and the capacity to interpret algorithmic outputs whilst ensuring that artificial intelligence systems do not inadvertently perpetuate latent or structural biases. According to Stephany and Teutloff (2023), the emergence of digital skill deficiencies has necessitated the implementation of Unilever’s “U-Skilling” initiative, whereby HR effectiveness is increasingly measured not merely through quantifiable training hours delivered, but through the substantive “future-proofing” of the organizational workforce. Concurrently, as noted by Lankanath (2025), evolving social attitudes regarding work-life balance integration, combined with the economic expansion of gig-based employment arrangements, prompted Unilever to develop “U-Work,” a hybrid employment paradigm wherein employees receive retainer-based compensation and organizational benefits while maintaining flexibility in work assignments, according to Jiang (2025). This innovative model, as demonstrated by Ayanponle et al. (2024), substantially enhances HR effectiveness by addressing talent retention challenges, enabling Unilever to maintain experienced personnel who might otherwise transition to gig economy opportunities, thereby transforming the economic threat of widespread organizational departure into a strategic talent retention advantage, in alignment with contemporary “sustainable HRM” theoretical frameworks (Aibaghi Esfahani et al., 2017).</w:t>
      </w:r>
    </w:p>
    <w:p w14:paraId="09F47F9C" w14:textId="77777777" w:rsidR="00596B0B" w:rsidRPr="00C75AE9" w:rsidRDefault="00596B0B" w:rsidP="00C75AE9">
      <w:pPr>
        <w:pStyle w:val="Heading2"/>
        <w:spacing w:line="360" w:lineRule="auto"/>
        <w:jc w:val="both"/>
        <w:rPr>
          <w:rFonts w:ascii="Arial" w:hAnsi="Arial" w:cs="Arial"/>
          <w:sz w:val="24"/>
          <w:szCs w:val="24"/>
        </w:rPr>
      </w:pPr>
      <w:bookmarkStart w:id="8" w:name="_Toc217657378"/>
      <w:r w:rsidRPr="00C75AE9">
        <w:rPr>
          <w:rFonts w:ascii="Arial" w:hAnsi="Arial" w:cs="Arial"/>
          <w:sz w:val="24"/>
          <w:szCs w:val="24"/>
        </w:rPr>
        <w:t>Environmental &amp; Political Factors (Green HRM)</w:t>
      </w:r>
      <w:bookmarkEnd w:id="8"/>
    </w:p>
    <w:p w14:paraId="77455306" w14:textId="4D47AA5F"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 xml:space="preserve">According to Nguyet (2025), mounting environmental concerns coupled with intensifying political pressure for organizational sustainability commitments have catalyzed Unilever’s strategic adoption of “Green HRM” practices as a fundamental organizational imperative. In accordance with Hronová and Špaček (2021), HR managers have assumed expanded responsibilities encompassing the comprehensive integration of sustainability principles into the foundational organizational culture and operational practices, which necessarily involves implementing “green recruitment” methodologies that prioritize candidates demonstrating intrinsic environmental values and consciousness, whilst </w:t>
      </w:r>
      <w:r w:rsidRPr="00C75AE9">
        <w:rPr>
          <w:rFonts w:ascii="Arial" w:hAnsi="Arial" w:cs="Arial"/>
          <w:sz w:val="24"/>
          <w:szCs w:val="24"/>
        </w:rPr>
        <w:lastRenderedPageBreak/>
        <w:t>simultaneously establishing direct linkages between performance management systems and organizational sustainability objectives. According to Gintale et al. (2024), this sustainability-oriented HR orientation substantially augments organizational effectiveness by significantly enhancing “employer brand attractiveness,” particularly among younger demographic cohorts who demonstrate pronounced preferences for ethically-oriented and socially responsible employers. However, as noted by Adriaenssen, Johannessen, and Sætersdal (2016), the successful implementation of these green HR initiatives necessitates that HR managers assume the role of organizational “change agents,” requiring them to navigate and overcome internal institutional resistance to novel sustainability-focused performance metrics and environmental accountability frameworks. Consequently, HR managers must simultaneously balance their traditional talent management responsibilities with emerging strategic imperatives concerning environmental stewardship and sustainable organizational development, thereby expanding the scope and complexity of their professional roles within contemporary multinational corporations.</w:t>
      </w:r>
    </w:p>
    <w:p w14:paraId="2FF419EE" w14:textId="4183C5BA" w:rsidR="00596B0B" w:rsidRPr="00C75AE9" w:rsidRDefault="00596B0B" w:rsidP="00C75AE9">
      <w:pPr>
        <w:pStyle w:val="Heading2"/>
        <w:spacing w:line="360" w:lineRule="auto"/>
        <w:jc w:val="both"/>
        <w:rPr>
          <w:rFonts w:ascii="Arial" w:hAnsi="Arial" w:cs="Arial"/>
          <w:sz w:val="24"/>
          <w:szCs w:val="24"/>
        </w:rPr>
      </w:pPr>
      <w:bookmarkStart w:id="9" w:name="_Toc217657379"/>
      <w:r w:rsidRPr="00C75AE9">
        <w:rPr>
          <w:rFonts w:ascii="Arial" w:hAnsi="Arial" w:cs="Arial"/>
          <w:sz w:val="24"/>
          <w:szCs w:val="24"/>
        </w:rPr>
        <w:t>Country Differences</w:t>
      </w:r>
      <w:bookmarkEnd w:id="9"/>
    </w:p>
    <w:p w14:paraId="05C3EC2E" w14:textId="77777777" w:rsidR="00C75AE9" w:rsidRPr="00C75AE9" w:rsidRDefault="00C75AE9" w:rsidP="00C75AE9">
      <w:pPr>
        <w:spacing w:line="360" w:lineRule="auto"/>
        <w:jc w:val="both"/>
        <w:rPr>
          <w:rFonts w:ascii="Arial" w:hAnsi="Arial" w:cs="Arial"/>
          <w:sz w:val="24"/>
          <w:szCs w:val="24"/>
        </w:rPr>
      </w:pPr>
      <w:r w:rsidRPr="00C75AE9">
        <w:rPr>
          <w:rFonts w:ascii="Arial" w:hAnsi="Arial" w:cs="Arial"/>
          <w:sz w:val="24"/>
          <w:szCs w:val="24"/>
        </w:rPr>
        <w:t xml:space="preserve">The impact of environmental forces upon organizational HR management demonstrates considerable regional variation, thereby presenting substantive challenges regarding the simultaneous pursuit of global standardization and local contextual responsiveness within multinational corporations. According to Saha (2025), in Western markets including the United Kingdom and United States, HR practices predominantly emphasize individualistic employment arrangements characterized by flexible working modalities such as U-Work, comprehensive mental health support provisions, and alignment with individual employee purpose and values, with performance management systems functioning as dialogical interactions rather than unidirectional evaluations, thereby reflecting cultural contexts characterized by relatively low organizational power-distance orientations. Conversely, as demonstrated by Gurumoorthi and Pougajendy (2023), in high power-distance cultural contexts such as India, traditional hierarchical organizational structures and formal employment relationships frequently prove considerably more effective, necessitating that HR managers in subsidiaries such as Hindustan Unilever substantially adapt globally-standardized frameworks such as "Future Fit" to accommodate local expectations regarding leadership authority and organizational hierarchy, ensuring </w:t>
      </w:r>
      <w:r w:rsidRPr="00C75AE9">
        <w:rPr>
          <w:rFonts w:ascii="Arial" w:hAnsi="Arial" w:cs="Arial"/>
          <w:sz w:val="24"/>
          <w:szCs w:val="24"/>
        </w:rPr>
        <w:lastRenderedPageBreak/>
        <w:t>that "continuous feedback" mechanisms are operationalized in culturally-congruent formats that appropriately respect seniority and positional authority. Furthermore, according to Parajuli, Mahat, and Kandel (2023), in European regulatory contexts characterized by stringent labor protection legislation including GDPR, HR effectiveness is substantially contingent upon rigorous compliance adherence and collaborative negotiation with institutional works councils regarding AI implementation in recruitment and employee surveillance systems. In contrast, as noted by John, Coetsee, and Flood (2022), within Global South regions characterized by comparatively attenuated labor protection frameworks, Unilever's internal "Global Framework Agreement" effectively functions as the primary regulatory mechanism, wherein HR effectiveness depends substantially upon organizational self-regulation mechanisms ensuring workplace safety, equitable compensation practices, and living wage commitments that exceed minimal legal requirements, thereby safeguarding global brand reputation.</w:t>
      </w:r>
    </w:p>
    <w:p w14:paraId="0795A360" w14:textId="4026D004" w:rsidR="00596B0B" w:rsidRPr="00C75AE9" w:rsidRDefault="00596B0B" w:rsidP="00C75AE9">
      <w:pPr>
        <w:pStyle w:val="Heading1"/>
        <w:spacing w:line="360" w:lineRule="auto"/>
        <w:jc w:val="both"/>
        <w:rPr>
          <w:rFonts w:ascii="Arial" w:hAnsi="Arial" w:cs="Arial"/>
          <w:sz w:val="24"/>
          <w:szCs w:val="24"/>
        </w:rPr>
      </w:pPr>
      <w:bookmarkStart w:id="10" w:name="_Toc217657380"/>
      <w:r w:rsidRPr="00C75AE9">
        <w:rPr>
          <w:rFonts w:ascii="Arial" w:hAnsi="Arial" w:cs="Arial"/>
          <w:sz w:val="24"/>
          <w:szCs w:val="24"/>
        </w:rPr>
        <w:t>Conclusion</w:t>
      </w:r>
      <w:bookmarkEnd w:id="10"/>
    </w:p>
    <w:p w14:paraId="55FCFE6D" w14:textId="77777777" w:rsidR="00C75AE9" w:rsidRPr="00C75AE9" w:rsidRDefault="00C75AE9" w:rsidP="00C75AE9">
      <w:pPr>
        <w:rPr>
          <w:rFonts w:ascii="Arial" w:hAnsi="Arial" w:cs="Arial"/>
          <w:sz w:val="24"/>
          <w:szCs w:val="24"/>
        </w:rPr>
      </w:pPr>
      <w:r w:rsidRPr="00C75AE9">
        <w:rPr>
          <w:rFonts w:ascii="Arial" w:hAnsi="Arial" w:cs="Arial"/>
          <w:sz w:val="24"/>
          <w:szCs w:val="24"/>
        </w:rPr>
        <w:t xml:space="preserve">This comprehensive analysis has substantiated that HR management within Unilever operates not in organizational isolation but rather within a complex ecosystem fundamentally shaped by multifaceted environmental forces and macro-level contextual pressures. Technological advancement has precipitated the systematic automation of recruitment processes whilst simultaneously necessitating comprehensive digital upskilling initiatives across the organizational workforce, thereby fundamentally reconfiguring the nature of HR professional competencies. Contemporaneously, evolving social attitudes and economic transformation, particularly the proliferation of gig-based employment arrangements, have compelled organizations to develop innovative employment models such as U-Work, thereby enabling talent retention within increasingly competitive labor markets characterized by workforce mobility and career fluidity. The sustained effectiveness of HR managers fundamentally depends upon their demonstrable capacity to operationalize globally-conceived strategic frameworks and standardized HR practices whilst simultaneously adapting these interventions to accommodate localized cultural expectations, legal regulatory requirements, and economic contextual factors. Prospectively, HR managers within multinational organizations will confront two critical strategic imperatives: first, the ethical governance of algorithmic decision-making systems, whereby managers must assume expanded responsibility as organizational "ethical guardians," ensuring that artificial intelligence systems maintain procedural fairness and do not inadvertently perpetuate discriminatory outcomes across diverse global workforce populations; second, the strategic management of increasingly fragmented and heterogeneous workforces comprising traditional full-time employees, retainer-based flexible workers, and contingent gig economy participants, necessitating organizational HR systems sufficiently sophisticated and adaptable to accommodate workforce complexity whilst </w:t>
      </w:r>
      <w:r w:rsidRPr="00C75AE9">
        <w:rPr>
          <w:rFonts w:ascii="Arial" w:hAnsi="Arial" w:cs="Arial"/>
          <w:sz w:val="24"/>
          <w:szCs w:val="24"/>
        </w:rPr>
        <w:lastRenderedPageBreak/>
        <w:t>mitigating the emergence of hierarchical employment stratification or organizational inequity.</w:t>
      </w:r>
    </w:p>
    <w:p w14:paraId="32A8004F" w14:textId="792B2775" w:rsidR="00596B0B" w:rsidRPr="00C75AE9" w:rsidRDefault="00596B0B" w:rsidP="00C75AE9">
      <w:pPr>
        <w:pStyle w:val="Heading1"/>
        <w:spacing w:line="360" w:lineRule="auto"/>
        <w:jc w:val="both"/>
        <w:rPr>
          <w:rFonts w:ascii="Arial" w:hAnsi="Arial" w:cs="Arial"/>
          <w:sz w:val="24"/>
          <w:szCs w:val="24"/>
        </w:rPr>
      </w:pPr>
      <w:bookmarkStart w:id="11" w:name="_Toc217657381"/>
      <w:r w:rsidRPr="00C75AE9">
        <w:rPr>
          <w:rFonts w:ascii="Arial" w:hAnsi="Arial" w:cs="Arial"/>
          <w:sz w:val="24"/>
          <w:szCs w:val="24"/>
        </w:rPr>
        <w:t>References</w:t>
      </w:r>
      <w:bookmarkEnd w:id="11"/>
    </w:p>
    <w:p w14:paraId="5BF93240"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Adriaenssen, D.J., Johannessen, J.-A. &amp; Sætersdal, H. (2016) ‘Strategic HRM: What will work be like in the future, and what impact will changes have on HR departments? Theoretical discussion and practical implications’, </w:t>
      </w:r>
      <w:r w:rsidRPr="00C75AE9">
        <w:rPr>
          <w:rFonts w:ascii="Arial" w:hAnsi="Arial" w:cs="Arial"/>
          <w:i/>
          <w:iCs/>
          <w:sz w:val="24"/>
          <w:szCs w:val="24"/>
        </w:rPr>
        <w:t>Problems and Perspectives in Management</w:t>
      </w:r>
      <w:r w:rsidRPr="00C75AE9">
        <w:rPr>
          <w:rFonts w:ascii="Arial" w:hAnsi="Arial" w:cs="Arial"/>
          <w:sz w:val="24"/>
          <w:szCs w:val="24"/>
        </w:rPr>
        <w:t>, 14(1). DOI: http://dx.doi.org/10.21511/ppm.14(1).2016.11.</w:t>
      </w:r>
    </w:p>
    <w:p w14:paraId="02099F70"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Aibaghi Esfahani, S., Rezaii, H., Koochmeshki, N., &amp; Sharifi Parsa, S. (2017) ‘Sustainable and Flexible HRM for Innovative Organizations’, </w:t>
      </w:r>
      <w:r w:rsidRPr="00C75AE9">
        <w:rPr>
          <w:rFonts w:ascii="Arial" w:hAnsi="Arial" w:cs="Arial"/>
          <w:i/>
          <w:iCs/>
          <w:sz w:val="24"/>
          <w:szCs w:val="24"/>
        </w:rPr>
        <w:t>AD-minister</w:t>
      </w:r>
      <w:r w:rsidRPr="00C75AE9">
        <w:rPr>
          <w:rFonts w:ascii="Arial" w:hAnsi="Arial" w:cs="Arial"/>
          <w:sz w:val="24"/>
          <w:szCs w:val="24"/>
        </w:rPr>
        <w:t>, (30), pp. 195–215. DOI: 10.17230/ad-minister.30.10</w:t>
      </w:r>
    </w:p>
    <w:p w14:paraId="46364B87"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Ayanponle, L.O., Elufioye, O.A., Asuzu, O.F., Ndubuisi, N.L., Awonuga, K.F. and Daraojimba, R.E. (2024) ‘The future of work and human resources: A review of emerging trends and HR's evolving role’, </w:t>
      </w:r>
      <w:r w:rsidRPr="00C75AE9">
        <w:rPr>
          <w:rFonts w:ascii="Arial" w:hAnsi="Arial" w:cs="Arial"/>
          <w:i/>
          <w:iCs/>
          <w:sz w:val="24"/>
          <w:szCs w:val="24"/>
        </w:rPr>
        <w:t>International Journal of Science and Research Archive</w:t>
      </w:r>
      <w:r w:rsidRPr="00C75AE9">
        <w:rPr>
          <w:rFonts w:ascii="Arial" w:hAnsi="Arial" w:cs="Arial"/>
          <w:sz w:val="24"/>
          <w:szCs w:val="24"/>
        </w:rPr>
        <w:t>, 11(2), pp. 113–124. DOI: https://doi.org/10.30574/ijsra.2024.11.2.0151.</w:t>
      </w:r>
    </w:p>
    <w:p w14:paraId="2BFC4A98"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Bocheer K S, C. &amp; Aishwarya, D. (2023) ‘Business, Digitalization and Sustainability’, </w:t>
      </w:r>
      <w:r w:rsidRPr="00C75AE9">
        <w:rPr>
          <w:rFonts w:ascii="Arial" w:hAnsi="Arial" w:cs="Arial"/>
          <w:i/>
          <w:iCs/>
          <w:sz w:val="24"/>
          <w:szCs w:val="24"/>
        </w:rPr>
        <w:t>International Journal for Multidisciplinary Research (IJFMR)</w:t>
      </w:r>
      <w:r w:rsidRPr="00C75AE9">
        <w:rPr>
          <w:rFonts w:ascii="Arial" w:hAnsi="Arial" w:cs="Arial"/>
          <w:sz w:val="24"/>
          <w:szCs w:val="24"/>
        </w:rPr>
        <w:t xml:space="preserve">, 5(3). </w:t>
      </w:r>
    </w:p>
    <w:p w14:paraId="08C67DD1"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Gintale, G., Correia, R., Venciute, D. and Lapinskiene, R. (2024) ‘Sustainability and beyond: decoding the influences of corporate social responsibility on employer brand attractiveness’, </w:t>
      </w:r>
      <w:r w:rsidRPr="00C75AE9">
        <w:rPr>
          <w:rFonts w:ascii="Arial" w:hAnsi="Arial" w:cs="Arial"/>
          <w:i/>
          <w:iCs/>
          <w:sz w:val="24"/>
          <w:szCs w:val="24"/>
        </w:rPr>
        <w:t>Cogent Business &amp; Management</w:t>
      </w:r>
      <w:r w:rsidRPr="00C75AE9">
        <w:rPr>
          <w:rFonts w:ascii="Arial" w:hAnsi="Arial" w:cs="Arial"/>
          <w:sz w:val="24"/>
          <w:szCs w:val="24"/>
        </w:rPr>
        <w:t>, 11(1), p. 2429799. DOI: 10.1080/23311975.2024.2429799.</w:t>
      </w:r>
    </w:p>
    <w:p w14:paraId="41D5712D"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Giuseppe, V. (2001) ‘Competences and Human Resources Empowerment in a Market-Driven Company. The Unilever Case’, </w:t>
      </w:r>
      <w:r w:rsidRPr="00C75AE9">
        <w:rPr>
          <w:rFonts w:ascii="Arial" w:hAnsi="Arial" w:cs="Arial"/>
          <w:i/>
          <w:iCs/>
          <w:sz w:val="24"/>
          <w:szCs w:val="24"/>
        </w:rPr>
        <w:t>Symphonya. Emerging Issues in Management (symphonya.unimib.it)</w:t>
      </w:r>
      <w:r w:rsidRPr="00C75AE9">
        <w:rPr>
          <w:rFonts w:ascii="Arial" w:hAnsi="Arial" w:cs="Arial"/>
          <w:sz w:val="24"/>
          <w:szCs w:val="24"/>
        </w:rPr>
        <w:t>, (2), pp. 64–83. DOI: http://dx.doi.org/10.4468/2001.2.05varchetta.</w:t>
      </w:r>
    </w:p>
    <w:p w14:paraId="3463924E"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Gurumoorthi, K. &amp; Pougajendy, S. (2023) ‘A Study on Emotional Intelligence and Quality of Work Life Among Employees in Hindustan Unilever Limited, Puducherry’, </w:t>
      </w:r>
      <w:r w:rsidRPr="00C75AE9">
        <w:rPr>
          <w:rFonts w:ascii="Arial" w:hAnsi="Arial" w:cs="Arial"/>
          <w:i/>
          <w:iCs/>
          <w:sz w:val="24"/>
          <w:szCs w:val="24"/>
        </w:rPr>
        <w:t>International Journal for Multidisciplinary Research (IJFMR)</w:t>
      </w:r>
      <w:r w:rsidRPr="00C75AE9">
        <w:rPr>
          <w:rFonts w:ascii="Arial" w:hAnsi="Arial" w:cs="Arial"/>
          <w:sz w:val="24"/>
          <w:szCs w:val="24"/>
        </w:rPr>
        <w:t>, 5(6), pp. 1–5.</w:t>
      </w:r>
    </w:p>
    <w:p w14:paraId="6AF094B2"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Hronová, Š. and Špaˇcek, M. (2021) ‘Sustainable HRM Practices in Corporate Reporting’, </w:t>
      </w:r>
      <w:r w:rsidRPr="00C75AE9">
        <w:rPr>
          <w:rFonts w:ascii="Arial" w:hAnsi="Arial" w:cs="Arial"/>
          <w:i/>
          <w:iCs/>
          <w:sz w:val="24"/>
          <w:szCs w:val="24"/>
        </w:rPr>
        <w:t>Economies</w:t>
      </w:r>
      <w:r w:rsidRPr="00C75AE9">
        <w:rPr>
          <w:rFonts w:ascii="Arial" w:hAnsi="Arial" w:cs="Arial"/>
          <w:sz w:val="24"/>
          <w:szCs w:val="24"/>
        </w:rPr>
        <w:t>, 9(2), p. 75. DOI: https://doi.org/10.3390/economies9020075.</w:t>
      </w:r>
    </w:p>
    <w:p w14:paraId="2A85731E"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lastRenderedPageBreak/>
        <w:t xml:space="preserve">Jabeen, I. (2025) ‘Human–AI Collaboration in HR: Redefining Roles and Responsibilities in the Digital Workplace’, </w:t>
      </w:r>
      <w:r w:rsidRPr="00C75AE9">
        <w:rPr>
          <w:rFonts w:ascii="Arial" w:hAnsi="Arial" w:cs="Arial"/>
          <w:i/>
          <w:iCs/>
          <w:sz w:val="24"/>
          <w:szCs w:val="24"/>
        </w:rPr>
        <w:t>Inverge Journal of Social Sciences</w:t>
      </w:r>
      <w:r w:rsidRPr="00C75AE9">
        <w:rPr>
          <w:rFonts w:ascii="Arial" w:hAnsi="Arial" w:cs="Arial"/>
          <w:sz w:val="24"/>
          <w:szCs w:val="24"/>
        </w:rPr>
        <w:t>, 4(4), pp. 318–329. DOI: 10.63544/ijss.v4i4.200.</w:t>
      </w:r>
    </w:p>
    <w:p w14:paraId="5C9E0284"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Jiang, M. (2025) ‘The Influence of Algorithmic Control on Work Autonomy in Gig Economy’, in </w:t>
      </w:r>
      <w:r w:rsidRPr="00C75AE9">
        <w:rPr>
          <w:rFonts w:ascii="Arial" w:hAnsi="Arial" w:cs="Arial"/>
          <w:i/>
          <w:iCs/>
          <w:sz w:val="24"/>
          <w:szCs w:val="24"/>
        </w:rPr>
        <w:t>Proceedings of the 2025 2nd International Conference on Digital Society and Artificial Intelligence</w:t>
      </w:r>
      <w:r w:rsidRPr="00C75AE9">
        <w:rPr>
          <w:rFonts w:ascii="Arial" w:hAnsi="Arial" w:cs="Arial"/>
          <w:sz w:val="24"/>
          <w:szCs w:val="24"/>
        </w:rPr>
        <w:t>. Association for Computing Machinery, pp. 923–930. DOI: https://doi.org/10.1145/3748825.3748967.</w:t>
      </w:r>
    </w:p>
    <w:p w14:paraId="34D359C5"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John, A., Coetsee, J., &amp; Flood, P.C. (2022) ‘Understanding the mechanisms of sustainable capitalism’, </w:t>
      </w:r>
      <w:r w:rsidRPr="00C75AE9">
        <w:rPr>
          <w:rFonts w:ascii="Arial" w:hAnsi="Arial" w:cs="Arial"/>
          <w:i/>
          <w:iCs/>
          <w:sz w:val="24"/>
          <w:szCs w:val="24"/>
        </w:rPr>
        <w:t>Business Ethics, Environment &amp; Responsibility</w:t>
      </w:r>
      <w:r w:rsidRPr="00C75AE9">
        <w:rPr>
          <w:rFonts w:ascii="Arial" w:hAnsi="Arial" w:cs="Arial"/>
          <w:sz w:val="24"/>
          <w:szCs w:val="24"/>
        </w:rPr>
        <w:t>, 32, pp. 15–24. DOI: 10.1111/beer.12495</w:t>
      </w:r>
    </w:p>
    <w:p w14:paraId="2B27AFE9"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Lankanath, R. (2025) ‘Human Resource Management in the Gig Economy: A Critical Review of Integration and Performance Management Strategies for a Contingent Workforce’, </w:t>
      </w:r>
      <w:r w:rsidRPr="00C75AE9">
        <w:rPr>
          <w:rFonts w:ascii="Arial" w:hAnsi="Arial" w:cs="Arial"/>
          <w:i/>
          <w:iCs/>
          <w:sz w:val="24"/>
          <w:szCs w:val="24"/>
        </w:rPr>
        <w:t>Research Journal in Business and Economics</w:t>
      </w:r>
      <w:r w:rsidRPr="00C75AE9">
        <w:rPr>
          <w:rFonts w:ascii="Arial" w:hAnsi="Arial" w:cs="Arial"/>
          <w:sz w:val="24"/>
          <w:szCs w:val="24"/>
        </w:rPr>
        <w:t>, 3(3), pp. 87–102. DOI: 10.61424/rjbe.v3i3.561.</w:t>
      </w:r>
    </w:p>
    <w:p w14:paraId="2C945337"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Nguyet, T.M. (2025) ‘Green HRM: A New Trend in Human Resource Management Toward Sustainable Development’, </w:t>
      </w:r>
      <w:r w:rsidRPr="00C75AE9">
        <w:rPr>
          <w:rFonts w:ascii="Arial" w:hAnsi="Arial" w:cs="Arial"/>
          <w:i/>
          <w:iCs/>
          <w:sz w:val="24"/>
          <w:szCs w:val="24"/>
        </w:rPr>
        <w:t>International Journal of Advanced Multidisciplinary Research and Studies</w:t>
      </w:r>
      <w:r w:rsidRPr="00C75AE9">
        <w:rPr>
          <w:rFonts w:ascii="Arial" w:hAnsi="Arial" w:cs="Arial"/>
          <w:sz w:val="24"/>
          <w:szCs w:val="24"/>
        </w:rPr>
        <w:t>, 5(6). DOI: https://doi.org/10.62225/2583049X.2025.5.6.5185.</w:t>
      </w:r>
    </w:p>
    <w:p w14:paraId="51492917"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Parajuli, S.K., Mahat, D., &amp; Kandel, D.R. (2023) ‘Strategic Human Resources Management: Study the Alignment of HR Practices with Overall Business Strategy and Its Impact on Organizational Performance’, </w:t>
      </w:r>
      <w:r w:rsidRPr="00C75AE9">
        <w:rPr>
          <w:rFonts w:ascii="Arial" w:hAnsi="Arial" w:cs="Arial"/>
          <w:i/>
          <w:iCs/>
          <w:sz w:val="24"/>
          <w:szCs w:val="24"/>
        </w:rPr>
        <w:t>International Journal for Multidisciplinary Research (IJFMR)</w:t>
      </w:r>
      <w:r w:rsidRPr="00C75AE9">
        <w:rPr>
          <w:rFonts w:ascii="Arial" w:hAnsi="Arial" w:cs="Arial"/>
          <w:sz w:val="24"/>
          <w:szCs w:val="24"/>
        </w:rPr>
        <w:t>, 5(5), pp. 1-11.</w:t>
      </w:r>
    </w:p>
    <w:p w14:paraId="7EBA3576"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Rathore, S.P.S. (2023) ‘The Impact of AI on Recruitment and Selection Processes: Analysing the Role of AI in Automating and Enhancing Recruitment and Selection Procedures’, </w:t>
      </w:r>
      <w:r w:rsidRPr="00C75AE9">
        <w:rPr>
          <w:rFonts w:ascii="Arial" w:hAnsi="Arial" w:cs="Arial"/>
          <w:i/>
          <w:iCs/>
          <w:sz w:val="24"/>
          <w:szCs w:val="24"/>
        </w:rPr>
        <w:t>International Journal for Global Academic &amp; Scientific Research</w:t>
      </w:r>
      <w:r w:rsidRPr="00C75AE9">
        <w:rPr>
          <w:rFonts w:ascii="Arial" w:hAnsi="Arial" w:cs="Arial"/>
          <w:sz w:val="24"/>
          <w:szCs w:val="24"/>
        </w:rPr>
        <w:t>, 2(2), pp. 51–63. DOI: 10.55938/ijgasr.v2i2.50.</w:t>
      </w:r>
    </w:p>
    <w:p w14:paraId="48A1F577"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Saha, R. (2025) ‘Human Resource Management Practices: A Comparative Examination of India and the United States’, </w:t>
      </w:r>
      <w:r w:rsidRPr="00C75AE9">
        <w:rPr>
          <w:rFonts w:ascii="Arial" w:hAnsi="Arial" w:cs="Arial"/>
          <w:i/>
          <w:iCs/>
          <w:sz w:val="24"/>
          <w:szCs w:val="24"/>
        </w:rPr>
        <w:t>International Journal for Multidisciplinary Research</w:t>
      </w:r>
      <w:r w:rsidRPr="00C75AE9">
        <w:rPr>
          <w:rFonts w:ascii="Arial" w:hAnsi="Arial" w:cs="Arial"/>
          <w:sz w:val="24"/>
          <w:szCs w:val="24"/>
        </w:rPr>
        <w:t>, 7(3). DOI: https://doi.org/10.36948/ijfmr.2025.v07i03.48848.</w:t>
      </w:r>
    </w:p>
    <w:p w14:paraId="0852AAFA" w14:textId="77777777" w:rsidR="00C75AE9" w:rsidRPr="00C75AE9" w:rsidRDefault="00C75AE9" w:rsidP="00C75AE9">
      <w:pPr>
        <w:pStyle w:val="ListParagraph"/>
        <w:numPr>
          <w:ilvl w:val="0"/>
          <w:numId w:val="28"/>
        </w:numPr>
        <w:autoSpaceDE w:val="0"/>
        <w:autoSpaceDN w:val="0"/>
        <w:adjustRightInd w:val="0"/>
        <w:spacing w:before="0" w:after="240" w:line="360" w:lineRule="auto"/>
        <w:jc w:val="both"/>
        <w:rPr>
          <w:rFonts w:ascii="Arial" w:hAnsi="Arial" w:cs="Arial"/>
          <w:sz w:val="24"/>
          <w:szCs w:val="24"/>
        </w:rPr>
      </w:pPr>
      <w:r w:rsidRPr="00C75AE9">
        <w:rPr>
          <w:rFonts w:ascii="Arial" w:hAnsi="Arial" w:cs="Arial"/>
          <w:sz w:val="24"/>
          <w:szCs w:val="24"/>
        </w:rPr>
        <w:t xml:space="preserve">Stephany, F. &amp; Teutloff, O. (2023) ‘What is the Price of a Skill? The Value of Complementarity’, </w:t>
      </w:r>
      <w:r w:rsidRPr="00C75AE9">
        <w:rPr>
          <w:rFonts w:ascii="Arial" w:hAnsi="Arial" w:cs="Arial"/>
          <w:i/>
          <w:iCs/>
          <w:sz w:val="24"/>
          <w:szCs w:val="24"/>
        </w:rPr>
        <w:t>Research Policy</w:t>
      </w:r>
      <w:r w:rsidRPr="00C75AE9">
        <w:rPr>
          <w:rFonts w:ascii="Arial" w:hAnsi="Arial" w:cs="Arial"/>
          <w:sz w:val="24"/>
          <w:szCs w:val="24"/>
        </w:rPr>
        <w:t>, 53(1), pp. 1–53. DOI: https://doi.org/10.1016/j.respol.2023.104898.</w:t>
      </w:r>
    </w:p>
    <w:p w14:paraId="54FF6550" w14:textId="77777777" w:rsidR="00C75AE9" w:rsidRPr="00C75AE9" w:rsidRDefault="00C75AE9" w:rsidP="00C75AE9">
      <w:pPr>
        <w:rPr>
          <w:rFonts w:ascii="Arial" w:hAnsi="Arial" w:cs="Arial"/>
          <w:sz w:val="24"/>
          <w:szCs w:val="24"/>
        </w:rPr>
      </w:pPr>
    </w:p>
    <w:sectPr w:rsidR="00C75AE9" w:rsidRPr="00C75AE9" w:rsidSect="00E6618D">
      <w:footerReference w:type="default" r:id="rId1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A8451" w14:textId="77777777" w:rsidR="001D63F1" w:rsidRDefault="001D63F1">
      <w:pPr>
        <w:spacing w:before="0" w:after="0"/>
      </w:pPr>
      <w:r>
        <w:separator/>
      </w:r>
    </w:p>
  </w:endnote>
  <w:endnote w:type="continuationSeparator" w:id="0">
    <w:p w14:paraId="72B827BE" w14:textId="77777777" w:rsidR="001D63F1" w:rsidRDefault="001D63F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4EB41" w14:textId="77777777" w:rsidR="000C2633" w:rsidRDefault="008A6F05">
    <w:pPr>
      <w:pStyle w:val="Foot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CD5EF" w14:textId="77777777" w:rsidR="001D63F1" w:rsidRDefault="001D63F1">
      <w:pPr>
        <w:spacing w:before="0" w:after="0"/>
      </w:pPr>
      <w:r>
        <w:separator/>
      </w:r>
    </w:p>
  </w:footnote>
  <w:footnote w:type="continuationSeparator" w:id="0">
    <w:p w14:paraId="7EF0613E" w14:textId="77777777" w:rsidR="001D63F1" w:rsidRDefault="001D63F1">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BF03F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B6035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6C2CC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23672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D0ED9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8897E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B20A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7983A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988D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97EA1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6F4E95"/>
    <w:multiLevelType w:val="hybridMultilevel"/>
    <w:tmpl w:val="68B20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3C13BAE"/>
    <w:multiLevelType w:val="hybridMultilevel"/>
    <w:tmpl w:val="92F0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61A38E7"/>
    <w:multiLevelType w:val="hybridMultilevel"/>
    <w:tmpl w:val="B8C017BA"/>
    <w:lvl w:ilvl="0" w:tplc="D230399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C42ECE"/>
    <w:multiLevelType w:val="hybridMultilevel"/>
    <w:tmpl w:val="8E6C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3A1F33"/>
    <w:multiLevelType w:val="hybridMultilevel"/>
    <w:tmpl w:val="4984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033D5D"/>
    <w:multiLevelType w:val="hybridMultilevel"/>
    <w:tmpl w:val="BB5C6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2E01A6"/>
    <w:multiLevelType w:val="hybridMultilevel"/>
    <w:tmpl w:val="80024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717FEA"/>
    <w:multiLevelType w:val="hybridMultilevel"/>
    <w:tmpl w:val="01F6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F412F5"/>
    <w:multiLevelType w:val="hybridMultilevel"/>
    <w:tmpl w:val="DE309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AD14A8"/>
    <w:multiLevelType w:val="hybridMultilevel"/>
    <w:tmpl w:val="5B46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DF01FB"/>
    <w:multiLevelType w:val="hybridMultilevel"/>
    <w:tmpl w:val="2F36B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8C169A"/>
    <w:multiLevelType w:val="hybridMultilevel"/>
    <w:tmpl w:val="7EE6C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C81E46"/>
    <w:multiLevelType w:val="hybridMultilevel"/>
    <w:tmpl w:val="4CA2656C"/>
    <w:lvl w:ilvl="0" w:tplc="386841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FF21C8"/>
    <w:multiLevelType w:val="hybridMultilevel"/>
    <w:tmpl w:val="363A9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8C5E35"/>
    <w:multiLevelType w:val="hybridMultilevel"/>
    <w:tmpl w:val="53623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7F33C4"/>
    <w:multiLevelType w:val="hybridMultilevel"/>
    <w:tmpl w:val="4020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AD695F"/>
    <w:multiLevelType w:val="hybridMultilevel"/>
    <w:tmpl w:val="6D780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072937">
    <w:abstractNumId w:val="23"/>
  </w:num>
  <w:num w:numId="2" w16cid:durableId="346059303">
    <w:abstractNumId w:val="13"/>
  </w:num>
  <w:num w:numId="3" w16cid:durableId="1669793274">
    <w:abstractNumId w:val="9"/>
  </w:num>
  <w:num w:numId="4" w16cid:durableId="2021933760">
    <w:abstractNumId w:val="8"/>
  </w:num>
  <w:num w:numId="5" w16cid:durableId="1723626802">
    <w:abstractNumId w:val="7"/>
  </w:num>
  <w:num w:numId="6" w16cid:durableId="203715852">
    <w:abstractNumId w:val="6"/>
  </w:num>
  <w:num w:numId="7" w16cid:durableId="29302327">
    <w:abstractNumId w:val="5"/>
  </w:num>
  <w:num w:numId="8" w16cid:durableId="363553705">
    <w:abstractNumId w:val="4"/>
  </w:num>
  <w:num w:numId="9" w16cid:durableId="1631746056">
    <w:abstractNumId w:val="3"/>
  </w:num>
  <w:num w:numId="10" w16cid:durableId="441800269">
    <w:abstractNumId w:val="2"/>
  </w:num>
  <w:num w:numId="11" w16cid:durableId="581455787">
    <w:abstractNumId w:val="1"/>
  </w:num>
  <w:num w:numId="12" w16cid:durableId="1457026305">
    <w:abstractNumId w:val="0"/>
  </w:num>
  <w:num w:numId="13" w16cid:durableId="1898931037">
    <w:abstractNumId w:val="17"/>
  </w:num>
  <w:num w:numId="14" w16cid:durableId="1395005853">
    <w:abstractNumId w:val="20"/>
  </w:num>
  <w:num w:numId="15" w16cid:durableId="408770490">
    <w:abstractNumId w:val="18"/>
  </w:num>
  <w:num w:numId="16" w16cid:durableId="3821989">
    <w:abstractNumId w:val="24"/>
  </w:num>
  <w:num w:numId="17" w16cid:durableId="122114123">
    <w:abstractNumId w:val="15"/>
  </w:num>
  <w:num w:numId="18" w16cid:durableId="1576938805">
    <w:abstractNumId w:val="14"/>
  </w:num>
  <w:num w:numId="19" w16cid:durableId="74713031">
    <w:abstractNumId w:val="12"/>
  </w:num>
  <w:num w:numId="20" w16cid:durableId="378093207">
    <w:abstractNumId w:val="26"/>
  </w:num>
  <w:num w:numId="21" w16cid:durableId="1771775272">
    <w:abstractNumId w:val="21"/>
  </w:num>
  <w:num w:numId="22" w16cid:durableId="1753232515">
    <w:abstractNumId w:val="11"/>
  </w:num>
  <w:num w:numId="23" w16cid:durableId="1743092746">
    <w:abstractNumId w:val="19"/>
  </w:num>
  <w:num w:numId="24" w16cid:durableId="415051766">
    <w:abstractNumId w:val="25"/>
  </w:num>
  <w:num w:numId="25" w16cid:durableId="361327178">
    <w:abstractNumId w:val="16"/>
  </w:num>
  <w:num w:numId="26" w16cid:durableId="523634789">
    <w:abstractNumId w:val="27"/>
  </w:num>
  <w:num w:numId="27" w16cid:durableId="1345326798">
    <w:abstractNumId w:val="10"/>
  </w:num>
  <w:num w:numId="28" w16cid:durableId="7674593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E4"/>
    <w:rsid w:val="000C2633"/>
    <w:rsid w:val="000D2C52"/>
    <w:rsid w:val="001A40E4"/>
    <w:rsid w:val="001B2073"/>
    <w:rsid w:val="001C09BA"/>
    <w:rsid w:val="001D63F1"/>
    <w:rsid w:val="001E59CF"/>
    <w:rsid w:val="002F1DBC"/>
    <w:rsid w:val="003241AA"/>
    <w:rsid w:val="00342CDD"/>
    <w:rsid w:val="00363A6A"/>
    <w:rsid w:val="004664D4"/>
    <w:rsid w:val="004E1A15"/>
    <w:rsid w:val="00521A90"/>
    <w:rsid w:val="005443BE"/>
    <w:rsid w:val="00596B0B"/>
    <w:rsid w:val="005E3543"/>
    <w:rsid w:val="006116A0"/>
    <w:rsid w:val="006228EE"/>
    <w:rsid w:val="00635407"/>
    <w:rsid w:val="0066002F"/>
    <w:rsid w:val="006A0C25"/>
    <w:rsid w:val="00761239"/>
    <w:rsid w:val="00795023"/>
    <w:rsid w:val="00802707"/>
    <w:rsid w:val="008156CB"/>
    <w:rsid w:val="008527F0"/>
    <w:rsid w:val="008A6333"/>
    <w:rsid w:val="008A6F05"/>
    <w:rsid w:val="008D6FB2"/>
    <w:rsid w:val="009541C6"/>
    <w:rsid w:val="009679E4"/>
    <w:rsid w:val="00972524"/>
    <w:rsid w:val="00973885"/>
    <w:rsid w:val="00986BB1"/>
    <w:rsid w:val="00991989"/>
    <w:rsid w:val="009C7DE8"/>
    <w:rsid w:val="00A63436"/>
    <w:rsid w:val="00A670F2"/>
    <w:rsid w:val="00AA6A50"/>
    <w:rsid w:val="00B42047"/>
    <w:rsid w:val="00B47B3D"/>
    <w:rsid w:val="00B8392C"/>
    <w:rsid w:val="00BC7D19"/>
    <w:rsid w:val="00BF5DEF"/>
    <w:rsid w:val="00C07439"/>
    <w:rsid w:val="00C26D0F"/>
    <w:rsid w:val="00C5493D"/>
    <w:rsid w:val="00C75AE9"/>
    <w:rsid w:val="00C97885"/>
    <w:rsid w:val="00CA1C12"/>
    <w:rsid w:val="00CA7DE2"/>
    <w:rsid w:val="00D320DA"/>
    <w:rsid w:val="00D7348B"/>
    <w:rsid w:val="00D956B6"/>
    <w:rsid w:val="00DA2EA0"/>
    <w:rsid w:val="00E00E9F"/>
    <w:rsid w:val="00E367B6"/>
    <w:rsid w:val="00E553AA"/>
    <w:rsid w:val="00E6618D"/>
    <w:rsid w:val="00EA0EB4"/>
    <w:rsid w:val="00EB0DD1"/>
    <w:rsid w:val="00F13C16"/>
    <w:rsid w:val="00F37398"/>
    <w:rsid w:val="00F42096"/>
    <w:rsid w:val="00F5388D"/>
    <w:rsid w:val="00F73A09"/>
    <w:rsid w:val="00FC53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99B74"/>
  <w15:chartTrackingRefBased/>
  <w15:docId w15:val="{85C4C1BF-1E80-4F40-A4EE-906318ADD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before="30" w:after="3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5"/>
    <w:lsdException w:name="List Number" w:uiPriority="5"/>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AE9"/>
  </w:style>
  <w:style w:type="paragraph" w:styleId="Heading1">
    <w:name w:val="heading 1"/>
    <w:basedOn w:val="Normal"/>
    <w:link w:val="Heading1Char"/>
    <w:uiPriority w:val="9"/>
    <w:qFormat/>
    <w:pPr>
      <w:keepLines/>
      <w:spacing w:before="120" w:after="120"/>
      <w:outlineLvl w:val="0"/>
    </w:pPr>
    <w:rPr>
      <w:rFonts w:asciiTheme="majorHAnsi" w:eastAsiaTheme="majorEastAsia" w:hAnsiTheme="majorHAnsi" w:cstheme="majorBidi"/>
      <w:b/>
      <w:smallCaps/>
      <w:sz w:val="22"/>
      <w:szCs w:val="32"/>
    </w:rPr>
  </w:style>
  <w:style w:type="paragraph" w:styleId="Heading2">
    <w:name w:val="heading 2"/>
    <w:basedOn w:val="Normal"/>
    <w:link w:val="Heading2Char"/>
    <w:uiPriority w:val="9"/>
    <w:unhideWhenUsed/>
    <w:qFormat/>
    <w:pPr>
      <w:keepLines/>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A40E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5443BE"/>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5443BE"/>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1A40E4"/>
    <w:rPr>
      <w:b/>
      <w:bCs/>
      <w:caps w:val="0"/>
      <w:smallCaps/>
      <w:color w:val="365F91" w:themeColor="accent1" w:themeShade="BF"/>
      <w:spacing w:val="0"/>
    </w:rPr>
  </w:style>
  <w:style w:type="paragraph" w:styleId="ListBullet">
    <w:name w:val="List Bullet"/>
    <w:basedOn w:val="Normal"/>
    <w:uiPriority w:val="10"/>
    <w:pPr>
      <w:numPr>
        <w:numId w:val="3"/>
      </w:numPr>
    </w:pPr>
  </w:style>
  <w:style w:type="paragraph" w:styleId="ListNumber">
    <w:name w:val="List Number"/>
    <w:basedOn w:val="Normal"/>
    <w:uiPriority w:val="10"/>
    <w:pPr>
      <w:numPr>
        <w:numId w:val="4"/>
      </w:numP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before="0" w:after="160"/>
    </w:pPr>
    <w:rPr>
      <w:rFonts w:eastAsiaTheme="minorHAnsi"/>
      <w:lang w:eastAsia="en-US"/>
    </w:rPr>
  </w:style>
  <w:style w:type="character" w:customStyle="1" w:styleId="CommentTextChar">
    <w:name w:val="Comment Text Char"/>
    <w:basedOn w:val="DefaultParagraphFont"/>
    <w:link w:val="CommentText"/>
    <w:uiPriority w:val="99"/>
    <w:semiHidden/>
    <w:rPr>
      <w:rFonts w:eastAsiaTheme="minorHAnsi"/>
      <w:lang w:eastAsia="en-US"/>
    </w:rPr>
  </w:style>
  <w:style w:type="paragraph" w:styleId="NoSpacing">
    <w:name w:val="No Spacing"/>
    <w:link w:val="NoSpacingChar"/>
    <w:uiPriority w:val="1"/>
    <w:unhideWhenUsed/>
    <w:qFormat/>
    <w:pPr>
      <w:spacing w:before="0" w:after="0"/>
    </w:pPr>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Cs w:val="24"/>
    </w:r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18"/>
      <w:szCs w:val="21"/>
    </w:rPr>
  </w:style>
  <w:style w:type="paragraph" w:styleId="TOCHeading">
    <w:name w:val="TOC Heading"/>
    <w:basedOn w:val="Heading1"/>
    <w:next w:val="Normal"/>
    <w:uiPriority w:val="39"/>
    <w:unhideWhenUsed/>
    <w:qFormat/>
    <w:pPr>
      <w:keepNext/>
      <w:outlineLvl w:val="9"/>
    </w:pPr>
  </w:style>
  <w:style w:type="paragraph" w:styleId="Header">
    <w:name w:val="header"/>
    <w:basedOn w:val="Normal"/>
    <w:link w:val="HeaderChar"/>
    <w:uiPriority w:val="99"/>
    <w:unhideWhenUsed/>
    <w:pPr>
      <w:spacing w:before="0" w:after="240"/>
      <w:jc w:val="right"/>
    </w:pPr>
    <w:rPr>
      <w:b/>
      <w:sz w:val="28"/>
    </w:rPr>
  </w:style>
  <w:style w:type="character" w:customStyle="1" w:styleId="HeaderChar">
    <w:name w:val="Header Char"/>
    <w:basedOn w:val="DefaultParagraphFont"/>
    <w:link w:val="Header"/>
    <w:uiPriority w:val="99"/>
    <w:rPr>
      <w:b/>
      <w:sz w:val="28"/>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eastAsia="en-US"/>
    </w:rPr>
  </w:style>
  <w:style w:type="table" w:styleId="PlainTable4">
    <w:name w:val="Plain Table 4"/>
    <w:basedOn w:val="TableNormal"/>
    <w:uiPriority w:val="44"/>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761239"/>
    <w:rPr>
      <w:rFonts w:asciiTheme="majorHAnsi" w:eastAsiaTheme="majorEastAsia" w:hAnsiTheme="majorHAnsi" w:cstheme="majorBidi"/>
      <w:b/>
      <w:smallCaps/>
      <w:sz w:val="2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Cs w:val="26"/>
    </w:rPr>
  </w:style>
  <w:style w:type="table" w:styleId="PlainTable1">
    <w:name w:val="Plain Table 1"/>
    <w:basedOn w:val="TableNormal"/>
    <w:uiPriority w:val="41"/>
    <w:rsid w:val="008A6F05"/>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73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738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5Char">
    <w:name w:val="Heading 5 Char"/>
    <w:basedOn w:val="DefaultParagraphFont"/>
    <w:link w:val="Heading5"/>
    <w:uiPriority w:val="9"/>
    <w:semiHidden/>
    <w:rsid w:val="001A40E4"/>
    <w:rPr>
      <w:rFonts w:asciiTheme="majorHAnsi" w:eastAsiaTheme="majorEastAsia" w:hAnsiTheme="majorHAnsi" w:cstheme="majorBidi"/>
      <w:color w:val="365F91" w:themeColor="accent1" w:themeShade="BF"/>
    </w:rPr>
  </w:style>
  <w:style w:type="character" w:styleId="IntenseEmphasis">
    <w:name w:val="Intense Emphasis"/>
    <w:basedOn w:val="DefaultParagraphFont"/>
    <w:uiPriority w:val="21"/>
    <w:semiHidden/>
    <w:unhideWhenUsed/>
    <w:qFormat/>
    <w:rsid w:val="001A40E4"/>
    <w:rPr>
      <w:i/>
      <w:iCs/>
      <w:color w:val="365F91" w:themeColor="accent1" w:themeShade="BF"/>
    </w:rPr>
  </w:style>
  <w:style w:type="paragraph" w:styleId="IntenseQuote">
    <w:name w:val="Intense Quote"/>
    <w:basedOn w:val="Normal"/>
    <w:next w:val="Normal"/>
    <w:link w:val="IntenseQuoteChar"/>
    <w:uiPriority w:val="30"/>
    <w:semiHidden/>
    <w:unhideWhenUsed/>
    <w:qFormat/>
    <w:rsid w:val="001A40E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1A40E4"/>
    <w:rPr>
      <w:i/>
      <w:iCs/>
      <w:color w:val="365F91" w:themeColor="accent1" w:themeShade="BF"/>
    </w:rPr>
  </w:style>
  <w:style w:type="paragraph" w:styleId="BlockText">
    <w:name w:val="Block Text"/>
    <w:basedOn w:val="Normal"/>
    <w:uiPriority w:val="99"/>
    <w:semiHidden/>
    <w:unhideWhenUsed/>
    <w:rsid w:val="001A40E4"/>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i/>
      <w:iCs/>
      <w:color w:val="365F91" w:themeColor="accent1" w:themeShade="BF"/>
    </w:rPr>
  </w:style>
  <w:style w:type="character" w:customStyle="1" w:styleId="UnresolvedMention1">
    <w:name w:val="Unresolved Mention1"/>
    <w:basedOn w:val="DefaultParagraphFont"/>
    <w:uiPriority w:val="99"/>
    <w:semiHidden/>
    <w:unhideWhenUsed/>
    <w:rsid w:val="001A40E4"/>
    <w:rPr>
      <w:color w:val="595959" w:themeColor="text1" w:themeTint="A6"/>
      <w:shd w:val="clear" w:color="auto" w:fill="E6E6E6"/>
    </w:rPr>
  </w:style>
  <w:style w:type="paragraph" w:styleId="Caption">
    <w:name w:val="caption"/>
    <w:basedOn w:val="Normal"/>
    <w:next w:val="Normal"/>
    <w:uiPriority w:val="35"/>
    <w:semiHidden/>
    <w:unhideWhenUsed/>
    <w:qFormat/>
    <w:rsid w:val="005443BE"/>
    <w:pPr>
      <w:spacing w:before="0" w:after="200"/>
    </w:pPr>
    <w:rPr>
      <w:i/>
      <w:iCs/>
      <w:color w:val="1F497D" w:themeColor="text2"/>
      <w:sz w:val="18"/>
      <w:szCs w:val="18"/>
    </w:rPr>
  </w:style>
  <w:style w:type="character" w:styleId="Emphasis">
    <w:name w:val="Emphasis"/>
    <w:basedOn w:val="DefaultParagraphFont"/>
    <w:uiPriority w:val="20"/>
    <w:semiHidden/>
    <w:unhideWhenUsed/>
    <w:qFormat/>
    <w:rsid w:val="005443BE"/>
    <w:rPr>
      <w:i/>
      <w:iCs/>
    </w:rPr>
  </w:style>
  <w:style w:type="character" w:customStyle="1" w:styleId="Heading6Char">
    <w:name w:val="Heading 6 Char"/>
    <w:basedOn w:val="DefaultParagraphFont"/>
    <w:link w:val="Heading6"/>
    <w:uiPriority w:val="9"/>
    <w:semiHidden/>
    <w:rsid w:val="005443B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5443BE"/>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unhideWhenUsed/>
    <w:qFormat/>
    <w:rsid w:val="005443BE"/>
    <w:pPr>
      <w:ind w:left="720"/>
      <w:contextualSpacing/>
    </w:pPr>
  </w:style>
  <w:style w:type="paragraph" w:styleId="Quote">
    <w:name w:val="Quote"/>
    <w:basedOn w:val="Normal"/>
    <w:next w:val="Normal"/>
    <w:link w:val="QuoteChar"/>
    <w:uiPriority w:val="29"/>
    <w:semiHidden/>
    <w:unhideWhenUsed/>
    <w:qFormat/>
    <w:rsid w:val="005443B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443BE"/>
    <w:rPr>
      <w:i/>
      <w:iCs/>
      <w:color w:val="404040" w:themeColor="text1" w:themeTint="BF"/>
    </w:rPr>
  </w:style>
  <w:style w:type="character" w:styleId="Strong">
    <w:name w:val="Strong"/>
    <w:basedOn w:val="DefaultParagraphFont"/>
    <w:uiPriority w:val="22"/>
    <w:semiHidden/>
    <w:unhideWhenUsed/>
    <w:qFormat/>
    <w:rsid w:val="005443BE"/>
    <w:rPr>
      <w:b/>
      <w:bCs/>
    </w:rPr>
  </w:style>
  <w:style w:type="paragraph" w:styleId="Subtitle">
    <w:name w:val="Subtitle"/>
    <w:basedOn w:val="Normal"/>
    <w:next w:val="Normal"/>
    <w:link w:val="SubtitleChar"/>
    <w:uiPriority w:val="11"/>
    <w:semiHidden/>
    <w:unhideWhenUsed/>
    <w:qFormat/>
    <w:rsid w:val="005443BE"/>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semiHidden/>
    <w:rsid w:val="005443BE"/>
    <w:rPr>
      <w:color w:val="5A5A5A" w:themeColor="text1" w:themeTint="A5"/>
      <w:spacing w:val="15"/>
      <w:sz w:val="22"/>
      <w:szCs w:val="22"/>
    </w:rPr>
  </w:style>
  <w:style w:type="character" w:styleId="SubtleEmphasis">
    <w:name w:val="Subtle Emphasis"/>
    <w:basedOn w:val="DefaultParagraphFont"/>
    <w:uiPriority w:val="19"/>
    <w:semiHidden/>
    <w:unhideWhenUsed/>
    <w:qFormat/>
    <w:rsid w:val="005443BE"/>
    <w:rPr>
      <w:i/>
      <w:iCs/>
      <w:color w:val="404040" w:themeColor="text1" w:themeTint="BF"/>
    </w:rPr>
  </w:style>
  <w:style w:type="character" w:styleId="SubtleReference">
    <w:name w:val="Subtle Reference"/>
    <w:basedOn w:val="DefaultParagraphFont"/>
    <w:uiPriority w:val="31"/>
    <w:semiHidden/>
    <w:unhideWhenUsed/>
    <w:qFormat/>
    <w:rsid w:val="005443BE"/>
    <w:rPr>
      <w:smallCaps/>
      <w:color w:val="5A5A5A" w:themeColor="text1" w:themeTint="A5"/>
    </w:rPr>
  </w:style>
  <w:style w:type="paragraph" w:styleId="Title">
    <w:name w:val="Title"/>
    <w:basedOn w:val="Normal"/>
    <w:next w:val="Normal"/>
    <w:link w:val="TitleChar"/>
    <w:uiPriority w:val="10"/>
    <w:semiHidden/>
    <w:unhideWhenUsed/>
    <w:qFormat/>
    <w:rsid w:val="005443BE"/>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5443BE"/>
    <w:rPr>
      <w:rFonts w:asciiTheme="majorHAnsi" w:eastAsiaTheme="majorEastAsia" w:hAnsiTheme="majorHAnsi" w:cstheme="majorBidi"/>
      <w:spacing w:val="-10"/>
      <w:kern w:val="28"/>
      <w:sz w:val="56"/>
      <w:szCs w:val="56"/>
    </w:rPr>
  </w:style>
  <w:style w:type="character" w:customStyle="1" w:styleId="NoSpacingChar">
    <w:name w:val="No Spacing Char"/>
    <w:basedOn w:val="DefaultParagraphFont"/>
    <w:link w:val="NoSpacing"/>
    <w:uiPriority w:val="1"/>
    <w:rsid w:val="00B47B3D"/>
  </w:style>
  <w:style w:type="paragraph" w:styleId="TOC2">
    <w:name w:val="toc 2"/>
    <w:basedOn w:val="Normal"/>
    <w:next w:val="Normal"/>
    <w:autoRedefine/>
    <w:uiPriority w:val="39"/>
    <w:unhideWhenUsed/>
    <w:rsid w:val="00E6618D"/>
    <w:pPr>
      <w:spacing w:before="120" w:after="0"/>
      <w:ind w:left="200"/>
    </w:pPr>
    <w:rPr>
      <w:rFonts w:cstheme="minorHAnsi"/>
      <w:b/>
      <w:bCs/>
      <w:sz w:val="22"/>
      <w:szCs w:val="22"/>
    </w:rPr>
  </w:style>
  <w:style w:type="paragraph" w:styleId="TOC1">
    <w:name w:val="toc 1"/>
    <w:basedOn w:val="Normal"/>
    <w:next w:val="Normal"/>
    <w:autoRedefine/>
    <w:uiPriority w:val="39"/>
    <w:unhideWhenUsed/>
    <w:rsid w:val="00E6618D"/>
    <w:pPr>
      <w:spacing w:before="120" w:after="0"/>
    </w:pPr>
    <w:rPr>
      <w:rFonts w:cstheme="minorHAnsi"/>
      <w:b/>
      <w:bCs/>
      <w:i/>
      <w:iCs/>
      <w:sz w:val="24"/>
      <w:szCs w:val="24"/>
    </w:rPr>
  </w:style>
  <w:style w:type="character" w:styleId="Hyperlink">
    <w:name w:val="Hyperlink"/>
    <w:basedOn w:val="DefaultParagraphFont"/>
    <w:uiPriority w:val="99"/>
    <w:unhideWhenUsed/>
    <w:rsid w:val="00E6618D"/>
    <w:rPr>
      <w:color w:val="0000FF" w:themeColor="hyperlink"/>
      <w:u w:val="single"/>
    </w:rPr>
  </w:style>
  <w:style w:type="paragraph" w:styleId="TOC3">
    <w:name w:val="toc 3"/>
    <w:basedOn w:val="Normal"/>
    <w:next w:val="Normal"/>
    <w:autoRedefine/>
    <w:uiPriority w:val="39"/>
    <w:semiHidden/>
    <w:unhideWhenUsed/>
    <w:rsid w:val="00E6618D"/>
    <w:pPr>
      <w:spacing w:before="0" w:after="0"/>
      <w:ind w:left="400"/>
    </w:pPr>
    <w:rPr>
      <w:rFonts w:cstheme="minorHAnsi"/>
    </w:rPr>
  </w:style>
  <w:style w:type="paragraph" w:styleId="TOC4">
    <w:name w:val="toc 4"/>
    <w:basedOn w:val="Normal"/>
    <w:next w:val="Normal"/>
    <w:autoRedefine/>
    <w:uiPriority w:val="39"/>
    <w:semiHidden/>
    <w:unhideWhenUsed/>
    <w:rsid w:val="00E6618D"/>
    <w:pPr>
      <w:spacing w:before="0" w:after="0"/>
      <w:ind w:left="600"/>
    </w:pPr>
    <w:rPr>
      <w:rFonts w:cstheme="minorHAnsi"/>
    </w:rPr>
  </w:style>
  <w:style w:type="paragraph" w:styleId="TOC5">
    <w:name w:val="toc 5"/>
    <w:basedOn w:val="Normal"/>
    <w:next w:val="Normal"/>
    <w:autoRedefine/>
    <w:uiPriority w:val="39"/>
    <w:semiHidden/>
    <w:unhideWhenUsed/>
    <w:rsid w:val="00E6618D"/>
    <w:pPr>
      <w:spacing w:before="0" w:after="0"/>
      <w:ind w:left="800"/>
    </w:pPr>
    <w:rPr>
      <w:rFonts w:cstheme="minorHAnsi"/>
    </w:rPr>
  </w:style>
  <w:style w:type="paragraph" w:styleId="TOC6">
    <w:name w:val="toc 6"/>
    <w:basedOn w:val="Normal"/>
    <w:next w:val="Normal"/>
    <w:autoRedefine/>
    <w:uiPriority w:val="39"/>
    <w:semiHidden/>
    <w:unhideWhenUsed/>
    <w:rsid w:val="00E6618D"/>
    <w:pPr>
      <w:spacing w:before="0" w:after="0"/>
      <w:ind w:left="1000"/>
    </w:pPr>
    <w:rPr>
      <w:rFonts w:cstheme="minorHAnsi"/>
    </w:rPr>
  </w:style>
  <w:style w:type="paragraph" w:styleId="TOC7">
    <w:name w:val="toc 7"/>
    <w:basedOn w:val="Normal"/>
    <w:next w:val="Normal"/>
    <w:autoRedefine/>
    <w:uiPriority w:val="39"/>
    <w:semiHidden/>
    <w:unhideWhenUsed/>
    <w:rsid w:val="00E6618D"/>
    <w:pPr>
      <w:spacing w:before="0" w:after="0"/>
      <w:ind w:left="1200"/>
    </w:pPr>
    <w:rPr>
      <w:rFonts w:cstheme="minorHAnsi"/>
    </w:rPr>
  </w:style>
  <w:style w:type="paragraph" w:styleId="TOC8">
    <w:name w:val="toc 8"/>
    <w:basedOn w:val="Normal"/>
    <w:next w:val="Normal"/>
    <w:autoRedefine/>
    <w:uiPriority w:val="39"/>
    <w:semiHidden/>
    <w:unhideWhenUsed/>
    <w:rsid w:val="00E6618D"/>
    <w:pPr>
      <w:spacing w:before="0" w:after="0"/>
      <w:ind w:left="1400"/>
    </w:pPr>
    <w:rPr>
      <w:rFonts w:cstheme="minorHAnsi"/>
    </w:rPr>
  </w:style>
  <w:style w:type="paragraph" w:styleId="TOC9">
    <w:name w:val="toc 9"/>
    <w:basedOn w:val="Normal"/>
    <w:next w:val="Normal"/>
    <w:autoRedefine/>
    <w:uiPriority w:val="39"/>
    <w:semiHidden/>
    <w:unhideWhenUsed/>
    <w:rsid w:val="00E6618D"/>
    <w:pPr>
      <w:spacing w:before="0" w:after="0"/>
      <w:ind w:left="1600"/>
    </w:pPr>
    <w:rPr>
      <w:rFonts w:cstheme="minorHAnsi"/>
    </w:rPr>
  </w:style>
  <w:style w:type="table" w:styleId="GridTable1Light-Accent1">
    <w:name w:val="Grid Table 1 Light Accent 1"/>
    <w:basedOn w:val="TableNormal"/>
    <w:uiPriority w:val="46"/>
    <w:rsid w:val="00E6618D"/>
    <w:pPr>
      <w:spacing w:before="0" w:after="0"/>
    </w:pPr>
    <w:rPr>
      <w:rFonts w:eastAsiaTheme="minorHAnsi"/>
      <w:kern w:val="2"/>
      <w:sz w:val="24"/>
      <w:szCs w:val="24"/>
      <w:lang w:val="en-GB" w:eastAsia="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E6618D"/>
    <w:rPr>
      <w:color w:val="800080" w:themeColor="followedHyperlink"/>
      <w:u w:val="single"/>
    </w:rPr>
  </w:style>
  <w:style w:type="character" w:styleId="UnresolvedMention">
    <w:name w:val="Unresolved Mention"/>
    <w:basedOn w:val="DefaultParagraphFont"/>
    <w:uiPriority w:val="99"/>
    <w:semiHidden/>
    <w:unhideWhenUsed/>
    <w:rsid w:val="00D956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63">
      <w:bodyDiv w:val="1"/>
      <w:marLeft w:val="0"/>
      <w:marRight w:val="0"/>
      <w:marTop w:val="0"/>
      <w:marBottom w:val="0"/>
      <w:divBdr>
        <w:top w:val="none" w:sz="0" w:space="0" w:color="auto"/>
        <w:left w:val="none" w:sz="0" w:space="0" w:color="auto"/>
        <w:bottom w:val="none" w:sz="0" w:space="0" w:color="auto"/>
        <w:right w:val="none" w:sz="0" w:space="0" w:color="auto"/>
      </w:divBdr>
    </w:div>
    <w:div w:id="633951052">
      <w:bodyDiv w:val="1"/>
      <w:marLeft w:val="0"/>
      <w:marRight w:val="0"/>
      <w:marTop w:val="0"/>
      <w:marBottom w:val="0"/>
      <w:divBdr>
        <w:top w:val="none" w:sz="0" w:space="0" w:color="auto"/>
        <w:left w:val="none" w:sz="0" w:space="0" w:color="auto"/>
        <w:bottom w:val="none" w:sz="0" w:space="0" w:color="auto"/>
        <w:right w:val="none" w:sz="0" w:space="0" w:color="auto"/>
      </w:divBdr>
    </w:div>
    <w:div w:id="149784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delinastanciu/Library/Containers/com.microsoft.Word/Data/Library/Application%20Support/Microsoft/Office/16.0/DTS/Search/%7b8DAE29B6-5E80-7E45-9389-2DEAFCB6B2AE%7dtf16392541_win32.dotx" TargetMode="External"/></Relationships>
</file>

<file path=word/theme/theme1.xml><?xml version="1.0" encoding="utf-8"?>
<a:theme xmlns:a="http://schemas.openxmlformats.org/drawingml/2006/main" name="Job Description Form">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6">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University of Wales Trinity Saint David</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272412-685D-FB4D-9B69-70C55DBFA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form.dotx</Template>
  <TotalTime>40</TotalTime>
  <Pages>12</Pages>
  <Words>3505</Words>
  <Characters>19985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Assignment 2</dc:subject>
  <dc:creator>Ionut Agrigoroaei (2247225)</dc:creator>
  <cp:keywords/>
  <dc:description/>
  <cp:lastModifiedBy>Adelina Gabriela Stanciu (2245080)</cp:lastModifiedBy>
  <cp:revision>5</cp:revision>
  <dcterms:created xsi:type="dcterms:W3CDTF">2025-12-25T23:29:00Z</dcterms:created>
  <dcterms:modified xsi:type="dcterms:W3CDTF">2025-12-26T14:02:00Z</dcterms:modified>
  <cp:category>Principles of Human Resource Management (LCBB5012)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