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B021FC" w14:textId="1ED7B8AB" w:rsidR="005070D9" w:rsidRDefault="00573EC3" w:rsidP="5A80D414">
      <w:r w:rsidRPr="5A80D414">
        <w:rPr>
          <w:sz w:val="56"/>
          <w:szCs w:val="56"/>
        </w:rPr>
        <w:t>Strategic Growth and Competitive Positioning in the UK Telecommunications Market</w:t>
      </w:r>
    </w:p>
    <w:p w14:paraId="4FA7A628" w14:textId="1CF6D88D" w:rsidR="5A80D414" w:rsidRDefault="5A80D414" w:rsidP="5A80D414">
      <w:pPr>
        <w:rPr>
          <w:sz w:val="56"/>
          <w:szCs w:val="56"/>
        </w:rPr>
      </w:pPr>
    </w:p>
    <w:p w14:paraId="1481906E" w14:textId="77777777" w:rsidR="005070D9" w:rsidRDefault="00573EC3" w:rsidP="5A80D414">
      <w:r w:rsidRPr="5A80D414">
        <w:rPr>
          <w:sz w:val="56"/>
          <w:szCs w:val="56"/>
        </w:rPr>
        <w:t>VodafoneThree Strategic Analysis Report</w:t>
      </w:r>
    </w:p>
    <w:p w14:paraId="24DAB33B" w14:textId="459F42D4" w:rsidR="5A80D414" w:rsidRDefault="5A80D414" w:rsidP="5A80D414">
      <w:pPr>
        <w:rPr>
          <w:sz w:val="56"/>
          <w:szCs w:val="56"/>
        </w:rPr>
      </w:pPr>
    </w:p>
    <w:p w14:paraId="339BEB89" w14:textId="67FE5397" w:rsidR="005070D9" w:rsidRDefault="00573EC3" w:rsidP="5A80D414">
      <w:r w:rsidRPr="5A80D414">
        <w:rPr>
          <w:sz w:val="56"/>
          <w:szCs w:val="56"/>
        </w:rPr>
        <w:t>Module: LCLM6001</w:t>
      </w:r>
    </w:p>
    <w:p w14:paraId="3C885FA9" w14:textId="46F99F4B" w:rsidR="005070D9" w:rsidRDefault="005070D9" w:rsidP="5A80D414">
      <w:pPr>
        <w:rPr>
          <w:sz w:val="56"/>
          <w:szCs w:val="56"/>
        </w:rPr>
      </w:pPr>
    </w:p>
    <w:p w14:paraId="7E2E35A7" w14:textId="572C34CA" w:rsidR="005070D9" w:rsidRDefault="00573EC3" w:rsidP="5A80D414">
      <w:r w:rsidRPr="5A80D414">
        <w:rPr>
          <w:sz w:val="56"/>
          <w:szCs w:val="56"/>
        </w:rPr>
        <w:t>University: University of Wales Trinity Saint David (UWTSD)</w:t>
      </w:r>
    </w:p>
    <w:p w14:paraId="436D6582" w14:textId="20739574" w:rsidR="005070D9" w:rsidRDefault="005070D9" w:rsidP="5A80D414">
      <w:pPr>
        <w:rPr>
          <w:sz w:val="56"/>
          <w:szCs w:val="56"/>
        </w:rPr>
      </w:pPr>
    </w:p>
    <w:p w14:paraId="4DCD483F" w14:textId="2380B180" w:rsidR="005070D9" w:rsidRDefault="00573EC3" w:rsidP="5A80D414">
      <w:pPr>
        <w:rPr>
          <w:sz w:val="56"/>
          <w:szCs w:val="56"/>
        </w:rPr>
      </w:pPr>
      <w:r w:rsidRPr="5A80D414">
        <w:rPr>
          <w:sz w:val="56"/>
          <w:szCs w:val="56"/>
        </w:rPr>
        <w:t>Student name: Ousman Bobb</w:t>
      </w:r>
    </w:p>
    <w:p w14:paraId="1BD2AF6B" w14:textId="77777777" w:rsidR="005070D9" w:rsidRDefault="00573EC3">
      <w:r>
        <w:br w:type="page"/>
      </w:r>
    </w:p>
    <w:p w14:paraId="7CA06BF7" w14:textId="77777777" w:rsidR="005070D9" w:rsidRDefault="00573EC3">
      <w:pPr>
        <w:pStyle w:val="Heading1"/>
      </w:pPr>
      <w:bookmarkStart w:id="0" w:name="_Toc1326772742"/>
      <w:r>
        <w:t>Table of Contents</w:t>
      </w:r>
      <w:bookmarkEnd w:id="0"/>
    </w:p>
    <w:sdt>
      <w:sdtPr>
        <w:id w:val="753013617"/>
        <w:docPartObj>
          <w:docPartGallery w:val="Table of Contents"/>
          <w:docPartUnique/>
        </w:docPartObj>
      </w:sdtPr>
      <w:sdtContent>
        <w:p w14:paraId="6AE518FE" w14:textId="0AA50434" w:rsidR="5A80D414" w:rsidRDefault="5A80D414" w:rsidP="5A80D414">
          <w:pPr>
            <w:pStyle w:val="TOC1"/>
            <w:tabs>
              <w:tab w:val="right" w:leader="dot" w:pos="9015"/>
            </w:tabs>
            <w:rPr>
              <w:rStyle w:val="Hyperlink"/>
            </w:rPr>
          </w:pPr>
          <w:r>
            <w:fldChar w:fldCharType="begin"/>
          </w:r>
          <w:r>
            <w:instrText>TOC \o \z \u \h</w:instrText>
          </w:r>
          <w:r>
            <w:fldChar w:fldCharType="separate"/>
          </w:r>
          <w:hyperlink w:anchor="_Toc1326772742">
            <w:r w:rsidRPr="5A80D414">
              <w:rPr>
                <w:rStyle w:val="Hyperlink"/>
              </w:rPr>
              <w:t>Table of Contents</w:t>
            </w:r>
            <w:r>
              <w:tab/>
            </w:r>
            <w:r>
              <w:fldChar w:fldCharType="begin"/>
            </w:r>
            <w:r>
              <w:instrText>PAGEREF _Toc1326772742 \h</w:instrText>
            </w:r>
            <w:r>
              <w:fldChar w:fldCharType="separate"/>
            </w:r>
            <w:r w:rsidRPr="5A80D414">
              <w:rPr>
                <w:rStyle w:val="Hyperlink"/>
              </w:rPr>
              <w:t>1</w:t>
            </w:r>
            <w:r>
              <w:fldChar w:fldCharType="end"/>
            </w:r>
          </w:hyperlink>
        </w:p>
        <w:p w14:paraId="29962E5E" w14:textId="6592C2CD" w:rsidR="5A80D414" w:rsidRDefault="5A80D414" w:rsidP="5A80D414">
          <w:pPr>
            <w:pStyle w:val="TOC1"/>
            <w:tabs>
              <w:tab w:val="right" w:leader="dot" w:pos="9015"/>
            </w:tabs>
            <w:rPr>
              <w:rStyle w:val="Hyperlink"/>
            </w:rPr>
          </w:pPr>
          <w:hyperlink w:anchor="_Toc657440090">
            <w:r w:rsidRPr="5A80D414">
              <w:rPr>
                <w:rStyle w:val="Hyperlink"/>
              </w:rPr>
              <w:t>Executive Summary</w:t>
            </w:r>
            <w:r>
              <w:tab/>
            </w:r>
            <w:r>
              <w:fldChar w:fldCharType="begin"/>
            </w:r>
            <w:r>
              <w:instrText>PAGEREF _Toc657440090 \h</w:instrText>
            </w:r>
            <w:r>
              <w:fldChar w:fldCharType="separate"/>
            </w:r>
            <w:r w:rsidRPr="5A80D414">
              <w:rPr>
                <w:rStyle w:val="Hyperlink"/>
              </w:rPr>
              <w:t>2</w:t>
            </w:r>
            <w:r>
              <w:fldChar w:fldCharType="end"/>
            </w:r>
          </w:hyperlink>
        </w:p>
        <w:p w14:paraId="6FB03BBA" w14:textId="240A0657" w:rsidR="5A80D414" w:rsidRDefault="5A80D414" w:rsidP="5A80D414">
          <w:pPr>
            <w:pStyle w:val="TOC1"/>
            <w:tabs>
              <w:tab w:val="right" w:leader="dot" w:pos="9015"/>
            </w:tabs>
            <w:rPr>
              <w:rStyle w:val="Hyperlink"/>
            </w:rPr>
          </w:pPr>
          <w:hyperlink w:anchor="_Toc2010138307">
            <w:r w:rsidRPr="5A80D414">
              <w:rPr>
                <w:rStyle w:val="Hyperlink"/>
              </w:rPr>
              <w:t>1. Introduction: Context and Strategic Imperative</w:t>
            </w:r>
            <w:r>
              <w:tab/>
            </w:r>
            <w:r>
              <w:fldChar w:fldCharType="begin"/>
            </w:r>
            <w:r>
              <w:instrText>PAGEREF _Toc2010138307 \h</w:instrText>
            </w:r>
            <w:r>
              <w:fldChar w:fldCharType="separate"/>
            </w:r>
            <w:r w:rsidRPr="5A80D414">
              <w:rPr>
                <w:rStyle w:val="Hyperlink"/>
              </w:rPr>
              <w:t>3</w:t>
            </w:r>
            <w:r>
              <w:fldChar w:fldCharType="end"/>
            </w:r>
          </w:hyperlink>
        </w:p>
        <w:p w14:paraId="4242CCD8" w14:textId="750143EC" w:rsidR="5A80D414" w:rsidRDefault="5A80D414" w:rsidP="5A80D414">
          <w:pPr>
            <w:pStyle w:val="TOC1"/>
            <w:tabs>
              <w:tab w:val="right" w:leader="dot" w:pos="9015"/>
            </w:tabs>
            <w:rPr>
              <w:rStyle w:val="Hyperlink"/>
            </w:rPr>
          </w:pPr>
          <w:hyperlink w:anchor="_Toc984335309">
            <w:r w:rsidRPr="5A80D414">
              <w:rPr>
                <w:rStyle w:val="Hyperlink"/>
              </w:rPr>
              <w:t>2. Evaluation of the Current Market Situation</w:t>
            </w:r>
            <w:r>
              <w:tab/>
            </w:r>
            <w:r>
              <w:fldChar w:fldCharType="begin"/>
            </w:r>
            <w:r>
              <w:instrText>PAGEREF _Toc984335309 \h</w:instrText>
            </w:r>
            <w:r>
              <w:fldChar w:fldCharType="separate"/>
            </w:r>
            <w:r w:rsidRPr="5A80D414">
              <w:rPr>
                <w:rStyle w:val="Hyperlink"/>
              </w:rPr>
              <w:t>4</w:t>
            </w:r>
            <w:r>
              <w:fldChar w:fldCharType="end"/>
            </w:r>
          </w:hyperlink>
        </w:p>
        <w:p w14:paraId="629E68DC" w14:textId="1EF76C64" w:rsidR="5A80D414" w:rsidRDefault="5A80D414" w:rsidP="5A80D414">
          <w:pPr>
            <w:pStyle w:val="TOC2"/>
            <w:tabs>
              <w:tab w:val="right" w:leader="dot" w:pos="9015"/>
            </w:tabs>
            <w:rPr>
              <w:rStyle w:val="Hyperlink"/>
            </w:rPr>
          </w:pPr>
          <w:hyperlink w:anchor="_Toc37176111">
            <w:r w:rsidRPr="5A80D414">
              <w:rPr>
                <w:rStyle w:val="Hyperlink"/>
              </w:rPr>
              <w:t>2.1 SWOT Analysis</w:t>
            </w:r>
            <w:r>
              <w:tab/>
            </w:r>
            <w:r>
              <w:fldChar w:fldCharType="begin"/>
            </w:r>
            <w:r>
              <w:instrText>PAGEREF _Toc37176111 \h</w:instrText>
            </w:r>
            <w:r>
              <w:fldChar w:fldCharType="separate"/>
            </w:r>
            <w:r w:rsidRPr="5A80D414">
              <w:rPr>
                <w:rStyle w:val="Hyperlink"/>
              </w:rPr>
              <w:t>4</w:t>
            </w:r>
            <w:r>
              <w:fldChar w:fldCharType="end"/>
            </w:r>
          </w:hyperlink>
        </w:p>
        <w:p w14:paraId="26272089" w14:textId="1F045B03" w:rsidR="5A80D414" w:rsidRDefault="5A80D414" w:rsidP="5A80D414">
          <w:pPr>
            <w:pStyle w:val="TOC2"/>
            <w:tabs>
              <w:tab w:val="right" w:leader="dot" w:pos="9015"/>
            </w:tabs>
            <w:rPr>
              <w:rStyle w:val="Hyperlink"/>
            </w:rPr>
          </w:pPr>
          <w:hyperlink w:anchor="_Toc2060022522">
            <w:r w:rsidRPr="5A80D414">
              <w:rPr>
                <w:rStyle w:val="Hyperlink"/>
              </w:rPr>
              <w:t>2.2 PESTEL Analysis</w:t>
            </w:r>
            <w:r>
              <w:tab/>
            </w:r>
            <w:r>
              <w:fldChar w:fldCharType="begin"/>
            </w:r>
            <w:r>
              <w:instrText>PAGEREF _Toc2060022522 \h</w:instrText>
            </w:r>
            <w:r>
              <w:fldChar w:fldCharType="separate"/>
            </w:r>
            <w:r w:rsidRPr="5A80D414">
              <w:rPr>
                <w:rStyle w:val="Hyperlink"/>
              </w:rPr>
              <w:t>5</w:t>
            </w:r>
            <w:r>
              <w:fldChar w:fldCharType="end"/>
            </w:r>
          </w:hyperlink>
        </w:p>
        <w:p w14:paraId="2BF866A9" w14:textId="0D6A51AC" w:rsidR="5A80D414" w:rsidRDefault="5A80D414" w:rsidP="5A80D414">
          <w:pPr>
            <w:pStyle w:val="TOC2"/>
            <w:tabs>
              <w:tab w:val="right" w:leader="dot" w:pos="9015"/>
            </w:tabs>
            <w:rPr>
              <w:rStyle w:val="Hyperlink"/>
            </w:rPr>
          </w:pPr>
          <w:hyperlink w:anchor="_Toc829369411">
            <w:r w:rsidRPr="5A80D414">
              <w:rPr>
                <w:rStyle w:val="Hyperlink"/>
              </w:rPr>
              <w:t>2.3 Porter's Five Forces Analysis</w:t>
            </w:r>
            <w:r>
              <w:tab/>
            </w:r>
            <w:r>
              <w:fldChar w:fldCharType="begin"/>
            </w:r>
            <w:r>
              <w:instrText>PAGEREF _Toc829369411 \h</w:instrText>
            </w:r>
            <w:r>
              <w:fldChar w:fldCharType="separate"/>
            </w:r>
            <w:r w:rsidRPr="5A80D414">
              <w:rPr>
                <w:rStyle w:val="Hyperlink"/>
              </w:rPr>
              <w:t>6</w:t>
            </w:r>
            <w:r>
              <w:fldChar w:fldCharType="end"/>
            </w:r>
          </w:hyperlink>
        </w:p>
        <w:p w14:paraId="7022B7DF" w14:textId="277202A2" w:rsidR="5A80D414" w:rsidRDefault="5A80D414" w:rsidP="5A80D414">
          <w:pPr>
            <w:pStyle w:val="TOC1"/>
            <w:tabs>
              <w:tab w:val="right" w:leader="dot" w:pos="9015"/>
            </w:tabs>
            <w:rPr>
              <w:rStyle w:val="Hyperlink"/>
            </w:rPr>
          </w:pPr>
          <w:hyperlink w:anchor="_Toc1623486299">
            <w:r w:rsidRPr="5A80D414">
              <w:rPr>
                <w:rStyle w:val="Hyperlink"/>
              </w:rPr>
              <w:t>3. Strategic Growth Options and Proposed Strategy</w:t>
            </w:r>
            <w:r>
              <w:tab/>
            </w:r>
            <w:r>
              <w:fldChar w:fldCharType="begin"/>
            </w:r>
            <w:r>
              <w:instrText>PAGEREF _Toc1623486299 \h</w:instrText>
            </w:r>
            <w:r>
              <w:fldChar w:fldCharType="separate"/>
            </w:r>
            <w:r w:rsidRPr="5A80D414">
              <w:rPr>
                <w:rStyle w:val="Hyperlink"/>
              </w:rPr>
              <w:t>6</w:t>
            </w:r>
            <w:r>
              <w:fldChar w:fldCharType="end"/>
            </w:r>
          </w:hyperlink>
        </w:p>
        <w:p w14:paraId="672DA474" w14:textId="539C9205" w:rsidR="5A80D414" w:rsidRDefault="5A80D414" w:rsidP="5A80D414">
          <w:pPr>
            <w:pStyle w:val="TOC2"/>
            <w:tabs>
              <w:tab w:val="right" w:leader="dot" w:pos="9015"/>
            </w:tabs>
            <w:rPr>
              <w:rStyle w:val="Hyperlink"/>
            </w:rPr>
          </w:pPr>
          <w:hyperlink w:anchor="_Toc1651869037">
            <w:r w:rsidRPr="5A80D414">
              <w:rPr>
                <w:rStyle w:val="Hyperlink"/>
              </w:rPr>
              <w:t>3.1 Strategic Options: Ansoff Matrix</w:t>
            </w:r>
            <w:r>
              <w:tab/>
            </w:r>
            <w:r>
              <w:fldChar w:fldCharType="begin"/>
            </w:r>
            <w:r>
              <w:instrText>PAGEREF _Toc1651869037 \h</w:instrText>
            </w:r>
            <w:r>
              <w:fldChar w:fldCharType="separate"/>
            </w:r>
            <w:r w:rsidRPr="5A80D414">
              <w:rPr>
                <w:rStyle w:val="Hyperlink"/>
              </w:rPr>
              <w:t>6</w:t>
            </w:r>
            <w:r>
              <w:fldChar w:fldCharType="end"/>
            </w:r>
          </w:hyperlink>
        </w:p>
        <w:p w14:paraId="05CB339E" w14:textId="2749542C" w:rsidR="5A80D414" w:rsidRDefault="5A80D414" w:rsidP="5A80D414">
          <w:pPr>
            <w:pStyle w:val="TOC2"/>
            <w:tabs>
              <w:tab w:val="right" w:leader="dot" w:pos="9015"/>
            </w:tabs>
            <w:rPr>
              <w:rStyle w:val="Hyperlink"/>
            </w:rPr>
          </w:pPr>
          <w:hyperlink w:anchor="_Toc815200182">
            <w:r w:rsidRPr="5A80D414">
              <w:rPr>
                <w:rStyle w:val="Hyperlink"/>
              </w:rPr>
              <w:t>3.2 Recommended Strategy: Focused Market and Product Development</w:t>
            </w:r>
            <w:r>
              <w:tab/>
            </w:r>
            <w:r>
              <w:fldChar w:fldCharType="begin"/>
            </w:r>
            <w:r>
              <w:instrText>PAGEREF _Toc815200182 \h</w:instrText>
            </w:r>
            <w:r>
              <w:fldChar w:fldCharType="separate"/>
            </w:r>
            <w:r w:rsidRPr="5A80D414">
              <w:rPr>
                <w:rStyle w:val="Hyperlink"/>
              </w:rPr>
              <w:t>7</w:t>
            </w:r>
            <w:r>
              <w:fldChar w:fldCharType="end"/>
            </w:r>
          </w:hyperlink>
        </w:p>
        <w:p w14:paraId="5EB90E0C" w14:textId="33C99D89" w:rsidR="5A80D414" w:rsidRDefault="5A80D414" w:rsidP="5A80D414">
          <w:pPr>
            <w:pStyle w:val="TOC2"/>
            <w:tabs>
              <w:tab w:val="right" w:leader="dot" w:pos="9015"/>
            </w:tabs>
            <w:rPr>
              <w:rStyle w:val="Hyperlink"/>
            </w:rPr>
          </w:pPr>
          <w:hyperlink w:anchor="_Toc1479398379">
            <w:r w:rsidRPr="5A80D414">
              <w:rPr>
                <w:rStyle w:val="Hyperlink"/>
              </w:rPr>
              <w:t>3.3 Porter's Generic Strategy: Differentiation</w:t>
            </w:r>
            <w:r>
              <w:tab/>
            </w:r>
            <w:r>
              <w:fldChar w:fldCharType="begin"/>
            </w:r>
            <w:r>
              <w:instrText>PAGEREF _Toc1479398379 \h</w:instrText>
            </w:r>
            <w:r>
              <w:fldChar w:fldCharType="separate"/>
            </w:r>
            <w:r w:rsidRPr="5A80D414">
              <w:rPr>
                <w:rStyle w:val="Hyperlink"/>
              </w:rPr>
              <w:t>7</w:t>
            </w:r>
            <w:r>
              <w:fldChar w:fldCharType="end"/>
            </w:r>
          </w:hyperlink>
        </w:p>
        <w:p w14:paraId="61488C49" w14:textId="3C56CED9" w:rsidR="5A80D414" w:rsidRDefault="5A80D414" w:rsidP="5A80D414">
          <w:pPr>
            <w:pStyle w:val="TOC1"/>
            <w:tabs>
              <w:tab w:val="right" w:leader="dot" w:pos="9015"/>
            </w:tabs>
            <w:rPr>
              <w:rStyle w:val="Hyperlink"/>
            </w:rPr>
          </w:pPr>
          <w:hyperlink w:anchor="_Toc1835366247">
            <w:r w:rsidRPr="5A80D414">
              <w:rPr>
                <w:rStyle w:val="Hyperlink"/>
              </w:rPr>
              <w:t>4. Strategy Evaluation: SFA Framework</w:t>
            </w:r>
            <w:r>
              <w:tab/>
            </w:r>
            <w:r>
              <w:fldChar w:fldCharType="begin"/>
            </w:r>
            <w:r>
              <w:instrText>PAGEREF _Toc1835366247 \h</w:instrText>
            </w:r>
            <w:r>
              <w:fldChar w:fldCharType="separate"/>
            </w:r>
            <w:r w:rsidRPr="5A80D414">
              <w:rPr>
                <w:rStyle w:val="Hyperlink"/>
              </w:rPr>
              <w:t>8</w:t>
            </w:r>
            <w:r>
              <w:fldChar w:fldCharType="end"/>
            </w:r>
          </w:hyperlink>
        </w:p>
        <w:p w14:paraId="3865D6AC" w14:textId="5042DF41" w:rsidR="5A80D414" w:rsidRDefault="5A80D414" w:rsidP="5A80D414">
          <w:pPr>
            <w:pStyle w:val="TOC2"/>
            <w:tabs>
              <w:tab w:val="right" w:leader="dot" w:pos="9015"/>
            </w:tabs>
            <w:rPr>
              <w:rStyle w:val="Hyperlink"/>
            </w:rPr>
          </w:pPr>
          <w:hyperlink w:anchor="_Toc1473054653">
            <w:r w:rsidRPr="5A80D414">
              <w:rPr>
                <w:rStyle w:val="Hyperlink"/>
              </w:rPr>
              <w:t>Assumptions</w:t>
            </w:r>
            <w:r>
              <w:tab/>
            </w:r>
            <w:r>
              <w:fldChar w:fldCharType="begin"/>
            </w:r>
            <w:r>
              <w:instrText>PAGEREF _Toc1473054653 \h</w:instrText>
            </w:r>
            <w:r>
              <w:fldChar w:fldCharType="separate"/>
            </w:r>
            <w:r w:rsidRPr="5A80D414">
              <w:rPr>
                <w:rStyle w:val="Hyperlink"/>
              </w:rPr>
              <w:t>8</w:t>
            </w:r>
            <w:r>
              <w:fldChar w:fldCharType="end"/>
            </w:r>
          </w:hyperlink>
        </w:p>
        <w:p w14:paraId="3A571FA0" w14:textId="341119FD" w:rsidR="5A80D414" w:rsidRDefault="5A80D414" w:rsidP="5A80D414">
          <w:pPr>
            <w:pStyle w:val="TOC2"/>
            <w:tabs>
              <w:tab w:val="right" w:leader="dot" w:pos="9015"/>
            </w:tabs>
            <w:rPr>
              <w:rStyle w:val="Hyperlink"/>
            </w:rPr>
          </w:pPr>
          <w:hyperlink w:anchor="_Toc487725004">
            <w:r w:rsidRPr="5A80D414">
              <w:rPr>
                <w:rStyle w:val="Hyperlink"/>
              </w:rPr>
              <w:t>Suitability</w:t>
            </w:r>
            <w:r>
              <w:tab/>
            </w:r>
            <w:r>
              <w:fldChar w:fldCharType="begin"/>
            </w:r>
            <w:r>
              <w:instrText>PAGEREF _Toc487725004 \h</w:instrText>
            </w:r>
            <w:r>
              <w:fldChar w:fldCharType="separate"/>
            </w:r>
            <w:r w:rsidRPr="5A80D414">
              <w:rPr>
                <w:rStyle w:val="Hyperlink"/>
              </w:rPr>
              <w:t>8</w:t>
            </w:r>
            <w:r>
              <w:fldChar w:fldCharType="end"/>
            </w:r>
          </w:hyperlink>
        </w:p>
        <w:p w14:paraId="70E56691" w14:textId="42011AD8" w:rsidR="5A80D414" w:rsidRDefault="5A80D414" w:rsidP="5A80D414">
          <w:pPr>
            <w:pStyle w:val="TOC2"/>
            <w:tabs>
              <w:tab w:val="right" w:leader="dot" w:pos="9015"/>
            </w:tabs>
            <w:rPr>
              <w:rStyle w:val="Hyperlink"/>
            </w:rPr>
          </w:pPr>
          <w:hyperlink w:anchor="_Toc749719580">
            <w:r w:rsidRPr="5A80D414">
              <w:rPr>
                <w:rStyle w:val="Hyperlink"/>
              </w:rPr>
              <w:t>Feasibility</w:t>
            </w:r>
            <w:r>
              <w:tab/>
            </w:r>
            <w:r>
              <w:fldChar w:fldCharType="begin"/>
            </w:r>
            <w:r>
              <w:instrText>PAGEREF _Toc749719580 \h</w:instrText>
            </w:r>
            <w:r>
              <w:fldChar w:fldCharType="separate"/>
            </w:r>
            <w:r w:rsidRPr="5A80D414">
              <w:rPr>
                <w:rStyle w:val="Hyperlink"/>
              </w:rPr>
              <w:t>8</w:t>
            </w:r>
            <w:r>
              <w:fldChar w:fldCharType="end"/>
            </w:r>
          </w:hyperlink>
        </w:p>
        <w:p w14:paraId="55E3F7AC" w14:textId="11F32B01" w:rsidR="5A80D414" w:rsidRDefault="5A80D414" w:rsidP="5A80D414">
          <w:pPr>
            <w:pStyle w:val="TOC2"/>
            <w:tabs>
              <w:tab w:val="right" w:leader="dot" w:pos="9015"/>
            </w:tabs>
            <w:rPr>
              <w:rStyle w:val="Hyperlink"/>
            </w:rPr>
          </w:pPr>
          <w:hyperlink w:anchor="_Toc1237896762">
            <w:r w:rsidRPr="5A80D414">
              <w:rPr>
                <w:rStyle w:val="Hyperlink"/>
              </w:rPr>
              <w:t>Acceptability</w:t>
            </w:r>
            <w:r>
              <w:tab/>
            </w:r>
            <w:r>
              <w:fldChar w:fldCharType="begin"/>
            </w:r>
            <w:r>
              <w:instrText>PAGEREF _Toc1237896762 \h</w:instrText>
            </w:r>
            <w:r>
              <w:fldChar w:fldCharType="separate"/>
            </w:r>
            <w:r w:rsidRPr="5A80D414">
              <w:rPr>
                <w:rStyle w:val="Hyperlink"/>
              </w:rPr>
              <w:t>8</w:t>
            </w:r>
            <w:r>
              <w:fldChar w:fldCharType="end"/>
            </w:r>
          </w:hyperlink>
        </w:p>
        <w:p w14:paraId="6529E148" w14:textId="1946EA9C" w:rsidR="5A80D414" w:rsidRDefault="5A80D414" w:rsidP="5A80D414">
          <w:pPr>
            <w:pStyle w:val="TOC1"/>
            <w:tabs>
              <w:tab w:val="right" w:leader="dot" w:pos="9015"/>
            </w:tabs>
            <w:rPr>
              <w:rStyle w:val="Hyperlink"/>
            </w:rPr>
          </w:pPr>
          <w:hyperlink w:anchor="_Toc747127073">
            <w:r w:rsidRPr="5A80D414">
              <w:rPr>
                <w:rStyle w:val="Hyperlink"/>
              </w:rPr>
              <w:t>5. Stakeholder Analysis and Engagement</w:t>
            </w:r>
            <w:r>
              <w:tab/>
            </w:r>
            <w:r>
              <w:fldChar w:fldCharType="begin"/>
            </w:r>
            <w:r>
              <w:instrText>PAGEREF _Toc747127073 \h</w:instrText>
            </w:r>
            <w:r>
              <w:fldChar w:fldCharType="separate"/>
            </w:r>
            <w:r w:rsidRPr="5A80D414">
              <w:rPr>
                <w:rStyle w:val="Hyperlink"/>
              </w:rPr>
              <w:t>8</w:t>
            </w:r>
            <w:r>
              <w:fldChar w:fldCharType="end"/>
            </w:r>
          </w:hyperlink>
        </w:p>
        <w:p w14:paraId="3475AD6C" w14:textId="735E37B3" w:rsidR="5A80D414" w:rsidRDefault="5A80D414" w:rsidP="5A80D414">
          <w:pPr>
            <w:pStyle w:val="TOC1"/>
            <w:tabs>
              <w:tab w:val="right" w:leader="dot" w:pos="9015"/>
            </w:tabs>
            <w:rPr>
              <w:rStyle w:val="Hyperlink"/>
            </w:rPr>
          </w:pPr>
          <w:hyperlink w:anchor="_Toc1469576849">
            <w:r w:rsidRPr="5A80D414">
              <w:rPr>
                <w:rStyle w:val="Hyperlink"/>
              </w:rPr>
              <w:t>6. Implementation and Monitoring</w:t>
            </w:r>
            <w:r>
              <w:tab/>
            </w:r>
            <w:r>
              <w:fldChar w:fldCharType="begin"/>
            </w:r>
            <w:r>
              <w:instrText>PAGEREF _Toc1469576849 \h</w:instrText>
            </w:r>
            <w:r>
              <w:fldChar w:fldCharType="separate"/>
            </w:r>
            <w:r w:rsidRPr="5A80D414">
              <w:rPr>
                <w:rStyle w:val="Hyperlink"/>
              </w:rPr>
              <w:t>9</w:t>
            </w:r>
            <w:r>
              <w:fldChar w:fldCharType="end"/>
            </w:r>
          </w:hyperlink>
        </w:p>
        <w:p w14:paraId="7B497A12" w14:textId="6B8A9D93" w:rsidR="5A80D414" w:rsidRDefault="5A80D414" w:rsidP="5A80D414">
          <w:pPr>
            <w:pStyle w:val="TOC1"/>
            <w:tabs>
              <w:tab w:val="right" w:leader="dot" w:pos="9015"/>
            </w:tabs>
            <w:rPr>
              <w:rStyle w:val="Hyperlink"/>
            </w:rPr>
          </w:pPr>
          <w:hyperlink w:anchor="_Toc1747336756">
            <w:r w:rsidRPr="5A80D414">
              <w:rPr>
                <w:rStyle w:val="Hyperlink"/>
              </w:rPr>
              <w:t>7. Conclusion</w:t>
            </w:r>
            <w:r>
              <w:tab/>
            </w:r>
            <w:r>
              <w:fldChar w:fldCharType="begin"/>
            </w:r>
            <w:r>
              <w:instrText>PAGEREF _Toc1747336756 \h</w:instrText>
            </w:r>
            <w:r>
              <w:fldChar w:fldCharType="separate"/>
            </w:r>
            <w:r w:rsidRPr="5A80D414">
              <w:rPr>
                <w:rStyle w:val="Hyperlink"/>
              </w:rPr>
              <w:t>10</w:t>
            </w:r>
            <w:r>
              <w:fldChar w:fldCharType="end"/>
            </w:r>
          </w:hyperlink>
        </w:p>
        <w:p w14:paraId="5221F675" w14:textId="111AF376" w:rsidR="5A80D414" w:rsidRDefault="5A80D414" w:rsidP="5A80D414">
          <w:pPr>
            <w:pStyle w:val="TOC1"/>
            <w:tabs>
              <w:tab w:val="right" w:leader="dot" w:pos="9015"/>
            </w:tabs>
            <w:rPr>
              <w:rStyle w:val="Hyperlink"/>
            </w:rPr>
          </w:pPr>
          <w:hyperlink w:anchor="_Toc1582097275">
            <w:r w:rsidRPr="5A80D414">
              <w:rPr>
                <w:rStyle w:val="Hyperlink"/>
              </w:rPr>
              <w:t>References</w:t>
            </w:r>
            <w:r>
              <w:tab/>
            </w:r>
            <w:r>
              <w:fldChar w:fldCharType="begin"/>
            </w:r>
            <w:r>
              <w:instrText>PAGEREF _Toc1582097275 \h</w:instrText>
            </w:r>
            <w:r>
              <w:fldChar w:fldCharType="separate"/>
            </w:r>
            <w:r w:rsidRPr="5A80D414">
              <w:rPr>
                <w:rStyle w:val="Hyperlink"/>
              </w:rPr>
              <w:t>10</w:t>
            </w:r>
            <w:r>
              <w:fldChar w:fldCharType="end"/>
            </w:r>
          </w:hyperlink>
        </w:p>
        <w:p w14:paraId="41435315" w14:textId="159462CB" w:rsidR="5A80D414" w:rsidRDefault="5A80D414">
          <w:r>
            <w:fldChar w:fldCharType="end"/>
          </w:r>
        </w:p>
      </w:sdtContent>
    </w:sdt>
    <w:p w14:paraId="4CCF4B29" w14:textId="484A6D6C" w:rsidR="597AB5C8" w:rsidRDefault="597AB5C8" w:rsidP="597AB5C8">
      <w:pPr>
        <w:pStyle w:val="Heading1"/>
      </w:pPr>
    </w:p>
    <w:sdt>
      <w:sdtPr>
        <w:alias w:val="Table of Contents"/>
        <w:id w:val="239534650"/>
      </w:sdtPr>
      <w:sdtContent>
        <w:p w14:paraId="315AE99A" w14:textId="77777777" w:rsidR="005070D9" w:rsidRDefault="00573EC3">
          <w:r>
            <w:fldChar w:fldCharType="begin"/>
          </w:r>
          <w:r>
            <w:instrText>TOC \h \o "1-3"</w:instrText>
          </w:r>
          <w:r>
            <w:fldChar w:fldCharType="separate"/>
          </w:r>
        </w:p>
        <w:p w14:paraId="07C090FD" w14:textId="77777777" w:rsidR="005070D9" w:rsidRDefault="00573EC3">
          <w:r>
            <w:fldChar w:fldCharType="end"/>
          </w:r>
        </w:p>
      </w:sdtContent>
    </w:sdt>
    <w:p w14:paraId="32C34451" w14:textId="5F10AEB3" w:rsidR="005070D9" w:rsidRDefault="00573EC3">
      <w:pPr>
        <w:pStyle w:val="Heading1"/>
      </w:pPr>
      <w:bookmarkStart w:id="1" w:name="_Toc657440090"/>
      <w:r>
        <w:t>Executive Summary</w:t>
      </w:r>
      <w:bookmarkEnd w:id="1"/>
    </w:p>
    <w:p w14:paraId="08209CAA" w14:textId="77777777" w:rsidR="005070D9" w:rsidRDefault="00573EC3">
      <w:pPr>
        <w:spacing w:after="200" w:line="276" w:lineRule="auto"/>
      </w:pPr>
      <w:r>
        <w:t>The merger of Vodafone UK and Three UK, completed on 31 May 2025, created VodafoneThree, the UK's largest mobile operator by customer base. The business was launched with approximately 27 million customers and subsequently reported a combined mobile base of around 28.8 million (Vodafone Group Plc, 2025b; Vodafone Group Plc, 2025c). Its enlarged spectrum portfolio and £11 billion ten-year investment programme offer a stronger foundation for network development. However, scale does not guarantee superior performance. VodafoneThree must integrate two networks, IT systems and organisational cultures while complying with legally enforceable commitments designed to protect retail customers and mobile virtual network operators (MVNOs).</w:t>
      </w:r>
    </w:p>
    <w:p w14:paraId="6626DE70" w14:textId="77777777" w:rsidR="005070D9" w:rsidRDefault="00573EC3">
      <w:pPr>
        <w:spacing w:after="200" w:line="276" w:lineRule="auto"/>
      </w:pPr>
      <w:r>
        <w:t>SWOT, PESTEL and Porter's Five Forces show that VodafoneThree has substantial resources but operates in a mature, highly competitive and regulated market. Its strongest opportunity lies beyond consumer subscriber growth: improved rural connectivity, private 5G, Internet of Things (IoT), managed cybersecurity and secure cloud connectivity. The recommended direction therefore combines market development with focused product development, supported by broad differentiation. Artificial intelligence should initially improve customer service, fraud detection and network operations rather than become an unfocused standalone business.</w:t>
      </w:r>
    </w:p>
    <w:p w14:paraId="7C306B7A" w14:textId="77777777" w:rsidR="005070D9" w:rsidRDefault="00573EC3">
      <w:pPr>
        <w:spacing w:after="200" w:line="276" w:lineRule="auto"/>
      </w:pPr>
      <w:r>
        <w:t>The Suitability, Feasibility and Acceptability (SFA) evaluation finds the strategy credible but conditional. Success depends on integration discipline, staged investment, enterprise capabilities and demonstrable customer benefits. A three-phase roadmap and balanced KPIs are proposed to monitor network performance, enterprise growth, customer experience, synergy delivery, compliance, workforce outcomes and sustainability.</w:t>
      </w:r>
    </w:p>
    <w:p w14:paraId="6898286B" w14:textId="77777777" w:rsidR="005070D9" w:rsidRDefault="00573EC3">
      <w:pPr>
        <w:pStyle w:val="Heading1"/>
      </w:pPr>
      <w:bookmarkStart w:id="2" w:name="_Toc2010138307"/>
      <w:r>
        <w:t>1. Introduction: Context and Strategic Imperative</w:t>
      </w:r>
      <w:bookmarkEnd w:id="2"/>
    </w:p>
    <w:p w14:paraId="30538FE0" w14:textId="77777777" w:rsidR="005070D9" w:rsidRDefault="00573EC3">
      <w:pPr>
        <w:spacing w:after="200" w:line="276" w:lineRule="auto"/>
      </w:pPr>
      <w:r>
        <w:t>Vodafone Group Plc is a major telecommunications company operating mainly across Europe and Africa. It provides mobile and fixed connectivity alongside enterprise services such as IoT, cloud connectivity and cybersecurity. Its Group strategy centres on customers, simplicity and growth, reflecting efforts to improve service, simplify operations and expand digital revenue (Vodafone Group Plc, 2025a).</w:t>
      </w:r>
    </w:p>
    <w:p w14:paraId="10C359A6" w14:textId="77777777" w:rsidR="005070D9" w:rsidRDefault="00573EC3">
      <w:pPr>
        <w:spacing w:after="200" w:line="276" w:lineRule="auto"/>
      </w:pPr>
      <w:r>
        <w:t>In June 2023, Vodafone and CK Hutchison agreed to combine Vodafone UK and Three UK. Following an extensive investigation, the Competition and Markets Authority (CMA) conditionally approved the transaction in December 2024. Completion followed on 31 May 2025, creating VodafoneThree, initially owned 51% by Vodafone and 49% by CK Hutchison (Competition and Markets Authority, 2024; Vodafone Group Plc, 2025b).</w:t>
      </w:r>
    </w:p>
    <w:p w14:paraId="3152DD8B" w14:textId="77777777" w:rsidR="005070D9" w:rsidRDefault="00573EC3">
      <w:pPr>
        <w:spacing w:after="200" w:line="276" w:lineRule="auto"/>
      </w:pPr>
      <w:r>
        <w:t>The CMA found that the merger could weaken retail and wholesale competition without safeguards. Clearance therefore depended on a legally enforceable Network Commitment and three-year protections covering selected retail tariffs and wholesale terms for MVNOs (Competition and Markets Authority, 2024). This creates a central strategic tension: greater scale may support investment and efficiency, but VodafoneThree must prove that these benefits outweigh the competitive constraint removed by the merger.</w:t>
      </w:r>
    </w:p>
    <w:p w14:paraId="5309E5BA" w14:textId="77777777" w:rsidR="005070D9" w:rsidRDefault="00573EC3">
      <w:pPr>
        <w:spacing w:after="200" w:line="276" w:lineRule="auto"/>
      </w:pPr>
      <w:r>
        <w:t>VodafoneThree plans to invest £11 billion over ten years and expects approximately £700 million in annual cost and capital-expenditure synergies by FY30 (Vodafone Group Plc, 2025b; Vodafone Group Plc, 2026). Its current targets include 99% 5G Standalone (5G SA) population coverage by 2030 and 99.96% by 2034 (VodafoneThree, 2025). In May 2026, Vodafone agreed to acquire CK Hutchison's remaining 49% interest for £4.3 billion. Completion is expected in the second half of 2026, subject to approval under the National Security and Investment Act (Vodafone Group Plc, 2026). Full ownership could simplify governance, but it would also increase Vodafone's leverage and exposure to integration risk.</w:t>
      </w:r>
    </w:p>
    <w:p w14:paraId="3DBEEE4E" w14:textId="77777777" w:rsidR="005070D9" w:rsidRDefault="00573EC3">
      <w:pPr>
        <w:spacing w:after="200" w:line="276" w:lineRule="auto"/>
      </w:pPr>
      <w:r>
        <w:t>The transaction also reflects a wider emphasis on scale and infrastructure across technology, media and telecommunications. PwC (2026) reports that global TMT deal values increased by 48% to US$472 billion during the first five months of 2026, while telecommunications deal values increased by 25% to US$38 billion. These figures do not prove that consolidation creates value; rather, they show that firms are competing for infrastructure, capacity and access to AI-era demand. VodafoneThree must therefore be assessed on realised performance rather than the size of the transaction or investment announcement.</w:t>
      </w:r>
    </w:p>
    <w:p w14:paraId="60C90917" w14:textId="77777777" w:rsidR="005070D9" w:rsidRDefault="00573EC3">
      <w:pPr>
        <w:pStyle w:val="Heading1"/>
      </w:pPr>
      <w:bookmarkStart w:id="3" w:name="_Toc984335309"/>
      <w:r>
        <w:t>2. Evaluation of the Current Market Situation</w:t>
      </w:r>
      <w:bookmarkEnd w:id="3"/>
    </w:p>
    <w:p w14:paraId="1B6EA0A2" w14:textId="77777777" w:rsidR="005070D9" w:rsidRDefault="00573EC3">
      <w:pPr>
        <w:pStyle w:val="Heading2"/>
      </w:pPr>
      <w:bookmarkStart w:id="4" w:name="_Toc37176111"/>
      <w:r>
        <w:t>2.1 SWOT Analysis</w:t>
      </w:r>
      <w:bookmarkEnd w:id="4"/>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500"/>
        <w:gridCol w:w="4500"/>
      </w:tblGrid>
      <w:tr w:rsidR="005070D9" w14:paraId="6C63AB6B" w14:textId="77777777" w:rsidTr="092A9D4F">
        <w:trPr>
          <w:tblHeader/>
        </w:trPr>
        <w:tc>
          <w:tcPr>
            <w:tcW w:w="4500" w:type="dxa"/>
            <w:shd w:val="clear" w:color="auto" w:fill="1F3864"/>
            <w:tcMar>
              <w:top w:w="100" w:type="dxa"/>
              <w:left w:w="100" w:type="dxa"/>
              <w:bottom w:w="100" w:type="dxa"/>
              <w:right w:w="100" w:type="dxa"/>
            </w:tcMar>
          </w:tcPr>
          <w:p w14:paraId="7E152231" w14:textId="77777777" w:rsidR="005070D9" w:rsidRDefault="00573EC3">
            <w:r>
              <w:rPr>
                <w:b/>
                <w:bCs/>
                <w:color w:val="FFFFFF"/>
                <w:sz w:val="20"/>
                <w:szCs w:val="20"/>
              </w:rPr>
              <w:t>Strengths</w:t>
            </w:r>
          </w:p>
        </w:tc>
        <w:tc>
          <w:tcPr>
            <w:tcW w:w="4500" w:type="dxa"/>
            <w:shd w:val="clear" w:color="auto" w:fill="1F3864"/>
            <w:tcMar>
              <w:top w:w="100" w:type="dxa"/>
              <w:left w:w="100" w:type="dxa"/>
              <w:bottom w:w="100" w:type="dxa"/>
              <w:right w:w="100" w:type="dxa"/>
            </w:tcMar>
          </w:tcPr>
          <w:p w14:paraId="0BCDAC9D" w14:textId="77777777" w:rsidR="005070D9" w:rsidRDefault="00573EC3">
            <w:r>
              <w:rPr>
                <w:b/>
                <w:bCs/>
                <w:color w:val="FFFFFF"/>
                <w:sz w:val="20"/>
                <w:szCs w:val="20"/>
              </w:rPr>
              <w:t>Weaknesses</w:t>
            </w:r>
          </w:p>
        </w:tc>
      </w:tr>
      <w:tr w:rsidR="005070D9" w14:paraId="78FB0447" w14:textId="77777777" w:rsidTr="092A9D4F">
        <w:tc>
          <w:tcPr>
            <w:tcW w:w="4500" w:type="dxa"/>
            <w:tcMar>
              <w:top w:w="100" w:type="dxa"/>
              <w:left w:w="100" w:type="dxa"/>
              <w:bottom w:w="100" w:type="dxa"/>
              <w:right w:w="100" w:type="dxa"/>
            </w:tcMar>
          </w:tcPr>
          <w:p w14:paraId="46B42467" w14:textId="77777777" w:rsidR="005070D9" w:rsidRDefault="00573EC3">
            <w:pPr>
              <w:spacing w:after="80"/>
            </w:pPr>
            <w:r>
              <w:rPr>
                <w:color w:val="000000"/>
                <w:sz w:val="20"/>
                <w:szCs w:val="20"/>
              </w:rPr>
              <w:t>Largest UK mobile operator by customer base, providing greater scale for network investment and procurement (Vodafone Group Plc, 2025c)</w:t>
            </w:r>
          </w:p>
          <w:p w14:paraId="07E558EA" w14:textId="77777777" w:rsidR="005070D9" w:rsidRDefault="00573EC3">
            <w:pPr>
              <w:spacing w:after="80"/>
            </w:pPr>
            <w:r>
              <w:rPr>
                <w:color w:val="000000"/>
                <w:sz w:val="20"/>
                <w:szCs w:val="20"/>
              </w:rPr>
              <w:t>Combined spectrum and infrastructure can improve capacity and reduce duplicated expenditure</w:t>
            </w:r>
          </w:p>
          <w:p w14:paraId="0490C627" w14:textId="77777777" w:rsidR="005070D9" w:rsidRDefault="00573EC3">
            <w:pPr>
              <w:spacing w:after="80"/>
            </w:pPr>
            <w:r>
              <w:rPr>
                <w:color w:val="000000"/>
                <w:sz w:val="20"/>
                <w:szCs w:val="20"/>
              </w:rPr>
              <w:t>£11 billion investment plan and targets of 99% 5G SA coverage by 2030 and 99.96% by 2034 (VodafoneThree, 2025)</w:t>
            </w:r>
          </w:p>
          <w:p w14:paraId="410E8209" w14:textId="77777777" w:rsidR="005070D9" w:rsidRDefault="00573EC3">
            <w:r>
              <w:rPr>
                <w:color w:val="000000"/>
                <w:sz w:val="20"/>
                <w:szCs w:val="20"/>
              </w:rPr>
              <w:t>Vodafone contributes international enterprise, IoT, cybersecurity and cloud-connectivity capabilities (Vodafone Group Plc, 2025a)</w:t>
            </w:r>
          </w:p>
        </w:tc>
        <w:tc>
          <w:tcPr>
            <w:tcW w:w="4500" w:type="dxa"/>
            <w:tcMar>
              <w:top w:w="100" w:type="dxa"/>
              <w:left w:w="100" w:type="dxa"/>
              <w:bottom w:w="100" w:type="dxa"/>
              <w:right w:w="100" w:type="dxa"/>
            </w:tcMar>
          </w:tcPr>
          <w:p w14:paraId="649F7220" w14:textId="77777777" w:rsidR="005070D9" w:rsidRDefault="00573EC3">
            <w:pPr>
              <w:spacing w:after="80"/>
            </w:pPr>
            <w:r w:rsidRPr="092A9D4F">
              <w:rPr>
                <w:color w:val="000000" w:themeColor="text1"/>
                <w:sz w:val="20"/>
                <w:szCs w:val="20"/>
              </w:rPr>
              <w:t xml:space="preserve">Complex integration of networks, billing platforms, data, </w:t>
            </w:r>
            <w:bookmarkStart w:id="5" w:name="_Int_6WC511Nc"/>
            <w:r w:rsidRPr="092A9D4F">
              <w:rPr>
                <w:color w:val="000000" w:themeColor="text1"/>
                <w:sz w:val="20"/>
                <w:szCs w:val="20"/>
              </w:rPr>
              <w:t>processes</w:t>
            </w:r>
            <w:bookmarkEnd w:id="5"/>
            <w:r w:rsidRPr="092A9D4F">
              <w:rPr>
                <w:color w:val="000000" w:themeColor="text1"/>
                <w:sz w:val="20"/>
                <w:szCs w:val="20"/>
              </w:rPr>
              <w:t xml:space="preserve"> and organisational cultures</w:t>
            </w:r>
          </w:p>
          <w:p w14:paraId="53EA342E" w14:textId="77777777" w:rsidR="005070D9" w:rsidRDefault="00573EC3">
            <w:pPr>
              <w:spacing w:after="80"/>
            </w:pPr>
            <w:r>
              <w:rPr>
                <w:color w:val="000000"/>
                <w:sz w:val="20"/>
                <w:szCs w:val="20"/>
              </w:rPr>
              <w:t>A multi-brand portfolio may duplicate marketing activity and cause internal cannibalisation</w:t>
            </w:r>
          </w:p>
          <w:p w14:paraId="5AE09A88" w14:textId="77777777" w:rsidR="005070D9" w:rsidRDefault="00573EC3">
            <w:pPr>
              <w:spacing w:after="80"/>
            </w:pPr>
            <w:r>
              <w:rPr>
                <w:color w:val="000000"/>
                <w:sz w:val="20"/>
                <w:szCs w:val="20"/>
              </w:rPr>
              <w:t>A mature consumer market limits growth through subscriber acquisition</w:t>
            </w:r>
          </w:p>
          <w:p w14:paraId="75953ABB" w14:textId="77777777" w:rsidR="005070D9" w:rsidRDefault="00573EC3">
            <w:r>
              <w:rPr>
                <w:color w:val="000000"/>
                <w:sz w:val="20"/>
                <w:szCs w:val="20"/>
              </w:rPr>
              <w:t>The investment programme and proposed £4.3 billion buyout increase financial exposure</w:t>
            </w:r>
          </w:p>
        </w:tc>
      </w:tr>
    </w:tbl>
    <w:p w14:paraId="50E00AA8" w14:textId="77777777" w:rsidR="005070D9" w:rsidRDefault="005070D9">
      <w:pPr>
        <w:spacing w:before="200"/>
      </w:pP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500"/>
        <w:gridCol w:w="4500"/>
      </w:tblGrid>
      <w:tr w:rsidR="005070D9" w14:paraId="5BB09161" w14:textId="77777777" w:rsidTr="092A9D4F">
        <w:trPr>
          <w:tblHeader/>
        </w:trPr>
        <w:tc>
          <w:tcPr>
            <w:tcW w:w="4500" w:type="dxa"/>
            <w:shd w:val="clear" w:color="auto" w:fill="1F3864"/>
            <w:tcMar>
              <w:top w:w="100" w:type="dxa"/>
              <w:left w:w="100" w:type="dxa"/>
              <w:bottom w:w="100" w:type="dxa"/>
              <w:right w:w="100" w:type="dxa"/>
            </w:tcMar>
          </w:tcPr>
          <w:p w14:paraId="3E05BA67" w14:textId="77777777" w:rsidR="005070D9" w:rsidRDefault="00573EC3">
            <w:r>
              <w:rPr>
                <w:b/>
                <w:bCs/>
                <w:color w:val="FFFFFF"/>
                <w:sz w:val="20"/>
                <w:szCs w:val="20"/>
              </w:rPr>
              <w:t>Opportunities</w:t>
            </w:r>
          </w:p>
        </w:tc>
        <w:tc>
          <w:tcPr>
            <w:tcW w:w="4500" w:type="dxa"/>
            <w:shd w:val="clear" w:color="auto" w:fill="1F3864"/>
            <w:tcMar>
              <w:top w:w="100" w:type="dxa"/>
              <w:left w:w="100" w:type="dxa"/>
              <w:bottom w:w="100" w:type="dxa"/>
              <w:right w:w="100" w:type="dxa"/>
            </w:tcMar>
          </w:tcPr>
          <w:p w14:paraId="7CCCE66B" w14:textId="77777777" w:rsidR="005070D9" w:rsidRDefault="00573EC3">
            <w:r>
              <w:rPr>
                <w:b/>
                <w:bCs/>
                <w:color w:val="FFFFFF"/>
                <w:sz w:val="20"/>
                <w:szCs w:val="20"/>
              </w:rPr>
              <w:t>Threats</w:t>
            </w:r>
          </w:p>
        </w:tc>
      </w:tr>
      <w:tr w:rsidR="005070D9" w14:paraId="473B727E" w14:textId="77777777" w:rsidTr="092A9D4F">
        <w:tc>
          <w:tcPr>
            <w:tcW w:w="4500" w:type="dxa"/>
            <w:tcMar>
              <w:top w:w="100" w:type="dxa"/>
              <w:left w:w="100" w:type="dxa"/>
              <w:bottom w:w="100" w:type="dxa"/>
              <w:right w:w="100" w:type="dxa"/>
            </w:tcMar>
          </w:tcPr>
          <w:p w14:paraId="1FC60F7B" w14:textId="77777777" w:rsidR="005070D9" w:rsidRDefault="00573EC3">
            <w:pPr>
              <w:spacing w:after="80"/>
            </w:pPr>
            <w:r w:rsidRPr="092A9D4F">
              <w:rPr>
                <w:color w:val="000000" w:themeColor="text1"/>
                <w:sz w:val="20"/>
                <w:szCs w:val="20"/>
              </w:rPr>
              <w:t xml:space="preserve">Private 5G, IoT and network slicing for manufacturing, </w:t>
            </w:r>
            <w:bookmarkStart w:id="6" w:name="_Int_93dGomOs"/>
            <w:r w:rsidRPr="092A9D4F">
              <w:rPr>
                <w:color w:val="000000" w:themeColor="text1"/>
                <w:sz w:val="20"/>
                <w:szCs w:val="20"/>
              </w:rPr>
              <w:t>logistics</w:t>
            </w:r>
            <w:bookmarkEnd w:id="6"/>
            <w:r w:rsidRPr="092A9D4F">
              <w:rPr>
                <w:color w:val="000000" w:themeColor="text1"/>
                <w:sz w:val="20"/>
                <w:szCs w:val="20"/>
              </w:rPr>
              <w:t>, utilities and public services</w:t>
            </w:r>
          </w:p>
          <w:p w14:paraId="0C4CA1FA" w14:textId="77777777" w:rsidR="005070D9" w:rsidRDefault="00573EC3">
            <w:pPr>
              <w:spacing w:after="80"/>
            </w:pPr>
            <w:r>
              <w:rPr>
                <w:color w:val="000000"/>
                <w:sz w:val="20"/>
                <w:szCs w:val="20"/>
              </w:rPr>
              <w:t>Managed cybersecurity and secure cloud connectivity for SMEs and enterprises</w:t>
            </w:r>
          </w:p>
          <w:p w14:paraId="72EEA173" w14:textId="77777777" w:rsidR="005070D9" w:rsidRDefault="00573EC3">
            <w:pPr>
              <w:spacing w:after="80"/>
            </w:pPr>
            <w:r>
              <w:rPr>
                <w:color w:val="000000"/>
                <w:sz w:val="20"/>
                <w:szCs w:val="20"/>
              </w:rPr>
              <w:t>Fixed Wireless Access and improved coverage in underserved rural areas</w:t>
            </w:r>
          </w:p>
          <w:p w14:paraId="47B4AA5E" w14:textId="77777777" w:rsidR="005070D9" w:rsidRDefault="00573EC3">
            <w:r w:rsidRPr="092A9D4F">
              <w:rPr>
                <w:color w:val="000000" w:themeColor="text1"/>
                <w:sz w:val="20"/>
                <w:szCs w:val="20"/>
              </w:rPr>
              <w:t xml:space="preserve">AI-supported customer service, fraud </w:t>
            </w:r>
            <w:bookmarkStart w:id="7" w:name="_Int_hZgakOPg"/>
            <w:r w:rsidRPr="092A9D4F">
              <w:rPr>
                <w:color w:val="000000" w:themeColor="text1"/>
                <w:sz w:val="20"/>
                <w:szCs w:val="20"/>
              </w:rPr>
              <w:t>prevention</w:t>
            </w:r>
            <w:bookmarkEnd w:id="7"/>
            <w:r w:rsidRPr="092A9D4F">
              <w:rPr>
                <w:color w:val="000000" w:themeColor="text1"/>
                <w:sz w:val="20"/>
                <w:szCs w:val="20"/>
              </w:rPr>
              <w:t xml:space="preserve"> and predictive maintenance</w:t>
            </w:r>
          </w:p>
        </w:tc>
        <w:tc>
          <w:tcPr>
            <w:tcW w:w="4500" w:type="dxa"/>
            <w:tcMar>
              <w:top w:w="100" w:type="dxa"/>
              <w:left w:w="100" w:type="dxa"/>
              <w:bottom w:w="100" w:type="dxa"/>
              <w:right w:w="100" w:type="dxa"/>
            </w:tcMar>
          </w:tcPr>
          <w:p w14:paraId="78F8C012" w14:textId="77777777" w:rsidR="005070D9" w:rsidRDefault="00573EC3">
            <w:pPr>
              <w:spacing w:after="80"/>
            </w:pPr>
            <w:r>
              <w:rPr>
                <w:color w:val="000000"/>
                <w:sz w:val="20"/>
                <w:szCs w:val="20"/>
              </w:rPr>
              <w:t>Strong rivalry from BT/EE, Virgin Media O2 and price-focused MVNOs</w:t>
            </w:r>
          </w:p>
          <w:p w14:paraId="79ED7044" w14:textId="77777777" w:rsidR="005070D9" w:rsidRDefault="00573EC3">
            <w:pPr>
              <w:spacing w:after="80"/>
            </w:pPr>
            <w:r>
              <w:rPr>
                <w:color w:val="000000"/>
                <w:sz w:val="20"/>
                <w:szCs w:val="20"/>
              </w:rPr>
              <w:t>Failure to meet CMA commitments could produce penalties and reputational damage</w:t>
            </w:r>
          </w:p>
          <w:p w14:paraId="24F8D8F7" w14:textId="77777777" w:rsidR="005070D9" w:rsidRDefault="00573EC3">
            <w:pPr>
              <w:spacing w:after="80"/>
            </w:pPr>
            <w:r w:rsidRPr="092A9D4F">
              <w:rPr>
                <w:color w:val="000000" w:themeColor="text1"/>
                <w:sz w:val="20"/>
                <w:szCs w:val="20"/>
              </w:rPr>
              <w:t xml:space="preserve">Cyberattacks, outages, skills </w:t>
            </w:r>
            <w:bookmarkStart w:id="8" w:name="_Int_8amEm3mh"/>
            <w:r w:rsidRPr="092A9D4F">
              <w:rPr>
                <w:color w:val="000000" w:themeColor="text1"/>
                <w:sz w:val="20"/>
                <w:szCs w:val="20"/>
              </w:rPr>
              <w:t>shortages</w:t>
            </w:r>
            <w:bookmarkEnd w:id="8"/>
            <w:r w:rsidRPr="092A9D4F">
              <w:rPr>
                <w:color w:val="000000" w:themeColor="text1"/>
                <w:sz w:val="20"/>
                <w:szCs w:val="20"/>
              </w:rPr>
              <w:t xml:space="preserve"> and rapid technological obsolescence</w:t>
            </w:r>
          </w:p>
          <w:p w14:paraId="79A843BC" w14:textId="77777777" w:rsidR="005070D9" w:rsidRDefault="00573EC3">
            <w:r>
              <w:rPr>
                <w:color w:val="000000"/>
                <w:sz w:val="20"/>
                <w:szCs w:val="20"/>
              </w:rPr>
              <w:t>Hyperscalers and specialist integrators may capture higher-margin digital-service activity (Deloitte, 2026)</w:t>
            </w:r>
          </w:p>
        </w:tc>
      </w:tr>
    </w:tbl>
    <w:p w14:paraId="4EA41487" w14:textId="77777777" w:rsidR="005070D9" w:rsidRDefault="00573EC3">
      <w:pPr>
        <w:spacing w:after="200" w:line="276" w:lineRule="auto"/>
      </w:pPr>
      <w:r>
        <w:t xml:space="preserve">The SWOT analysis indicates that VodafoneThree's strongest assets are scale, </w:t>
      </w:r>
      <w:bookmarkStart w:id="9" w:name="_Int_BBsbJBFJ"/>
      <w:r>
        <w:t>spectrum</w:t>
      </w:r>
      <w:bookmarkEnd w:id="9"/>
      <w:r>
        <w:t xml:space="preserve"> and investment capacity, but these become advantages only when converted into reliable service and commercially valuable propositions. The multi-brand strategy illustrates this ambiguity. Vodafone, Three, VOXI, SMARTY and Talkmobile allow segmentation, yet weak brand boundaries could increase costs and encourage customers to trade down within the same group. Similarly, integration may produce savings but could damage customer experience before benefits materialise. Brito and Vasconcelos (2023) caution that remedies in mobile mergers do not always eliminate anti-competitive effects, reinforcing the need for transparent evidence on price, service </w:t>
      </w:r>
      <w:bookmarkStart w:id="10" w:name="_Int_itXwqddh"/>
      <w:r>
        <w:t>quality</w:t>
      </w:r>
      <w:bookmarkEnd w:id="10"/>
      <w:r>
        <w:t xml:space="preserve"> and investment.</w:t>
      </w:r>
    </w:p>
    <w:p w14:paraId="07B46732" w14:textId="77777777" w:rsidR="005070D9" w:rsidRDefault="00573EC3">
      <w:pPr>
        <w:spacing w:after="200" w:line="276" w:lineRule="auto"/>
      </w:pPr>
      <w:r>
        <w:t xml:space="preserve">A further weakness is the potential mismatch between network capability and commercial adoption. Network slicing and private 5G may be technologically attractive, but enterprise customers require integration with existing systems, contractual </w:t>
      </w:r>
      <w:bookmarkStart w:id="11" w:name="_Int_1TM7CfgM"/>
      <w:r>
        <w:t>accountability</w:t>
      </w:r>
      <w:bookmarkEnd w:id="11"/>
      <w:r>
        <w:t xml:space="preserve"> and sector-specific expertise. VodafoneThree could therefore invest successfully in infrastructure without capturing an equivalent share of application-level value. Partnerships reduce this gap but transfer some bargaining power and margin to technology vendors and systems integrators.</w:t>
      </w:r>
    </w:p>
    <w:p w14:paraId="2EE7AF13" w14:textId="77777777" w:rsidR="005070D9" w:rsidRDefault="00573EC3">
      <w:pPr>
        <w:pStyle w:val="Heading2"/>
      </w:pPr>
      <w:bookmarkStart w:id="12" w:name="_Toc2060022522"/>
      <w:r>
        <w:t>2.2 PESTEL Analysis</w:t>
      </w:r>
      <w:bookmarkEnd w:id="12"/>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00"/>
        <w:gridCol w:w="6800"/>
      </w:tblGrid>
      <w:tr w:rsidR="005070D9" w14:paraId="29947CAF" w14:textId="77777777" w:rsidTr="092A9D4F">
        <w:trPr>
          <w:tblHeader/>
        </w:trPr>
        <w:tc>
          <w:tcPr>
            <w:tcW w:w="2200" w:type="dxa"/>
            <w:shd w:val="clear" w:color="auto" w:fill="1F3864"/>
            <w:tcMar>
              <w:top w:w="100" w:type="dxa"/>
              <w:left w:w="100" w:type="dxa"/>
              <w:bottom w:w="100" w:type="dxa"/>
              <w:right w:w="100" w:type="dxa"/>
            </w:tcMar>
          </w:tcPr>
          <w:p w14:paraId="09343171" w14:textId="77777777" w:rsidR="005070D9" w:rsidRDefault="00573EC3">
            <w:r>
              <w:rPr>
                <w:b/>
                <w:bCs/>
                <w:color w:val="FFFFFF"/>
                <w:sz w:val="20"/>
                <w:szCs w:val="20"/>
              </w:rPr>
              <w:t>Factor</w:t>
            </w:r>
          </w:p>
        </w:tc>
        <w:tc>
          <w:tcPr>
            <w:tcW w:w="6800" w:type="dxa"/>
            <w:shd w:val="clear" w:color="auto" w:fill="1F3864"/>
            <w:tcMar>
              <w:top w:w="100" w:type="dxa"/>
              <w:left w:w="100" w:type="dxa"/>
              <w:bottom w:w="100" w:type="dxa"/>
              <w:right w:w="100" w:type="dxa"/>
            </w:tcMar>
          </w:tcPr>
          <w:p w14:paraId="32595EBE" w14:textId="77777777" w:rsidR="005070D9" w:rsidRDefault="00573EC3">
            <w:r>
              <w:rPr>
                <w:b/>
                <w:bCs/>
                <w:color w:val="FFFFFF"/>
                <w:sz w:val="20"/>
                <w:szCs w:val="20"/>
              </w:rPr>
              <w:t>Strategic analysis</w:t>
            </w:r>
          </w:p>
        </w:tc>
      </w:tr>
      <w:tr w:rsidR="005070D9" w14:paraId="46DB3A42" w14:textId="77777777" w:rsidTr="092A9D4F">
        <w:tc>
          <w:tcPr>
            <w:tcW w:w="2200" w:type="dxa"/>
            <w:tcMar>
              <w:top w:w="100" w:type="dxa"/>
              <w:left w:w="100" w:type="dxa"/>
              <w:bottom w:w="100" w:type="dxa"/>
              <w:right w:w="100" w:type="dxa"/>
            </w:tcMar>
          </w:tcPr>
          <w:p w14:paraId="4080215D" w14:textId="77777777" w:rsidR="005070D9" w:rsidRDefault="00573EC3">
            <w:r>
              <w:rPr>
                <w:color w:val="000000"/>
                <w:sz w:val="20"/>
                <w:szCs w:val="20"/>
              </w:rPr>
              <w:t>Political</w:t>
            </w:r>
          </w:p>
        </w:tc>
        <w:tc>
          <w:tcPr>
            <w:tcW w:w="6800" w:type="dxa"/>
            <w:tcMar>
              <w:top w:w="100" w:type="dxa"/>
              <w:left w:w="100" w:type="dxa"/>
              <w:bottom w:w="100" w:type="dxa"/>
              <w:right w:w="100" w:type="dxa"/>
            </w:tcMar>
          </w:tcPr>
          <w:p w14:paraId="0E8CB3D2" w14:textId="77777777" w:rsidR="005070D9" w:rsidRDefault="00573EC3">
            <w:r>
              <w:rPr>
                <w:color w:val="000000"/>
                <w:sz w:val="20"/>
                <w:szCs w:val="20"/>
              </w:rPr>
              <w:t>Government support for national connectivity and regional development favours investment, but the reduction from four to three mobile network operators ensures continuing political scrutiny</w:t>
            </w:r>
          </w:p>
        </w:tc>
      </w:tr>
      <w:tr w:rsidR="005070D9" w14:paraId="4979ADB4" w14:textId="77777777" w:rsidTr="092A9D4F">
        <w:tc>
          <w:tcPr>
            <w:tcW w:w="2200" w:type="dxa"/>
            <w:tcMar>
              <w:top w:w="100" w:type="dxa"/>
              <w:left w:w="100" w:type="dxa"/>
              <w:bottom w:w="100" w:type="dxa"/>
              <w:right w:w="100" w:type="dxa"/>
            </w:tcMar>
          </w:tcPr>
          <w:p w14:paraId="6356CDF1" w14:textId="77777777" w:rsidR="005070D9" w:rsidRDefault="00573EC3">
            <w:r>
              <w:rPr>
                <w:color w:val="000000"/>
                <w:sz w:val="20"/>
                <w:szCs w:val="20"/>
              </w:rPr>
              <w:t>Economic</w:t>
            </w:r>
          </w:p>
        </w:tc>
        <w:tc>
          <w:tcPr>
            <w:tcW w:w="6800" w:type="dxa"/>
            <w:tcMar>
              <w:top w:w="100" w:type="dxa"/>
              <w:left w:w="100" w:type="dxa"/>
              <w:bottom w:w="100" w:type="dxa"/>
              <w:right w:w="100" w:type="dxa"/>
            </w:tcMar>
          </w:tcPr>
          <w:p w14:paraId="142779D5" w14:textId="77777777" w:rsidR="005070D9" w:rsidRDefault="00573EC3">
            <w:r w:rsidRPr="092A9D4F">
              <w:rPr>
                <w:color w:val="000000" w:themeColor="text1"/>
                <w:sz w:val="20"/>
                <w:szCs w:val="20"/>
              </w:rPr>
              <w:t xml:space="preserve">Connectivity provides </w:t>
            </w:r>
            <w:bookmarkStart w:id="13" w:name="_Int_9zPQkovr"/>
            <w:r w:rsidRPr="092A9D4F">
              <w:rPr>
                <w:color w:val="000000" w:themeColor="text1"/>
                <w:sz w:val="20"/>
                <w:szCs w:val="20"/>
              </w:rPr>
              <w:t>relatively resilient</w:t>
            </w:r>
            <w:bookmarkEnd w:id="13"/>
            <w:r w:rsidRPr="092A9D4F">
              <w:rPr>
                <w:color w:val="000000" w:themeColor="text1"/>
                <w:sz w:val="20"/>
                <w:szCs w:val="20"/>
              </w:rPr>
              <w:t xml:space="preserve"> demand, but household budget pressure strengthens value brands and limits premium pricing. Synergy forecasts improve the investment case but depend on successful integration</w:t>
            </w:r>
          </w:p>
        </w:tc>
      </w:tr>
      <w:tr w:rsidR="005070D9" w14:paraId="54694CD5" w14:textId="77777777" w:rsidTr="092A9D4F">
        <w:tc>
          <w:tcPr>
            <w:tcW w:w="2200" w:type="dxa"/>
            <w:tcMar>
              <w:top w:w="100" w:type="dxa"/>
              <w:left w:w="100" w:type="dxa"/>
              <w:bottom w:w="100" w:type="dxa"/>
              <w:right w:w="100" w:type="dxa"/>
            </w:tcMar>
          </w:tcPr>
          <w:p w14:paraId="5C09BD9D" w14:textId="77777777" w:rsidR="005070D9" w:rsidRDefault="00573EC3">
            <w:r>
              <w:rPr>
                <w:color w:val="000000"/>
                <w:sz w:val="20"/>
                <w:szCs w:val="20"/>
              </w:rPr>
              <w:t>Social</w:t>
            </w:r>
          </w:p>
        </w:tc>
        <w:tc>
          <w:tcPr>
            <w:tcW w:w="6800" w:type="dxa"/>
            <w:tcMar>
              <w:top w:w="100" w:type="dxa"/>
              <w:left w:w="100" w:type="dxa"/>
              <w:bottom w:w="100" w:type="dxa"/>
              <w:right w:w="100" w:type="dxa"/>
            </w:tcMar>
          </w:tcPr>
          <w:p w14:paraId="7CBC0719" w14:textId="77777777" w:rsidR="005070D9" w:rsidRDefault="00573EC3">
            <w:r w:rsidRPr="092A9D4F">
              <w:rPr>
                <w:color w:val="000000" w:themeColor="text1"/>
                <w:sz w:val="20"/>
                <w:szCs w:val="20"/>
              </w:rPr>
              <w:t xml:space="preserve">Remote work, online </w:t>
            </w:r>
            <w:bookmarkStart w:id="14" w:name="_Int_HGr8eVNh"/>
            <w:r w:rsidRPr="092A9D4F">
              <w:rPr>
                <w:color w:val="000000" w:themeColor="text1"/>
                <w:sz w:val="20"/>
                <w:szCs w:val="20"/>
              </w:rPr>
              <w:t>services</w:t>
            </w:r>
            <w:bookmarkEnd w:id="14"/>
            <w:r w:rsidRPr="092A9D4F">
              <w:rPr>
                <w:color w:val="000000" w:themeColor="text1"/>
                <w:sz w:val="20"/>
                <w:szCs w:val="20"/>
              </w:rPr>
              <w:t xml:space="preserve"> and digital entertainment increase dependence on reliable networks. Affordability, accessibility and digital skills remain important alongside coverage</w:t>
            </w:r>
          </w:p>
        </w:tc>
      </w:tr>
      <w:tr w:rsidR="005070D9" w14:paraId="42D8C7D0" w14:textId="77777777" w:rsidTr="092A9D4F">
        <w:tc>
          <w:tcPr>
            <w:tcW w:w="2200" w:type="dxa"/>
            <w:tcMar>
              <w:top w:w="100" w:type="dxa"/>
              <w:left w:w="100" w:type="dxa"/>
              <w:bottom w:w="100" w:type="dxa"/>
              <w:right w:w="100" w:type="dxa"/>
            </w:tcMar>
          </w:tcPr>
          <w:p w14:paraId="66B55FDE" w14:textId="77777777" w:rsidR="005070D9" w:rsidRDefault="00573EC3">
            <w:r>
              <w:rPr>
                <w:color w:val="000000"/>
                <w:sz w:val="20"/>
                <w:szCs w:val="20"/>
              </w:rPr>
              <w:t>Technological</w:t>
            </w:r>
          </w:p>
        </w:tc>
        <w:tc>
          <w:tcPr>
            <w:tcW w:w="6800" w:type="dxa"/>
            <w:tcMar>
              <w:top w:w="100" w:type="dxa"/>
              <w:left w:w="100" w:type="dxa"/>
              <w:bottom w:w="100" w:type="dxa"/>
              <w:right w:w="100" w:type="dxa"/>
            </w:tcMar>
          </w:tcPr>
          <w:p w14:paraId="572BB558" w14:textId="77777777" w:rsidR="005070D9" w:rsidRDefault="00573EC3">
            <w:r>
              <w:rPr>
                <w:color w:val="000000"/>
                <w:sz w:val="20"/>
                <w:szCs w:val="20"/>
              </w:rPr>
              <w:t>5G SA enables lower latency, network slicing and large-scale IoT. AI can improve operations, but legacy systems and rapid innovation increase execution risk</w:t>
            </w:r>
          </w:p>
        </w:tc>
      </w:tr>
      <w:tr w:rsidR="005070D9" w14:paraId="5B8B6188" w14:textId="77777777" w:rsidTr="092A9D4F">
        <w:tc>
          <w:tcPr>
            <w:tcW w:w="2200" w:type="dxa"/>
            <w:tcMar>
              <w:top w:w="100" w:type="dxa"/>
              <w:left w:w="100" w:type="dxa"/>
              <w:bottom w:w="100" w:type="dxa"/>
              <w:right w:w="100" w:type="dxa"/>
            </w:tcMar>
          </w:tcPr>
          <w:p w14:paraId="11763E0C" w14:textId="77777777" w:rsidR="005070D9" w:rsidRDefault="00573EC3">
            <w:r>
              <w:rPr>
                <w:color w:val="000000"/>
                <w:sz w:val="20"/>
                <w:szCs w:val="20"/>
              </w:rPr>
              <w:t>Environmental</w:t>
            </w:r>
          </w:p>
        </w:tc>
        <w:tc>
          <w:tcPr>
            <w:tcW w:w="6800" w:type="dxa"/>
            <w:tcMar>
              <w:top w:w="100" w:type="dxa"/>
              <w:left w:w="100" w:type="dxa"/>
              <w:bottom w:w="100" w:type="dxa"/>
              <w:right w:w="100" w:type="dxa"/>
            </w:tcMar>
          </w:tcPr>
          <w:p w14:paraId="003710C7" w14:textId="77777777" w:rsidR="005070D9" w:rsidRDefault="00573EC3">
            <w:r w:rsidRPr="092A9D4F">
              <w:rPr>
                <w:color w:val="000000" w:themeColor="text1"/>
                <w:sz w:val="20"/>
                <w:szCs w:val="20"/>
              </w:rPr>
              <w:t xml:space="preserve">Data growth may increase total energy use despite more efficient equipment. VodafoneThree must combine renewable electricity, efficient </w:t>
            </w:r>
            <w:bookmarkStart w:id="15" w:name="_Int_ePrXP17c"/>
            <w:r w:rsidRPr="092A9D4F">
              <w:rPr>
                <w:color w:val="000000" w:themeColor="text1"/>
                <w:sz w:val="20"/>
                <w:szCs w:val="20"/>
              </w:rPr>
              <w:t>networks</w:t>
            </w:r>
            <w:bookmarkEnd w:id="15"/>
            <w:r w:rsidRPr="092A9D4F">
              <w:rPr>
                <w:color w:val="000000" w:themeColor="text1"/>
                <w:sz w:val="20"/>
                <w:szCs w:val="20"/>
              </w:rPr>
              <w:t xml:space="preserve"> and credible reporting of absolute emissions</w:t>
            </w:r>
          </w:p>
        </w:tc>
      </w:tr>
      <w:tr w:rsidR="005070D9" w14:paraId="703BE773" w14:textId="77777777" w:rsidTr="092A9D4F">
        <w:tc>
          <w:tcPr>
            <w:tcW w:w="2200" w:type="dxa"/>
            <w:tcMar>
              <w:top w:w="100" w:type="dxa"/>
              <w:left w:w="100" w:type="dxa"/>
              <w:bottom w:w="100" w:type="dxa"/>
              <w:right w:w="100" w:type="dxa"/>
            </w:tcMar>
          </w:tcPr>
          <w:p w14:paraId="0D2983F0" w14:textId="77777777" w:rsidR="005070D9" w:rsidRDefault="00573EC3">
            <w:r>
              <w:rPr>
                <w:color w:val="000000"/>
                <w:sz w:val="20"/>
                <w:szCs w:val="20"/>
              </w:rPr>
              <w:t>Legal</w:t>
            </w:r>
          </w:p>
        </w:tc>
        <w:tc>
          <w:tcPr>
            <w:tcW w:w="6800" w:type="dxa"/>
            <w:tcMar>
              <w:top w:w="100" w:type="dxa"/>
              <w:left w:w="100" w:type="dxa"/>
              <w:bottom w:w="100" w:type="dxa"/>
              <w:right w:w="100" w:type="dxa"/>
            </w:tcMar>
          </w:tcPr>
          <w:p w14:paraId="0CB754C6" w14:textId="77777777" w:rsidR="005070D9" w:rsidRDefault="00573EC3">
            <w:r w:rsidRPr="092A9D4F">
              <w:rPr>
                <w:color w:val="000000" w:themeColor="text1"/>
                <w:sz w:val="20"/>
                <w:szCs w:val="20"/>
              </w:rPr>
              <w:t xml:space="preserve">UK GDPR, consumer law, telecommunications security, spectrum </w:t>
            </w:r>
            <w:bookmarkStart w:id="16" w:name="_Int_oKCK9w1j"/>
            <w:r w:rsidRPr="092A9D4F">
              <w:rPr>
                <w:color w:val="000000" w:themeColor="text1"/>
                <w:sz w:val="20"/>
                <w:szCs w:val="20"/>
              </w:rPr>
              <w:t>rules</w:t>
            </w:r>
            <w:bookmarkEnd w:id="16"/>
            <w:r w:rsidRPr="092A9D4F">
              <w:rPr>
                <w:color w:val="000000" w:themeColor="text1"/>
                <w:sz w:val="20"/>
                <w:szCs w:val="20"/>
              </w:rPr>
              <w:t xml:space="preserve"> and CMA commitments constrain product design and operational decisions</w:t>
            </w:r>
          </w:p>
        </w:tc>
      </w:tr>
    </w:tbl>
    <w:p w14:paraId="452B1778" w14:textId="77777777" w:rsidR="005070D9" w:rsidRDefault="00573EC3">
      <w:pPr>
        <w:spacing w:after="200" w:line="276" w:lineRule="auto"/>
      </w:pPr>
      <w:r>
        <w:t xml:space="preserve">Ofcom's Connected Nations 2025 findings demonstrate that connectivity remains uneven across the UK. At the high-confidence level, 5G SA coverage outside premises from at least one operator ranged from 59% in Wales to 92% in Northern Ireland (Ofcom, 2025). This creates a market-development opportunity, but population coverage should not be confused with geographic coverage or service quality. VodafoneThree must therefore report reliability, </w:t>
      </w:r>
      <w:bookmarkStart w:id="17" w:name="_Int_nNGiqzBF"/>
      <w:r>
        <w:t>latency</w:t>
      </w:r>
      <w:bookmarkEnd w:id="17"/>
      <w:r>
        <w:t xml:space="preserve"> and rural performance rather than rely on a single national percentage.</w:t>
      </w:r>
    </w:p>
    <w:p w14:paraId="213037A1" w14:textId="77777777" w:rsidR="005070D9" w:rsidRDefault="00573EC3">
      <w:pPr>
        <w:spacing w:after="200" w:line="276" w:lineRule="auto"/>
      </w:pPr>
      <w:r>
        <w:t>The PESTEL factors also interact rather than operating independently. Political support encourages investment, while legal protections restrict the speed at which VodafoneThree can monetise consolidation through pricing. Technological improvement may reduce energy use per unit of data, yet rising traffic could increase total electricity consumption. Social demand for personalised services supports AI adoption, but privacy law and customer trust limit data use. Strategic decisions should therefore consider these tensions instead of treating each environmental factor as a separate opportunity or threat.</w:t>
      </w:r>
    </w:p>
    <w:p w14:paraId="51D2D794" w14:textId="77777777" w:rsidR="005070D9" w:rsidRDefault="00573EC3">
      <w:pPr>
        <w:pStyle w:val="Heading2"/>
      </w:pPr>
      <w:bookmarkStart w:id="18" w:name="_Toc829369411"/>
      <w:r>
        <w:t>2.3 Porter's Five Forces Analysis</w:t>
      </w:r>
      <w:bookmarkEnd w:id="18"/>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400"/>
        <w:gridCol w:w="1400"/>
        <w:gridCol w:w="5200"/>
      </w:tblGrid>
      <w:tr w:rsidR="005070D9" w14:paraId="3B5566DC" w14:textId="77777777" w:rsidTr="092A9D4F">
        <w:trPr>
          <w:tblHeader/>
        </w:trPr>
        <w:tc>
          <w:tcPr>
            <w:tcW w:w="2400" w:type="dxa"/>
            <w:shd w:val="clear" w:color="auto" w:fill="1F3864"/>
            <w:tcMar>
              <w:top w:w="100" w:type="dxa"/>
              <w:left w:w="100" w:type="dxa"/>
              <w:bottom w:w="100" w:type="dxa"/>
              <w:right w:w="100" w:type="dxa"/>
            </w:tcMar>
          </w:tcPr>
          <w:p w14:paraId="20A53C88" w14:textId="77777777" w:rsidR="005070D9" w:rsidRDefault="00573EC3">
            <w:r>
              <w:rPr>
                <w:b/>
                <w:bCs/>
                <w:color w:val="FFFFFF"/>
                <w:sz w:val="20"/>
                <w:szCs w:val="20"/>
              </w:rPr>
              <w:t>Force</w:t>
            </w:r>
          </w:p>
        </w:tc>
        <w:tc>
          <w:tcPr>
            <w:tcW w:w="1400" w:type="dxa"/>
            <w:shd w:val="clear" w:color="auto" w:fill="1F3864"/>
            <w:tcMar>
              <w:top w:w="100" w:type="dxa"/>
              <w:left w:w="100" w:type="dxa"/>
              <w:bottom w:w="100" w:type="dxa"/>
              <w:right w:w="100" w:type="dxa"/>
            </w:tcMar>
          </w:tcPr>
          <w:p w14:paraId="7E0FF93B" w14:textId="77777777" w:rsidR="005070D9" w:rsidRDefault="00573EC3">
            <w:r>
              <w:rPr>
                <w:b/>
                <w:bCs/>
                <w:color w:val="FFFFFF"/>
                <w:sz w:val="20"/>
                <w:szCs w:val="20"/>
              </w:rPr>
              <w:t>Rating</w:t>
            </w:r>
          </w:p>
        </w:tc>
        <w:tc>
          <w:tcPr>
            <w:tcW w:w="5200" w:type="dxa"/>
            <w:shd w:val="clear" w:color="auto" w:fill="1F3864"/>
            <w:tcMar>
              <w:top w:w="100" w:type="dxa"/>
              <w:left w:w="100" w:type="dxa"/>
              <w:bottom w:w="100" w:type="dxa"/>
              <w:right w:w="100" w:type="dxa"/>
            </w:tcMar>
          </w:tcPr>
          <w:p w14:paraId="45D945BE" w14:textId="77777777" w:rsidR="005070D9" w:rsidRDefault="00573EC3">
            <w:r>
              <w:rPr>
                <w:b/>
                <w:bCs/>
                <w:color w:val="FFFFFF"/>
                <w:sz w:val="20"/>
                <w:szCs w:val="20"/>
              </w:rPr>
              <w:t>Analysis</w:t>
            </w:r>
          </w:p>
        </w:tc>
      </w:tr>
      <w:tr w:rsidR="005070D9" w14:paraId="177A67E3" w14:textId="77777777" w:rsidTr="092A9D4F">
        <w:tc>
          <w:tcPr>
            <w:tcW w:w="2400" w:type="dxa"/>
            <w:tcMar>
              <w:top w:w="100" w:type="dxa"/>
              <w:left w:w="100" w:type="dxa"/>
              <w:bottom w:w="100" w:type="dxa"/>
              <w:right w:w="100" w:type="dxa"/>
            </w:tcMar>
          </w:tcPr>
          <w:p w14:paraId="5657E1C8" w14:textId="77777777" w:rsidR="005070D9" w:rsidRDefault="00573EC3">
            <w:r>
              <w:rPr>
                <w:color w:val="000000"/>
                <w:sz w:val="20"/>
                <w:szCs w:val="20"/>
              </w:rPr>
              <w:t>Competitive rivalry</w:t>
            </w:r>
          </w:p>
        </w:tc>
        <w:tc>
          <w:tcPr>
            <w:tcW w:w="1400" w:type="dxa"/>
            <w:tcMar>
              <w:top w:w="100" w:type="dxa"/>
              <w:left w:w="100" w:type="dxa"/>
              <w:bottom w:w="100" w:type="dxa"/>
              <w:right w:w="100" w:type="dxa"/>
            </w:tcMar>
          </w:tcPr>
          <w:p w14:paraId="047DAA06" w14:textId="77777777" w:rsidR="005070D9" w:rsidRDefault="00573EC3">
            <w:r>
              <w:rPr>
                <w:color w:val="000000"/>
                <w:sz w:val="20"/>
                <w:szCs w:val="20"/>
              </w:rPr>
              <w:t>High</w:t>
            </w:r>
          </w:p>
        </w:tc>
        <w:tc>
          <w:tcPr>
            <w:tcW w:w="5200" w:type="dxa"/>
            <w:tcMar>
              <w:top w:w="100" w:type="dxa"/>
              <w:left w:w="100" w:type="dxa"/>
              <w:bottom w:w="100" w:type="dxa"/>
              <w:right w:w="100" w:type="dxa"/>
            </w:tcMar>
          </w:tcPr>
          <w:p w14:paraId="63F05F06" w14:textId="77777777" w:rsidR="005070D9" w:rsidRDefault="00573EC3">
            <w:r w:rsidRPr="092A9D4F">
              <w:rPr>
                <w:color w:val="000000" w:themeColor="text1"/>
                <w:sz w:val="20"/>
                <w:szCs w:val="20"/>
              </w:rPr>
              <w:t xml:space="preserve">Three national operators and numerous MVNOs compete on price, coverage, handsets, broadband </w:t>
            </w:r>
            <w:bookmarkStart w:id="19" w:name="_Int_B1ffqOUG"/>
            <w:r w:rsidRPr="092A9D4F">
              <w:rPr>
                <w:color w:val="000000" w:themeColor="text1"/>
                <w:sz w:val="20"/>
                <w:szCs w:val="20"/>
              </w:rPr>
              <w:t>bundles</w:t>
            </w:r>
            <w:bookmarkEnd w:id="19"/>
            <w:r w:rsidRPr="092A9D4F">
              <w:rPr>
                <w:color w:val="000000" w:themeColor="text1"/>
                <w:sz w:val="20"/>
                <w:szCs w:val="20"/>
              </w:rPr>
              <w:t xml:space="preserve"> and customer service. CMA protections preserve pressure during early integration</w:t>
            </w:r>
          </w:p>
        </w:tc>
      </w:tr>
      <w:tr w:rsidR="005070D9" w14:paraId="1459F254" w14:textId="77777777" w:rsidTr="092A9D4F">
        <w:tc>
          <w:tcPr>
            <w:tcW w:w="2400" w:type="dxa"/>
            <w:tcMar>
              <w:top w:w="100" w:type="dxa"/>
              <w:left w:w="100" w:type="dxa"/>
              <w:bottom w:w="100" w:type="dxa"/>
              <w:right w:w="100" w:type="dxa"/>
            </w:tcMar>
          </w:tcPr>
          <w:p w14:paraId="4DF028DC" w14:textId="77777777" w:rsidR="005070D9" w:rsidRDefault="00573EC3">
            <w:r>
              <w:rPr>
                <w:color w:val="000000"/>
                <w:sz w:val="20"/>
                <w:szCs w:val="20"/>
              </w:rPr>
              <w:t>Threat of new entrants</w:t>
            </w:r>
          </w:p>
        </w:tc>
        <w:tc>
          <w:tcPr>
            <w:tcW w:w="1400" w:type="dxa"/>
            <w:tcMar>
              <w:top w:w="100" w:type="dxa"/>
              <w:left w:w="100" w:type="dxa"/>
              <w:bottom w:w="100" w:type="dxa"/>
              <w:right w:w="100" w:type="dxa"/>
            </w:tcMar>
          </w:tcPr>
          <w:p w14:paraId="115C5F02" w14:textId="77777777" w:rsidR="005070D9" w:rsidRDefault="00573EC3">
            <w:r>
              <w:rPr>
                <w:color w:val="000000"/>
                <w:sz w:val="20"/>
                <w:szCs w:val="20"/>
              </w:rPr>
              <w:t>Low</w:t>
            </w:r>
          </w:p>
        </w:tc>
        <w:tc>
          <w:tcPr>
            <w:tcW w:w="5200" w:type="dxa"/>
            <w:tcMar>
              <w:top w:w="100" w:type="dxa"/>
              <w:left w:w="100" w:type="dxa"/>
              <w:bottom w:w="100" w:type="dxa"/>
              <w:right w:w="100" w:type="dxa"/>
            </w:tcMar>
          </w:tcPr>
          <w:p w14:paraId="1FB59676" w14:textId="77777777" w:rsidR="005070D9" w:rsidRDefault="00573EC3">
            <w:r w:rsidRPr="092A9D4F">
              <w:rPr>
                <w:color w:val="000000" w:themeColor="text1"/>
                <w:sz w:val="20"/>
                <w:szCs w:val="20"/>
              </w:rPr>
              <w:t xml:space="preserve">Spectrum scarcity, regulation, infrastructure </w:t>
            </w:r>
            <w:bookmarkStart w:id="20" w:name="_Int_LjKKrFCb"/>
            <w:r w:rsidRPr="092A9D4F">
              <w:rPr>
                <w:color w:val="000000" w:themeColor="text1"/>
                <w:sz w:val="20"/>
                <w:szCs w:val="20"/>
              </w:rPr>
              <w:t>costs</w:t>
            </w:r>
            <w:bookmarkEnd w:id="20"/>
            <w:r w:rsidRPr="092A9D4F">
              <w:rPr>
                <w:color w:val="000000" w:themeColor="text1"/>
                <w:sz w:val="20"/>
                <w:szCs w:val="20"/>
              </w:rPr>
              <w:t xml:space="preserve"> and brand recognition make national entry difficult, although MVNO arrangements enable retail entry</w:t>
            </w:r>
          </w:p>
        </w:tc>
      </w:tr>
      <w:tr w:rsidR="005070D9" w14:paraId="14C1C71A" w14:textId="77777777" w:rsidTr="092A9D4F">
        <w:tc>
          <w:tcPr>
            <w:tcW w:w="2400" w:type="dxa"/>
            <w:tcMar>
              <w:top w:w="100" w:type="dxa"/>
              <w:left w:w="100" w:type="dxa"/>
              <w:bottom w:w="100" w:type="dxa"/>
              <w:right w:w="100" w:type="dxa"/>
            </w:tcMar>
          </w:tcPr>
          <w:p w14:paraId="59B2429A" w14:textId="77777777" w:rsidR="005070D9" w:rsidRDefault="00573EC3">
            <w:r>
              <w:rPr>
                <w:color w:val="000000"/>
                <w:sz w:val="20"/>
                <w:szCs w:val="20"/>
              </w:rPr>
              <w:t>Supplier power</w:t>
            </w:r>
          </w:p>
        </w:tc>
        <w:tc>
          <w:tcPr>
            <w:tcW w:w="1400" w:type="dxa"/>
            <w:tcMar>
              <w:top w:w="100" w:type="dxa"/>
              <w:left w:w="100" w:type="dxa"/>
              <w:bottom w:w="100" w:type="dxa"/>
              <w:right w:w="100" w:type="dxa"/>
            </w:tcMar>
          </w:tcPr>
          <w:p w14:paraId="26B1EFBB" w14:textId="77777777" w:rsidR="005070D9" w:rsidRDefault="00573EC3">
            <w:r>
              <w:rPr>
                <w:color w:val="000000"/>
                <w:sz w:val="20"/>
                <w:szCs w:val="20"/>
              </w:rPr>
              <w:t>Moderate</w:t>
            </w:r>
          </w:p>
        </w:tc>
        <w:tc>
          <w:tcPr>
            <w:tcW w:w="5200" w:type="dxa"/>
            <w:tcMar>
              <w:top w:w="100" w:type="dxa"/>
              <w:left w:w="100" w:type="dxa"/>
              <w:bottom w:w="100" w:type="dxa"/>
              <w:right w:w="100" w:type="dxa"/>
            </w:tcMar>
          </w:tcPr>
          <w:p w14:paraId="13468DFC" w14:textId="77777777" w:rsidR="005070D9" w:rsidRDefault="00573EC3">
            <w:r>
              <w:rPr>
                <w:color w:val="000000"/>
                <w:sz w:val="20"/>
                <w:szCs w:val="20"/>
              </w:rPr>
              <w:t>A limited number of equipment vendors retain specialist power. VodafoneThree's scale improves leverage, but security and interoperability requirements restrict choice (Ericsson, 2025)</w:t>
            </w:r>
          </w:p>
        </w:tc>
      </w:tr>
      <w:tr w:rsidR="005070D9" w14:paraId="0D8A8B40" w14:textId="77777777" w:rsidTr="092A9D4F">
        <w:tc>
          <w:tcPr>
            <w:tcW w:w="2400" w:type="dxa"/>
            <w:tcMar>
              <w:top w:w="100" w:type="dxa"/>
              <w:left w:w="100" w:type="dxa"/>
              <w:bottom w:w="100" w:type="dxa"/>
              <w:right w:w="100" w:type="dxa"/>
            </w:tcMar>
          </w:tcPr>
          <w:p w14:paraId="69000004" w14:textId="77777777" w:rsidR="005070D9" w:rsidRDefault="00573EC3">
            <w:r>
              <w:rPr>
                <w:color w:val="000000"/>
                <w:sz w:val="20"/>
                <w:szCs w:val="20"/>
              </w:rPr>
              <w:t>Customer power</w:t>
            </w:r>
          </w:p>
        </w:tc>
        <w:tc>
          <w:tcPr>
            <w:tcW w:w="1400" w:type="dxa"/>
            <w:tcMar>
              <w:top w:w="100" w:type="dxa"/>
              <w:left w:w="100" w:type="dxa"/>
              <w:bottom w:w="100" w:type="dxa"/>
              <w:right w:w="100" w:type="dxa"/>
            </w:tcMar>
          </w:tcPr>
          <w:p w14:paraId="400D95E9" w14:textId="77777777" w:rsidR="005070D9" w:rsidRDefault="00573EC3">
            <w:r>
              <w:rPr>
                <w:color w:val="000000"/>
                <w:sz w:val="20"/>
                <w:szCs w:val="20"/>
              </w:rPr>
              <w:t>High</w:t>
            </w:r>
          </w:p>
        </w:tc>
        <w:tc>
          <w:tcPr>
            <w:tcW w:w="5200" w:type="dxa"/>
            <w:tcMar>
              <w:top w:w="100" w:type="dxa"/>
              <w:left w:w="100" w:type="dxa"/>
              <w:bottom w:w="100" w:type="dxa"/>
              <w:right w:w="100" w:type="dxa"/>
            </w:tcMar>
          </w:tcPr>
          <w:p w14:paraId="643CDA2B" w14:textId="77777777" w:rsidR="005070D9" w:rsidRDefault="00573EC3">
            <w:r>
              <w:rPr>
                <w:color w:val="000000"/>
                <w:sz w:val="20"/>
                <w:szCs w:val="20"/>
              </w:rPr>
              <w:t>Number portability, comparison platforms and SIM-only contracts reduce switching barriers. Large enterprise customers can also negotiate service levels and price</w:t>
            </w:r>
          </w:p>
        </w:tc>
      </w:tr>
      <w:tr w:rsidR="005070D9" w14:paraId="243A01EE" w14:textId="77777777" w:rsidTr="092A9D4F">
        <w:tc>
          <w:tcPr>
            <w:tcW w:w="2400" w:type="dxa"/>
            <w:tcMar>
              <w:top w:w="100" w:type="dxa"/>
              <w:left w:w="100" w:type="dxa"/>
              <w:bottom w:w="100" w:type="dxa"/>
              <w:right w:w="100" w:type="dxa"/>
            </w:tcMar>
          </w:tcPr>
          <w:p w14:paraId="170CD1BF" w14:textId="77777777" w:rsidR="005070D9" w:rsidRDefault="00573EC3">
            <w:r>
              <w:rPr>
                <w:color w:val="000000"/>
                <w:sz w:val="20"/>
                <w:szCs w:val="20"/>
              </w:rPr>
              <w:t>Threat of substitutes</w:t>
            </w:r>
          </w:p>
        </w:tc>
        <w:tc>
          <w:tcPr>
            <w:tcW w:w="1400" w:type="dxa"/>
            <w:tcMar>
              <w:top w:w="100" w:type="dxa"/>
              <w:left w:w="100" w:type="dxa"/>
              <w:bottom w:w="100" w:type="dxa"/>
              <w:right w:w="100" w:type="dxa"/>
            </w:tcMar>
          </w:tcPr>
          <w:p w14:paraId="61D74867" w14:textId="77777777" w:rsidR="005070D9" w:rsidRDefault="00573EC3">
            <w:r>
              <w:rPr>
                <w:color w:val="000000"/>
                <w:sz w:val="20"/>
                <w:szCs w:val="20"/>
              </w:rPr>
              <w:t>Moderate</w:t>
            </w:r>
          </w:p>
        </w:tc>
        <w:tc>
          <w:tcPr>
            <w:tcW w:w="5200" w:type="dxa"/>
            <w:tcMar>
              <w:top w:w="100" w:type="dxa"/>
              <w:left w:w="100" w:type="dxa"/>
              <w:bottom w:w="100" w:type="dxa"/>
              <w:right w:w="100" w:type="dxa"/>
            </w:tcMar>
          </w:tcPr>
          <w:p w14:paraId="1B018437" w14:textId="77777777" w:rsidR="005070D9" w:rsidRDefault="00573EC3">
            <w:r>
              <w:rPr>
                <w:color w:val="000000"/>
                <w:sz w:val="20"/>
                <w:szCs w:val="20"/>
              </w:rPr>
              <w:t>WhatsApp, Zoom and Teams substitute for traditional voice and messaging but still require connectivity. Commoditisation is the greater strategic threat</w:t>
            </w:r>
          </w:p>
        </w:tc>
      </w:tr>
    </w:tbl>
    <w:p w14:paraId="6068DA08" w14:textId="77777777" w:rsidR="005070D9" w:rsidRDefault="00573EC3">
      <w:pPr>
        <w:spacing w:after="200" w:line="276" w:lineRule="auto"/>
      </w:pPr>
      <w:r>
        <w:t xml:space="preserve">The Five Forces analysis shows why becoming larger is insufficient. Entry barriers protect incumbent networks, but rivalry and customer power place margins under pressure. VodafoneThree must create differentiation that customers can observe. Opensignal (2026) reports the company's objective of reaching approximately 90% 5G SA population coverage within the first three years, but this target does not itself establish feasibility or competitive superiority. Outcomes must be judged through actual availability, </w:t>
      </w:r>
      <w:bookmarkStart w:id="21" w:name="_Int_MvZvp6Yh"/>
      <w:r>
        <w:t>consistency</w:t>
      </w:r>
      <w:bookmarkEnd w:id="21"/>
      <w:r>
        <w:t xml:space="preserve"> and customer experience.</w:t>
      </w:r>
    </w:p>
    <w:p w14:paraId="31814531" w14:textId="77777777" w:rsidR="005070D9" w:rsidRDefault="00573EC3">
      <w:pPr>
        <w:pStyle w:val="Heading1"/>
      </w:pPr>
      <w:bookmarkStart w:id="22" w:name="_Toc1623486299"/>
      <w:r>
        <w:t>3. Strategic Growth Options and Proposed Strategy</w:t>
      </w:r>
      <w:bookmarkEnd w:id="22"/>
    </w:p>
    <w:p w14:paraId="47482BF0" w14:textId="77777777" w:rsidR="005070D9" w:rsidRDefault="00573EC3">
      <w:pPr>
        <w:pStyle w:val="Heading2"/>
      </w:pPr>
      <w:bookmarkStart w:id="23" w:name="_Toc1651869037"/>
      <w:r>
        <w:t>3.1 Strategic Options: Ansoff Matrix</w:t>
      </w:r>
      <w:bookmarkEnd w:id="23"/>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00"/>
        <w:gridCol w:w="3800"/>
        <w:gridCol w:w="3200"/>
      </w:tblGrid>
      <w:tr w:rsidR="005070D9" w14:paraId="1343C9C9" w14:textId="77777777" w:rsidTr="092A9D4F">
        <w:trPr>
          <w:tblHeader/>
        </w:trPr>
        <w:tc>
          <w:tcPr>
            <w:tcW w:w="2000" w:type="dxa"/>
            <w:shd w:val="clear" w:color="auto" w:fill="1F3864"/>
            <w:tcMar>
              <w:top w:w="100" w:type="dxa"/>
              <w:left w:w="100" w:type="dxa"/>
              <w:bottom w:w="100" w:type="dxa"/>
              <w:right w:w="100" w:type="dxa"/>
            </w:tcMar>
          </w:tcPr>
          <w:p w14:paraId="36CA6670" w14:textId="77777777" w:rsidR="005070D9" w:rsidRDefault="00573EC3">
            <w:r>
              <w:rPr>
                <w:b/>
                <w:bCs/>
                <w:color w:val="FFFFFF"/>
                <w:sz w:val="20"/>
                <w:szCs w:val="20"/>
              </w:rPr>
              <w:t>Strategy</w:t>
            </w:r>
          </w:p>
        </w:tc>
        <w:tc>
          <w:tcPr>
            <w:tcW w:w="3800" w:type="dxa"/>
            <w:shd w:val="clear" w:color="auto" w:fill="1F3864"/>
            <w:tcMar>
              <w:top w:w="100" w:type="dxa"/>
              <w:left w:w="100" w:type="dxa"/>
              <w:bottom w:w="100" w:type="dxa"/>
              <w:right w:w="100" w:type="dxa"/>
            </w:tcMar>
          </w:tcPr>
          <w:p w14:paraId="0DC89EC6" w14:textId="77777777" w:rsidR="005070D9" w:rsidRDefault="00573EC3">
            <w:r>
              <w:rPr>
                <w:b/>
                <w:bCs/>
                <w:color w:val="FFFFFF"/>
                <w:sz w:val="20"/>
                <w:szCs w:val="20"/>
              </w:rPr>
              <w:t>Application to VodafoneThree</w:t>
            </w:r>
          </w:p>
        </w:tc>
        <w:tc>
          <w:tcPr>
            <w:tcW w:w="3200" w:type="dxa"/>
            <w:shd w:val="clear" w:color="auto" w:fill="1F3864"/>
            <w:tcMar>
              <w:top w:w="100" w:type="dxa"/>
              <w:left w:w="100" w:type="dxa"/>
              <w:bottom w:w="100" w:type="dxa"/>
              <w:right w:w="100" w:type="dxa"/>
            </w:tcMar>
          </w:tcPr>
          <w:p w14:paraId="647FBB5D" w14:textId="77777777" w:rsidR="005070D9" w:rsidRDefault="00573EC3">
            <w:r>
              <w:rPr>
                <w:b/>
                <w:bCs/>
                <w:color w:val="FFFFFF"/>
                <w:sz w:val="20"/>
                <w:szCs w:val="20"/>
              </w:rPr>
              <w:t>Evaluation</w:t>
            </w:r>
          </w:p>
        </w:tc>
      </w:tr>
      <w:tr w:rsidR="005070D9" w14:paraId="6BC710E5" w14:textId="77777777" w:rsidTr="092A9D4F">
        <w:tc>
          <w:tcPr>
            <w:tcW w:w="2000" w:type="dxa"/>
            <w:tcMar>
              <w:top w:w="100" w:type="dxa"/>
              <w:left w:w="100" w:type="dxa"/>
              <w:bottom w:w="100" w:type="dxa"/>
              <w:right w:w="100" w:type="dxa"/>
            </w:tcMar>
          </w:tcPr>
          <w:p w14:paraId="2AA0E62F" w14:textId="77777777" w:rsidR="005070D9" w:rsidRDefault="00573EC3">
            <w:r>
              <w:rPr>
                <w:color w:val="000000"/>
                <w:sz w:val="20"/>
                <w:szCs w:val="20"/>
              </w:rPr>
              <w:t>Market penetration</w:t>
            </w:r>
          </w:p>
        </w:tc>
        <w:tc>
          <w:tcPr>
            <w:tcW w:w="3800" w:type="dxa"/>
            <w:tcMar>
              <w:top w:w="100" w:type="dxa"/>
              <w:left w:w="100" w:type="dxa"/>
              <w:bottom w:w="100" w:type="dxa"/>
              <w:right w:w="100" w:type="dxa"/>
            </w:tcMar>
          </w:tcPr>
          <w:p w14:paraId="79AB5B75" w14:textId="77777777" w:rsidR="005070D9" w:rsidRDefault="00573EC3">
            <w:r w:rsidRPr="092A9D4F">
              <w:rPr>
                <w:color w:val="000000" w:themeColor="text1"/>
                <w:sz w:val="20"/>
                <w:szCs w:val="20"/>
              </w:rPr>
              <w:t xml:space="preserve">Retention, cross-selling, fixed-mobile </w:t>
            </w:r>
            <w:bookmarkStart w:id="24" w:name="_Int_rRTXKxjd"/>
            <w:r w:rsidRPr="092A9D4F">
              <w:rPr>
                <w:color w:val="000000" w:themeColor="text1"/>
                <w:sz w:val="20"/>
                <w:szCs w:val="20"/>
              </w:rPr>
              <w:t>bundles</w:t>
            </w:r>
            <w:bookmarkEnd w:id="24"/>
            <w:r w:rsidRPr="092A9D4F">
              <w:rPr>
                <w:color w:val="000000" w:themeColor="text1"/>
                <w:sz w:val="20"/>
                <w:szCs w:val="20"/>
              </w:rPr>
              <w:t xml:space="preserve"> and targeted use of value brands</w:t>
            </w:r>
          </w:p>
        </w:tc>
        <w:tc>
          <w:tcPr>
            <w:tcW w:w="3200" w:type="dxa"/>
            <w:tcMar>
              <w:top w:w="100" w:type="dxa"/>
              <w:left w:w="100" w:type="dxa"/>
              <w:bottom w:w="100" w:type="dxa"/>
              <w:right w:w="100" w:type="dxa"/>
            </w:tcMar>
          </w:tcPr>
          <w:p w14:paraId="3DE09529" w14:textId="77777777" w:rsidR="005070D9" w:rsidRDefault="00573EC3">
            <w:r w:rsidRPr="092A9D4F">
              <w:rPr>
                <w:color w:val="000000" w:themeColor="text1"/>
                <w:sz w:val="20"/>
                <w:szCs w:val="20"/>
              </w:rPr>
              <w:t xml:space="preserve">Lower risk but limited by market maturity and </w:t>
            </w:r>
            <w:bookmarkStart w:id="25" w:name="_Int_JIMjqa0Z"/>
            <w:r w:rsidRPr="092A9D4F">
              <w:rPr>
                <w:color w:val="000000" w:themeColor="text1"/>
                <w:sz w:val="20"/>
                <w:szCs w:val="20"/>
              </w:rPr>
              <w:t>possible brand</w:t>
            </w:r>
            <w:bookmarkEnd w:id="25"/>
            <w:r w:rsidRPr="092A9D4F">
              <w:rPr>
                <w:color w:val="000000" w:themeColor="text1"/>
                <w:sz w:val="20"/>
                <w:szCs w:val="20"/>
              </w:rPr>
              <w:t xml:space="preserve"> cannibalisation</w:t>
            </w:r>
          </w:p>
        </w:tc>
      </w:tr>
      <w:tr w:rsidR="005070D9" w14:paraId="10C34820" w14:textId="77777777" w:rsidTr="092A9D4F">
        <w:tc>
          <w:tcPr>
            <w:tcW w:w="2000" w:type="dxa"/>
            <w:tcMar>
              <w:top w:w="100" w:type="dxa"/>
              <w:left w:w="100" w:type="dxa"/>
              <w:bottom w:w="100" w:type="dxa"/>
              <w:right w:w="100" w:type="dxa"/>
            </w:tcMar>
          </w:tcPr>
          <w:p w14:paraId="4EE01A93" w14:textId="77777777" w:rsidR="005070D9" w:rsidRDefault="00573EC3">
            <w:r>
              <w:rPr>
                <w:color w:val="000000"/>
                <w:sz w:val="20"/>
                <w:szCs w:val="20"/>
              </w:rPr>
              <w:t>Market development</w:t>
            </w:r>
          </w:p>
        </w:tc>
        <w:tc>
          <w:tcPr>
            <w:tcW w:w="3800" w:type="dxa"/>
            <w:tcMar>
              <w:top w:w="100" w:type="dxa"/>
              <w:left w:w="100" w:type="dxa"/>
              <w:bottom w:w="100" w:type="dxa"/>
              <w:right w:w="100" w:type="dxa"/>
            </w:tcMar>
          </w:tcPr>
          <w:p w14:paraId="06685D23" w14:textId="77777777" w:rsidR="005070D9" w:rsidRDefault="00573EC3">
            <w:r w:rsidRPr="092A9D4F">
              <w:rPr>
                <w:color w:val="000000" w:themeColor="text1"/>
                <w:sz w:val="20"/>
                <w:szCs w:val="20"/>
              </w:rPr>
              <w:t xml:space="preserve">Rural connectivity, public-sector </w:t>
            </w:r>
            <w:bookmarkStart w:id="26" w:name="_Int_SAgsrXvG"/>
            <w:r w:rsidRPr="092A9D4F">
              <w:rPr>
                <w:color w:val="000000" w:themeColor="text1"/>
                <w:sz w:val="20"/>
                <w:szCs w:val="20"/>
              </w:rPr>
              <w:t>contracts</w:t>
            </w:r>
            <w:bookmarkEnd w:id="26"/>
            <w:r w:rsidRPr="092A9D4F">
              <w:rPr>
                <w:color w:val="000000" w:themeColor="text1"/>
                <w:sz w:val="20"/>
                <w:szCs w:val="20"/>
              </w:rPr>
              <w:t xml:space="preserve"> and new enterprise verticals</w:t>
            </w:r>
          </w:p>
        </w:tc>
        <w:tc>
          <w:tcPr>
            <w:tcW w:w="3200" w:type="dxa"/>
            <w:tcMar>
              <w:top w:w="100" w:type="dxa"/>
              <w:left w:w="100" w:type="dxa"/>
              <w:bottom w:w="100" w:type="dxa"/>
              <w:right w:w="100" w:type="dxa"/>
            </w:tcMar>
          </w:tcPr>
          <w:p w14:paraId="6CC9B21F" w14:textId="77777777" w:rsidR="005070D9" w:rsidRDefault="00573EC3">
            <w:r>
              <w:rPr>
                <w:color w:val="000000"/>
                <w:sz w:val="20"/>
                <w:szCs w:val="20"/>
              </w:rPr>
              <w:t>Uses existing infrastructure while reaching underserved segments</w:t>
            </w:r>
          </w:p>
        </w:tc>
      </w:tr>
      <w:tr w:rsidR="005070D9" w14:paraId="30DAEDE5" w14:textId="77777777" w:rsidTr="092A9D4F">
        <w:tc>
          <w:tcPr>
            <w:tcW w:w="2000" w:type="dxa"/>
            <w:tcMar>
              <w:top w:w="100" w:type="dxa"/>
              <w:left w:w="100" w:type="dxa"/>
              <w:bottom w:w="100" w:type="dxa"/>
              <w:right w:w="100" w:type="dxa"/>
            </w:tcMar>
          </w:tcPr>
          <w:p w14:paraId="2EB2A6A7" w14:textId="77777777" w:rsidR="005070D9" w:rsidRDefault="00573EC3">
            <w:r>
              <w:rPr>
                <w:color w:val="000000"/>
                <w:sz w:val="20"/>
                <w:szCs w:val="20"/>
              </w:rPr>
              <w:t>Product development</w:t>
            </w:r>
          </w:p>
        </w:tc>
        <w:tc>
          <w:tcPr>
            <w:tcW w:w="3800" w:type="dxa"/>
            <w:tcMar>
              <w:top w:w="100" w:type="dxa"/>
              <w:left w:w="100" w:type="dxa"/>
              <w:bottom w:w="100" w:type="dxa"/>
              <w:right w:w="100" w:type="dxa"/>
            </w:tcMar>
          </w:tcPr>
          <w:p w14:paraId="16B022E5" w14:textId="77777777" w:rsidR="005070D9" w:rsidRDefault="00573EC3">
            <w:r>
              <w:rPr>
                <w:color w:val="000000"/>
                <w:sz w:val="20"/>
                <w:szCs w:val="20"/>
              </w:rPr>
              <w:t>Private 5G, IoT, managed cybersecurity and secure cloud connectivity</w:t>
            </w:r>
          </w:p>
        </w:tc>
        <w:tc>
          <w:tcPr>
            <w:tcW w:w="3200" w:type="dxa"/>
            <w:tcMar>
              <w:top w:w="100" w:type="dxa"/>
              <w:left w:w="100" w:type="dxa"/>
              <w:bottom w:w="100" w:type="dxa"/>
              <w:right w:w="100" w:type="dxa"/>
            </w:tcMar>
          </w:tcPr>
          <w:p w14:paraId="7E3776F1" w14:textId="77777777" w:rsidR="005070D9" w:rsidRDefault="00573EC3">
            <w:r>
              <w:rPr>
                <w:color w:val="000000"/>
                <w:sz w:val="20"/>
                <w:szCs w:val="20"/>
              </w:rPr>
              <w:t>Attractive growth potential but requires specialist capabilities and partnerships</w:t>
            </w:r>
          </w:p>
        </w:tc>
      </w:tr>
      <w:tr w:rsidR="005070D9" w14:paraId="44CADB00" w14:textId="77777777" w:rsidTr="092A9D4F">
        <w:tc>
          <w:tcPr>
            <w:tcW w:w="2000" w:type="dxa"/>
            <w:tcMar>
              <w:top w:w="100" w:type="dxa"/>
              <w:left w:w="100" w:type="dxa"/>
              <w:bottom w:w="100" w:type="dxa"/>
              <w:right w:w="100" w:type="dxa"/>
            </w:tcMar>
          </w:tcPr>
          <w:p w14:paraId="59E524B6" w14:textId="77777777" w:rsidR="005070D9" w:rsidRDefault="00573EC3">
            <w:r>
              <w:rPr>
                <w:color w:val="000000"/>
                <w:sz w:val="20"/>
                <w:szCs w:val="20"/>
              </w:rPr>
              <w:t>Diversification</w:t>
            </w:r>
          </w:p>
        </w:tc>
        <w:tc>
          <w:tcPr>
            <w:tcW w:w="3800" w:type="dxa"/>
            <w:tcMar>
              <w:top w:w="100" w:type="dxa"/>
              <w:left w:w="100" w:type="dxa"/>
              <w:bottom w:w="100" w:type="dxa"/>
              <w:right w:w="100" w:type="dxa"/>
            </w:tcMar>
          </w:tcPr>
          <w:p w14:paraId="46BE2EA3" w14:textId="77777777" w:rsidR="005070D9" w:rsidRDefault="00573EC3">
            <w:r w:rsidRPr="092A9D4F">
              <w:rPr>
                <w:color w:val="000000" w:themeColor="text1"/>
                <w:sz w:val="20"/>
                <w:szCs w:val="20"/>
              </w:rPr>
              <w:t xml:space="preserve">Financial services, digital </w:t>
            </w:r>
            <w:bookmarkStart w:id="27" w:name="_Int_EmSQgGAW"/>
            <w:r w:rsidRPr="092A9D4F">
              <w:rPr>
                <w:color w:val="000000" w:themeColor="text1"/>
                <w:sz w:val="20"/>
                <w:szCs w:val="20"/>
              </w:rPr>
              <w:t>health</w:t>
            </w:r>
            <w:bookmarkEnd w:id="27"/>
            <w:r w:rsidRPr="092A9D4F">
              <w:rPr>
                <w:color w:val="000000" w:themeColor="text1"/>
                <w:sz w:val="20"/>
                <w:szCs w:val="20"/>
              </w:rPr>
              <w:t xml:space="preserve"> or energy management</w:t>
            </w:r>
          </w:p>
        </w:tc>
        <w:tc>
          <w:tcPr>
            <w:tcW w:w="3200" w:type="dxa"/>
            <w:tcMar>
              <w:top w:w="100" w:type="dxa"/>
              <w:left w:w="100" w:type="dxa"/>
              <w:bottom w:w="100" w:type="dxa"/>
              <w:right w:w="100" w:type="dxa"/>
            </w:tcMar>
          </w:tcPr>
          <w:p w14:paraId="090FF8DD" w14:textId="77777777" w:rsidR="005070D9" w:rsidRDefault="00573EC3">
            <w:r>
              <w:rPr>
                <w:color w:val="000000"/>
                <w:sz w:val="20"/>
                <w:szCs w:val="20"/>
              </w:rPr>
              <w:t>Highest risk and potentially distracting during integration</w:t>
            </w:r>
          </w:p>
        </w:tc>
      </w:tr>
    </w:tbl>
    <w:p w14:paraId="354068FD" w14:textId="77777777" w:rsidR="005070D9" w:rsidRDefault="00573EC3">
      <w:pPr>
        <w:spacing w:after="200" w:line="276" w:lineRule="auto"/>
      </w:pPr>
      <w:r>
        <w:t>Ansoff's (1957) framework supports a combination of market development and product development. Market penetration alone is unlikely to produce sufficient growth, while broad diversification would stretch resources during a complex merger integration.</w:t>
      </w:r>
    </w:p>
    <w:p w14:paraId="03089186" w14:textId="77777777" w:rsidR="005070D9" w:rsidRDefault="00573EC3">
      <w:pPr>
        <w:pStyle w:val="Heading2"/>
      </w:pPr>
      <w:bookmarkStart w:id="28" w:name="_Toc815200182"/>
      <w:r>
        <w:t>3.2 Recommended Strategy: Focused Market and Product Development</w:t>
      </w:r>
      <w:bookmarkEnd w:id="28"/>
    </w:p>
    <w:p w14:paraId="7AC36C76" w14:textId="77777777" w:rsidR="005070D9" w:rsidRDefault="00573EC3">
      <w:pPr>
        <w:spacing w:after="200" w:line="276" w:lineRule="auto"/>
      </w:pPr>
      <w:r>
        <w:t>VodafoneThree should position itself as a leading provider of secure connectivity and enterprise network services. The recommendation retains the original four pillars but narrows their scope and introduces staged investment.</w:t>
      </w:r>
    </w:p>
    <w:p w14:paraId="3624E035" w14:textId="77777777" w:rsidR="005070D9" w:rsidRDefault="00573EC3">
      <w:pPr>
        <w:spacing w:after="200" w:line="276" w:lineRule="auto"/>
      </w:pPr>
      <w:r>
        <w:t xml:space="preserve">Enterprise IoT and private 5G. VodafoneThree should prioritise manufacturing, </w:t>
      </w:r>
      <w:bookmarkStart w:id="29" w:name="_Int_yTpMCcTX"/>
      <w:r>
        <w:t>logistics</w:t>
      </w:r>
      <w:bookmarkEnd w:id="29"/>
      <w:r>
        <w:t>, utilities and selected public services where secure, low-latency connectivity produces measurable operational value. Smart-city initiatives should begin as limited partnerships rather than large speculative programmes.</w:t>
      </w:r>
    </w:p>
    <w:p w14:paraId="3FBA2CE4" w14:textId="77777777" w:rsidR="005070D9" w:rsidRDefault="00573EC3">
      <w:pPr>
        <w:spacing w:after="200" w:line="276" w:lineRule="auto"/>
      </w:pPr>
      <w:r>
        <w:t xml:space="preserve">AI-supported service innovation. AI should initially improve customer support, fraud detection, network </w:t>
      </w:r>
      <w:bookmarkStart w:id="30" w:name="_Int_V3WJxtQJ"/>
      <w:r>
        <w:t>planning</w:t>
      </w:r>
      <w:bookmarkEnd w:id="30"/>
      <w:r>
        <w:t xml:space="preserve"> and predictive maintenance. A broad AI-as-a-service proposition is less defensible because VodafoneThree would compete against hyperscalers and specialist software providers. Deloitte (2026) estimates that the wider market for technology services beyond connectivity exceeds US$1.7 trillion in 2026 and is growing at double-digit rates through 2030. However, only about US$620 billion may be addressable by telecom operators, and the sector faces low margins, complex delivery and hyperscaler competition.</w:t>
      </w:r>
    </w:p>
    <w:p w14:paraId="64590649" w14:textId="77777777" w:rsidR="005070D9" w:rsidRDefault="00573EC3">
      <w:pPr>
        <w:spacing w:after="200" w:line="276" w:lineRule="auto"/>
      </w:pPr>
      <w:r>
        <w:t xml:space="preserve">Managed cybersecurity and cloud connectivity. VodafoneThree should integrate network access, secure cloud connections, zero-trust </w:t>
      </w:r>
      <w:bookmarkStart w:id="31" w:name="_Int_DvnBXGxS"/>
      <w:r>
        <w:t>solutions</w:t>
      </w:r>
      <w:bookmarkEnd w:id="31"/>
      <w:r>
        <w:t xml:space="preserve"> and monitoring. Its advantage lies in combining connectivity and security, not attempting to own the underlying cloud platform.</w:t>
      </w:r>
    </w:p>
    <w:p w14:paraId="46530818" w14:textId="77777777" w:rsidR="005070D9" w:rsidRDefault="00573EC3">
      <w:pPr>
        <w:spacing w:after="200" w:line="276" w:lineRule="auto"/>
      </w:pPr>
      <w:r>
        <w:t xml:space="preserve">5G SA acceleration and partnerships. The company should deliver its regulated network plan while using alliances with vendors, </w:t>
      </w:r>
      <w:bookmarkStart w:id="32" w:name="_Int_zYTgHdDR"/>
      <w:r>
        <w:t>universities</w:t>
      </w:r>
      <w:bookmarkEnd w:id="32"/>
      <w:r>
        <w:t xml:space="preserve"> and integrators to reduce capability gaps. Partnerships shorten development time but may reduce margins and control, so contracts require clear service levels and shared accountability.</w:t>
      </w:r>
    </w:p>
    <w:p w14:paraId="7A6A57EF" w14:textId="77777777" w:rsidR="005070D9" w:rsidRDefault="00573EC3">
      <w:pPr>
        <w:spacing w:after="200" w:line="276" w:lineRule="auto"/>
      </w:pPr>
      <w:r>
        <w:t xml:space="preserve">This focused approach reflects dynamic-capabilities </w:t>
      </w:r>
      <w:bookmarkStart w:id="33" w:name="_Int_bjuHFVR7"/>
      <w:r>
        <w:t>thinking:</w:t>
      </w:r>
      <w:bookmarkEnd w:id="33"/>
      <w:r>
        <w:t xml:space="preserve"> competitive advantage depends not only on owning resources but on sensing opportunities, seizing them and reconfiguring the organisation effectively (Teece, 2007). Each enterprise proposition should pass stage-gate tests covering adoption, reliability, </w:t>
      </w:r>
      <w:bookmarkStart w:id="34" w:name="_Int_BmEhkyi3"/>
      <w:r>
        <w:t>margin</w:t>
      </w:r>
      <w:bookmarkEnd w:id="34"/>
      <w:r>
        <w:t xml:space="preserve"> and strategic fit before national scaling.</w:t>
      </w:r>
    </w:p>
    <w:p w14:paraId="5CBC5625" w14:textId="77777777" w:rsidR="005070D9" w:rsidRDefault="00573EC3">
      <w:pPr>
        <w:spacing w:after="200" w:line="276" w:lineRule="auto"/>
      </w:pPr>
      <w:r>
        <w:t xml:space="preserve">The combined strategy is also more defensible than market penetration alone. Price-led penetration could increase subscriber numbers but intensify cannibalisation between VodafoneThree's premium and value brands. In contrast, focused enterprise solutions use assets that competitors and new entrants cannot reproduce easily. The trade-off is that enterprise sales cycles are longer and delivery is more complex. Management should consequently judge success through contract quality, contribution </w:t>
      </w:r>
      <w:bookmarkStart w:id="35" w:name="_Int_CepCZkLi"/>
      <w:r>
        <w:t>margin</w:t>
      </w:r>
      <w:bookmarkEnd w:id="35"/>
      <w:r>
        <w:t xml:space="preserve"> and retention rather than headline customer numbers.</w:t>
      </w:r>
    </w:p>
    <w:p w14:paraId="4041C00E" w14:textId="77777777" w:rsidR="005070D9" w:rsidRDefault="00573EC3">
      <w:pPr>
        <w:pStyle w:val="Heading2"/>
      </w:pPr>
      <w:bookmarkStart w:id="36" w:name="_Toc1479398379"/>
      <w:r>
        <w:t>3.3 Porter's Generic Strategy: Differentiation</w:t>
      </w:r>
      <w:bookmarkEnd w:id="36"/>
    </w:p>
    <w:p w14:paraId="3571A12B" w14:textId="77777777" w:rsidR="005070D9" w:rsidRDefault="00573EC3">
      <w:pPr>
        <w:spacing w:after="200" w:line="276" w:lineRule="auto"/>
      </w:pPr>
      <w:r>
        <w:t>VodafoneThree should pursue broad differentiation rather than pure cost leadership (Porter, 1980). Differentiation should rest on reliable 5G SA, integrated fixed and mobile connectivity, managed security, sector expertise and consistent customer support. This can reduce dependence on price promotions and increase switching costs for customers using integrated services. However, claims of network leadership must be supported by independent evidence; coverage targets alone do not demonstrate superior experience.</w:t>
      </w:r>
    </w:p>
    <w:p w14:paraId="6340BE6B" w14:textId="77777777" w:rsidR="005070D9" w:rsidRDefault="00573EC3">
      <w:pPr>
        <w:pStyle w:val="Heading1"/>
      </w:pPr>
      <w:bookmarkStart w:id="37" w:name="_Toc1835366247"/>
      <w:r>
        <w:t>4. Strategy Evaluation: SFA Framework</w:t>
      </w:r>
      <w:bookmarkEnd w:id="37"/>
    </w:p>
    <w:p w14:paraId="45D5F9DE" w14:textId="77777777" w:rsidR="005070D9" w:rsidRDefault="00573EC3">
      <w:pPr>
        <w:pStyle w:val="Heading2"/>
      </w:pPr>
      <w:bookmarkStart w:id="38" w:name="_Toc1473054653"/>
      <w:r>
        <w:t>Assumptions</w:t>
      </w:r>
      <w:bookmarkEnd w:id="38"/>
    </w:p>
    <w:p w14:paraId="3CDFA22D" w14:textId="77777777" w:rsidR="005070D9" w:rsidRDefault="00573EC3">
      <w:pPr>
        <w:spacing w:after="200" w:line="276" w:lineRule="auto"/>
      </w:pPr>
      <w:r>
        <w:t xml:space="preserve">The recommendation assumes continuing enterprise demand for secure connectivity, manageable integration disruption, stable regulatory </w:t>
      </w:r>
      <w:bookmarkStart w:id="39" w:name="_Int_WibHqAHU"/>
      <w:r>
        <w:t>conditions</w:t>
      </w:r>
      <w:bookmarkEnd w:id="39"/>
      <w:r>
        <w:t xml:space="preserve"> and access to specialist skills. These assumptions should be treated as testable conditions rather than predictions.</w:t>
      </w:r>
    </w:p>
    <w:p w14:paraId="6A5D5ABB" w14:textId="77777777" w:rsidR="005070D9" w:rsidRDefault="00573EC3">
      <w:pPr>
        <w:pStyle w:val="Heading2"/>
      </w:pPr>
      <w:bookmarkStart w:id="40" w:name="_Toc487725004"/>
      <w:r>
        <w:t>Suitability</w:t>
      </w:r>
      <w:bookmarkEnd w:id="40"/>
    </w:p>
    <w:p w14:paraId="1A6EB597" w14:textId="77777777" w:rsidR="005070D9" w:rsidRDefault="00573EC3">
      <w:pPr>
        <w:spacing w:after="200" w:line="276" w:lineRule="auto"/>
      </w:pPr>
      <w:r>
        <w:t>The strategy addresses the maturity of consumer mobile services by targeting underserved locations and higher-value enterprise needs. It exploits spectrum, network reach and existing Vodafone Business capabilities while responding to cybersecurity and IoT demand. It is more suitable than unrelated diversification because each priority remains connected to VodafoneThree's infrastructure. Nevertheless, the strategy would become unsuitable if management attempted to pursue every technology opportunity simultaneously.</w:t>
      </w:r>
    </w:p>
    <w:p w14:paraId="24392CC9" w14:textId="77777777" w:rsidR="005070D9" w:rsidRDefault="00573EC3">
      <w:pPr>
        <w:pStyle w:val="Heading2"/>
      </w:pPr>
      <w:bookmarkStart w:id="41" w:name="_Toc749719580"/>
      <w:r>
        <w:t>Feasibility</w:t>
      </w:r>
      <w:bookmarkEnd w:id="41"/>
    </w:p>
    <w:p w14:paraId="4077E712" w14:textId="77777777" w:rsidR="005070D9" w:rsidRDefault="00573EC3">
      <w:pPr>
        <w:spacing w:after="200" w:line="276" w:lineRule="auto"/>
      </w:pPr>
      <w:r>
        <w:t xml:space="preserve">The £11 billion investment programme and anticipated £700 million annual synergies support financial feasibility, but neither guarantees adequate returns. Integration costs, customer </w:t>
      </w:r>
      <w:bookmarkStart w:id="42" w:name="_Int_NwlRxEEy"/>
      <w:r>
        <w:t>disruption</w:t>
      </w:r>
      <w:bookmarkEnd w:id="42"/>
      <w:r>
        <w:t xml:space="preserve"> and delays could weaken the business case. The proposed £4.3 billion acquisition may simplify governance if completed, yet it also increases leverage and concentrates risk (Vodafone Group Plc, 2026). Operational feasibility depends on data migration, network integration, cybersecurity talent and partnerships. Stage-gate funding and pilots should therefore precede large-scale deployment.</w:t>
      </w:r>
    </w:p>
    <w:p w14:paraId="52E88564" w14:textId="77777777" w:rsidR="005070D9" w:rsidRDefault="00573EC3">
      <w:pPr>
        <w:pStyle w:val="Heading2"/>
      </w:pPr>
      <w:bookmarkStart w:id="43" w:name="_Toc1237896762"/>
      <w:r>
        <w:t>Acceptability</w:t>
      </w:r>
      <w:bookmarkEnd w:id="43"/>
    </w:p>
    <w:p w14:paraId="3D521DBA" w14:textId="77777777" w:rsidR="005070D9" w:rsidRDefault="00573EC3">
      <w:pPr>
        <w:spacing w:after="200" w:line="276" w:lineRule="auto"/>
      </w:pPr>
      <w:r>
        <w:t xml:space="preserve">Shareholders may accept the strategy if it improves cash flow and produces verifiable returns. Customers should gain improved coverage and service, although affordability and transparent pricing remain essential. Employees may benefit from reskilling but could experience restructuring uncertainty. Regulators will prioritise compliance, </w:t>
      </w:r>
      <w:bookmarkStart w:id="44" w:name="_Int_kQK4my8g"/>
      <w:r>
        <w:t>competition</w:t>
      </w:r>
      <w:bookmarkEnd w:id="44"/>
      <w:r>
        <w:t xml:space="preserve"> and service quality, while communities will expect meaningful rural coverage and digital inclusion. Acceptability therefore depends on balancing interests rather than assuming that all stakeholders benefit equally.</w:t>
      </w:r>
    </w:p>
    <w:p w14:paraId="124B3E97" w14:textId="77777777" w:rsidR="005070D9" w:rsidRDefault="00573EC3">
      <w:pPr>
        <w:pStyle w:val="Heading1"/>
      </w:pPr>
      <w:bookmarkStart w:id="45" w:name="_Toc747127073"/>
      <w:r>
        <w:t>5. Stakeholder Analysis and Engagement</w:t>
      </w:r>
      <w:bookmarkEnd w:id="45"/>
    </w:p>
    <w:p w14:paraId="6BACEE69" w14:textId="77777777" w:rsidR="005070D9" w:rsidRDefault="00573EC3">
      <w:pPr>
        <w:spacing w:after="200" w:line="276" w:lineRule="auto"/>
      </w:pPr>
      <w:r>
        <w:t>Mendelow's power-interest framework supports differentiated engagement (Whittington et al., 2023).</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400"/>
        <w:gridCol w:w="1400"/>
        <w:gridCol w:w="1400"/>
        <w:gridCol w:w="3800"/>
      </w:tblGrid>
      <w:tr w:rsidR="005070D9" w14:paraId="428C8C9F" w14:textId="77777777" w:rsidTr="092A9D4F">
        <w:trPr>
          <w:tblHeader/>
        </w:trPr>
        <w:tc>
          <w:tcPr>
            <w:tcW w:w="2400" w:type="dxa"/>
            <w:shd w:val="clear" w:color="auto" w:fill="1F3864"/>
            <w:tcMar>
              <w:top w:w="100" w:type="dxa"/>
              <w:left w:w="100" w:type="dxa"/>
              <w:bottom w:w="100" w:type="dxa"/>
              <w:right w:w="100" w:type="dxa"/>
            </w:tcMar>
          </w:tcPr>
          <w:p w14:paraId="64431DE4" w14:textId="77777777" w:rsidR="005070D9" w:rsidRDefault="00573EC3">
            <w:r>
              <w:rPr>
                <w:b/>
                <w:bCs/>
                <w:color w:val="FFFFFF"/>
                <w:sz w:val="20"/>
                <w:szCs w:val="20"/>
              </w:rPr>
              <w:t>Stakeholder</w:t>
            </w:r>
          </w:p>
        </w:tc>
        <w:tc>
          <w:tcPr>
            <w:tcW w:w="1400" w:type="dxa"/>
            <w:shd w:val="clear" w:color="auto" w:fill="1F3864"/>
            <w:tcMar>
              <w:top w:w="100" w:type="dxa"/>
              <w:left w:w="100" w:type="dxa"/>
              <w:bottom w:w="100" w:type="dxa"/>
              <w:right w:w="100" w:type="dxa"/>
            </w:tcMar>
          </w:tcPr>
          <w:p w14:paraId="7DDE954E" w14:textId="77777777" w:rsidR="005070D9" w:rsidRDefault="00573EC3">
            <w:r>
              <w:rPr>
                <w:b/>
                <w:bCs/>
                <w:color w:val="FFFFFF"/>
                <w:sz w:val="20"/>
                <w:szCs w:val="20"/>
              </w:rPr>
              <w:t>Power</w:t>
            </w:r>
          </w:p>
        </w:tc>
        <w:tc>
          <w:tcPr>
            <w:tcW w:w="1400" w:type="dxa"/>
            <w:shd w:val="clear" w:color="auto" w:fill="1F3864"/>
            <w:tcMar>
              <w:top w:w="100" w:type="dxa"/>
              <w:left w:w="100" w:type="dxa"/>
              <w:bottom w:w="100" w:type="dxa"/>
              <w:right w:w="100" w:type="dxa"/>
            </w:tcMar>
          </w:tcPr>
          <w:p w14:paraId="5F12DD9A" w14:textId="77777777" w:rsidR="005070D9" w:rsidRDefault="00573EC3">
            <w:r>
              <w:rPr>
                <w:b/>
                <w:bCs/>
                <w:color w:val="FFFFFF"/>
                <w:sz w:val="20"/>
                <w:szCs w:val="20"/>
              </w:rPr>
              <w:t>Interest</w:t>
            </w:r>
          </w:p>
        </w:tc>
        <w:tc>
          <w:tcPr>
            <w:tcW w:w="3800" w:type="dxa"/>
            <w:shd w:val="clear" w:color="auto" w:fill="1F3864"/>
            <w:tcMar>
              <w:top w:w="100" w:type="dxa"/>
              <w:left w:w="100" w:type="dxa"/>
              <w:bottom w:w="100" w:type="dxa"/>
              <w:right w:w="100" w:type="dxa"/>
            </w:tcMar>
          </w:tcPr>
          <w:p w14:paraId="71CC37FB" w14:textId="77777777" w:rsidR="005070D9" w:rsidRDefault="00573EC3">
            <w:r>
              <w:rPr>
                <w:b/>
                <w:bCs/>
                <w:color w:val="FFFFFF"/>
                <w:sz w:val="20"/>
                <w:szCs w:val="20"/>
              </w:rPr>
              <w:t>Management approach</w:t>
            </w:r>
          </w:p>
        </w:tc>
      </w:tr>
      <w:tr w:rsidR="005070D9" w14:paraId="0900B459" w14:textId="77777777" w:rsidTr="092A9D4F">
        <w:tc>
          <w:tcPr>
            <w:tcW w:w="2400" w:type="dxa"/>
            <w:tcMar>
              <w:top w:w="100" w:type="dxa"/>
              <w:left w:w="100" w:type="dxa"/>
              <w:bottom w:w="100" w:type="dxa"/>
              <w:right w:w="100" w:type="dxa"/>
            </w:tcMar>
          </w:tcPr>
          <w:p w14:paraId="24FB93F1" w14:textId="77777777" w:rsidR="005070D9" w:rsidRDefault="00573EC3">
            <w:r>
              <w:rPr>
                <w:color w:val="000000"/>
                <w:sz w:val="20"/>
                <w:szCs w:val="20"/>
              </w:rPr>
              <w:t>Shareholders</w:t>
            </w:r>
          </w:p>
        </w:tc>
        <w:tc>
          <w:tcPr>
            <w:tcW w:w="1400" w:type="dxa"/>
            <w:tcMar>
              <w:top w:w="100" w:type="dxa"/>
              <w:left w:w="100" w:type="dxa"/>
              <w:bottom w:w="100" w:type="dxa"/>
              <w:right w:w="100" w:type="dxa"/>
            </w:tcMar>
          </w:tcPr>
          <w:p w14:paraId="626758C5" w14:textId="77777777" w:rsidR="005070D9" w:rsidRDefault="00573EC3">
            <w:r>
              <w:rPr>
                <w:color w:val="000000"/>
                <w:sz w:val="20"/>
                <w:szCs w:val="20"/>
              </w:rPr>
              <w:t>High</w:t>
            </w:r>
          </w:p>
        </w:tc>
        <w:tc>
          <w:tcPr>
            <w:tcW w:w="1400" w:type="dxa"/>
            <w:tcMar>
              <w:top w:w="100" w:type="dxa"/>
              <w:left w:w="100" w:type="dxa"/>
              <w:bottom w:w="100" w:type="dxa"/>
              <w:right w:w="100" w:type="dxa"/>
            </w:tcMar>
          </w:tcPr>
          <w:p w14:paraId="31C55DB3" w14:textId="77777777" w:rsidR="005070D9" w:rsidRDefault="00573EC3">
            <w:r>
              <w:rPr>
                <w:color w:val="000000"/>
                <w:sz w:val="20"/>
                <w:szCs w:val="20"/>
              </w:rPr>
              <w:t>High</w:t>
            </w:r>
          </w:p>
        </w:tc>
        <w:tc>
          <w:tcPr>
            <w:tcW w:w="3800" w:type="dxa"/>
            <w:tcMar>
              <w:top w:w="100" w:type="dxa"/>
              <w:left w:w="100" w:type="dxa"/>
              <w:bottom w:w="100" w:type="dxa"/>
              <w:right w:w="100" w:type="dxa"/>
            </w:tcMar>
          </w:tcPr>
          <w:p w14:paraId="7BA87796" w14:textId="77777777" w:rsidR="005070D9" w:rsidRDefault="00573EC3">
            <w:r w:rsidRPr="092A9D4F">
              <w:rPr>
                <w:color w:val="000000" w:themeColor="text1"/>
                <w:sz w:val="20"/>
                <w:szCs w:val="20"/>
              </w:rPr>
              <w:t xml:space="preserve">Manage closely through capital and </w:t>
            </w:r>
            <w:bookmarkStart w:id="46" w:name="_Int_TWoseMb5"/>
            <w:r w:rsidRPr="092A9D4F">
              <w:rPr>
                <w:color w:val="000000" w:themeColor="text1"/>
                <w:sz w:val="20"/>
                <w:szCs w:val="20"/>
              </w:rPr>
              <w:t>synergy</w:t>
            </w:r>
            <w:bookmarkEnd w:id="46"/>
            <w:r w:rsidRPr="092A9D4F">
              <w:rPr>
                <w:color w:val="000000" w:themeColor="text1"/>
                <w:sz w:val="20"/>
                <w:szCs w:val="20"/>
              </w:rPr>
              <w:t xml:space="preserve"> reporting</w:t>
            </w:r>
          </w:p>
        </w:tc>
      </w:tr>
      <w:tr w:rsidR="005070D9" w14:paraId="58DF05D8" w14:textId="77777777" w:rsidTr="092A9D4F">
        <w:tc>
          <w:tcPr>
            <w:tcW w:w="2400" w:type="dxa"/>
            <w:tcMar>
              <w:top w:w="100" w:type="dxa"/>
              <w:left w:w="100" w:type="dxa"/>
              <w:bottom w:w="100" w:type="dxa"/>
              <w:right w:w="100" w:type="dxa"/>
            </w:tcMar>
          </w:tcPr>
          <w:p w14:paraId="7B1381BC" w14:textId="77777777" w:rsidR="005070D9" w:rsidRDefault="00573EC3">
            <w:r w:rsidRPr="092A9D4F">
              <w:rPr>
                <w:color w:val="000000" w:themeColor="text1"/>
                <w:sz w:val="20"/>
                <w:szCs w:val="20"/>
              </w:rPr>
              <w:t xml:space="preserve">CMA, </w:t>
            </w:r>
            <w:bookmarkStart w:id="47" w:name="_Int_5b1vpSYa"/>
            <w:r w:rsidRPr="092A9D4F">
              <w:rPr>
                <w:color w:val="000000" w:themeColor="text1"/>
                <w:sz w:val="20"/>
                <w:szCs w:val="20"/>
              </w:rPr>
              <w:t>Ofcom</w:t>
            </w:r>
            <w:bookmarkEnd w:id="47"/>
            <w:r w:rsidRPr="092A9D4F">
              <w:rPr>
                <w:color w:val="000000" w:themeColor="text1"/>
                <w:sz w:val="20"/>
                <w:szCs w:val="20"/>
              </w:rPr>
              <w:t xml:space="preserve"> and government</w:t>
            </w:r>
          </w:p>
        </w:tc>
        <w:tc>
          <w:tcPr>
            <w:tcW w:w="1400" w:type="dxa"/>
            <w:tcMar>
              <w:top w:w="100" w:type="dxa"/>
              <w:left w:w="100" w:type="dxa"/>
              <w:bottom w:w="100" w:type="dxa"/>
              <w:right w:w="100" w:type="dxa"/>
            </w:tcMar>
          </w:tcPr>
          <w:p w14:paraId="36650D79" w14:textId="77777777" w:rsidR="005070D9" w:rsidRDefault="00573EC3">
            <w:r>
              <w:rPr>
                <w:color w:val="000000"/>
                <w:sz w:val="20"/>
                <w:szCs w:val="20"/>
              </w:rPr>
              <w:t>High</w:t>
            </w:r>
          </w:p>
        </w:tc>
        <w:tc>
          <w:tcPr>
            <w:tcW w:w="1400" w:type="dxa"/>
            <w:tcMar>
              <w:top w:w="100" w:type="dxa"/>
              <w:left w:w="100" w:type="dxa"/>
              <w:bottom w:w="100" w:type="dxa"/>
              <w:right w:w="100" w:type="dxa"/>
            </w:tcMar>
          </w:tcPr>
          <w:p w14:paraId="5DC29E51" w14:textId="77777777" w:rsidR="005070D9" w:rsidRDefault="00573EC3">
            <w:r>
              <w:rPr>
                <w:color w:val="000000"/>
                <w:sz w:val="20"/>
                <w:szCs w:val="20"/>
              </w:rPr>
              <w:t>High</w:t>
            </w:r>
          </w:p>
        </w:tc>
        <w:tc>
          <w:tcPr>
            <w:tcW w:w="3800" w:type="dxa"/>
            <w:tcMar>
              <w:top w:w="100" w:type="dxa"/>
              <w:left w:w="100" w:type="dxa"/>
              <w:bottom w:w="100" w:type="dxa"/>
              <w:right w:w="100" w:type="dxa"/>
            </w:tcMar>
          </w:tcPr>
          <w:p w14:paraId="0E406E95" w14:textId="77777777" w:rsidR="005070D9" w:rsidRDefault="00573EC3">
            <w:r>
              <w:rPr>
                <w:color w:val="000000"/>
                <w:sz w:val="20"/>
                <w:szCs w:val="20"/>
              </w:rPr>
              <w:t>Maintain transparent compliance and milestone reporting</w:t>
            </w:r>
          </w:p>
        </w:tc>
      </w:tr>
      <w:tr w:rsidR="005070D9" w14:paraId="2A9BBB1A" w14:textId="77777777" w:rsidTr="092A9D4F">
        <w:tc>
          <w:tcPr>
            <w:tcW w:w="2400" w:type="dxa"/>
            <w:tcMar>
              <w:top w:w="100" w:type="dxa"/>
              <w:left w:w="100" w:type="dxa"/>
              <w:bottom w:w="100" w:type="dxa"/>
              <w:right w:w="100" w:type="dxa"/>
            </w:tcMar>
          </w:tcPr>
          <w:p w14:paraId="7EF026C0" w14:textId="77777777" w:rsidR="005070D9" w:rsidRDefault="00573EC3">
            <w:r>
              <w:rPr>
                <w:color w:val="000000"/>
                <w:sz w:val="20"/>
                <w:szCs w:val="20"/>
              </w:rPr>
              <w:t>Customers and MVNOs</w:t>
            </w:r>
          </w:p>
        </w:tc>
        <w:tc>
          <w:tcPr>
            <w:tcW w:w="1400" w:type="dxa"/>
            <w:tcMar>
              <w:top w:w="100" w:type="dxa"/>
              <w:left w:w="100" w:type="dxa"/>
              <w:bottom w:w="100" w:type="dxa"/>
              <w:right w:w="100" w:type="dxa"/>
            </w:tcMar>
          </w:tcPr>
          <w:p w14:paraId="5E0B9A8B" w14:textId="77777777" w:rsidR="005070D9" w:rsidRDefault="00573EC3">
            <w:r>
              <w:rPr>
                <w:color w:val="000000"/>
                <w:sz w:val="20"/>
                <w:szCs w:val="20"/>
              </w:rPr>
              <w:t>Medium–High</w:t>
            </w:r>
          </w:p>
        </w:tc>
        <w:tc>
          <w:tcPr>
            <w:tcW w:w="1400" w:type="dxa"/>
            <w:tcMar>
              <w:top w:w="100" w:type="dxa"/>
              <w:left w:w="100" w:type="dxa"/>
              <w:bottom w:w="100" w:type="dxa"/>
              <w:right w:w="100" w:type="dxa"/>
            </w:tcMar>
          </w:tcPr>
          <w:p w14:paraId="7E34BE01" w14:textId="77777777" w:rsidR="005070D9" w:rsidRDefault="00573EC3">
            <w:r>
              <w:rPr>
                <w:color w:val="000000"/>
                <w:sz w:val="20"/>
                <w:szCs w:val="20"/>
              </w:rPr>
              <w:t>High</w:t>
            </w:r>
          </w:p>
        </w:tc>
        <w:tc>
          <w:tcPr>
            <w:tcW w:w="3800" w:type="dxa"/>
            <w:tcMar>
              <w:top w:w="100" w:type="dxa"/>
              <w:left w:w="100" w:type="dxa"/>
              <w:bottom w:w="100" w:type="dxa"/>
              <w:right w:w="100" w:type="dxa"/>
            </w:tcMar>
          </w:tcPr>
          <w:p w14:paraId="486A21B3" w14:textId="77777777" w:rsidR="005070D9" w:rsidRDefault="00573EC3">
            <w:r>
              <w:rPr>
                <w:color w:val="000000"/>
                <w:sz w:val="20"/>
                <w:szCs w:val="20"/>
              </w:rPr>
              <w:t>Consult, monitor experience and communicate service changes</w:t>
            </w:r>
          </w:p>
        </w:tc>
      </w:tr>
      <w:tr w:rsidR="005070D9" w14:paraId="7EFB5C02" w14:textId="77777777" w:rsidTr="092A9D4F">
        <w:tc>
          <w:tcPr>
            <w:tcW w:w="2400" w:type="dxa"/>
            <w:tcMar>
              <w:top w:w="100" w:type="dxa"/>
              <w:left w:w="100" w:type="dxa"/>
              <w:bottom w:w="100" w:type="dxa"/>
              <w:right w:w="100" w:type="dxa"/>
            </w:tcMar>
          </w:tcPr>
          <w:p w14:paraId="33659D94" w14:textId="77777777" w:rsidR="005070D9" w:rsidRDefault="00573EC3">
            <w:r>
              <w:rPr>
                <w:color w:val="000000"/>
                <w:sz w:val="20"/>
                <w:szCs w:val="20"/>
              </w:rPr>
              <w:t>Employees and trade unions</w:t>
            </w:r>
          </w:p>
        </w:tc>
        <w:tc>
          <w:tcPr>
            <w:tcW w:w="1400" w:type="dxa"/>
            <w:tcMar>
              <w:top w:w="100" w:type="dxa"/>
              <w:left w:w="100" w:type="dxa"/>
              <w:bottom w:w="100" w:type="dxa"/>
              <w:right w:w="100" w:type="dxa"/>
            </w:tcMar>
          </w:tcPr>
          <w:p w14:paraId="5C5AF508" w14:textId="77777777" w:rsidR="005070D9" w:rsidRDefault="00573EC3">
            <w:r>
              <w:rPr>
                <w:color w:val="000000"/>
                <w:sz w:val="20"/>
                <w:szCs w:val="20"/>
              </w:rPr>
              <w:t>Medium</w:t>
            </w:r>
          </w:p>
        </w:tc>
        <w:tc>
          <w:tcPr>
            <w:tcW w:w="1400" w:type="dxa"/>
            <w:tcMar>
              <w:top w:w="100" w:type="dxa"/>
              <w:left w:w="100" w:type="dxa"/>
              <w:bottom w:w="100" w:type="dxa"/>
              <w:right w:w="100" w:type="dxa"/>
            </w:tcMar>
          </w:tcPr>
          <w:p w14:paraId="28770B93" w14:textId="77777777" w:rsidR="005070D9" w:rsidRDefault="00573EC3">
            <w:r>
              <w:rPr>
                <w:color w:val="000000"/>
                <w:sz w:val="20"/>
                <w:szCs w:val="20"/>
              </w:rPr>
              <w:t>High</w:t>
            </w:r>
          </w:p>
        </w:tc>
        <w:tc>
          <w:tcPr>
            <w:tcW w:w="3800" w:type="dxa"/>
            <w:tcMar>
              <w:top w:w="100" w:type="dxa"/>
              <w:left w:w="100" w:type="dxa"/>
              <w:bottom w:w="100" w:type="dxa"/>
              <w:right w:w="100" w:type="dxa"/>
            </w:tcMar>
          </w:tcPr>
          <w:p w14:paraId="7A03CDCE" w14:textId="77777777" w:rsidR="005070D9" w:rsidRDefault="00573EC3">
            <w:r>
              <w:rPr>
                <w:color w:val="000000"/>
                <w:sz w:val="20"/>
                <w:szCs w:val="20"/>
              </w:rPr>
              <w:t>Engage actively through consultation and reskilling</w:t>
            </w:r>
          </w:p>
        </w:tc>
      </w:tr>
      <w:tr w:rsidR="005070D9" w14:paraId="61F7F881" w14:textId="77777777" w:rsidTr="092A9D4F">
        <w:tc>
          <w:tcPr>
            <w:tcW w:w="2400" w:type="dxa"/>
            <w:tcMar>
              <w:top w:w="100" w:type="dxa"/>
              <w:left w:w="100" w:type="dxa"/>
              <w:bottom w:w="100" w:type="dxa"/>
              <w:right w:w="100" w:type="dxa"/>
            </w:tcMar>
          </w:tcPr>
          <w:p w14:paraId="0C05A274" w14:textId="77777777" w:rsidR="005070D9" w:rsidRDefault="00573EC3">
            <w:r>
              <w:rPr>
                <w:color w:val="000000"/>
                <w:sz w:val="20"/>
                <w:szCs w:val="20"/>
              </w:rPr>
              <w:t>Technology suppliers</w:t>
            </w:r>
          </w:p>
        </w:tc>
        <w:tc>
          <w:tcPr>
            <w:tcW w:w="1400" w:type="dxa"/>
            <w:tcMar>
              <w:top w:w="100" w:type="dxa"/>
              <w:left w:w="100" w:type="dxa"/>
              <w:bottom w:w="100" w:type="dxa"/>
              <w:right w:w="100" w:type="dxa"/>
            </w:tcMar>
          </w:tcPr>
          <w:p w14:paraId="4F35FB01" w14:textId="77777777" w:rsidR="005070D9" w:rsidRDefault="00573EC3">
            <w:r>
              <w:rPr>
                <w:color w:val="000000"/>
                <w:sz w:val="20"/>
                <w:szCs w:val="20"/>
              </w:rPr>
              <w:t>Medium</w:t>
            </w:r>
          </w:p>
        </w:tc>
        <w:tc>
          <w:tcPr>
            <w:tcW w:w="1400" w:type="dxa"/>
            <w:tcMar>
              <w:top w:w="100" w:type="dxa"/>
              <w:left w:w="100" w:type="dxa"/>
              <w:bottom w:w="100" w:type="dxa"/>
              <w:right w:w="100" w:type="dxa"/>
            </w:tcMar>
          </w:tcPr>
          <w:p w14:paraId="64EB3E69" w14:textId="77777777" w:rsidR="005070D9" w:rsidRDefault="00573EC3">
            <w:r>
              <w:rPr>
                <w:color w:val="000000"/>
                <w:sz w:val="20"/>
                <w:szCs w:val="20"/>
              </w:rPr>
              <w:t>Medium–High</w:t>
            </w:r>
          </w:p>
        </w:tc>
        <w:tc>
          <w:tcPr>
            <w:tcW w:w="3800" w:type="dxa"/>
            <w:tcMar>
              <w:top w:w="100" w:type="dxa"/>
              <w:left w:w="100" w:type="dxa"/>
              <w:bottom w:w="100" w:type="dxa"/>
              <w:right w:w="100" w:type="dxa"/>
            </w:tcMar>
          </w:tcPr>
          <w:p w14:paraId="2FC63550" w14:textId="77777777" w:rsidR="005070D9" w:rsidRDefault="00573EC3">
            <w:r>
              <w:rPr>
                <w:color w:val="000000"/>
                <w:sz w:val="20"/>
                <w:szCs w:val="20"/>
              </w:rPr>
              <w:t>Use strategic partnerships with clear accountability</w:t>
            </w:r>
          </w:p>
        </w:tc>
      </w:tr>
      <w:tr w:rsidR="005070D9" w14:paraId="29F20447" w14:textId="77777777" w:rsidTr="092A9D4F">
        <w:tc>
          <w:tcPr>
            <w:tcW w:w="2400" w:type="dxa"/>
            <w:tcMar>
              <w:top w:w="100" w:type="dxa"/>
              <w:left w:w="100" w:type="dxa"/>
              <w:bottom w:w="100" w:type="dxa"/>
              <w:right w:w="100" w:type="dxa"/>
            </w:tcMar>
          </w:tcPr>
          <w:p w14:paraId="010560C8" w14:textId="77777777" w:rsidR="005070D9" w:rsidRDefault="00573EC3">
            <w:r>
              <w:rPr>
                <w:color w:val="000000"/>
                <w:sz w:val="20"/>
                <w:szCs w:val="20"/>
              </w:rPr>
              <w:t>Local communities</w:t>
            </w:r>
          </w:p>
        </w:tc>
        <w:tc>
          <w:tcPr>
            <w:tcW w:w="1400" w:type="dxa"/>
            <w:tcMar>
              <w:top w:w="100" w:type="dxa"/>
              <w:left w:w="100" w:type="dxa"/>
              <w:bottom w:w="100" w:type="dxa"/>
              <w:right w:w="100" w:type="dxa"/>
            </w:tcMar>
          </w:tcPr>
          <w:p w14:paraId="465E8C0F" w14:textId="77777777" w:rsidR="005070D9" w:rsidRDefault="00573EC3">
            <w:r>
              <w:rPr>
                <w:color w:val="000000"/>
                <w:sz w:val="20"/>
                <w:szCs w:val="20"/>
              </w:rPr>
              <w:t>Low–Medium</w:t>
            </w:r>
          </w:p>
        </w:tc>
        <w:tc>
          <w:tcPr>
            <w:tcW w:w="1400" w:type="dxa"/>
            <w:tcMar>
              <w:top w:w="100" w:type="dxa"/>
              <w:left w:w="100" w:type="dxa"/>
              <w:bottom w:w="100" w:type="dxa"/>
              <w:right w:w="100" w:type="dxa"/>
            </w:tcMar>
          </w:tcPr>
          <w:p w14:paraId="342FE628" w14:textId="77777777" w:rsidR="005070D9" w:rsidRDefault="00573EC3">
            <w:r>
              <w:rPr>
                <w:color w:val="000000"/>
                <w:sz w:val="20"/>
                <w:szCs w:val="20"/>
              </w:rPr>
              <w:t>High</w:t>
            </w:r>
          </w:p>
        </w:tc>
        <w:tc>
          <w:tcPr>
            <w:tcW w:w="3800" w:type="dxa"/>
            <w:tcMar>
              <w:top w:w="100" w:type="dxa"/>
              <w:left w:w="100" w:type="dxa"/>
              <w:bottom w:w="100" w:type="dxa"/>
              <w:right w:w="100" w:type="dxa"/>
            </w:tcMar>
          </w:tcPr>
          <w:p w14:paraId="2C9D4F25" w14:textId="77777777" w:rsidR="005070D9" w:rsidRDefault="00573EC3">
            <w:r w:rsidRPr="092A9D4F">
              <w:rPr>
                <w:color w:val="000000" w:themeColor="text1"/>
                <w:sz w:val="20"/>
                <w:szCs w:val="20"/>
              </w:rPr>
              <w:t xml:space="preserve">Consult on coverage, </w:t>
            </w:r>
            <w:bookmarkStart w:id="48" w:name="_Int_WxPvoFCi"/>
            <w:r w:rsidRPr="092A9D4F">
              <w:rPr>
                <w:color w:val="000000" w:themeColor="text1"/>
                <w:sz w:val="20"/>
                <w:szCs w:val="20"/>
              </w:rPr>
              <w:t>infrastructure</w:t>
            </w:r>
            <w:bookmarkEnd w:id="48"/>
            <w:r w:rsidRPr="092A9D4F">
              <w:rPr>
                <w:color w:val="000000" w:themeColor="text1"/>
                <w:sz w:val="20"/>
                <w:szCs w:val="20"/>
              </w:rPr>
              <w:t xml:space="preserve"> and digital inclusion</w:t>
            </w:r>
          </w:p>
        </w:tc>
      </w:tr>
    </w:tbl>
    <w:p w14:paraId="449AD65C" w14:textId="77777777" w:rsidR="005070D9" w:rsidRDefault="00573EC3">
      <w:pPr>
        <w:spacing w:after="200" w:line="276" w:lineRule="auto"/>
      </w:pPr>
      <w:r>
        <w:t xml:space="preserve">Engagement should move beyond one-way communication. Customer dashboards should report complaints, </w:t>
      </w:r>
      <w:bookmarkStart w:id="49" w:name="_Int_lZg4fYGw"/>
      <w:r>
        <w:t>reliability</w:t>
      </w:r>
      <w:bookmarkEnd w:id="49"/>
      <w:r>
        <w:t xml:space="preserve"> and network changes; employees require regular integration forums; and regulators need auditable evidence of network, tariff and wholesale commitments. Shareholders should receive both realised savings and integration expenditure to prevent selective reporting.</w:t>
      </w:r>
    </w:p>
    <w:p w14:paraId="031E549A" w14:textId="77777777" w:rsidR="005070D9" w:rsidRDefault="00573EC3">
      <w:pPr>
        <w:pStyle w:val="Heading1"/>
      </w:pPr>
      <w:bookmarkStart w:id="50" w:name="_Toc1469576849"/>
      <w:r>
        <w:t>6. Implementation and Monitoring</w:t>
      </w:r>
      <w:bookmarkEnd w:id="50"/>
    </w:p>
    <w:tbl>
      <w:tblPr>
        <w:tblW w:w="98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00"/>
        <w:gridCol w:w="3200"/>
        <w:gridCol w:w="3000"/>
        <w:gridCol w:w="1800"/>
      </w:tblGrid>
      <w:tr w:rsidR="005070D9" w14:paraId="21620547" w14:textId="77777777" w:rsidTr="092A9D4F">
        <w:trPr>
          <w:tblHeader/>
        </w:trPr>
        <w:tc>
          <w:tcPr>
            <w:tcW w:w="1800" w:type="dxa"/>
            <w:shd w:val="clear" w:color="auto" w:fill="1F3864"/>
            <w:tcMar>
              <w:top w:w="100" w:type="dxa"/>
              <w:left w:w="100" w:type="dxa"/>
              <w:bottom w:w="100" w:type="dxa"/>
              <w:right w:w="100" w:type="dxa"/>
            </w:tcMar>
          </w:tcPr>
          <w:p w14:paraId="3DA04EDE" w14:textId="77777777" w:rsidR="005070D9" w:rsidRDefault="00573EC3">
            <w:r>
              <w:rPr>
                <w:b/>
                <w:bCs/>
                <w:color w:val="FFFFFF"/>
                <w:sz w:val="20"/>
                <w:szCs w:val="20"/>
              </w:rPr>
              <w:t>Objective</w:t>
            </w:r>
          </w:p>
        </w:tc>
        <w:tc>
          <w:tcPr>
            <w:tcW w:w="3200" w:type="dxa"/>
            <w:shd w:val="clear" w:color="auto" w:fill="1F3864"/>
            <w:tcMar>
              <w:top w:w="100" w:type="dxa"/>
              <w:left w:w="100" w:type="dxa"/>
              <w:bottom w:w="100" w:type="dxa"/>
              <w:right w:w="100" w:type="dxa"/>
            </w:tcMar>
          </w:tcPr>
          <w:p w14:paraId="49FE79F6" w14:textId="77777777" w:rsidR="005070D9" w:rsidRDefault="00573EC3">
            <w:r>
              <w:rPr>
                <w:b/>
                <w:bCs/>
                <w:color w:val="FFFFFF"/>
                <w:sz w:val="20"/>
                <w:szCs w:val="20"/>
              </w:rPr>
              <w:t>Key action</w:t>
            </w:r>
          </w:p>
        </w:tc>
        <w:tc>
          <w:tcPr>
            <w:tcW w:w="3000" w:type="dxa"/>
            <w:shd w:val="clear" w:color="auto" w:fill="1F3864"/>
            <w:tcMar>
              <w:top w:w="100" w:type="dxa"/>
              <w:left w:w="100" w:type="dxa"/>
              <w:bottom w:w="100" w:type="dxa"/>
              <w:right w:w="100" w:type="dxa"/>
            </w:tcMar>
          </w:tcPr>
          <w:p w14:paraId="42999EA5" w14:textId="77777777" w:rsidR="005070D9" w:rsidRDefault="00573EC3">
            <w:r>
              <w:rPr>
                <w:b/>
                <w:bCs/>
                <w:color w:val="FFFFFF"/>
                <w:sz w:val="20"/>
                <w:szCs w:val="20"/>
              </w:rPr>
              <w:t>KPI</w:t>
            </w:r>
          </w:p>
        </w:tc>
        <w:tc>
          <w:tcPr>
            <w:tcW w:w="1800" w:type="dxa"/>
            <w:shd w:val="clear" w:color="auto" w:fill="1F3864"/>
            <w:tcMar>
              <w:top w:w="100" w:type="dxa"/>
              <w:left w:w="100" w:type="dxa"/>
              <w:bottom w:w="100" w:type="dxa"/>
              <w:right w:w="100" w:type="dxa"/>
            </w:tcMar>
          </w:tcPr>
          <w:p w14:paraId="1A67F656" w14:textId="77777777" w:rsidR="005070D9" w:rsidRDefault="00573EC3">
            <w:r>
              <w:rPr>
                <w:b/>
                <w:bCs/>
                <w:color w:val="FFFFFF"/>
                <w:sz w:val="20"/>
                <w:szCs w:val="20"/>
              </w:rPr>
              <w:t>Review</w:t>
            </w:r>
          </w:p>
        </w:tc>
      </w:tr>
      <w:tr w:rsidR="005070D9" w14:paraId="421A65AC" w14:textId="77777777" w:rsidTr="092A9D4F">
        <w:tc>
          <w:tcPr>
            <w:tcW w:w="1800" w:type="dxa"/>
            <w:tcMar>
              <w:top w:w="100" w:type="dxa"/>
              <w:left w:w="100" w:type="dxa"/>
              <w:bottom w:w="100" w:type="dxa"/>
              <w:right w:w="100" w:type="dxa"/>
            </w:tcMar>
          </w:tcPr>
          <w:p w14:paraId="48714BEF" w14:textId="77777777" w:rsidR="005070D9" w:rsidRDefault="00573EC3">
            <w:r>
              <w:rPr>
                <w:color w:val="000000"/>
                <w:sz w:val="20"/>
                <w:szCs w:val="20"/>
              </w:rPr>
              <w:t>Network leadership</w:t>
            </w:r>
          </w:p>
        </w:tc>
        <w:tc>
          <w:tcPr>
            <w:tcW w:w="3200" w:type="dxa"/>
            <w:tcMar>
              <w:top w:w="100" w:type="dxa"/>
              <w:left w:w="100" w:type="dxa"/>
              <w:bottom w:w="100" w:type="dxa"/>
              <w:right w:w="100" w:type="dxa"/>
            </w:tcMar>
          </w:tcPr>
          <w:p w14:paraId="3D7AF32E" w14:textId="77777777" w:rsidR="005070D9" w:rsidRDefault="00573EC3">
            <w:r>
              <w:rPr>
                <w:color w:val="000000"/>
                <w:sz w:val="20"/>
                <w:szCs w:val="20"/>
              </w:rPr>
              <w:t>Integrate networks and expand 5G SA</w:t>
            </w:r>
          </w:p>
        </w:tc>
        <w:tc>
          <w:tcPr>
            <w:tcW w:w="3000" w:type="dxa"/>
            <w:tcMar>
              <w:top w:w="100" w:type="dxa"/>
              <w:left w:w="100" w:type="dxa"/>
              <w:bottom w:w="100" w:type="dxa"/>
              <w:right w:w="100" w:type="dxa"/>
            </w:tcMar>
          </w:tcPr>
          <w:p w14:paraId="30D00002" w14:textId="77777777" w:rsidR="005070D9" w:rsidRDefault="00573EC3">
            <w:r w:rsidRPr="092A9D4F">
              <w:rPr>
                <w:color w:val="000000" w:themeColor="text1"/>
                <w:sz w:val="20"/>
                <w:szCs w:val="20"/>
              </w:rPr>
              <w:t xml:space="preserve">Coverage, availability, </w:t>
            </w:r>
            <w:bookmarkStart w:id="51" w:name="_Int_5teJ6146"/>
            <w:r w:rsidRPr="092A9D4F">
              <w:rPr>
                <w:color w:val="000000" w:themeColor="text1"/>
                <w:sz w:val="20"/>
                <w:szCs w:val="20"/>
              </w:rPr>
              <w:t>latency</w:t>
            </w:r>
            <w:bookmarkEnd w:id="51"/>
            <w:r w:rsidRPr="092A9D4F">
              <w:rPr>
                <w:color w:val="000000" w:themeColor="text1"/>
                <w:sz w:val="20"/>
                <w:szCs w:val="20"/>
              </w:rPr>
              <w:t xml:space="preserve"> and dropped connections</w:t>
            </w:r>
          </w:p>
        </w:tc>
        <w:tc>
          <w:tcPr>
            <w:tcW w:w="1800" w:type="dxa"/>
            <w:tcMar>
              <w:top w:w="100" w:type="dxa"/>
              <w:left w:w="100" w:type="dxa"/>
              <w:bottom w:w="100" w:type="dxa"/>
              <w:right w:w="100" w:type="dxa"/>
            </w:tcMar>
          </w:tcPr>
          <w:p w14:paraId="369D0D77" w14:textId="77777777" w:rsidR="005070D9" w:rsidRDefault="00573EC3">
            <w:r>
              <w:rPr>
                <w:color w:val="000000"/>
                <w:sz w:val="20"/>
                <w:szCs w:val="20"/>
              </w:rPr>
              <w:t>Quarterly</w:t>
            </w:r>
          </w:p>
        </w:tc>
      </w:tr>
      <w:tr w:rsidR="005070D9" w14:paraId="35AF28BD" w14:textId="77777777" w:rsidTr="092A9D4F">
        <w:tc>
          <w:tcPr>
            <w:tcW w:w="1800" w:type="dxa"/>
            <w:tcMar>
              <w:top w:w="100" w:type="dxa"/>
              <w:left w:w="100" w:type="dxa"/>
              <w:bottom w:w="100" w:type="dxa"/>
              <w:right w:w="100" w:type="dxa"/>
            </w:tcMar>
          </w:tcPr>
          <w:p w14:paraId="09BB505A" w14:textId="77777777" w:rsidR="005070D9" w:rsidRDefault="00573EC3">
            <w:r>
              <w:rPr>
                <w:color w:val="000000"/>
                <w:sz w:val="20"/>
                <w:szCs w:val="20"/>
              </w:rPr>
              <w:t>Enterprise growth</w:t>
            </w:r>
          </w:p>
        </w:tc>
        <w:tc>
          <w:tcPr>
            <w:tcW w:w="3200" w:type="dxa"/>
            <w:tcMar>
              <w:top w:w="100" w:type="dxa"/>
              <w:left w:w="100" w:type="dxa"/>
              <w:bottom w:w="100" w:type="dxa"/>
              <w:right w:w="100" w:type="dxa"/>
            </w:tcMar>
          </w:tcPr>
          <w:p w14:paraId="72065081" w14:textId="77777777" w:rsidR="005070D9" w:rsidRDefault="00573EC3">
            <w:r>
              <w:rPr>
                <w:color w:val="000000"/>
                <w:sz w:val="20"/>
                <w:szCs w:val="20"/>
              </w:rPr>
              <w:t>Pilot and scale IoT, private 5G and security services</w:t>
            </w:r>
          </w:p>
        </w:tc>
        <w:tc>
          <w:tcPr>
            <w:tcW w:w="3000" w:type="dxa"/>
            <w:tcMar>
              <w:top w:w="100" w:type="dxa"/>
              <w:left w:w="100" w:type="dxa"/>
              <w:bottom w:w="100" w:type="dxa"/>
              <w:right w:w="100" w:type="dxa"/>
            </w:tcMar>
          </w:tcPr>
          <w:p w14:paraId="774B4D76" w14:textId="77777777" w:rsidR="005070D9" w:rsidRDefault="00573EC3">
            <w:r>
              <w:rPr>
                <w:color w:val="000000"/>
                <w:sz w:val="20"/>
                <w:szCs w:val="20"/>
              </w:rPr>
              <w:t>Digital revenue, margin, adoption and retention</w:t>
            </w:r>
          </w:p>
        </w:tc>
        <w:tc>
          <w:tcPr>
            <w:tcW w:w="1800" w:type="dxa"/>
            <w:tcMar>
              <w:top w:w="100" w:type="dxa"/>
              <w:left w:w="100" w:type="dxa"/>
              <w:bottom w:w="100" w:type="dxa"/>
              <w:right w:w="100" w:type="dxa"/>
            </w:tcMar>
          </w:tcPr>
          <w:p w14:paraId="1EE79796" w14:textId="77777777" w:rsidR="005070D9" w:rsidRDefault="00573EC3">
            <w:r>
              <w:rPr>
                <w:color w:val="000000"/>
                <w:sz w:val="20"/>
                <w:szCs w:val="20"/>
              </w:rPr>
              <w:t>Quarterly</w:t>
            </w:r>
          </w:p>
        </w:tc>
      </w:tr>
      <w:tr w:rsidR="005070D9" w14:paraId="14EC32EF" w14:textId="77777777" w:rsidTr="092A9D4F">
        <w:tc>
          <w:tcPr>
            <w:tcW w:w="1800" w:type="dxa"/>
            <w:tcMar>
              <w:top w:w="100" w:type="dxa"/>
              <w:left w:w="100" w:type="dxa"/>
              <w:bottom w:w="100" w:type="dxa"/>
              <w:right w:w="100" w:type="dxa"/>
            </w:tcMar>
          </w:tcPr>
          <w:p w14:paraId="1BBAACEF" w14:textId="77777777" w:rsidR="005070D9" w:rsidRDefault="00573EC3">
            <w:r>
              <w:rPr>
                <w:color w:val="000000"/>
                <w:sz w:val="20"/>
                <w:szCs w:val="20"/>
              </w:rPr>
              <w:t>Customer experience</w:t>
            </w:r>
          </w:p>
        </w:tc>
        <w:tc>
          <w:tcPr>
            <w:tcW w:w="3200" w:type="dxa"/>
            <w:tcMar>
              <w:top w:w="100" w:type="dxa"/>
              <w:left w:w="100" w:type="dxa"/>
              <w:bottom w:w="100" w:type="dxa"/>
              <w:right w:w="100" w:type="dxa"/>
            </w:tcMar>
          </w:tcPr>
          <w:p w14:paraId="6389113B" w14:textId="77777777" w:rsidR="005070D9" w:rsidRDefault="00573EC3">
            <w:r>
              <w:rPr>
                <w:color w:val="000000"/>
                <w:sz w:val="20"/>
                <w:szCs w:val="20"/>
              </w:rPr>
              <w:t>Harmonise service and deploy responsible AI support</w:t>
            </w:r>
          </w:p>
        </w:tc>
        <w:tc>
          <w:tcPr>
            <w:tcW w:w="3000" w:type="dxa"/>
            <w:tcMar>
              <w:top w:w="100" w:type="dxa"/>
              <w:left w:w="100" w:type="dxa"/>
              <w:bottom w:w="100" w:type="dxa"/>
              <w:right w:w="100" w:type="dxa"/>
            </w:tcMar>
          </w:tcPr>
          <w:p w14:paraId="1C66FE6B" w14:textId="77777777" w:rsidR="005070D9" w:rsidRDefault="00573EC3">
            <w:r>
              <w:rPr>
                <w:color w:val="000000"/>
                <w:sz w:val="20"/>
                <w:szCs w:val="20"/>
              </w:rPr>
              <w:t>NPS, churn, complaints and resolution time</w:t>
            </w:r>
          </w:p>
        </w:tc>
        <w:tc>
          <w:tcPr>
            <w:tcW w:w="1800" w:type="dxa"/>
            <w:tcMar>
              <w:top w:w="100" w:type="dxa"/>
              <w:left w:w="100" w:type="dxa"/>
              <w:bottom w:w="100" w:type="dxa"/>
              <w:right w:w="100" w:type="dxa"/>
            </w:tcMar>
          </w:tcPr>
          <w:p w14:paraId="363B1D9F" w14:textId="77777777" w:rsidR="005070D9" w:rsidRDefault="00573EC3">
            <w:r>
              <w:rPr>
                <w:color w:val="000000"/>
                <w:sz w:val="20"/>
                <w:szCs w:val="20"/>
              </w:rPr>
              <w:t>Quarterly</w:t>
            </w:r>
          </w:p>
        </w:tc>
      </w:tr>
      <w:tr w:rsidR="005070D9" w14:paraId="0F3CCB2A" w14:textId="77777777" w:rsidTr="092A9D4F">
        <w:tc>
          <w:tcPr>
            <w:tcW w:w="1800" w:type="dxa"/>
            <w:tcMar>
              <w:top w:w="100" w:type="dxa"/>
              <w:left w:w="100" w:type="dxa"/>
              <w:bottom w:w="100" w:type="dxa"/>
              <w:right w:w="100" w:type="dxa"/>
            </w:tcMar>
          </w:tcPr>
          <w:p w14:paraId="446AA9F4" w14:textId="77777777" w:rsidR="005070D9" w:rsidRDefault="00573EC3">
            <w:r>
              <w:rPr>
                <w:color w:val="000000"/>
                <w:sz w:val="20"/>
                <w:szCs w:val="20"/>
              </w:rPr>
              <w:t>Synergy delivery</w:t>
            </w:r>
          </w:p>
        </w:tc>
        <w:tc>
          <w:tcPr>
            <w:tcW w:w="3200" w:type="dxa"/>
            <w:tcMar>
              <w:top w:w="100" w:type="dxa"/>
              <w:left w:w="100" w:type="dxa"/>
              <w:bottom w:w="100" w:type="dxa"/>
              <w:right w:w="100" w:type="dxa"/>
            </w:tcMar>
          </w:tcPr>
          <w:p w14:paraId="4B06D925" w14:textId="77777777" w:rsidR="005070D9" w:rsidRDefault="00573EC3">
            <w:r>
              <w:rPr>
                <w:color w:val="000000"/>
                <w:sz w:val="20"/>
                <w:szCs w:val="20"/>
              </w:rPr>
              <w:t>Integrate systems and remove duplication</w:t>
            </w:r>
          </w:p>
        </w:tc>
        <w:tc>
          <w:tcPr>
            <w:tcW w:w="3000" w:type="dxa"/>
            <w:tcMar>
              <w:top w:w="100" w:type="dxa"/>
              <w:left w:w="100" w:type="dxa"/>
              <w:bottom w:w="100" w:type="dxa"/>
              <w:right w:w="100" w:type="dxa"/>
            </w:tcMar>
          </w:tcPr>
          <w:p w14:paraId="60C542AC" w14:textId="77777777" w:rsidR="005070D9" w:rsidRDefault="00573EC3">
            <w:r>
              <w:rPr>
                <w:color w:val="000000"/>
                <w:sz w:val="20"/>
                <w:szCs w:val="20"/>
              </w:rPr>
              <w:t>Verified savings against integration costs</w:t>
            </w:r>
          </w:p>
        </w:tc>
        <w:tc>
          <w:tcPr>
            <w:tcW w:w="1800" w:type="dxa"/>
            <w:tcMar>
              <w:top w:w="100" w:type="dxa"/>
              <w:left w:w="100" w:type="dxa"/>
              <w:bottom w:w="100" w:type="dxa"/>
              <w:right w:w="100" w:type="dxa"/>
            </w:tcMar>
          </w:tcPr>
          <w:p w14:paraId="0A9B9F59" w14:textId="77777777" w:rsidR="005070D9" w:rsidRDefault="00573EC3">
            <w:r>
              <w:rPr>
                <w:color w:val="000000"/>
                <w:sz w:val="20"/>
                <w:szCs w:val="20"/>
              </w:rPr>
              <w:t>Biannually</w:t>
            </w:r>
          </w:p>
        </w:tc>
      </w:tr>
      <w:tr w:rsidR="005070D9" w14:paraId="29F5D4B4" w14:textId="77777777" w:rsidTr="092A9D4F">
        <w:tc>
          <w:tcPr>
            <w:tcW w:w="1800" w:type="dxa"/>
            <w:tcMar>
              <w:top w:w="100" w:type="dxa"/>
              <w:left w:w="100" w:type="dxa"/>
              <w:bottom w:w="100" w:type="dxa"/>
              <w:right w:w="100" w:type="dxa"/>
            </w:tcMar>
          </w:tcPr>
          <w:p w14:paraId="2A4AB5B8" w14:textId="77777777" w:rsidR="005070D9" w:rsidRDefault="00573EC3">
            <w:r>
              <w:rPr>
                <w:color w:val="000000"/>
                <w:sz w:val="20"/>
                <w:szCs w:val="20"/>
              </w:rPr>
              <w:t>Compliance</w:t>
            </w:r>
          </w:p>
        </w:tc>
        <w:tc>
          <w:tcPr>
            <w:tcW w:w="3200" w:type="dxa"/>
            <w:tcMar>
              <w:top w:w="100" w:type="dxa"/>
              <w:left w:w="100" w:type="dxa"/>
              <w:bottom w:w="100" w:type="dxa"/>
              <w:right w:w="100" w:type="dxa"/>
            </w:tcMar>
          </w:tcPr>
          <w:p w14:paraId="0F2A14CF" w14:textId="77777777" w:rsidR="005070D9" w:rsidRDefault="00573EC3">
            <w:r>
              <w:rPr>
                <w:color w:val="000000"/>
                <w:sz w:val="20"/>
                <w:szCs w:val="20"/>
              </w:rPr>
              <w:t>Meet CMA and Ofcom requirements</w:t>
            </w:r>
          </w:p>
        </w:tc>
        <w:tc>
          <w:tcPr>
            <w:tcW w:w="3000" w:type="dxa"/>
            <w:tcMar>
              <w:top w:w="100" w:type="dxa"/>
              <w:left w:w="100" w:type="dxa"/>
              <w:bottom w:w="100" w:type="dxa"/>
              <w:right w:w="100" w:type="dxa"/>
            </w:tcMar>
          </w:tcPr>
          <w:p w14:paraId="5C6D0F2E" w14:textId="77777777" w:rsidR="005070D9" w:rsidRDefault="00573EC3">
            <w:r>
              <w:rPr>
                <w:color w:val="000000"/>
                <w:sz w:val="20"/>
                <w:szCs w:val="20"/>
              </w:rPr>
              <w:t>Milestone and breach status</w:t>
            </w:r>
          </w:p>
        </w:tc>
        <w:tc>
          <w:tcPr>
            <w:tcW w:w="1800" w:type="dxa"/>
            <w:tcMar>
              <w:top w:w="100" w:type="dxa"/>
              <w:left w:w="100" w:type="dxa"/>
              <w:bottom w:w="100" w:type="dxa"/>
              <w:right w:w="100" w:type="dxa"/>
            </w:tcMar>
          </w:tcPr>
          <w:p w14:paraId="5EEC4A93" w14:textId="77777777" w:rsidR="005070D9" w:rsidRDefault="00573EC3">
            <w:r>
              <w:rPr>
                <w:color w:val="000000"/>
                <w:sz w:val="20"/>
                <w:szCs w:val="20"/>
              </w:rPr>
              <w:t>Quarterly</w:t>
            </w:r>
          </w:p>
        </w:tc>
      </w:tr>
      <w:tr w:rsidR="005070D9" w14:paraId="087D028E" w14:textId="77777777" w:rsidTr="092A9D4F">
        <w:tc>
          <w:tcPr>
            <w:tcW w:w="1800" w:type="dxa"/>
            <w:tcMar>
              <w:top w:w="100" w:type="dxa"/>
              <w:left w:w="100" w:type="dxa"/>
              <w:bottom w:w="100" w:type="dxa"/>
              <w:right w:w="100" w:type="dxa"/>
            </w:tcMar>
          </w:tcPr>
          <w:p w14:paraId="56EDB510" w14:textId="77777777" w:rsidR="005070D9" w:rsidRDefault="00573EC3">
            <w:r>
              <w:rPr>
                <w:color w:val="000000"/>
                <w:sz w:val="20"/>
                <w:szCs w:val="20"/>
              </w:rPr>
              <w:t>Sustainability</w:t>
            </w:r>
          </w:p>
        </w:tc>
        <w:tc>
          <w:tcPr>
            <w:tcW w:w="3200" w:type="dxa"/>
            <w:tcMar>
              <w:top w:w="100" w:type="dxa"/>
              <w:left w:w="100" w:type="dxa"/>
              <w:bottom w:w="100" w:type="dxa"/>
              <w:right w:w="100" w:type="dxa"/>
            </w:tcMar>
          </w:tcPr>
          <w:p w14:paraId="7847FF13" w14:textId="77777777" w:rsidR="005070D9" w:rsidRDefault="00573EC3">
            <w:r>
              <w:rPr>
                <w:color w:val="000000"/>
                <w:sz w:val="20"/>
                <w:szCs w:val="20"/>
              </w:rPr>
              <w:t>Improve energy efficiency and renewable sourcing</w:t>
            </w:r>
          </w:p>
        </w:tc>
        <w:tc>
          <w:tcPr>
            <w:tcW w:w="3000" w:type="dxa"/>
            <w:tcMar>
              <w:top w:w="100" w:type="dxa"/>
              <w:left w:w="100" w:type="dxa"/>
              <w:bottom w:w="100" w:type="dxa"/>
              <w:right w:w="100" w:type="dxa"/>
            </w:tcMar>
          </w:tcPr>
          <w:p w14:paraId="7D117B0D" w14:textId="77777777" w:rsidR="005070D9" w:rsidRDefault="00573EC3">
            <w:r>
              <w:rPr>
                <w:color w:val="000000"/>
                <w:sz w:val="20"/>
                <w:szCs w:val="20"/>
              </w:rPr>
              <w:t>Absolute emissions and energy per data unit</w:t>
            </w:r>
          </w:p>
        </w:tc>
        <w:tc>
          <w:tcPr>
            <w:tcW w:w="1800" w:type="dxa"/>
            <w:tcMar>
              <w:top w:w="100" w:type="dxa"/>
              <w:left w:w="100" w:type="dxa"/>
              <w:bottom w:w="100" w:type="dxa"/>
              <w:right w:w="100" w:type="dxa"/>
            </w:tcMar>
          </w:tcPr>
          <w:p w14:paraId="22AAAB5E" w14:textId="77777777" w:rsidR="005070D9" w:rsidRDefault="00573EC3">
            <w:r>
              <w:rPr>
                <w:color w:val="000000"/>
                <w:sz w:val="20"/>
                <w:szCs w:val="20"/>
              </w:rPr>
              <w:t>Annually</w:t>
            </w:r>
          </w:p>
        </w:tc>
      </w:tr>
    </w:tbl>
    <w:p w14:paraId="3ED7A70D" w14:textId="77777777" w:rsidR="005070D9" w:rsidRDefault="00573EC3">
      <w:pPr>
        <w:spacing w:after="200" w:line="276" w:lineRule="auto"/>
      </w:pPr>
      <w:r>
        <w:t>Phase 1: Foundation, 2026–2027. Complete critical network and systems integration, protect customer service, meet CMA obligations, clarify brand roles and establish enterprise pilots.</w:t>
      </w:r>
    </w:p>
    <w:p w14:paraId="723070AA" w14:textId="77777777" w:rsidR="005070D9" w:rsidRDefault="00573EC3">
      <w:pPr>
        <w:spacing w:after="200" w:line="276" w:lineRule="auto"/>
      </w:pPr>
      <w:r>
        <w:t>Phase 2: Expansion, 2027–2029. Scale successful private-network, IoT and cybersecurity propositions, extend Fixed Wireless Access and deploy AI-supported operational tools.</w:t>
      </w:r>
    </w:p>
    <w:p w14:paraId="475F2CE2" w14:textId="77777777" w:rsidR="005070D9" w:rsidRDefault="00573EC3">
      <w:pPr>
        <w:spacing w:after="200" w:line="276" w:lineRule="auto"/>
      </w:pPr>
      <w:r>
        <w:t>Phase 3: Optimisation, 2029–2031. Verify synergy delivery, expand commercially successful services, redesign or discontinue weak propositions and conduct a strategic review.</w:t>
      </w:r>
    </w:p>
    <w:p w14:paraId="2949AEFF" w14:textId="77777777" w:rsidR="005070D9" w:rsidRDefault="00573EC3">
      <w:pPr>
        <w:spacing w:after="200" w:line="276" w:lineRule="auto"/>
      </w:pPr>
      <w:r>
        <w:t>A board-level transformation committee should review a red-amber-green dashboard quarterly. Independent assurance should support regulatory, financial and environmental claims. Monitoring should compare benefits with integration costs and include leading indicators such as pilot adoption and service incidents, not only lagging measures such as annual revenue.</w:t>
      </w:r>
    </w:p>
    <w:p w14:paraId="0ACB3EC3" w14:textId="77777777" w:rsidR="005070D9" w:rsidRDefault="00573EC3">
      <w:pPr>
        <w:pStyle w:val="Heading1"/>
      </w:pPr>
      <w:bookmarkStart w:id="52" w:name="_Toc1747336756"/>
      <w:r>
        <w:t>7. Conclusion</w:t>
      </w:r>
      <w:bookmarkEnd w:id="52"/>
    </w:p>
    <w:p w14:paraId="32337550" w14:textId="77777777" w:rsidR="005070D9" w:rsidRDefault="00573EC3">
      <w:pPr>
        <w:spacing w:after="200" w:line="276" w:lineRule="auto"/>
      </w:pPr>
      <w:r>
        <w:t>VodafoneThree has substantial scale, spectrum and investment capacity, but these resources do not automatically create sustainable advantage. Integration complexity, strong customer power, regulation and competition remain significant constraints. The merger's success will depend on whether network and efficiency gains become visible customer and enterprise value.</w:t>
      </w:r>
    </w:p>
    <w:p w14:paraId="7B2859EC" w14:textId="77777777" w:rsidR="005070D9" w:rsidRDefault="00573EC3">
      <w:pPr>
        <w:spacing w:after="200" w:line="276" w:lineRule="auto"/>
      </w:pPr>
      <w:r>
        <w:t>A combined market-development and focused product-development strategy offers the strongest route forward. VodafoneThree should prioritise underserved connectivity, private 5G, IoT, managed cybersecurity and secure cloud connectivity while using AI primarily to improve core operations. Broad differentiation is credible only when supported by reliable service and independently measured outcomes.</w:t>
      </w:r>
    </w:p>
    <w:p w14:paraId="560EA719" w14:textId="77777777" w:rsidR="005070D9" w:rsidRDefault="00573EC3">
      <w:pPr>
        <w:spacing w:after="200" w:line="276" w:lineRule="auto"/>
      </w:pPr>
      <w:r>
        <w:t>The SFA evaluation indicates that the recommendation is suitable and potentially feasible, but acceptability depends on fair value distribution across shareholders, customers, employees, regulators and communities. Disciplined integration, staged investment and transparent monitoring will determine whether VodafoneThree becomes a differentiated digital-infrastructure provider or simply a larger operator in a mature market.</w:t>
      </w:r>
    </w:p>
    <w:p w14:paraId="0B2D475F" w14:textId="77777777" w:rsidR="005070D9" w:rsidRDefault="00573EC3">
      <w:pPr>
        <w:pStyle w:val="Heading1"/>
      </w:pPr>
      <w:bookmarkStart w:id="53" w:name="_Toc1582097275"/>
      <w:r>
        <w:t>References</w:t>
      </w:r>
      <w:bookmarkEnd w:id="53"/>
    </w:p>
    <w:p w14:paraId="6317C075" w14:textId="77777777" w:rsidR="005070D9" w:rsidRDefault="00573EC3">
      <w:pPr>
        <w:spacing w:after="200" w:line="276" w:lineRule="auto"/>
        <w:ind w:left="720" w:hanging="720"/>
      </w:pPr>
      <w:r>
        <w:t>Ansoff, H.I. (1957) 'Strategies for diversification', Harvard Business Review, 35(5), pp. 113–124.</w:t>
      </w:r>
    </w:p>
    <w:p w14:paraId="213F2425" w14:textId="77777777" w:rsidR="005070D9" w:rsidRDefault="00573EC3">
      <w:pPr>
        <w:spacing w:after="200" w:line="276" w:lineRule="auto"/>
        <w:ind w:left="720" w:hanging="720"/>
      </w:pPr>
      <w:r>
        <w:t>Brito, D. and Vasconcelos, H. (2023) 'Competitive effects of mergers and spectrum divestment/remedies in mobile telecommunication markets', Telecommunications Policy, 47(9), 102636.</w:t>
      </w:r>
    </w:p>
    <w:p w14:paraId="0E5A588A" w14:textId="77777777" w:rsidR="005070D9" w:rsidRDefault="00573EC3">
      <w:pPr>
        <w:spacing w:after="200" w:line="276" w:lineRule="auto"/>
        <w:ind w:left="720" w:hanging="720"/>
      </w:pPr>
      <w:r>
        <w:t>Competition and Markets Authority (2024) Anticipated joint venture between Vodafone Group Plc and CK Hutchison Holdings Limited: Final report. London: CMA. Available at: https://assets.publishing.service.gov.uk/media/6751e18f6da7a3435fecbd87/1._Final_Report.pdf (Accessed: 16 July 2026).</w:t>
      </w:r>
    </w:p>
    <w:p w14:paraId="3B036958" w14:textId="77777777" w:rsidR="005070D9" w:rsidRDefault="00573EC3">
      <w:pPr>
        <w:spacing w:after="200" w:line="276" w:lineRule="auto"/>
        <w:ind w:left="720" w:hanging="720"/>
      </w:pPr>
      <w:r>
        <w:t>Deloitte (2026) 2026 Global Telecommunications Industry Outlook. Deloitte Insights. Available at: https://www.deloitte.com/us/en/insights/industry/technology/technology-media-telecom-outlooks/telecommunications-industry-outlook.html (Accessed: 16 July 2026).</w:t>
      </w:r>
    </w:p>
    <w:p w14:paraId="0CED2C30" w14:textId="77777777" w:rsidR="005070D9" w:rsidRDefault="00573EC3">
      <w:pPr>
        <w:spacing w:after="200" w:line="276" w:lineRule="auto"/>
        <w:ind w:left="720" w:hanging="720"/>
      </w:pPr>
      <w:r>
        <w:t>Ericsson (2025) 'Ericsson to power the majority of VodafoneThree's next-generation UK network in SEK 12.5 billion partnership', 22 September. Available at: https://www.ericsson.com/en/press-releases/2025/9/ericsson-to-power-vodafonethree-uk-network (Accessed: 16 July 2026).</w:t>
      </w:r>
    </w:p>
    <w:p w14:paraId="01C4F167" w14:textId="77777777" w:rsidR="005070D9" w:rsidRDefault="00573EC3">
      <w:pPr>
        <w:spacing w:after="200" w:line="276" w:lineRule="auto"/>
        <w:ind w:left="720" w:hanging="720"/>
      </w:pPr>
      <w:r>
        <w:t>Ofcom (2025) Connected Nations 2025. London: Ofcom. Available at: https://www.ofcom.org.uk/phones-and-broadband/coverage-and-speeds/nations-report-2025 (Accessed: 16 July 2026).</w:t>
      </w:r>
    </w:p>
    <w:p w14:paraId="7B6DA63A" w14:textId="77777777" w:rsidR="005070D9" w:rsidRDefault="00573EC3">
      <w:pPr>
        <w:spacing w:after="200" w:line="276" w:lineRule="auto"/>
        <w:ind w:left="720" w:hanging="720"/>
      </w:pPr>
      <w:r>
        <w:t>Opensignal (2026) United Kingdom: Mobile Network Experience Report, January 2026. Available at: https://insights.opensignal.com/reports/2026/01/uk/mobile-network-experience (Accessed: 16 July 2026).</w:t>
      </w:r>
    </w:p>
    <w:p w14:paraId="388EE68D" w14:textId="77777777" w:rsidR="005070D9" w:rsidRDefault="00573EC3">
      <w:pPr>
        <w:spacing w:after="200" w:line="276" w:lineRule="auto"/>
        <w:ind w:left="720" w:hanging="720"/>
      </w:pPr>
      <w:r>
        <w:t>Porter, M.E. (1980) Competitive Strategy: Techniques for Analysing Industries and Competitors. New York: Free Press.</w:t>
      </w:r>
    </w:p>
    <w:p w14:paraId="5D2F73C8" w14:textId="77777777" w:rsidR="005070D9" w:rsidRDefault="00573EC3">
      <w:pPr>
        <w:spacing w:after="200" w:line="276" w:lineRule="auto"/>
        <w:ind w:left="720" w:hanging="720"/>
      </w:pPr>
      <w:r>
        <w:t>PwC (2026) Global M&amp;A trends in technology, media and telecommunications: 2026 mid-year outlook. Available at: https://www.pwc.com/gx/en/services/deals/trends/telecommunications-media-technology.html (Accessed: 16 July 2026).</w:t>
      </w:r>
    </w:p>
    <w:p w14:paraId="0079A138" w14:textId="77777777" w:rsidR="005070D9" w:rsidRDefault="00573EC3">
      <w:pPr>
        <w:spacing w:after="200" w:line="276" w:lineRule="auto"/>
        <w:ind w:left="720" w:hanging="720"/>
      </w:pPr>
      <w:r>
        <w:t>Teece, D.J. (2007) 'Explicating dynamic capabilities: the nature and microfoundations of (sustainable) enterprise performance', Strategic Management Journal, 28(13), pp. 1319–1350.</w:t>
      </w:r>
    </w:p>
    <w:p w14:paraId="552A817D" w14:textId="77777777" w:rsidR="005070D9" w:rsidRDefault="00573EC3">
      <w:pPr>
        <w:spacing w:after="200" w:line="276" w:lineRule="auto"/>
        <w:ind w:left="720" w:hanging="720"/>
      </w:pPr>
      <w:r>
        <w:t>Vodafone Group Plc (2025a) Annual Report and Accounts 2025. Newbury: Vodafone Group Plc. Available at: https://reports.investors.vodafone.com/view/897876789/ (Accessed: 16 July 2026).</w:t>
      </w:r>
    </w:p>
    <w:p w14:paraId="5AB66F54" w14:textId="77777777" w:rsidR="005070D9" w:rsidRDefault="00573EC3">
      <w:pPr>
        <w:spacing w:after="200" w:line="276" w:lineRule="auto"/>
        <w:ind w:left="720" w:hanging="720"/>
      </w:pPr>
      <w:r>
        <w:t>Vodafone Group Plc (2025b) 'Completion of Vodafone and Three merger in the UK', 2 June. Available at: https://www.vodafone.com/news/newsroom/corporate-and-financial/completion-of-vodafone-and-three-merger-in-the-uk (Accessed: 16 July 2026).</w:t>
      </w:r>
    </w:p>
    <w:p w14:paraId="23D9C36E" w14:textId="77777777" w:rsidR="005070D9" w:rsidRDefault="00573EC3">
      <w:pPr>
        <w:spacing w:after="200" w:line="276" w:lineRule="auto"/>
        <w:ind w:left="720" w:hanging="720"/>
      </w:pPr>
      <w:r>
        <w:t>Vodafone Group Plc (2025c) H1 FY26 results. Available at: https://reports.investors.vodafone.com/H1FY26presentation (Accessed: 16 July 2026).</w:t>
      </w:r>
    </w:p>
    <w:p w14:paraId="742B2B99" w14:textId="77777777" w:rsidR="005070D9" w:rsidRDefault="00573EC3">
      <w:pPr>
        <w:spacing w:after="200" w:line="276" w:lineRule="auto"/>
        <w:ind w:left="720" w:hanging="720"/>
      </w:pPr>
      <w:r>
        <w:t>Vodafone Group Plc (2026) 'Vodafone to take full ownership of VodafoneThree', 5 May. Available at: https://www.vodafone.com/news/newsroom/corporate-and-financial/vodafone-to-take-full-ownership-of-vodafone-three (Accessed: 16 July 2026).</w:t>
      </w:r>
    </w:p>
    <w:p w14:paraId="37348837" w14:textId="77777777" w:rsidR="005070D9" w:rsidRDefault="00573EC3">
      <w:pPr>
        <w:spacing w:after="200" w:line="276" w:lineRule="auto"/>
        <w:ind w:left="720" w:hanging="720"/>
      </w:pPr>
      <w:r>
        <w:t>VodafoneThree (2025) 'VodafoneThree signs multibillion pound investment deals', 22 September. Available at: https://www.vodafonethree.com/multibillion-pound-investment-deals-signed-to-build-uk-best-network/ (Accessed: 16 July 2026).</w:t>
      </w:r>
    </w:p>
    <w:p w14:paraId="755A7494" w14:textId="77777777" w:rsidR="005070D9" w:rsidRDefault="00573EC3">
      <w:pPr>
        <w:spacing w:after="200" w:line="276" w:lineRule="auto"/>
        <w:ind w:left="720" w:hanging="720"/>
      </w:pPr>
      <w:r>
        <w:t>Whittington, R., Angwin, D., Regnér, P., Johnson, G. and Scholes, K. (2023) Exploring Strategy. 13th edn. Harlow: Pearson.</w:t>
      </w:r>
    </w:p>
    <w:sectPr w:rsidR="005070D9">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panose1 w:val="00000000000000000000"/>
    <w:charset w:val="00"/>
    <w:family w:val="roman"/>
    <w:notTrueType/>
    <w:pitch w:val="default"/>
  </w:font>
  <w:font w:name="Yu Mincho">
    <w:altName w:val="游明朝"/>
    <w:panose1 w:val="00000000000000000000"/>
    <w:charset w:val="80"/>
    <w:family w:val="roman"/>
    <w:notTrueType/>
    <w:pitch w:val="default"/>
  </w:font>
  <w:font w:name="Aptos">
    <w:panose1 w:val="00000000000000000000"/>
    <w:charset w:val="00"/>
    <w:family w:val="roman"/>
    <w:notTrueType/>
    <w:pitch w:val="default"/>
  </w:font>
</w:fonts>
</file>

<file path=word/intelligence2.xml><?xml version="1.0" encoding="utf-8"?>
<int2:intelligence xmlns:int2="http://schemas.microsoft.com/office/intelligence/2020/intelligence" xmlns:oel="http://schemas.microsoft.com/office/2019/extlst">
  <int2:observations>
    <int2:textHash int2:hashCode="/Pm8vr6FLBTz/Q" int2:id="ERnNpDeH">
      <int2:state int2:value="Rejected" int2:type="spell"/>
    </int2:textHash>
    <int2:textHash int2:hashCode="ZRWXQlMqcxBz4V" int2:id="TbOsW9Y1">
      <int2:state int2:value="Rejected" int2:type="spell"/>
    </int2:textHash>
    <int2:textHash int2:hashCode="Ve+91uTsY7PMs2" int2:id="vWebxNP7">
      <int2:state int2:value="Rejected" int2:type="spell"/>
    </int2:textHash>
    <int2:textHash int2:hashCode="4wJtG+CN4i9RaZ" int2:id="Fbikzujn">
      <int2:state int2:value="Rejected" int2:type="spell"/>
    </int2:textHash>
    <int2:textHash int2:hashCode="zG40PdaFtn121X" int2:id="1r098231">
      <int2:state int2:value="Rejected" int2:type="spell"/>
    </int2:textHash>
    <int2:bookmark int2:bookmarkName="_Int_lZg4fYGw" int2:invalidationBookmarkName="" int2:hashCode="hE45Kl1sQxwywF" int2:id="141bUiO7">
      <int2:state int2:value="Rejected" int2:type="style"/>
    </int2:bookmark>
    <int2:bookmark int2:bookmarkName="_Int_WxPvoFCi" int2:invalidationBookmarkName="" int2:hashCode="Nfi3Rj8exyBINN" int2:id="hQQ1NoDP">
      <int2:state int2:value="Rejected" int2:type="style"/>
    </int2:bookmark>
    <int2:bookmark int2:bookmarkName="_Int_5b1vpSYa" int2:invalidationBookmarkName="" int2:hashCode="RTBglLWensB8nL" int2:id="bRC3oOx4">
      <int2:state int2:value="Rejected" int2:type="style"/>
    </int2:bookmark>
    <int2:bookmark int2:bookmarkName="_Int_TWoseMb5" int2:invalidationBookmarkName="" int2:hashCode="q8mLYh8sGDWIN1" int2:id="x3Kssocs">
      <int2:state int2:value="Rejected" int2:type="style"/>
    </int2:bookmark>
    <int2:bookmark int2:bookmarkName="_Int_kQK4my8g" int2:invalidationBookmarkName="" int2:hashCode="G0T23e64UreI3g" int2:id="cCrJzH5y">
      <int2:state int2:value="Rejected" int2:type="style"/>
    </int2:bookmark>
    <int2:bookmark int2:bookmarkName="_Int_NwlRxEEy" int2:invalidationBookmarkName="" int2:hashCode="Lrf9zr0DSR1W7+" int2:id="7LMLQ41E">
      <int2:state int2:value="Rejected" int2:type="style"/>
    </int2:bookmark>
    <int2:bookmark int2:bookmarkName="_Int_WibHqAHU" int2:invalidationBookmarkName="" int2:hashCode="+OtSXSbhv8zyWG" int2:id="znDrWKXd">
      <int2:state int2:value="Rejected" int2:type="style"/>
    </int2:bookmark>
    <int2:bookmark int2:bookmarkName="_Int_CepCZkLi" int2:invalidationBookmarkName="" int2:hashCode="UDP7X3WaHYcuZH" int2:id="A69AcQ1K">
      <int2:state int2:value="Rejected" int2:type="style"/>
    </int2:bookmark>
    <int2:bookmark int2:bookmarkName="_Int_BmEhkyi3" int2:invalidationBookmarkName="" int2:hashCode="UDP7X3WaHYcuZH" int2:id="GWPooMUP">
      <int2:state int2:value="Rejected" int2:type="style"/>
    </int2:bookmark>
    <int2:bookmark int2:bookmarkName="_Int_bjuHFVR7" int2:invalidationBookmarkName="" int2:hashCode="EGEsFOb6MI0xJK" int2:id="6Oi7B6Jq">
      <int2:state int2:value="Rejected" int2:type="gram"/>
    </int2:bookmark>
    <int2:bookmark int2:bookmarkName="_Int_zYTgHdDR" int2:invalidationBookmarkName="" int2:hashCode="qwD6neD5WHK0mK" int2:id="5A3YBClH">
      <int2:state int2:value="Rejected" int2:type="style"/>
    </int2:bookmark>
    <int2:bookmark int2:bookmarkName="_Int_DvnBXGxS" int2:invalidationBookmarkName="" int2:hashCode="j6yqqeFqcLdM5E" int2:id="zeUZjQ3x">
      <int2:state int2:value="Rejected" int2:type="style"/>
    </int2:bookmark>
    <int2:bookmark int2:bookmarkName="_Int_V3WJxtQJ" int2:invalidationBookmarkName="" int2:hashCode="vfXHPRj0TimX4t" int2:id="5kB1X8Lj">
      <int2:state int2:value="Rejected" int2:type="style"/>
    </int2:bookmark>
    <int2:bookmark int2:bookmarkName="_Int_yTpMCcTX" int2:invalidationBookmarkName="" int2:hashCode="vTQ6RQCQf2J9Ff" int2:id="nNnJ7Fef">
      <int2:state int2:value="Rejected" int2:type="style"/>
    </int2:bookmark>
    <int2:bookmark int2:bookmarkName="_Int_EmSQgGAW" int2:invalidationBookmarkName="" int2:hashCode="g0s08W9FHgDyaN" int2:id="ur3me4Si">
      <int2:state int2:value="Rejected" int2:type="style"/>
    </int2:bookmark>
    <int2:bookmark int2:bookmarkName="_Int_SAgsrXvG" int2:invalidationBookmarkName="" int2:hashCode="gM/4lXRo21JMSL" int2:id="SGpfWCzr">
      <int2:state int2:value="Rejected" int2:type="style"/>
    </int2:bookmark>
    <int2:bookmark int2:bookmarkName="_Int_JIMjqa0Z" int2:invalidationBookmarkName="" int2:hashCode="Bp1/lv/9eWRHBA" int2:id="U91N94LU">
      <int2:state int2:value="Rejected" int2:type="style"/>
    </int2:bookmark>
    <int2:bookmark int2:bookmarkName="_Int_rRTXKxjd" int2:invalidationBookmarkName="" int2:hashCode="NegnfMlc+Krx6O" int2:id="uBIHZ3To">
      <int2:state int2:value="Rejected" int2:type="style"/>
    </int2:bookmark>
    <int2:bookmark int2:bookmarkName="_Int_MvZvp6Yh" int2:invalidationBookmarkName="" int2:hashCode="AolE5AlY7wj9gr" int2:id="banakTjC">
      <int2:state int2:value="Rejected" int2:type="style"/>
    </int2:bookmark>
    <int2:bookmark int2:bookmarkName="_Int_LjKKrFCb" int2:invalidationBookmarkName="" int2:hashCode="YovDolbpyLlclu" int2:id="foqf86hf">
      <int2:state int2:value="Rejected" int2:type="style"/>
    </int2:bookmark>
    <int2:bookmark int2:bookmarkName="_Int_B1ffqOUG" int2:invalidationBookmarkName="" int2:hashCode="NegnfMlc+Krx6O" int2:id="jpNAkdGo">
      <int2:state int2:value="Rejected" int2:type="style"/>
    </int2:bookmark>
    <int2:bookmark int2:bookmarkName="_Int_nNGiqzBF" int2:invalidationBookmarkName="" int2:hashCode="w7mgFELgYRxhi7" int2:id="AyQRZbix">
      <int2:state int2:value="Rejected" int2:type="style"/>
    </int2:bookmark>
    <int2:bookmark int2:bookmarkName="_Int_oKCK9w1j" int2:invalidationBookmarkName="" int2:hashCode="yqFVrfgf3dKatL" int2:id="aMEUjbsV">
      <int2:state int2:value="Rejected" int2:type="style"/>
    </int2:bookmark>
    <int2:bookmark int2:bookmarkName="_Int_ePrXP17c" int2:invalidationBookmarkName="" int2:hashCode="7B/eimeyXJXHTm" int2:id="RzSbHDP5">
      <int2:state int2:value="Rejected" int2:type="style"/>
    </int2:bookmark>
    <int2:bookmark int2:bookmarkName="_Int_HGr8eVNh" int2:invalidationBookmarkName="" int2:hashCode="PnqqeWAa2bV38z" int2:id="1JFY1nI3">
      <int2:state int2:value="Rejected" int2:type="style"/>
    </int2:bookmark>
    <int2:bookmark int2:bookmarkName="_Int_9zPQkovr" int2:invalidationBookmarkName="" int2:hashCode="EPCjpd+kzTMarI" int2:id="iTOoQ4th">
      <int2:state int2:value="Rejected" int2:type="style"/>
    </int2:bookmark>
    <int2:bookmark int2:bookmarkName="_Int_1TM7CfgM" int2:invalidationBookmarkName="" int2:hashCode="9/UCheEHdCEKeI" int2:id="aCekIYub">
      <int2:state int2:value="Rejected" int2:type="style"/>
    </int2:bookmark>
    <int2:bookmark int2:bookmarkName="_Int_itXwqddh" int2:invalidationBookmarkName="" int2:hashCode="T/GPABdvDys65U" int2:id="wGxynu6q">
      <int2:state int2:value="Rejected" int2:type="style"/>
    </int2:bookmark>
    <int2:bookmark int2:bookmarkName="_Int_BBsbJBFJ" int2:invalidationBookmarkName="" int2:hashCode="zVVsAh1kvhs4OL" int2:id="z7ECiSPp">
      <int2:state int2:value="Rejected" int2:type="style"/>
    </int2:bookmark>
    <int2:bookmark int2:bookmarkName="_Int_8amEm3mh" int2:invalidationBookmarkName="" int2:hashCode="+KAknMuYTIUxqV" int2:id="EkOvuUdv">
      <int2:state int2:value="Rejected" int2:type="style"/>
    </int2:bookmark>
    <int2:bookmark int2:bookmarkName="_Int_hZgakOPg" int2:invalidationBookmarkName="" int2:hashCode="lFCd34XMP4zDev" int2:id="aGPxRZZ3">
      <int2:state int2:value="Rejected" int2:type="style"/>
    </int2:bookmark>
    <int2:bookmark int2:bookmarkName="_Int_93dGomOs" int2:invalidationBookmarkName="" int2:hashCode="vTQ6RQCQf2J9Ff" int2:id="3s8exnH4">
      <int2:state int2:value="Rejected" int2:type="style"/>
    </int2:bookmark>
    <int2:bookmark int2:bookmarkName="_Int_6WC511Nc" int2:invalidationBookmarkName="" int2:hashCode="2ixOurLNUceKcl" int2:id="6Oj7spM0">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FE3068D"/>
    <w:multiLevelType w:val="hybridMultilevel"/>
    <w:tmpl w:val="FFFFFFFF"/>
    <w:lvl w:ilvl="0" w:tplc="E7646632">
      <w:start w:val="1"/>
      <w:numFmt w:val="bullet"/>
      <w:lvlText w:val="●"/>
      <w:lvlJc w:val="left"/>
      <w:pPr>
        <w:ind w:left="720" w:hanging="360"/>
      </w:pPr>
    </w:lvl>
    <w:lvl w:ilvl="1" w:tplc="18969896">
      <w:start w:val="1"/>
      <w:numFmt w:val="bullet"/>
      <w:lvlText w:val="○"/>
      <w:lvlJc w:val="left"/>
      <w:pPr>
        <w:ind w:left="1440" w:hanging="360"/>
      </w:pPr>
    </w:lvl>
    <w:lvl w:ilvl="2" w:tplc="3626BBE8">
      <w:start w:val="1"/>
      <w:numFmt w:val="bullet"/>
      <w:lvlText w:val="■"/>
      <w:lvlJc w:val="left"/>
      <w:pPr>
        <w:ind w:left="2160" w:hanging="360"/>
      </w:pPr>
    </w:lvl>
    <w:lvl w:ilvl="3" w:tplc="44DE6FF8">
      <w:start w:val="1"/>
      <w:numFmt w:val="bullet"/>
      <w:lvlText w:val="●"/>
      <w:lvlJc w:val="left"/>
      <w:pPr>
        <w:ind w:left="2880" w:hanging="360"/>
      </w:pPr>
    </w:lvl>
    <w:lvl w:ilvl="4" w:tplc="125CD552">
      <w:start w:val="1"/>
      <w:numFmt w:val="bullet"/>
      <w:lvlText w:val="○"/>
      <w:lvlJc w:val="left"/>
      <w:pPr>
        <w:ind w:left="3600" w:hanging="360"/>
      </w:pPr>
    </w:lvl>
    <w:lvl w:ilvl="5" w:tplc="6BA62FB2">
      <w:start w:val="1"/>
      <w:numFmt w:val="bullet"/>
      <w:lvlText w:val="■"/>
      <w:lvlJc w:val="left"/>
      <w:pPr>
        <w:ind w:left="4320" w:hanging="360"/>
      </w:pPr>
    </w:lvl>
    <w:lvl w:ilvl="6" w:tplc="3AB6DDAC">
      <w:start w:val="1"/>
      <w:numFmt w:val="bullet"/>
      <w:lvlText w:val="●"/>
      <w:lvlJc w:val="left"/>
      <w:pPr>
        <w:ind w:left="5040" w:hanging="360"/>
      </w:pPr>
    </w:lvl>
    <w:lvl w:ilvl="7" w:tplc="C57261F0">
      <w:start w:val="1"/>
      <w:numFmt w:val="bullet"/>
      <w:lvlText w:val="●"/>
      <w:lvlJc w:val="left"/>
      <w:pPr>
        <w:ind w:left="5760" w:hanging="360"/>
      </w:pPr>
    </w:lvl>
    <w:lvl w:ilvl="8" w:tplc="8E8640A6">
      <w:start w:val="1"/>
      <w:numFmt w:val="bullet"/>
      <w:lvlText w:val="●"/>
      <w:lvlJc w:val="left"/>
      <w:pPr>
        <w:ind w:left="6480" w:hanging="360"/>
      </w:pPr>
    </w:lvl>
  </w:abstractNum>
  <w:num w:numId="1" w16cid:durableId="1793162053">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70D9"/>
    <w:rsid w:val="001C2115"/>
    <w:rsid w:val="00234356"/>
    <w:rsid w:val="00267347"/>
    <w:rsid w:val="002700B1"/>
    <w:rsid w:val="002E467E"/>
    <w:rsid w:val="00485CEA"/>
    <w:rsid w:val="005070D9"/>
    <w:rsid w:val="00573EC3"/>
    <w:rsid w:val="006C02D5"/>
    <w:rsid w:val="006C1A07"/>
    <w:rsid w:val="00AA4BA0"/>
    <w:rsid w:val="00C447AE"/>
    <w:rsid w:val="00D917F4"/>
    <w:rsid w:val="00E85C63"/>
    <w:rsid w:val="00F76EC0"/>
    <w:rsid w:val="00F96B28"/>
    <w:rsid w:val="092A9D4F"/>
    <w:rsid w:val="4765CBE7"/>
    <w:rsid w:val="597AB5C8"/>
    <w:rsid w:val="5A412BF6"/>
    <w:rsid w:val="5A80D414"/>
    <w:rsid w:val="7981B61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9A5F5CC"/>
  <w15:docId w15:val="{289C77E0-9FF0-41C7-896A-73DD06666A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5A80D414"/>
    <w:rPr>
      <w:rFonts w:ascii="Arial" w:eastAsia="Arial" w:hAnsi="Arial" w:cs="Arial"/>
      <w:sz w:val="40"/>
      <w:szCs w:val="40"/>
    </w:rPr>
  </w:style>
  <w:style w:type="paragraph" w:styleId="Heading1">
    <w:name w:val="heading 1"/>
    <w:uiPriority w:val="9"/>
    <w:qFormat/>
    <w:rsid w:val="5A80D414"/>
    <w:pPr>
      <w:spacing w:before="360" w:after="200"/>
      <w:outlineLvl w:val="0"/>
    </w:pPr>
    <w:rPr>
      <w:rFonts w:ascii="Arial" w:eastAsia="Arial" w:hAnsi="Arial" w:cs="Arial"/>
      <w:b/>
      <w:bCs/>
      <w:color w:val="1F3864"/>
      <w:sz w:val="56"/>
      <w:szCs w:val="56"/>
    </w:rPr>
  </w:style>
  <w:style w:type="paragraph" w:styleId="Heading2">
    <w:name w:val="heading 2"/>
    <w:uiPriority w:val="9"/>
    <w:unhideWhenUsed/>
    <w:qFormat/>
    <w:pPr>
      <w:spacing w:before="280" w:after="160"/>
      <w:outlineLvl w:val="1"/>
    </w:pPr>
    <w:rPr>
      <w:b/>
      <w:bCs/>
      <w:color w:val="2E5395"/>
      <w:sz w:val="26"/>
      <w:szCs w:val="26"/>
    </w:rPr>
  </w:style>
  <w:style w:type="paragraph" w:styleId="Heading3">
    <w:name w:val="heading 3"/>
    <w:uiPriority w:val="9"/>
    <w:semiHidden/>
    <w:unhideWhenUsed/>
    <w:qFormat/>
    <w:pPr>
      <w:spacing w:before="200" w:after="120"/>
      <w:outlineLvl w:val="2"/>
    </w:pPr>
    <w:rPr>
      <w:b/>
      <w:bCs/>
      <w:i/>
      <w:iCs/>
      <w:color w:val="2E5395"/>
      <w:sz w:val="23"/>
      <w:szCs w:val="23"/>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basedOn w:val="Normal"/>
    <w:uiPriority w:val="1"/>
    <w:qFormat/>
    <w:rsid w:val="5A80D414"/>
    <w:pPr>
      <w:spacing w:before="1600" w:after="400"/>
      <w:jc w:val="center"/>
    </w:pPr>
    <w:rPr>
      <w:b/>
      <w:bCs/>
      <w:color w:val="1F3864"/>
      <w:sz w:val="56"/>
      <w:szCs w:val="56"/>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uiPriority w:val="39"/>
    <w:unhideWhenUsed/>
    <w:rsid w:val="002700B1"/>
    <w:pPr>
      <w:spacing w:after="100"/>
    </w:pPr>
  </w:style>
  <w:style w:type="paragraph" w:styleId="TOC2">
    <w:name w:val="toc 2"/>
    <w:basedOn w:val="Normal"/>
    <w:next w:val="Normal"/>
    <w:uiPriority w:val="39"/>
    <w:unhideWhenUsed/>
    <w:rsid w:val="002700B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4022</Words>
  <Characters>22929</Characters>
  <Application>Microsoft Office Word</Application>
  <DocSecurity>4</DocSecurity>
  <Lines>191</Lines>
  <Paragraphs>53</Paragraphs>
  <ScaleCrop>false</ScaleCrop>
  <Company/>
  <LinksUpToDate>false</LinksUpToDate>
  <CharactersWithSpaces>26898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Un-named</dc:creator>
  <cp:keywords/>
  <cp:lastModifiedBy>Ousman Bobb (2331955)</cp:lastModifiedBy>
  <cp:revision>7</cp:revision>
  <dcterms:created xsi:type="dcterms:W3CDTF">2026-07-17T19:17:00Z</dcterms:created>
  <dcterms:modified xsi:type="dcterms:W3CDTF">2026-07-17T22:03:00Z</dcterms:modified>
</cp:coreProperties>
</file>