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A1BC2" w14:textId="77777777" w:rsidR="00313448" w:rsidRDefault="00313448" w:rsidP="00313448">
      <w:pPr>
        <w:pStyle w:val="paragraph"/>
        <w:spacing w:before="0" w:beforeAutospacing="0" w:after="0" w:afterAutospacing="0"/>
        <w:jc w:val="center"/>
        <w:textAlignment w:val="baseline"/>
      </w:pPr>
    </w:p>
    <w:p w14:paraId="7A6F7413" w14:textId="77777777" w:rsidR="00313448" w:rsidRDefault="00313448" w:rsidP="00313448">
      <w:pPr>
        <w:pStyle w:val="paragraph"/>
        <w:spacing w:before="0" w:beforeAutospacing="0" w:after="0" w:afterAutospacing="0"/>
        <w:jc w:val="center"/>
        <w:textAlignment w:val="baseline"/>
      </w:pPr>
    </w:p>
    <w:p w14:paraId="3F45F11B" w14:textId="77777777" w:rsidR="00313448" w:rsidRDefault="00313448" w:rsidP="00313448">
      <w:pPr>
        <w:pStyle w:val="paragraph"/>
        <w:spacing w:before="0" w:beforeAutospacing="0" w:after="0" w:afterAutospacing="0"/>
        <w:jc w:val="center"/>
        <w:textAlignment w:val="baseline"/>
      </w:pPr>
    </w:p>
    <w:p w14:paraId="126BB87D" w14:textId="77777777" w:rsidR="00313448" w:rsidRDefault="00313448" w:rsidP="00313448">
      <w:pPr>
        <w:pStyle w:val="paragraph"/>
        <w:spacing w:before="0" w:beforeAutospacing="0" w:after="0" w:afterAutospacing="0"/>
        <w:jc w:val="center"/>
        <w:textAlignment w:val="baseline"/>
      </w:pPr>
    </w:p>
    <w:p w14:paraId="65DD7E30" w14:textId="77777777" w:rsidR="00313448" w:rsidRDefault="00313448" w:rsidP="00313448">
      <w:pPr>
        <w:pStyle w:val="paragraph"/>
        <w:spacing w:before="0" w:beforeAutospacing="0" w:after="0" w:afterAutospacing="0"/>
        <w:jc w:val="center"/>
        <w:textAlignment w:val="baseline"/>
      </w:pPr>
    </w:p>
    <w:p w14:paraId="6E345F5C" w14:textId="77777777" w:rsidR="00313448" w:rsidRDefault="00313448" w:rsidP="00313448">
      <w:pPr>
        <w:pStyle w:val="paragraph"/>
        <w:spacing w:before="0" w:beforeAutospacing="0" w:after="0" w:afterAutospacing="0"/>
        <w:jc w:val="center"/>
        <w:textAlignment w:val="baseline"/>
      </w:pPr>
    </w:p>
    <w:p w14:paraId="7C990EAB" w14:textId="77777777" w:rsidR="00313448" w:rsidRDefault="00313448" w:rsidP="00313448">
      <w:pPr>
        <w:pStyle w:val="paragraph"/>
        <w:spacing w:before="0" w:beforeAutospacing="0" w:after="0" w:afterAutospacing="0"/>
        <w:jc w:val="center"/>
        <w:textAlignment w:val="baseline"/>
      </w:pPr>
    </w:p>
    <w:p w14:paraId="75EB27EF" w14:textId="77777777" w:rsidR="00313448" w:rsidRDefault="00313448" w:rsidP="00313448">
      <w:pPr>
        <w:pStyle w:val="paragraph"/>
        <w:spacing w:before="0" w:beforeAutospacing="0" w:after="0" w:afterAutospacing="0"/>
        <w:jc w:val="center"/>
        <w:textAlignment w:val="baseline"/>
      </w:pPr>
    </w:p>
    <w:p w14:paraId="029EA880" w14:textId="77777777" w:rsidR="00313448" w:rsidRDefault="00313448" w:rsidP="00313448">
      <w:pPr>
        <w:pStyle w:val="paragraph"/>
        <w:spacing w:before="0" w:beforeAutospacing="0" w:after="0" w:afterAutospacing="0"/>
        <w:jc w:val="center"/>
        <w:textAlignment w:val="baseline"/>
      </w:pPr>
    </w:p>
    <w:p w14:paraId="3BF77447" w14:textId="77777777" w:rsidR="00313448" w:rsidRDefault="00313448" w:rsidP="00313448">
      <w:pPr>
        <w:pStyle w:val="paragraph"/>
        <w:spacing w:before="0" w:beforeAutospacing="0" w:after="0" w:afterAutospacing="0"/>
        <w:jc w:val="center"/>
        <w:textAlignment w:val="baseline"/>
      </w:pPr>
    </w:p>
    <w:p w14:paraId="3F18AD52" w14:textId="77777777" w:rsidR="00313448" w:rsidRDefault="00313448" w:rsidP="00313448">
      <w:pPr>
        <w:pStyle w:val="paragraph"/>
        <w:spacing w:before="0" w:beforeAutospacing="0" w:after="0" w:afterAutospacing="0"/>
        <w:jc w:val="center"/>
        <w:textAlignment w:val="baseline"/>
      </w:pPr>
    </w:p>
    <w:p w14:paraId="02274E76" w14:textId="77777777" w:rsidR="00313448" w:rsidRDefault="00313448" w:rsidP="00313448">
      <w:pPr>
        <w:pStyle w:val="paragraph"/>
        <w:spacing w:before="0" w:beforeAutospacing="0" w:after="0" w:afterAutospacing="0"/>
        <w:jc w:val="center"/>
        <w:textAlignment w:val="baseline"/>
      </w:pPr>
    </w:p>
    <w:p w14:paraId="5C647932" w14:textId="77777777" w:rsidR="00313448" w:rsidRDefault="00313448" w:rsidP="00313448">
      <w:pPr>
        <w:pStyle w:val="paragraph"/>
        <w:spacing w:before="0" w:beforeAutospacing="0" w:after="0" w:afterAutospacing="0"/>
        <w:jc w:val="center"/>
        <w:textAlignment w:val="baseline"/>
      </w:pPr>
    </w:p>
    <w:p w14:paraId="7A509C23" w14:textId="77777777" w:rsidR="00313448" w:rsidRDefault="00313448" w:rsidP="00313448">
      <w:pPr>
        <w:pStyle w:val="paragraph"/>
        <w:spacing w:before="0" w:beforeAutospacing="0" w:after="0" w:afterAutospacing="0"/>
        <w:jc w:val="center"/>
        <w:textAlignment w:val="baseline"/>
      </w:pPr>
    </w:p>
    <w:p w14:paraId="16C8A7B4" w14:textId="77777777" w:rsidR="00313448" w:rsidRDefault="00313448" w:rsidP="00313448">
      <w:pPr>
        <w:pStyle w:val="paragraph"/>
        <w:spacing w:before="0" w:beforeAutospacing="0" w:after="0" w:afterAutospacing="0"/>
        <w:jc w:val="center"/>
        <w:textAlignment w:val="baseline"/>
      </w:pPr>
    </w:p>
    <w:p w14:paraId="3E88D4A7" w14:textId="2AD6692D" w:rsidR="00313448" w:rsidRPr="00313448" w:rsidRDefault="00313448" w:rsidP="00313448">
      <w:pPr>
        <w:pStyle w:val="paragraph"/>
        <w:spacing w:before="0" w:beforeAutospacing="0" w:after="0" w:afterAutospacing="0"/>
        <w:jc w:val="center"/>
        <w:textAlignment w:val="baseline"/>
        <w:rPr>
          <w:rFonts w:ascii="Segoe UI" w:hAnsi="Segoe UI" w:cs="Segoe UI"/>
          <w:sz w:val="18"/>
          <w:szCs w:val="18"/>
        </w:rPr>
      </w:pPr>
      <w:r>
        <w:t xml:space="preserve">           </w:t>
      </w:r>
      <w:r w:rsidRPr="00313448">
        <w:rPr>
          <w:rFonts w:ascii="Arial" w:hAnsi="Arial" w:cs="Arial"/>
          <w:sz w:val="22"/>
          <w:szCs w:val="22"/>
        </w:rPr>
        <w:t> </w:t>
      </w:r>
    </w:p>
    <w:p w14:paraId="2252E4A9"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Title page </w:t>
      </w:r>
      <w:r w:rsidRPr="00313448">
        <w:rPr>
          <w:rFonts w:ascii="Arial" w:eastAsia="Times New Roman" w:hAnsi="Arial" w:cs="Arial"/>
          <w:kern w:val="0"/>
          <w14:ligatures w14:val="none"/>
        </w:rPr>
        <w:t> </w:t>
      </w:r>
    </w:p>
    <w:p w14:paraId="611AE0A3"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Student Name: Vida Takyi</w:t>
      </w:r>
      <w:r w:rsidRPr="00313448">
        <w:rPr>
          <w:rFonts w:ascii="Arial" w:eastAsia="Times New Roman" w:hAnsi="Arial" w:cs="Arial"/>
          <w:kern w:val="0"/>
          <w14:ligatures w14:val="none"/>
        </w:rPr>
        <w:t> </w:t>
      </w:r>
    </w:p>
    <w:p w14:paraId="5F28C4B9"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Student Number: 2518018</w:t>
      </w:r>
      <w:r w:rsidRPr="00313448">
        <w:rPr>
          <w:rFonts w:ascii="Arial" w:eastAsia="Times New Roman" w:hAnsi="Arial" w:cs="Arial"/>
          <w:kern w:val="0"/>
          <w14:ligatures w14:val="none"/>
        </w:rPr>
        <w:t> </w:t>
      </w:r>
    </w:p>
    <w:p w14:paraId="3A0FE28C" w14:textId="12A656A3" w:rsidR="00313448" w:rsidRPr="00313448" w:rsidRDefault="00313448" w:rsidP="00E21AEB">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Module Code and Title; LCHS4007 and Digital Skills and Research Module.</w:t>
      </w:r>
    </w:p>
    <w:p w14:paraId="0E72D992"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Lecturer’s Name: Bianca Dodgen</w:t>
      </w:r>
      <w:r w:rsidRPr="00313448">
        <w:rPr>
          <w:rFonts w:ascii="Arial" w:eastAsia="Times New Roman" w:hAnsi="Arial" w:cs="Arial"/>
          <w:kern w:val="0"/>
          <w14:ligatures w14:val="none"/>
        </w:rPr>
        <w:t> </w:t>
      </w:r>
    </w:p>
    <w:p w14:paraId="67117F2B"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Assignment Title; Component 2– Research Report</w:t>
      </w:r>
      <w:r w:rsidRPr="00313448">
        <w:rPr>
          <w:rFonts w:ascii="Arial" w:eastAsia="Times New Roman" w:hAnsi="Arial" w:cs="Arial"/>
          <w:kern w:val="0"/>
          <w14:ligatures w14:val="none"/>
        </w:rPr>
        <w:t> </w:t>
      </w:r>
    </w:p>
    <w:p w14:paraId="25487940"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86063EA"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4E5F5C7"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512B11B"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9211C2C"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64282C6"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09FC803"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CC8EC04"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3130F85"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D4758C0"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524AC1E"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4AEBEA2B"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7834358"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1BB6AFF"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E04A548"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4345A388"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19F734B"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3D16EAC0"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449B1C0"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4F64807D"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2CA05ABC"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21F0EB7E"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0196A76C"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4ED4DBA7"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08BC1B50"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7D89266C"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7568C3B1"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33388DCF" w14:textId="1193FD4A"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BA511AC"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857127D"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629D8DBF"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16BD60A5"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5281DBE0"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6C608BAA"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3FFB5938"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4E40D5E8"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48D15937"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343CB282"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26A3B44D" w14:textId="2258658E" w:rsidR="00313448" w:rsidRDefault="00313448" w:rsidP="00313448">
      <w:pPr>
        <w:spacing w:after="0" w:line="240" w:lineRule="auto"/>
        <w:jc w:val="center"/>
        <w:textAlignment w:val="baseline"/>
        <w:rPr>
          <w:rFonts w:ascii="Arial" w:eastAsia="Times New Roman" w:hAnsi="Arial" w:cs="Arial"/>
          <w:kern w:val="0"/>
          <w14:ligatures w14:val="none"/>
        </w:rPr>
      </w:pPr>
      <w:r w:rsidRPr="00313448">
        <w:rPr>
          <w:rFonts w:ascii="Arial" w:eastAsia="Times New Roman" w:hAnsi="Arial" w:cs="Arial"/>
          <w:b/>
          <w:bCs/>
          <w:kern w:val="0"/>
          <w14:ligatures w14:val="none"/>
        </w:rPr>
        <w:t>Content Page</w:t>
      </w:r>
      <w:r w:rsidRPr="00313448">
        <w:rPr>
          <w:rFonts w:ascii="Arial" w:eastAsia="Times New Roman" w:hAnsi="Arial" w:cs="Arial"/>
          <w:kern w:val="0"/>
          <w14:ligatures w14:val="none"/>
        </w:rPr>
        <w:t> </w:t>
      </w:r>
    </w:p>
    <w:p w14:paraId="3B9801DB"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sdt>
      <w:sdtPr>
        <w:id w:val="-137430292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63BBE57" w14:textId="54623800" w:rsidR="00573F64" w:rsidRDefault="00573F64">
          <w:pPr>
            <w:pStyle w:val="TOCHeading"/>
          </w:pPr>
          <w:r>
            <w:t>Contents</w:t>
          </w:r>
        </w:p>
        <w:p w14:paraId="151CA653" w14:textId="21919884" w:rsidR="00651106" w:rsidRDefault="00573F64">
          <w:pPr>
            <w:pStyle w:val="TOC1"/>
            <w:rPr>
              <w:rFonts w:asciiTheme="minorHAnsi" w:eastAsiaTheme="minorEastAsia" w:hAnsiTheme="minorHAnsi" w:cstheme="minorBidi"/>
              <w:b w:val="0"/>
              <w:bCs w:val="0"/>
            </w:rPr>
          </w:pPr>
          <w:r>
            <w:fldChar w:fldCharType="begin"/>
          </w:r>
          <w:r>
            <w:instrText xml:space="preserve"> TOC \o "1-3" \h \z \u </w:instrText>
          </w:r>
          <w:r>
            <w:fldChar w:fldCharType="separate"/>
          </w:r>
          <w:hyperlink w:anchor="_Toc225179777" w:history="1">
            <w:r w:rsidR="00651106" w:rsidRPr="00544466">
              <w:rPr>
                <w:rStyle w:val="Hyperlink"/>
                <w:rFonts w:eastAsia="Times New Roman"/>
              </w:rPr>
              <w:t>Introduction</w:t>
            </w:r>
            <w:r w:rsidR="00651106">
              <w:rPr>
                <w:webHidden/>
              </w:rPr>
              <w:tab/>
            </w:r>
            <w:r w:rsidR="00651106">
              <w:rPr>
                <w:webHidden/>
              </w:rPr>
              <w:fldChar w:fldCharType="begin"/>
            </w:r>
            <w:r w:rsidR="00651106">
              <w:rPr>
                <w:webHidden/>
              </w:rPr>
              <w:instrText xml:space="preserve"> PAGEREF _Toc225179777 \h </w:instrText>
            </w:r>
            <w:r w:rsidR="00651106">
              <w:rPr>
                <w:webHidden/>
              </w:rPr>
            </w:r>
            <w:r w:rsidR="00651106">
              <w:rPr>
                <w:webHidden/>
              </w:rPr>
              <w:fldChar w:fldCharType="separate"/>
            </w:r>
            <w:r w:rsidR="00651106">
              <w:rPr>
                <w:webHidden/>
              </w:rPr>
              <w:t>3</w:t>
            </w:r>
            <w:r w:rsidR="00651106">
              <w:rPr>
                <w:webHidden/>
              </w:rPr>
              <w:fldChar w:fldCharType="end"/>
            </w:r>
          </w:hyperlink>
        </w:p>
        <w:p w14:paraId="072568F1" w14:textId="0A4C8246" w:rsidR="00651106" w:rsidRDefault="00651106">
          <w:pPr>
            <w:pStyle w:val="TOC1"/>
            <w:rPr>
              <w:rFonts w:asciiTheme="minorHAnsi" w:eastAsiaTheme="minorEastAsia" w:hAnsiTheme="minorHAnsi" w:cstheme="minorBidi"/>
              <w:b w:val="0"/>
              <w:bCs w:val="0"/>
            </w:rPr>
          </w:pPr>
          <w:hyperlink w:anchor="_Toc225179778" w:history="1">
            <w:r w:rsidRPr="00544466">
              <w:rPr>
                <w:rStyle w:val="Hyperlink"/>
              </w:rPr>
              <w:t>Selection of Research Topics.</w:t>
            </w:r>
            <w:r>
              <w:rPr>
                <w:webHidden/>
              </w:rPr>
              <w:tab/>
            </w:r>
            <w:r>
              <w:rPr>
                <w:webHidden/>
              </w:rPr>
              <w:fldChar w:fldCharType="begin"/>
            </w:r>
            <w:r>
              <w:rPr>
                <w:webHidden/>
              </w:rPr>
              <w:instrText xml:space="preserve"> PAGEREF _Toc225179778 \h </w:instrText>
            </w:r>
            <w:r>
              <w:rPr>
                <w:webHidden/>
              </w:rPr>
            </w:r>
            <w:r>
              <w:rPr>
                <w:webHidden/>
              </w:rPr>
              <w:fldChar w:fldCharType="separate"/>
            </w:r>
            <w:r>
              <w:rPr>
                <w:webHidden/>
              </w:rPr>
              <w:t>3</w:t>
            </w:r>
            <w:r>
              <w:rPr>
                <w:webHidden/>
              </w:rPr>
              <w:fldChar w:fldCharType="end"/>
            </w:r>
          </w:hyperlink>
        </w:p>
        <w:p w14:paraId="41378E2A" w14:textId="7241298A" w:rsidR="00651106" w:rsidRDefault="00651106">
          <w:pPr>
            <w:pStyle w:val="TOC1"/>
            <w:rPr>
              <w:rFonts w:asciiTheme="minorHAnsi" w:eastAsiaTheme="minorEastAsia" w:hAnsiTheme="minorHAnsi" w:cstheme="minorBidi"/>
              <w:b w:val="0"/>
              <w:bCs w:val="0"/>
            </w:rPr>
          </w:pPr>
          <w:hyperlink w:anchor="_Toc225179779" w:history="1">
            <w:r w:rsidRPr="00544466">
              <w:rPr>
                <w:rStyle w:val="Hyperlink"/>
              </w:rPr>
              <w:t>Task One</w:t>
            </w:r>
            <w:r>
              <w:rPr>
                <w:webHidden/>
              </w:rPr>
              <w:tab/>
            </w:r>
            <w:r>
              <w:rPr>
                <w:webHidden/>
              </w:rPr>
              <w:fldChar w:fldCharType="begin"/>
            </w:r>
            <w:r>
              <w:rPr>
                <w:webHidden/>
              </w:rPr>
              <w:instrText xml:space="preserve"> PAGEREF _Toc225179779 \h </w:instrText>
            </w:r>
            <w:r>
              <w:rPr>
                <w:webHidden/>
              </w:rPr>
            </w:r>
            <w:r>
              <w:rPr>
                <w:webHidden/>
              </w:rPr>
              <w:fldChar w:fldCharType="separate"/>
            </w:r>
            <w:r>
              <w:rPr>
                <w:webHidden/>
              </w:rPr>
              <w:t>3</w:t>
            </w:r>
            <w:r>
              <w:rPr>
                <w:webHidden/>
              </w:rPr>
              <w:fldChar w:fldCharType="end"/>
            </w:r>
          </w:hyperlink>
        </w:p>
        <w:p w14:paraId="0B55A5F8" w14:textId="5B47F6A1" w:rsidR="00651106" w:rsidRDefault="00651106">
          <w:pPr>
            <w:pStyle w:val="TOC1"/>
            <w:rPr>
              <w:rFonts w:asciiTheme="minorHAnsi" w:eastAsiaTheme="minorEastAsia" w:hAnsiTheme="minorHAnsi" w:cstheme="minorBidi"/>
              <w:b w:val="0"/>
              <w:bCs w:val="0"/>
            </w:rPr>
          </w:pPr>
          <w:hyperlink w:anchor="_Toc225179780" w:history="1">
            <w:r w:rsidRPr="00544466">
              <w:rPr>
                <w:rStyle w:val="Hyperlink"/>
                <w:rFonts w:eastAsia="Times New Roman"/>
              </w:rPr>
              <w:t>Task Two</w:t>
            </w:r>
            <w:r>
              <w:rPr>
                <w:webHidden/>
              </w:rPr>
              <w:tab/>
            </w:r>
            <w:r>
              <w:rPr>
                <w:webHidden/>
              </w:rPr>
              <w:fldChar w:fldCharType="begin"/>
            </w:r>
            <w:r>
              <w:rPr>
                <w:webHidden/>
              </w:rPr>
              <w:instrText xml:space="preserve"> PAGEREF _Toc225179780 \h </w:instrText>
            </w:r>
            <w:r>
              <w:rPr>
                <w:webHidden/>
              </w:rPr>
            </w:r>
            <w:r>
              <w:rPr>
                <w:webHidden/>
              </w:rPr>
              <w:fldChar w:fldCharType="separate"/>
            </w:r>
            <w:r>
              <w:rPr>
                <w:webHidden/>
              </w:rPr>
              <w:t>4</w:t>
            </w:r>
            <w:r>
              <w:rPr>
                <w:webHidden/>
              </w:rPr>
              <w:fldChar w:fldCharType="end"/>
            </w:r>
          </w:hyperlink>
        </w:p>
        <w:p w14:paraId="6FCCE439" w14:textId="4C7A2C66" w:rsidR="00651106" w:rsidRDefault="00651106">
          <w:pPr>
            <w:pStyle w:val="TOC1"/>
            <w:rPr>
              <w:rFonts w:asciiTheme="minorHAnsi" w:eastAsiaTheme="minorEastAsia" w:hAnsiTheme="minorHAnsi" w:cstheme="minorBidi"/>
              <w:b w:val="0"/>
              <w:bCs w:val="0"/>
            </w:rPr>
          </w:pPr>
          <w:hyperlink w:anchor="_Toc225179781" w:history="1">
            <w:r w:rsidRPr="00544466">
              <w:rPr>
                <w:rStyle w:val="Hyperlink"/>
                <w:rFonts w:eastAsia="Times New Roman"/>
              </w:rPr>
              <w:t>Task Three</w:t>
            </w:r>
            <w:r>
              <w:rPr>
                <w:webHidden/>
              </w:rPr>
              <w:tab/>
            </w:r>
            <w:r>
              <w:rPr>
                <w:webHidden/>
              </w:rPr>
              <w:fldChar w:fldCharType="begin"/>
            </w:r>
            <w:r>
              <w:rPr>
                <w:webHidden/>
              </w:rPr>
              <w:instrText xml:space="preserve"> PAGEREF _Toc225179781 \h </w:instrText>
            </w:r>
            <w:r>
              <w:rPr>
                <w:webHidden/>
              </w:rPr>
            </w:r>
            <w:r>
              <w:rPr>
                <w:webHidden/>
              </w:rPr>
              <w:fldChar w:fldCharType="separate"/>
            </w:r>
            <w:r>
              <w:rPr>
                <w:webHidden/>
              </w:rPr>
              <w:t>5</w:t>
            </w:r>
            <w:r>
              <w:rPr>
                <w:webHidden/>
              </w:rPr>
              <w:fldChar w:fldCharType="end"/>
            </w:r>
          </w:hyperlink>
        </w:p>
        <w:p w14:paraId="225C4356" w14:textId="370C6423" w:rsidR="00651106" w:rsidRDefault="00651106">
          <w:pPr>
            <w:pStyle w:val="TOC1"/>
            <w:rPr>
              <w:rFonts w:asciiTheme="minorHAnsi" w:eastAsiaTheme="minorEastAsia" w:hAnsiTheme="minorHAnsi" w:cstheme="minorBidi"/>
              <w:b w:val="0"/>
              <w:bCs w:val="0"/>
            </w:rPr>
          </w:pPr>
          <w:hyperlink w:anchor="_Toc225179782" w:history="1">
            <w:r w:rsidRPr="00544466">
              <w:rPr>
                <w:rStyle w:val="Hyperlink"/>
                <w:rFonts w:eastAsia="Times New Roman"/>
              </w:rPr>
              <w:t>Task Four</w:t>
            </w:r>
            <w:r>
              <w:rPr>
                <w:webHidden/>
              </w:rPr>
              <w:tab/>
            </w:r>
            <w:r>
              <w:rPr>
                <w:webHidden/>
              </w:rPr>
              <w:fldChar w:fldCharType="begin"/>
            </w:r>
            <w:r>
              <w:rPr>
                <w:webHidden/>
              </w:rPr>
              <w:instrText xml:space="preserve"> PAGEREF _Toc225179782 \h </w:instrText>
            </w:r>
            <w:r>
              <w:rPr>
                <w:webHidden/>
              </w:rPr>
            </w:r>
            <w:r>
              <w:rPr>
                <w:webHidden/>
              </w:rPr>
              <w:fldChar w:fldCharType="separate"/>
            </w:r>
            <w:r>
              <w:rPr>
                <w:webHidden/>
              </w:rPr>
              <w:t>6</w:t>
            </w:r>
            <w:r>
              <w:rPr>
                <w:webHidden/>
              </w:rPr>
              <w:fldChar w:fldCharType="end"/>
            </w:r>
          </w:hyperlink>
        </w:p>
        <w:p w14:paraId="489011FC" w14:textId="17D6B7A9" w:rsidR="00651106" w:rsidRDefault="00651106">
          <w:pPr>
            <w:pStyle w:val="TOC1"/>
            <w:rPr>
              <w:rFonts w:asciiTheme="minorHAnsi" w:eastAsiaTheme="minorEastAsia" w:hAnsiTheme="minorHAnsi" w:cstheme="minorBidi"/>
              <w:b w:val="0"/>
              <w:bCs w:val="0"/>
            </w:rPr>
          </w:pPr>
          <w:hyperlink w:anchor="_Toc225179783" w:history="1">
            <w:r w:rsidRPr="00544466">
              <w:rPr>
                <w:rStyle w:val="Hyperlink"/>
                <w:rFonts w:eastAsia="Times New Roman"/>
              </w:rPr>
              <w:t>Conclusion</w:t>
            </w:r>
            <w:r>
              <w:rPr>
                <w:webHidden/>
              </w:rPr>
              <w:tab/>
            </w:r>
            <w:r>
              <w:rPr>
                <w:webHidden/>
              </w:rPr>
              <w:fldChar w:fldCharType="begin"/>
            </w:r>
            <w:r>
              <w:rPr>
                <w:webHidden/>
              </w:rPr>
              <w:instrText xml:space="preserve"> PAGEREF _Toc225179783 \h </w:instrText>
            </w:r>
            <w:r>
              <w:rPr>
                <w:webHidden/>
              </w:rPr>
            </w:r>
            <w:r>
              <w:rPr>
                <w:webHidden/>
              </w:rPr>
              <w:fldChar w:fldCharType="separate"/>
            </w:r>
            <w:r>
              <w:rPr>
                <w:webHidden/>
              </w:rPr>
              <w:t>7</w:t>
            </w:r>
            <w:r>
              <w:rPr>
                <w:webHidden/>
              </w:rPr>
              <w:fldChar w:fldCharType="end"/>
            </w:r>
          </w:hyperlink>
        </w:p>
        <w:p w14:paraId="5A0EBEEC" w14:textId="65CEF470" w:rsidR="00651106" w:rsidRDefault="00651106">
          <w:pPr>
            <w:pStyle w:val="TOC1"/>
            <w:rPr>
              <w:rFonts w:asciiTheme="minorHAnsi" w:eastAsiaTheme="minorEastAsia" w:hAnsiTheme="minorHAnsi" w:cstheme="minorBidi"/>
              <w:b w:val="0"/>
              <w:bCs w:val="0"/>
            </w:rPr>
          </w:pPr>
          <w:hyperlink w:anchor="_Toc225179784" w:history="1">
            <w:r w:rsidRPr="00544466">
              <w:rPr>
                <w:rStyle w:val="Hyperlink"/>
                <w:rFonts w:eastAsia="Times New Roman"/>
              </w:rPr>
              <w:t>References.</w:t>
            </w:r>
            <w:r>
              <w:rPr>
                <w:webHidden/>
              </w:rPr>
              <w:tab/>
            </w:r>
            <w:r>
              <w:rPr>
                <w:webHidden/>
              </w:rPr>
              <w:fldChar w:fldCharType="begin"/>
            </w:r>
            <w:r>
              <w:rPr>
                <w:webHidden/>
              </w:rPr>
              <w:instrText xml:space="preserve"> PAGEREF _Toc225179784 \h </w:instrText>
            </w:r>
            <w:r>
              <w:rPr>
                <w:webHidden/>
              </w:rPr>
            </w:r>
            <w:r>
              <w:rPr>
                <w:webHidden/>
              </w:rPr>
              <w:fldChar w:fldCharType="separate"/>
            </w:r>
            <w:r>
              <w:rPr>
                <w:webHidden/>
              </w:rPr>
              <w:t>8</w:t>
            </w:r>
            <w:r>
              <w:rPr>
                <w:webHidden/>
              </w:rPr>
              <w:fldChar w:fldCharType="end"/>
            </w:r>
          </w:hyperlink>
        </w:p>
        <w:p w14:paraId="6D01F4C2" w14:textId="02BF3D6D" w:rsidR="00573F64" w:rsidRDefault="00573F64">
          <w:r>
            <w:rPr>
              <w:b/>
              <w:bCs/>
              <w:noProof/>
            </w:rPr>
            <w:fldChar w:fldCharType="end"/>
          </w:r>
        </w:p>
      </w:sdtContent>
    </w:sdt>
    <w:p w14:paraId="049DFD8F" w14:textId="77777777" w:rsidR="00573F64" w:rsidRPr="00313448" w:rsidRDefault="00573F64" w:rsidP="00313448">
      <w:pPr>
        <w:spacing w:after="0" w:line="240" w:lineRule="auto"/>
        <w:jc w:val="center"/>
        <w:textAlignment w:val="baseline"/>
        <w:rPr>
          <w:rFonts w:ascii="Segoe UI" w:eastAsia="Times New Roman" w:hAnsi="Segoe UI" w:cs="Segoe UI"/>
          <w:kern w:val="0"/>
          <w:sz w:val="18"/>
          <w:szCs w:val="18"/>
          <w14:ligatures w14:val="none"/>
        </w:rPr>
      </w:pPr>
    </w:p>
    <w:p w14:paraId="7148A604"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B15E290"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1A17292"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9B53717"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80F1DFD"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46FE21F7"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E69DD45"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E5A600E"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062CF0F" w14:textId="7BDA77BD"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39AE2148"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7B84548F"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684EDC77"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4B2032AD"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4B08A822"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3F5926FC"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65418482"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21EE4DB2"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5B64B445"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4A24804A"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2B160A33"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06F4413F"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074E46CB" w14:textId="77777777" w:rsidR="00573F64" w:rsidRDefault="00573F64" w:rsidP="00AE72FB">
      <w:pPr>
        <w:spacing w:after="0" w:line="240" w:lineRule="auto"/>
        <w:textAlignment w:val="baseline"/>
        <w:rPr>
          <w:rFonts w:ascii="Arial" w:eastAsia="Times New Roman" w:hAnsi="Arial" w:cs="Arial"/>
          <w:kern w:val="0"/>
          <w14:ligatures w14:val="none"/>
        </w:rPr>
      </w:pPr>
    </w:p>
    <w:p w14:paraId="683F8EC9" w14:textId="6AE8FD6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955A7BC"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610B4A9" w14:textId="2259E343" w:rsidR="00313448" w:rsidRPr="00573F64" w:rsidRDefault="00313448" w:rsidP="00573F64">
      <w:pPr>
        <w:pStyle w:val="Heading1"/>
        <w:jc w:val="center"/>
        <w:rPr>
          <w:rFonts w:ascii="Arial" w:eastAsia="Times New Roman" w:hAnsi="Arial" w:cs="Arial"/>
          <w:b/>
          <w:bCs/>
          <w:color w:val="auto"/>
          <w:sz w:val="22"/>
          <w:szCs w:val="22"/>
        </w:rPr>
      </w:pPr>
      <w:bookmarkStart w:id="0" w:name="_Toc225179777"/>
      <w:r w:rsidRPr="00573F64">
        <w:rPr>
          <w:rFonts w:ascii="Arial" w:eastAsia="Times New Roman" w:hAnsi="Arial" w:cs="Arial"/>
          <w:b/>
          <w:bCs/>
          <w:color w:val="auto"/>
          <w:sz w:val="22"/>
          <w:szCs w:val="22"/>
        </w:rPr>
        <w:t>Introduction</w:t>
      </w:r>
      <w:bookmarkEnd w:id="0"/>
    </w:p>
    <w:p w14:paraId="27EB556A" w14:textId="77777777" w:rsidR="0002790A" w:rsidRDefault="0002790A" w:rsidP="00313448">
      <w:pPr>
        <w:spacing w:after="0"/>
        <w:jc w:val="center"/>
        <w:textAlignment w:val="baseline"/>
        <w:rPr>
          <w:rFonts w:ascii="Arial" w:eastAsia="Times New Roman" w:hAnsi="Arial" w:cs="Arial"/>
          <w:b/>
          <w:bCs/>
          <w:kern w:val="0"/>
          <w14:ligatures w14:val="none"/>
        </w:rPr>
      </w:pPr>
    </w:p>
    <w:p w14:paraId="38807670" w14:textId="5CCE1345" w:rsidR="0002790A" w:rsidRPr="0002790A" w:rsidRDefault="0002790A" w:rsidP="0002790A">
      <w:pPr>
        <w:spacing w:after="0"/>
        <w:jc w:val="both"/>
        <w:textAlignment w:val="baseline"/>
        <w:rPr>
          <w:rFonts w:ascii="Arial" w:eastAsia="Times New Roman" w:hAnsi="Arial" w:cs="Arial"/>
          <w:kern w:val="0"/>
          <w14:ligatures w14:val="none"/>
        </w:rPr>
      </w:pPr>
      <w:r w:rsidRPr="0002790A">
        <w:rPr>
          <w:rFonts w:ascii="Arial" w:eastAsia="Times New Roman" w:hAnsi="Arial" w:cs="Arial"/>
          <w:kern w:val="0"/>
          <w14:ligatures w14:val="none"/>
        </w:rPr>
        <w:t xml:space="preserve">Staff burnout is a major issue for the UK's health and social care sector, impacting nurses, social workers, and care staff. Overwhelming workloads, inadequate institutional support, and a poor work-life balance can lead to burnout, </w:t>
      </w:r>
      <w:r w:rsidR="0095487B">
        <w:rPr>
          <w:rFonts w:ascii="Arial" w:eastAsia="Times New Roman" w:hAnsi="Arial" w:cs="Arial"/>
          <w:kern w:val="0"/>
          <w14:ligatures w14:val="none"/>
        </w:rPr>
        <w:t>characterised</w:t>
      </w:r>
      <w:r w:rsidRPr="0002790A">
        <w:rPr>
          <w:rFonts w:ascii="Arial" w:eastAsia="Times New Roman" w:hAnsi="Arial" w:cs="Arial"/>
          <w:kern w:val="0"/>
          <w14:ligatures w14:val="none"/>
        </w:rPr>
        <w:t xml:space="preserve"> by emotional exhaustion, decreased productivity, and persistent stress. This problem has a major effect on how well employees are doing, how safe patients are, the calibre of services, and </w:t>
      </w:r>
      <w:r w:rsidR="0095487B">
        <w:rPr>
          <w:rFonts w:ascii="Arial" w:eastAsia="Times New Roman" w:hAnsi="Arial" w:cs="Arial"/>
          <w:kern w:val="0"/>
          <w14:ligatures w14:val="none"/>
        </w:rPr>
        <w:t>staff retention</w:t>
      </w:r>
      <w:r w:rsidR="0095487B" w:rsidRPr="0002790A">
        <w:rPr>
          <w:rFonts w:ascii="Arial" w:eastAsia="Times New Roman" w:hAnsi="Arial" w:cs="Arial"/>
          <w:kern w:val="0"/>
          <w14:ligatures w14:val="none"/>
        </w:rPr>
        <w:t>.</w:t>
      </w:r>
      <w:r w:rsidRPr="0002790A">
        <w:rPr>
          <w:rFonts w:ascii="Arial" w:eastAsia="Times New Roman" w:hAnsi="Arial" w:cs="Arial"/>
          <w:kern w:val="0"/>
          <w14:ligatures w14:val="none"/>
        </w:rPr>
        <w:t xml:space="preserve"> This paper investigates how common burnout is and why it happens, assesses its impact on people and businesses, and surveys related scholarly work. Additionally, it delves into methodologies and data collection tactics focused on enhancing insight and shaping effective solutions for this stubborn problem.</w:t>
      </w:r>
    </w:p>
    <w:p w14:paraId="0DBFC2D1" w14:textId="3F24A9F4" w:rsidR="00313448" w:rsidRPr="00651106" w:rsidRDefault="00313448" w:rsidP="00651106">
      <w:pPr>
        <w:pStyle w:val="Heading1"/>
        <w:jc w:val="center"/>
        <w:rPr>
          <w:rFonts w:ascii="Arial" w:hAnsi="Arial" w:cs="Arial"/>
          <w:b/>
          <w:bCs/>
          <w:color w:val="auto"/>
          <w:sz w:val="22"/>
          <w:szCs w:val="22"/>
        </w:rPr>
      </w:pPr>
      <w:bookmarkStart w:id="1" w:name="_Toc225179778"/>
      <w:r w:rsidRPr="00651106">
        <w:rPr>
          <w:rFonts w:ascii="Arial" w:hAnsi="Arial" w:cs="Arial"/>
          <w:b/>
          <w:bCs/>
          <w:color w:val="auto"/>
          <w:sz w:val="22"/>
          <w:szCs w:val="22"/>
        </w:rPr>
        <w:t>Selection of Research Topics.</w:t>
      </w:r>
      <w:bookmarkEnd w:id="1"/>
    </w:p>
    <w:p w14:paraId="70E43882" w14:textId="5428ADB1" w:rsidR="00651106" w:rsidRPr="00651106" w:rsidRDefault="00651106" w:rsidP="00651106">
      <w:pPr>
        <w:pStyle w:val="Heading1"/>
        <w:jc w:val="center"/>
        <w:rPr>
          <w:rFonts w:ascii="Arial" w:hAnsi="Arial" w:cs="Arial"/>
          <w:b/>
          <w:bCs/>
          <w:color w:val="auto"/>
          <w:sz w:val="22"/>
          <w:szCs w:val="22"/>
        </w:rPr>
      </w:pPr>
      <w:bookmarkStart w:id="2" w:name="_Toc225179779"/>
      <w:r w:rsidRPr="00651106">
        <w:rPr>
          <w:rFonts w:ascii="Arial" w:hAnsi="Arial" w:cs="Arial"/>
          <w:b/>
          <w:bCs/>
          <w:color w:val="auto"/>
          <w:sz w:val="22"/>
          <w:szCs w:val="22"/>
        </w:rPr>
        <w:t>Task One</w:t>
      </w:r>
      <w:bookmarkEnd w:id="2"/>
    </w:p>
    <w:p w14:paraId="10A18B9E" w14:textId="515BDBF6"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The health and social care sectors in the UK are currently experiencing a critical and sustained issue with staff burnout. This report will investigate the occurrence of staff burnout, identify affected individuals, and explain its significance. The health and social sectors are experiencing burnout among various professionals, such as doctors, nurses, care workers, social service advocates, home care registered managers, regulated professionals, and personal assistants (Skills for Care, 202</w:t>
      </w:r>
      <w:r w:rsidR="00BB0A04" w:rsidRPr="00BB0A04">
        <w:rPr>
          <w:rFonts w:ascii="Arial" w:eastAsia="Times New Roman" w:hAnsi="Arial" w:cs="Arial"/>
          <w:kern w:val="0"/>
          <w14:ligatures w14:val="none"/>
        </w:rPr>
        <w:t>6</w:t>
      </w:r>
      <w:r w:rsidRPr="00313448">
        <w:rPr>
          <w:rFonts w:ascii="Arial" w:eastAsia="Times New Roman" w:hAnsi="Arial" w:cs="Arial"/>
          <w:kern w:val="0"/>
          <w14:ligatures w14:val="none"/>
        </w:rPr>
        <w:t xml:space="preserve">). Staff burnout in the UK’s health and social care sector has juncture, with profound implications for patients’ safety, elevated staff turnover, and aggravation of severe requirements difficulties. NHS staff face a fifty </w:t>
      </w:r>
      <w:r w:rsidR="0095487B">
        <w:rPr>
          <w:rFonts w:ascii="Arial" w:eastAsia="Times New Roman" w:hAnsi="Arial" w:cs="Arial"/>
          <w:kern w:val="0"/>
          <w14:ligatures w14:val="none"/>
        </w:rPr>
        <w:t>per cent</w:t>
      </w:r>
      <w:r w:rsidRPr="00313448">
        <w:rPr>
          <w:rFonts w:ascii="Arial" w:eastAsia="Times New Roman" w:hAnsi="Arial" w:cs="Arial"/>
          <w:kern w:val="0"/>
          <w14:ligatures w14:val="none"/>
        </w:rPr>
        <w:t xml:space="preserve"> higher incidence of chronic stress than the general population; burnout takes part in an increase in errors, diminishes care quality, intensity absenteeism, starting a detrimental cycle that compromises service operations (CQC, 202</w:t>
      </w:r>
      <w:r w:rsidR="00BB0A04" w:rsidRPr="00D13141">
        <w:rPr>
          <w:rFonts w:ascii="Arial" w:eastAsia="Times New Roman" w:hAnsi="Arial" w:cs="Arial"/>
          <w:kern w:val="0"/>
          <w14:ligatures w14:val="none"/>
        </w:rPr>
        <w:t>4</w:t>
      </w:r>
      <w:r w:rsidRPr="00313448">
        <w:rPr>
          <w:rFonts w:ascii="Arial" w:eastAsia="Times New Roman" w:hAnsi="Arial" w:cs="Arial"/>
          <w:kern w:val="0"/>
          <w14:ligatures w14:val="none"/>
        </w:rPr>
        <w:t>). </w:t>
      </w:r>
    </w:p>
    <w:p w14:paraId="5643A495" w14:textId="4C5BB0F2" w:rsidR="00313448" w:rsidRPr="00313448" w:rsidRDefault="00313448" w:rsidP="00AE72FB">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The selection of burnout as a topic stems from its significance within contemporary health and social care systems, affecting many professionals across various sectors. Emotional exhaustion and a decrease in effectiveness are hallmarks of burnout, frequently stemming from overwhelming workloads, unattainable goals, and a lack of separation between professional and private spheres. When organisational culture and support systems are lacking, these factors negatively affect individuals and the organisation (Berger-Estilita et al., 2024). This relates to my professional growth as it highlighted the significance o</w:t>
      </w:r>
      <w:r w:rsidR="00801A16">
        <w:rPr>
          <w:rFonts w:ascii="Arial" w:eastAsia="Times New Roman" w:hAnsi="Arial" w:cs="Arial"/>
          <w:kern w:val="0"/>
          <w14:ligatures w14:val="none"/>
        </w:rPr>
        <w:t>f</w:t>
      </w:r>
      <w:r w:rsidR="0095487B">
        <w:rPr>
          <w:rFonts w:ascii="Arial" w:eastAsia="Times New Roman" w:hAnsi="Arial" w:cs="Arial"/>
          <w:kern w:val="0"/>
          <w14:ligatures w14:val="none"/>
        </w:rPr>
        <w:t xml:space="preserve"> </w:t>
      </w:r>
      <w:r w:rsidRPr="00313448">
        <w:rPr>
          <w:rFonts w:ascii="Arial" w:eastAsia="Times New Roman" w:hAnsi="Arial" w:cs="Arial"/>
          <w:kern w:val="0"/>
          <w14:ligatures w14:val="none"/>
        </w:rPr>
        <w:t>prioriti</w:t>
      </w:r>
      <w:r w:rsidR="00801A16">
        <w:rPr>
          <w:rFonts w:ascii="Arial" w:eastAsia="Times New Roman" w:hAnsi="Arial" w:cs="Arial"/>
          <w:kern w:val="0"/>
          <w14:ligatures w14:val="none"/>
        </w:rPr>
        <w:t>s</w:t>
      </w:r>
      <w:r w:rsidRPr="00313448">
        <w:rPr>
          <w:rFonts w:ascii="Arial" w:eastAsia="Times New Roman" w:hAnsi="Arial" w:cs="Arial"/>
          <w:kern w:val="0"/>
          <w14:ligatures w14:val="none"/>
        </w:rPr>
        <w:t>ing my health during</w:t>
      </w:r>
      <w:r w:rsidR="00801A16">
        <w:rPr>
          <w:rFonts w:ascii="Arial" w:eastAsia="Times New Roman" w:hAnsi="Arial" w:cs="Arial"/>
          <w:kern w:val="0"/>
          <w14:ligatures w14:val="none"/>
        </w:rPr>
        <w:t xml:space="preserve"> </w:t>
      </w:r>
      <w:r w:rsidRPr="00313448">
        <w:rPr>
          <w:rFonts w:ascii="Arial" w:eastAsia="Times New Roman" w:hAnsi="Arial" w:cs="Arial"/>
          <w:kern w:val="0"/>
          <w14:ligatures w14:val="none"/>
        </w:rPr>
        <w:t>work. It is crucial</w:t>
      </w:r>
      <w:r w:rsidR="0095487B">
        <w:rPr>
          <w:rFonts w:ascii="Arial" w:eastAsia="Times New Roman" w:hAnsi="Arial" w:cs="Arial"/>
          <w:kern w:val="0"/>
          <w14:ligatures w14:val="none"/>
        </w:rPr>
        <w:t xml:space="preserve"> </w:t>
      </w:r>
      <w:r w:rsidRPr="00313448">
        <w:rPr>
          <w:rFonts w:ascii="Arial" w:eastAsia="Times New Roman" w:hAnsi="Arial" w:cs="Arial"/>
          <w:kern w:val="0"/>
          <w14:ligatures w14:val="none"/>
        </w:rPr>
        <w:t>in a professional setting to signal when you require support. Understanding burnout helps me foster healthier working conditions.</w:t>
      </w:r>
    </w:p>
    <w:p w14:paraId="2F38E3EF" w14:textId="29539127" w:rsidR="00313448" w:rsidRPr="00573F64" w:rsidRDefault="00313448" w:rsidP="00573F64">
      <w:pPr>
        <w:pStyle w:val="Heading1"/>
        <w:jc w:val="center"/>
        <w:rPr>
          <w:rFonts w:ascii="Arial" w:eastAsia="Times New Roman" w:hAnsi="Arial" w:cs="Arial"/>
          <w:b/>
          <w:bCs/>
          <w:color w:val="auto"/>
          <w:sz w:val="22"/>
          <w:szCs w:val="22"/>
        </w:rPr>
      </w:pPr>
      <w:bookmarkStart w:id="3" w:name="_Toc225179780"/>
      <w:r w:rsidRPr="00573F64">
        <w:rPr>
          <w:rFonts w:ascii="Arial" w:eastAsia="Times New Roman" w:hAnsi="Arial" w:cs="Arial"/>
          <w:b/>
          <w:bCs/>
          <w:color w:val="auto"/>
          <w:sz w:val="22"/>
          <w:szCs w:val="22"/>
        </w:rPr>
        <w:t xml:space="preserve">Task </w:t>
      </w:r>
      <w:r w:rsidR="00573F64" w:rsidRPr="00573F64">
        <w:rPr>
          <w:rFonts w:ascii="Arial" w:eastAsia="Times New Roman" w:hAnsi="Arial" w:cs="Arial"/>
          <w:b/>
          <w:bCs/>
          <w:color w:val="auto"/>
          <w:sz w:val="22"/>
          <w:szCs w:val="22"/>
        </w:rPr>
        <w:t>T</w:t>
      </w:r>
      <w:r w:rsidR="0095487B" w:rsidRPr="00573F64">
        <w:rPr>
          <w:rFonts w:ascii="Arial" w:eastAsia="Times New Roman" w:hAnsi="Arial" w:cs="Arial"/>
          <w:b/>
          <w:bCs/>
          <w:color w:val="auto"/>
          <w:sz w:val="22"/>
          <w:szCs w:val="22"/>
        </w:rPr>
        <w:t>wo</w:t>
      </w:r>
      <w:bookmarkEnd w:id="3"/>
    </w:p>
    <w:p w14:paraId="348D251C" w14:textId="6650E706" w:rsidR="00313448" w:rsidRPr="00313448" w:rsidRDefault="00313448" w:rsidP="00801A16">
      <w:pPr>
        <w:spacing w:before="240" w:after="0"/>
        <w:jc w:val="both"/>
        <w:textAlignment w:val="baseline"/>
        <w:rPr>
          <w:rFonts w:ascii="Arial" w:eastAsia="Times New Roman" w:hAnsi="Arial" w:cs="Arial"/>
          <w:kern w:val="0"/>
          <w14:ligatures w14:val="none"/>
        </w:rPr>
      </w:pPr>
      <w:r w:rsidRPr="00D13141">
        <w:rPr>
          <w:rFonts w:ascii="Arial" w:eastAsia="Times New Roman" w:hAnsi="Arial" w:cs="Arial"/>
          <w:color w:val="000000"/>
          <w:kern w:val="0"/>
          <w14:ligatures w14:val="none"/>
        </w:rPr>
        <w:t xml:space="preserve">Ferry </w:t>
      </w:r>
      <w:r w:rsidRPr="00D13141">
        <w:rPr>
          <w:rFonts w:ascii="Arial" w:eastAsia="Times New Roman" w:hAnsi="Arial" w:cs="Arial"/>
          <w:i/>
          <w:iCs/>
          <w:color w:val="000000"/>
          <w:kern w:val="0"/>
          <w14:ligatures w14:val="none"/>
        </w:rPr>
        <w:t>et al</w:t>
      </w:r>
      <w:r w:rsidRPr="00D13141">
        <w:rPr>
          <w:rFonts w:ascii="Arial" w:eastAsia="Times New Roman" w:hAnsi="Arial" w:cs="Arial"/>
          <w:color w:val="000000"/>
          <w:kern w:val="0"/>
          <w14:ligatures w14:val="none"/>
        </w:rPr>
        <w:t>. (2021)</w:t>
      </w:r>
      <w:r w:rsidRPr="0002790A">
        <w:rPr>
          <w:rFonts w:ascii="Arial" w:eastAsia="Times New Roman" w:hAnsi="Arial" w:cs="Arial"/>
          <w:color w:val="000000"/>
          <w:kern w:val="0"/>
          <w14:ligatures w14:val="none"/>
        </w:rPr>
        <w:t xml:space="preserve"> highlight the severe burnout issue in UK health and social care, with studies detailing its prevalence and causes.</w:t>
      </w:r>
      <w:r w:rsidRPr="00313448">
        <w:rPr>
          <w:rFonts w:ascii="Arial" w:eastAsia="Times New Roman" w:hAnsi="Arial" w:cs="Arial"/>
          <w:color w:val="000000"/>
          <w:kern w:val="0"/>
          <w:shd w:val="clear" w:color="auto" w:fill="FFFFFF"/>
          <w14:ligatures w14:val="none"/>
        </w:rPr>
        <w:t> </w:t>
      </w:r>
      <w:r w:rsidRPr="0002790A">
        <w:rPr>
          <w:rFonts w:ascii="Arial" w:eastAsia="Times New Roman" w:hAnsi="Arial" w:cs="Arial"/>
          <w:color w:val="000000"/>
          <w:kern w:val="0"/>
          <w14:ligatures w14:val="none"/>
        </w:rPr>
        <w:t>A study indicated greater burnout among younger, female, redeployed, and frontline COVID-19 healthcare workers.</w:t>
      </w:r>
      <w:r w:rsidRPr="00313448">
        <w:rPr>
          <w:rFonts w:ascii="Arial" w:eastAsia="Times New Roman" w:hAnsi="Arial" w:cs="Arial"/>
          <w:color w:val="000000"/>
          <w:kern w:val="0"/>
          <w:shd w:val="clear" w:color="auto" w:fill="FFFFFF"/>
          <w14:ligatures w14:val="none"/>
        </w:rPr>
        <w:t> </w:t>
      </w:r>
      <w:r w:rsidRPr="0002790A">
        <w:rPr>
          <w:rFonts w:ascii="Arial" w:eastAsia="Times New Roman" w:hAnsi="Arial" w:cs="Arial"/>
          <w:color w:val="000000"/>
          <w:kern w:val="0"/>
          <w14:ligatures w14:val="none"/>
        </w:rPr>
        <w:t>Burnout was predicted by depression history, highlighting worker mental health risks.</w:t>
      </w:r>
      <w:r w:rsidRPr="00313448">
        <w:rPr>
          <w:rFonts w:ascii="Arial" w:eastAsia="Times New Roman" w:hAnsi="Arial" w:cs="Arial"/>
          <w:color w:val="000000"/>
          <w:kern w:val="0"/>
          <w:shd w:val="clear" w:color="auto" w:fill="FFFFFF"/>
          <w14:ligatures w14:val="none"/>
        </w:rPr>
        <w:t> </w:t>
      </w:r>
      <w:r w:rsidRPr="0002790A">
        <w:rPr>
          <w:rFonts w:ascii="Arial" w:eastAsia="Times New Roman" w:hAnsi="Arial" w:cs="Arial"/>
          <w:color w:val="000000"/>
          <w:kern w:val="0"/>
          <w14:ligatures w14:val="none"/>
        </w:rPr>
        <w:t>To combat these risk factors, the study recommends targeted psychological support.</w:t>
      </w:r>
      <w:r w:rsidRPr="00313448">
        <w:rPr>
          <w:rFonts w:ascii="Arial" w:eastAsia="Times New Roman" w:hAnsi="Arial" w:cs="Arial"/>
          <w:color w:val="000000"/>
          <w:kern w:val="0"/>
          <w14:ligatures w14:val="none"/>
        </w:rPr>
        <w:t> </w:t>
      </w:r>
    </w:p>
    <w:p w14:paraId="25D5827C" w14:textId="37B5CF55" w:rsidR="00313448" w:rsidRPr="00313448" w:rsidRDefault="00313448" w:rsidP="00801A16">
      <w:pPr>
        <w:spacing w:before="240" w:after="0"/>
        <w:jc w:val="both"/>
        <w:textAlignment w:val="baseline"/>
        <w:rPr>
          <w:rFonts w:ascii="Arial" w:eastAsia="Times New Roman" w:hAnsi="Arial" w:cs="Arial"/>
          <w:kern w:val="0"/>
          <w14:ligatures w14:val="none"/>
        </w:rPr>
      </w:pPr>
      <w:r w:rsidRPr="0002790A">
        <w:rPr>
          <w:rFonts w:ascii="Arial" w:eastAsia="Times New Roman" w:hAnsi="Arial" w:cs="Arial"/>
          <w:color w:val="000000"/>
          <w:kern w:val="0"/>
          <w14:ligatures w14:val="none"/>
        </w:rPr>
        <w:t>Increased SARS-CoV-2 exposure and stress put healthcare workers at greater risk for poor mental health.</w:t>
      </w:r>
      <w:r w:rsidRPr="00313448">
        <w:rPr>
          <w:rFonts w:ascii="Arial" w:eastAsia="Times New Roman" w:hAnsi="Arial" w:cs="Arial"/>
          <w:color w:val="000000"/>
          <w:kern w:val="0"/>
          <w14:ligatures w14:val="none"/>
        </w:rPr>
        <w:t> </w:t>
      </w:r>
      <w:r w:rsidRPr="0002790A">
        <w:rPr>
          <w:rFonts w:ascii="Arial" w:eastAsia="Times New Roman" w:hAnsi="Arial" w:cs="Arial"/>
          <w:color w:val="000000"/>
          <w:kern w:val="0"/>
          <w14:ligatures w14:val="none"/>
        </w:rPr>
        <w:t>Burnout is a concern for healthcare workers due to epidemic-related patient contact stress.</w:t>
      </w:r>
      <w:r w:rsidRPr="00313448">
        <w:rPr>
          <w:rFonts w:ascii="Arial" w:eastAsia="Times New Roman" w:hAnsi="Arial" w:cs="Arial"/>
          <w:color w:val="000000"/>
          <w:kern w:val="0"/>
          <w14:ligatures w14:val="none"/>
        </w:rPr>
        <w:t> </w:t>
      </w:r>
      <w:r w:rsidRPr="0002790A">
        <w:rPr>
          <w:rFonts w:ascii="Arial" w:eastAsia="Times New Roman" w:hAnsi="Arial" w:cs="Arial"/>
          <w:color w:val="000000"/>
          <w:kern w:val="0"/>
          <w14:ligatures w14:val="none"/>
        </w:rPr>
        <w:t xml:space="preserve">This supports my argument: healthcare </w:t>
      </w:r>
      <w:r w:rsidR="0095487B">
        <w:rPr>
          <w:rFonts w:ascii="Arial" w:eastAsia="Times New Roman" w:hAnsi="Arial" w:cs="Arial"/>
          <w:color w:val="000000"/>
          <w:kern w:val="0"/>
          <w14:ligatures w14:val="none"/>
        </w:rPr>
        <w:t>provides</w:t>
      </w:r>
      <w:r w:rsidRPr="0002790A">
        <w:rPr>
          <w:rFonts w:ascii="Arial" w:eastAsia="Times New Roman" w:hAnsi="Arial" w:cs="Arial"/>
          <w:color w:val="000000"/>
          <w:kern w:val="0"/>
          <w14:ligatures w14:val="none"/>
        </w:rPr>
        <w:t xml:space="preserve"> well-being impacts care, and staff support can indirectly improve patient outcomes, as </w:t>
      </w:r>
      <w:r w:rsidRPr="00D13141">
        <w:rPr>
          <w:rFonts w:ascii="Arial" w:eastAsia="Times New Roman" w:hAnsi="Arial" w:cs="Arial"/>
          <w:color w:val="000000"/>
          <w:kern w:val="0"/>
          <w14:ligatures w14:val="none"/>
        </w:rPr>
        <w:t>Sriharan et al. (2021)</w:t>
      </w:r>
      <w:r w:rsidRPr="0002790A">
        <w:rPr>
          <w:rFonts w:ascii="Arial" w:eastAsia="Times New Roman" w:hAnsi="Arial" w:cs="Arial"/>
          <w:color w:val="000000"/>
          <w:kern w:val="0"/>
          <w14:ligatures w14:val="none"/>
        </w:rPr>
        <w:t xml:space="preserve"> note regarding resource shortages, workload, and job insecurity.</w:t>
      </w:r>
      <w:r w:rsidRPr="00313448">
        <w:rPr>
          <w:rFonts w:ascii="Arial" w:eastAsia="Times New Roman" w:hAnsi="Arial" w:cs="Arial"/>
          <w:color w:val="000000"/>
          <w:kern w:val="0"/>
          <w14:ligatures w14:val="none"/>
        </w:rPr>
        <w:t> The review analysed forty-seven articles, sourced from 6148 citations, showing a comprehensive search. </w:t>
      </w:r>
      <w:r w:rsidR="0095487B" w:rsidRPr="0002790A">
        <w:rPr>
          <w:rFonts w:ascii="Arial" w:eastAsia="Times New Roman" w:hAnsi="Arial" w:cs="Arial"/>
          <w:color w:val="000000"/>
          <w:kern w:val="0"/>
          <w14:ligatures w14:val="none"/>
        </w:rPr>
        <w:t>There is</w:t>
      </w:r>
      <w:r w:rsidRPr="0002790A">
        <w:rPr>
          <w:rFonts w:ascii="Arial" w:eastAsia="Times New Roman" w:hAnsi="Arial" w:cs="Arial"/>
          <w:color w:val="000000"/>
          <w:kern w:val="0"/>
          <w14:ligatures w14:val="none"/>
        </w:rPr>
        <w:t xml:space="preserve"> a need for </w:t>
      </w:r>
      <w:r w:rsidR="0095487B">
        <w:rPr>
          <w:rFonts w:ascii="Arial" w:eastAsia="Times New Roman" w:hAnsi="Arial" w:cs="Arial"/>
          <w:color w:val="000000"/>
          <w:kern w:val="0"/>
          <w14:ligatures w14:val="none"/>
        </w:rPr>
        <w:t>organisational</w:t>
      </w:r>
      <w:r w:rsidRPr="0002790A">
        <w:rPr>
          <w:rFonts w:ascii="Arial" w:eastAsia="Times New Roman" w:hAnsi="Arial" w:cs="Arial"/>
          <w:color w:val="000000"/>
          <w:kern w:val="0"/>
          <w14:ligatures w14:val="none"/>
        </w:rPr>
        <w:t xml:space="preserve"> interventions in work modification and financial security.</w:t>
      </w:r>
      <w:r w:rsidRPr="00313448">
        <w:rPr>
          <w:rFonts w:ascii="Arial" w:eastAsia="Times New Roman" w:hAnsi="Arial" w:cs="Arial"/>
          <w:color w:val="FF0000"/>
          <w:kern w:val="0"/>
          <w14:ligatures w14:val="none"/>
        </w:rPr>
        <w:t> </w:t>
      </w:r>
    </w:p>
    <w:p w14:paraId="36A8FD29" w14:textId="2E5F21EA" w:rsidR="00313448" w:rsidRPr="00313448" w:rsidRDefault="00313448" w:rsidP="00801A16">
      <w:pPr>
        <w:spacing w:before="240" w:after="0"/>
        <w:jc w:val="both"/>
        <w:textAlignment w:val="baseline"/>
        <w:rPr>
          <w:rFonts w:ascii="Arial" w:eastAsia="Times New Roman" w:hAnsi="Arial" w:cs="Arial"/>
          <w:kern w:val="0"/>
          <w14:ligatures w14:val="none"/>
        </w:rPr>
      </w:pPr>
      <w:r w:rsidRPr="0002790A">
        <w:rPr>
          <w:rFonts w:ascii="Arial" w:eastAsia="Times New Roman" w:hAnsi="Arial" w:cs="Arial"/>
          <w:color w:val="000000"/>
          <w:kern w:val="0"/>
          <w14:ligatures w14:val="none"/>
        </w:rPr>
        <w:t>Burnout's emotional exhaustion affects social workers due to excessive work, family conflicts, and poor social support.</w:t>
      </w:r>
      <w:r w:rsidRPr="00313448">
        <w:rPr>
          <w:rFonts w:ascii="Arial" w:eastAsia="Times New Roman" w:hAnsi="Arial" w:cs="Arial"/>
          <w:color w:val="000000"/>
          <w:kern w:val="0"/>
          <w:shd w:val="clear" w:color="auto" w:fill="FFFFFF"/>
          <w14:ligatures w14:val="none"/>
        </w:rPr>
        <w:t> The job demands–resources and conservation of resources models explain how chronic stress influences these professionals </w:t>
      </w:r>
      <w:r w:rsidRPr="00313448">
        <w:rPr>
          <w:rFonts w:ascii="Arial" w:eastAsia="Times New Roman" w:hAnsi="Arial" w:cs="Arial"/>
          <w:kern w:val="0"/>
          <w:shd w:val="clear" w:color="auto" w:fill="FFFFFF"/>
          <w14:ligatures w14:val="none"/>
        </w:rPr>
        <w:t>(Chaves-Montero, Blanco-</w:t>
      </w:r>
      <w:r w:rsidR="0095487B" w:rsidRPr="00313448">
        <w:rPr>
          <w:rFonts w:ascii="Arial" w:eastAsia="Times New Roman" w:hAnsi="Arial" w:cs="Arial"/>
          <w:kern w:val="0"/>
          <w:shd w:val="clear" w:color="auto" w:fill="FFFFFF"/>
          <w14:ligatures w14:val="none"/>
        </w:rPr>
        <w:t>Miguel,</w:t>
      </w:r>
      <w:r w:rsidRPr="00313448">
        <w:rPr>
          <w:rFonts w:ascii="Arial" w:eastAsia="Times New Roman" w:hAnsi="Arial" w:cs="Arial"/>
          <w:kern w:val="0"/>
          <w:shd w:val="clear" w:color="auto" w:fill="FFFFFF"/>
          <w14:ligatures w14:val="none"/>
        </w:rPr>
        <w:t> and Ríos-Vizcaíno, 2025)</w:t>
      </w:r>
      <w:r w:rsidRPr="00313448">
        <w:rPr>
          <w:rFonts w:ascii="Arial" w:eastAsia="Times New Roman" w:hAnsi="Arial" w:cs="Arial"/>
          <w:color w:val="E97132"/>
          <w:kern w:val="0"/>
          <w:shd w:val="clear" w:color="auto" w:fill="FFFFFF"/>
          <w14:ligatures w14:val="none"/>
        </w:rPr>
        <w:t>. </w:t>
      </w:r>
      <w:r w:rsidRPr="0002790A">
        <w:rPr>
          <w:rFonts w:ascii="Arial" w:eastAsia="Times New Roman" w:hAnsi="Arial" w:cs="Arial"/>
          <w:color w:val="000000"/>
          <w:kern w:val="0"/>
          <w14:ligatures w14:val="none"/>
        </w:rPr>
        <w:t xml:space="preserve">A study of 369 French social workers found collegial/supervisory support reduced emotional exhaustion </w:t>
      </w:r>
      <w:r w:rsidRPr="00DA48A1">
        <w:rPr>
          <w:rFonts w:ascii="Arial" w:eastAsia="Times New Roman" w:hAnsi="Arial" w:cs="Arial"/>
          <w:color w:val="000000"/>
          <w:kern w:val="0"/>
          <w14:ligatures w14:val="none"/>
        </w:rPr>
        <w:t xml:space="preserve">(García </w:t>
      </w:r>
      <w:r w:rsidRPr="00DA48A1">
        <w:rPr>
          <w:rFonts w:ascii="Arial" w:eastAsia="Times New Roman" w:hAnsi="Arial" w:cs="Arial"/>
          <w:i/>
          <w:iCs/>
          <w:color w:val="000000"/>
          <w:kern w:val="0"/>
          <w14:ligatures w14:val="none"/>
        </w:rPr>
        <w:t>et al</w:t>
      </w:r>
      <w:r w:rsidRPr="00DA48A1">
        <w:rPr>
          <w:rFonts w:ascii="Arial" w:eastAsia="Times New Roman" w:hAnsi="Arial" w:cs="Arial"/>
          <w:color w:val="000000"/>
          <w:kern w:val="0"/>
          <w14:ligatures w14:val="none"/>
        </w:rPr>
        <w:t>., 202</w:t>
      </w:r>
      <w:r w:rsidR="00DA48A1" w:rsidRPr="00DA48A1">
        <w:rPr>
          <w:rFonts w:ascii="Arial" w:eastAsia="Times New Roman" w:hAnsi="Arial" w:cs="Arial"/>
          <w:color w:val="000000"/>
          <w:kern w:val="0"/>
          <w14:ligatures w14:val="none"/>
        </w:rPr>
        <w:t>2</w:t>
      </w:r>
      <w:r w:rsidRPr="00DA48A1">
        <w:rPr>
          <w:rFonts w:ascii="Arial" w:eastAsia="Times New Roman" w:hAnsi="Arial" w:cs="Arial"/>
          <w:color w:val="000000"/>
          <w:kern w:val="0"/>
          <w14:ligatures w14:val="none"/>
        </w:rPr>
        <w:t>).</w:t>
      </w:r>
      <w:r w:rsidRPr="00313448">
        <w:rPr>
          <w:rFonts w:ascii="Arial" w:eastAsia="Times New Roman" w:hAnsi="Arial" w:cs="Arial"/>
          <w:color w:val="E97132"/>
          <w:kern w:val="0"/>
          <w14:ligatures w14:val="none"/>
        </w:rPr>
        <w:t> </w:t>
      </w:r>
      <w:r w:rsidRPr="0002790A">
        <w:rPr>
          <w:rFonts w:ascii="Arial" w:eastAsia="Times New Roman" w:hAnsi="Arial" w:cs="Arial"/>
          <w:color w:val="000000"/>
          <w:kern w:val="0"/>
          <w:shd w:val="clear" w:color="auto" w:fill="FFFFFF"/>
          <w14:ligatures w14:val="none"/>
        </w:rPr>
        <w:t xml:space="preserve">Emotional exhaustion </w:t>
      </w:r>
      <w:r w:rsidR="0095487B">
        <w:rPr>
          <w:rFonts w:ascii="Arial" w:eastAsia="Times New Roman" w:hAnsi="Arial" w:cs="Arial"/>
          <w:color w:val="000000"/>
          <w:kern w:val="0"/>
          <w:shd w:val="clear" w:color="auto" w:fill="FFFFFF"/>
          <w14:ligatures w14:val="none"/>
        </w:rPr>
        <w:t>is linked</w:t>
      </w:r>
      <w:r w:rsidRPr="0002790A">
        <w:rPr>
          <w:rFonts w:ascii="Arial" w:eastAsia="Times New Roman" w:hAnsi="Arial" w:cs="Arial"/>
          <w:color w:val="000000"/>
          <w:kern w:val="0"/>
          <w:shd w:val="clear" w:color="auto" w:fill="FFFFFF"/>
          <w14:ligatures w14:val="none"/>
        </w:rPr>
        <w:t xml:space="preserve"> to low job satisfaction, turnover, and mental health issues like anxiety and depression.</w:t>
      </w:r>
      <w:r w:rsidRPr="00313448">
        <w:rPr>
          <w:rFonts w:ascii="Arial" w:eastAsia="Times New Roman" w:hAnsi="Arial" w:cs="Arial"/>
          <w:color w:val="000000"/>
          <w:kern w:val="0"/>
          <w:shd w:val="clear" w:color="auto" w:fill="FFFFFF"/>
          <w14:ligatures w14:val="none"/>
        </w:rPr>
        <w:t xml:space="preserve"> </w:t>
      </w:r>
      <w:r w:rsidRPr="0002790A">
        <w:rPr>
          <w:rFonts w:ascii="Arial" w:eastAsia="Times New Roman" w:hAnsi="Arial" w:cs="Arial"/>
          <w:color w:val="000000"/>
          <w:kern w:val="0"/>
          <w:shd w:val="clear" w:color="auto" w:fill="FFFFFF"/>
          <w14:ligatures w14:val="none"/>
        </w:rPr>
        <w:t xml:space="preserve">Burnout mediates the link between stressors and job satisfaction, </w:t>
      </w:r>
      <w:r w:rsidR="0095487B">
        <w:rPr>
          <w:rFonts w:ascii="Arial" w:eastAsia="Times New Roman" w:hAnsi="Arial" w:cs="Arial"/>
          <w:color w:val="000000"/>
          <w:kern w:val="0"/>
          <w:shd w:val="clear" w:color="auto" w:fill="FFFFFF"/>
          <w14:ligatures w14:val="none"/>
        </w:rPr>
        <w:t>according to</w:t>
      </w:r>
      <w:r w:rsidRPr="0002790A">
        <w:rPr>
          <w:rFonts w:ascii="Arial" w:eastAsia="Times New Roman" w:hAnsi="Arial" w:cs="Arial"/>
          <w:color w:val="000000"/>
          <w:kern w:val="0"/>
          <w:shd w:val="clear" w:color="auto" w:fill="FFFFFF"/>
          <w14:ligatures w14:val="none"/>
        </w:rPr>
        <w:t xml:space="preserve"> </w:t>
      </w:r>
      <w:r w:rsidRPr="00DA48A1">
        <w:rPr>
          <w:rFonts w:ascii="Arial" w:eastAsia="Times New Roman" w:hAnsi="Arial" w:cs="Arial"/>
          <w:color w:val="000000"/>
          <w:kern w:val="0"/>
          <w:shd w:val="clear" w:color="auto" w:fill="FFFFFF"/>
          <w14:ligatures w14:val="none"/>
        </w:rPr>
        <w:t xml:space="preserve">Yang </w:t>
      </w:r>
      <w:r w:rsidRPr="00DA48A1">
        <w:rPr>
          <w:rFonts w:ascii="Arial" w:eastAsia="Times New Roman" w:hAnsi="Arial" w:cs="Arial"/>
          <w:i/>
          <w:iCs/>
          <w:color w:val="000000"/>
          <w:kern w:val="0"/>
          <w:shd w:val="clear" w:color="auto" w:fill="FFFFFF"/>
          <w14:ligatures w14:val="none"/>
        </w:rPr>
        <w:t>et al.</w:t>
      </w:r>
      <w:r w:rsidRPr="00DA48A1">
        <w:rPr>
          <w:rFonts w:ascii="Arial" w:eastAsia="Times New Roman" w:hAnsi="Arial" w:cs="Arial"/>
          <w:color w:val="000000"/>
          <w:kern w:val="0"/>
          <w:shd w:val="clear" w:color="auto" w:fill="FFFFFF"/>
          <w14:ligatures w14:val="none"/>
        </w:rPr>
        <w:t xml:space="preserve"> (2020).</w:t>
      </w:r>
      <w:r w:rsidRPr="00313448">
        <w:rPr>
          <w:rFonts w:ascii="Arial" w:eastAsia="Times New Roman" w:hAnsi="Arial" w:cs="Arial"/>
          <w:color w:val="000000"/>
          <w:kern w:val="0"/>
          <w:shd w:val="clear" w:color="auto" w:fill="FFFFFF"/>
          <w14:ligatures w14:val="none"/>
        </w:rPr>
        <w:t xml:space="preserve"> </w:t>
      </w:r>
      <w:r w:rsidRPr="0002790A">
        <w:rPr>
          <w:rFonts w:ascii="Arial" w:eastAsia="Times New Roman" w:hAnsi="Arial" w:cs="Arial"/>
          <w:color w:val="000000"/>
          <w:kern w:val="0"/>
          <w:shd w:val="clear" w:color="auto" w:fill="FFFFFF"/>
          <w14:ligatures w14:val="none"/>
        </w:rPr>
        <w:t>Burnout is influenced by personality, perceived ineffectiveness, and role-related factors, according to workplace research (Ferry et al., 2021)</w:t>
      </w:r>
      <w:r w:rsidR="0095487B">
        <w:rPr>
          <w:rFonts w:ascii="Arial" w:eastAsia="Times New Roman" w:hAnsi="Arial" w:cs="Arial"/>
          <w:color w:val="000000"/>
          <w:kern w:val="0"/>
          <w:shd w:val="clear" w:color="auto" w:fill="FFFFFF"/>
          <w14:ligatures w14:val="none"/>
        </w:rPr>
        <w:t xml:space="preserve">. </w:t>
      </w:r>
      <w:r w:rsidRPr="00313448">
        <w:rPr>
          <w:rFonts w:ascii="Arial" w:eastAsia="Times New Roman" w:hAnsi="Arial" w:cs="Arial"/>
          <w:color w:val="000000"/>
          <w:kern w:val="0"/>
          <w14:ligatures w14:val="none"/>
        </w:rPr>
        <w:t>The primary reasons for the disparity of women in healthcare are safety </w:t>
      </w:r>
      <w:r w:rsidR="00801A16" w:rsidRPr="00313448">
        <w:rPr>
          <w:rFonts w:ascii="Arial" w:eastAsia="Times New Roman" w:hAnsi="Arial" w:cs="Arial"/>
          <w:color w:val="000000"/>
          <w:kern w:val="0"/>
          <w14:ligatures w14:val="none"/>
        </w:rPr>
        <w:t xml:space="preserve">concerns, </w:t>
      </w:r>
      <w:r w:rsidR="0095487B">
        <w:rPr>
          <w:rFonts w:ascii="Arial" w:eastAsia="Times New Roman" w:hAnsi="Arial" w:cs="Arial"/>
          <w:color w:val="000000"/>
          <w:kern w:val="0"/>
          <w14:ligatures w14:val="none"/>
        </w:rPr>
        <w:t>stress</w:t>
      </w:r>
      <w:r w:rsidRPr="00313448">
        <w:rPr>
          <w:rFonts w:ascii="Arial" w:eastAsia="Times New Roman" w:hAnsi="Arial" w:cs="Arial"/>
          <w:color w:val="000000"/>
          <w:kern w:val="0"/>
          <w:shd w:val="clear" w:color="auto" w:fill="FFFFFF"/>
          <w14:ligatures w14:val="none"/>
        </w:rPr>
        <w:t>, lack of </w:t>
      </w:r>
      <w:r w:rsidRPr="00313448">
        <w:rPr>
          <w:rFonts w:ascii="Arial" w:eastAsia="Times New Roman" w:hAnsi="Arial" w:cs="Arial"/>
          <w:color w:val="000000"/>
          <w:kern w:val="0"/>
          <w14:ligatures w14:val="none"/>
        </w:rPr>
        <w:t>rewards</w:t>
      </w:r>
      <w:r w:rsidRPr="00313448">
        <w:rPr>
          <w:rFonts w:ascii="Arial" w:eastAsia="Times New Roman" w:hAnsi="Arial" w:cs="Arial"/>
          <w:color w:val="000000"/>
          <w:kern w:val="0"/>
          <w:shd w:val="clear" w:color="auto" w:fill="FFFFFF"/>
          <w14:ligatures w14:val="none"/>
        </w:rPr>
        <w:t>, and </w:t>
      </w:r>
      <w:r w:rsidRPr="00313448">
        <w:rPr>
          <w:rFonts w:ascii="Arial" w:eastAsia="Times New Roman" w:hAnsi="Arial" w:cs="Arial"/>
          <w:color w:val="000000"/>
          <w:kern w:val="0"/>
          <w14:ligatures w14:val="none"/>
        </w:rPr>
        <w:t>insufficient</w:t>
      </w:r>
      <w:r w:rsidRPr="00313448">
        <w:rPr>
          <w:rFonts w:ascii="Arial" w:eastAsia="Times New Roman" w:hAnsi="Arial" w:cs="Arial"/>
          <w:color w:val="000000"/>
          <w:kern w:val="0"/>
          <w:shd w:val="clear" w:color="auto" w:fill="FFFFFF"/>
          <w14:ligatures w14:val="none"/>
        </w:rPr>
        <w:t> </w:t>
      </w:r>
      <w:r w:rsidRPr="00313448">
        <w:rPr>
          <w:rFonts w:ascii="Arial" w:eastAsia="Times New Roman" w:hAnsi="Arial" w:cs="Arial"/>
          <w:color w:val="000000"/>
          <w:kern w:val="0"/>
          <w14:ligatures w14:val="none"/>
        </w:rPr>
        <w:t>social</w:t>
      </w:r>
      <w:r w:rsidRPr="00313448">
        <w:rPr>
          <w:rFonts w:ascii="Arial" w:eastAsia="Times New Roman" w:hAnsi="Arial" w:cs="Arial"/>
          <w:color w:val="000000"/>
          <w:kern w:val="0"/>
          <w:shd w:val="clear" w:color="auto" w:fill="FFFFFF"/>
          <w14:ligatures w14:val="none"/>
        </w:rPr>
        <w:t> </w:t>
      </w:r>
      <w:r w:rsidRPr="00313448">
        <w:rPr>
          <w:rFonts w:ascii="Arial" w:eastAsia="Times New Roman" w:hAnsi="Arial" w:cs="Arial"/>
          <w:color w:val="000000"/>
          <w:kern w:val="0"/>
          <w14:ligatures w14:val="none"/>
        </w:rPr>
        <w:t>support</w:t>
      </w:r>
      <w:r w:rsidRPr="00313448">
        <w:rPr>
          <w:rFonts w:ascii="Arial" w:eastAsia="Times New Roman" w:hAnsi="Arial" w:cs="Arial"/>
          <w:color w:val="000000"/>
          <w:kern w:val="0"/>
          <w:shd w:val="clear" w:color="auto" w:fill="FFFFFF"/>
          <w14:ligatures w14:val="none"/>
        </w:rPr>
        <w:t>. </w:t>
      </w:r>
      <w:r w:rsidRPr="00313448">
        <w:rPr>
          <w:rFonts w:ascii="Arial" w:eastAsia="Times New Roman" w:hAnsi="Arial" w:cs="Arial"/>
          <w:color w:val="000000"/>
          <w:kern w:val="0"/>
          <w14:ligatures w14:val="none"/>
        </w:rPr>
        <w:t>Burnout</w:t>
      </w:r>
      <w:r w:rsidRPr="00313448">
        <w:rPr>
          <w:rFonts w:ascii="Arial" w:eastAsia="Times New Roman" w:hAnsi="Arial" w:cs="Arial"/>
          <w:color w:val="000000"/>
          <w:kern w:val="0"/>
          <w:shd w:val="clear" w:color="auto" w:fill="FFFFFF"/>
          <w14:ligatures w14:val="none"/>
        </w:rPr>
        <w:t> is associated with negative effects such as job dissatisfaction </w:t>
      </w:r>
      <w:r w:rsidRPr="00313448">
        <w:rPr>
          <w:rFonts w:ascii="Arial" w:eastAsia="Times New Roman" w:hAnsi="Arial" w:cs="Arial"/>
          <w:kern w:val="0"/>
          <w:shd w:val="clear" w:color="auto" w:fill="FFFFFF"/>
          <w14:ligatures w14:val="none"/>
        </w:rPr>
        <w:t>(</w:t>
      </w:r>
      <w:r w:rsidRPr="00313448">
        <w:rPr>
          <w:rFonts w:ascii="Arial" w:eastAsia="Times New Roman" w:hAnsi="Arial" w:cs="Arial"/>
          <w:kern w:val="0"/>
          <w14:ligatures w14:val="none"/>
        </w:rPr>
        <w:t>Tang and Li, 2021)</w:t>
      </w:r>
      <w:r w:rsidR="0095487B">
        <w:rPr>
          <w:rFonts w:ascii="Arial" w:eastAsia="Times New Roman" w:hAnsi="Arial" w:cs="Arial"/>
          <w:kern w:val="0"/>
          <w14:ligatures w14:val="none"/>
        </w:rPr>
        <w:t xml:space="preserve">. </w:t>
      </w:r>
      <w:r w:rsidRPr="00313448">
        <w:rPr>
          <w:rFonts w:ascii="Arial" w:eastAsia="Times New Roman" w:hAnsi="Arial" w:cs="Arial"/>
          <w:color w:val="000000"/>
          <w:kern w:val="0"/>
          <w14:ligatures w14:val="none"/>
        </w:rPr>
        <w:t>In conclusion, beating emotional burnout demands distinct tactics, including adaptable work arrangements, health programs, and support from the organisation.</w:t>
      </w:r>
      <w:r w:rsidRPr="00313448">
        <w:rPr>
          <w:rFonts w:ascii="Arial" w:eastAsia="Times New Roman" w:hAnsi="Arial" w:cs="Arial"/>
          <w:color w:val="000000"/>
          <w:kern w:val="0"/>
          <w:shd w:val="clear" w:color="auto" w:fill="FFFFFF"/>
          <w14:ligatures w14:val="none"/>
        </w:rPr>
        <w:t> These measures can mitigate its impact, improving work–life balance and fostering resilience.</w:t>
      </w:r>
      <w:r w:rsidRPr="00313448">
        <w:rPr>
          <w:rFonts w:ascii="Arial" w:eastAsia="Times New Roman" w:hAnsi="Arial" w:cs="Arial"/>
          <w:color w:val="000000"/>
          <w:kern w:val="0"/>
          <w14:ligatures w14:val="none"/>
        </w:rPr>
        <w:t> </w:t>
      </w:r>
    </w:p>
    <w:p w14:paraId="60F1C378" w14:textId="3D1AECFD" w:rsidR="00801A16"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color w:val="374151"/>
          <w:kern w:val="0"/>
          <w14:ligatures w14:val="none"/>
        </w:rPr>
        <w:t>According to </w:t>
      </w:r>
      <w:r w:rsidRPr="00313448">
        <w:rPr>
          <w:rFonts w:ascii="Arial" w:eastAsia="Times New Roman" w:hAnsi="Arial" w:cs="Arial"/>
          <w:kern w:val="0"/>
          <w14:ligatures w14:val="none"/>
        </w:rPr>
        <w:t xml:space="preserve">Chaves-Montero, Blanco-Miguel, and Ríos-Vizcaíno (2025), </w:t>
      </w:r>
      <w:r w:rsidRPr="00313448">
        <w:rPr>
          <w:rFonts w:ascii="Arial" w:eastAsia="Times New Roman" w:hAnsi="Arial" w:cs="Arial"/>
          <w:color w:val="374151"/>
          <w:kern w:val="0"/>
          <w14:ligatures w14:val="none"/>
        </w:rPr>
        <w:t>excessive workload, work-family conflict, and insufficient social support are major risk factors for social workers experiencing emotional exhaustion, while resilience and social support act as protective elements. The study by </w:t>
      </w:r>
      <w:r w:rsidRPr="00313448">
        <w:rPr>
          <w:rFonts w:ascii="Arial" w:eastAsia="Times New Roman" w:hAnsi="Arial" w:cs="Arial"/>
          <w:kern w:val="0"/>
          <w14:ligatures w14:val="none"/>
        </w:rPr>
        <w:t>García </w:t>
      </w:r>
      <w:r w:rsidRPr="00313448">
        <w:rPr>
          <w:rFonts w:ascii="Arial" w:eastAsia="Times New Roman" w:hAnsi="Arial" w:cs="Arial"/>
          <w:i/>
          <w:iCs/>
          <w:kern w:val="0"/>
          <w14:ligatures w14:val="none"/>
        </w:rPr>
        <w:t>et al.</w:t>
      </w:r>
      <w:r w:rsidRPr="00313448">
        <w:rPr>
          <w:rFonts w:ascii="Arial" w:eastAsia="Times New Roman" w:hAnsi="Arial" w:cs="Arial"/>
          <w:kern w:val="0"/>
          <w14:ligatures w14:val="none"/>
        </w:rPr>
        <w:t> (2021) </w:t>
      </w:r>
      <w:r w:rsidRPr="00313448">
        <w:rPr>
          <w:rFonts w:ascii="Arial" w:eastAsia="Times New Roman" w:hAnsi="Arial" w:cs="Arial"/>
          <w:color w:val="374151"/>
          <w:kern w:val="0"/>
          <w14:ligatures w14:val="none"/>
        </w:rPr>
        <w:t>positions workplace bullying as an under-researched mediator in the link between social support and emotional exhaustion, implying the relationship's complexity surpasses initial theories. Therefore, an overwhelming workload, conflicts between work and family responsibilities, and inadequate social support contribute to emotional exhaustion</w:t>
      </w:r>
      <w:r w:rsidR="0095487B" w:rsidRPr="00313448">
        <w:rPr>
          <w:rFonts w:ascii="Arial" w:eastAsia="Times New Roman" w:hAnsi="Arial" w:cs="Arial"/>
          <w:color w:val="374151"/>
          <w:kern w:val="0"/>
          <w14:ligatures w14:val="none"/>
        </w:rPr>
        <w:t xml:space="preserve">. </w:t>
      </w:r>
    </w:p>
    <w:p w14:paraId="3101C294" w14:textId="3BB3DB41"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Moreover, burnout, depression, and anxiety are common among healthcare workers (HCWs) during the COVID-19 pandemic, and studies show they lead to adverse health outcomes and a lower quality of care.</w:t>
      </w:r>
      <w:r w:rsidRPr="00313448">
        <w:rPr>
          <w:rFonts w:ascii="Arial" w:eastAsia="Times New Roman" w:hAnsi="Arial" w:cs="Arial"/>
          <w:color w:val="000000"/>
          <w:kern w:val="0"/>
          <w:shd w:val="clear" w:color="auto" w:fill="FFFFFF"/>
          <w14:ligatures w14:val="none"/>
        </w:rPr>
        <w:t> </w:t>
      </w:r>
      <w:r w:rsidRPr="00313448">
        <w:rPr>
          <w:rFonts w:ascii="Arial" w:eastAsia="Times New Roman" w:hAnsi="Arial" w:cs="Arial"/>
          <w:color w:val="000000"/>
          <w:kern w:val="0"/>
          <w14:ligatures w14:val="none"/>
        </w:rPr>
        <w:t>The survey collected data between September 29 and December 8, 2021. This</w:t>
      </w:r>
      <w:r w:rsidRPr="00313448">
        <w:rPr>
          <w:rFonts w:ascii="Arial" w:eastAsia="Times New Roman" w:hAnsi="Arial" w:cs="Arial"/>
          <w:color w:val="000000"/>
          <w:kern w:val="0"/>
          <w:shd w:val="clear" w:color="auto" w:fill="FFFFFF"/>
          <w14:ligatures w14:val="none"/>
        </w:rPr>
        <w:t> survey is from among a cohort of 2,411 HCWs from a large, tertiary academic health care system in the Chicago area </w:t>
      </w:r>
      <w:r w:rsidRPr="00313448">
        <w:rPr>
          <w:rFonts w:ascii="Arial" w:eastAsia="Times New Roman" w:hAnsi="Arial" w:cs="Arial"/>
          <w:kern w:val="0"/>
          <w:shd w:val="clear" w:color="auto" w:fill="FFFFFF"/>
          <w14:ligatures w14:val="none"/>
        </w:rPr>
        <w:t>(Bannon </w:t>
      </w:r>
      <w:r w:rsidRPr="00313448">
        <w:rPr>
          <w:rFonts w:ascii="Arial" w:eastAsia="Times New Roman" w:hAnsi="Arial" w:cs="Arial"/>
          <w:i/>
          <w:iCs/>
          <w:kern w:val="0"/>
          <w:shd w:val="clear" w:color="auto" w:fill="FFFFFF"/>
          <w14:ligatures w14:val="none"/>
        </w:rPr>
        <w:t>et al</w:t>
      </w:r>
      <w:r w:rsidRPr="00313448">
        <w:rPr>
          <w:rFonts w:ascii="Arial" w:eastAsia="Times New Roman" w:hAnsi="Arial" w:cs="Arial"/>
          <w:kern w:val="0"/>
          <w:shd w:val="clear" w:color="auto" w:fill="FFFFFF"/>
          <w14:ligatures w14:val="none"/>
        </w:rPr>
        <w:t>., 2022) </w:t>
      </w:r>
      <w:r w:rsidRPr="00313448">
        <w:rPr>
          <w:rFonts w:ascii="Arial" w:eastAsia="Times New Roman" w:hAnsi="Arial" w:cs="Arial"/>
          <w:color w:val="374151"/>
          <w:kern w:val="0"/>
          <w14:ligatures w14:val="none"/>
        </w:rPr>
        <w:t xml:space="preserve">An umbrella review of </w:t>
      </w:r>
      <w:r w:rsidR="0095487B" w:rsidRPr="00313448">
        <w:rPr>
          <w:rFonts w:ascii="Arial" w:eastAsia="Times New Roman" w:hAnsi="Arial" w:cs="Arial"/>
          <w:color w:val="374151"/>
          <w:kern w:val="0"/>
          <w14:ligatures w14:val="none"/>
        </w:rPr>
        <w:t>eighty-seven</w:t>
      </w:r>
      <w:r w:rsidRPr="00313448">
        <w:rPr>
          <w:rFonts w:ascii="Arial" w:eastAsia="Times New Roman" w:hAnsi="Arial" w:cs="Arial"/>
          <w:color w:val="374151"/>
          <w:kern w:val="0"/>
          <w14:ligatures w14:val="none"/>
        </w:rPr>
        <w:t xml:space="preserve"> meta-analyses with 9.4 million participants found burnout prevalence at 44% </w:t>
      </w:r>
      <w:r w:rsidRPr="00313448">
        <w:rPr>
          <w:rFonts w:ascii="Arial" w:eastAsia="Times New Roman" w:hAnsi="Arial" w:cs="Arial"/>
          <w:kern w:val="0"/>
          <w14:ligatures w14:val="none"/>
        </w:rPr>
        <w:t>(Boucher </w:t>
      </w:r>
      <w:r w:rsidRPr="00313448">
        <w:rPr>
          <w:rFonts w:ascii="Arial" w:eastAsia="Times New Roman" w:hAnsi="Arial" w:cs="Arial"/>
          <w:i/>
          <w:iCs/>
          <w:kern w:val="0"/>
          <w14:ligatures w14:val="none"/>
        </w:rPr>
        <w:t>et al</w:t>
      </w:r>
      <w:r w:rsidRPr="00313448">
        <w:rPr>
          <w:rFonts w:ascii="Arial" w:eastAsia="Times New Roman" w:hAnsi="Arial" w:cs="Arial"/>
          <w:kern w:val="0"/>
          <w14:ligatures w14:val="none"/>
        </w:rPr>
        <w:t>., 2025). </w:t>
      </w:r>
      <w:r w:rsidRPr="00313448">
        <w:rPr>
          <w:rFonts w:ascii="Arial" w:eastAsia="Times New Roman" w:hAnsi="Arial" w:cs="Arial"/>
          <w:color w:val="000000"/>
          <w:kern w:val="0"/>
          <w14:ligatures w14:val="none"/>
        </w:rPr>
        <w:t xml:space="preserve">Confirming burnout-related issues, the study </w:t>
      </w:r>
      <w:r w:rsidR="0095487B">
        <w:rPr>
          <w:rFonts w:ascii="Arial" w:eastAsia="Times New Roman" w:hAnsi="Arial" w:cs="Arial"/>
          <w:color w:val="000000"/>
          <w:kern w:val="0"/>
          <w14:ligatures w14:val="none"/>
        </w:rPr>
        <w:t>emphasised</w:t>
      </w:r>
      <w:r w:rsidRPr="00313448">
        <w:rPr>
          <w:rFonts w:ascii="Arial" w:eastAsia="Times New Roman" w:hAnsi="Arial" w:cs="Arial"/>
          <w:color w:val="000000"/>
          <w:kern w:val="0"/>
          <w14:ligatures w14:val="none"/>
        </w:rPr>
        <w:t> the widespread nature of these problems within healthcare during the pandemic. </w:t>
      </w:r>
    </w:p>
    <w:p w14:paraId="2B926522" w14:textId="77777777"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color w:val="374151"/>
          <w:kern w:val="0"/>
          <w14:ligatures w14:val="none"/>
        </w:rPr>
        <w:t>Anxiety and sleep disturbances were common among many healthcare workers during the COVID-19 pandemic, particularly affecting younger and female staff. An online cross-sectional survey was used to collect data from a varied group of ambulatory care healthcare workers for this study. This research has gaps, including unspecified participant numbers and a cross-sectional approach that restricts the ability to make causal claims </w:t>
      </w:r>
      <w:r w:rsidRPr="00313448">
        <w:rPr>
          <w:rFonts w:ascii="Arial" w:eastAsia="Times New Roman" w:hAnsi="Arial" w:cs="Arial"/>
          <w:kern w:val="0"/>
          <w14:ligatures w14:val="none"/>
        </w:rPr>
        <w:t>(Biber </w:t>
      </w:r>
      <w:r w:rsidRPr="00313448">
        <w:rPr>
          <w:rFonts w:ascii="Arial" w:eastAsia="Times New Roman" w:hAnsi="Arial" w:cs="Arial"/>
          <w:i/>
          <w:iCs/>
          <w:kern w:val="0"/>
          <w14:ligatures w14:val="none"/>
        </w:rPr>
        <w:t>et al</w:t>
      </w:r>
      <w:r w:rsidRPr="00313448">
        <w:rPr>
          <w:rFonts w:ascii="Arial" w:eastAsia="Times New Roman" w:hAnsi="Arial" w:cs="Arial"/>
          <w:kern w:val="0"/>
          <w14:ligatures w14:val="none"/>
        </w:rPr>
        <w:t>., 2022). </w:t>
      </w:r>
    </w:p>
    <w:p w14:paraId="2A3E9A20" w14:textId="2496D91F" w:rsidR="00313448" w:rsidRPr="00573F64" w:rsidRDefault="00313448" w:rsidP="00573F64">
      <w:pPr>
        <w:pStyle w:val="Heading1"/>
        <w:jc w:val="center"/>
        <w:rPr>
          <w:rFonts w:ascii="Arial" w:eastAsia="Times New Roman" w:hAnsi="Arial" w:cs="Arial"/>
          <w:b/>
          <w:bCs/>
          <w:color w:val="auto"/>
          <w:sz w:val="22"/>
          <w:szCs w:val="22"/>
        </w:rPr>
      </w:pPr>
      <w:bookmarkStart w:id="4" w:name="_Toc225179781"/>
      <w:r w:rsidRPr="00573F64">
        <w:rPr>
          <w:rFonts w:ascii="Arial" w:eastAsia="Times New Roman" w:hAnsi="Arial" w:cs="Arial"/>
          <w:b/>
          <w:bCs/>
          <w:color w:val="auto"/>
          <w:sz w:val="22"/>
          <w:szCs w:val="22"/>
        </w:rPr>
        <w:t>Task </w:t>
      </w:r>
      <w:r w:rsidR="00573F64">
        <w:rPr>
          <w:rFonts w:ascii="Arial" w:eastAsia="Times New Roman" w:hAnsi="Arial" w:cs="Arial"/>
          <w:b/>
          <w:bCs/>
          <w:color w:val="auto"/>
          <w:sz w:val="22"/>
          <w:szCs w:val="22"/>
        </w:rPr>
        <w:t>T</w:t>
      </w:r>
      <w:r w:rsidR="0095487B" w:rsidRPr="00573F64">
        <w:rPr>
          <w:rFonts w:ascii="Arial" w:eastAsia="Times New Roman" w:hAnsi="Arial" w:cs="Arial"/>
          <w:b/>
          <w:bCs/>
          <w:color w:val="auto"/>
          <w:sz w:val="22"/>
          <w:szCs w:val="22"/>
        </w:rPr>
        <w:t>hree</w:t>
      </w:r>
      <w:bookmarkEnd w:id="4"/>
    </w:p>
    <w:p w14:paraId="3EAB901F" w14:textId="224E6BBD"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color w:val="0A0A0A"/>
          <w:kern w:val="0"/>
          <w14:ligatures w14:val="none"/>
        </w:rPr>
        <w:t>Quantitative research systematically explores numerical data and statistical methods to uncover variable relationships. Its types encompass experimental, correlational, descriptive, and quasi-experimental/causal-comparative designs, using both probability and non-probability sampling </w:t>
      </w:r>
      <w:r w:rsidRPr="00313448">
        <w:rPr>
          <w:rFonts w:ascii="Arial" w:eastAsia="Times New Roman" w:hAnsi="Arial" w:cs="Arial"/>
          <w:kern w:val="0"/>
          <w14:ligatures w14:val="none"/>
        </w:rPr>
        <w:t>(Oranga and Matere, 2025). </w:t>
      </w:r>
      <w:r w:rsidRPr="00313448">
        <w:rPr>
          <w:rFonts w:ascii="Arial" w:eastAsia="Times New Roman" w:hAnsi="Arial" w:cs="Arial"/>
          <w:color w:val="0A0A0A"/>
          <w:kern w:val="0"/>
          <w14:ligatures w14:val="none"/>
        </w:rPr>
        <w:t>Charts, graphs, and tables are usually used to display results, minimising personal bias</w:t>
      </w:r>
      <w:r w:rsidRPr="00313448">
        <w:rPr>
          <w:rFonts w:ascii="Arial" w:eastAsia="Times New Roman" w:hAnsi="Arial" w:cs="Arial"/>
          <w:color w:val="FF0000"/>
          <w:kern w:val="0"/>
          <w14:ligatures w14:val="none"/>
        </w:rPr>
        <w:t> </w:t>
      </w:r>
      <w:r w:rsidRPr="00313448">
        <w:rPr>
          <w:rFonts w:ascii="Arial" w:eastAsia="Times New Roman" w:hAnsi="Arial" w:cs="Arial"/>
          <w:kern w:val="0"/>
          <w14:ligatures w14:val="none"/>
        </w:rPr>
        <w:t>(Cross, 202</w:t>
      </w:r>
      <w:r w:rsidR="007428E4" w:rsidRPr="007428E4">
        <w:rPr>
          <w:rFonts w:ascii="Arial" w:eastAsia="Times New Roman" w:hAnsi="Arial" w:cs="Arial"/>
          <w:kern w:val="0"/>
          <w14:ligatures w14:val="none"/>
        </w:rPr>
        <w:t>5</w:t>
      </w:r>
      <w:r w:rsidRPr="00313448">
        <w:rPr>
          <w:rFonts w:ascii="Arial" w:eastAsia="Times New Roman" w:hAnsi="Arial" w:cs="Arial"/>
          <w:kern w:val="0"/>
          <w14:ligatures w14:val="none"/>
        </w:rPr>
        <w:t>). </w:t>
      </w:r>
    </w:p>
    <w:p w14:paraId="56C4CE93" w14:textId="4B24C516"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 xml:space="preserve">Qualitative research is an approach that investigates human experiences, behaviours, attitudes, and emotions by analysing non-numerical data such as textual, auditory, or visual materials. This method addresses the underlying reasons and processes, rather than numerical quantities, by eliciting a detailed understanding of situations through methods such as interviews, observations, or open-ended survey inquiries. Examples </w:t>
      </w:r>
      <w:r w:rsidR="0095487B">
        <w:rPr>
          <w:rFonts w:ascii="Arial" w:eastAsia="Times New Roman" w:hAnsi="Arial" w:cs="Arial"/>
          <w:color w:val="000000"/>
          <w:kern w:val="0"/>
          <w14:ligatures w14:val="none"/>
        </w:rPr>
        <w:t>include</w:t>
      </w:r>
      <w:r w:rsidRPr="00313448">
        <w:rPr>
          <w:rFonts w:ascii="Arial" w:eastAsia="Times New Roman" w:hAnsi="Arial" w:cs="Arial"/>
          <w:color w:val="000000"/>
          <w:kern w:val="0"/>
          <w14:ligatures w14:val="none"/>
        </w:rPr>
        <w:t xml:space="preserve"> asking questions and generating discussion among a group of </w:t>
      </w:r>
      <w:r w:rsidR="0095487B">
        <w:rPr>
          <w:rFonts w:ascii="Arial" w:eastAsia="Times New Roman" w:hAnsi="Arial" w:cs="Arial"/>
          <w:color w:val="000000"/>
          <w:kern w:val="0"/>
          <w14:ligatures w14:val="none"/>
        </w:rPr>
        <w:t>people and</w:t>
      </w:r>
      <w:r w:rsidRPr="00313448">
        <w:rPr>
          <w:rFonts w:ascii="Arial" w:eastAsia="Times New Roman" w:hAnsi="Arial" w:cs="Arial"/>
          <w:color w:val="000000"/>
          <w:kern w:val="0"/>
          <w14:ligatures w14:val="none"/>
        </w:rPr>
        <w:t xml:space="preserve"> undertaking </w:t>
      </w:r>
      <w:r w:rsidR="0095487B">
        <w:rPr>
          <w:rFonts w:ascii="Arial" w:eastAsia="Times New Roman" w:hAnsi="Arial" w:cs="Arial"/>
          <w:kern w:val="0"/>
          <w14:ligatures w14:val="none"/>
        </w:rPr>
        <w:t>surveys</w:t>
      </w:r>
      <w:r w:rsidRPr="00313448">
        <w:rPr>
          <w:rFonts w:ascii="Arial" w:eastAsia="Times New Roman" w:hAnsi="Arial" w:cs="Arial"/>
          <w:color w:val="000000"/>
          <w:kern w:val="0"/>
          <w14:ligatures w14:val="none"/>
        </w:rPr>
        <w:t> </w:t>
      </w:r>
      <w:r w:rsidR="0095487B">
        <w:rPr>
          <w:rFonts w:ascii="Arial" w:eastAsia="Times New Roman" w:hAnsi="Arial" w:cs="Arial"/>
          <w:color w:val="000000"/>
          <w:kern w:val="0"/>
          <w14:ligatures w14:val="none"/>
        </w:rPr>
        <w:t>by</w:t>
      </w:r>
      <w:r w:rsidRPr="00313448">
        <w:rPr>
          <w:rFonts w:ascii="Arial" w:eastAsia="Times New Roman" w:hAnsi="Arial" w:cs="Arial"/>
          <w:color w:val="000000"/>
          <w:kern w:val="0"/>
          <w14:ligatures w14:val="none"/>
        </w:rPr>
        <w:t xml:space="preserve"> distributing questionnaires with open-ended questions </w:t>
      </w:r>
      <w:r w:rsidRPr="00313448">
        <w:rPr>
          <w:rFonts w:ascii="Arial" w:eastAsia="Times New Roman" w:hAnsi="Arial" w:cs="Arial"/>
          <w:kern w:val="0"/>
          <w14:ligatures w14:val="none"/>
        </w:rPr>
        <w:t>(Scribbr, 202</w:t>
      </w:r>
      <w:r w:rsidR="007428E4" w:rsidRPr="007428E4">
        <w:rPr>
          <w:rFonts w:ascii="Arial" w:eastAsia="Times New Roman" w:hAnsi="Arial" w:cs="Arial"/>
          <w:kern w:val="0"/>
          <w14:ligatures w14:val="none"/>
        </w:rPr>
        <w:t>5</w:t>
      </w:r>
      <w:r w:rsidRPr="00313448">
        <w:rPr>
          <w:rFonts w:ascii="Arial" w:eastAsia="Times New Roman" w:hAnsi="Arial" w:cs="Arial"/>
          <w:kern w:val="0"/>
          <w14:ligatures w14:val="none"/>
        </w:rPr>
        <w:t>). </w:t>
      </w:r>
    </w:p>
    <w:p w14:paraId="45BA750E" w14:textId="48BC137E"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By merging qualitative and quantitative approaches, mixed-method research offers a wider understanding of intricate phenomena. According to Creswell and Clarke, it encompasses designs like triangulation, embedded, explanatory, and exploratory. This method offers substantial benefits to health research because of its all-encompassing perspective (Nagpal, Kornerup and Gibson, 2021). </w:t>
      </w:r>
      <w:r w:rsidRPr="00313448">
        <w:rPr>
          <w:rFonts w:ascii="Arial" w:eastAsia="Times New Roman" w:hAnsi="Arial" w:cs="Arial"/>
          <w:color w:val="000000"/>
          <w:kern w:val="0"/>
          <w14:ligatures w14:val="none"/>
        </w:rPr>
        <w:t>My future research will adopt a mixed-methods methodology, based on the finding that incorporating quantitative and qualitative data as a mixed or multi-method study has the potential to dramatically increase the accuracy and quality of any research’s analysis and conclusions. This approach is believed to increase the validity (example, external validity, generalisability) and reliability of study findings</w:t>
      </w:r>
      <w:r w:rsidRPr="00313448">
        <w:rPr>
          <w:rFonts w:ascii="Arial" w:eastAsia="Times New Roman" w:hAnsi="Arial" w:cs="Arial"/>
          <w:color w:val="FF0000"/>
          <w:kern w:val="0"/>
          <w14:ligatures w14:val="none"/>
        </w:rPr>
        <w:t> </w:t>
      </w:r>
      <w:r w:rsidRPr="00313448">
        <w:rPr>
          <w:rFonts w:ascii="Arial" w:eastAsia="Times New Roman" w:hAnsi="Arial" w:cs="Arial"/>
          <w:kern w:val="0"/>
          <w14:ligatures w14:val="none"/>
        </w:rPr>
        <w:t>(Vivek and Nanthagopan, 2021). </w:t>
      </w:r>
    </w:p>
    <w:p w14:paraId="4BD4CD17" w14:textId="77777777" w:rsidR="0095487B" w:rsidRDefault="00313448" w:rsidP="0002790A">
      <w:pPr>
        <w:spacing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                                                                </w:t>
      </w:r>
    </w:p>
    <w:p w14:paraId="1D2965B1" w14:textId="37FC58F2" w:rsidR="00313448" w:rsidRPr="00573F64" w:rsidRDefault="00313448" w:rsidP="00573F64">
      <w:pPr>
        <w:pStyle w:val="Heading1"/>
        <w:jc w:val="center"/>
        <w:rPr>
          <w:rFonts w:ascii="Arial" w:eastAsia="Times New Roman" w:hAnsi="Arial" w:cs="Arial"/>
          <w:b/>
          <w:bCs/>
          <w:color w:val="auto"/>
          <w:sz w:val="22"/>
          <w:szCs w:val="22"/>
        </w:rPr>
      </w:pPr>
      <w:bookmarkStart w:id="5" w:name="_Toc225179782"/>
      <w:r w:rsidRPr="00573F64">
        <w:rPr>
          <w:rFonts w:ascii="Arial" w:eastAsia="Times New Roman" w:hAnsi="Arial" w:cs="Arial"/>
          <w:b/>
          <w:bCs/>
          <w:color w:val="auto"/>
          <w:sz w:val="22"/>
          <w:szCs w:val="22"/>
        </w:rPr>
        <w:t>Task </w:t>
      </w:r>
      <w:r w:rsidR="00573F64" w:rsidRPr="00573F64">
        <w:rPr>
          <w:rFonts w:ascii="Arial" w:eastAsia="Times New Roman" w:hAnsi="Arial" w:cs="Arial"/>
          <w:b/>
          <w:bCs/>
          <w:color w:val="auto"/>
          <w:sz w:val="22"/>
          <w:szCs w:val="22"/>
        </w:rPr>
        <w:t>F</w:t>
      </w:r>
      <w:r w:rsidR="0095487B" w:rsidRPr="00573F64">
        <w:rPr>
          <w:rFonts w:ascii="Arial" w:eastAsia="Times New Roman" w:hAnsi="Arial" w:cs="Arial"/>
          <w:b/>
          <w:bCs/>
          <w:color w:val="auto"/>
          <w:sz w:val="22"/>
          <w:szCs w:val="22"/>
        </w:rPr>
        <w:t>our</w:t>
      </w:r>
      <w:bookmarkEnd w:id="5"/>
    </w:p>
    <w:p w14:paraId="1C86F3BB" w14:textId="705C263F" w:rsidR="00313448" w:rsidRPr="00313448" w:rsidRDefault="00313448" w:rsidP="00801A16">
      <w:pPr>
        <w:spacing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 xml:space="preserve">Primary data collection by researchers commonly involves methods such as direct observation, detailed interviews, </w:t>
      </w:r>
      <w:r w:rsidR="0095487B">
        <w:rPr>
          <w:rFonts w:ascii="Arial" w:eastAsia="Times New Roman" w:hAnsi="Arial" w:cs="Arial"/>
          <w:kern w:val="0"/>
          <w14:ligatures w14:val="none"/>
        </w:rPr>
        <w:t>standardised</w:t>
      </w:r>
      <w:r w:rsidRPr="00313448">
        <w:rPr>
          <w:rFonts w:ascii="Arial" w:eastAsia="Times New Roman" w:hAnsi="Arial" w:cs="Arial"/>
          <w:kern w:val="0"/>
          <w14:ligatures w14:val="none"/>
        </w:rPr>
        <w:t xml:space="preserve"> surveys, and databases. Alternatively, researchers can </w:t>
      </w:r>
      <w:r w:rsidR="0095487B">
        <w:rPr>
          <w:rFonts w:ascii="Arial" w:eastAsia="Times New Roman" w:hAnsi="Arial" w:cs="Arial"/>
          <w:kern w:val="0"/>
          <w14:ligatures w14:val="none"/>
        </w:rPr>
        <w:t>obtain</w:t>
      </w:r>
      <w:r w:rsidRPr="00313448">
        <w:rPr>
          <w:rFonts w:ascii="Arial" w:eastAsia="Times New Roman" w:hAnsi="Arial" w:cs="Arial"/>
          <w:kern w:val="0"/>
          <w14:ligatures w14:val="none"/>
        </w:rPr>
        <w:t xml:space="preserve"> secondary data from various published materials, including books, periodicals, and academic journals, as well as less conventional resources like anecdotal and biographical records that have not been formally published. Researchers gather primary data through approaches like direct observation, comprehensive interviews, structured questionnaires, and databases. Secondary data is obtainable from a range of published resources such as books, magazines, and academic journals, as well as from informal sources like unpublished personal accounts and life stories (Mazhar </w:t>
      </w:r>
      <w:r w:rsidRPr="00313448">
        <w:rPr>
          <w:rFonts w:ascii="Arial" w:eastAsia="Times New Roman" w:hAnsi="Arial" w:cs="Arial"/>
          <w:i/>
          <w:iCs/>
          <w:kern w:val="0"/>
          <w14:ligatures w14:val="none"/>
        </w:rPr>
        <w:t xml:space="preserve">et al., </w:t>
      </w:r>
      <w:r w:rsidRPr="00313448">
        <w:rPr>
          <w:rFonts w:ascii="Arial" w:eastAsia="Times New Roman" w:hAnsi="Arial" w:cs="Arial"/>
          <w:kern w:val="0"/>
          <w14:ligatures w14:val="none"/>
        </w:rPr>
        <w:t>2021)</w:t>
      </w:r>
      <w:r w:rsidR="0095487B">
        <w:rPr>
          <w:rFonts w:ascii="Arial" w:eastAsia="Times New Roman" w:hAnsi="Arial" w:cs="Arial"/>
          <w:kern w:val="0"/>
          <w14:ligatures w14:val="none"/>
        </w:rPr>
        <w:t xml:space="preserve">. </w:t>
      </w:r>
      <w:r w:rsidRPr="00313448">
        <w:rPr>
          <w:rFonts w:ascii="Arial" w:eastAsia="Times New Roman" w:hAnsi="Arial" w:cs="Arial"/>
          <w:kern w:val="0"/>
          <w14:ligatures w14:val="none"/>
        </w:rPr>
        <w:t xml:space="preserve">Compared to primary data gathered from individual studies, secondary datasets offer considerable practical advantages, including improved external validity, a broader range of variables, and more representative samples, thus presenting a workable alternative for research endeavours (Moore, </w:t>
      </w:r>
      <w:r w:rsidR="0095487B" w:rsidRPr="00313448">
        <w:rPr>
          <w:rFonts w:ascii="Arial" w:eastAsia="Times New Roman" w:hAnsi="Arial" w:cs="Arial"/>
          <w:kern w:val="0"/>
          <w14:ligatures w14:val="none"/>
        </w:rPr>
        <w:t>Thomas,</w:t>
      </w:r>
      <w:r w:rsidRPr="00313448">
        <w:rPr>
          <w:rFonts w:ascii="Arial" w:eastAsia="Times New Roman" w:hAnsi="Arial" w:cs="Arial"/>
          <w:kern w:val="0"/>
          <w14:ligatures w14:val="none"/>
        </w:rPr>
        <w:t xml:space="preserve"> and Gephart, 2021). </w:t>
      </w:r>
    </w:p>
    <w:p w14:paraId="0A0EAB32" w14:textId="40236594" w:rsidR="00313448" w:rsidRPr="00801A16" w:rsidRDefault="0002790A" w:rsidP="00801A16">
      <w:pPr>
        <w:spacing w:before="240" w:after="0"/>
        <w:jc w:val="both"/>
        <w:textAlignment w:val="baseline"/>
        <w:rPr>
          <w:rFonts w:ascii="Arial" w:eastAsia="Times New Roman" w:hAnsi="Arial" w:cs="Arial"/>
          <w:kern w:val="0"/>
          <w14:ligatures w14:val="none"/>
        </w:rPr>
      </w:pPr>
      <w:r w:rsidRPr="0002790A">
        <w:rPr>
          <w:rFonts w:ascii="Arial" w:eastAsia="Times New Roman" w:hAnsi="Arial" w:cs="Arial"/>
          <w:kern w:val="0"/>
          <w14:ligatures w14:val="none"/>
        </w:rPr>
        <w:t>However, secondary data preparation for research is challenging despite easy access.</w:t>
      </w:r>
      <w:r w:rsidR="00313448" w:rsidRPr="00313448">
        <w:rPr>
          <w:rFonts w:ascii="Arial" w:eastAsia="Times New Roman" w:hAnsi="Arial" w:cs="Arial"/>
          <w:kern w:val="0"/>
          <w14:ligatures w14:val="none"/>
        </w:rPr>
        <w:t xml:space="preserve"> </w:t>
      </w:r>
      <w:r w:rsidRPr="0002790A">
        <w:rPr>
          <w:rFonts w:ascii="Arial" w:eastAsia="Times New Roman" w:hAnsi="Arial" w:cs="Arial"/>
          <w:kern w:val="0"/>
          <w14:ligatures w14:val="none"/>
        </w:rPr>
        <w:t xml:space="preserve">Data understanding and preparation cause about </w:t>
      </w:r>
      <w:r w:rsidR="0095487B">
        <w:rPr>
          <w:rFonts w:ascii="Arial" w:eastAsia="Times New Roman" w:hAnsi="Arial" w:cs="Arial"/>
          <w:kern w:val="0"/>
          <w14:ligatures w14:val="none"/>
        </w:rPr>
        <w:t>seventy per cent</w:t>
      </w:r>
      <w:r w:rsidRPr="0002790A">
        <w:rPr>
          <w:rFonts w:ascii="Arial" w:eastAsia="Times New Roman" w:hAnsi="Arial" w:cs="Arial"/>
          <w:kern w:val="0"/>
          <w14:ligatures w14:val="none"/>
        </w:rPr>
        <w:t xml:space="preserve"> of data adequacy challenges </w:t>
      </w:r>
      <w:r w:rsidRPr="00216FE7">
        <w:rPr>
          <w:rFonts w:ascii="Arial" w:eastAsia="Times New Roman" w:hAnsi="Arial" w:cs="Arial"/>
          <w:kern w:val="0"/>
          <w14:ligatures w14:val="none"/>
        </w:rPr>
        <w:t xml:space="preserve">(Areco </w:t>
      </w:r>
      <w:r w:rsidRPr="00216FE7">
        <w:rPr>
          <w:rFonts w:ascii="Arial" w:eastAsia="Times New Roman" w:hAnsi="Arial" w:cs="Arial"/>
          <w:i/>
          <w:iCs/>
          <w:kern w:val="0"/>
          <w14:ligatures w14:val="none"/>
        </w:rPr>
        <w:t>et al</w:t>
      </w:r>
      <w:r w:rsidRPr="00216FE7">
        <w:rPr>
          <w:rFonts w:ascii="Arial" w:eastAsia="Times New Roman" w:hAnsi="Arial" w:cs="Arial"/>
          <w:kern w:val="0"/>
          <w14:ligatures w14:val="none"/>
        </w:rPr>
        <w:t>., 2021).</w:t>
      </w:r>
      <w:r w:rsidR="00313448" w:rsidRPr="00313448">
        <w:rPr>
          <w:rFonts w:ascii="Arial" w:eastAsia="Times New Roman" w:hAnsi="Arial" w:cs="Arial"/>
          <w:kern w:val="0"/>
          <w14:ligatures w14:val="none"/>
        </w:rPr>
        <w:t> </w:t>
      </w:r>
      <w:r w:rsidRPr="0002790A">
        <w:rPr>
          <w:rFonts w:ascii="Arial" w:eastAsia="Times New Roman" w:hAnsi="Arial" w:cs="Arial"/>
          <w:kern w:val="0"/>
          <w14:ligatures w14:val="none"/>
        </w:rPr>
        <w:t>While secondary data is accessible, its effective use requires thorough preparation and validation</w:t>
      </w:r>
      <w:r w:rsidR="0095487B">
        <w:rPr>
          <w:rFonts w:ascii="Arial" w:eastAsia="Times New Roman" w:hAnsi="Arial" w:cs="Arial"/>
          <w:kern w:val="0"/>
          <w14:ligatures w14:val="none"/>
        </w:rPr>
        <w:t xml:space="preserve">. </w:t>
      </w:r>
      <w:r w:rsidRPr="0002790A">
        <w:rPr>
          <w:rFonts w:ascii="Arial" w:eastAsia="Times New Roman" w:hAnsi="Arial" w:cs="Arial"/>
          <w:kern w:val="0"/>
          <w14:ligatures w14:val="none"/>
        </w:rPr>
        <w:t xml:space="preserve">Secondary data's </w:t>
      </w:r>
      <w:r w:rsidR="0095487B">
        <w:rPr>
          <w:rFonts w:ascii="Arial" w:eastAsia="Times New Roman" w:hAnsi="Arial" w:cs="Arial"/>
          <w:kern w:val="0"/>
          <w14:ligatures w14:val="none"/>
        </w:rPr>
        <w:t>availability of secondary data</w:t>
      </w:r>
      <w:r w:rsidRPr="0002790A">
        <w:rPr>
          <w:rFonts w:ascii="Arial" w:eastAsia="Times New Roman" w:hAnsi="Arial" w:cs="Arial"/>
          <w:kern w:val="0"/>
          <w14:ligatures w14:val="none"/>
        </w:rPr>
        <w:t xml:space="preserve"> makes it suitable for the researcher's upcoming scholarly work.</w:t>
      </w:r>
      <w:r w:rsidR="00313448" w:rsidRPr="00313448">
        <w:rPr>
          <w:rFonts w:ascii="Arial" w:eastAsia="Times New Roman" w:hAnsi="Arial" w:cs="Arial"/>
          <w:kern w:val="0"/>
          <w14:ligatures w14:val="none"/>
        </w:rPr>
        <w:t xml:space="preserve"> </w:t>
      </w:r>
      <w:r w:rsidRPr="0002790A">
        <w:rPr>
          <w:rFonts w:ascii="Arial" w:eastAsia="Times New Roman" w:hAnsi="Arial" w:cs="Arial"/>
          <w:kern w:val="0"/>
          <w14:ligatures w14:val="none"/>
        </w:rPr>
        <w:t xml:space="preserve">Seventy </w:t>
      </w:r>
      <w:r w:rsidR="0095487B">
        <w:rPr>
          <w:rFonts w:ascii="Arial" w:eastAsia="Times New Roman" w:hAnsi="Arial" w:cs="Arial"/>
          <w:kern w:val="0"/>
          <w14:ligatures w14:val="none"/>
        </w:rPr>
        <w:t>per cent</w:t>
      </w:r>
      <w:r w:rsidRPr="0002790A">
        <w:rPr>
          <w:rFonts w:ascii="Arial" w:eastAsia="Times New Roman" w:hAnsi="Arial" w:cs="Arial"/>
          <w:kern w:val="0"/>
          <w14:ligatures w14:val="none"/>
        </w:rPr>
        <w:t xml:space="preserve"> of data adequacy challenges arise from data understanding and preparation (Areco et al., 2021).</w:t>
      </w:r>
      <w:r w:rsidR="00313448" w:rsidRPr="00313448">
        <w:rPr>
          <w:rFonts w:ascii="Arial" w:eastAsia="Times New Roman" w:hAnsi="Arial" w:cs="Arial"/>
          <w:color w:val="FF0000"/>
          <w:kern w:val="0"/>
          <w14:ligatures w14:val="none"/>
        </w:rPr>
        <w:t> </w:t>
      </w:r>
      <w:r w:rsidRPr="0002790A">
        <w:rPr>
          <w:rFonts w:ascii="Arial" w:eastAsia="Times New Roman" w:hAnsi="Arial" w:cs="Arial"/>
          <w:kern w:val="0"/>
          <w14:ligatures w14:val="none"/>
        </w:rPr>
        <w:t>M</w:t>
      </w:r>
      <w:r w:rsidR="00801A16">
        <w:rPr>
          <w:rFonts w:ascii="Arial" w:eastAsia="Times New Roman" w:hAnsi="Arial" w:cs="Arial"/>
          <w:kern w:val="0"/>
          <w14:ligatures w14:val="none"/>
        </w:rPr>
        <w:t>o</w:t>
      </w:r>
      <w:r w:rsidRPr="0002790A">
        <w:rPr>
          <w:rFonts w:ascii="Arial" w:eastAsia="Times New Roman" w:hAnsi="Arial" w:cs="Arial"/>
          <w:kern w:val="0"/>
          <w14:ligatures w14:val="none"/>
        </w:rPr>
        <w:t xml:space="preserve">reover, data allows researchers to study extensive, varied, and longitudinal datasets, hard to gather alone </w:t>
      </w:r>
      <w:r w:rsidRPr="00E37001">
        <w:rPr>
          <w:rFonts w:ascii="Arial" w:eastAsia="Times New Roman" w:hAnsi="Arial" w:cs="Arial"/>
          <w:kern w:val="0"/>
          <w14:ligatures w14:val="none"/>
        </w:rPr>
        <w:t>(Haile, 2024).</w:t>
      </w:r>
      <w:r w:rsidR="00313448" w:rsidRPr="00313448">
        <w:rPr>
          <w:rFonts w:ascii="Arial" w:eastAsia="Times New Roman" w:hAnsi="Arial" w:cs="Arial"/>
          <w:color w:val="FF0000"/>
          <w:kern w:val="0"/>
          <w14:ligatures w14:val="none"/>
        </w:rPr>
        <w:t> </w:t>
      </w:r>
      <w:r w:rsidR="00313448" w:rsidRPr="00313448">
        <w:rPr>
          <w:rFonts w:ascii="Arial" w:eastAsia="Times New Roman" w:hAnsi="Arial" w:cs="Arial"/>
          <w:color w:val="000000"/>
          <w:kern w:val="0"/>
          <w14:ligatures w14:val="none"/>
        </w:rPr>
        <w:t xml:space="preserve">In situations where time and resources are scarce, secondary research methodologies present distinct advantages; conversely, the absence of systematic direction and illustrative case studies within these methods can pose significant difficulties for those researchers who are still in the </w:t>
      </w:r>
      <w:r w:rsidR="0095487B" w:rsidRPr="00313448">
        <w:rPr>
          <w:rFonts w:ascii="Arial" w:eastAsia="Times New Roman" w:hAnsi="Arial" w:cs="Arial"/>
          <w:color w:val="000000"/>
          <w:kern w:val="0"/>
          <w14:ligatures w14:val="none"/>
        </w:rPr>
        <w:t>initial stages</w:t>
      </w:r>
      <w:r w:rsidR="00313448" w:rsidRPr="00313448">
        <w:rPr>
          <w:rFonts w:ascii="Arial" w:eastAsia="Times New Roman" w:hAnsi="Arial" w:cs="Arial"/>
          <w:color w:val="000000"/>
          <w:kern w:val="0"/>
          <w14:ligatures w14:val="none"/>
        </w:rPr>
        <w:t xml:space="preserve"> of their careers</w:t>
      </w:r>
      <w:r w:rsidR="00313448" w:rsidRPr="00313448">
        <w:rPr>
          <w:rFonts w:ascii="Arial" w:eastAsia="Times New Roman" w:hAnsi="Arial" w:cs="Arial"/>
          <w:color w:val="FF0000"/>
          <w:kern w:val="0"/>
          <w14:ligatures w14:val="none"/>
        </w:rPr>
        <w:t> </w:t>
      </w:r>
      <w:r w:rsidR="00313448" w:rsidRPr="00313448">
        <w:rPr>
          <w:rFonts w:ascii="Arial" w:eastAsia="Times New Roman" w:hAnsi="Arial" w:cs="Arial"/>
          <w:kern w:val="0"/>
          <w14:ligatures w14:val="none"/>
        </w:rPr>
        <w:t>(Manu, and Akotia, 2021). </w:t>
      </w:r>
    </w:p>
    <w:p w14:paraId="33BB56C6" w14:textId="77777777" w:rsidR="0002790A" w:rsidRPr="00313448" w:rsidRDefault="0002790A" w:rsidP="0002790A">
      <w:pPr>
        <w:spacing w:after="0"/>
        <w:jc w:val="both"/>
        <w:textAlignment w:val="baseline"/>
        <w:rPr>
          <w:rFonts w:ascii="Arial" w:eastAsia="Times New Roman" w:hAnsi="Arial" w:cs="Arial"/>
          <w:kern w:val="0"/>
          <w14:ligatures w14:val="none"/>
        </w:rPr>
      </w:pPr>
    </w:p>
    <w:p w14:paraId="6FCA5B6D" w14:textId="7FA538E1" w:rsidR="00313448" w:rsidRPr="00313448" w:rsidRDefault="0002790A" w:rsidP="0002790A">
      <w:pPr>
        <w:spacing w:after="0"/>
        <w:jc w:val="both"/>
        <w:textAlignment w:val="baseline"/>
        <w:rPr>
          <w:rFonts w:ascii="Arial" w:eastAsia="Times New Roman" w:hAnsi="Arial" w:cs="Arial"/>
          <w:kern w:val="0"/>
          <w14:ligatures w14:val="none"/>
        </w:rPr>
      </w:pPr>
      <w:r w:rsidRPr="0002790A">
        <w:rPr>
          <w:rFonts w:ascii="Arial" w:eastAsia="Times New Roman" w:hAnsi="Arial" w:cs="Arial"/>
          <w:color w:val="000000"/>
          <w:kern w:val="0"/>
          <w14:ligatures w14:val="none"/>
        </w:rPr>
        <w:t xml:space="preserve">Seventy </w:t>
      </w:r>
      <w:r w:rsidR="0095487B">
        <w:rPr>
          <w:rFonts w:ascii="Arial" w:eastAsia="Times New Roman" w:hAnsi="Arial" w:cs="Arial"/>
          <w:color w:val="000000"/>
          <w:kern w:val="0"/>
          <w14:ligatures w14:val="none"/>
        </w:rPr>
        <w:t>per cent</w:t>
      </w:r>
      <w:r w:rsidRPr="0002790A">
        <w:rPr>
          <w:rFonts w:ascii="Arial" w:eastAsia="Times New Roman" w:hAnsi="Arial" w:cs="Arial"/>
          <w:color w:val="000000"/>
          <w:kern w:val="0"/>
          <w14:ligatures w14:val="none"/>
        </w:rPr>
        <w:t xml:space="preserve"> of the </w:t>
      </w:r>
      <w:r w:rsidR="0095487B" w:rsidRPr="0002790A">
        <w:rPr>
          <w:rFonts w:ascii="Arial" w:eastAsia="Times New Roman" w:hAnsi="Arial" w:cs="Arial"/>
          <w:color w:val="000000"/>
          <w:kern w:val="0"/>
          <w14:ligatures w14:val="none"/>
        </w:rPr>
        <w:t>twenty-seven</w:t>
      </w:r>
      <w:r w:rsidRPr="0002790A">
        <w:rPr>
          <w:rFonts w:ascii="Arial" w:eastAsia="Times New Roman" w:hAnsi="Arial" w:cs="Arial"/>
          <w:color w:val="000000"/>
          <w:kern w:val="0"/>
          <w14:ligatures w14:val="none"/>
        </w:rPr>
        <w:t xml:space="preserve"> challenges in preparing secondary health data for research arose from understanding and preparation tasks (Areco </w:t>
      </w:r>
      <w:r w:rsidRPr="00E37001">
        <w:rPr>
          <w:rFonts w:ascii="Arial" w:eastAsia="Times New Roman" w:hAnsi="Arial" w:cs="Arial"/>
          <w:i/>
          <w:iCs/>
          <w:color w:val="000000"/>
          <w:kern w:val="0"/>
          <w14:ligatures w14:val="none"/>
        </w:rPr>
        <w:t>et al.,</w:t>
      </w:r>
      <w:r w:rsidRPr="0002790A">
        <w:rPr>
          <w:rFonts w:ascii="Arial" w:eastAsia="Times New Roman" w:hAnsi="Arial" w:cs="Arial"/>
          <w:color w:val="000000"/>
          <w:kern w:val="0"/>
          <w14:ligatures w14:val="none"/>
        </w:rPr>
        <w:t xml:space="preserve"> 2021).</w:t>
      </w:r>
      <w:r w:rsidR="00313448" w:rsidRPr="00313448">
        <w:rPr>
          <w:rFonts w:ascii="Arial" w:eastAsia="Times New Roman" w:hAnsi="Arial" w:cs="Arial"/>
          <w:color w:val="FF0000"/>
          <w:kern w:val="0"/>
          <w14:ligatures w14:val="none"/>
        </w:rPr>
        <w:t> </w:t>
      </w:r>
      <w:r w:rsidR="00313448" w:rsidRPr="00313448">
        <w:rPr>
          <w:rFonts w:ascii="Arial" w:eastAsia="Times New Roman" w:hAnsi="Arial" w:cs="Arial"/>
          <w:color w:val="000000"/>
          <w:kern w:val="0"/>
          <w14:ligatures w14:val="none"/>
        </w:rPr>
        <w:t>The undertaking of this project is further obstructed by several significant challenges, including the intricate procedures involved in obtaining ethical approvals, the disparate and unintegrated nature of our existing IT infrastructure, and the stringent demands associated with data protection </w:t>
      </w:r>
      <w:r w:rsidR="00313448" w:rsidRPr="00313448">
        <w:rPr>
          <w:rFonts w:ascii="Arial" w:eastAsia="Times New Roman" w:hAnsi="Arial" w:cs="Arial"/>
          <w:kern w:val="0"/>
          <w14:ligatures w14:val="none"/>
        </w:rPr>
        <w:t>(Bedenik, Cahir and Bennett, 2025). </w:t>
      </w:r>
    </w:p>
    <w:p w14:paraId="412262A1" w14:textId="77777777" w:rsidR="00313448" w:rsidRPr="00313448" w:rsidRDefault="00313448" w:rsidP="0002790A">
      <w:pPr>
        <w:spacing w:after="0"/>
        <w:jc w:val="both"/>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Based on the available evidence, it can be inferred that the practical benefits of employing secondary data are largely dictated by the successful management of preparation and quality concerns before its utilisation. </w:t>
      </w:r>
    </w:p>
    <w:p w14:paraId="5F2E820B" w14:textId="51598BCC" w:rsidR="00313448" w:rsidRPr="00573F64" w:rsidRDefault="00313448" w:rsidP="00573F64">
      <w:pPr>
        <w:pStyle w:val="Heading1"/>
        <w:jc w:val="center"/>
        <w:rPr>
          <w:rFonts w:ascii="Arial" w:eastAsia="Times New Roman" w:hAnsi="Arial" w:cs="Arial"/>
          <w:b/>
          <w:bCs/>
          <w:sz w:val="22"/>
          <w:szCs w:val="22"/>
        </w:rPr>
      </w:pPr>
      <w:bookmarkStart w:id="6" w:name="_Toc225179783"/>
      <w:r w:rsidRPr="00573F64">
        <w:rPr>
          <w:rFonts w:ascii="Arial" w:eastAsia="Times New Roman" w:hAnsi="Arial" w:cs="Arial"/>
          <w:b/>
          <w:bCs/>
          <w:color w:val="auto"/>
          <w:sz w:val="22"/>
          <w:szCs w:val="22"/>
        </w:rPr>
        <w:t>Conclusion</w:t>
      </w:r>
      <w:bookmarkEnd w:id="6"/>
    </w:p>
    <w:p w14:paraId="163FCBBF" w14:textId="77777777" w:rsidR="00313448" w:rsidRPr="00313448" w:rsidRDefault="00313448" w:rsidP="0002790A">
      <w:pPr>
        <w:spacing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To conclude, the prevalence of burnout across the UK’s health and social care industry presents a multifaceted challenge with profound consequences for staff well-being and the efficacy of service delivery. Research shows that a demanding workload, insufficient support, and occupational stress are significant contributors to emotional depletion and diminished job fulfilment. Mitigating burnout requires a comprehensive strategy, encompassing organisational measures, psychological help, and enhanced work environments. Integrating mixed-method research and secondary data improves understanding by providing both in-depth and wide-ranging insights. Emphasising staff wellbeing is indispensable to preserve high-quality care, the augmentation of retention rates, and the assurance of the protracted sustainability of health and social care services. </w:t>
      </w:r>
    </w:p>
    <w:p w14:paraId="28781982" w14:textId="77777777" w:rsidR="00313448" w:rsidRPr="00313448" w:rsidRDefault="00313448" w:rsidP="0002790A">
      <w:pPr>
        <w:spacing w:after="0"/>
        <w:jc w:val="both"/>
        <w:textAlignment w:val="baseline"/>
        <w:rPr>
          <w:rFonts w:ascii="Segoe UI" w:eastAsia="Times New Roman" w:hAnsi="Segoe UI" w:cs="Segoe UI"/>
          <w:kern w:val="0"/>
          <w:sz w:val="18"/>
          <w:szCs w:val="18"/>
          <w14:ligatures w14:val="none"/>
        </w:rPr>
      </w:pPr>
      <w:r w:rsidRPr="00313448">
        <w:rPr>
          <w:rFonts w:ascii="Arial" w:eastAsia="Times New Roman" w:hAnsi="Arial" w:cs="Arial"/>
          <w:color w:val="FF0000"/>
          <w:kern w:val="0"/>
          <w14:ligatures w14:val="none"/>
        </w:rPr>
        <w:t> </w:t>
      </w:r>
    </w:p>
    <w:p w14:paraId="2939F84D" w14:textId="3243FB55" w:rsidR="00313448" w:rsidRPr="00313448" w:rsidRDefault="00313448" w:rsidP="00801A16">
      <w:pPr>
        <w:spacing w:after="0"/>
        <w:jc w:val="both"/>
        <w:textAlignment w:val="baseline"/>
        <w:rPr>
          <w:rFonts w:ascii="Segoe UI" w:eastAsia="Times New Roman" w:hAnsi="Segoe UI" w:cs="Segoe UI"/>
          <w:kern w:val="0"/>
          <w:sz w:val="18"/>
          <w:szCs w:val="18"/>
          <w14:ligatures w14:val="none"/>
        </w:rPr>
      </w:pPr>
    </w:p>
    <w:p w14:paraId="2FF75F0A" w14:textId="77777777" w:rsidR="00313448" w:rsidRDefault="00313448" w:rsidP="0002790A">
      <w:pPr>
        <w:spacing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 </w:t>
      </w:r>
    </w:p>
    <w:p w14:paraId="4913DECC" w14:textId="77777777" w:rsidR="0095487B" w:rsidRDefault="0095487B" w:rsidP="0002790A">
      <w:pPr>
        <w:spacing w:after="0"/>
        <w:textAlignment w:val="baseline"/>
        <w:rPr>
          <w:rFonts w:ascii="Arial" w:eastAsia="Times New Roman" w:hAnsi="Arial" w:cs="Arial"/>
          <w:kern w:val="0"/>
          <w14:ligatures w14:val="none"/>
        </w:rPr>
      </w:pPr>
    </w:p>
    <w:p w14:paraId="1855CB98" w14:textId="77777777" w:rsidR="0095487B" w:rsidRDefault="0095487B" w:rsidP="0002790A">
      <w:pPr>
        <w:spacing w:after="0"/>
        <w:textAlignment w:val="baseline"/>
        <w:rPr>
          <w:rFonts w:ascii="Arial" w:eastAsia="Times New Roman" w:hAnsi="Arial" w:cs="Arial"/>
          <w:kern w:val="0"/>
          <w14:ligatures w14:val="none"/>
        </w:rPr>
      </w:pPr>
    </w:p>
    <w:p w14:paraId="24CC3788" w14:textId="77777777" w:rsidR="0095487B" w:rsidRDefault="0095487B" w:rsidP="0002790A">
      <w:pPr>
        <w:spacing w:after="0"/>
        <w:textAlignment w:val="baseline"/>
        <w:rPr>
          <w:rFonts w:ascii="Arial" w:eastAsia="Times New Roman" w:hAnsi="Arial" w:cs="Arial"/>
          <w:kern w:val="0"/>
          <w14:ligatures w14:val="none"/>
        </w:rPr>
      </w:pPr>
    </w:p>
    <w:p w14:paraId="163EC7AD" w14:textId="77777777" w:rsidR="0095487B" w:rsidRDefault="0095487B" w:rsidP="0002790A">
      <w:pPr>
        <w:spacing w:after="0"/>
        <w:textAlignment w:val="baseline"/>
        <w:rPr>
          <w:rFonts w:ascii="Arial" w:eastAsia="Times New Roman" w:hAnsi="Arial" w:cs="Arial"/>
          <w:kern w:val="0"/>
          <w14:ligatures w14:val="none"/>
        </w:rPr>
      </w:pPr>
    </w:p>
    <w:p w14:paraId="7C7E47AD" w14:textId="77777777" w:rsidR="0095487B" w:rsidRDefault="0095487B" w:rsidP="0002790A">
      <w:pPr>
        <w:spacing w:after="0"/>
        <w:textAlignment w:val="baseline"/>
        <w:rPr>
          <w:rFonts w:ascii="Arial" w:eastAsia="Times New Roman" w:hAnsi="Arial" w:cs="Arial"/>
          <w:kern w:val="0"/>
          <w14:ligatures w14:val="none"/>
        </w:rPr>
      </w:pPr>
    </w:p>
    <w:p w14:paraId="301D1D04" w14:textId="77777777" w:rsidR="0095487B" w:rsidRDefault="0095487B" w:rsidP="0002790A">
      <w:pPr>
        <w:spacing w:after="0"/>
        <w:textAlignment w:val="baseline"/>
        <w:rPr>
          <w:rFonts w:ascii="Arial" w:eastAsia="Times New Roman" w:hAnsi="Arial" w:cs="Arial"/>
          <w:kern w:val="0"/>
          <w14:ligatures w14:val="none"/>
        </w:rPr>
      </w:pPr>
    </w:p>
    <w:p w14:paraId="53469DF7" w14:textId="77777777" w:rsidR="0095487B" w:rsidRDefault="0095487B" w:rsidP="0002790A">
      <w:pPr>
        <w:spacing w:after="0"/>
        <w:textAlignment w:val="baseline"/>
        <w:rPr>
          <w:rFonts w:ascii="Arial" w:eastAsia="Times New Roman" w:hAnsi="Arial" w:cs="Arial"/>
          <w:kern w:val="0"/>
          <w14:ligatures w14:val="none"/>
        </w:rPr>
      </w:pPr>
    </w:p>
    <w:p w14:paraId="0AFADA1E" w14:textId="77777777" w:rsidR="0095487B" w:rsidRDefault="0095487B" w:rsidP="0002790A">
      <w:pPr>
        <w:spacing w:after="0"/>
        <w:textAlignment w:val="baseline"/>
        <w:rPr>
          <w:rFonts w:ascii="Arial" w:eastAsia="Times New Roman" w:hAnsi="Arial" w:cs="Arial"/>
          <w:kern w:val="0"/>
          <w14:ligatures w14:val="none"/>
        </w:rPr>
      </w:pPr>
    </w:p>
    <w:p w14:paraId="789BC6CA" w14:textId="77777777" w:rsidR="0095487B" w:rsidRDefault="0095487B" w:rsidP="0002790A">
      <w:pPr>
        <w:spacing w:after="0"/>
        <w:textAlignment w:val="baseline"/>
        <w:rPr>
          <w:rFonts w:ascii="Arial" w:eastAsia="Times New Roman" w:hAnsi="Arial" w:cs="Arial"/>
          <w:kern w:val="0"/>
          <w14:ligatures w14:val="none"/>
        </w:rPr>
      </w:pPr>
    </w:p>
    <w:p w14:paraId="534DF68C" w14:textId="77777777" w:rsidR="0095487B" w:rsidRDefault="0095487B" w:rsidP="0002790A">
      <w:pPr>
        <w:spacing w:after="0"/>
        <w:textAlignment w:val="baseline"/>
        <w:rPr>
          <w:rFonts w:ascii="Arial" w:eastAsia="Times New Roman" w:hAnsi="Arial" w:cs="Arial"/>
          <w:kern w:val="0"/>
          <w14:ligatures w14:val="none"/>
        </w:rPr>
      </w:pPr>
    </w:p>
    <w:p w14:paraId="7CF46C3D" w14:textId="77777777" w:rsidR="0095487B" w:rsidRDefault="0095487B" w:rsidP="0002790A">
      <w:pPr>
        <w:spacing w:after="0"/>
        <w:textAlignment w:val="baseline"/>
        <w:rPr>
          <w:rFonts w:ascii="Arial" w:eastAsia="Times New Roman" w:hAnsi="Arial" w:cs="Arial"/>
          <w:kern w:val="0"/>
          <w14:ligatures w14:val="none"/>
        </w:rPr>
      </w:pPr>
    </w:p>
    <w:p w14:paraId="5ED7E4E5" w14:textId="77777777" w:rsidR="0095487B" w:rsidRDefault="0095487B" w:rsidP="0002790A">
      <w:pPr>
        <w:spacing w:after="0"/>
        <w:textAlignment w:val="baseline"/>
        <w:rPr>
          <w:rFonts w:ascii="Arial" w:eastAsia="Times New Roman" w:hAnsi="Arial" w:cs="Arial"/>
          <w:kern w:val="0"/>
          <w14:ligatures w14:val="none"/>
        </w:rPr>
      </w:pPr>
    </w:p>
    <w:p w14:paraId="72320A08" w14:textId="77777777" w:rsidR="0095487B" w:rsidRDefault="0095487B" w:rsidP="0002790A">
      <w:pPr>
        <w:spacing w:after="0"/>
        <w:textAlignment w:val="baseline"/>
        <w:rPr>
          <w:rFonts w:ascii="Arial" w:eastAsia="Times New Roman" w:hAnsi="Arial" w:cs="Arial"/>
          <w:kern w:val="0"/>
          <w14:ligatures w14:val="none"/>
        </w:rPr>
      </w:pPr>
    </w:p>
    <w:p w14:paraId="1BA2830E" w14:textId="77777777" w:rsidR="0095487B" w:rsidRDefault="0095487B" w:rsidP="0002790A">
      <w:pPr>
        <w:spacing w:after="0"/>
        <w:textAlignment w:val="baseline"/>
        <w:rPr>
          <w:rFonts w:ascii="Arial" w:eastAsia="Times New Roman" w:hAnsi="Arial" w:cs="Arial"/>
          <w:kern w:val="0"/>
          <w14:ligatures w14:val="none"/>
        </w:rPr>
      </w:pPr>
    </w:p>
    <w:p w14:paraId="105BCBF9" w14:textId="77777777" w:rsidR="0095487B" w:rsidRDefault="0095487B" w:rsidP="0002790A">
      <w:pPr>
        <w:spacing w:after="0"/>
        <w:textAlignment w:val="baseline"/>
        <w:rPr>
          <w:rFonts w:ascii="Arial" w:eastAsia="Times New Roman" w:hAnsi="Arial" w:cs="Arial"/>
          <w:kern w:val="0"/>
          <w14:ligatures w14:val="none"/>
        </w:rPr>
      </w:pPr>
    </w:p>
    <w:p w14:paraId="7C546A42" w14:textId="77777777" w:rsidR="0095487B" w:rsidRDefault="0095487B" w:rsidP="0002790A">
      <w:pPr>
        <w:spacing w:after="0"/>
        <w:textAlignment w:val="baseline"/>
        <w:rPr>
          <w:rFonts w:ascii="Arial" w:eastAsia="Times New Roman" w:hAnsi="Arial" w:cs="Arial"/>
          <w:kern w:val="0"/>
          <w14:ligatures w14:val="none"/>
        </w:rPr>
      </w:pPr>
    </w:p>
    <w:p w14:paraId="5DDCEF02" w14:textId="77777777" w:rsidR="0095487B" w:rsidRDefault="0095487B" w:rsidP="0002790A">
      <w:pPr>
        <w:spacing w:after="0"/>
        <w:textAlignment w:val="baseline"/>
        <w:rPr>
          <w:rFonts w:ascii="Arial" w:eastAsia="Times New Roman" w:hAnsi="Arial" w:cs="Arial"/>
          <w:kern w:val="0"/>
          <w14:ligatures w14:val="none"/>
        </w:rPr>
      </w:pPr>
    </w:p>
    <w:p w14:paraId="02C59DDC" w14:textId="77777777" w:rsidR="0095487B" w:rsidRDefault="0095487B" w:rsidP="0002790A">
      <w:pPr>
        <w:spacing w:after="0"/>
        <w:textAlignment w:val="baseline"/>
        <w:rPr>
          <w:rFonts w:ascii="Arial" w:eastAsia="Times New Roman" w:hAnsi="Arial" w:cs="Arial"/>
          <w:kern w:val="0"/>
          <w14:ligatures w14:val="none"/>
        </w:rPr>
      </w:pPr>
    </w:p>
    <w:p w14:paraId="77AAB8C7" w14:textId="77777777" w:rsidR="0095487B" w:rsidRDefault="0095487B" w:rsidP="0002790A">
      <w:pPr>
        <w:spacing w:after="0"/>
        <w:textAlignment w:val="baseline"/>
        <w:rPr>
          <w:rFonts w:ascii="Arial" w:eastAsia="Times New Roman" w:hAnsi="Arial" w:cs="Arial"/>
          <w:kern w:val="0"/>
          <w14:ligatures w14:val="none"/>
        </w:rPr>
      </w:pPr>
    </w:p>
    <w:p w14:paraId="19B7332A" w14:textId="77777777" w:rsidR="0095487B" w:rsidRDefault="0095487B" w:rsidP="0002790A">
      <w:pPr>
        <w:spacing w:after="0"/>
        <w:textAlignment w:val="baseline"/>
        <w:rPr>
          <w:rFonts w:ascii="Arial" w:eastAsia="Times New Roman" w:hAnsi="Arial" w:cs="Arial"/>
          <w:kern w:val="0"/>
          <w14:ligatures w14:val="none"/>
        </w:rPr>
      </w:pPr>
    </w:p>
    <w:p w14:paraId="442CAD58" w14:textId="77777777" w:rsidR="0095487B" w:rsidRDefault="0095487B" w:rsidP="0002790A">
      <w:pPr>
        <w:spacing w:after="0"/>
        <w:textAlignment w:val="baseline"/>
        <w:rPr>
          <w:rFonts w:ascii="Arial" w:eastAsia="Times New Roman" w:hAnsi="Arial" w:cs="Arial"/>
          <w:kern w:val="0"/>
          <w14:ligatures w14:val="none"/>
        </w:rPr>
      </w:pPr>
    </w:p>
    <w:p w14:paraId="671A2CFD" w14:textId="77777777" w:rsidR="0095487B" w:rsidRDefault="0095487B" w:rsidP="0002790A">
      <w:pPr>
        <w:spacing w:after="0"/>
        <w:textAlignment w:val="baseline"/>
        <w:rPr>
          <w:rFonts w:ascii="Arial" w:eastAsia="Times New Roman" w:hAnsi="Arial" w:cs="Arial"/>
          <w:kern w:val="0"/>
          <w14:ligatures w14:val="none"/>
        </w:rPr>
      </w:pPr>
    </w:p>
    <w:p w14:paraId="23FBD331" w14:textId="77777777" w:rsidR="0095487B" w:rsidRDefault="0095487B" w:rsidP="0002790A">
      <w:pPr>
        <w:spacing w:after="0"/>
        <w:textAlignment w:val="baseline"/>
        <w:rPr>
          <w:rFonts w:ascii="Arial" w:eastAsia="Times New Roman" w:hAnsi="Arial" w:cs="Arial"/>
          <w:kern w:val="0"/>
          <w14:ligatures w14:val="none"/>
        </w:rPr>
      </w:pPr>
    </w:p>
    <w:p w14:paraId="075DF2FB" w14:textId="77777777" w:rsidR="0095487B" w:rsidRDefault="0095487B" w:rsidP="0002790A">
      <w:pPr>
        <w:spacing w:after="0"/>
        <w:textAlignment w:val="baseline"/>
        <w:rPr>
          <w:rFonts w:ascii="Arial" w:eastAsia="Times New Roman" w:hAnsi="Arial" w:cs="Arial"/>
          <w:kern w:val="0"/>
          <w14:ligatures w14:val="none"/>
        </w:rPr>
      </w:pPr>
    </w:p>
    <w:p w14:paraId="26EDF4BE" w14:textId="77777777" w:rsidR="0095487B" w:rsidRDefault="0095487B" w:rsidP="0002790A">
      <w:pPr>
        <w:spacing w:after="0"/>
        <w:textAlignment w:val="baseline"/>
        <w:rPr>
          <w:rFonts w:ascii="Arial" w:eastAsia="Times New Roman" w:hAnsi="Arial" w:cs="Arial"/>
          <w:kern w:val="0"/>
          <w14:ligatures w14:val="none"/>
        </w:rPr>
      </w:pPr>
    </w:p>
    <w:p w14:paraId="4A3FBEC2" w14:textId="3367F145" w:rsidR="00801A16" w:rsidRPr="00573F64" w:rsidRDefault="00313448" w:rsidP="00573F64">
      <w:pPr>
        <w:pStyle w:val="Heading1"/>
        <w:jc w:val="center"/>
        <w:rPr>
          <w:rFonts w:ascii="Arial" w:eastAsia="Times New Roman" w:hAnsi="Arial" w:cs="Arial"/>
          <w:b/>
          <w:bCs/>
          <w:color w:val="auto"/>
          <w:sz w:val="22"/>
          <w:szCs w:val="22"/>
        </w:rPr>
      </w:pPr>
      <w:bookmarkStart w:id="7" w:name="_Toc225179784"/>
      <w:r w:rsidRPr="00573F64">
        <w:rPr>
          <w:rFonts w:ascii="Arial" w:eastAsia="Times New Roman" w:hAnsi="Arial" w:cs="Arial"/>
          <w:b/>
          <w:bCs/>
          <w:color w:val="auto"/>
          <w:sz w:val="22"/>
          <w:szCs w:val="22"/>
        </w:rPr>
        <w:t>References.</w:t>
      </w:r>
      <w:bookmarkEnd w:id="7"/>
    </w:p>
    <w:p w14:paraId="200D7788"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Areco, K. N., Konstantyner, T., Bandiera-Paiva, P., Balda., R.C.X., Costa-Nobre, D. T., Sanudo, A., Kiffer, C. R. V., Kawakami, M. D., Miyoshi, M. H., Marinonio, A. S. S., Freitas, R. M. V., Morais, L. C. C., Teixeira, M. L. P., Waldvogel, B., Almeida, M. F. B. and Guinsburg, R. (2021) 'Operational Challenges in the Use of Structured Secondary Data for Health Research', </w:t>
      </w:r>
      <w:r w:rsidRPr="00313448">
        <w:rPr>
          <w:rFonts w:ascii="Arial" w:eastAsia="Times New Roman" w:hAnsi="Arial" w:cs="Arial"/>
          <w:i/>
          <w:iCs/>
          <w:color w:val="000000"/>
          <w:kern w:val="0"/>
          <w14:ligatures w14:val="none"/>
        </w:rPr>
        <w:t>Frontiers in Public Health</w:t>
      </w:r>
      <w:r w:rsidRPr="00313448">
        <w:rPr>
          <w:rFonts w:ascii="Arial" w:eastAsia="Times New Roman" w:hAnsi="Arial" w:cs="Arial"/>
          <w:color w:val="000000"/>
          <w:kern w:val="0"/>
          <w14:ligatures w14:val="none"/>
        </w:rPr>
        <w:t>, 9, p. 642163. Available at: </w:t>
      </w:r>
      <w:hyperlink r:id="rId8" w:tgtFrame="_blank" w:history="1">
        <w:r w:rsidRPr="00313448">
          <w:rPr>
            <w:rFonts w:ascii="Arial" w:eastAsia="Times New Roman" w:hAnsi="Arial" w:cs="Arial"/>
            <w:color w:val="467886"/>
            <w:kern w:val="0"/>
            <w:u w:val="single"/>
            <w14:ligatures w14:val="none"/>
          </w:rPr>
          <w:t>https://doi.org/10.3389/fpubh.2021.642163</w:t>
        </w:r>
      </w:hyperlink>
      <w:r w:rsidRPr="00313448">
        <w:rPr>
          <w:rFonts w:ascii="Arial" w:eastAsia="Times New Roman" w:hAnsi="Arial" w:cs="Arial"/>
          <w:color w:val="000000"/>
          <w:kern w:val="0"/>
          <w14:ligatures w14:val="none"/>
        </w:rPr>
        <w:t>  </w:t>
      </w:r>
    </w:p>
    <w:p w14:paraId="3FAF65D6" w14:textId="77777777" w:rsidR="00573F64"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Bannon, J., Evans, C. T., Freedman, M., Lee, C., Vu, T. H., Wallia, A., Wilkins, J. T., Moskowitz, J. T. and Hirschhorn, L. R. (2022) 'Psychological Wellbeing and the Association with Burnout in a Cohort of Healthcare Workers During the COVID-19 Pandemic', </w:t>
      </w:r>
      <w:r w:rsidRPr="00313448">
        <w:rPr>
          <w:rFonts w:ascii="Arial" w:eastAsia="Times New Roman" w:hAnsi="Arial" w:cs="Arial"/>
          <w:i/>
          <w:iCs/>
          <w:kern w:val="0"/>
          <w14:ligatures w14:val="none"/>
        </w:rPr>
        <w:t>Frontiers in Health Services</w:t>
      </w:r>
      <w:r w:rsidRPr="00313448">
        <w:rPr>
          <w:rFonts w:ascii="Arial" w:eastAsia="Times New Roman" w:hAnsi="Arial" w:cs="Arial"/>
          <w:kern w:val="0"/>
          <w14:ligatures w14:val="none"/>
        </w:rPr>
        <w:t>, 2, Article 994474. Available at: </w:t>
      </w:r>
      <w:hyperlink r:id="rId9" w:tgtFrame="_blank" w:history="1">
        <w:r w:rsidRPr="00313448">
          <w:rPr>
            <w:rFonts w:ascii="Arial" w:eastAsia="Times New Roman" w:hAnsi="Arial" w:cs="Arial"/>
            <w:color w:val="467886"/>
            <w:kern w:val="0"/>
            <w:u w:val="single"/>
            <w14:ligatures w14:val="none"/>
          </w:rPr>
          <w:t>https://doi.org/10.3389/frhs.2022.994474</w:t>
        </w:r>
      </w:hyperlink>
      <w:r w:rsidRPr="00313448">
        <w:rPr>
          <w:rFonts w:ascii="Arial" w:eastAsia="Times New Roman" w:hAnsi="Arial" w:cs="Arial"/>
          <w:kern w:val="0"/>
          <w14:ligatures w14:val="none"/>
        </w:rPr>
        <w:t>  </w:t>
      </w:r>
    </w:p>
    <w:p w14:paraId="46E29CE1" w14:textId="37D221DB" w:rsidR="00573F64" w:rsidRPr="00313448" w:rsidRDefault="00573F64" w:rsidP="00801A16">
      <w:pPr>
        <w:spacing w:before="240" w:after="0"/>
        <w:textAlignment w:val="baseline"/>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Bedenik, </w:t>
      </w:r>
      <w:r w:rsidRPr="00313448">
        <w:rPr>
          <w:rFonts w:ascii="Arial" w:eastAsia="Times New Roman" w:hAnsi="Arial" w:cs="Arial"/>
          <w:color w:val="000000"/>
          <w:kern w:val="0"/>
          <w14:ligatures w14:val="none"/>
        </w:rPr>
        <w:t>T., Cahir, C. and Bennett, K. E. (2025) 'I Don’t Mind My Information Going to the Moon, But I Don’t Want Any Letters from Mars: A Qualitative Exploration of the Challenges with Secondary Use of Health Data in Ireland', </w:t>
      </w:r>
      <w:r w:rsidRPr="00313448">
        <w:rPr>
          <w:rFonts w:ascii="Arial" w:eastAsia="Times New Roman" w:hAnsi="Arial" w:cs="Arial"/>
          <w:i/>
          <w:iCs/>
          <w:color w:val="000000"/>
          <w:kern w:val="0"/>
          <w14:ligatures w14:val="none"/>
        </w:rPr>
        <w:t>Archives of Public Health</w:t>
      </w:r>
      <w:r w:rsidRPr="00313448">
        <w:rPr>
          <w:rFonts w:ascii="Arial" w:eastAsia="Times New Roman" w:hAnsi="Arial" w:cs="Arial"/>
          <w:color w:val="000000"/>
          <w:kern w:val="0"/>
          <w14:ligatures w14:val="none"/>
        </w:rPr>
        <w:t>, 83, article number 50. Available at:</w:t>
      </w:r>
      <w:r w:rsidRPr="00313448">
        <w:rPr>
          <w:rFonts w:ascii="Arial" w:eastAsia="Times New Roman" w:hAnsi="Arial" w:cs="Arial"/>
          <w:color w:val="222222"/>
          <w:kern w:val="0"/>
          <w14:ligatures w14:val="none"/>
        </w:rPr>
        <w:t> </w:t>
      </w:r>
      <w:hyperlink r:id="rId10" w:history="1">
        <w:r w:rsidRPr="00313448">
          <w:rPr>
            <w:rStyle w:val="Hyperlink"/>
            <w:rFonts w:ascii="Arial" w:eastAsia="Times New Roman" w:hAnsi="Arial" w:cs="Arial"/>
            <w:kern w:val="0"/>
            <w14:ligatures w14:val="none"/>
          </w:rPr>
          <w:t>https://doi.org/10.1186/s13690-025-01524-4</w:t>
        </w:r>
      </w:hyperlink>
      <w:r>
        <w:rPr>
          <w:rFonts w:ascii="Arial" w:eastAsia="Times New Roman" w:hAnsi="Arial" w:cs="Arial"/>
          <w:color w:val="222222"/>
          <w:kern w:val="0"/>
          <w14:ligatures w14:val="none"/>
        </w:rPr>
        <w:t xml:space="preserve"> </w:t>
      </w:r>
      <w:r w:rsidRPr="00313448">
        <w:rPr>
          <w:rFonts w:ascii="Arial" w:eastAsia="Times New Roman" w:hAnsi="Arial" w:cs="Arial"/>
          <w:color w:val="222222"/>
          <w:kern w:val="0"/>
          <w14:ligatures w14:val="none"/>
        </w:rPr>
        <w:t>  </w:t>
      </w:r>
      <w:r w:rsidRPr="00313448">
        <w:rPr>
          <w:rFonts w:ascii="Arial" w:eastAsia="Times New Roman" w:hAnsi="Arial" w:cs="Arial"/>
          <w:color w:val="000000"/>
          <w:kern w:val="0"/>
          <w14:ligatures w14:val="none"/>
        </w:rPr>
        <w:t>        </w:t>
      </w:r>
    </w:p>
    <w:p w14:paraId="7EA95148"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Berger-Estilita, J., Salvisberg, D., Köselerli, E., Haupt, S. and Meço, B. C. (2024) 'Impact of Burnout on Anaesthesiologists', </w:t>
      </w:r>
      <w:r w:rsidRPr="00313448">
        <w:rPr>
          <w:rFonts w:ascii="Arial" w:eastAsia="Times New Roman" w:hAnsi="Arial" w:cs="Arial"/>
          <w:i/>
          <w:iCs/>
          <w:kern w:val="0"/>
          <w14:ligatures w14:val="none"/>
        </w:rPr>
        <w:t>Türk Anesteziyoloji ve Reanimasyon Derneği dergisi</w:t>
      </w:r>
      <w:r w:rsidRPr="00313448">
        <w:rPr>
          <w:rFonts w:ascii="Arial" w:eastAsia="Times New Roman" w:hAnsi="Arial" w:cs="Arial"/>
          <w:kern w:val="0"/>
          <w14:ligatures w14:val="none"/>
        </w:rPr>
        <w:t>, 52(2), pp. 54-59. Available at: </w:t>
      </w:r>
      <w:hyperlink r:id="rId11" w:tgtFrame="_blank" w:history="1">
        <w:r w:rsidRPr="00313448">
          <w:rPr>
            <w:rFonts w:ascii="Arial" w:eastAsia="Times New Roman" w:hAnsi="Arial" w:cs="Arial"/>
            <w:color w:val="467886"/>
            <w:kern w:val="0"/>
            <w:u w:val="single"/>
            <w14:ligatures w14:val="none"/>
          </w:rPr>
          <w:t>https://doi.org/10.4274/tjar.2024.241565</w:t>
        </w:r>
      </w:hyperlink>
      <w:r w:rsidRPr="00313448">
        <w:rPr>
          <w:rFonts w:ascii="Arial" w:eastAsia="Times New Roman" w:hAnsi="Arial" w:cs="Arial"/>
          <w:kern w:val="0"/>
          <w14:ligatures w14:val="none"/>
        </w:rPr>
        <w:t>  </w:t>
      </w:r>
    </w:p>
    <w:p w14:paraId="40A0266D" w14:textId="77777777" w:rsidR="00573F64" w:rsidRPr="00313448" w:rsidRDefault="00573F64" w:rsidP="00801A16">
      <w:pPr>
        <w:spacing w:before="240" w:after="0"/>
        <w:textAlignment w:val="baseline"/>
        <w:rPr>
          <w:rFonts w:ascii="Arial" w:eastAsia="Times New Roman" w:hAnsi="Arial" w:cs="Arial"/>
          <w:color w:val="333333"/>
          <w:kern w:val="0"/>
          <w14:ligatures w14:val="none"/>
        </w:rPr>
      </w:pPr>
      <w:r w:rsidRPr="00313448">
        <w:rPr>
          <w:rFonts w:ascii="Arial" w:eastAsia="Times New Roman" w:hAnsi="Arial" w:cs="Arial"/>
          <w:color w:val="333333"/>
          <w:kern w:val="0"/>
          <w14:ligatures w14:val="none"/>
        </w:rPr>
        <w:t>Biber, J., Ranes, B., Lawrence, S., Malpani, V., Trinh, T. T., Cyders, A., English, S., Staub, C. L., McCausland, K. L, Kosinski, M., Baranwal, N., Baranwal, D. and Pop, R. (2022) 'Mental Health Impact on Healthcare Workers Due to the COVID-19 Pandemic: A U.S. Cross-Sectional Survey Study', </w:t>
      </w:r>
      <w:r w:rsidRPr="00313448">
        <w:rPr>
          <w:rFonts w:ascii="Arial" w:eastAsia="Times New Roman" w:hAnsi="Arial" w:cs="Arial"/>
          <w:i/>
          <w:iCs/>
          <w:color w:val="333333"/>
          <w:kern w:val="0"/>
          <w14:ligatures w14:val="none"/>
        </w:rPr>
        <w:t>Journal of Patient-Reported Outcomes</w:t>
      </w:r>
      <w:r w:rsidRPr="00313448">
        <w:rPr>
          <w:rFonts w:ascii="Arial" w:eastAsia="Times New Roman" w:hAnsi="Arial" w:cs="Arial"/>
          <w:color w:val="333333"/>
          <w:kern w:val="0"/>
          <w14:ligatures w14:val="none"/>
        </w:rPr>
        <w:t>, 6, </w:t>
      </w:r>
      <w:r w:rsidRPr="00313448">
        <w:rPr>
          <w:rFonts w:ascii="Arial" w:eastAsia="Times New Roman" w:hAnsi="Arial" w:cs="Arial"/>
          <w:color w:val="000000"/>
          <w:kern w:val="0"/>
          <w14:ligatures w14:val="none"/>
        </w:rPr>
        <w:t>article number 63</w:t>
      </w:r>
      <w:r w:rsidRPr="00313448">
        <w:rPr>
          <w:rFonts w:ascii="Arial" w:eastAsia="Times New Roman" w:hAnsi="Arial" w:cs="Arial"/>
          <w:color w:val="333333"/>
          <w:kern w:val="0"/>
          <w14:ligatures w14:val="none"/>
        </w:rPr>
        <w:t>. Available at: </w:t>
      </w:r>
      <w:hyperlink r:id="rId12" w:tgtFrame="_blank" w:history="1">
        <w:r w:rsidRPr="00313448">
          <w:rPr>
            <w:rFonts w:ascii="Arial" w:eastAsia="Times New Roman" w:hAnsi="Arial" w:cs="Arial"/>
            <w:color w:val="467886"/>
            <w:kern w:val="0"/>
            <w:u w:val="single"/>
            <w14:ligatures w14:val="none"/>
          </w:rPr>
          <w:t>https://doi.org/10.1186/s41687-022-00467-6</w:t>
        </w:r>
      </w:hyperlink>
      <w:r w:rsidRPr="00313448">
        <w:rPr>
          <w:rFonts w:ascii="Arial" w:eastAsia="Times New Roman" w:hAnsi="Arial" w:cs="Arial"/>
          <w:color w:val="000000"/>
          <w:kern w:val="0"/>
          <w14:ligatures w14:val="none"/>
        </w:rPr>
        <w:t>  </w:t>
      </w:r>
    </w:p>
    <w:p w14:paraId="5AEEF365"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Boucher, V. G., Dahl, M., Lee, J., Faulkner, G., Beauchamp, M. R. and Puterman, E. (2025) 'An Umbrella Review and meta-analysis of 87 meta-analyses Examining Healthcare workers' Mental Health during the COVID-19 Pandemic', </w:t>
      </w:r>
      <w:r w:rsidRPr="00313448">
        <w:rPr>
          <w:rFonts w:ascii="Arial" w:eastAsia="Times New Roman" w:hAnsi="Arial" w:cs="Arial"/>
          <w:i/>
          <w:iCs/>
          <w:color w:val="333333"/>
          <w:kern w:val="0"/>
          <w14:ligatures w14:val="none"/>
        </w:rPr>
        <w:t>Journal of Affective Disorders</w:t>
      </w:r>
      <w:r w:rsidRPr="00313448">
        <w:rPr>
          <w:rFonts w:ascii="Arial" w:eastAsia="Times New Roman" w:hAnsi="Arial" w:cs="Arial"/>
          <w:color w:val="333333"/>
          <w:kern w:val="0"/>
          <w14:ligatures w14:val="none"/>
        </w:rPr>
        <w:t>, 375, pp. </w:t>
      </w:r>
      <w:r w:rsidRPr="00313448">
        <w:rPr>
          <w:rFonts w:ascii="Arial" w:eastAsia="Times New Roman" w:hAnsi="Arial" w:cs="Arial"/>
          <w:color w:val="1F1F1F"/>
          <w:kern w:val="0"/>
          <w14:ligatures w14:val="none"/>
        </w:rPr>
        <w:t>423-436</w:t>
      </w:r>
      <w:r w:rsidRPr="00313448">
        <w:rPr>
          <w:rFonts w:ascii="Arial" w:eastAsia="Times New Roman" w:hAnsi="Arial" w:cs="Arial"/>
          <w:color w:val="333333"/>
          <w:kern w:val="0"/>
          <w14:ligatures w14:val="none"/>
        </w:rPr>
        <w:t>. Available at: </w:t>
      </w:r>
      <w:hyperlink r:id="rId13" w:tgtFrame="_blank" w:history="1">
        <w:r w:rsidRPr="00313448">
          <w:rPr>
            <w:rFonts w:ascii="Arial" w:eastAsia="Times New Roman" w:hAnsi="Arial" w:cs="Arial"/>
            <w:color w:val="467886"/>
            <w:kern w:val="0"/>
            <w:u w:val="single"/>
            <w14:ligatures w14:val="none"/>
          </w:rPr>
          <w:t>https://doi.org/10.1016/j.jad.2025.01.109</w:t>
        </w:r>
      </w:hyperlink>
      <w:r w:rsidRPr="00313448">
        <w:rPr>
          <w:rFonts w:ascii="Arial" w:eastAsia="Times New Roman" w:hAnsi="Arial" w:cs="Arial"/>
          <w:color w:val="000000"/>
          <w:kern w:val="0"/>
          <w14:ligatures w14:val="none"/>
        </w:rPr>
        <w:t>  </w:t>
      </w:r>
    </w:p>
    <w:p w14:paraId="1BFC54B1"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Chaves-Montero, A., Blanco-Miguel, P. and Ríos-Vizcaíno, B. (2025) 'Analysis of the Predictors and Consequential Factors of Emotional Exhaustion Among Social Workers: A Systematic Review', </w:t>
      </w:r>
      <w:r w:rsidRPr="00313448">
        <w:rPr>
          <w:rFonts w:ascii="Arial" w:eastAsia="Times New Roman" w:hAnsi="Arial" w:cs="Arial"/>
          <w:i/>
          <w:iCs/>
          <w:kern w:val="0"/>
          <w14:ligatures w14:val="none"/>
        </w:rPr>
        <w:t>Healthcare</w:t>
      </w:r>
      <w:r w:rsidRPr="00313448">
        <w:rPr>
          <w:rFonts w:ascii="Arial" w:eastAsia="Times New Roman" w:hAnsi="Arial" w:cs="Arial"/>
          <w:kern w:val="0"/>
          <w14:ligatures w14:val="none"/>
        </w:rPr>
        <w:t>, 13(5), p. 552. Available at: </w:t>
      </w:r>
      <w:hyperlink r:id="rId14" w:tgtFrame="_blank" w:history="1">
        <w:r w:rsidRPr="00313448">
          <w:rPr>
            <w:rFonts w:ascii="Arial" w:eastAsia="Times New Roman" w:hAnsi="Arial" w:cs="Arial"/>
            <w:color w:val="467886"/>
            <w:kern w:val="0"/>
            <w:u w:val="single"/>
            <w14:ligatures w14:val="none"/>
          </w:rPr>
          <w:t>https://doi.org/10.3390/healthcare13050552</w:t>
        </w:r>
      </w:hyperlink>
      <w:r w:rsidRPr="00313448">
        <w:rPr>
          <w:rFonts w:ascii="Arial" w:eastAsia="Times New Roman" w:hAnsi="Arial" w:cs="Arial"/>
          <w:kern w:val="0"/>
          <w14:ligatures w14:val="none"/>
        </w:rPr>
        <w:t>  </w:t>
      </w:r>
    </w:p>
    <w:p w14:paraId="3A49CC77"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CQC (202</w:t>
      </w:r>
      <w:r w:rsidRPr="00BB0A04">
        <w:rPr>
          <w:rFonts w:ascii="Arial" w:eastAsia="Times New Roman" w:hAnsi="Arial" w:cs="Arial"/>
          <w:kern w:val="0"/>
          <w14:ligatures w14:val="none"/>
        </w:rPr>
        <w:t>4</w:t>
      </w:r>
      <w:r w:rsidRPr="00313448">
        <w:rPr>
          <w:rFonts w:ascii="Arial" w:eastAsia="Times New Roman" w:hAnsi="Arial" w:cs="Arial"/>
          <w:kern w:val="0"/>
          <w14:ligatures w14:val="none"/>
        </w:rPr>
        <w:t>) </w:t>
      </w:r>
      <w:r w:rsidRPr="00313448">
        <w:rPr>
          <w:rFonts w:ascii="Arial" w:eastAsia="Times New Roman" w:hAnsi="Arial" w:cs="Arial"/>
          <w:i/>
          <w:iCs/>
          <w:kern w:val="0"/>
          <w14:ligatures w14:val="none"/>
        </w:rPr>
        <w:t>The Health</w:t>
      </w:r>
      <w:r>
        <w:rPr>
          <w:rFonts w:ascii="Arial" w:eastAsia="Times New Roman" w:hAnsi="Arial" w:cs="Arial"/>
          <w:i/>
          <w:iCs/>
          <w:kern w:val="0"/>
          <w14:ligatures w14:val="none"/>
        </w:rPr>
        <w:t xml:space="preserve"> and </w:t>
      </w:r>
      <w:r w:rsidRPr="00313448">
        <w:rPr>
          <w:rFonts w:ascii="Arial" w:eastAsia="Times New Roman" w:hAnsi="Arial" w:cs="Arial"/>
          <w:i/>
          <w:iCs/>
          <w:kern w:val="0"/>
          <w14:ligatures w14:val="none"/>
        </w:rPr>
        <w:t>care Workforce</w:t>
      </w:r>
      <w:r w:rsidRPr="00313448">
        <w:rPr>
          <w:rFonts w:ascii="Arial" w:eastAsia="Times New Roman" w:hAnsi="Arial" w:cs="Arial"/>
          <w:kern w:val="0"/>
          <w14:ligatures w14:val="none"/>
        </w:rPr>
        <w:t>. Available at: </w:t>
      </w:r>
      <w:hyperlink r:id="rId15" w:tgtFrame="_blank" w:history="1">
        <w:r w:rsidRPr="00313448">
          <w:rPr>
            <w:rFonts w:ascii="Arial" w:eastAsia="Times New Roman" w:hAnsi="Arial" w:cs="Arial"/>
            <w:color w:val="467886"/>
            <w:kern w:val="0"/>
            <w:u w:val="single"/>
            <w14:ligatures w14:val="none"/>
          </w:rPr>
          <w:t>https://www.cqc.org.uk/publications/major-report/state-care/2022/workforce</w:t>
        </w:r>
      </w:hyperlink>
      <w:r w:rsidRPr="00313448">
        <w:rPr>
          <w:rFonts w:ascii="Arial" w:eastAsia="Times New Roman" w:hAnsi="Arial" w:cs="Arial"/>
          <w:kern w:val="0"/>
          <w14:ligatures w14:val="none"/>
        </w:rPr>
        <w:t> (Accessed: 10 March 2026). </w:t>
      </w:r>
    </w:p>
    <w:p w14:paraId="3C35B39E"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Cross, E. (202</w:t>
      </w:r>
      <w:r>
        <w:rPr>
          <w:rFonts w:ascii="Arial" w:eastAsia="Times New Roman" w:hAnsi="Arial" w:cs="Arial"/>
          <w:color w:val="333333"/>
          <w:kern w:val="0"/>
          <w14:ligatures w14:val="none"/>
        </w:rPr>
        <w:t>5</w:t>
      </w:r>
      <w:r w:rsidRPr="00313448">
        <w:rPr>
          <w:rFonts w:ascii="Arial" w:eastAsia="Times New Roman" w:hAnsi="Arial" w:cs="Arial"/>
          <w:color w:val="333333"/>
          <w:kern w:val="0"/>
          <w14:ligatures w14:val="none"/>
        </w:rPr>
        <w:t>) </w:t>
      </w:r>
      <w:r w:rsidRPr="00313448">
        <w:rPr>
          <w:rFonts w:ascii="Arial" w:eastAsia="Times New Roman" w:hAnsi="Arial" w:cs="Arial"/>
          <w:i/>
          <w:iCs/>
          <w:color w:val="333333"/>
          <w:kern w:val="0"/>
          <w14:ligatures w14:val="none"/>
        </w:rPr>
        <w:t>What Is Quantitative Research? | Definition, Methods &amp; Examples</w:t>
      </w:r>
      <w:r w:rsidRPr="00313448">
        <w:rPr>
          <w:rFonts w:ascii="Arial" w:eastAsia="Times New Roman" w:hAnsi="Arial" w:cs="Arial"/>
          <w:color w:val="333333"/>
          <w:kern w:val="0"/>
          <w14:ligatures w14:val="none"/>
        </w:rPr>
        <w:t>. Available at: </w:t>
      </w:r>
      <w:hyperlink r:id="rId16" w:tgtFrame="_blank" w:history="1">
        <w:r w:rsidRPr="00313448">
          <w:rPr>
            <w:rFonts w:ascii="Arial" w:eastAsia="Times New Roman" w:hAnsi="Arial" w:cs="Arial"/>
            <w:color w:val="467886"/>
            <w:kern w:val="0"/>
            <w:u w:val="single"/>
            <w14:ligatures w14:val="none"/>
          </w:rPr>
          <w:t>https://www.researchprospect.com/quantitative-research</w:t>
        </w:r>
      </w:hyperlink>
      <w:r w:rsidRPr="00313448">
        <w:rPr>
          <w:rFonts w:ascii="Arial" w:eastAsia="Times New Roman" w:hAnsi="Arial" w:cs="Arial"/>
          <w:color w:val="000000"/>
          <w:kern w:val="0"/>
          <w14:ligatures w14:val="none"/>
        </w:rPr>
        <w:t> (Accessed 15 March 2025). </w:t>
      </w:r>
    </w:p>
    <w:p w14:paraId="73388BB0"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Ferry, A. V., Wereski, R., Strachan, F.E. and Mills, N. L. (2021) 'Predictors of UK Healthcare Worker Burnout during the COVID-19 Pandemic', </w:t>
      </w:r>
      <w:r w:rsidRPr="00313448">
        <w:rPr>
          <w:rFonts w:ascii="Arial" w:eastAsia="Times New Roman" w:hAnsi="Arial" w:cs="Arial"/>
          <w:i/>
          <w:iCs/>
          <w:kern w:val="0"/>
          <w14:ligatures w14:val="none"/>
        </w:rPr>
        <w:t>QJM: An International Journal of Medicine</w:t>
      </w:r>
      <w:r w:rsidRPr="00313448">
        <w:rPr>
          <w:rFonts w:ascii="Arial" w:eastAsia="Times New Roman" w:hAnsi="Arial" w:cs="Arial"/>
          <w:kern w:val="0"/>
          <w14:ligatures w14:val="none"/>
        </w:rPr>
        <w:t>, 114(6), pp. 374-380. Available at: </w:t>
      </w:r>
      <w:hyperlink r:id="rId17" w:tgtFrame="_blank" w:history="1">
        <w:r w:rsidRPr="00313448">
          <w:rPr>
            <w:rFonts w:ascii="Arial" w:eastAsia="Times New Roman" w:hAnsi="Arial" w:cs="Arial"/>
            <w:color w:val="467886"/>
            <w:kern w:val="0"/>
            <w:u w:val="single"/>
            <w14:ligatures w14:val="none"/>
          </w:rPr>
          <w:t>https://doi.org/10.1093/qjmed/hcab065</w:t>
        </w:r>
      </w:hyperlink>
      <w:r w:rsidRPr="00313448">
        <w:rPr>
          <w:rFonts w:ascii="Arial" w:eastAsia="Times New Roman" w:hAnsi="Arial" w:cs="Arial"/>
          <w:kern w:val="0"/>
          <w14:ligatures w14:val="none"/>
        </w:rPr>
        <w:t>  </w:t>
      </w:r>
    </w:p>
    <w:p w14:paraId="5B53D03A"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García, G. M., Desrumaux, P., Ayala Calvo, J. C. and Naouële, B. (202</w:t>
      </w:r>
      <w:r>
        <w:rPr>
          <w:rFonts w:ascii="Arial" w:eastAsia="Times New Roman" w:hAnsi="Arial" w:cs="Arial"/>
          <w:color w:val="333333"/>
          <w:kern w:val="0"/>
          <w14:ligatures w14:val="none"/>
        </w:rPr>
        <w:t>2</w:t>
      </w:r>
      <w:r w:rsidRPr="00313448">
        <w:rPr>
          <w:rFonts w:ascii="Arial" w:eastAsia="Times New Roman" w:hAnsi="Arial" w:cs="Arial"/>
          <w:color w:val="333333"/>
          <w:kern w:val="0"/>
          <w14:ligatures w14:val="none"/>
        </w:rPr>
        <w:t>) 'The Impact of Social Support on Emotional Exhaustion and Workplace Bullying in Social Workers', </w:t>
      </w:r>
      <w:r w:rsidRPr="00313448">
        <w:rPr>
          <w:rFonts w:ascii="Arial" w:eastAsia="Times New Roman" w:hAnsi="Arial" w:cs="Arial"/>
          <w:i/>
          <w:iCs/>
          <w:color w:val="333333"/>
          <w:kern w:val="0"/>
          <w14:ligatures w14:val="none"/>
        </w:rPr>
        <w:t>European Journal of Social Work</w:t>
      </w:r>
      <w:r w:rsidRPr="00313448">
        <w:rPr>
          <w:rFonts w:ascii="Arial" w:eastAsia="Times New Roman" w:hAnsi="Arial" w:cs="Arial"/>
          <w:color w:val="333333"/>
          <w:kern w:val="0"/>
          <w14:ligatures w14:val="none"/>
        </w:rPr>
        <w:t xml:space="preserve">, 25(5), pp. </w:t>
      </w:r>
      <w:r>
        <w:rPr>
          <w:rFonts w:ascii="Arial" w:eastAsia="Times New Roman" w:hAnsi="Arial" w:cs="Arial"/>
          <w:color w:val="333333"/>
          <w:kern w:val="0"/>
          <w14:ligatures w14:val="none"/>
        </w:rPr>
        <w:t>752-765</w:t>
      </w:r>
      <w:r w:rsidRPr="00313448">
        <w:rPr>
          <w:rFonts w:ascii="Arial" w:eastAsia="Times New Roman" w:hAnsi="Arial" w:cs="Arial"/>
          <w:color w:val="333333"/>
          <w:kern w:val="0"/>
          <w14:ligatures w14:val="none"/>
        </w:rPr>
        <w:t>. Available at: </w:t>
      </w:r>
      <w:hyperlink r:id="rId18" w:tgtFrame="_blank" w:history="1">
        <w:r w:rsidRPr="00313448">
          <w:rPr>
            <w:rFonts w:ascii="Arial" w:eastAsia="Times New Roman" w:hAnsi="Arial" w:cs="Arial"/>
            <w:color w:val="467886"/>
            <w:kern w:val="0"/>
            <w:u w:val="single"/>
            <w14:ligatures w14:val="none"/>
          </w:rPr>
          <w:t>https://doi.org/10.1080/13691457.2021.1934417</w:t>
        </w:r>
      </w:hyperlink>
      <w:r w:rsidRPr="00313448">
        <w:rPr>
          <w:rFonts w:ascii="Arial" w:eastAsia="Times New Roman" w:hAnsi="Arial" w:cs="Arial"/>
          <w:color w:val="000000"/>
          <w:kern w:val="0"/>
          <w14:ligatures w14:val="none"/>
        </w:rPr>
        <w:t>  </w:t>
      </w:r>
    </w:p>
    <w:p w14:paraId="3968337D"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Haile, Z. T. (2024) 'The Utility of Secondary Data Analysis in Breastfeeding Research: Opportunities and Challenges', </w:t>
      </w:r>
      <w:r w:rsidRPr="00313448">
        <w:rPr>
          <w:rFonts w:ascii="Arial" w:eastAsia="Times New Roman" w:hAnsi="Arial" w:cs="Arial"/>
          <w:i/>
          <w:iCs/>
          <w:color w:val="000000"/>
          <w:kern w:val="0"/>
          <w14:ligatures w14:val="none"/>
        </w:rPr>
        <w:t>Journal of Human Lactation</w:t>
      </w:r>
      <w:r w:rsidRPr="00313448">
        <w:rPr>
          <w:rFonts w:ascii="Arial" w:eastAsia="Times New Roman" w:hAnsi="Arial" w:cs="Arial"/>
          <w:color w:val="000000"/>
          <w:kern w:val="0"/>
          <w14:ligatures w14:val="none"/>
        </w:rPr>
        <w:t>, 41(1)</w:t>
      </w:r>
      <w:r>
        <w:rPr>
          <w:rFonts w:ascii="Arial" w:eastAsia="Times New Roman" w:hAnsi="Arial" w:cs="Arial"/>
          <w:color w:val="000000"/>
          <w:kern w:val="0"/>
          <w14:ligatures w14:val="none"/>
        </w:rPr>
        <w:t xml:space="preserve">, pp. </w:t>
      </w:r>
      <w:r w:rsidRPr="00E37001">
        <w:rPr>
          <w:rFonts w:ascii="Arial" w:eastAsia="Times New Roman" w:hAnsi="Arial" w:cs="Arial"/>
          <w:color w:val="000000"/>
          <w:kern w:val="0"/>
          <w14:ligatures w14:val="none"/>
        </w:rPr>
        <w:t>16–21</w:t>
      </w:r>
      <w:r w:rsidRPr="00313448">
        <w:rPr>
          <w:rFonts w:ascii="Arial" w:eastAsia="Times New Roman" w:hAnsi="Arial" w:cs="Arial"/>
          <w:color w:val="000000"/>
          <w:kern w:val="0"/>
          <w14:ligatures w14:val="none"/>
        </w:rPr>
        <w:t>. Available at: </w:t>
      </w:r>
      <w:hyperlink r:id="rId19" w:tgtFrame="_blank" w:history="1">
        <w:r w:rsidRPr="00313448">
          <w:rPr>
            <w:rFonts w:ascii="Arial" w:eastAsia="Times New Roman" w:hAnsi="Arial" w:cs="Arial"/>
            <w:color w:val="467886"/>
            <w:kern w:val="0"/>
            <w:u w:val="single"/>
            <w14:ligatures w14:val="none"/>
          </w:rPr>
          <w:t>https://doi.org/10.1177/08903344241304623</w:t>
        </w:r>
      </w:hyperlink>
      <w:r w:rsidRPr="00313448">
        <w:rPr>
          <w:rFonts w:ascii="Arial" w:eastAsia="Times New Roman" w:hAnsi="Arial" w:cs="Arial"/>
          <w:color w:val="000000"/>
          <w:kern w:val="0"/>
          <w14:ligatures w14:val="none"/>
        </w:rPr>
        <w:t>  </w:t>
      </w:r>
    </w:p>
    <w:p w14:paraId="6D8C03E5"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Manu, E. and Akotia, J. (2021) </w:t>
      </w:r>
      <w:r w:rsidRPr="00313448">
        <w:rPr>
          <w:rFonts w:ascii="Arial" w:eastAsia="Times New Roman" w:hAnsi="Arial" w:cs="Arial"/>
          <w:i/>
          <w:iCs/>
          <w:color w:val="000000"/>
          <w:kern w:val="0"/>
          <w14:ligatures w14:val="none"/>
        </w:rPr>
        <w:t>Introduction to secondary research methods in the built environment</w:t>
      </w:r>
      <w:r w:rsidRPr="00313448">
        <w:rPr>
          <w:rFonts w:ascii="Arial" w:eastAsia="Times New Roman" w:hAnsi="Arial" w:cs="Arial"/>
          <w:i/>
          <w:iCs/>
          <w:color w:val="333333"/>
          <w:kern w:val="0"/>
          <w14:ligatures w14:val="none"/>
        </w:rPr>
        <w:t>.</w:t>
      </w:r>
      <w:r w:rsidRPr="00313448">
        <w:rPr>
          <w:rFonts w:ascii="Arial" w:eastAsia="Times New Roman" w:hAnsi="Arial" w:cs="Arial"/>
          <w:color w:val="333333"/>
          <w:kern w:val="0"/>
          <w14:ligatures w14:val="none"/>
        </w:rPr>
        <w:t> </w:t>
      </w:r>
      <w:r w:rsidRPr="00313448">
        <w:rPr>
          <w:rFonts w:ascii="Arial" w:eastAsia="Times New Roman" w:hAnsi="Arial" w:cs="Arial"/>
          <w:color w:val="000000"/>
          <w:kern w:val="0"/>
          <w14:ligatures w14:val="none"/>
        </w:rPr>
        <w:t>1st edn</w:t>
      </w:r>
      <w:r w:rsidRPr="00313448">
        <w:rPr>
          <w:rFonts w:ascii="Arial" w:eastAsia="Times New Roman" w:hAnsi="Arial" w:cs="Arial"/>
          <w:color w:val="333333"/>
          <w:kern w:val="0"/>
          <w14:ligatures w14:val="none"/>
        </w:rPr>
        <w:t>. </w:t>
      </w:r>
      <w:r w:rsidRPr="00313448">
        <w:rPr>
          <w:rFonts w:ascii="Arial" w:eastAsia="Times New Roman" w:hAnsi="Arial" w:cs="Arial"/>
          <w:color w:val="000000"/>
          <w:kern w:val="0"/>
          <w14:ligatures w14:val="none"/>
        </w:rPr>
        <w:t>Routledge</w:t>
      </w:r>
      <w:r w:rsidRPr="00313448">
        <w:rPr>
          <w:rFonts w:ascii="Arial" w:eastAsia="Times New Roman" w:hAnsi="Arial" w:cs="Arial"/>
          <w:color w:val="333333"/>
          <w:kern w:val="0"/>
          <w14:ligatures w14:val="none"/>
        </w:rPr>
        <w:t>. </w:t>
      </w:r>
    </w:p>
    <w:p w14:paraId="2F7E5EF4"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Mazhar, B. A., Anjum, R., Anwar, A. I., and Khan, A. A. (2021) 'Methods of Data Collection: A Fundamental Tool of Research', </w:t>
      </w:r>
      <w:r w:rsidRPr="00313448">
        <w:rPr>
          <w:rFonts w:ascii="Arial" w:eastAsia="Times New Roman" w:hAnsi="Arial" w:cs="Arial"/>
          <w:i/>
          <w:iCs/>
          <w:color w:val="000000"/>
          <w:kern w:val="0"/>
          <w14:ligatures w14:val="none"/>
        </w:rPr>
        <w:t>Journal of Integrated Community Health</w:t>
      </w:r>
      <w:r w:rsidRPr="00313448">
        <w:rPr>
          <w:rFonts w:ascii="Arial" w:eastAsia="Times New Roman" w:hAnsi="Arial" w:cs="Arial"/>
          <w:color w:val="000000"/>
          <w:kern w:val="0"/>
          <w14:ligatures w14:val="none"/>
        </w:rPr>
        <w:t>, 10(1), pp. 6-10. Available at: </w:t>
      </w:r>
      <w:hyperlink r:id="rId20" w:tgtFrame="_blank" w:history="1">
        <w:r w:rsidRPr="00313448">
          <w:rPr>
            <w:rFonts w:ascii="Arial" w:eastAsia="Times New Roman" w:hAnsi="Arial" w:cs="Arial"/>
            <w:color w:val="467886"/>
            <w:kern w:val="0"/>
            <w:u w:val="single"/>
            <w14:ligatures w14:val="none"/>
          </w:rPr>
          <w:t>https://doi.org/10.24321/2319.9113.202101</w:t>
        </w:r>
      </w:hyperlink>
      <w:r w:rsidRPr="00313448">
        <w:rPr>
          <w:rFonts w:ascii="Arial" w:eastAsia="Times New Roman" w:hAnsi="Arial" w:cs="Arial"/>
          <w:color w:val="000000"/>
          <w:kern w:val="0"/>
          <w14:ligatures w14:val="none"/>
        </w:rPr>
        <w:t>  </w:t>
      </w:r>
    </w:p>
    <w:p w14:paraId="1E0D8CBC"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Moore, E. F., Thomas, K. and Gephart, S. M. (2021) 'Fresh Perspectives on an Old Method', </w:t>
      </w:r>
      <w:r w:rsidRPr="00313448">
        <w:rPr>
          <w:rFonts w:ascii="Arial" w:eastAsia="Times New Roman" w:hAnsi="Arial" w:cs="Arial"/>
          <w:i/>
          <w:iCs/>
          <w:color w:val="000000"/>
          <w:kern w:val="0"/>
          <w14:ligatures w14:val="none"/>
        </w:rPr>
        <w:t>CIN: Computers, Informatics, Nursing</w:t>
      </w:r>
      <w:r w:rsidRPr="00313448">
        <w:rPr>
          <w:rFonts w:ascii="Arial" w:eastAsia="Times New Roman" w:hAnsi="Arial" w:cs="Arial"/>
          <w:color w:val="000000"/>
          <w:kern w:val="0"/>
          <w14:ligatures w14:val="none"/>
        </w:rPr>
        <w:t>, 39(8), pp. 393-399. Available at: </w:t>
      </w:r>
      <w:hyperlink r:id="rId21" w:tgtFrame="_blank" w:history="1">
        <w:r w:rsidRPr="00313448">
          <w:rPr>
            <w:rFonts w:ascii="Arial" w:eastAsia="Times New Roman" w:hAnsi="Arial" w:cs="Arial"/>
            <w:color w:val="467886"/>
            <w:kern w:val="0"/>
            <w:u w:val="single"/>
            <w14:ligatures w14:val="none"/>
          </w:rPr>
          <w:t>https://doi.org/10.1097/cin.0000000000000796</w:t>
        </w:r>
      </w:hyperlink>
      <w:r w:rsidRPr="00313448">
        <w:rPr>
          <w:rFonts w:ascii="Arial" w:eastAsia="Times New Roman" w:hAnsi="Arial" w:cs="Arial"/>
          <w:color w:val="000000"/>
          <w:kern w:val="0"/>
          <w14:ligatures w14:val="none"/>
        </w:rPr>
        <w:t>  </w:t>
      </w:r>
    </w:p>
    <w:p w14:paraId="08DCD6D3"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Nagpal, D., Kornerup, I. and Gibson, M. P. (2021) 'Mixed-method Research: A Basic Understanding', </w:t>
      </w:r>
      <w:r w:rsidRPr="00313448">
        <w:rPr>
          <w:rFonts w:ascii="Arial" w:eastAsia="Times New Roman" w:hAnsi="Arial" w:cs="Arial"/>
          <w:i/>
          <w:iCs/>
          <w:color w:val="000000"/>
          <w:kern w:val="0"/>
          <w14:ligatures w14:val="none"/>
        </w:rPr>
        <w:t>CODS Journal of Dentistry</w:t>
      </w:r>
      <w:r w:rsidRPr="00313448">
        <w:rPr>
          <w:rFonts w:ascii="Arial" w:eastAsia="Times New Roman" w:hAnsi="Arial" w:cs="Arial"/>
          <w:color w:val="000000"/>
          <w:kern w:val="0"/>
          <w14:ligatures w14:val="none"/>
        </w:rPr>
        <w:t>,12(1), pp. 11-16. Available at: </w:t>
      </w:r>
      <w:hyperlink r:id="rId22" w:tgtFrame="_blank" w:history="1">
        <w:r w:rsidRPr="00313448">
          <w:rPr>
            <w:rFonts w:ascii="Arial" w:eastAsia="Times New Roman" w:hAnsi="Arial" w:cs="Arial"/>
            <w:color w:val="467886"/>
            <w:kern w:val="0"/>
            <w:u w:val="single"/>
            <w14:ligatures w14:val="none"/>
          </w:rPr>
          <w:t>https://www.codsjod.com/doi/CODS/pdf/10.5005/jp-journals-10063-0065</w:t>
        </w:r>
      </w:hyperlink>
      <w:r w:rsidRPr="00313448">
        <w:rPr>
          <w:rFonts w:ascii="Arial" w:eastAsia="Times New Roman" w:hAnsi="Arial" w:cs="Arial"/>
          <w:color w:val="000000"/>
          <w:kern w:val="0"/>
          <w14:ligatures w14:val="none"/>
        </w:rPr>
        <w:t> </w:t>
      </w:r>
      <w:r w:rsidRPr="00313448">
        <w:rPr>
          <w:rFonts w:ascii="Arial" w:eastAsia="Times New Roman" w:hAnsi="Arial" w:cs="Arial"/>
          <w:color w:val="333333"/>
          <w:kern w:val="0"/>
          <w14:ligatures w14:val="none"/>
        </w:rPr>
        <w:t>(Accessed: 17 March 2026). </w:t>
      </w:r>
    </w:p>
    <w:p w14:paraId="1B2A1DEB"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Oranga, J., Matere, A. (2025) 'Quantitative Research: Types, Advantages, Generalizability &amp; Limitations', </w:t>
      </w:r>
      <w:r w:rsidRPr="00313448">
        <w:rPr>
          <w:rFonts w:ascii="Arial" w:eastAsia="Times New Roman" w:hAnsi="Arial" w:cs="Arial"/>
          <w:i/>
          <w:iCs/>
          <w:color w:val="333333"/>
          <w:kern w:val="0"/>
          <w14:ligatures w14:val="none"/>
        </w:rPr>
        <w:t>Open Access Library Journal</w:t>
      </w:r>
      <w:r w:rsidRPr="00313448">
        <w:rPr>
          <w:rFonts w:ascii="Arial" w:eastAsia="Times New Roman" w:hAnsi="Arial" w:cs="Arial"/>
          <w:color w:val="333333"/>
          <w:kern w:val="0"/>
          <w14:ligatures w14:val="none"/>
        </w:rPr>
        <w:t xml:space="preserve">, 12, p. </w:t>
      </w:r>
      <w:r>
        <w:rPr>
          <w:rFonts w:ascii="Arial" w:eastAsia="Times New Roman" w:hAnsi="Arial" w:cs="Arial"/>
          <w:color w:val="333333"/>
          <w:kern w:val="0"/>
          <w14:ligatures w14:val="none"/>
        </w:rPr>
        <w:t>e</w:t>
      </w:r>
      <w:r w:rsidRPr="00313448">
        <w:rPr>
          <w:rFonts w:ascii="Arial" w:eastAsia="Times New Roman" w:hAnsi="Arial" w:cs="Arial"/>
          <w:color w:val="333333"/>
          <w:kern w:val="0"/>
          <w14:ligatures w14:val="none"/>
        </w:rPr>
        <w:t>13694. Available at:</w:t>
      </w:r>
      <w:r w:rsidRPr="00313448">
        <w:rPr>
          <w:rFonts w:ascii="Arial" w:eastAsia="Times New Roman" w:hAnsi="Arial" w:cs="Arial"/>
          <w:color w:val="000000"/>
          <w:kern w:val="0"/>
          <w14:ligatures w14:val="none"/>
        </w:rPr>
        <w:t> </w:t>
      </w:r>
      <w:hyperlink r:id="rId23" w:tgtFrame="_blank" w:history="1">
        <w:r w:rsidRPr="00313448">
          <w:rPr>
            <w:rFonts w:ascii="Arial" w:eastAsia="Times New Roman" w:hAnsi="Arial" w:cs="Arial"/>
            <w:color w:val="467886"/>
            <w:kern w:val="0"/>
            <w:u w:val="single"/>
            <w14:ligatures w14:val="none"/>
          </w:rPr>
          <w:t>https://doi.org/10.4236/oalib.1113694</w:t>
        </w:r>
      </w:hyperlink>
      <w:r w:rsidRPr="00313448">
        <w:rPr>
          <w:rFonts w:ascii="Arial" w:eastAsia="Times New Roman" w:hAnsi="Arial" w:cs="Arial"/>
          <w:color w:val="000000"/>
          <w:kern w:val="0"/>
          <w14:ligatures w14:val="none"/>
        </w:rPr>
        <w:t>  </w:t>
      </w:r>
    </w:p>
    <w:p w14:paraId="39CA7BDD"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Scribbr (202</w:t>
      </w:r>
      <w:r>
        <w:rPr>
          <w:rFonts w:ascii="Arial" w:eastAsia="Times New Roman" w:hAnsi="Arial" w:cs="Arial"/>
          <w:color w:val="333333"/>
          <w:kern w:val="0"/>
          <w14:ligatures w14:val="none"/>
        </w:rPr>
        <w:t>5</w:t>
      </w:r>
      <w:r w:rsidRPr="00313448">
        <w:rPr>
          <w:rFonts w:ascii="Arial" w:eastAsia="Times New Roman" w:hAnsi="Arial" w:cs="Arial"/>
          <w:color w:val="333333"/>
          <w:kern w:val="0"/>
          <w14:ligatures w14:val="none"/>
        </w:rPr>
        <w:t>) </w:t>
      </w:r>
      <w:r w:rsidRPr="00313448">
        <w:rPr>
          <w:rFonts w:ascii="Arial" w:eastAsia="Times New Roman" w:hAnsi="Arial" w:cs="Arial"/>
          <w:i/>
          <w:iCs/>
          <w:color w:val="333333"/>
          <w:kern w:val="0"/>
          <w14:ligatures w14:val="none"/>
        </w:rPr>
        <w:t>What Is Qualitative Research? | Methods &amp; Examples</w:t>
      </w:r>
      <w:r w:rsidRPr="00313448">
        <w:rPr>
          <w:rFonts w:ascii="Arial" w:eastAsia="Times New Roman" w:hAnsi="Arial" w:cs="Arial"/>
          <w:color w:val="333333"/>
          <w:kern w:val="0"/>
          <w14:ligatures w14:val="none"/>
        </w:rPr>
        <w:t>. Available at: </w:t>
      </w:r>
      <w:hyperlink r:id="rId24" w:tgtFrame="_blank" w:history="1">
        <w:r w:rsidRPr="00313448">
          <w:rPr>
            <w:rFonts w:ascii="Arial" w:eastAsia="Times New Roman" w:hAnsi="Arial" w:cs="Arial"/>
            <w:color w:val="467886"/>
            <w:kern w:val="0"/>
            <w:u w:val="single"/>
            <w14:ligatures w14:val="none"/>
          </w:rPr>
          <w:t>https://www.scribbr.co.uk/research-methods/introduction-to-qualitative-research</w:t>
        </w:r>
      </w:hyperlink>
      <w:r w:rsidRPr="00313448">
        <w:rPr>
          <w:rFonts w:ascii="Arial" w:eastAsia="Times New Roman" w:hAnsi="Arial" w:cs="Arial"/>
          <w:color w:val="333333"/>
          <w:kern w:val="0"/>
          <w14:ligatures w14:val="none"/>
        </w:rPr>
        <w:t> (Accessed: 17 March 2026). </w:t>
      </w:r>
    </w:p>
    <w:p w14:paraId="27FEAFAB"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Skills for Care (202</w:t>
      </w:r>
      <w:r>
        <w:rPr>
          <w:rFonts w:ascii="Arial" w:eastAsia="Times New Roman" w:hAnsi="Arial" w:cs="Arial"/>
          <w:kern w:val="0"/>
          <w14:ligatures w14:val="none"/>
        </w:rPr>
        <w:t>6</w:t>
      </w:r>
      <w:r w:rsidRPr="00313448">
        <w:rPr>
          <w:rFonts w:ascii="Arial" w:eastAsia="Times New Roman" w:hAnsi="Arial" w:cs="Arial"/>
          <w:kern w:val="0"/>
          <w14:ligatures w14:val="none"/>
        </w:rPr>
        <w:t>) </w:t>
      </w:r>
      <w:r w:rsidRPr="00BB0A04">
        <w:rPr>
          <w:rFonts w:ascii="Arial" w:hAnsi="Arial" w:cs="Arial"/>
          <w:i/>
          <w:iCs/>
          <w:spacing w:val="3"/>
        </w:rPr>
        <w:t>Supporting the adult social care sector</w:t>
      </w:r>
      <w:r w:rsidRPr="00313448">
        <w:rPr>
          <w:rFonts w:ascii="Arial" w:eastAsia="Times New Roman" w:hAnsi="Arial" w:cs="Arial"/>
          <w:i/>
          <w:iCs/>
          <w:kern w:val="0"/>
          <w14:ligatures w14:val="none"/>
        </w:rPr>
        <w:t>.</w:t>
      </w:r>
      <w:r w:rsidRPr="00313448">
        <w:rPr>
          <w:rFonts w:ascii="Arial" w:eastAsia="Times New Roman" w:hAnsi="Arial" w:cs="Arial"/>
          <w:kern w:val="0"/>
          <w14:ligatures w14:val="none"/>
        </w:rPr>
        <w:t> Available at: </w:t>
      </w:r>
      <w:hyperlink r:id="rId25" w:tgtFrame="_blank" w:history="1">
        <w:r w:rsidRPr="00313448">
          <w:rPr>
            <w:rFonts w:ascii="Arial" w:eastAsia="Times New Roman" w:hAnsi="Arial" w:cs="Arial"/>
            <w:color w:val="467886"/>
            <w:kern w:val="0"/>
            <w:u w:val="single"/>
            <w14:ligatures w14:val="none"/>
          </w:rPr>
          <w:t>https://www.skillsforcare.org.uk/</w:t>
        </w:r>
      </w:hyperlink>
      <w:r w:rsidRPr="00313448">
        <w:rPr>
          <w:rFonts w:ascii="Arial" w:eastAsia="Times New Roman" w:hAnsi="Arial" w:cs="Arial"/>
          <w:kern w:val="0"/>
          <w14:ligatures w14:val="none"/>
        </w:rPr>
        <w:t> (Accessed 10 March 2026). </w:t>
      </w:r>
    </w:p>
    <w:p w14:paraId="70A5F98D"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Sriharan, A., Ratnapalan, S., Tricco, A. C. and Lupea, D. (2021) 'Women in Healthcare Experiencing Occupational Stress and Burnout During COVID-19: A Rapid Review', </w:t>
      </w:r>
      <w:r w:rsidRPr="00313448">
        <w:rPr>
          <w:rFonts w:ascii="Arial" w:eastAsia="Times New Roman" w:hAnsi="Arial" w:cs="Arial"/>
          <w:i/>
          <w:iCs/>
          <w:color w:val="333333"/>
          <w:kern w:val="0"/>
          <w14:ligatures w14:val="none"/>
        </w:rPr>
        <w:t>BMJ Open</w:t>
      </w:r>
      <w:r w:rsidRPr="00313448">
        <w:rPr>
          <w:rFonts w:ascii="Arial" w:eastAsia="Times New Roman" w:hAnsi="Arial" w:cs="Arial"/>
          <w:color w:val="333333"/>
          <w:kern w:val="0"/>
          <w14:ligatures w14:val="none"/>
        </w:rPr>
        <w:t>, 11(4), p. e048861. Available at:</w:t>
      </w:r>
      <w:r w:rsidRPr="00313448">
        <w:rPr>
          <w:rFonts w:ascii="Arial" w:eastAsia="Times New Roman" w:hAnsi="Arial" w:cs="Arial"/>
          <w:color w:val="000000"/>
          <w:kern w:val="0"/>
          <w14:ligatures w14:val="none"/>
        </w:rPr>
        <w:t> </w:t>
      </w:r>
      <w:hyperlink r:id="rId26" w:tgtFrame="_blank" w:history="1">
        <w:r w:rsidRPr="00313448">
          <w:rPr>
            <w:rFonts w:ascii="Arial" w:eastAsia="Times New Roman" w:hAnsi="Arial" w:cs="Arial"/>
            <w:color w:val="467886"/>
            <w:kern w:val="0"/>
            <w:u w:val="single"/>
            <w14:ligatures w14:val="none"/>
          </w:rPr>
          <w:t>https://doi.org/10.1136/bmjopen-2021-048861</w:t>
        </w:r>
      </w:hyperlink>
      <w:r w:rsidRPr="00313448">
        <w:rPr>
          <w:rFonts w:ascii="Arial" w:eastAsia="Times New Roman" w:hAnsi="Arial" w:cs="Arial"/>
          <w:color w:val="000000"/>
          <w:kern w:val="0"/>
          <w14:ligatures w14:val="none"/>
        </w:rPr>
        <w:t>  </w:t>
      </w:r>
    </w:p>
    <w:p w14:paraId="2A638C89"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Tang, X., and Li, X. (2021) 'Role Stress, Burnout, and Workplace Support Among Newly Recruited Social Workers', Research on Social Work Practice, 31(5), pp.529-540. Available at:</w:t>
      </w:r>
      <w:r w:rsidRPr="00313448">
        <w:rPr>
          <w:rFonts w:ascii="Arial" w:eastAsia="Times New Roman" w:hAnsi="Arial" w:cs="Arial"/>
          <w:color w:val="333333"/>
          <w:kern w:val="0"/>
          <w14:ligatures w14:val="none"/>
        </w:rPr>
        <w:t> </w:t>
      </w:r>
      <w:hyperlink r:id="rId27" w:tgtFrame="_blank" w:history="1">
        <w:r w:rsidRPr="00313448">
          <w:rPr>
            <w:rFonts w:ascii="Arial" w:eastAsia="Times New Roman" w:hAnsi="Arial" w:cs="Arial"/>
            <w:color w:val="467886"/>
            <w:kern w:val="0"/>
            <w:u w:val="single"/>
            <w14:ligatures w14:val="none"/>
          </w:rPr>
          <w:t>https://doi.org/10.1177/1049731520984534</w:t>
        </w:r>
      </w:hyperlink>
      <w:r w:rsidRPr="00313448">
        <w:rPr>
          <w:rFonts w:ascii="Arial" w:eastAsia="Times New Roman" w:hAnsi="Arial" w:cs="Arial"/>
          <w:color w:val="000000"/>
          <w:kern w:val="0"/>
          <w14:ligatures w14:val="none"/>
        </w:rPr>
        <w:t>  </w:t>
      </w:r>
    </w:p>
    <w:p w14:paraId="4813366A"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Vivek, R. and Nanthagopan, Y. (2021) 'Review and Comparison of Multi-Method and Mixed Method Application in Research Studies', </w:t>
      </w:r>
      <w:r w:rsidRPr="00313448">
        <w:rPr>
          <w:rFonts w:ascii="Arial" w:eastAsia="Times New Roman" w:hAnsi="Arial" w:cs="Arial"/>
          <w:i/>
          <w:iCs/>
          <w:color w:val="000000"/>
          <w:kern w:val="0"/>
          <w14:ligatures w14:val="none"/>
        </w:rPr>
        <w:t>European Journal of Management Issues</w:t>
      </w:r>
      <w:r w:rsidRPr="00313448">
        <w:rPr>
          <w:rFonts w:ascii="Arial" w:eastAsia="Times New Roman" w:hAnsi="Arial" w:cs="Arial"/>
          <w:color w:val="000000"/>
          <w:kern w:val="0"/>
          <w14:ligatures w14:val="none"/>
        </w:rPr>
        <w:t>, 29(4), pp. 200-208. Available at: </w:t>
      </w:r>
      <w:hyperlink r:id="rId28" w:tgtFrame="_blank" w:history="1">
        <w:r w:rsidRPr="00313448">
          <w:rPr>
            <w:rFonts w:ascii="Arial" w:eastAsia="Times New Roman" w:hAnsi="Arial" w:cs="Arial"/>
            <w:color w:val="467886"/>
            <w:kern w:val="0"/>
            <w:u w:val="single"/>
            <w14:ligatures w14:val="none"/>
          </w:rPr>
          <w:t>https://doi.org/10.15421/192119</w:t>
        </w:r>
      </w:hyperlink>
      <w:r w:rsidRPr="00313448">
        <w:rPr>
          <w:rFonts w:ascii="Arial" w:eastAsia="Times New Roman" w:hAnsi="Arial" w:cs="Arial"/>
          <w:color w:val="000000"/>
          <w:kern w:val="0"/>
          <w14:ligatures w14:val="none"/>
        </w:rPr>
        <w:t>  </w:t>
      </w:r>
    </w:p>
    <w:p w14:paraId="241B67C3"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Yang</w:t>
      </w:r>
      <w:r w:rsidRPr="00DA48A1">
        <w:rPr>
          <w:rFonts w:ascii="Arial" w:eastAsia="Times New Roman" w:hAnsi="Arial" w:cs="Arial"/>
          <w:kern w:val="0"/>
          <w14:ligatures w14:val="none"/>
        </w:rPr>
        <w:t>,</w:t>
      </w:r>
      <w:r w:rsidRPr="00313448">
        <w:rPr>
          <w:rFonts w:ascii="Arial" w:eastAsia="Times New Roman" w:hAnsi="Arial" w:cs="Arial"/>
          <w:kern w:val="0"/>
          <w14:ligatures w14:val="none"/>
        </w:rPr>
        <w:t xml:space="preserve"> T., Lei. R., Li. P.R., Lim. A. Y., Sun. Y., Sun. Y., Lin. S.R., Deng. J., and </w:t>
      </w:r>
      <w:r>
        <w:rPr>
          <w:rFonts w:ascii="Arial" w:eastAsia="Times New Roman" w:hAnsi="Arial" w:cs="Arial"/>
          <w:kern w:val="0"/>
          <w14:ligatures w14:val="none"/>
        </w:rPr>
        <w:t>S</w:t>
      </w:r>
      <w:r w:rsidRPr="00BB0A04">
        <w:rPr>
          <w:rFonts w:ascii="Arial" w:eastAsia="Times New Roman" w:hAnsi="Arial" w:cs="Arial"/>
          <w:kern w:val="0"/>
          <w14:ligatures w14:val="none"/>
        </w:rPr>
        <w:t>ee</w:t>
      </w:r>
      <w:r w:rsidRPr="00313448">
        <w:rPr>
          <w:rFonts w:ascii="Arial" w:eastAsia="Times New Roman" w:hAnsi="Arial" w:cs="Arial"/>
          <w:kern w:val="0"/>
          <w14:ligatures w14:val="none"/>
        </w:rPr>
        <w:t>. L.C. (2020) 'Moderated Mediation Model of Stress to Burnout among Health Professionals', </w:t>
      </w:r>
      <w:r w:rsidRPr="00313448">
        <w:rPr>
          <w:rFonts w:ascii="Arial" w:eastAsia="Times New Roman" w:hAnsi="Arial" w:cs="Arial"/>
          <w:i/>
          <w:iCs/>
          <w:kern w:val="0"/>
          <w14:ligatures w14:val="none"/>
        </w:rPr>
        <w:t>American Journal of Health Behaviour,</w:t>
      </w:r>
      <w:r w:rsidRPr="00313448">
        <w:rPr>
          <w:rFonts w:ascii="Arial" w:eastAsia="Times New Roman" w:hAnsi="Arial" w:cs="Arial"/>
          <w:kern w:val="0"/>
          <w14:ligatures w14:val="none"/>
        </w:rPr>
        <w:t> 44(6), pp. 765-779. Available at: </w:t>
      </w:r>
      <w:hyperlink r:id="rId29" w:tgtFrame="_blank" w:history="1">
        <w:r w:rsidRPr="00313448">
          <w:rPr>
            <w:rFonts w:ascii="Arial" w:eastAsia="Times New Roman" w:hAnsi="Arial" w:cs="Arial"/>
            <w:color w:val="467886"/>
            <w:kern w:val="0"/>
            <w:u w:val="single"/>
            <w14:ligatures w14:val="none"/>
          </w:rPr>
          <w:t>https://doi.org/10.5993/ajhb.44.6.3</w:t>
        </w:r>
      </w:hyperlink>
      <w:r w:rsidRPr="00313448">
        <w:rPr>
          <w:rFonts w:ascii="Arial" w:eastAsia="Times New Roman" w:hAnsi="Arial" w:cs="Arial"/>
          <w:kern w:val="0"/>
          <w14:ligatures w14:val="none"/>
        </w:rPr>
        <w:t>  </w:t>
      </w:r>
    </w:p>
    <w:sectPr w:rsidR="00573F64" w:rsidRPr="00313448" w:rsidSect="00352914">
      <w:footerReference w:type="default" r:id="rId30"/>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AAFC1" w14:textId="77777777" w:rsidR="0019486D" w:rsidRDefault="0019486D" w:rsidP="0095487B">
      <w:pPr>
        <w:spacing w:after="0" w:line="240" w:lineRule="auto"/>
      </w:pPr>
      <w:r>
        <w:separator/>
      </w:r>
    </w:p>
  </w:endnote>
  <w:endnote w:type="continuationSeparator" w:id="0">
    <w:p w14:paraId="12C3AA18" w14:textId="77777777" w:rsidR="0019486D" w:rsidRDefault="0019486D" w:rsidP="00954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1115136"/>
      <w:docPartObj>
        <w:docPartGallery w:val="Page Numbers (Bottom of Page)"/>
        <w:docPartUnique/>
      </w:docPartObj>
    </w:sdtPr>
    <w:sdtEndPr>
      <w:rPr>
        <w:noProof/>
      </w:rPr>
    </w:sdtEndPr>
    <w:sdtContent>
      <w:p w14:paraId="21686BAA" w14:textId="4D3AC1D3" w:rsidR="0095487B" w:rsidRDefault="009548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FBFEAE" w14:textId="77777777" w:rsidR="0095487B" w:rsidRDefault="00954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3BEB54" w14:textId="77777777" w:rsidR="0019486D" w:rsidRDefault="0019486D" w:rsidP="0095487B">
      <w:pPr>
        <w:spacing w:after="0" w:line="240" w:lineRule="auto"/>
      </w:pPr>
      <w:r>
        <w:separator/>
      </w:r>
    </w:p>
  </w:footnote>
  <w:footnote w:type="continuationSeparator" w:id="0">
    <w:p w14:paraId="0296F257" w14:textId="77777777" w:rsidR="0019486D" w:rsidRDefault="0019486D" w:rsidP="009548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448"/>
    <w:rsid w:val="0002790A"/>
    <w:rsid w:val="001163DE"/>
    <w:rsid w:val="00143156"/>
    <w:rsid w:val="00157C3D"/>
    <w:rsid w:val="0019486D"/>
    <w:rsid w:val="001D6855"/>
    <w:rsid w:val="001F3D2B"/>
    <w:rsid w:val="00216FE7"/>
    <w:rsid w:val="00273CFD"/>
    <w:rsid w:val="002839A2"/>
    <w:rsid w:val="002C5B34"/>
    <w:rsid w:val="00313448"/>
    <w:rsid w:val="00352914"/>
    <w:rsid w:val="00440AB8"/>
    <w:rsid w:val="00541E1B"/>
    <w:rsid w:val="00573F64"/>
    <w:rsid w:val="00651106"/>
    <w:rsid w:val="00695819"/>
    <w:rsid w:val="006E0639"/>
    <w:rsid w:val="007428E4"/>
    <w:rsid w:val="00793630"/>
    <w:rsid w:val="007A7974"/>
    <w:rsid w:val="007F450D"/>
    <w:rsid w:val="00801A16"/>
    <w:rsid w:val="00842EDB"/>
    <w:rsid w:val="0095487B"/>
    <w:rsid w:val="009706CA"/>
    <w:rsid w:val="009727BF"/>
    <w:rsid w:val="00A80983"/>
    <w:rsid w:val="00AE72FB"/>
    <w:rsid w:val="00B01C07"/>
    <w:rsid w:val="00B65DAD"/>
    <w:rsid w:val="00BB0A04"/>
    <w:rsid w:val="00BE315B"/>
    <w:rsid w:val="00CE6370"/>
    <w:rsid w:val="00D13141"/>
    <w:rsid w:val="00D22B75"/>
    <w:rsid w:val="00D62713"/>
    <w:rsid w:val="00DA48A1"/>
    <w:rsid w:val="00DF0C3E"/>
    <w:rsid w:val="00E21AEB"/>
    <w:rsid w:val="00E37001"/>
    <w:rsid w:val="00E73AC3"/>
    <w:rsid w:val="00F15E33"/>
    <w:rsid w:val="00FD5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CA21"/>
  <w15:chartTrackingRefBased/>
  <w15:docId w15:val="{35C624EF-B1B1-4E10-9B8E-B06F781AA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GB" w:bidi="ar-SA"/>
        <w14:ligatures w14:val="standardContextual"/>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90A"/>
  </w:style>
  <w:style w:type="paragraph" w:styleId="Heading1">
    <w:name w:val="heading 1"/>
    <w:basedOn w:val="Normal"/>
    <w:next w:val="Normal"/>
    <w:link w:val="Heading1Char"/>
    <w:uiPriority w:val="9"/>
    <w:qFormat/>
    <w:rsid w:val="00972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2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2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2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2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2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7BF"/>
    <w:rPr>
      <w:rFonts w:asciiTheme="majorHAnsi" w:eastAsiaTheme="majorEastAsia" w:hAnsiTheme="majorHAnsi" w:cstheme="majorBidi"/>
      <w:color w:val="0F4761" w:themeColor="accent1" w:themeShade="BF"/>
      <w:sz w:val="40"/>
      <w:szCs w:val="40"/>
      <w:lang w:eastAsia="en-US"/>
    </w:rPr>
  </w:style>
  <w:style w:type="character" w:customStyle="1" w:styleId="Heading2Char">
    <w:name w:val="Heading 2 Char"/>
    <w:basedOn w:val="DefaultParagraphFont"/>
    <w:link w:val="Heading2"/>
    <w:uiPriority w:val="9"/>
    <w:rsid w:val="009727BF"/>
    <w:rPr>
      <w:rFonts w:asciiTheme="majorHAnsi" w:eastAsiaTheme="majorEastAsia" w:hAnsiTheme="majorHAnsi" w:cstheme="majorBidi"/>
      <w:color w:val="0F4761" w:themeColor="accent1" w:themeShade="BF"/>
      <w:sz w:val="32"/>
      <w:szCs w:val="32"/>
      <w:lang w:eastAsia="en-US"/>
    </w:rPr>
  </w:style>
  <w:style w:type="character" w:customStyle="1" w:styleId="Heading3Char">
    <w:name w:val="Heading 3 Char"/>
    <w:basedOn w:val="DefaultParagraphFont"/>
    <w:link w:val="Heading3"/>
    <w:uiPriority w:val="9"/>
    <w:semiHidden/>
    <w:rsid w:val="009727BF"/>
    <w:rPr>
      <w:rFonts w:eastAsiaTheme="majorEastAsia" w:cstheme="majorBidi"/>
      <w:color w:val="0F4761" w:themeColor="accent1" w:themeShade="BF"/>
      <w:sz w:val="28"/>
      <w:szCs w:val="28"/>
      <w:lang w:eastAsia="en-US"/>
    </w:rPr>
  </w:style>
  <w:style w:type="character" w:customStyle="1" w:styleId="Heading4Char">
    <w:name w:val="Heading 4 Char"/>
    <w:basedOn w:val="DefaultParagraphFont"/>
    <w:link w:val="Heading4"/>
    <w:uiPriority w:val="9"/>
    <w:semiHidden/>
    <w:rsid w:val="009727BF"/>
    <w:rPr>
      <w:rFonts w:eastAsiaTheme="majorEastAsia" w:cstheme="majorBidi"/>
      <w:i/>
      <w:iCs/>
      <w:color w:val="0F4761" w:themeColor="accent1" w:themeShade="BF"/>
      <w:sz w:val="22"/>
      <w:szCs w:val="22"/>
      <w:lang w:eastAsia="en-US"/>
    </w:rPr>
  </w:style>
  <w:style w:type="character" w:customStyle="1" w:styleId="Heading5Char">
    <w:name w:val="Heading 5 Char"/>
    <w:basedOn w:val="DefaultParagraphFont"/>
    <w:link w:val="Heading5"/>
    <w:uiPriority w:val="9"/>
    <w:semiHidden/>
    <w:rsid w:val="009727BF"/>
    <w:rPr>
      <w:rFonts w:eastAsiaTheme="majorEastAsia" w:cstheme="majorBidi"/>
      <w:color w:val="0F4761" w:themeColor="accent1" w:themeShade="BF"/>
      <w:sz w:val="22"/>
      <w:szCs w:val="22"/>
      <w:lang w:eastAsia="en-US"/>
    </w:rPr>
  </w:style>
  <w:style w:type="character" w:customStyle="1" w:styleId="Heading6Char">
    <w:name w:val="Heading 6 Char"/>
    <w:basedOn w:val="DefaultParagraphFont"/>
    <w:link w:val="Heading6"/>
    <w:uiPriority w:val="9"/>
    <w:semiHidden/>
    <w:rsid w:val="009727BF"/>
    <w:rPr>
      <w:rFonts w:eastAsiaTheme="majorEastAsia" w:cstheme="majorBidi"/>
      <w:i/>
      <w:iCs/>
      <w:color w:val="595959" w:themeColor="text1" w:themeTint="A6"/>
      <w:sz w:val="22"/>
      <w:szCs w:val="22"/>
      <w:lang w:eastAsia="en-US"/>
    </w:rPr>
  </w:style>
  <w:style w:type="character" w:customStyle="1" w:styleId="Heading7Char">
    <w:name w:val="Heading 7 Char"/>
    <w:basedOn w:val="DefaultParagraphFont"/>
    <w:link w:val="Heading7"/>
    <w:uiPriority w:val="9"/>
    <w:semiHidden/>
    <w:rsid w:val="009727BF"/>
    <w:rPr>
      <w:rFonts w:eastAsiaTheme="majorEastAsia" w:cstheme="majorBidi"/>
      <w:color w:val="595959" w:themeColor="text1" w:themeTint="A6"/>
      <w:sz w:val="22"/>
      <w:szCs w:val="22"/>
      <w:lang w:eastAsia="en-US"/>
    </w:rPr>
  </w:style>
  <w:style w:type="character" w:customStyle="1" w:styleId="Heading8Char">
    <w:name w:val="Heading 8 Char"/>
    <w:basedOn w:val="DefaultParagraphFont"/>
    <w:link w:val="Heading8"/>
    <w:uiPriority w:val="9"/>
    <w:semiHidden/>
    <w:rsid w:val="009727BF"/>
    <w:rPr>
      <w:rFonts w:eastAsiaTheme="majorEastAsia" w:cstheme="majorBidi"/>
      <w:i/>
      <w:iCs/>
      <w:color w:val="272727" w:themeColor="text1" w:themeTint="D8"/>
      <w:sz w:val="22"/>
      <w:szCs w:val="22"/>
      <w:lang w:eastAsia="en-US"/>
    </w:rPr>
  </w:style>
  <w:style w:type="character" w:customStyle="1" w:styleId="Heading9Char">
    <w:name w:val="Heading 9 Char"/>
    <w:basedOn w:val="DefaultParagraphFont"/>
    <w:link w:val="Heading9"/>
    <w:uiPriority w:val="9"/>
    <w:semiHidden/>
    <w:rsid w:val="009727BF"/>
    <w:rPr>
      <w:rFonts w:eastAsiaTheme="majorEastAsia" w:cstheme="majorBidi"/>
      <w:color w:val="272727" w:themeColor="text1" w:themeTint="D8"/>
      <w:sz w:val="22"/>
      <w:szCs w:val="22"/>
      <w:lang w:eastAsia="en-US"/>
    </w:rPr>
  </w:style>
  <w:style w:type="paragraph" w:styleId="Title">
    <w:name w:val="Title"/>
    <w:basedOn w:val="Normal"/>
    <w:next w:val="Normal"/>
    <w:link w:val="TitleChar"/>
    <w:uiPriority w:val="10"/>
    <w:qFormat/>
    <w:rsid w:val="00972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7BF"/>
    <w:rPr>
      <w:rFonts w:asciiTheme="majorHAnsi" w:eastAsiaTheme="majorEastAsia" w:hAnsiTheme="majorHAnsi" w:cstheme="majorBidi"/>
      <w:spacing w:val="-10"/>
      <w:kern w:val="28"/>
      <w:sz w:val="56"/>
      <w:szCs w:val="56"/>
      <w:lang w:eastAsia="en-US"/>
    </w:rPr>
  </w:style>
  <w:style w:type="paragraph" w:styleId="Subtitle">
    <w:name w:val="Subtitle"/>
    <w:basedOn w:val="Normal"/>
    <w:next w:val="Normal"/>
    <w:link w:val="SubtitleChar"/>
    <w:uiPriority w:val="11"/>
    <w:qFormat/>
    <w:rsid w:val="00972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7BF"/>
    <w:rPr>
      <w:rFonts w:eastAsiaTheme="majorEastAsia" w:cstheme="majorBidi"/>
      <w:color w:val="595959" w:themeColor="text1" w:themeTint="A6"/>
      <w:spacing w:val="15"/>
      <w:sz w:val="28"/>
      <w:szCs w:val="28"/>
      <w:lang w:eastAsia="en-US"/>
    </w:rPr>
  </w:style>
  <w:style w:type="paragraph" w:styleId="ListParagraph">
    <w:name w:val="List Paragraph"/>
    <w:basedOn w:val="Normal"/>
    <w:uiPriority w:val="34"/>
    <w:qFormat/>
    <w:rsid w:val="009727BF"/>
    <w:pPr>
      <w:ind w:left="720"/>
      <w:contextualSpacing/>
    </w:pPr>
  </w:style>
  <w:style w:type="paragraph" w:styleId="Quote">
    <w:name w:val="Quote"/>
    <w:basedOn w:val="Normal"/>
    <w:next w:val="Normal"/>
    <w:link w:val="QuoteChar"/>
    <w:uiPriority w:val="29"/>
    <w:qFormat/>
    <w:rsid w:val="009727BF"/>
    <w:pPr>
      <w:spacing w:before="160"/>
      <w:jc w:val="center"/>
    </w:pPr>
    <w:rPr>
      <w:i/>
      <w:iCs/>
      <w:color w:val="404040" w:themeColor="text1" w:themeTint="BF"/>
    </w:rPr>
  </w:style>
  <w:style w:type="character" w:customStyle="1" w:styleId="QuoteChar">
    <w:name w:val="Quote Char"/>
    <w:basedOn w:val="DefaultParagraphFont"/>
    <w:link w:val="Quote"/>
    <w:uiPriority w:val="29"/>
    <w:rsid w:val="009727BF"/>
    <w:rPr>
      <w:i/>
      <w:iCs/>
      <w:color w:val="404040" w:themeColor="text1" w:themeTint="BF"/>
      <w:sz w:val="22"/>
      <w:szCs w:val="22"/>
      <w:lang w:eastAsia="en-US"/>
    </w:rPr>
  </w:style>
  <w:style w:type="paragraph" w:styleId="IntenseQuote">
    <w:name w:val="Intense Quote"/>
    <w:basedOn w:val="Normal"/>
    <w:next w:val="Normal"/>
    <w:link w:val="IntenseQuoteChar"/>
    <w:uiPriority w:val="30"/>
    <w:qFormat/>
    <w:rsid w:val="009727BF"/>
    <w:pPr>
      <w:pBdr>
        <w:top w:val="single" w:sz="4" w:space="10" w:color="0F4761" w:themeColor="accent1" w:themeShade="BF"/>
        <w:bottom w:val="single" w:sz="4" w:space="10" w:color="0F4761" w:themeColor="accent1" w:themeShade="BF"/>
      </w:pBdr>
      <w:spacing w:before="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27BF"/>
    <w:rPr>
      <w:i/>
      <w:iCs/>
      <w:color w:val="0F4761" w:themeColor="accent1" w:themeShade="BF"/>
      <w:sz w:val="22"/>
      <w:szCs w:val="22"/>
      <w:lang w:eastAsia="en-US"/>
    </w:rPr>
  </w:style>
  <w:style w:type="character" w:styleId="IntenseEmphasis">
    <w:name w:val="Intense Emphasis"/>
    <w:basedOn w:val="DefaultParagraphFont"/>
    <w:uiPriority w:val="21"/>
    <w:qFormat/>
    <w:rsid w:val="009727BF"/>
    <w:rPr>
      <w:i/>
      <w:iCs/>
      <w:color w:val="0F4761" w:themeColor="accent1" w:themeShade="BF"/>
    </w:rPr>
  </w:style>
  <w:style w:type="character" w:styleId="IntenseReference">
    <w:name w:val="Intense Reference"/>
    <w:basedOn w:val="DefaultParagraphFont"/>
    <w:uiPriority w:val="32"/>
    <w:qFormat/>
    <w:rsid w:val="009727BF"/>
    <w:rPr>
      <w:b/>
      <w:bCs/>
      <w:smallCaps/>
      <w:color w:val="0F4761" w:themeColor="accent1" w:themeShade="BF"/>
      <w:spacing w:val="5"/>
    </w:rPr>
  </w:style>
  <w:style w:type="paragraph" w:styleId="TOC1">
    <w:name w:val="toc 1"/>
    <w:basedOn w:val="Normal"/>
    <w:next w:val="Normal"/>
    <w:autoRedefine/>
    <w:uiPriority w:val="39"/>
    <w:unhideWhenUsed/>
    <w:rsid w:val="009727BF"/>
    <w:pPr>
      <w:tabs>
        <w:tab w:val="right" w:leader="dot" w:pos="9016"/>
      </w:tabs>
      <w:spacing w:after="100"/>
    </w:pPr>
    <w:rPr>
      <w:rFonts w:ascii="Arial" w:hAnsi="Arial" w:cs="Arial"/>
      <w:b/>
      <w:bCs/>
      <w:noProof/>
      <w:sz w:val="24"/>
      <w:szCs w:val="24"/>
    </w:rPr>
  </w:style>
  <w:style w:type="paragraph" w:styleId="TOC2">
    <w:name w:val="toc 2"/>
    <w:basedOn w:val="Normal"/>
    <w:next w:val="Normal"/>
    <w:autoRedefine/>
    <w:uiPriority w:val="39"/>
    <w:unhideWhenUsed/>
    <w:rsid w:val="009727BF"/>
    <w:pPr>
      <w:tabs>
        <w:tab w:val="right" w:leader="dot" w:pos="9016"/>
      </w:tabs>
      <w:spacing w:after="100"/>
      <w:ind w:left="220"/>
    </w:pPr>
    <w:rPr>
      <w:rFonts w:ascii="Arial" w:hAnsi="Arial" w:cs="Arial"/>
      <w:noProof/>
      <w:sz w:val="24"/>
      <w:szCs w:val="24"/>
    </w:rPr>
  </w:style>
  <w:style w:type="paragraph" w:styleId="CommentText">
    <w:name w:val="annotation text"/>
    <w:basedOn w:val="Normal"/>
    <w:link w:val="CommentTextChar"/>
    <w:uiPriority w:val="99"/>
    <w:unhideWhenUsed/>
    <w:rsid w:val="009727BF"/>
    <w:pPr>
      <w:spacing w:line="240" w:lineRule="auto"/>
    </w:pPr>
    <w:rPr>
      <w:sz w:val="20"/>
      <w:szCs w:val="20"/>
    </w:rPr>
  </w:style>
  <w:style w:type="character" w:customStyle="1" w:styleId="CommentTextChar">
    <w:name w:val="Comment Text Char"/>
    <w:basedOn w:val="DefaultParagraphFont"/>
    <w:link w:val="CommentText"/>
    <w:uiPriority w:val="99"/>
    <w:rsid w:val="009727BF"/>
    <w:rPr>
      <w:sz w:val="20"/>
      <w:szCs w:val="20"/>
      <w:lang w:eastAsia="en-US"/>
    </w:rPr>
  </w:style>
  <w:style w:type="paragraph" w:styleId="Header">
    <w:name w:val="header"/>
    <w:basedOn w:val="Normal"/>
    <w:link w:val="HeaderChar"/>
    <w:uiPriority w:val="99"/>
    <w:unhideWhenUsed/>
    <w:rsid w:val="009727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7BF"/>
    <w:rPr>
      <w:sz w:val="22"/>
      <w:szCs w:val="22"/>
      <w:lang w:eastAsia="en-US"/>
    </w:rPr>
  </w:style>
  <w:style w:type="paragraph" w:styleId="Footer">
    <w:name w:val="footer"/>
    <w:basedOn w:val="Normal"/>
    <w:link w:val="FooterChar"/>
    <w:uiPriority w:val="99"/>
    <w:unhideWhenUsed/>
    <w:rsid w:val="009727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7BF"/>
    <w:rPr>
      <w:sz w:val="22"/>
      <w:szCs w:val="22"/>
      <w:lang w:eastAsia="en-US"/>
    </w:rPr>
  </w:style>
  <w:style w:type="character" w:styleId="CommentReference">
    <w:name w:val="annotation reference"/>
    <w:basedOn w:val="DefaultParagraphFont"/>
    <w:uiPriority w:val="99"/>
    <w:semiHidden/>
    <w:unhideWhenUsed/>
    <w:rsid w:val="009727BF"/>
    <w:rPr>
      <w:sz w:val="16"/>
      <w:szCs w:val="16"/>
    </w:rPr>
  </w:style>
  <w:style w:type="character" w:styleId="Hyperlink">
    <w:name w:val="Hyperlink"/>
    <w:basedOn w:val="DefaultParagraphFont"/>
    <w:uiPriority w:val="99"/>
    <w:unhideWhenUsed/>
    <w:rsid w:val="009727BF"/>
    <w:rPr>
      <w:color w:val="467886" w:themeColor="hyperlink"/>
      <w:u w:val="single"/>
    </w:rPr>
  </w:style>
  <w:style w:type="paragraph" w:styleId="NormalWeb">
    <w:name w:val="Normal (Web)"/>
    <w:basedOn w:val="Normal"/>
    <w:uiPriority w:val="99"/>
    <w:semiHidden/>
    <w:unhideWhenUsed/>
    <w:rsid w:val="009727BF"/>
    <w:rPr>
      <w:rFonts w:ascii="Times New Roman" w:hAnsi="Times New Roman" w:cs="Times New Roman"/>
      <w:sz w:val="24"/>
      <w:szCs w:val="24"/>
    </w:rPr>
  </w:style>
  <w:style w:type="paragraph" w:styleId="CommentSubject">
    <w:name w:val="annotation subject"/>
    <w:basedOn w:val="CommentText"/>
    <w:next w:val="CommentText"/>
    <w:link w:val="CommentSubjectChar"/>
    <w:uiPriority w:val="99"/>
    <w:semiHidden/>
    <w:unhideWhenUsed/>
    <w:rsid w:val="009727BF"/>
    <w:rPr>
      <w:b/>
      <w:bCs/>
    </w:rPr>
  </w:style>
  <w:style w:type="character" w:customStyle="1" w:styleId="CommentSubjectChar">
    <w:name w:val="Comment Subject Char"/>
    <w:basedOn w:val="CommentTextChar"/>
    <w:link w:val="CommentSubject"/>
    <w:uiPriority w:val="99"/>
    <w:semiHidden/>
    <w:rsid w:val="009727BF"/>
    <w:rPr>
      <w:b/>
      <w:bCs/>
      <w:sz w:val="20"/>
      <w:szCs w:val="20"/>
      <w:lang w:eastAsia="en-US"/>
    </w:rPr>
  </w:style>
  <w:style w:type="paragraph" w:styleId="TOCHeading">
    <w:name w:val="TOC Heading"/>
    <w:basedOn w:val="Heading1"/>
    <w:next w:val="Normal"/>
    <w:uiPriority w:val="39"/>
    <w:unhideWhenUsed/>
    <w:qFormat/>
    <w:rsid w:val="009727BF"/>
    <w:pPr>
      <w:spacing w:before="240" w:after="0" w:line="259" w:lineRule="auto"/>
      <w:outlineLvl w:val="9"/>
    </w:pPr>
    <w:rPr>
      <w:kern w:val="0"/>
      <w:sz w:val="32"/>
      <w:szCs w:val="32"/>
      <w:lang w:val="en-US"/>
      <w14:ligatures w14:val="none"/>
    </w:rPr>
  </w:style>
  <w:style w:type="character" w:styleId="UnresolvedMention">
    <w:name w:val="Unresolved Mention"/>
    <w:basedOn w:val="DefaultParagraphFont"/>
    <w:uiPriority w:val="99"/>
    <w:semiHidden/>
    <w:unhideWhenUsed/>
    <w:rsid w:val="009727BF"/>
    <w:rPr>
      <w:color w:val="605E5C"/>
      <w:shd w:val="clear" w:color="auto" w:fill="E1DFDD"/>
    </w:rPr>
  </w:style>
  <w:style w:type="paragraph" w:customStyle="1" w:styleId="paragraph">
    <w:name w:val="paragraph"/>
    <w:basedOn w:val="Normal"/>
    <w:rsid w:val="0031344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ubh.2021.642163" TargetMode="External"/><Relationship Id="rId13" Type="http://schemas.openxmlformats.org/officeDocument/2006/relationships/hyperlink" Target="https://doi.org/10.1016/j.jad.2025.01.109" TargetMode="External"/><Relationship Id="rId18" Type="http://schemas.openxmlformats.org/officeDocument/2006/relationships/hyperlink" Target="https://doi.org/10.1080/13691457.2021.1934417" TargetMode="External"/><Relationship Id="rId26" Type="http://schemas.openxmlformats.org/officeDocument/2006/relationships/hyperlink" Target="https://doi.org/10.1136/bmjopen-2021-048861" TargetMode="External"/><Relationship Id="rId3" Type="http://schemas.openxmlformats.org/officeDocument/2006/relationships/styles" Target="styles.xml"/><Relationship Id="rId21" Type="http://schemas.openxmlformats.org/officeDocument/2006/relationships/hyperlink" Target="https://doi.org/10.1097/cin.0000000000000796" TargetMode="External"/><Relationship Id="rId7" Type="http://schemas.openxmlformats.org/officeDocument/2006/relationships/endnotes" Target="endnotes.xml"/><Relationship Id="rId12" Type="http://schemas.openxmlformats.org/officeDocument/2006/relationships/hyperlink" Target="https://doi.org/10.1186/s41687-022-00467-6" TargetMode="External"/><Relationship Id="rId17" Type="http://schemas.openxmlformats.org/officeDocument/2006/relationships/hyperlink" Target="https://doi.org/10.1093/qjmed/hcab065" TargetMode="External"/><Relationship Id="rId25" Type="http://schemas.openxmlformats.org/officeDocument/2006/relationships/hyperlink" Target="https://www.skillsforcare.org.uk/" TargetMode="External"/><Relationship Id="rId2" Type="http://schemas.openxmlformats.org/officeDocument/2006/relationships/numbering" Target="numbering.xml"/><Relationship Id="rId16" Type="http://schemas.openxmlformats.org/officeDocument/2006/relationships/hyperlink" Target="https://www.researchprospect.com/quantitative-research" TargetMode="External"/><Relationship Id="rId20" Type="http://schemas.openxmlformats.org/officeDocument/2006/relationships/hyperlink" Target="https://doi.org/10.24321/2319.9113.202101" TargetMode="External"/><Relationship Id="rId29" Type="http://schemas.openxmlformats.org/officeDocument/2006/relationships/hyperlink" Target="https://doi.org/10.5993/ajhb.44.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274/tjar.2024.241565" TargetMode="External"/><Relationship Id="rId24" Type="http://schemas.openxmlformats.org/officeDocument/2006/relationships/hyperlink" Target="https://www.scribbr.co.uk/research-methods/introduction-to-qualitative-research"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qc.org.uk/publications/major-report/state-care/2022/workforce" TargetMode="External"/><Relationship Id="rId23" Type="http://schemas.openxmlformats.org/officeDocument/2006/relationships/hyperlink" Target="https://doi.org/10.4236/oalib.1113694" TargetMode="External"/><Relationship Id="rId28" Type="http://schemas.openxmlformats.org/officeDocument/2006/relationships/hyperlink" Target="https://doi.org/10.15421/192119" TargetMode="External"/><Relationship Id="rId10" Type="http://schemas.openxmlformats.org/officeDocument/2006/relationships/hyperlink" Target="https://doi.org/10.1186/s13690-025-01524-4" TargetMode="External"/><Relationship Id="rId19" Type="http://schemas.openxmlformats.org/officeDocument/2006/relationships/hyperlink" Target="https://doi.org/10.1177/0890334424130462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389/frhs.2022.994474" TargetMode="External"/><Relationship Id="rId14" Type="http://schemas.openxmlformats.org/officeDocument/2006/relationships/hyperlink" Target="https://doi.org/10.3390/healthcare13050552" TargetMode="External"/><Relationship Id="rId22" Type="http://schemas.openxmlformats.org/officeDocument/2006/relationships/hyperlink" Target="https://www.codsjod.com/doi/CODS/pdf/10.5005/jp-journals-10063-0065" TargetMode="External"/><Relationship Id="rId27" Type="http://schemas.openxmlformats.org/officeDocument/2006/relationships/hyperlink" Target="https://doi.org/10.1177/1049731520984534"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30777-2E7F-4949-92E9-27951D3E3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1</Pages>
  <Words>3113</Words>
  <Characters>17749</Characters>
  <Application>Microsoft Office Word</Application>
  <DocSecurity>4</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20821</CharactersWithSpaces>
  <SharedDoc>false</SharedDoc>
  <HLinks>
    <vt:vector size="180" baseType="variant">
      <vt:variant>
        <vt:i4>2228341</vt:i4>
      </vt:variant>
      <vt:variant>
        <vt:i4>114</vt:i4>
      </vt:variant>
      <vt:variant>
        <vt:i4>0</vt:i4>
      </vt:variant>
      <vt:variant>
        <vt:i4>5</vt:i4>
      </vt:variant>
      <vt:variant>
        <vt:lpwstr>https://doi.org/10.5993/ajhb.44.6.3</vt:lpwstr>
      </vt:variant>
      <vt:variant>
        <vt:lpwstr/>
      </vt:variant>
      <vt:variant>
        <vt:i4>3866746</vt:i4>
      </vt:variant>
      <vt:variant>
        <vt:i4>111</vt:i4>
      </vt:variant>
      <vt:variant>
        <vt:i4>0</vt:i4>
      </vt:variant>
      <vt:variant>
        <vt:i4>5</vt:i4>
      </vt:variant>
      <vt:variant>
        <vt:lpwstr>https://doi.org/10.15421/192119</vt:lpwstr>
      </vt:variant>
      <vt:variant>
        <vt:lpwstr/>
      </vt:variant>
      <vt:variant>
        <vt:i4>1179731</vt:i4>
      </vt:variant>
      <vt:variant>
        <vt:i4>108</vt:i4>
      </vt:variant>
      <vt:variant>
        <vt:i4>0</vt:i4>
      </vt:variant>
      <vt:variant>
        <vt:i4>5</vt:i4>
      </vt:variant>
      <vt:variant>
        <vt:lpwstr>https://doi.org/10.1177/1049731520984534</vt:lpwstr>
      </vt:variant>
      <vt:variant>
        <vt:lpwstr/>
      </vt:variant>
      <vt:variant>
        <vt:i4>6619242</vt:i4>
      </vt:variant>
      <vt:variant>
        <vt:i4>105</vt:i4>
      </vt:variant>
      <vt:variant>
        <vt:i4>0</vt:i4>
      </vt:variant>
      <vt:variant>
        <vt:i4>5</vt:i4>
      </vt:variant>
      <vt:variant>
        <vt:lpwstr>https://doi.org/10.1136/bmjopen-2021-048861</vt:lpwstr>
      </vt:variant>
      <vt:variant>
        <vt:lpwstr/>
      </vt:variant>
      <vt:variant>
        <vt:i4>5963867</vt:i4>
      </vt:variant>
      <vt:variant>
        <vt:i4>102</vt:i4>
      </vt:variant>
      <vt:variant>
        <vt:i4>0</vt:i4>
      </vt:variant>
      <vt:variant>
        <vt:i4>5</vt:i4>
      </vt:variant>
      <vt:variant>
        <vt:lpwstr>https://www.skillsforcare.org.uk/</vt:lpwstr>
      </vt:variant>
      <vt:variant>
        <vt:lpwstr/>
      </vt:variant>
      <vt:variant>
        <vt:i4>7143530</vt:i4>
      </vt:variant>
      <vt:variant>
        <vt:i4>99</vt:i4>
      </vt:variant>
      <vt:variant>
        <vt:i4>0</vt:i4>
      </vt:variant>
      <vt:variant>
        <vt:i4>5</vt:i4>
      </vt:variant>
      <vt:variant>
        <vt:lpwstr>https://www.scribbr.co.uk/research-methods/introduction-to-qualitative-research</vt:lpwstr>
      </vt:variant>
      <vt:variant>
        <vt:lpwstr/>
      </vt:variant>
      <vt:variant>
        <vt:i4>524297</vt:i4>
      </vt:variant>
      <vt:variant>
        <vt:i4>96</vt:i4>
      </vt:variant>
      <vt:variant>
        <vt:i4>0</vt:i4>
      </vt:variant>
      <vt:variant>
        <vt:i4>5</vt:i4>
      </vt:variant>
      <vt:variant>
        <vt:lpwstr>https://doi.org/10.4236/oalib.1113694</vt:lpwstr>
      </vt:variant>
      <vt:variant>
        <vt:lpwstr/>
      </vt:variant>
      <vt:variant>
        <vt:i4>7929960</vt:i4>
      </vt:variant>
      <vt:variant>
        <vt:i4>93</vt:i4>
      </vt:variant>
      <vt:variant>
        <vt:i4>0</vt:i4>
      </vt:variant>
      <vt:variant>
        <vt:i4>5</vt:i4>
      </vt:variant>
      <vt:variant>
        <vt:lpwstr>https://www.codsjod.com/doi/CODS/pdf/10.5005/jp-journals-10063-0065</vt:lpwstr>
      </vt:variant>
      <vt:variant>
        <vt:lpwstr/>
      </vt:variant>
      <vt:variant>
        <vt:i4>6029401</vt:i4>
      </vt:variant>
      <vt:variant>
        <vt:i4>90</vt:i4>
      </vt:variant>
      <vt:variant>
        <vt:i4>0</vt:i4>
      </vt:variant>
      <vt:variant>
        <vt:i4>5</vt:i4>
      </vt:variant>
      <vt:variant>
        <vt:lpwstr>https://doi.org/10.1097/cin.0000000000000796</vt:lpwstr>
      </vt:variant>
      <vt:variant>
        <vt:lpwstr/>
      </vt:variant>
      <vt:variant>
        <vt:i4>1179742</vt:i4>
      </vt:variant>
      <vt:variant>
        <vt:i4>87</vt:i4>
      </vt:variant>
      <vt:variant>
        <vt:i4>0</vt:i4>
      </vt:variant>
      <vt:variant>
        <vt:i4>5</vt:i4>
      </vt:variant>
      <vt:variant>
        <vt:lpwstr>https://doi.org/10.24321/2319.9113.202101</vt:lpwstr>
      </vt:variant>
      <vt:variant>
        <vt:lpwstr/>
      </vt:variant>
      <vt:variant>
        <vt:i4>1704023</vt:i4>
      </vt:variant>
      <vt:variant>
        <vt:i4>84</vt:i4>
      </vt:variant>
      <vt:variant>
        <vt:i4>0</vt:i4>
      </vt:variant>
      <vt:variant>
        <vt:i4>5</vt:i4>
      </vt:variant>
      <vt:variant>
        <vt:lpwstr>https://doi.org/10.1177/08903344241304623</vt:lpwstr>
      </vt:variant>
      <vt:variant>
        <vt:lpwstr/>
      </vt:variant>
      <vt:variant>
        <vt:i4>64</vt:i4>
      </vt:variant>
      <vt:variant>
        <vt:i4>81</vt:i4>
      </vt:variant>
      <vt:variant>
        <vt:i4>0</vt:i4>
      </vt:variant>
      <vt:variant>
        <vt:i4>5</vt:i4>
      </vt:variant>
      <vt:variant>
        <vt:lpwstr>https://doi.org/10.1080/13691457.2021.1934417</vt:lpwstr>
      </vt:variant>
      <vt:variant>
        <vt:lpwstr/>
      </vt:variant>
      <vt:variant>
        <vt:i4>851992</vt:i4>
      </vt:variant>
      <vt:variant>
        <vt:i4>78</vt:i4>
      </vt:variant>
      <vt:variant>
        <vt:i4>0</vt:i4>
      </vt:variant>
      <vt:variant>
        <vt:i4>5</vt:i4>
      </vt:variant>
      <vt:variant>
        <vt:lpwstr>https://doi.org/10.1093/qjmed/hcab065</vt:lpwstr>
      </vt:variant>
      <vt:variant>
        <vt:lpwstr/>
      </vt:variant>
      <vt:variant>
        <vt:i4>6881341</vt:i4>
      </vt:variant>
      <vt:variant>
        <vt:i4>75</vt:i4>
      </vt:variant>
      <vt:variant>
        <vt:i4>0</vt:i4>
      </vt:variant>
      <vt:variant>
        <vt:i4>5</vt:i4>
      </vt:variant>
      <vt:variant>
        <vt:lpwstr>https://www.researchprospect.com/quantitative-research</vt:lpwstr>
      </vt:variant>
      <vt:variant>
        <vt:lpwstr/>
      </vt:variant>
      <vt:variant>
        <vt:i4>7340068</vt:i4>
      </vt:variant>
      <vt:variant>
        <vt:i4>72</vt:i4>
      </vt:variant>
      <vt:variant>
        <vt:i4>0</vt:i4>
      </vt:variant>
      <vt:variant>
        <vt:i4>5</vt:i4>
      </vt:variant>
      <vt:variant>
        <vt:lpwstr>https://www.cqc.org.uk/publications/major-report/state-care/2022/workforce</vt:lpwstr>
      </vt:variant>
      <vt:variant>
        <vt:lpwstr/>
      </vt:variant>
      <vt:variant>
        <vt:i4>8126513</vt:i4>
      </vt:variant>
      <vt:variant>
        <vt:i4>69</vt:i4>
      </vt:variant>
      <vt:variant>
        <vt:i4>0</vt:i4>
      </vt:variant>
      <vt:variant>
        <vt:i4>5</vt:i4>
      </vt:variant>
      <vt:variant>
        <vt:lpwstr>https://doi.org/10.3390/healthcare13050552</vt:lpwstr>
      </vt:variant>
      <vt:variant>
        <vt:lpwstr/>
      </vt:variant>
      <vt:variant>
        <vt:i4>5767190</vt:i4>
      </vt:variant>
      <vt:variant>
        <vt:i4>66</vt:i4>
      </vt:variant>
      <vt:variant>
        <vt:i4>0</vt:i4>
      </vt:variant>
      <vt:variant>
        <vt:i4>5</vt:i4>
      </vt:variant>
      <vt:variant>
        <vt:lpwstr>https://doi.org/10.1016/j.jad.2025.01.109</vt:lpwstr>
      </vt:variant>
      <vt:variant>
        <vt:lpwstr/>
      </vt:variant>
      <vt:variant>
        <vt:i4>2687038</vt:i4>
      </vt:variant>
      <vt:variant>
        <vt:i4>63</vt:i4>
      </vt:variant>
      <vt:variant>
        <vt:i4>0</vt:i4>
      </vt:variant>
      <vt:variant>
        <vt:i4>5</vt:i4>
      </vt:variant>
      <vt:variant>
        <vt:lpwstr>https://doi.org/10.1186/s41687-022-00467-6</vt:lpwstr>
      </vt:variant>
      <vt:variant>
        <vt:lpwstr/>
      </vt:variant>
      <vt:variant>
        <vt:i4>1245270</vt:i4>
      </vt:variant>
      <vt:variant>
        <vt:i4>60</vt:i4>
      </vt:variant>
      <vt:variant>
        <vt:i4>0</vt:i4>
      </vt:variant>
      <vt:variant>
        <vt:i4>5</vt:i4>
      </vt:variant>
      <vt:variant>
        <vt:lpwstr>https://doi.org/10.4274/tjar.2024.241565</vt:lpwstr>
      </vt:variant>
      <vt:variant>
        <vt:lpwstr/>
      </vt:variant>
      <vt:variant>
        <vt:i4>2883640</vt:i4>
      </vt:variant>
      <vt:variant>
        <vt:i4>57</vt:i4>
      </vt:variant>
      <vt:variant>
        <vt:i4>0</vt:i4>
      </vt:variant>
      <vt:variant>
        <vt:i4>5</vt:i4>
      </vt:variant>
      <vt:variant>
        <vt:lpwstr>https://doi.org/10.1186/s13690-025-01524-4</vt:lpwstr>
      </vt:variant>
      <vt:variant>
        <vt:lpwstr/>
      </vt:variant>
      <vt:variant>
        <vt:i4>983112</vt:i4>
      </vt:variant>
      <vt:variant>
        <vt:i4>54</vt:i4>
      </vt:variant>
      <vt:variant>
        <vt:i4>0</vt:i4>
      </vt:variant>
      <vt:variant>
        <vt:i4>5</vt:i4>
      </vt:variant>
      <vt:variant>
        <vt:lpwstr>https://doi.org/10.3389/frhs.2022.994474</vt:lpwstr>
      </vt:variant>
      <vt:variant>
        <vt:lpwstr/>
      </vt:variant>
      <vt:variant>
        <vt:i4>1441792</vt:i4>
      </vt:variant>
      <vt:variant>
        <vt:i4>51</vt:i4>
      </vt:variant>
      <vt:variant>
        <vt:i4>0</vt:i4>
      </vt:variant>
      <vt:variant>
        <vt:i4>5</vt:i4>
      </vt:variant>
      <vt:variant>
        <vt:lpwstr>https://doi.org/10.3389/fpubh.2021.642163</vt:lpwstr>
      </vt:variant>
      <vt:variant>
        <vt:lpwstr/>
      </vt:variant>
      <vt:variant>
        <vt:i4>1376311</vt:i4>
      </vt:variant>
      <vt:variant>
        <vt:i4>44</vt:i4>
      </vt:variant>
      <vt:variant>
        <vt:i4>0</vt:i4>
      </vt:variant>
      <vt:variant>
        <vt:i4>5</vt:i4>
      </vt:variant>
      <vt:variant>
        <vt:lpwstr/>
      </vt:variant>
      <vt:variant>
        <vt:lpwstr>_Toc225179784</vt:lpwstr>
      </vt:variant>
      <vt:variant>
        <vt:i4>1376311</vt:i4>
      </vt:variant>
      <vt:variant>
        <vt:i4>38</vt:i4>
      </vt:variant>
      <vt:variant>
        <vt:i4>0</vt:i4>
      </vt:variant>
      <vt:variant>
        <vt:i4>5</vt:i4>
      </vt:variant>
      <vt:variant>
        <vt:lpwstr/>
      </vt:variant>
      <vt:variant>
        <vt:lpwstr>_Toc225179783</vt:lpwstr>
      </vt:variant>
      <vt:variant>
        <vt:i4>1376311</vt:i4>
      </vt:variant>
      <vt:variant>
        <vt:i4>32</vt:i4>
      </vt:variant>
      <vt:variant>
        <vt:i4>0</vt:i4>
      </vt:variant>
      <vt:variant>
        <vt:i4>5</vt:i4>
      </vt:variant>
      <vt:variant>
        <vt:lpwstr/>
      </vt:variant>
      <vt:variant>
        <vt:lpwstr>_Toc225179782</vt:lpwstr>
      </vt:variant>
      <vt:variant>
        <vt:i4>1376311</vt:i4>
      </vt:variant>
      <vt:variant>
        <vt:i4>26</vt:i4>
      </vt:variant>
      <vt:variant>
        <vt:i4>0</vt:i4>
      </vt:variant>
      <vt:variant>
        <vt:i4>5</vt:i4>
      </vt:variant>
      <vt:variant>
        <vt:lpwstr/>
      </vt:variant>
      <vt:variant>
        <vt:lpwstr>_Toc225179781</vt:lpwstr>
      </vt:variant>
      <vt:variant>
        <vt:i4>1376311</vt:i4>
      </vt:variant>
      <vt:variant>
        <vt:i4>20</vt:i4>
      </vt:variant>
      <vt:variant>
        <vt:i4>0</vt:i4>
      </vt:variant>
      <vt:variant>
        <vt:i4>5</vt:i4>
      </vt:variant>
      <vt:variant>
        <vt:lpwstr/>
      </vt:variant>
      <vt:variant>
        <vt:lpwstr>_Toc225179780</vt:lpwstr>
      </vt:variant>
      <vt:variant>
        <vt:i4>1703991</vt:i4>
      </vt:variant>
      <vt:variant>
        <vt:i4>14</vt:i4>
      </vt:variant>
      <vt:variant>
        <vt:i4>0</vt:i4>
      </vt:variant>
      <vt:variant>
        <vt:i4>5</vt:i4>
      </vt:variant>
      <vt:variant>
        <vt:lpwstr/>
      </vt:variant>
      <vt:variant>
        <vt:lpwstr>_Toc225179779</vt:lpwstr>
      </vt:variant>
      <vt:variant>
        <vt:i4>1703991</vt:i4>
      </vt:variant>
      <vt:variant>
        <vt:i4>8</vt:i4>
      </vt:variant>
      <vt:variant>
        <vt:i4>0</vt:i4>
      </vt:variant>
      <vt:variant>
        <vt:i4>5</vt:i4>
      </vt:variant>
      <vt:variant>
        <vt:lpwstr/>
      </vt:variant>
      <vt:variant>
        <vt:lpwstr>_Toc225179778</vt:lpwstr>
      </vt:variant>
      <vt:variant>
        <vt:i4>1703991</vt:i4>
      </vt:variant>
      <vt:variant>
        <vt:i4>2</vt:i4>
      </vt:variant>
      <vt:variant>
        <vt:i4>0</vt:i4>
      </vt:variant>
      <vt:variant>
        <vt:i4>5</vt:i4>
      </vt:variant>
      <vt:variant>
        <vt:lpwstr/>
      </vt:variant>
      <vt:variant>
        <vt:lpwstr>_Toc225179777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2213838@student.uwtsd.uk.com Annor</dc:creator>
  <cp:keywords/>
  <dc:description/>
  <cp:lastModifiedBy/>
  <cp:revision>7</cp:revision>
  <dcterms:created xsi:type="dcterms:W3CDTF">2026-03-23T22:03:00Z</dcterms:created>
  <dcterms:modified xsi:type="dcterms:W3CDTF">2026-03-23T17:43:00Z</dcterms:modified>
</cp:coreProperties>
</file>