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1B5C1" w14:textId="77777777" w:rsidR="00D55040" w:rsidRPr="003D1BF1" w:rsidRDefault="00D55040" w:rsidP="00D55040">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 xml:space="preserve">Keren Cofie </w:t>
      </w:r>
    </w:p>
    <w:p w14:paraId="79F66408" w14:textId="77777777" w:rsidR="00D55040" w:rsidRPr="003D1BF1" w:rsidRDefault="00D55040" w:rsidP="00D55040">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1809329</w:t>
      </w:r>
    </w:p>
    <w:p w14:paraId="7C688C93" w14:textId="77777777" w:rsidR="00D55040" w:rsidRPr="003D1BF1" w:rsidRDefault="00D55040" w:rsidP="00D55040">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BSc (Hons) Health and Social Care</w:t>
      </w:r>
    </w:p>
    <w:p w14:paraId="51E5E567" w14:textId="77777777" w:rsidR="00D55040" w:rsidRPr="003D1BF1" w:rsidRDefault="00D55040" w:rsidP="00D55040">
      <w:pPr>
        <w:spacing w:after="0" w:line="276" w:lineRule="auto"/>
        <w:jc w:val="both"/>
        <w:rPr>
          <w:rFonts w:ascii="Times New Roman" w:hAnsi="Times New Roman" w:cs="Times New Roman"/>
          <w:sz w:val="72"/>
          <w:szCs w:val="72"/>
        </w:rPr>
      </w:pPr>
      <w:proofErr w:type="spellStart"/>
      <w:r w:rsidRPr="003D1BF1">
        <w:rPr>
          <w:rFonts w:ascii="Times New Roman" w:hAnsi="Times New Roman" w:cs="Times New Roman"/>
          <w:sz w:val="72"/>
          <w:szCs w:val="72"/>
        </w:rPr>
        <w:t>Dr.</w:t>
      </w:r>
      <w:proofErr w:type="spellEnd"/>
      <w:r w:rsidRPr="003D1BF1">
        <w:rPr>
          <w:rFonts w:ascii="Times New Roman" w:hAnsi="Times New Roman" w:cs="Times New Roman"/>
          <w:sz w:val="72"/>
          <w:szCs w:val="72"/>
        </w:rPr>
        <w:t xml:space="preserve"> </w:t>
      </w:r>
      <w:proofErr w:type="spellStart"/>
      <w:r w:rsidRPr="003D1BF1">
        <w:rPr>
          <w:rFonts w:ascii="Times New Roman" w:hAnsi="Times New Roman" w:cs="Times New Roman"/>
          <w:sz w:val="72"/>
          <w:szCs w:val="72"/>
        </w:rPr>
        <w:t>Gulnar</w:t>
      </w:r>
      <w:proofErr w:type="spellEnd"/>
      <w:r w:rsidRPr="003D1BF1">
        <w:rPr>
          <w:rFonts w:ascii="Times New Roman" w:hAnsi="Times New Roman" w:cs="Times New Roman"/>
          <w:sz w:val="72"/>
          <w:szCs w:val="72"/>
        </w:rPr>
        <w:t xml:space="preserve"> Ali</w:t>
      </w:r>
    </w:p>
    <w:p w14:paraId="7B9E7FF3" w14:textId="77777777" w:rsidR="00D55040" w:rsidRPr="003D1BF1" w:rsidRDefault="00D55040" w:rsidP="00D55040">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Children, Young People and Families</w:t>
      </w:r>
    </w:p>
    <w:p w14:paraId="0A9F7DD3" w14:textId="77777777" w:rsidR="00D55040" w:rsidRPr="003D1BF1" w:rsidRDefault="00D55040" w:rsidP="00D55040">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BMHP 5004</w:t>
      </w:r>
    </w:p>
    <w:p w14:paraId="23AAB489" w14:textId="77777777" w:rsidR="00D55040" w:rsidRDefault="00D55040" w:rsidP="00D55040">
      <w:pPr>
        <w:spacing w:line="240" w:lineRule="auto"/>
        <w:jc w:val="both"/>
        <w:rPr>
          <w:rFonts w:ascii="Times New Roman" w:hAnsi="Times New Roman" w:cs="Times New Roman"/>
          <w:b/>
          <w:bCs/>
          <w:sz w:val="24"/>
          <w:szCs w:val="24"/>
          <w:u w:val="single"/>
        </w:rPr>
      </w:pPr>
    </w:p>
    <w:p w14:paraId="66DCBE0A" w14:textId="77777777" w:rsidR="00D55040" w:rsidRDefault="00D55040" w:rsidP="00D55040">
      <w:pPr>
        <w:spacing w:line="240" w:lineRule="auto"/>
        <w:jc w:val="both"/>
        <w:rPr>
          <w:rFonts w:ascii="Times New Roman" w:hAnsi="Times New Roman" w:cs="Times New Roman"/>
          <w:b/>
          <w:bCs/>
          <w:sz w:val="24"/>
          <w:szCs w:val="24"/>
          <w:u w:val="single"/>
        </w:rPr>
      </w:pPr>
    </w:p>
    <w:p w14:paraId="3D737068" w14:textId="77777777" w:rsidR="00D55040" w:rsidRDefault="00D55040" w:rsidP="00D55040">
      <w:pPr>
        <w:spacing w:line="240" w:lineRule="auto"/>
        <w:jc w:val="both"/>
        <w:rPr>
          <w:rFonts w:ascii="Times New Roman" w:hAnsi="Times New Roman" w:cs="Times New Roman"/>
          <w:b/>
          <w:bCs/>
          <w:sz w:val="24"/>
          <w:szCs w:val="24"/>
          <w:u w:val="single"/>
        </w:rPr>
      </w:pPr>
    </w:p>
    <w:p w14:paraId="10AC1968" w14:textId="77777777" w:rsidR="00D55040" w:rsidRDefault="00D55040" w:rsidP="00D55040">
      <w:pPr>
        <w:spacing w:line="240" w:lineRule="auto"/>
        <w:jc w:val="both"/>
        <w:rPr>
          <w:rFonts w:ascii="Times New Roman" w:hAnsi="Times New Roman" w:cs="Times New Roman"/>
          <w:b/>
          <w:bCs/>
          <w:sz w:val="24"/>
          <w:szCs w:val="24"/>
          <w:u w:val="single"/>
        </w:rPr>
      </w:pPr>
    </w:p>
    <w:p w14:paraId="3557532B" w14:textId="77777777" w:rsidR="00D55040" w:rsidRDefault="00D55040" w:rsidP="00D55040">
      <w:pPr>
        <w:spacing w:line="240" w:lineRule="auto"/>
        <w:jc w:val="both"/>
        <w:rPr>
          <w:rFonts w:ascii="Times New Roman" w:hAnsi="Times New Roman" w:cs="Times New Roman"/>
          <w:b/>
          <w:bCs/>
          <w:sz w:val="24"/>
          <w:szCs w:val="24"/>
          <w:u w:val="single"/>
        </w:rPr>
      </w:pPr>
    </w:p>
    <w:p w14:paraId="721E6EC9" w14:textId="77777777" w:rsidR="00D55040" w:rsidRDefault="00D55040" w:rsidP="00D55040">
      <w:pPr>
        <w:spacing w:line="240" w:lineRule="auto"/>
        <w:jc w:val="both"/>
        <w:rPr>
          <w:rFonts w:ascii="Times New Roman" w:hAnsi="Times New Roman" w:cs="Times New Roman"/>
          <w:b/>
          <w:bCs/>
          <w:sz w:val="24"/>
          <w:szCs w:val="24"/>
          <w:u w:val="single"/>
        </w:rPr>
      </w:pPr>
    </w:p>
    <w:p w14:paraId="148D10E1" w14:textId="77777777" w:rsidR="00D55040" w:rsidRDefault="00D55040" w:rsidP="00D55040">
      <w:pPr>
        <w:spacing w:line="240" w:lineRule="auto"/>
        <w:jc w:val="both"/>
        <w:rPr>
          <w:rFonts w:ascii="Times New Roman" w:hAnsi="Times New Roman" w:cs="Times New Roman"/>
          <w:b/>
          <w:bCs/>
          <w:sz w:val="24"/>
          <w:szCs w:val="24"/>
          <w:u w:val="single"/>
        </w:rPr>
      </w:pPr>
    </w:p>
    <w:p w14:paraId="02CD44F5" w14:textId="77777777" w:rsidR="00D55040" w:rsidRDefault="00D55040" w:rsidP="00D55040">
      <w:pPr>
        <w:spacing w:line="240" w:lineRule="auto"/>
        <w:jc w:val="both"/>
        <w:rPr>
          <w:rFonts w:ascii="Times New Roman" w:hAnsi="Times New Roman" w:cs="Times New Roman"/>
          <w:b/>
          <w:bCs/>
          <w:sz w:val="24"/>
          <w:szCs w:val="24"/>
          <w:u w:val="single"/>
        </w:rPr>
      </w:pPr>
    </w:p>
    <w:p w14:paraId="17DB2DD8" w14:textId="77777777" w:rsidR="00D55040" w:rsidRDefault="00D55040" w:rsidP="00D55040">
      <w:pPr>
        <w:spacing w:line="240" w:lineRule="auto"/>
        <w:jc w:val="both"/>
        <w:rPr>
          <w:rFonts w:ascii="Times New Roman" w:hAnsi="Times New Roman" w:cs="Times New Roman"/>
          <w:b/>
          <w:bCs/>
          <w:sz w:val="24"/>
          <w:szCs w:val="24"/>
          <w:u w:val="single"/>
        </w:rPr>
      </w:pPr>
    </w:p>
    <w:p w14:paraId="4E7A6BD8" w14:textId="77777777" w:rsidR="00D55040" w:rsidRDefault="00D55040" w:rsidP="00D55040">
      <w:pPr>
        <w:spacing w:line="240" w:lineRule="auto"/>
        <w:jc w:val="both"/>
        <w:rPr>
          <w:rFonts w:ascii="Times New Roman" w:hAnsi="Times New Roman" w:cs="Times New Roman"/>
          <w:b/>
          <w:bCs/>
          <w:sz w:val="24"/>
          <w:szCs w:val="24"/>
          <w:u w:val="single"/>
        </w:rPr>
      </w:pPr>
    </w:p>
    <w:p w14:paraId="49882D09" w14:textId="77777777" w:rsidR="00D55040" w:rsidRDefault="00D55040" w:rsidP="00D55040">
      <w:pPr>
        <w:spacing w:line="240" w:lineRule="auto"/>
        <w:jc w:val="both"/>
        <w:rPr>
          <w:rFonts w:ascii="Times New Roman" w:hAnsi="Times New Roman" w:cs="Times New Roman"/>
          <w:b/>
          <w:bCs/>
          <w:sz w:val="24"/>
          <w:szCs w:val="24"/>
          <w:u w:val="single"/>
        </w:rPr>
      </w:pPr>
    </w:p>
    <w:p w14:paraId="08349DDF" w14:textId="77777777" w:rsidR="00D55040" w:rsidRDefault="00D55040" w:rsidP="00D55040">
      <w:pPr>
        <w:spacing w:line="240" w:lineRule="auto"/>
        <w:jc w:val="both"/>
        <w:rPr>
          <w:rFonts w:ascii="Times New Roman" w:hAnsi="Times New Roman" w:cs="Times New Roman"/>
          <w:b/>
          <w:bCs/>
          <w:sz w:val="24"/>
          <w:szCs w:val="24"/>
          <w:u w:val="single"/>
        </w:rPr>
      </w:pPr>
    </w:p>
    <w:p w14:paraId="65992131" w14:textId="77777777" w:rsidR="00D55040" w:rsidRDefault="00D55040" w:rsidP="00D55040">
      <w:pPr>
        <w:spacing w:line="240" w:lineRule="auto"/>
        <w:jc w:val="both"/>
        <w:rPr>
          <w:rFonts w:ascii="Times New Roman" w:hAnsi="Times New Roman" w:cs="Times New Roman"/>
          <w:b/>
          <w:bCs/>
          <w:sz w:val="24"/>
          <w:szCs w:val="24"/>
          <w:u w:val="single"/>
        </w:rPr>
      </w:pPr>
    </w:p>
    <w:p w14:paraId="3E9B42F2" w14:textId="77777777" w:rsidR="00D55040" w:rsidRDefault="00D55040" w:rsidP="00D55040">
      <w:pPr>
        <w:spacing w:line="240" w:lineRule="auto"/>
        <w:jc w:val="both"/>
        <w:rPr>
          <w:rFonts w:ascii="Times New Roman" w:hAnsi="Times New Roman" w:cs="Times New Roman"/>
          <w:b/>
          <w:bCs/>
          <w:sz w:val="24"/>
          <w:szCs w:val="24"/>
          <w:u w:val="single"/>
        </w:rPr>
      </w:pPr>
    </w:p>
    <w:p w14:paraId="65641833" w14:textId="77777777" w:rsidR="00D55040" w:rsidRPr="003D1BF1" w:rsidRDefault="00D55040" w:rsidP="00D55040">
      <w:pPr>
        <w:spacing w:line="240" w:lineRule="auto"/>
        <w:jc w:val="center"/>
        <w:rPr>
          <w:rFonts w:ascii="Times New Roman" w:hAnsi="Times New Roman" w:cs="Times New Roman"/>
          <w:b/>
          <w:bCs/>
          <w:sz w:val="24"/>
          <w:szCs w:val="24"/>
          <w:u w:val="single"/>
        </w:rPr>
      </w:pPr>
      <w:r w:rsidRPr="003D1BF1">
        <w:rPr>
          <w:rFonts w:ascii="Times New Roman" w:hAnsi="Times New Roman" w:cs="Times New Roman"/>
          <w:b/>
          <w:bCs/>
          <w:sz w:val="24"/>
          <w:szCs w:val="24"/>
          <w:u w:val="single"/>
        </w:rPr>
        <w:lastRenderedPageBreak/>
        <w:t>Second Component: Historical emergence of concept of childhood including the social construction of the family</w:t>
      </w:r>
    </w:p>
    <w:p w14:paraId="4C015802" w14:textId="77777777" w:rsidR="00D55040" w:rsidRPr="003D1BF1" w:rsidRDefault="00D55040" w:rsidP="00D55040">
      <w:pPr>
        <w:spacing w:line="240" w:lineRule="auto"/>
        <w:jc w:val="both"/>
        <w:rPr>
          <w:rFonts w:ascii="Times New Roman" w:hAnsi="Times New Roman" w:cs="Times New Roman"/>
          <w:b/>
          <w:bCs/>
          <w:sz w:val="24"/>
          <w:szCs w:val="24"/>
          <w:u w:val="single"/>
        </w:rPr>
      </w:pPr>
    </w:p>
    <w:p w14:paraId="6A9A2BC0" w14:textId="77777777" w:rsidR="00D55040"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Sociologists see childhood as something defined and created by society. Jean Piaget (1896-1980) has a nomothetic approach when it came to the study of children. He was interested more on what was common amongst all children of a </w:t>
      </w:r>
      <w:proofErr w:type="gramStart"/>
      <w:r w:rsidRPr="003D1BF1">
        <w:rPr>
          <w:rFonts w:ascii="Times New Roman" w:hAnsi="Times New Roman" w:cs="Times New Roman"/>
          <w:sz w:val="24"/>
          <w:szCs w:val="24"/>
        </w:rPr>
        <w:t>particular age</w:t>
      </w:r>
      <w:proofErr w:type="gramEnd"/>
      <w:r w:rsidRPr="003D1BF1">
        <w:rPr>
          <w:rFonts w:ascii="Times New Roman" w:hAnsi="Times New Roman" w:cs="Times New Roman"/>
          <w:sz w:val="24"/>
          <w:szCs w:val="24"/>
        </w:rPr>
        <w:t xml:space="preserve">, rather than how they are individually. He believed that children develop intellectually because of informal experiences with the environment they are in by using cognitive approaches. Generally, there are some major differences between adults and children, and people tend to believe that children are </w:t>
      </w:r>
      <w:r w:rsidR="000D6F60" w:rsidRPr="003D1BF1">
        <w:rPr>
          <w:rFonts w:ascii="Times New Roman" w:hAnsi="Times New Roman" w:cs="Times New Roman"/>
          <w:sz w:val="24"/>
          <w:szCs w:val="24"/>
        </w:rPr>
        <w:t>dependent</w:t>
      </w:r>
      <w:r w:rsidRPr="003D1BF1">
        <w:rPr>
          <w:rFonts w:ascii="Times New Roman" w:hAnsi="Times New Roman" w:cs="Times New Roman"/>
          <w:sz w:val="24"/>
          <w:szCs w:val="24"/>
        </w:rPr>
        <w:t xml:space="preserve"> on adults for their biological, emotional and physical needs, in which they need extensive care until they are old enough to be independent. </w:t>
      </w:r>
    </w:p>
    <w:p w14:paraId="378D5B96" w14:textId="77777777" w:rsidR="000D6F60" w:rsidRPr="003D1BF1" w:rsidRDefault="00611520" w:rsidP="00D5504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‘Child’ is used in everyday </w:t>
      </w:r>
      <w:r w:rsidR="00C20E8F">
        <w:rPr>
          <w:rFonts w:ascii="Times New Roman" w:hAnsi="Times New Roman" w:cs="Times New Roman"/>
          <w:sz w:val="24"/>
          <w:szCs w:val="24"/>
        </w:rPr>
        <w:t>speech but</w:t>
      </w:r>
      <w:r>
        <w:rPr>
          <w:rFonts w:ascii="Times New Roman" w:hAnsi="Times New Roman" w:cs="Times New Roman"/>
          <w:sz w:val="24"/>
          <w:szCs w:val="24"/>
        </w:rPr>
        <w:t xml:space="preserve"> overtime it has had different meanings and understanding</w:t>
      </w:r>
      <w:r w:rsidR="006F03AC">
        <w:rPr>
          <w:rFonts w:ascii="Times New Roman" w:hAnsi="Times New Roman" w:cs="Times New Roman"/>
          <w:sz w:val="24"/>
          <w:szCs w:val="24"/>
        </w:rPr>
        <w:t xml:space="preserve">s. There </w:t>
      </w:r>
      <w:r w:rsidR="00C20E8F">
        <w:rPr>
          <w:rFonts w:ascii="Times New Roman" w:hAnsi="Times New Roman" w:cs="Times New Roman"/>
          <w:sz w:val="24"/>
          <w:szCs w:val="24"/>
        </w:rPr>
        <w:t>have</w:t>
      </w:r>
      <w:r w:rsidR="006F03AC">
        <w:rPr>
          <w:rFonts w:ascii="Times New Roman" w:hAnsi="Times New Roman" w:cs="Times New Roman"/>
          <w:sz w:val="24"/>
          <w:szCs w:val="24"/>
        </w:rPr>
        <w:t xml:space="preserve"> been many referrals to what a child is, for example a child has been referred to age or ‘incapable body and mind’ (James and James, 2008). Other times it has been referred to </w:t>
      </w:r>
      <w:r w:rsidR="00C20E8F">
        <w:rPr>
          <w:rFonts w:ascii="Times New Roman" w:hAnsi="Times New Roman" w:cs="Times New Roman"/>
          <w:sz w:val="24"/>
          <w:szCs w:val="24"/>
        </w:rPr>
        <w:t xml:space="preserve">as the ‘next generation’ (Alanen, 2001). </w:t>
      </w:r>
      <w:r w:rsidR="00846BBB">
        <w:rPr>
          <w:rFonts w:ascii="Times New Roman" w:hAnsi="Times New Roman" w:cs="Times New Roman"/>
          <w:sz w:val="24"/>
          <w:szCs w:val="24"/>
        </w:rPr>
        <w:t xml:space="preserve">It </w:t>
      </w:r>
      <w:r w:rsidR="00C9744F">
        <w:rPr>
          <w:rFonts w:ascii="Times New Roman" w:hAnsi="Times New Roman" w:cs="Times New Roman"/>
          <w:sz w:val="24"/>
          <w:szCs w:val="24"/>
        </w:rPr>
        <w:t>has been argued that, although society understands what a child is due to the experience of being a child and experiencing childhood (James and James 2008), that was has been believed to be childhood is not actually about childhood at all (Jenks 1982).</w:t>
      </w:r>
      <w:r w:rsidR="006D4A2C">
        <w:rPr>
          <w:rFonts w:ascii="Times New Roman" w:hAnsi="Times New Roman" w:cs="Times New Roman"/>
          <w:sz w:val="24"/>
          <w:szCs w:val="24"/>
        </w:rPr>
        <w:t xml:space="preserve"> A lot of the time children have still viewed as less-well-developed and weaker, tend to have less knowledge, cognitive skills, less ability for reasoning and less intellectual abilities. According to </w:t>
      </w:r>
      <w:proofErr w:type="spellStart"/>
      <w:r w:rsidR="006D4A2C">
        <w:rPr>
          <w:rFonts w:ascii="Times New Roman" w:hAnsi="Times New Roman" w:cs="Times New Roman"/>
          <w:sz w:val="24"/>
          <w:szCs w:val="24"/>
        </w:rPr>
        <w:t>Qvort</w:t>
      </w:r>
      <w:r w:rsidR="0076161A">
        <w:rPr>
          <w:rFonts w:ascii="Times New Roman" w:hAnsi="Times New Roman" w:cs="Times New Roman"/>
          <w:sz w:val="24"/>
          <w:szCs w:val="24"/>
        </w:rPr>
        <w:t>rup</w:t>
      </w:r>
      <w:proofErr w:type="spellEnd"/>
      <w:r w:rsidR="0076161A">
        <w:rPr>
          <w:rFonts w:ascii="Times New Roman" w:hAnsi="Times New Roman" w:cs="Times New Roman"/>
          <w:sz w:val="24"/>
          <w:szCs w:val="24"/>
        </w:rPr>
        <w:t xml:space="preserve"> 2009, children should not be treated differently because they are not active; but children are not active in the same way adults are </w:t>
      </w:r>
      <w:r w:rsidR="00B329BB">
        <w:rPr>
          <w:rFonts w:ascii="Times New Roman" w:hAnsi="Times New Roman" w:cs="Times New Roman"/>
          <w:sz w:val="24"/>
          <w:szCs w:val="24"/>
        </w:rPr>
        <w:t>and that children do not lack anything rather that adults do not recognise and understand a child’s level of abilities.</w:t>
      </w:r>
    </w:p>
    <w:p w14:paraId="44FF667A"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 child’s ability to take the perspective of others develops through five stages. </w:t>
      </w:r>
    </w:p>
    <w:tbl>
      <w:tblPr>
        <w:tblStyle w:val="TableGrid"/>
        <w:tblW w:w="0" w:type="auto"/>
        <w:tblLook w:val="04A0" w:firstRow="1" w:lastRow="0" w:firstColumn="1" w:lastColumn="0" w:noHBand="0" w:noVBand="1"/>
      </w:tblPr>
      <w:tblGrid>
        <w:gridCol w:w="4508"/>
        <w:gridCol w:w="4508"/>
      </w:tblGrid>
      <w:tr w:rsidR="00D55040" w:rsidRPr="003D1BF1" w14:paraId="1A58BCC7" w14:textId="77777777" w:rsidTr="00D25409">
        <w:tc>
          <w:tcPr>
            <w:tcW w:w="4508" w:type="dxa"/>
          </w:tcPr>
          <w:p w14:paraId="150B401F"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 xml:space="preserve">Five stages of development </w:t>
            </w:r>
          </w:p>
        </w:tc>
        <w:tc>
          <w:tcPr>
            <w:tcW w:w="4508" w:type="dxa"/>
          </w:tcPr>
          <w:p w14:paraId="6BA7AB05"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 xml:space="preserve">Main features of each stage </w:t>
            </w:r>
          </w:p>
        </w:tc>
      </w:tr>
      <w:tr w:rsidR="00D55040" w:rsidRPr="003D1BF1" w14:paraId="4E9625D0" w14:textId="77777777" w:rsidTr="00D25409">
        <w:tc>
          <w:tcPr>
            <w:tcW w:w="4508" w:type="dxa"/>
          </w:tcPr>
          <w:p w14:paraId="594EEFBD"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Egocentric or undifferentiated perspective (3-6 years)</w:t>
            </w:r>
          </w:p>
        </w:tc>
        <w:tc>
          <w:tcPr>
            <w:tcW w:w="4508" w:type="dxa"/>
          </w:tcPr>
          <w:p w14:paraId="44501082"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Children at this stage are not able to imagine any perspective other than their own</w:t>
            </w:r>
          </w:p>
        </w:tc>
      </w:tr>
      <w:tr w:rsidR="00D55040" w:rsidRPr="003D1BF1" w14:paraId="260F5F09" w14:textId="77777777" w:rsidTr="00D25409">
        <w:tc>
          <w:tcPr>
            <w:tcW w:w="4508" w:type="dxa"/>
          </w:tcPr>
          <w:p w14:paraId="71358D8D"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Social-informational role-taking (6-8 years)</w:t>
            </w:r>
          </w:p>
        </w:tc>
        <w:tc>
          <w:tcPr>
            <w:tcW w:w="4508" w:type="dxa"/>
          </w:tcPr>
          <w:p w14:paraId="2E845721"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 xml:space="preserve">Children during this stage </w:t>
            </w:r>
            <w:proofErr w:type="gramStart"/>
            <w:r w:rsidRPr="003D1BF1">
              <w:rPr>
                <w:rFonts w:ascii="Times New Roman" w:hAnsi="Times New Roman" w:cs="Times New Roman"/>
                <w:sz w:val="24"/>
                <w:szCs w:val="24"/>
              </w:rPr>
              <w:t>are able to</w:t>
            </w:r>
            <w:proofErr w:type="gramEnd"/>
            <w:r w:rsidRPr="003D1BF1">
              <w:rPr>
                <w:rFonts w:ascii="Times New Roman" w:hAnsi="Times New Roman" w:cs="Times New Roman"/>
                <w:sz w:val="24"/>
                <w:szCs w:val="24"/>
              </w:rPr>
              <w:t xml:space="preserve"> know that other people have different perspectives but believe that this is because others </w:t>
            </w:r>
            <w:proofErr w:type="spellStart"/>
            <w:r w:rsidRPr="003D1BF1">
              <w:rPr>
                <w:rFonts w:ascii="Times New Roman" w:hAnsi="Times New Roman" w:cs="Times New Roman"/>
                <w:sz w:val="24"/>
                <w:szCs w:val="24"/>
              </w:rPr>
              <w:t>haven</w:t>
            </w:r>
            <w:proofErr w:type="spellEnd"/>
            <w:r w:rsidRPr="003D1BF1">
              <w:rPr>
                <w:rFonts w:ascii="Times New Roman" w:hAnsi="Times New Roman" w:cs="Times New Roman"/>
                <w:sz w:val="24"/>
                <w:szCs w:val="24"/>
              </w:rPr>
              <w:t xml:space="preserve"> been receiving different information </w:t>
            </w:r>
          </w:p>
        </w:tc>
      </w:tr>
      <w:tr w:rsidR="00D55040" w:rsidRPr="003D1BF1" w14:paraId="768B48A6" w14:textId="77777777" w:rsidTr="00D25409">
        <w:tc>
          <w:tcPr>
            <w:tcW w:w="4508" w:type="dxa"/>
          </w:tcPr>
          <w:p w14:paraId="36BDB223"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Self-reflective role-taking (8-10 years)</w:t>
            </w:r>
          </w:p>
        </w:tc>
        <w:tc>
          <w:tcPr>
            <w:tcW w:w="4508" w:type="dxa"/>
          </w:tcPr>
          <w:p w14:paraId="2667C8B3"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Children recognise that other people can the same information as they do and still take a different perspective</w:t>
            </w:r>
          </w:p>
        </w:tc>
      </w:tr>
      <w:tr w:rsidR="00D55040" w:rsidRPr="003D1BF1" w14:paraId="429922C2" w14:textId="77777777" w:rsidTr="00D25409">
        <w:tc>
          <w:tcPr>
            <w:tcW w:w="4508" w:type="dxa"/>
          </w:tcPr>
          <w:p w14:paraId="586F0F66"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Mutual role-taking (10-12 years)</w:t>
            </w:r>
          </w:p>
        </w:tc>
        <w:tc>
          <w:tcPr>
            <w:tcW w:w="4508" w:type="dxa"/>
          </w:tcPr>
          <w:p w14:paraId="37AEA914"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 xml:space="preserve">At this stage, a child is now able to form their own views and place themselves in the shoes of other people. They also become aware that other people can do this as well. </w:t>
            </w:r>
          </w:p>
        </w:tc>
      </w:tr>
      <w:tr w:rsidR="00D55040" w:rsidRPr="003D1BF1" w14:paraId="1C23301F" w14:textId="77777777" w:rsidTr="00D25409">
        <w:tc>
          <w:tcPr>
            <w:tcW w:w="4508" w:type="dxa"/>
          </w:tcPr>
          <w:p w14:paraId="07D732B0"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Social and conventional system role-taking (12-15 years+)</w:t>
            </w:r>
          </w:p>
        </w:tc>
        <w:tc>
          <w:tcPr>
            <w:tcW w:w="4508" w:type="dxa"/>
          </w:tcPr>
          <w:p w14:paraId="65C044FB" w14:textId="77777777" w:rsidR="00D55040" w:rsidRPr="003D1BF1" w:rsidRDefault="00D55040" w:rsidP="00D25409">
            <w:pPr>
              <w:jc w:val="both"/>
              <w:rPr>
                <w:rFonts w:ascii="Times New Roman" w:hAnsi="Times New Roman" w:cs="Times New Roman"/>
                <w:sz w:val="24"/>
                <w:szCs w:val="24"/>
              </w:rPr>
            </w:pPr>
            <w:r w:rsidRPr="003D1BF1">
              <w:rPr>
                <w:rFonts w:ascii="Times New Roman" w:hAnsi="Times New Roman" w:cs="Times New Roman"/>
                <w:sz w:val="24"/>
                <w:szCs w:val="24"/>
              </w:rPr>
              <w:t xml:space="preserve">The adolescent </w:t>
            </w:r>
            <w:proofErr w:type="gramStart"/>
            <w:r w:rsidRPr="003D1BF1">
              <w:rPr>
                <w:rFonts w:ascii="Times New Roman" w:hAnsi="Times New Roman" w:cs="Times New Roman"/>
                <w:sz w:val="24"/>
                <w:szCs w:val="24"/>
              </w:rPr>
              <w:t>is able to</w:t>
            </w:r>
            <w:proofErr w:type="gramEnd"/>
            <w:r w:rsidRPr="003D1BF1">
              <w:rPr>
                <w:rFonts w:ascii="Times New Roman" w:hAnsi="Times New Roman" w:cs="Times New Roman"/>
                <w:sz w:val="24"/>
                <w:szCs w:val="24"/>
              </w:rPr>
              <w:t xml:space="preserve"> consider their own and others’ perspectives, and also to compare them the perspective an average person in their society would take perspective-taking may become complex for them at this age. </w:t>
            </w:r>
          </w:p>
        </w:tc>
      </w:tr>
    </w:tbl>
    <w:p w14:paraId="0CF9CE10" w14:textId="77777777" w:rsidR="00B329BB" w:rsidRDefault="00B329BB" w:rsidP="00D55040">
      <w:pPr>
        <w:spacing w:line="240" w:lineRule="auto"/>
        <w:jc w:val="both"/>
        <w:rPr>
          <w:rFonts w:ascii="Times New Roman" w:hAnsi="Times New Roman" w:cs="Times New Roman"/>
          <w:sz w:val="24"/>
          <w:szCs w:val="24"/>
        </w:rPr>
      </w:pPr>
    </w:p>
    <w:p w14:paraId="6662E326" w14:textId="77777777" w:rsidR="00B329BB" w:rsidRDefault="00B329BB" w:rsidP="00D55040">
      <w:pPr>
        <w:spacing w:line="240" w:lineRule="auto"/>
        <w:jc w:val="both"/>
        <w:rPr>
          <w:rFonts w:ascii="Times New Roman" w:hAnsi="Times New Roman" w:cs="Times New Roman"/>
          <w:sz w:val="24"/>
          <w:szCs w:val="24"/>
        </w:rPr>
      </w:pPr>
    </w:p>
    <w:p w14:paraId="7AB11081"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lastRenderedPageBreak/>
        <w:t>Ruth Benedict (1934) childhood used to be treated differently in pre-industrial societies in 3 ways:</w:t>
      </w:r>
    </w:p>
    <w:p w14:paraId="75D30DAF" w14:textId="77777777" w:rsidR="00D55040" w:rsidRPr="003D1BF1" w:rsidRDefault="00D55040" w:rsidP="00D55040">
      <w:pPr>
        <w:pStyle w:val="ListParagraph"/>
        <w:numPr>
          <w:ilvl w:val="0"/>
          <w:numId w:val="1"/>
        </w:num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More responsibility at an earlier age – Punch (2001) points out that in Bolivian children expected to undertake work responsibilities in the home. </w:t>
      </w:r>
    </w:p>
    <w:p w14:paraId="3CC0F746" w14:textId="77777777" w:rsidR="00D55040" w:rsidRPr="003D1BF1" w:rsidRDefault="00D55040" w:rsidP="00D55040">
      <w:pPr>
        <w:pStyle w:val="ListParagraph"/>
        <w:numPr>
          <w:ilvl w:val="0"/>
          <w:numId w:val="1"/>
        </w:num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Less value placed on obedience to adult authority – Firth (1970) found that Tikopia of the pacific believe that children have the rights to reject orders from parents and that parents should earn the child’s respect. </w:t>
      </w:r>
    </w:p>
    <w:p w14:paraId="51DB0648" w14:textId="77777777" w:rsidR="00D55040" w:rsidRPr="003D1BF1" w:rsidRDefault="00D55040" w:rsidP="00D55040">
      <w:pPr>
        <w:pStyle w:val="ListParagraph"/>
        <w:numPr>
          <w:ilvl w:val="0"/>
          <w:numId w:val="1"/>
        </w:num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Sexual Behaviour is viewed differently – Malinowski (1957) found that Islanders from the South West Pacific tolerate children’s sexual explorations. </w:t>
      </w:r>
    </w:p>
    <w:p w14:paraId="5A8CC76E"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Philippe Aries (1960 argued that in pre-industrial society, children as we know them did not exist and were known to be ‘little adults’ that would take on the same productive activities adults do in the household. Children were prosecuted for crimes adults are seen more to do, such as stealing. Aries also explained why society did not find children as objects of love and devotion. This includes the fact that because children were given adult responsibilities, they had to work in mines and factories for the family to survive. Infant mortality rates started to decrease around the middle of the 19</w:t>
      </w:r>
      <w:r w:rsidRPr="003D1BF1">
        <w:rPr>
          <w:rFonts w:ascii="Times New Roman" w:hAnsi="Times New Roman" w:cs="Times New Roman"/>
          <w:sz w:val="24"/>
          <w:szCs w:val="24"/>
          <w:vertAlign w:val="superscript"/>
        </w:rPr>
        <w:t>th</w:t>
      </w:r>
      <w:r w:rsidRPr="003D1BF1">
        <w:rPr>
          <w:rFonts w:ascii="Times New Roman" w:hAnsi="Times New Roman" w:cs="Times New Roman"/>
          <w:sz w:val="24"/>
          <w:szCs w:val="24"/>
        </w:rPr>
        <w:t xml:space="preserve"> century when sanitation and diet started to improve. Children started to become objects of love and affection when the attitudes of middle-class families started to change. Aries believed that childhood of today is an ‘invention’ and that the idea of childhood is just an early phase of adulthood. </w:t>
      </w:r>
    </w:p>
    <w:p w14:paraId="65CBA78B"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Th functionalist approach to social construction suggest that family has the responsibility to ensure that essential roles are fulfilled. This theory believes that social institutions such as churches and schools are important </w:t>
      </w:r>
      <w:proofErr w:type="gramStart"/>
      <w:r w:rsidRPr="003D1BF1">
        <w:rPr>
          <w:rFonts w:ascii="Times New Roman" w:hAnsi="Times New Roman" w:cs="Times New Roman"/>
          <w:sz w:val="24"/>
          <w:szCs w:val="24"/>
        </w:rPr>
        <w:t>in order to</w:t>
      </w:r>
      <w:proofErr w:type="gramEnd"/>
      <w:r w:rsidRPr="003D1BF1">
        <w:rPr>
          <w:rFonts w:ascii="Times New Roman" w:hAnsi="Times New Roman" w:cs="Times New Roman"/>
          <w:sz w:val="24"/>
          <w:szCs w:val="24"/>
        </w:rPr>
        <w:t xml:space="preserve"> create a well-functioning society, and if one part of the structure does not operate accordingly, then society will eventually experience a conflict dynamic. Parsons (1959) argued that the primary socialisation of children is the most important setting; so that parents are in the position to make sure that children grow up and develop to be well equipped into society and be able to structure their persona for </w:t>
      </w:r>
      <w:proofErr w:type="spellStart"/>
      <w:r w:rsidRPr="003D1BF1">
        <w:rPr>
          <w:rFonts w:ascii="Times New Roman" w:hAnsi="Times New Roman" w:cs="Times New Roman"/>
          <w:sz w:val="24"/>
          <w:szCs w:val="24"/>
        </w:rPr>
        <w:t>society.Ferrante</w:t>
      </w:r>
      <w:proofErr w:type="spellEnd"/>
      <w:r w:rsidRPr="003D1BF1">
        <w:rPr>
          <w:rFonts w:ascii="Times New Roman" w:hAnsi="Times New Roman" w:cs="Times New Roman"/>
          <w:sz w:val="24"/>
          <w:szCs w:val="24"/>
        </w:rPr>
        <w:t xml:space="preserve"> (2011) suggest that family is usually described as a social establishment that connects people together through marriage, DNA, norms, and law. </w:t>
      </w:r>
    </w:p>
    <w:p w14:paraId="50E75E81"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Murray (1998) argued that welfare </w:t>
      </w:r>
      <w:proofErr w:type="spellStart"/>
      <w:r w:rsidRPr="003D1BF1">
        <w:rPr>
          <w:rFonts w:ascii="Times New Roman" w:hAnsi="Times New Roman" w:cs="Times New Roman"/>
          <w:sz w:val="24"/>
          <w:szCs w:val="24"/>
        </w:rPr>
        <w:t>polices</w:t>
      </w:r>
      <w:proofErr w:type="spellEnd"/>
      <w:r w:rsidRPr="003D1BF1">
        <w:rPr>
          <w:rFonts w:ascii="Times New Roman" w:hAnsi="Times New Roman" w:cs="Times New Roman"/>
          <w:sz w:val="24"/>
          <w:szCs w:val="24"/>
        </w:rPr>
        <w:t xml:space="preserve"> have undermined the nuclear family given people the right to start lone parent families or to divorce from their partners. He also argues that individuals conclude that they can have children without having the need to work and keep a family together, meaning due to these benefits systems more children will bring more income without lone parents having to work. </w:t>
      </w:r>
    </w:p>
    <w:p w14:paraId="572160FD"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The New Right </w:t>
      </w:r>
    </w:p>
    <w:p w14:paraId="3692B9DB"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Around the 1980s, New Right Theorists argued that policies from the government was undermining the family, so policy changes had to come into force. Functionalist and New Right Theorists believe that the nuclear family is the only correct family. They believe that it is vital that children have a secure home, with married parents with the father going out to work and the mother stay at home to look after the children. They encouraged the conservative government to initiative the 1993 Back to Basics campaign, which became unsuccessful and highly criticised. This method has faced a lot of criticism. It fails to recognise that unequal relationships do occur amongst some families; that many lone parents socialise children well; and rules out the dark side of families e.g. abuse and child neglect/malnutrition. There have been many demographic trends within The New Right. In terms of marriage, arguments are more likely to occur of there is no cohabitation and create lone families; and married men are more employed (Morgan 2000). In terms of divorce trends, children from separated families </w:t>
      </w:r>
      <w:r w:rsidRPr="003D1BF1">
        <w:rPr>
          <w:rFonts w:ascii="Times New Roman" w:hAnsi="Times New Roman" w:cs="Times New Roman"/>
          <w:sz w:val="24"/>
          <w:szCs w:val="24"/>
        </w:rPr>
        <w:lastRenderedPageBreak/>
        <w:t xml:space="preserve">are more expected to make bad lifestyle choices like drinking alcohol, smoking and drug use, suffer from mental health and behavioural problems, become sexually active earlier and underachieve at school (Rogers and </w:t>
      </w:r>
      <w:proofErr w:type="spellStart"/>
      <w:r w:rsidRPr="003D1BF1">
        <w:rPr>
          <w:rFonts w:ascii="Times New Roman" w:hAnsi="Times New Roman" w:cs="Times New Roman"/>
          <w:sz w:val="24"/>
          <w:szCs w:val="24"/>
        </w:rPr>
        <w:t>Pryer</w:t>
      </w:r>
      <w:proofErr w:type="spellEnd"/>
      <w:r w:rsidRPr="003D1BF1">
        <w:rPr>
          <w:rFonts w:ascii="Times New Roman" w:hAnsi="Times New Roman" w:cs="Times New Roman"/>
          <w:sz w:val="24"/>
          <w:szCs w:val="24"/>
        </w:rPr>
        <w:t xml:space="preserve"> 1998). When it comes to social policies, trends </w:t>
      </w:r>
      <w:proofErr w:type="gramStart"/>
      <w:r w:rsidRPr="003D1BF1">
        <w:rPr>
          <w:rFonts w:ascii="Times New Roman" w:hAnsi="Times New Roman" w:cs="Times New Roman"/>
          <w:sz w:val="24"/>
          <w:szCs w:val="24"/>
        </w:rPr>
        <w:t>has</w:t>
      </w:r>
      <w:proofErr w:type="gramEnd"/>
      <w:r w:rsidRPr="003D1BF1">
        <w:rPr>
          <w:rFonts w:ascii="Times New Roman" w:hAnsi="Times New Roman" w:cs="Times New Roman"/>
          <w:sz w:val="24"/>
          <w:szCs w:val="24"/>
        </w:rPr>
        <w:t xml:space="preserve"> shown that the government is </w:t>
      </w:r>
      <w:proofErr w:type="spellStart"/>
      <w:r w:rsidRPr="003D1BF1">
        <w:rPr>
          <w:rFonts w:ascii="Times New Roman" w:hAnsi="Times New Roman" w:cs="Times New Roman"/>
          <w:sz w:val="24"/>
          <w:szCs w:val="24"/>
        </w:rPr>
        <w:t>a</w:t>
      </w:r>
      <w:proofErr w:type="spellEnd"/>
      <w:r w:rsidRPr="003D1BF1">
        <w:rPr>
          <w:rFonts w:ascii="Times New Roman" w:hAnsi="Times New Roman" w:cs="Times New Roman"/>
          <w:sz w:val="24"/>
          <w:szCs w:val="24"/>
        </w:rPr>
        <w:t xml:space="preserve"> anti-marriage divorce reform that encourages women to work, and welfare benefits lone parents (Morgan 2000). Valerie Riches argued that sex education harms young people and allowing women to work undermines male roles in society. According to the British Social Attitudes Survey, women still take on more roles in the home than men and more men stick to working roles. </w:t>
      </w:r>
    </w:p>
    <w:p w14:paraId="35F0C846" w14:textId="77777777" w:rsidR="00D55040" w:rsidRPr="003D1BF1" w:rsidRDefault="00D55040" w:rsidP="00D55040">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Barret and McIntosh (1982) argued that the idea of family ideology is deemed as ‘antisocial’ because it dismisses other family types outside the nuclear family as irrelevant or deviant, and that lone-parent families are one of the main social causes of disrespect to authorities and the rise of crime rates. </w:t>
      </w:r>
    </w:p>
    <w:p w14:paraId="713FE45E" w14:textId="77777777" w:rsidR="008732A0" w:rsidRDefault="008732A0">
      <w:pPr>
        <w:rPr>
          <w:rFonts w:ascii="Times New Roman" w:hAnsi="Times New Roman" w:cs="Times New Roman"/>
          <w:sz w:val="24"/>
          <w:szCs w:val="24"/>
        </w:rPr>
      </w:pPr>
    </w:p>
    <w:p w14:paraId="3B28DA2B" w14:textId="77777777" w:rsidR="00B329BB" w:rsidRDefault="00B329BB">
      <w:pPr>
        <w:rPr>
          <w:rFonts w:ascii="Times New Roman" w:hAnsi="Times New Roman" w:cs="Times New Roman"/>
          <w:sz w:val="24"/>
          <w:szCs w:val="24"/>
        </w:rPr>
      </w:pPr>
      <w:r>
        <w:rPr>
          <w:rFonts w:ascii="Times New Roman" w:hAnsi="Times New Roman" w:cs="Times New Roman"/>
          <w:sz w:val="24"/>
          <w:szCs w:val="24"/>
        </w:rPr>
        <w:t xml:space="preserve">References </w:t>
      </w:r>
    </w:p>
    <w:p w14:paraId="29466C61" w14:textId="77777777" w:rsidR="00FE3D0B" w:rsidRPr="00FE3D0B" w:rsidRDefault="00FE3D0B" w:rsidP="00FE3D0B">
      <w:pPr>
        <w:spacing w:after="180" w:line="240" w:lineRule="auto"/>
        <w:ind w:left="450" w:hanging="450"/>
        <w:rPr>
          <w:rFonts w:ascii="&amp;quot" w:eastAsia="Times New Roman" w:hAnsi="&amp;quot" w:cs="Times New Roman"/>
          <w:color w:val="000000"/>
          <w:sz w:val="24"/>
          <w:szCs w:val="24"/>
          <w:lang w:eastAsia="en-GB"/>
        </w:rPr>
      </w:pPr>
      <w:r w:rsidRPr="00FE3D0B">
        <w:rPr>
          <w:rFonts w:ascii="&amp;quot" w:eastAsia="Times New Roman" w:hAnsi="&amp;quot" w:cs="Times New Roman"/>
          <w:color w:val="000000"/>
          <w:sz w:val="24"/>
          <w:szCs w:val="24"/>
          <w:lang w:eastAsia="en-GB"/>
        </w:rPr>
        <w:t xml:space="preserve">Ali </w:t>
      </w:r>
      <w:proofErr w:type="spellStart"/>
      <w:r w:rsidRPr="00FE3D0B">
        <w:rPr>
          <w:rFonts w:ascii="&amp;quot" w:eastAsia="Times New Roman" w:hAnsi="&amp;quot" w:cs="Times New Roman"/>
          <w:color w:val="000000"/>
          <w:sz w:val="24"/>
          <w:szCs w:val="24"/>
          <w:lang w:eastAsia="en-GB"/>
        </w:rPr>
        <w:t>Norozi</w:t>
      </w:r>
      <w:proofErr w:type="spellEnd"/>
      <w:r w:rsidRPr="00FE3D0B">
        <w:rPr>
          <w:rFonts w:ascii="&amp;quot" w:eastAsia="Times New Roman" w:hAnsi="&amp;quot" w:cs="Times New Roman"/>
          <w:color w:val="000000"/>
          <w:sz w:val="24"/>
          <w:szCs w:val="24"/>
          <w:lang w:eastAsia="en-GB"/>
        </w:rPr>
        <w:t xml:space="preserve">, S. and Moen, T., 2016. </w:t>
      </w:r>
      <w:r w:rsidRPr="00FE3D0B">
        <w:rPr>
          <w:rFonts w:ascii="&amp;quot" w:eastAsia="Times New Roman" w:hAnsi="&amp;quot" w:cs="Times New Roman"/>
          <w:i/>
          <w:iCs/>
          <w:color w:val="000000"/>
          <w:sz w:val="24"/>
          <w:szCs w:val="24"/>
          <w:lang w:eastAsia="en-GB"/>
        </w:rPr>
        <w:t xml:space="preserve">Childhood </w:t>
      </w:r>
      <w:proofErr w:type="gramStart"/>
      <w:r w:rsidRPr="00FE3D0B">
        <w:rPr>
          <w:rFonts w:ascii="&amp;quot" w:eastAsia="Times New Roman" w:hAnsi="&amp;quot" w:cs="Times New Roman"/>
          <w:i/>
          <w:iCs/>
          <w:color w:val="000000"/>
          <w:sz w:val="24"/>
          <w:szCs w:val="24"/>
          <w:lang w:eastAsia="en-GB"/>
        </w:rPr>
        <w:t>As</w:t>
      </w:r>
      <w:proofErr w:type="gramEnd"/>
      <w:r w:rsidRPr="00FE3D0B">
        <w:rPr>
          <w:rFonts w:ascii="&amp;quot" w:eastAsia="Times New Roman" w:hAnsi="&amp;quot" w:cs="Times New Roman"/>
          <w:i/>
          <w:iCs/>
          <w:color w:val="000000"/>
          <w:sz w:val="24"/>
          <w:szCs w:val="24"/>
          <w:lang w:eastAsia="en-GB"/>
        </w:rPr>
        <w:t xml:space="preserve"> A Social Construction</w:t>
      </w:r>
      <w:r w:rsidRPr="00FE3D0B">
        <w:rPr>
          <w:rFonts w:ascii="&amp;quot" w:eastAsia="Times New Roman" w:hAnsi="&amp;quot" w:cs="Times New Roman"/>
          <w:color w:val="000000"/>
          <w:sz w:val="24"/>
          <w:szCs w:val="24"/>
          <w:lang w:eastAsia="en-GB"/>
        </w:rPr>
        <w:t>. [online] Mcser.org. Available at:</w:t>
      </w:r>
      <w:r>
        <w:rPr>
          <w:rFonts w:ascii="&amp;quot" w:eastAsia="Times New Roman" w:hAnsi="&amp;quot" w:cs="Times New Roman"/>
          <w:color w:val="000000"/>
          <w:sz w:val="24"/>
          <w:szCs w:val="24"/>
          <w:lang w:eastAsia="en-GB"/>
        </w:rPr>
        <w:t xml:space="preserve"> </w:t>
      </w:r>
      <w:hyperlink r:id="rId8" w:history="1">
        <w:r w:rsidRPr="00FE3D0B">
          <w:rPr>
            <w:rStyle w:val="Hyperlink"/>
            <w:rFonts w:ascii="&amp;quot" w:eastAsia="Times New Roman" w:hAnsi="&amp;quot" w:cs="Times New Roman"/>
            <w:sz w:val="24"/>
            <w:szCs w:val="24"/>
            <w:lang w:eastAsia="en-GB"/>
          </w:rPr>
          <w:t>https://www.mcser.org/journal/index.php/jesr/article/viewFile/9151/8837</w:t>
        </w:r>
      </w:hyperlink>
      <w:r>
        <w:rPr>
          <w:rFonts w:ascii="&amp;quot" w:eastAsia="Times New Roman" w:hAnsi="&amp;quot" w:cs="Times New Roman"/>
          <w:color w:val="000000"/>
          <w:sz w:val="24"/>
          <w:szCs w:val="24"/>
          <w:lang w:eastAsia="en-GB"/>
        </w:rPr>
        <w:t xml:space="preserve"> </w:t>
      </w:r>
    </w:p>
    <w:p w14:paraId="0DB88707" w14:textId="77777777" w:rsidR="00FE3D0B" w:rsidRPr="00FE3D0B" w:rsidRDefault="00FE3D0B" w:rsidP="00FE3D0B">
      <w:pPr>
        <w:spacing w:after="180" w:line="240" w:lineRule="auto"/>
        <w:ind w:left="450" w:hanging="450"/>
        <w:rPr>
          <w:rFonts w:ascii="&amp;quot" w:eastAsia="Times New Roman" w:hAnsi="&amp;quot" w:cs="Times New Roman"/>
          <w:color w:val="000000"/>
          <w:sz w:val="24"/>
          <w:szCs w:val="24"/>
          <w:lang w:eastAsia="en-GB"/>
        </w:rPr>
      </w:pPr>
      <w:r w:rsidRPr="00FE3D0B">
        <w:rPr>
          <w:rFonts w:ascii="&amp;quot" w:eastAsia="Times New Roman" w:hAnsi="&amp;quot" w:cs="Times New Roman"/>
          <w:color w:val="000000"/>
          <w:sz w:val="24"/>
          <w:szCs w:val="24"/>
          <w:lang w:eastAsia="en-GB"/>
        </w:rPr>
        <w:t xml:space="preserve">Beauregard, A., </w:t>
      </w:r>
      <w:proofErr w:type="spellStart"/>
      <w:r w:rsidRPr="00FE3D0B">
        <w:rPr>
          <w:rFonts w:ascii="&amp;quot" w:eastAsia="Times New Roman" w:hAnsi="&amp;quot" w:cs="Times New Roman"/>
          <w:color w:val="000000"/>
          <w:sz w:val="24"/>
          <w:szCs w:val="24"/>
          <w:lang w:eastAsia="en-GB"/>
        </w:rPr>
        <w:t>Ozbilgin</w:t>
      </w:r>
      <w:proofErr w:type="spellEnd"/>
      <w:r w:rsidRPr="00FE3D0B">
        <w:rPr>
          <w:rFonts w:ascii="&amp;quot" w:eastAsia="Times New Roman" w:hAnsi="&amp;quot" w:cs="Times New Roman"/>
          <w:color w:val="000000"/>
          <w:sz w:val="24"/>
          <w:szCs w:val="24"/>
          <w:lang w:eastAsia="en-GB"/>
        </w:rPr>
        <w:t xml:space="preserve">, M. and Bell, M., 2009. </w:t>
      </w:r>
      <w:r w:rsidRPr="00FE3D0B">
        <w:rPr>
          <w:rFonts w:ascii="&amp;quot" w:eastAsia="Times New Roman" w:hAnsi="&amp;quot" w:cs="Times New Roman"/>
          <w:i/>
          <w:iCs/>
          <w:color w:val="000000"/>
          <w:sz w:val="24"/>
          <w:szCs w:val="24"/>
          <w:lang w:eastAsia="en-GB"/>
        </w:rPr>
        <w:t xml:space="preserve">Revisiting </w:t>
      </w:r>
      <w:proofErr w:type="gramStart"/>
      <w:r w:rsidRPr="00FE3D0B">
        <w:rPr>
          <w:rFonts w:ascii="&amp;quot" w:eastAsia="Times New Roman" w:hAnsi="&amp;quot" w:cs="Times New Roman"/>
          <w:i/>
          <w:iCs/>
          <w:color w:val="000000"/>
          <w:sz w:val="24"/>
          <w:szCs w:val="24"/>
          <w:lang w:eastAsia="en-GB"/>
        </w:rPr>
        <w:t>The</w:t>
      </w:r>
      <w:proofErr w:type="gramEnd"/>
      <w:r w:rsidRPr="00FE3D0B">
        <w:rPr>
          <w:rFonts w:ascii="&amp;quot" w:eastAsia="Times New Roman" w:hAnsi="&amp;quot" w:cs="Times New Roman"/>
          <w:i/>
          <w:iCs/>
          <w:color w:val="000000"/>
          <w:sz w:val="24"/>
          <w:szCs w:val="24"/>
          <w:lang w:eastAsia="en-GB"/>
        </w:rPr>
        <w:t xml:space="preserve"> Social Construction Of Family In The Context Of Work</w:t>
      </w:r>
      <w:r w:rsidRPr="00FE3D0B">
        <w:rPr>
          <w:rFonts w:ascii="&amp;quot" w:eastAsia="Times New Roman" w:hAnsi="&amp;quot" w:cs="Times New Roman"/>
          <w:color w:val="000000"/>
          <w:sz w:val="24"/>
          <w:szCs w:val="24"/>
          <w:lang w:eastAsia="en-GB"/>
        </w:rPr>
        <w:t xml:space="preserve">. [online] Eprints.lse.ac.uk. Available at: </w:t>
      </w:r>
      <w:hyperlink r:id="rId9" w:history="1">
        <w:r w:rsidRPr="00FE3D0B">
          <w:rPr>
            <w:rStyle w:val="Hyperlink"/>
            <w:rFonts w:ascii="&amp;quot" w:eastAsia="Times New Roman" w:hAnsi="&amp;quot" w:cs="Times New Roman"/>
            <w:sz w:val="24"/>
            <w:szCs w:val="24"/>
            <w:lang w:eastAsia="en-GB"/>
          </w:rPr>
          <w:t>http://eprints.lse.ac.uk/25220/2/Revisiting_the_social_construction_of_family_in_the_context_of_work_(LSERO_version).pdf</w:t>
        </w:r>
      </w:hyperlink>
      <w:r>
        <w:rPr>
          <w:rFonts w:ascii="&amp;quot" w:eastAsia="Times New Roman" w:hAnsi="&amp;quot" w:cs="Times New Roman"/>
          <w:color w:val="000000"/>
          <w:sz w:val="24"/>
          <w:szCs w:val="24"/>
          <w:lang w:eastAsia="en-GB"/>
        </w:rPr>
        <w:t xml:space="preserve"> </w:t>
      </w:r>
    </w:p>
    <w:p w14:paraId="7B20DD73" w14:textId="77777777" w:rsidR="00FE3D0B" w:rsidRPr="00FE3D0B" w:rsidRDefault="00FE3D0B" w:rsidP="00FE3D0B">
      <w:pPr>
        <w:spacing w:after="180" w:line="240" w:lineRule="auto"/>
        <w:ind w:left="450" w:hanging="450"/>
        <w:rPr>
          <w:rFonts w:ascii="&amp;quot" w:eastAsia="Times New Roman" w:hAnsi="&amp;quot" w:cs="Times New Roman"/>
          <w:color w:val="000000"/>
          <w:sz w:val="24"/>
          <w:szCs w:val="24"/>
          <w:lang w:eastAsia="en-GB"/>
        </w:rPr>
      </w:pPr>
      <w:r w:rsidRPr="00FE3D0B">
        <w:rPr>
          <w:rFonts w:ascii="&amp;quot" w:eastAsia="Times New Roman" w:hAnsi="&amp;quot" w:cs="Times New Roman"/>
          <w:color w:val="000000"/>
          <w:sz w:val="24"/>
          <w:szCs w:val="24"/>
          <w:lang w:eastAsia="en-GB"/>
        </w:rPr>
        <w:t xml:space="preserve">Crawford, S. and Lewis, C., 2009. </w:t>
      </w:r>
      <w:r w:rsidRPr="00FE3D0B">
        <w:rPr>
          <w:rFonts w:ascii="&amp;quot" w:eastAsia="Times New Roman" w:hAnsi="&amp;quot" w:cs="Times New Roman"/>
          <w:i/>
          <w:iCs/>
          <w:color w:val="000000"/>
          <w:sz w:val="24"/>
          <w:szCs w:val="24"/>
          <w:lang w:eastAsia="en-GB"/>
        </w:rPr>
        <w:t xml:space="preserve">Childhood Studies </w:t>
      </w:r>
      <w:proofErr w:type="gramStart"/>
      <w:r w:rsidRPr="00FE3D0B">
        <w:rPr>
          <w:rFonts w:ascii="&amp;quot" w:eastAsia="Times New Roman" w:hAnsi="&amp;quot" w:cs="Times New Roman"/>
          <w:i/>
          <w:iCs/>
          <w:color w:val="000000"/>
          <w:sz w:val="24"/>
          <w:szCs w:val="24"/>
          <w:lang w:eastAsia="en-GB"/>
        </w:rPr>
        <w:t>And</w:t>
      </w:r>
      <w:proofErr w:type="gramEnd"/>
      <w:r w:rsidRPr="00FE3D0B">
        <w:rPr>
          <w:rFonts w:ascii="&amp;quot" w:eastAsia="Times New Roman" w:hAnsi="&amp;quot" w:cs="Times New Roman"/>
          <w:i/>
          <w:iCs/>
          <w:color w:val="000000"/>
          <w:sz w:val="24"/>
          <w:szCs w:val="24"/>
          <w:lang w:eastAsia="en-GB"/>
        </w:rPr>
        <w:t xml:space="preserve"> The Society For The Study Of Childhood In The Past</w:t>
      </w:r>
      <w:r w:rsidRPr="00FE3D0B">
        <w:rPr>
          <w:rFonts w:ascii="&amp;quot" w:eastAsia="Times New Roman" w:hAnsi="&amp;quot" w:cs="Times New Roman"/>
          <w:color w:val="000000"/>
          <w:sz w:val="24"/>
          <w:szCs w:val="24"/>
          <w:lang w:eastAsia="en-GB"/>
        </w:rPr>
        <w:t xml:space="preserve">. [online] Tandfonline.com. Available at: </w:t>
      </w:r>
      <w:hyperlink r:id="rId10" w:history="1">
        <w:r w:rsidRPr="00FE3D0B">
          <w:rPr>
            <w:rStyle w:val="Hyperlink"/>
            <w:rFonts w:ascii="&amp;quot" w:eastAsia="Times New Roman" w:hAnsi="&amp;quot" w:cs="Times New Roman"/>
            <w:sz w:val="24"/>
            <w:szCs w:val="24"/>
            <w:lang w:eastAsia="en-GB"/>
          </w:rPr>
          <w:t>https://www.tandfonline.com/doi/pdf/10.1179/cip.2009.1.1.5</w:t>
        </w:r>
      </w:hyperlink>
      <w:r>
        <w:rPr>
          <w:rFonts w:ascii="&amp;quot" w:eastAsia="Times New Roman" w:hAnsi="&amp;quot" w:cs="Times New Roman"/>
          <w:color w:val="000000"/>
          <w:sz w:val="24"/>
          <w:szCs w:val="24"/>
          <w:lang w:eastAsia="en-GB"/>
        </w:rPr>
        <w:t xml:space="preserve"> </w:t>
      </w:r>
    </w:p>
    <w:p w14:paraId="36DC70AD" w14:textId="77777777" w:rsidR="00FE3D0B" w:rsidRPr="00FE3D0B" w:rsidRDefault="00FE3D0B" w:rsidP="00FE3D0B">
      <w:pPr>
        <w:spacing w:after="180" w:line="240" w:lineRule="auto"/>
        <w:ind w:left="450" w:hanging="450"/>
        <w:rPr>
          <w:rFonts w:ascii="&amp;quot" w:eastAsia="Times New Roman" w:hAnsi="&amp;quot" w:cs="Times New Roman"/>
          <w:color w:val="000000"/>
          <w:sz w:val="24"/>
          <w:szCs w:val="24"/>
          <w:lang w:eastAsia="en-GB"/>
        </w:rPr>
      </w:pPr>
      <w:r w:rsidRPr="00FE3D0B">
        <w:rPr>
          <w:rFonts w:ascii="&amp;quot" w:eastAsia="Times New Roman" w:hAnsi="&amp;quot" w:cs="Times New Roman"/>
          <w:color w:val="000000"/>
          <w:sz w:val="24"/>
          <w:szCs w:val="24"/>
          <w:lang w:eastAsia="en-GB"/>
        </w:rPr>
        <w:t xml:space="preserve">G, D., 2020. </w:t>
      </w:r>
      <w:r w:rsidRPr="00FE3D0B">
        <w:rPr>
          <w:rFonts w:ascii="&amp;quot" w:eastAsia="Times New Roman" w:hAnsi="&amp;quot" w:cs="Times New Roman"/>
          <w:i/>
          <w:iCs/>
          <w:color w:val="000000"/>
          <w:sz w:val="24"/>
          <w:szCs w:val="24"/>
          <w:lang w:eastAsia="en-GB"/>
        </w:rPr>
        <w:t>The New Right - Family Diversity</w:t>
      </w:r>
      <w:r w:rsidRPr="00FE3D0B">
        <w:rPr>
          <w:rFonts w:ascii="&amp;quot" w:eastAsia="Times New Roman" w:hAnsi="&amp;quot" w:cs="Times New Roman"/>
          <w:color w:val="000000"/>
          <w:sz w:val="24"/>
          <w:szCs w:val="24"/>
          <w:lang w:eastAsia="en-GB"/>
        </w:rPr>
        <w:t xml:space="preserve">. [online] Sociology Revision AQA. Available at: </w:t>
      </w:r>
      <w:hyperlink r:id="rId11" w:history="1">
        <w:r w:rsidRPr="00FE3D0B">
          <w:rPr>
            <w:rStyle w:val="Hyperlink"/>
            <w:rFonts w:ascii="&amp;quot" w:eastAsia="Times New Roman" w:hAnsi="&amp;quot" w:cs="Times New Roman"/>
            <w:sz w:val="24"/>
            <w:szCs w:val="24"/>
            <w:lang w:eastAsia="en-GB"/>
          </w:rPr>
          <w:t>https://revisesociology.weebly.com/new-right.html#</w:t>
        </w:r>
      </w:hyperlink>
      <w:r>
        <w:rPr>
          <w:rFonts w:ascii="&amp;quot" w:eastAsia="Times New Roman" w:hAnsi="&amp;quot" w:cs="Times New Roman"/>
          <w:color w:val="000000"/>
          <w:sz w:val="24"/>
          <w:szCs w:val="24"/>
          <w:lang w:eastAsia="en-GB"/>
        </w:rPr>
        <w:t xml:space="preserve"> </w:t>
      </w:r>
    </w:p>
    <w:p w14:paraId="41DB65E7" w14:textId="77777777" w:rsidR="00FE3D0B" w:rsidRPr="00FE3D0B" w:rsidRDefault="00FE3D0B" w:rsidP="00FE3D0B">
      <w:pPr>
        <w:spacing w:after="180" w:line="240" w:lineRule="auto"/>
        <w:ind w:left="450" w:hanging="450"/>
        <w:rPr>
          <w:rFonts w:ascii="&amp;quot" w:eastAsia="Times New Roman" w:hAnsi="&amp;quot" w:cs="Times New Roman"/>
          <w:color w:val="000000"/>
          <w:sz w:val="24"/>
          <w:szCs w:val="24"/>
          <w:lang w:eastAsia="en-GB"/>
        </w:rPr>
      </w:pPr>
      <w:r w:rsidRPr="00FE3D0B">
        <w:rPr>
          <w:rFonts w:ascii="&amp;quot" w:eastAsia="Times New Roman" w:hAnsi="&amp;quot" w:cs="Times New Roman"/>
          <w:color w:val="000000"/>
          <w:sz w:val="24"/>
          <w:szCs w:val="24"/>
          <w:lang w:eastAsia="en-GB"/>
        </w:rPr>
        <w:t xml:space="preserve">Mallon, R., 2019. </w:t>
      </w:r>
      <w:r w:rsidRPr="00FE3D0B">
        <w:rPr>
          <w:rFonts w:ascii="&amp;quot" w:eastAsia="Times New Roman" w:hAnsi="&amp;quot" w:cs="Times New Roman"/>
          <w:i/>
          <w:iCs/>
          <w:color w:val="000000"/>
          <w:sz w:val="24"/>
          <w:szCs w:val="24"/>
          <w:lang w:eastAsia="en-GB"/>
        </w:rPr>
        <w:t xml:space="preserve">Naturalistic Approaches </w:t>
      </w:r>
      <w:proofErr w:type="gramStart"/>
      <w:r w:rsidRPr="00FE3D0B">
        <w:rPr>
          <w:rFonts w:ascii="&amp;quot" w:eastAsia="Times New Roman" w:hAnsi="&amp;quot" w:cs="Times New Roman"/>
          <w:i/>
          <w:iCs/>
          <w:color w:val="000000"/>
          <w:sz w:val="24"/>
          <w:szCs w:val="24"/>
          <w:lang w:eastAsia="en-GB"/>
        </w:rPr>
        <w:t>To</w:t>
      </w:r>
      <w:proofErr w:type="gramEnd"/>
      <w:r w:rsidRPr="00FE3D0B">
        <w:rPr>
          <w:rFonts w:ascii="&amp;quot" w:eastAsia="Times New Roman" w:hAnsi="&amp;quot" w:cs="Times New Roman"/>
          <w:i/>
          <w:iCs/>
          <w:color w:val="000000"/>
          <w:sz w:val="24"/>
          <w:szCs w:val="24"/>
          <w:lang w:eastAsia="en-GB"/>
        </w:rPr>
        <w:t xml:space="preserve"> Social Construction</w:t>
      </w:r>
      <w:r w:rsidRPr="00FE3D0B">
        <w:rPr>
          <w:rFonts w:ascii="&amp;quot" w:eastAsia="Times New Roman" w:hAnsi="&amp;quot" w:cs="Times New Roman"/>
          <w:color w:val="000000"/>
          <w:sz w:val="24"/>
          <w:szCs w:val="24"/>
          <w:lang w:eastAsia="en-GB"/>
        </w:rPr>
        <w:t xml:space="preserve">. [online] Plato.stanford.edu. Available at: </w:t>
      </w:r>
      <w:hyperlink r:id="rId12" w:history="1">
        <w:r w:rsidRPr="00FE3D0B">
          <w:rPr>
            <w:rStyle w:val="Hyperlink"/>
            <w:rFonts w:ascii="&amp;quot" w:eastAsia="Times New Roman" w:hAnsi="&amp;quot" w:cs="Times New Roman"/>
            <w:sz w:val="24"/>
            <w:szCs w:val="24"/>
            <w:lang w:eastAsia="en-GB"/>
          </w:rPr>
          <w:t>https://plato.stanford.edu/entries/social-construction-naturalistic/</w:t>
        </w:r>
      </w:hyperlink>
      <w:r>
        <w:rPr>
          <w:rFonts w:ascii="&amp;quot" w:eastAsia="Times New Roman" w:hAnsi="&amp;quot" w:cs="Times New Roman"/>
          <w:color w:val="000000"/>
          <w:sz w:val="24"/>
          <w:szCs w:val="24"/>
          <w:lang w:eastAsia="en-GB"/>
        </w:rPr>
        <w:t xml:space="preserve"> </w:t>
      </w:r>
    </w:p>
    <w:p w14:paraId="18E12C95" w14:textId="77777777" w:rsidR="00FE3D0B" w:rsidRPr="00FE3D0B" w:rsidRDefault="00FE3D0B" w:rsidP="00FE3D0B">
      <w:pPr>
        <w:spacing w:after="180" w:line="240" w:lineRule="auto"/>
        <w:ind w:left="450" w:hanging="450"/>
        <w:rPr>
          <w:rFonts w:ascii="&amp;quot" w:eastAsia="Times New Roman" w:hAnsi="&amp;quot" w:cs="Times New Roman"/>
          <w:color w:val="000000"/>
          <w:sz w:val="24"/>
          <w:szCs w:val="24"/>
          <w:lang w:eastAsia="en-GB"/>
        </w:rPr>
      </w:pPr>
      <w:proofErr w:type="spellStart"/>
      <w:r w:rsidRPr="00FE3D0B">
        <w:rPr>
          <w:rFonts w:ascii="&amp;quot" w:eastAsia="Times New Roman" w:hAnsi="&amp;quot" w:cs="Times New Roman"/>
          <w:color w:val="000000"/>
          <w:sz w:val="24"/>
          <w:szCs w:val="24"/>
          <w:lang w:eastAsia="en-GB"/>
        </w:rPr>
        <w:t>Rainbridge</w:t>
      </w:r>
      <w:proofErr w:type="spellEnd"/>
      <w:r w:rsidRPr="00FE3D0B">
        <w:rPr>
          <w:rFonts w:ascii="&amp;quot" w:eastAsia="Times New Roman" w:hAnsi="&amp;quot" w:cs="Times New Roman"/>
          <w:color w:val="000000"/>
          <w:sz w:val="24"/>
          <w:szCs w:val="24"/>
          <w:lang w:eastAsia="en-GB"/>
        </w:rPr>
        <w:t xml:space="preserve">, C., 2019. </w:t>
      </w:r>
      <w:r w:rsidRPr="00FE3D0B">
        <w:rPr>
          <w:rFonts w:ascii="&amp;quot" w:eastAsia="Times New Roman" w:hAnsi="&amp;quot" w:cs="Times New Roman"/>
          <w:i/>
          <w:iCs/>
          <w:color w:val="000000"/>
          <w:sz w:val="24"/>
          <w:szCs w:val="24"/>
          <w:lang w:eastAsia="en-GB"/>
        </w:rPr>
        <w:t xml:space="preserve">Why People Make Social Constructs </w:t>
      </w:r>
      <w:proofErr w:type="gramStart"/>
      <w:r w:rsidRPr="00FE3D0B">
        <w:rPr>
          <w:rFonts w:ascii="&amp;quot" w:eastAsia="Times New Roman" w:hAnsi="&amp;quot" w:cs="Times New Roman"/>
          <w:i/>
          <w:iCs/>
          <w:color w:val="000000"/>
          <w:sz w:val="24"/>
          <w:szCs w:val="24"/>
          <w:lang w:eastAsia="en-GB"/>
        </w:rPr>
        <w:t>And</w:t>
      </w:r>
      <w:proofErr w:type="gramEnd"/>
      <w:r w:rsidRPr="00FE3D0B">
        <w:rPr>
          <w:rFonts w:ascii="&amp;quot" w:eastAsia="Times New Roman" w:hAnsi="&amp;quot" w:cs="Times New Roman"/>
          <w:i/>
          <w:iCs/>
          <w:color w:val="000000"/>
          <w:sz w:val="24"/>
          <w:szCs w:val="24"/>
          <w:lang w:eastAsia="en-GB"/>
        </w:rPr>
        <w:t xml:space="preserve"> How They Can Change</w:t>
      </w:r>
      <w:r w:rsidRPr="00FE3D0B">
        <w:rPr>
          <w:rFonts w:ascii="&amp;quot" w:eastAsia="Times New Roman" w:hAnsi="&amp;quot" w:cs="Times New Roman"/>
          <w:color w:val="000000"/>
          <w:sz w:val="24"/>
          <w:szCs w:val="24"/>
          <w:lang w:eastAsia="en-GB"/>
        </w:rPr>
        <w:t xml:space="preserve">. [online] </w:t>
      </w:r>
      <w:proofErr w:type="spellStart"/>
      <w:r w:rsidRPr="00FE3D0B">
        <w:rPr>
          <w:rFonts w:ascii="&amp;quot" w:eastAsia="Times New Roman" w:hAnsi="&amp;quot" w:cs="Times New Roman"/>
          <w:color w:val="000000"/>
          <w:sz w:val="24"/>
          <w:szCs w:val="24"/>
          <w:lang w:eastAsia="en-GB"/>
        </w:rPr>
        <w:t>Verywell</w:t>
      </w:r>
      <w:proofErr w:type="spellEnd"/>
      <w:r w:rsidRPr="00FE3D0B">
        <w:rPr>
          <w:rFonts w:ascii="&amp;quot" w:eastAsia="Times New Roman" w:hAnsi="&amp;quot" w:cs="Times New Roman"/>
          <w:color w:val="000000"/>
          <w:sz w:val="24"/>
          <w:szCs w:val="24"/>
          <w:lang w:eastAsia="en-GB"/>
        </w:rPr>
        <w:t xml:space="preserve"> Family. Available at: </w:t>
      </w:r>
      <w:hyperlink r:id="rId13" w:history="1">
        <w:r w:rsidRPr="00FE3D0B">
          <w:rPr>
            <w:rStyle w:val="Hyperlink"/>
            <w:rFonts w:ascii="&amp;quot" w:eastAsia="Times New Roman" w:hAnsi="&amp;quot" w:cs="Times New Roman"/>
            <w:sz w:val="24"/>
            <w:szCs w:val="24"/>
            <w:lang w:eastAsia="en-GB"/>
          </w:rPr>
          <w:t>https://www.verywellfamily.com/definition-of-social-construct-1448922</w:t>
        </w:r>
      </w:hyperlink>
      <w:r>
        <w:rPr>
          <w:rFonts w:ascii="&amp;quot" w:eastAsia="Times New Roman" w:hAnsi="&amp;quot" w:cs="Times New Roman"/>
          <w:color w:val="000000"/>
          <w:sz w:val="24"/>
          <w:szCs w:val="24"/>
          <w:lang w:eastAsia="en-GB"/>
        </w:rPr>
        <w:t xml:space="preserve"> </w:t>
      </w:r>
    </w:p>
    <w:p w14:paraId="1178058E" w14:textId="77777777" w:rsidR="00B329BB" w:rsidRDefault="00B329BB"/>
    <w:sectPr w:rsidR="00B329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0A47F8"/>
    <w:multiLevelType w:val="hybridMultilevel"/>
    <w:tmpl w:val="8D58D2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040"/>
    <w:rsid w:val="000D6F60"/>
    <w:rsid w:val="00611520"/>
    <w:rsid w:val="006D4A2C"/>
    <w:rsid w:val="006F03AC"/>
    <w:rsid w:val="0076161A"/>
    <w:rsid w:val="00846BBB"/>
    <w:rsid w:val="008732A0"/>
    <w:rsid w:val="00B329BB"/>
    <w:rsid w:val="00C20E8F"/>
    <w:rsid w:val="00C9744F"/>
    <w:rsid w:val="00D55040"/>
    <w:rsid w:val="00FE3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6A6A4"/>
  <w15:chartTrackingRefBased/>
  <w15:docId w15:val="{28FEE5EE-2D5B-4E93-916D-B159E4D89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0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040"/>
    <w:pPr>
      <w:ind w:left="720"/>
      <w:contextualSpacing/>
    </w:pPr>
  </w:style>
  <w:style w:type="table" w:styleId="TableGrid">
    <w:name w:val="Table Grid"/>
    <w:basedOn w:val="TableNormal"/>
    <w:uiPriority w:val="39"/>
    <w:rsid w:val="00D55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3D0B"/>
    <w:rPr>
      <w:color w:val="0563C1" w:themeColor="hyperlink"/>
      <w:u w:val="single"/>
    </w:rPr>
  </w:style>
  <w:style w:type="character" w:styleId="UnresolvedMention">
    <w:name w:val="Unresolved Mention"/>
    <w:basedOn w:val="DefaultParagraphFont"/>
    <w:uiPriority w:val="99"/>
    <w:semiHidden/>
    <w:unhideWhenUsed/>
    <w:rsid w:val="00FE3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02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ser.org/journal/index.php/jesr/article/viewFile/9151/8837" TargetMode="External"/><Relationship Id="rId13" Type="http://schemas.openxmlformats.org/officeDocument/2006/relationships/hyperlink" Target="https://www.verywellfamily.com/definition-of-social-construct-144892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ato.stanford.edu/entries/social-construction-naturalisti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visesociology.weebly.com/new-right.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tandfonline.com/doi/pdf/10.1179/cip.2009.1.1.5" TargetMode="External"/><Relationship Id="rId4" Type="http://schemas.openxmlformats.org/officeDocument/2006/relationships/numbering" Target="numbering.xml"/><Relationship Id="rId9" Type="http://schemas.openxmlformats.org/officeDocument/2006/relationships/hyperlink" Target="http://eprints.lse.ac.uk/25220/2/Revisiting_the_social_construction_of_family_in_the_context_of_work_(LSERO_versio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4BCED-BA79-45A8-91AD-2327FA103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95591A-3EBD-411F-9039-254BBD4971C9}">
  <ds:schemaRefs>
    <ds:schemaRef ds:uri="http://schemas.microsoft.com/sharepoint/v3/contenttype/forms"/>
  </ds:schemaRefs>
</ds:datastoreItem>
</file>

<file path=customXml/itemProps3.xml><?xml version="1.0" encoding="utf-8"?>
<ds:datastoreItem xmlns:ds="http://schemas.openxmlformats.org/officeDocument/2006/customXml" ds:itemID="{4723651C-0D71-44BF-B569-531583776270}">
  <ds:schemaRefs>
    <ds:schemaRef ds:uri="http://www.w3.org/XML/1998/namespace"/>
    <ds:schemaRef ds:uri="http://purl.org/dc/elements/1.1/"/>
    <ds:schemaRef ds:uri="http://schemas.microsoft.com/office/2006/metadata/properties"/>
    <ds:schemaRef ds:uri="http://schemas.microsoft.com/office/2006/documentManagement/types"/>
    <ds:schemaRef ds:uri="http://purl.org/dc/terms/"/>
    <ds:schemaRef ds:uri="http://purl.org/dc/dcmitype/"/>
    <ds:schemaRef ds:uri="016e731e-1cc7-4f6a-b7d3-07864f8c4f2a"/>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dcterms:created xsi:type="dcterms:W3CDTF">2020-05-08T14:42:00Z</dcterms:created>
  <dcterms:modified xsi:type="dcterms:W3CDTF">2020-05-08T14:42:00Z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