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94FFB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35E1">
              <w:rPr>
                <w:rFonts w:ascii="Times New Roman" w:hAnsi="Times New Roman" w:cs="Times New Roman"/>
                <w:b/>
                <w:color w:val="auto"/>
                <w:sz w:val="48"/>
              </w:rPr>
              <w:t>Rebecca Parker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E900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35E1">
              <w:rPr>
                <w:rFonts w:ascii="Times New Roman" w:hAnsi="Times New Roman" w:cs="Times New Roman"/>
                <w:b/>
                <w:color w:val="auto"/>
                <w:sz w:val="48"/>
              </w:rPr>
              <w:t xml:space="preserve"> </w:t>
            </w:r>
            <w:hyperlink r:id="rId11" w:history="1">
              <w:r w:rsidR="009535E1" w:rsidRPr="00D27393">
                <w:rPr>
                  <w:rStyle w:val="Hyperlink"/>
                  <w:rFonts w:ascii="Times New Roman" w:hAnsi="Times New Roman" w:cs="Times New Roman"/>
                  <w:b/>
                  <w:sz w:val="48"/>
                </w:rPr>
                <w:t>rebecca.parker@powys.gov.uk</w:t>
              </w:r>
            </w:hyperlink>
            <w:r w:rsidR="009535E1">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99C287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35E1">
              <w:rPr>
                <w:rFonts w:ascii="Times New Roman" w:hAnsi="Times New Roman" w:cs="Times New Roman"/>
                <w:b/>
                <w:color w:val="auto"/>
                <w:sz w:val="48"/>
              </w:rPr>
              <w:t xml:space="preserve"> </w:t>
            </w:r>
            <w:r w:rsidR="004C3904" w:rsidRPr="005666A8">
              <w:rPr>
                <w:rFonts w:ascii="Times New Roman" w:hAnsi="Times New Roman" w:cs="Times New Roman"/>
                <w:b/>
                <w:sz w:val="40"/>
                <w:szCs w:val="40"/>
              </w:rPr>
              <w:t>2329887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6D5DCB2E" w14:textId="77777777" w:rsidR="00560B29" w:rsidRDefault="00560B29">
            <w:pPr>
              <w:jc w:val="both"/>
              <w:rPr>
                <w:sz w:val="24"/>
                <w:szCs w:val="24"/>
              </w:rPr>
            </w:pPr>
          </w:p>
          <w:p w14:paraId="4BB2AE88" w14:textId="77777777" w:rsidR="00516CCA" w:rsidRPr="00516CCA" w:rsidRDefault="00516CCA" w:rsidP="00516CCA">
            <w:pPr>
              <w:jc w:val="both"/>
              <w:rPr>
                <w:sz w:val="24"/>
                <w:szCs w:val="24"/>
              </w:rPr>
            </w:pPr>
            <w:r w:rsidRPr="00516CCA">
              <w:rPr>
                <w:sz w:val="24"/>
                <w:szCs w:val="24"/>
              </w:rPr>
              <w:t xml:space="preserve">This case study is an opportunity for me to critically reflect on a Child Protection Investigation I undertook jointly with the Police. I will utilise Gibb’s Reflective Cycle (Gibbs, 1988) to help me critically reflect on the assessment and consider how I can use any learning from this and apply it in my future practice.  </w:t>
            </w:r>
          </w:p>
          <w:p w14:paraId="20DE8687" w14:textId="77777777" w:rsidR="00516CCA" w:rsidRPr="00516CCA" w:rsidRDefault="00516CCA" w:rsidP="00516CCA">
            <w:pPr>
              <w:jc w:val="both"/>
              <w:rPr>
                <w:sz w:val="24"/>
                <w:szCs w:val="24"/>
              </w:rPr>
            </w:pPr>
          </w:p>
          <w:p w14:paraId="13DBAAD5" w14:textId="77777777" w:rsidR="00516CCA" w:rsidRPr="00516CCA" w:rsidRDefault="00516CCA" w:rsidP="00516CCA">
            <w:pPr>
              <w:jc w:val="both"/>
              <w:rPr>
                <w:sz w:val="24"/>
                <w:szCs w:val="24"/>
              </w:rPr>
            </w:pPr>
            <w:r w:rsidRPr="00516CCA">
              <w:rPr>
                <w:sz w:val="24"/>
                <w:szCs w:val="24"/>
              </w:rPr>
              <w:t xml:space="preserve">This assessment was underpinned by Section 47 of the Children Act 1989 and Part 7 of the Social Services and Well-being (Wales) Act 2014, both of which places a duty on the Local Authority to protect children from significant harm, giving a legal basis for the assessment of the family.  Throughout my assessment, I applied a child centred approach (Social Care Wales, </w:t>
            </w:r>
            <w:proofErr w:type="spellStart"/>
            <w:r w:rsidRPr="00516CCA">
              <w:rPr>
                <w:sz w:val="24"/>
                <w:szCs w:val="24"/>
              </w:rPr>
              <w:t>n.d</w:t>
            </w:r>
            <w:proofErr w:type="spellEnd"/>
            <w:r w:rsidRPr="00516CCA">
              <w:rPr>
                <w:sz w:val="24"/>
                <w:szCs w:val="24"/>
              </w:rPr>
              <w:t xml:space="preserve">) in line with the Code of Professional Practice (Social Care Wales, 2017) and the National Occupational Standards (Social Care Wales, 2011).  Throughout the assessment, I utilised a Signs of Safety model (Edwards and Turnell, </w:t>
            </w:r>
            <w:proofErr w:type="spellStart"/>
            <w:r w:rsidRPr="00516CCA">
              <w:rPr>
                <w:sz w:val="24"/>
                <w:szCs w:val="24"/>
              </w:rPr>
              <w:t>n.d</w:t>
            </w:r>
            <w:proofErr w:type="spellEnd"/>
            <w:r w:rsidRPr="00516CCA">
              <w:rPr>
                <w:sz w:val="24"/>
                <w:szCs w:val="24"/>
              </w:rPr>
              <w:t xml:space="preserve">) to enable me to assess the risk with a balanced view of both the worries and what was working well to support me with my Professional Judgment and decision making.  </w:t>
            </w:r>
          </w:p>
          <w:p w14:paraId="6D357349" w14:textId="77777777" w:rsidR="00516CCA" w:rsidRPr="00516CCA" w:rsidRDefault="00516CCA" w:rsidP="00516CCA">
            <w:pPr>
              <w:jc w:val="both"/>
              <w:rPr>
                <w:sz w:val="24"/>
                <w:szCs w:val="24"/>
              </w:rPr>
            </w:pPr>
          </w:p>
          <w:p w14:paraId="3694A36B" w14:textId="77777777" w:rsidR="00516CCA" w:rsidRPr="00516CCA" w:rsidRDefault="00516CCA" w:rsidP="00516CCA">
            <w:pPr>
              <w:jc w:val="both"/>
              <w:rPr>
                <w:sz w:val="24"/>
                <w:szCs w:val="24"/>
              </w:rPr>
            </w:pPr>
            <w:r w:rsidRPr="00516CCA">
              <w:rPr>
                <w:sz w:val="24"/>
                <w:szCs w:val="24"/>
              </w:rPr>
              <w:t xml:space="preserve">The family are a single parent family made up of parent 1 and five children. Daughter 1 is of adult age, Daughter 2 is a teenager, and three boys of primary school age, referred to as Son 1, Son 2 and Son 3 throughout to ensure anonymity. The family live on the outskirts of a town in Wales, within walking distance of local amenities, including access to good transport links.  The family do not practise any faith. They are of White British origin, with one child being of mixed-race heritage. English is the family’s first and only language. In line with the Welsh Government’s More Than Just Words framework, the Active Offer (2015) of services in Welsh has previously been made to the family; however, they declined this offer.  There have been long standing concerns regarding this family, particularly around the home environment and non-school attendance.  Repeat referrals had been received over the last ten years from </w:t>
            </w:r>
            <w:r w:rsidRPr="00516CCA">
              <w:rPr>
                <w:sz w:val="24"/>
                <w:szCs w:val="24"/>
              </w:rPr>
              <w:lastRenderedPageBreak/>
              <w:t xml:space="preserve">various individuals, including professionals. Historically, parent 1 declined support and the referrals did not meet the threshold for statutory intervention (Local Safeguarding Board, 2017). </w:t>
            </w:r>
          </w:p>
          <w:p w14:paraId="7F4E08EC" w14:textId="77777777" w:rsidR="00516CCA" w:rsidRPr="00516CCA" w:rsidRDefault="00516CCA" w:rsidP="00516CCA">
            <w:pPr>
              <w:jc w:val="both"/>
              <w:rPr>
                <w:sz w:val="24"/>
                <w:szCs w:val="24"/>
              </w:rPr>
            </w:pPr>
          </w:p>
          <w:p w14:paraId="6FB949C1" w14:textId="77777777" w:rsidR="00516CCA" w:rsidRPr="00516CCA" w:rsidRDefault="00516CCA" w:rsidP="00516CCA">
            <w:pPr>
              <w:jc w:val="both"/>
              <w:rPr>
                <w:sz w:val="24"/>
                <w:szCs w:val="24"/>
              </w:rPr>
            </w:pPr>
            <w:r w:rsidRPr="00516CCA">
              <w:rPr>
                <w:sz w:val="24"/>
                <w:szCs w:val="24"/>
              </w:rPr>
              <w:t xml:space="preserve">The family rely on Universal Credit as their primary source of income. However, due to the Benefit Cap (Shelter Cymru, 2024), they experience significant financial hardship. End Child Poverty has published a report ‘Local indicators of child poverty after housing Costs, 2023/24’ (Stone, 2025) highlighting the levels of Child Poverty in the UK.  Stone discusses the impact of the benefit cap for families in the UK and highlights that in Wales that 94% of constituencies have a child poverty rate of 25% or higher, the highest in the UK.  </w:t>
            </w:r>
          </w:p>
          <w:p w14:paraId="324F736A" w14:textId="77777777" w:rsidR="00516CCA" w:rsidRPr="00516CCA" w:rsidRDefault="00516CCA" w:rsidP="00516CCA">
            <w:pPr>
              <w:jc w:val="both"/>
              <w:rPr>
                <w:sz w:val="24"/>
                <w:szCs w:val="24"/>
              </w:rPr>
            </w:pPr>
          </w:p>
          <w:p w14:paraId="2D0B7E8E" w14:textId="77777777" w:rsidR="00516CCA" w:rsidRPr="00516CCA" w:rsidRDefault="00516CCA" w:rsidP="00516CCA">
            <w:pPr>
              <w:jc w:val="both"/>
              <w:rPr>
                <w:sz w:val="24"/>
                <w:szCs w:val="24"/>
              </w:rPr>
            </w:pPr>
            <w:r w:rsidRPr="00516CCA">
              <w:rPr>
                <w:sz w:val="24"/>
                <w:szCs w:val="24"/>
              </w:rPr>
              <w:t>The children have been subject to Child Protection registration since August 2024 under the categories of Neglect and Emotional or Psychological Abuse (Wales Safeguarding Procedures, 2025) and I became their allocated Social Worker at the point of the initial conference. In January 2025, we entered the Public Law Outline (PLO) process (Welsh Government, 2023) due to ongoing non</w:t>
            </w:r>
            <w:r w:rsidRPr="00516CCA">
              <w:rPr>
                <w:rFonts w:ascii="Cambria Math" w:hAnsi="Cambria Math" w:cs="Cambria Math"/>
                <w:sz w:val="24"/>
                <w:szCs w:val="24"/>
              </w:rPr>
              <w:t>‑</w:t>
            </w:r>
            <w:r w:rsidRPr="00516CCA">
              <w:rPr>
                <w:sz w:val="24"/>
                <w:szCs w:val="24"/>
              </w:rPr>
              <w:t>engagement and a Section 47 enquiry that was initiated in December 2024 following reports of extremely poor home conditions. By the time I started this assessment, the family had been in PLO for longer than the usual twelve</w:t>
            </w:r>
            <w:r w:rsidRPr="00516CCA">
              <w:rPr>
                <w:rFonts w:ascii="Cambria Math" w:hAnsi="Cambria Math" w:cs="Cambria Math"/>
                <w:sz w:val="24"/>
                <w:szCs w:val="24"/>
              </w:rPr>
              <w:t>‑</w:t>
            </w:r>
            <w:r w:rsidRPr="00516CCA">
              <w:rPr>
                <w:sz w:val="24"/>
                <w:szCs w:val="24"/>
              </w:rPr>
              <w:t xml:space="preserve">week timeframe. A significant reason for this delay was because Parent 1 informed me that they were undergoing medical tests, and a mass had allegedly been found in their bowel. I am a naturally empathetic person, and I felt concerned and tried to be flexible about timescales to support Parent 1 whilst they underwent further investigations and treatment.  I had recently discovered that Parent 1 had been dishonest about their health. </w:t>
            </w:r>
          </w:p>
          <w:p w14:paraId="2D02C748" w14:textId="77777777" w:rsidR="00516CCA" w:rsidRPr="00516CCA" w:rsidRDefault="00516CCA" w:rsidP="00516CCA">
            <w:pPr>
              <w:jc w:val="both"/>
              <w:rPr>
                <w:sz w:val="24"/>
                <w:szCs w:val="24"/>
              </w:rPr>
            </w:pPr>
          </w:p>
          <w:p w14:paraId="5EA3E9C0" w14:textId="77777777" w:rsidR="00516CCA" w:rsidRPr="00516CCA" w:rsidRDefault="00516CCA" w:rsidP="00516CCA">
            <w:pPr>
              <w:jc w:val="both"/>
              <w:rPr>
                <w:sz w:val="24"/>
                <w:szCs w:val="24"/>
              </w:rPr>
            </w:pPr>
            <w:r w:rsidRPr="00516CCA">
              <w:rPr>
                <w:sz w:val="24"/>
                <w:szCs w:val="24"/>
              </w:rPr>
              <w:t xml:space="preserve">NSPCC (2024) highlight the need for multi-agency working and sharing of information as it is key to effective safeguarding and child protection.  On the day that this assessment was initiated, we had held a multi-agency Core Group Meeting earlier in the afternoon, Parent 1 did not attend.  School reported significant concerns regarding the childrens recent presentation.  The children were reporting to staff that they were hungry, their clothes were dirty, they appeared unkempt, and they all smelled of urine.  The School Nurse shared that Parent 1 had failed to attend several appointments for the children and that she and the Education Welfare Officer had attempted a welfare check, but there was no response.  I shared that I had not been able to assess home conditions for around four weeks, as parent 1 would not answer the door on my unannounced visits and would make sure the children were at the Grandparent’s home on announced visits. I knew at the time she was avoiding me visiting the home, but I did not have any other concerns at that time to be able to escalate it beyond sharing my concerns with my manager.  Following the Core Group meeting, I sought advice from my manager, and we agreed to do an urgent strategy discussion and a joint Section 47 Child Protection Investigation, with Police, was initiated.  </w:t>
            </w:r>
          </w:p>
          <w:p w14:paraId="514B475C" w14:textId="77777777" w:rsidR="00516CCA" w:rsidRPr="00516CCA" w:rsidRDefault="00516CCA" w:rsidP="00516CCA">
            <w:pPr>
              <w:jc w:val="both"/>
              <w:rPr>
                <w:sz w:val="24"/>
                <w:szCs w:val="24"/>
              </w:rPr>
            </w:pPr>
          </w:p>
          <w:p w14:paraId="4FFD81BE" w14:textId="77777777" w:rsidR="00516CCA" w:rsidRPr="00516CCA" w:rsidRDefault="00516CCA" w:rsidP="00516CCA">
            <w:pPr>
              <w:jc w:val="both"/>
              <w:rPr>
                <w:sz w:val="24"/>
                <w:szCs w:val="24"/>
              </w:rPr>
            </w:pPr>
            <w:r w:rsidRPr="00516CCA">
              <w:rPr>
                <w:sz w:val="24"/>
                <w:szCs w:val="24"/>
              </w:rPr>
              <w:t xml:space="preserve">During the joint investigation, the Police Officer and I attended the grandparents’ property, Parent 1 and Daughter 1 became extremely heightened and verbally aggressive. The situation escalated quickly, to the point additional units were requested to support.  Parent 1 would only communicate with the Police Officer. Due to the small property we were in, I was very aware the children in the next room would be able to hear the raised voices and would likely be </w:t>
            </w:r>
            <w:r w:rsidRPr="00516CCA">
              <w:rPr>
                <w:sz w:val="24"/>
                <w:szCs w:val="24"/>
              </w:rPr>
              <w:lastRenderedPageBreak/>
              <w:t xml:space="preserve">frightened by this.  They would also have been aware of the additional Police Officers arriving which is likely to have caused further emotional distress to them. </w:t>
            </w:r>
          </w:p>
          <w:p w14:paraId="4B673063" w14:textId="77777777" w:rsidR="00516CCA" w:rsidRPr="00516CCA" w:rsidRDefault="00516CCA" w:rsidP="00516CCA">
            <w:pPr>
              <w:jc w:val="both"/>
              <w:rPr>
                <w:sz w:val="24"/>
                <w:szCs w:val="24"/>
              </w:rPr>
            </w:pPr>
          </w:p>
          <w:p w14:paraId="50B8220D" w14:textId="77777777" w:rsidR="00516CCA" w:rsidRPr="00516CCA" w:rsidRDefault="00516CCA" w:rsidP="00516CCA">
            <w:pPr>
              <w:jc w:val="both"/>
              <w:rPr>
                <w:sz w:val="24"/>
                <w:szCs w:val="24"/>
              </w:rPr>
            </w:pPr>
            <w:r w:rsidRPr="00516CCA">
              <w:rPr>
                <w:sz w:val="24"/>
                <w:szCs w:val="24"/>
              </w:rPr>
              <w:t>As part of the investigation, Parent 1 was asked to return to the property as home conditions needed to be assessed.  Parent 1 initially refused to return to the property but did agree when they were informed that they would be arrested for failing to comply.    From a social</w:t>
            </w:r>
            <w:r w:rsidRPr="00516CCA">
              <w:rPr>
                <w:rFonts w:ascii="Cambria Math" w:hAnsi="Cambria Math" w:cs="Cambria Math"/>
                <w:sz w:val="24"/>
                <w:szCs w:val="24"/>
              </w:rPr>
              <w:t>‑</w:t>
            </w:r>
            <w:r w:rsidRPr="00516CCA">
              <w:rPr>
                <w:sz w:val="24"/>
                <w:szCs w:val="24"/>
              </w:rPr>
              <w:t xml:space="preserve">work perspective, this ultimatum given to Parent 1 highlights a coercive power imbalance (Maclean, S. &amp; Harrison, R, 2015) between the Police and Parent 1.  However, ultimately, the safeguarding of the children was paramount, and the Police were carrying out their statutory duty to ensure the children were safe and well cared for.  Given the previous incidents where Childrens Services and Police has assessed home conditions to be extremely poor, it was important that the Police were able to access the property that evening.    </w:t>
            </w:r>
          </w:p>
          <w:p w14:paraId="42FF2FA1" w14:textId="77777777" w:rsidR="00516CCA" w:rsidRPr="00516CCA" w:rsidRDefault="00516CCA" w:rsidP="00516CCA">
            <w:pPr>
              <w:jc w:val="both"/>
              <w:rPr>
                <w:sz w:val="24"/>
                <w:szCs w:val="24"/>
              </w:rPr>
            </w:pPr>
          </w:p>
          <w:p w14:paraId="52D30456" w14:textId="77777777" w:rsidR="00516CCA" w:rsidRPr="00516CCA" w:rsidRDefault="00516CCA" w:rsidP="00516CCA">
            <w:pPr>
              <w:jc w:val="both"/>
              <w:rPr>
                <w:sz w:val="24"/>
                <w:szCs w:val="24"/>
              </w:rPr>
            </w:pPr>
            <w:r w:rsidRPr="00516CCA">
              <w:rPr>
                <w:sz w:val="24"/>
                <w:szCs w:val="24"/>
              </w:rPr>
              <w:t xml:space="preserve">As we were leaving, I saw the children, the three boys were staring towards me and were asking why Parent 1 was being taken away  and Daughter 2 was extremely upset to the point she was hyperventilating; I attempted to speak to the children and reassure Daughter 2, however Parent 1 began yelling at me telling me I was not allowed to talk to the children.   While I was aware that under Section 47 of the Children Act 1989, parental consent can be overridden in situations where there are concerns about significant harm, I used my professional judgment in that moment. Given the heightened emotional state of parent 1 and the visible distress of the children, I was able to see that the children were visibly clean and well-presented, I felt attempting to engage further at that time would likely escalate the situation and potentially cause additional trauma to the children and I therefore made the decision to go and visit the children in school the next day instead.  </w:t>
            </w:r>
          </w:p>
          <w:p w14:paraId="045A30B6" w14:textId="77777777" w:rsidR="00516CCA" w:rsidRPr="00516CCA" w:rsidRDefault="00516CCA" w:rsidP="00516CCA">
            <w:pPr>
              <w:jc w:val="both"/>
              <w:rPr>
                <w:sz w:val="24"/>
                <w:szCs w:val="24"/>
              </w:rPr>
            </w:pPr>
          </w:p>
          <w:p w14:paraId="130B64F3" w14:textId="77777777" w:rsidR="00516CCA" w:rsidRPr="00516CCA" w:rsidRDefault="00516CCA" w:rsidP="00516CCA">
            <w:pPr>
              <w:jc w:val="both"/>
              <w:rPr>
                <w:sz w:val="24"/>
                <w:szCs w:val="24"/>
              </w:rPr>
            </w:pPr>
            <w:r w:rsidRPr="00516CCA">
              <w:rPr>
                <w:sz w:val="24"/>
                <w:szCs w:val="24"/>
              </w:rPr>
              <w:t>Parent 1 would not allow me to enter the property; however, Police were able to capture the home conditions on their body worn camera, which were shared with me afterwards.  Parent 1 had been warned during a previous section 47 concerning home conditions, that they would be arrested for neglect if it were to reoccur.  Sadly, home conditions were the worst they had ever observed them to be.  I put in a safety plan for the children for that evening that ensured the childrens safety and was in line with Parent 1’s bail conditions. Due to concerns regarding collusion between Parent 1 and the grandparent and Parent 1’s refusal to engage in the development of an ecomap, which would have helped identify informal and formal sources of support (Friedman and Allen, 2014). As part of the safety plan, there were considerations for the children’s living arrangements for the next few days.  Foster carers were considered, however at this early stage of the Section 47 investigation and given the impact this would have had on the children, it was felt that this would be disproportionate and that the plan could be bolstered by daily welfare visits to ensure oversight.</w:t>
            </w:r>
          </w:p>
          <w:p w14:paraId="372C85E9" w14:textId="77777777" w:rsidR="00516CCA" w:rsidRPr="00516CCA" w:rsidRDefault="00516CCA" w:rsidP="00516CCA">
            <w:pPr>
              <w:jc w:val="both"/>
              <w:rPr>
                <w:sz w:val="24"/>
                <w:szCs w:val="24"/>
              </w:rPr>
            </w:pPr>
          </w:p>
          <w:p w14:paraId="421A07FF" w14:textId="77777777" w:rsidR="00516CCA" w:rsidRPr="00516CCA" w:rsidRDefault="00516CCA" w:rsidP="00516CCA">
            <w:pPr>
              <w:jc w:val="both"/>
              <w:rPr>
                <w:sz w:val="24"/>
                <w:szCs w:val="24"/>
              </w:rPr>
            </w:pPr>
            <w:r w:rsidRPr="00516CCA">
              <w:rPr>
                <w:sz w:val="24"/>
                <w:szCs w:val="24"/>
              </w:rPr>
              <w:t xml:space="preserve">I visited the children in school the next day.  Son 1 became visibly emotional upon seeing me and stated he did not want to speak to me. He did not engage any further. This was particularly concerning for me, as Son 1 is usually the only child who would speak to me. I respected his wishes and allowed him to return to class.  Son 2 and Son 3 did not speak to me, they were staring toward the door and avoiding eye contact. I allowed them to return to class with their teachers. The schoolteacher spoke with me and stated they had recently observed a change in the children’s behaviour, sharing that approximately two weeks earlier the children suddenly </w:t>
            </w:r>
            <w:r w:rsidRPr="00516CCA">
              <w:rPr>
                <w:sz w:val="24"/>
                <w:szCs w:val="24"/>
              </w:rPr>
              <w:lastRenderedPageBreak/>
              <w:t>stopped speaking to staff, which has raised concerns that the children may have been warned not to engage with professionals.  During my visit I was also mindful that he was clearly aware of the previous evening’s events and that there was a possibility that Parent 1 or Grandparent may have spoken to them about me coming to visit, potentially adding to their worry about seeing me.  Article 12 of the United Nations Convention on the Rights of the Child (1989) (UNCRC) gives children the right to express their views freely in matters affecting them, however not all children are able to articulate what they want to say and if they have been told not to talk to social workers, this will further impact their ability to exercise their right to share their lived experiences.</w:t>
            </w:r>
          </w:p>
          <w:p w14:paraId="7BB19EFE" w14:textId="77777777" w:rsidR="00516CCA" w:rsidRPr="00516CCA" w:rsidRDefault="00516CCA" w:rsidP="00516CCA">
            <w:pPr>
              <w:jc w:val="both"/>
              <w:rPr>
                <w:sz w:val="24"/>
                <w:szCs w:val="24"/>
              </w:rPr>
            </w:pPr>
          </w:p>
          <w:p w14:paraId="682D82E9" w14:textId="77777777" w:rsidR="00516CCA" w:rsidRPr="00516CCA" w:rsidRDefault="00516CCA" w:rsidP="00516CCA">
            <w:pPr>
              <w:jc w:val="both"/>
              <w:rPr>
                <w:sz w:val="24"/>
                <w:szCs w:val="24"/>
              </w:rPr>
            </w:pPr>
            <w:r w:rsidRPr="00516CCA">
              <w:rPr>
                <w:sz w:val="24"/>
                <w:szCs w:val="24"/>
              </w:rPr>
              <w:t xml:space="preserve">As part of the assessment process, members of the Core Group were asked to contribute further information.  This information was considered and analysed along with the information that both </w:t>
            </w:r>
            <w:proofErr w:type="gramStart"/>
            <w:r w:rsidRPr="00516CCA">
              <w:rPr>
                <w:sz w:val="24"/>
                <w:szCs w:val="24"/>
              </w:rPr>
              <w:t>myself</w:t>
            </w:r>
            <w:proofErr w:type="gramEnd"/>
            <w:r w:rsidRPr="00516CCA">
              <w:rPr>
                <w:sz w:val="24"/>
                <w:szCs w:val="24"/>
              </w:rPr>
              <w:t xml:space="preserve"> and the Police had gathered.  I utilised the Assessment Framework (Department of Health et al (2000) cited in British Association Social Work (BASW) or the Assessment Triangle as it is otherwise known.  BASW highlight that the assessment framework has been developed to assist professionals in capturing a full holistic overview of a child’s life, both within their family and the wider community. The framework assists professionals in assessing Care and Support needs under Part 3 of the Social Services Well-being (Wales) Act 2014 (Welsh Government, 2014) and making informed decisions about what support needs a child may have that need to be met under Part 4 of the Social Services and Well-being (Wales) Act 2014 or if they are at risk of significant harm and in need of safeguarding in line with the Wales Safeguarding Procedures (2019).  The framework embeds key legislation including the Children Act 1989, the Human Rights Act 1998, and the UNCRC (1989).  Within the Assessment Triangle, using Signs of Safety model (Edwards and Turnell, </w:t>
            </w:r>
            <w:proofErr w:type="spellStart"/>
            <w:r w:rsidRPr="00516CCA">
              <w:rPr>
                <w:sz w:val="24"/>
                <w:szCs w:val="24"/>
              </w:rPr>
              <w:t>n.d</w:t>
            </w:r>
            <w:proofErr w:type="spellEnd"/>
            <w:r w:rsidRPr="00516CCA">
              <w:rPr>
                <w:sz w:val="24"/>
                <w:szCs w:val="24"/>
              </w:rPr>
              <w:t xml:space="preserve">), I consider both what is working well and what are the worries, this supports practitioners in having a balanced overview of the situation and helps with Professional Judgement and decision making, particularly in complex and challenging situations, such as this one.    </w:t>
            </w:r>
          </w:p>
          <w:p w14:paraId="3504229A" w14:textId="77777777" w:rsidR="00516CCA" w:rsidRPr="00516CCA" w:rsidRDefault="00516CCA" w:rsidP="00516CCA">
            <w:pPr>
              <w:jc w:val="both"/>
              <w:rPr>
                <w:sz w:val="24"/>
                <w:szCs w:val="24"/>
              </w:rPr>
            </w:pPr>
          </w:p>
          <w:p w14:paraId="7AB02E61" w14:textId="77777777" w:rsidR="00516CCA" w:rsidRPr="00516CCA" w:rsidRDefault="00516CCA" w:rsidP="00516CCA">
            <w:pPr>
              <w:jc w:val="both"/>
              <w:rPr>
                <w:sz w:val="24"/>
                <w:szCs w:val="24"/>
              </w:rPr>
            </w:pPr>
            <w:r w:rsidRPr="00516CCA">
              <w:rPr>
                <w:sz w:val="24"/>
                <w:szCs w:val="24"/>
              </w:rPr>
              <w:t>The outcome of this assessment led to us putting matters before the courts and seeking an Interim Care Order with interim separation for the children to be placed in foster care.  Daughter 2, although at risk, the risks to her were different to those of the younger children as she was able to meet her own needs to some extent and therefore the risk was somewhat mitigated.  Daughter 2 had expressed that she wanted to remain in the care of Parent 1.  There are no concerns that Daughter 2 lacks capacity under the Mental Capacity Act 2005 and therefore has sufficient understanding to make informed decisions about her own welfare.  Daughter 2 is aware of the risks associated Parent 1’s neglectful care and the home conditions and can recognise the impact it has on her wellbeing.</w:t>
            </w:r>
          </w:p>
          <w:p w14:paraId="53F04788" w14:textId="77777777" w:rsidR="00516CCA" w:rsidRPr="00516CCA" w:rsidRDefault="00516CCA" w:rsidP="00516CCA">
            <w:pPr>
              <w:jc w:val="both"/>
              <w:rPr>
                <w:sz w:val="24"/>
                <w:szCs w:val="24"/>
              </w:rPr>
            </w:pPr>
          </w:p>
          <w:p w14:paraId="43F515D5" w14:textId="77777777" w:rsidR="00516CCA" w:rsidRPr="00516CCA" w:rsidRDefault="00516CCA" w:rsidP="00516CCA">
            <w:pPr>
              <w:jc w:val="both"/>
              <w:rPr>
                <w:sz w:val="24"/>
                <w:szCs w:val="24"/>
              </w:rPr>
            </w:pPr>
            <w:r w:rsidRPr="00516CCA">
              <w:rPr>
                <w:sz w:val="24"/>
                <w:szCs w:val="24"/>
              </w:rPr>
              <w:t xml:space="preserve">I visited the three boys in their foster placement a few days later, in line with the Children Act 1989. Son 1 again became distressed when he saw me, but Son 2 and Son 3 were like completely different children, they were smiling at me, they spoke to me, before I had chance to speak to them and they were singing.  </w:t>
            </w:r>
          </w:p>
          <w:p w14:paraId="2C5355A9" w14:textId="77777777" w:rsidR="00516CCA" w:rsidRPr="00516CCA" w:rsidRDefault="00516CCA" w:rsidP="00516CCA">
            <w:pPr>
              <w:jc w:val="both"/>
              <w:rPr>
                <w:sz w:val="24"/>
                <w:szCs w:val="24"/>
              </w:rPr>
            </w:pPr>
          </w:p>
          <w:p w14:paraId="140A009A" w14:textId="77777777" w:rsidR="00516CCA" w:rsidRPr="00516CCA" w:rsidRDefault="00516CCA" w:rsidP="00516CCA">
            <w:pPr>
              <w:jc w:val="both"/>
              <w:rPr>
                <w:sz w:val="24"/>
                <w:szCs w:val="24"/>
              </w:rPr>
            </w:pPr>
            <w:r w:rsidRPr="00516CCA">
              <w:rPr>
                <w:sz w:val="24"/>
                <w:szCs w:val="24"/>
              </w:rPr>
              <w:t xml:space="preserve">Reflecting on this assessment in its entirety, it is highly likely that the children were frightened and confused by the behaviours being displayed by their parent and oldest sibling in response to what I felt would have appeared a calm approach from myself and the Police Officer.  Parent </w:t>
            </w:r>
            <w:r w:rsidRPr="00516CCA">
              <w:rPr>
                <w:sz w:val="24"/>
                <w:szCs w:val="24"/>
              </w:rPr>
              <w:lastRenderedPageBreak/>
              <w:t>1’s inability to self-regulate significantly impacted our ability to manage the situation safely at that time without the need for additional Police support. The behaviour of Parent 1 and Daughter 1 created a situation that was unsafe both for professionals and, more importantly, for the children who were also being exposed it. This response for me, highlighted further concerns around the children’s ongoing lived experiences in the household, particularly when parent 1 and daughter 1 were clearly unable to manage their emotions or responses, further impacting the younger children’s sense of safety and wellbeing.</w:t>
            </w:r>
          </w:p>
          <w:p w14:paraId="5EC5BD01" w14:textId="77777777" w:rsidR="00516CCA" w:rsidRPr="00516CCA" w:rsidRDefault="00516CCA" w:rsidP="00516CCA">
            <w:pPr>
              <w:jc w:val="both"/>
              <w:rPr>
                <w:sz w:val="24"/>
                <w:szCs w:val="24"/>
              </w:rPr>
            </w:pPr>
          </w:p>
          <w:p w14:paraId="62F0BDE1" w14:textId="77777777" w:rsidR="00516CCA" w:rsidRPr="00516CCA" w:rsidRDefault="00516CCA" w:rsidP="00516CCA">
            <w:pPr>
              <w:jc w:val="both"/>
              <w:rPr>
                <w:sz w:val="24"/>
                <w:szCs w:val="24"/>
              </w:rPr>
            </w:pPr>
            <w:r w:rsidRPr="00516CCA">
              <w:rPr>
                <w:sz w:val="24"/>
                <w:szCs w:val="24"/>
              </w:rPr>
              <w:t>On a personal level, Parent 1’s response took me by surprise. Although Parent 1 had become heightened before, they had never reacted with this level of aggression, and they usually apologised once they had calmed. I felt disappointed that they refused to speak to me, especially as I believed we had built a positive working relationship. I felt I had been extremely flexible and understanding throughout the duration of the child protection process, so hearing them accuse me of not supporting them over the past year felt hurtful and unfair. Internally I felt defensive and upset, but I knew that reacting in the moment would not have been appropriate or professional. I maintained my composure, but their comments added to the doubts I had already been experiencing after discovering the dishonesty about their health.</w:t>
            </w:r>
          </w:p>
          <w:p w14:paraId="48B15DDE" w14:textId="77777777" w:rsidR="00516CCA" w:rsidRPr="00516CCA" w:rsidRDefault="00516CCA" w:rsidP="00516CCA">
            <w:pPr>
              <w:jc w:val="both"/>
              <w:rPr>
                <w:sz w:val="24"/>
                <w:szCs w:val="24"/>
              </w:rPr>
            </w:pPr>
          </w:p>
          <w:p w14:paraId="576AF486" w14:textId="77777777" w:rsidR="00516CCA" w:rsidRPr="00516CCA" w:rsidRDefault="00516CCA" w:rsidP="00516CCA">
            <w:pPr>
              <w:jc w:val="both"/>
              <w:rPr>
                <w:sz w:val="24"/>
                <w:szCs w:val="24"/>
              </w:rPr>
            </w:pPr>
            <w:r w:rsidRPr="00516CCA">
              <w:rPr>
                <w:sz w:val="24"/>
                <w:szCs w:val="24"/>
              </w:rPr>
              <w:t>Discovering that Parent 1 had been dishonest about their health was difficult for me. I realised that they had played on my empathetic nature, and I felt naïve and somewhat foolish for believing them. As this was one of my first child protection cases, it significantly affected my confidence.  I always felt my empathy was a strength within my practice, but it made me question whether my instinct to trust and show empathy was leaving me vulnerable, and whether a more experienced social worker would have recognised the manipulation sooner. I worry that this experience has left me somewhat sceptical of what parents tell me.</w:t>
            </w:r>
          </w:p>
          <w:p w14:paraId="3D33A194" w14:textId="77777777" w:rsidR="00516CCA" w:rsidRPr="00516CCA" w:rsidRDefault="00516CCA" w:rsidP="00516CCA">
            <w:pPr>
              <w:jc w:val="both"/>
              <w:rPr>
                <w:sz w:val="24"/>
                <w:szCs w:val="24"/>
              </w:rPr>
            </w:pPr>
          </w:p>
          <w:p w14:paraId="00CA8FFF" w14:textId="77777777" w:rsidR="00516CCA" w:rsidRPr="00516CCA" w:rsidRDefault="00516CCA" w:rsidP="00516CCA">
            <w:pPr>
              <w:jc w:val="both"/>
              <w:rPr>
                <w:sz w:val="24"/>
                <w:szCs w:val="24"/>
              </w:rPr>
            </w:pPr>
            <w:r w:rsidRPr="00516CCA">
              <w:rPr>
                <w:sz w:val="24"/>
                <w:szCs w:val="24"/>
              </w:rPr>
              <w:t xml:space="preserve">What was good about the experience was that earlier in the month that this assessment took place, I had undertaken Section 47 Joint Investigation Training with the Police Force that we work alongside.  Although the Officers I attended the property with had not been in my cohort on the training course, the training had been rolled out over the last few years, so they had been trained at a different time.  This was a strength for me, because it enabled us both to have a mutual understanding of what we each needed from the other during the investigation, so whilst Parent 1 refused to let me speak to the children, the Police were able to assist me in having those conversations and gathering the evidence that they would need to present a case for consideration to the Crown Prosecution Service and I would have what I needed for the Child Protection Investigation.  </w:t>
            </w:r>
          </w:p>
          <w:p w14:paraId="7602EC52" w14:textId="77777777" w:rsidR="00516CCA" w:rsidRPr="00516CCA" w:rsidRDefault="00516CCA" w:rsidP="00516CCA">
            <w:pPr>
              <w:jc w:val="both"/>
              <w:rPr>
                <w:sz w:val="24"/>
                <w:szCs w:val="24"/>
              </w:rPr>
            </w:pPr>
          </w:p>
          <w:p w14:paraId="6930F8F4" w14:textId="77777777" w:rsidR="00516CCA" w:rsidRPr="00516CCA" w:rsidRDefault="00516CCA" w:rsidP="00516CCA">
            <w:pPr>
              <w:jc w:val="both"/>
              <w:rPr>
                <w:sz w:val="24"/>
                <w:szCs w:val="24"/>
              </w:rPr>
            </w:pPr>
            <w:r w:rsidRPr="00516CCA">
              <w:rPr>
                <w:sz w:val="24"/>
                <w:szCs w:val="24"/>
              </w:rPr>
              <w:t xml:space="preserve">One of the key steps that had been missed in this assessment, due to the quick turnaround, there was limited planning and therefore I had not considered what Parent 1’s response could be and how this could be managed effectively with minimal impact on the children.  This is something that I have reflected on with my team in meetings,   </w:t>
            </w:r>
          </w:p>
          <w:p w14:paraId="16CB9511" w14:textId="77777777" w:rsidR="00516CCA" w:rsidRPr="00516CCA" w:rsidRDefault="00516CCA" w:rsidP="00516CCA">
            <w:pPr>
              <w:jc w:val="both"/>
              <w:rPr>
                <w:sz w:val="24"/>
                <w:szCs w:val="24"/>
              </w:rPr>
            </w:pPr>
          </w:p>
          <w:p w14:paraId="1B225A49" w14:textId="77777777" w:rsidR="00516CCA" w:rsidRPr="00516CCA" w:rsidRDefault="00516CCA" w:rsidP="00516CCA">
            <w:pPr>
              <w:jc w:val="both"/>
              <w:rPr>
                <w:sz w:val="24"/>
                <w:szCs w:val="24"/>
              </w:rPr>
            </w:pPr>
            <w:r w:rsidRPr="00516CCA">
              <w:rPr>
                <w:sz w:val="24"/>
                <w:szCs w:val="24"/>
              </w:rPr>
              <w:t xml:space="preserve">Visiting the three boys in their foster placement was a positive experience for me, Son 2 and Son 3 clearly felt more relaxed in my presence than when I had visited them whilst in Parent 1’s care. I felt that the presentation of the children reflected the younger two childrens feelings of safety and security.  All three boys were likely experiencing grief and loss at being </w:t>
            </w:r>
            <w:r w:rsidRPr="00516CCA">
              <w:rPr>
                <w:sz w:val="24"/>
                <w:szCs w:val="24"/>
              </w:rPr>
              <w:lastRenderedPageBreak/>
              <w:t>separated from their parent and siblings.  Whilst son 1 was upset, he was seeking comfort from the foster carer, which shows that he had started to build up trust and a positive attachment (Maclean, S. &amp; Harrison, R, 2015) to them.</w:t>
            </w:r>
          </w:p>
          <w:p w14:paraId="0FEE6356" w14:textId="77777777" w:rsidR="00516CCA" w:rsidRPr="00516CCA" w:rsidRDefault="00516CCA" w:rsidP="00516CCA">
            <w:pPr>
              <w:jc w:val="both"/>
              <w:rPr>
                <w:sz w:val="24"/>
                <w:szCs w:val="24"/>
              </w:rPr>
            </w:pPr>
          </w:p>
          <w:p w14:paraId="4765924A" w14:textId="77777777" w:rsidR="00516CCA" w:rsidRPr="00516CCA" w:rsidRDefault="00516CCA" w:rsidP="00516CCA">
            <w:pPr>
              <w:jc w:val="both"/>
              <w:rPr>
                <w:sz w:val="24"/>
                <w:szCs w:val="24"/>
              </w:rPr>
            </w:pPr>
            <w:r w:rsidRPr="00516CCA">
              <w:rPr>
                <w:sz w:val="24"/>
                <w:szCs w:val="24"/>
              </w:rPr>
              <w:t>Within the Local Authority area I work in, we work in “pods”, this means that most of the families I work with reside in the same town and attend the same schools and clubs.  This has assisted with building strong multi-agency working relationships, as I work with the same colleagues, the same Educational Welfare Officers, Headteachers and School Nurses so we are able to speak to each other when needed.  I feel having this positive working relationship also means that we ae more inclined to support each other more beyond our statutory duties.  For example, if I needed to go and visit a family with a second worker, I can call on one of them and if they are available, they are likely to support me if they can and vice versa, they can call on me for the same.  This can ensure that a family has consistency in who they see rather than it being a person that they may not know.    We all operate in line with the GDPR under the Data Protection Act, 2018 which is in line with the European Union’s own data protection law.  The laws, although enforced by different governments, they retain the same principles to ensure that the same data protection laws are upheld across both the UK and neighbouring countries in the EU.</w:t>
            </w:r>
          </w:p>
          <w:p w14:paraId="1EA9F5A1" w14:textId="77777777" w:rsidR="00516CCA" w:rsidRPr="00516CCA" w:rsidRDefault="00516CCA" w:rsidP="00516CCA">
            <w:pPr>
              <w:jc w:val="both"/>
              <w:rPr>
                <w:sz w:val="24"/>
                <w:szCs w:val="24"/>
              </w:rPr>
            </w:pPr>
          </w:p>
          <w:p w14:paraId="7940E5AB" w14:textId="77777777" w:rsidR="00516CCA" w:rsidRPr="00516CCA" w:rsidRDefault="00516CCA" w:rsidP="00516CCA">
            <w:pPr>
              <w:jc w:val="both"/>
              <w:rPr>
                <w:sz w:val="24"/>
                <w:szCs w:val="24"/>
              </w:rPr>
            </w:pPr>
            <w:r w:rsidRPr="00516CCA">
              <w:rPr>
                <w:sz w:val="24"/>
                <w:szCs w:val="24"/>
              </w:rPr>
              <w:t xml:space="preserve">The Core Group meeting going ahead in the absence of Parent 1 allowed for us to focus on the worries.  My own worry in isolation was not enough to warrant a strategy discussion, however when the School Nurse and Headteacher also shared their information, it was very clear to see that the childrens lived experiences were poor and that their needs were being neglected.  The meeting led to an opportunity to discuss openly the Local Authority’s next steps </w:t>
            </w:r>
            <w:proofErr w:type="gramStart"/>
            <w:r w:rsidRPr="00516CCA">
              <w:rPr>
                <w:sz w:val="24"/>
                <w:szCs w:val="24"/>
              </w:rPr>
              <w:t>in regard to</w:t>
            </w:r>
            <w:proofErr w:type="gramEnd"/>
            <w:r w:rsidRPr="00516CCA">
              <w:rPr>
                <w:sz w:val="24"/>
                <w:szCs w:val="24"/>
              </w:rPr>
              <w:t xml:space="preserve"> care planning for the children, and that a legal planning meeting had been scheduled for a few days later.  The lead Safeguarding Nurse for the School Nursing Service challenged me and said she felt we needed to seek advice immediately and that we should be seeking an Emergency Protection Order under Section 44 of the Children Act 1989 to safeguard these children.  As a core group, we agreed that I would speak to my managers to seek advice about the best way forward.  I updated Core Group members throughout the evening as to the next steps.   I feel that the strong working relationship we have allows for challenge in a positive way and that we can be open and honest with each other.  I also feel that I was able to rely more on the Core Group to support with the welfare checks as again due to a good solid working relationship, we are keen to help each other when needed which also afforded consistency for the children.</w:t>
            </w:r>
          </w:p>
          <w:p w14:paraId="49B7DC90" w14:textId="77777777" w:rsidR="00516CCA" w:rsidRPr="00516CCA" w:rsidRDefault="00516CCA" w:rsidP="00516CCA">
            <w:pPr>
              <w:jc w:val="both"/>
              <w:rPr>
                <w:sz w:val="24"/>
                <w:szCs w:val="24"/>
              </w:rPr>
            </w:pPr>
          </w:p>
          <w:p w14:paraId="2D955B80" w14:textId="77777777" w:rsidR="00516CCA" w:rsidRPr="00516CCA" w:rsidRDefault="00516CCA" w:rsidP="00516CCA">
            <w:pPr>
              <w:jc w:val="both"/>
              <w:rPr>
                <w:sz w:val="24"/>
                <w:szCs w:val="24"/>
              </w:rPr>
            </w:pPr>
            <w:r w:rsidRPr="00516CCA">
              <w:rPr>
                <w:sz w:val="24"/>
                <w:szCs w:val="24"/>
              </w:rPr>
              <w:t xml:space="preserve">The circumstances of this assessment raised a significant ethical dilemma for me, Article 8 of the Human Rights Act 1998, protects a person’s right to a private family life, It could be argued that Parent 1 was exercising their right under Article 8 by refusing us access to the property and we could be seen as breaching of Article 8 by intervening as we did.  However, with the Act it states, “There shall be no interference by a public authority with the exercise of this right except such as is in accordance with the law” and under Section 47 part 1(b) of the Children Act 1989, the Local Authority have a duty to investigate if they “have reasonable cause to suspect that a child who lives, or is found, in their area is suffering, or is likely to suffer, significant harm”.  In addition to this the UNCRC Article 3 focusses on decisions and actions being made or taken in the best interests of the child, ensuring that these must be prioritised, </w:t>
            </w:r>
            <w:r w:rsidRPr="00516CCA">
              <w:rPr>
                <w:sz w:val="24"/>
                <w:szCs w:val="24"/>
              </w:rPr>
              <w:lastRenderedPageBreak/>
              <w:t xml:space="preserve">in this case, it meant making sure that the children were protected from harm. Article 19 also states that children must be protected from neglect, which includes not having their basic needs met.  Therefore, the intervention in this instance was necessary due to the children’s basic needs not being met, something that had been longstanding and clearly in breach of the childrens protected rights under the UNCRC. Through my practice, I have found that legislation can contradict each other, which can make the role confusing and present ethical dilemmas. However, in Social Work, safeguarding, must be prioritised above all, this is a principle that is embedded within the Working Together to Safeguard Children (2018) and the Children Act 1989. </w:t>
            </w:r>
          </w:p>
          <w:p w14:paraId="55E41983" w14:textId="77777777" w:rsidR="00516CCA" w:rsidRPr="00516CCA" w:rsidRDefault="00516CCA" w:rsidP="00516CCA">
            <w:pPr>
              <w:jc w:val="both"/>
              <w:rPr>
                <w:sz w:val="24"/>
                <w:szCs w:val="24"/>
              </w:rPr>
            </w:pPr>
          </w:p>
          <w:p w14:paraId="2AB39287" w14:textId="77777777" w:rsidR="00516CCA" w:rsidRPr="00516CCA" w:rsidRDefault="00516CCA" w:rsidP="00516CCA">
            <w:pPr>
              <w:jc w:val="both"/>
              <w:rPr>
                <w:sz w:val="24"/>
                <w:szCs w:val="24"/>
              </w:rPr>
            </w:pPr>
            <w:r w:rsidRPr="00516CCA">
              <w:rPr>
                <w:sz w:val="24"/>
                <w:szCs w:val="24"/>
              </w:rPr>
              <w:t>During this assessment, I found myself relying heavily on my colleagues for emotional support and guidance.  After Parent 1 disclosed having a cancerous mass, I felt compassion and concern, which led me to offer more flexibility than I might have with another parent in similar circumstances. Looking back, I was worried that Parent 1’s dishonesty and manipulative behaviour could have the ability to influence my decision-making during this assessment. I was worried that this could cloud my professional judgement and potentially compromise the safeguarding process. Having trusted colleagues to reflect with helped me stay grounded and maintain a child-centred focus, even in a situation that felt emotionally complex and ethically challenging.</w:t>
            </w:r>
          </w:p>
          <w:p w14:paraId="46091A03" w14:textId="77777777" w:rsidR="00516CCA" w:rsidRPr="00516CCA" w:rsidRDefault="00516CCA" w:rsidP="00516CCA">
            <w:pPr>
              <w:jc w:val="both"/>
              <w:rPr>
                <w:sz w:val="24"/>
                <w:szCs w:val="24"/>
              </w:rPr>
            </w:pPr>
          </w:p>
          <w:p w14:paraId="6637BE2D" w14:textId="77777777" w:rsidR="00516CCA" w:rsidRPr="00516CCA" w:rsidRDefault="00516CCA" w:rsidP="00516CCA">
            <w:pPr>
              <w:jc w:val="both"/>
              <w:rPr>
                <w:sz w:val="24"/>
                <w:szCs w:val="24"/>
              </w:rPr>
            </w:pPr>
            <w:r w:rsidRPr="00516CCA">
              <w:rPr>
                <w:sz w:val="24"/>
                <w:szCs w:val="24"/>
              </w:rPr>
              <w:t xml:space="preserve">Whilst I wish the assessment could have gone differently in terms of the children’s exposure to seeing me and the Police attending their grandparent’s home and then hearing Parent 1’s heightened emotional state before they then left with Police, there were some positive aspects to this assessment.  From the point of the Core Group meeting to the time I visited with Police was a quick turnaround and there was no delay.  We know that separation of children from their parents has to be a last resort and the impact this can have on children can be life changing, they are at risk of poor mental health, lower educational attainment and poorer health outcomes (Fairbanks Mosher, 2024)  however using Professional Judgement it was clear to see that the risks of the children remaining in parent 1’s care outweighed the benefits.  Parent 1 had demonstrated little to no capacity to change.  They had been given more opportunities to demonstrate their capacity than most other families would have due to the flexibility they were given due to what we were led to believe was a possible cancer diagnosis.  </w:t>
            </w:r>
          </w:p>
          <w:p w14:paraId="0387C36E" w14:textId="77777777" w:rsidR="00516CCA" w:rsidRPr="00516CCA" w:rsidRDefault="00516CCA" w:rsidP="00516CCA">
            <w:pPr>
              <w:jc w:val="both"/>
              <w:rPr>
                <w:sz w:val="24"/>
                <w:szCs w:val="24"/>
              </w:rPr>
            </w:pPr>
          </w:p>
          <w:p w14:paraId="0A6108D7" w14:textId="77777777" w:rsidR="00516CCA" w:rsidRPr="00516CCA" w:rsidRDefault="00516CCA" w:rsidP="00516CCA">
            <w:pPr>
              <w:jc w:val="both"/>
              <w:rPr>
                <w:sz w:val="24"/>
                <w:szCs w:val="24"/>
              </w:rPr>
            </w:pPr>
            <w:r w:rsidRPr="00516CCA">
              <w:rPr>
                <w:sz w:val="24"/>
                <w:szCs w:val="24"/>
              </w:rPr>
              <w:t>Throughout this case history, I felt I had worked with Parent 1 in a partnership, in line with the ethos of the Social Services and Well-being (Wales) Act 2014.    As the assessment progressed, Parent 1 kept on in their refusal to engage with me and Daughter 2 had to be allocated a new Social Worker.  I strive to work in partnership with families as much as possible, but this can be challenging in safeguarding, and the power imbalance becomes prominent, and the assessment can ultimately feel oppressive.  I feel that the assessment ultimately became more authoritarian in nature due to Parent 1’s refusal to work with me and the nature of the safeguarding concerns.</w:t>
            </w:r>
          </w:p>
          <w:p w14:paraId="479CC439" w14:textId="77777777" w:rsidR="00516CCA" w:rsidRPr="00516CCA" w:rsidRDefault="00516CCA" w:rsidP="00516CCA">
            <w:pPr>
              <w:jc w:val="both"/>
              <w:rPr>
                <w:sz w:val="24"/>
                <w:szCs w:val="24"/>
              </w:rPr>
            </w:pPr>
          </w:p>
          <w:p w14:paraId="64208750" w14:textId="77777777" w:rsidR="00516CCA" w:rsidRPr="00516CCA" w:rsidRDefault="00516CCA" w:rsidP="00516CCA">
            <w:pPr>
              <w:jc w:val="both"/>
              <w:rPr>
                <w:sz w:val="24"/>
                <w:szCs w:val="24"/>
              </w:rPr>
            </w:pPr>
            <w:r w:rsidRPr="00516CCA">
              <w:rPr>
                <w:sz w:val="24"/>
                <w:szCs w:val="24"/>
              </w:rPr>
              <w:t xml:space="preserve">This case has led me to be more mindful of balancing my empathy with professional curiosity.  In assessments, I have always strived to triangulate information shared by parents with evidence, however when it comes to appointments being cancelled, this is not something I routinely did, but now, where possible, I will try and seek the evidence, this can be difficult if </w:t>
            </w:r>
            <w:r w:rsidRPr="00516CCA">
              <w:rPr>
                <w:sz w:val="24"/>
                <w:szCs w:val="24"/>
              </w:rPr>
              <w:lastRenderedPageBreak/>
              <w:t xml:space="preserve">parents refuse, however I feel it demonstrates the level of commitment a parent has to working with services and can be an indicator of disguised compliance (NSPCC, 2025) from parents.  </w:t>
            </w:r>
          </w:p>
          <w:p w14:paraId="4EF3E247" w14:textId="77777777" w:rsidR="00516CCA" w:rsidRPr="00516CCA" w:rsidRDefault="00516CCA" w:rsidP="00516CCA">
            <w:pPr>
              <w:jc w:val="both"/>
              <w:rPr>
                <w:sz w:val="24"/>
                <w:szCs w:val="24"/>
              </w:rPr>
            </w:pPr>
          </w:p>
          <w:p w14:paraId="7D3C8BF1" w14:textId="77777777" w:rsidR="00516CCA" w:rsidRPr="00516CCA" w:rsidRDefault="00516CCA" w:rsidP="00516CCA">
            <w:pPr>
              <w:jc w:val="both"/>
              <w:rPr>
                <w:sz w:val="24"/>
                <w:szCs w:val="24"/>
              </w:rPr>
            </w:pPr>
            <w:r w:rsidRPr="00516CCA">
              <w:rPr>
                <w:sz w:val="24"/>
                <w:szCs w:val="24"/>
              </w:rPr>
              <w:t>If I were to undertake this assessment again, I would hope to plan more with Police to consider potential escalation during joint visits, particularly where there is known history of parental dysregulation or avoidance. Although I remained professional during the confrontation at the grandparents’ home, I was not fully prepared for how rapidly the situation escalated. Next time, I would like for there to be more planning with Police colleagues to consider the safety and any strategies to minimise children’s exposure to distressing incidents. This should help create a calmer, more controlled environment to protect the children from additional emotional harm</w:t>
            </w:r>
          </w:p>
          <w:p w14:paraId="16D187B3" w14:textId="77777777" w:rsidR="00516CCA" w:rsidRPr="00516CCA" w:rsidRDefault="00516CCA" w:rsidP="00516CCA">
            <w:pPr>
              <w:jc w:val="both"/>
              <w:rPr>
                <w:sz w:val="24"/>
                <w:szCs w:val="24"/>
              </w:rPr>
            </w:pPr>
          </w:p>
          <w:p w14:paraId="4FEF7E4E" w14:textId="77777777" w:rsidR="00516CCA" w:rsidRDefault="00516CCA" w:rsidP="00516CCA">
            <w:pPr>
              <w:jc w:val="both"/>
              <w:rPr>
                <w:sz w:val="24"/>
                <w:szCs w:val="24"/>
              </w:rPr>
            </w:pPr>
            <w:r w:rsidRPr="00516CCA">
              <w:rPr>
                <w:sz w:val="24"/>
                <w:szCs w:val="24"/>
              </w:rPr>
              <w:t>On a more personal level, I recognised that I needed to continue to use reflective supervision to ensure that my emotional responses don’t negatively influence my practice.  I have a good manager who I have built up a strong working relationship with over my years in the team, and when an emotionally challenging or complex situation arises they help me to stay focussed on the children’s needs and lived experiences stay central to my work and that my professional judgement is not clouded by my feelings.</w:t>
            </w:r>
          </w:p>
          <w:p w14:paraId="2C0845D7" w14:textId="77777777" w:rsidR="00516CCA" w:rsidRDefault="00516CCA" w:rsidP="00516CCA">
            <w:pPr>
              <w:jc w:val="both"/>
              <w:rPr>
                <w:sz w:val="24"/>
                <w:szCs w:val="24"/>
              </w:rPr>
            </w:pPr>
          </w:p>
          <w:p w14:paraId="2F8A7CA5" w14:textId="70EC77DF" w:rsidR="008D5999" w:rsidRDefault="003A0696" w:rsidP="00516CCA">
            <w:pPr>
              <w:jc w:val="both"/>
              <w:rPr>
                <w:sz w:val="24"/>
                <w:szCs w:val="24"/>
              </w:rPr>
            </w:pPr>
            <w:r w:rsidRPr="003A0696">
              <w:rPr>
                <w:sz w:val="24"/>
                <w:szCs w:val="24"/>
              </w:rPr>
              <w:t>Word 4</w:t>
            </w:r>
            <w:r w:rsidR="00516CCA">
              <w:rPr>
                <w:sz w:val="24"/>
                <w:szCs w:val="24"/>
              </w:rPr>
              <w:t>279</w:t>
            </w:r>
            <w:r w:rsidRPr="003A0696">
              <w:rPr>
                <w:sz w:val="24"/>
                <w:szCs w:val="24"/>
              </w:rPr>
              <w:t>.</w:t>
            </w:r>
          </w:p>
          <w:p w14:paraId="20A5906F" w14:textId="77777777" w:rsidR="008D5999" w:rsidRDefault="008D5999" w:rsidP="00064063">
            <w:pPr>
              <w:jc w:val="both"/>
              <w:rPr>
                <w:sz w:val="24"/>
                <w:szCs w:val="24"/>
              </w:rPr>
            </w:pPr>
          </w:p>
          <w:p w14:paraId="47F21B6A" w14:textId="35610C30" w:rsidR="007A628F" w:rsidRPr="008B28E7" w:rsidRDefault="00045C40" w:rsidP="00E273A2">
            <w:pPr>
              <w:jc w:val="both"/>
              <w:rPr>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1F077" w14:textId="77777777" w:rsidR="00397BD6" w:rsidRDefault="00397BD6">
      <w:r>
        <w:separator/>
      </w:r>
    </w:p>
  </w:endnote>
  <w:endnote w:type="continuationSeparator" w:id="0">
    <w:p w14:paraId="19D68508" w14:textId="77777777" w:rsidR="00397BD6" w:rsidRDefault="00397B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2948E" w14:textId="77777777" w:rsidR="00397BD6" w:rsidRDefault="00397BD6">
      <w:r>
        <w:separator/>
      </w:r>
    </w:p>
  </w:footnote>
  <w:footnote w:type="continuationSeparator" w:id="0">
    <w:p w14:paraId="3B4DCA31" w14:textId="77777777" w:rsidR="00397BD6" w:rsidRDefault="00397B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E269DB"/>
    <w:multiLevelType w:val="hybridMultilevel"/>
    <w:tmpl w:val="85882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826124969">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6B6C"/>
    <w:rsid w:val="00054A07"/>
    <w:rsid w:val="00055D43"/>
    <w:rsid w:val="00056FAC"/>
    <w:rsid w:val="00057751"/>
    <w:rsid w:val="00062E39"/>
    <w:rsid w:val="00064063"/>
    <w:rsid w:val="0006581A"/>
    <w:rsid w:val="00074461"/>
    <w:rsid w:val="000766EC"/>
    <w:rsid w:val="00080E58"/>
    <w:rsid w:val="00081F5A"/>
    <w:rsid w:val="00083D99"/>
    <w:rsid w:val="00084DA6"/>
    <w:rsid w:val="00085699"/>
    <w:rsid w:val="00090160"/>
    <w:rsid w:val="00091F52"/>
    <w:rsid w:val="00092970"/>
    <w:rsid w:val="00093720"/>
    <w:rsid w:val="000938E6"/>
    <w:rsid w:val="00093B3C"/>
    <w:rsid w:val="0009488C"/>
    <w:rsid w:val="00095C1B"/>
    <w:rsid w:val="00096D8E"/>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096"/>
    <w:rsid w:val="000F6196"/>
    <w:rsid w:val="000F6BC3"/>
    <w:rsid w:val="0010312C"/>
    <w:rsid w:val="00105026"/>
    <w:rsid w:val="0010662B"/>
    <w:rsid w:val="00106DC7"/>
    <w:rsid w:val="00112391"/>
    <w:rsid w:val="00114956"/>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13"/>
    <w:rsid w:val="001A607E"/>
    <w:rsid w:val="001A661E"/>
    <w:rsid w:val="001A6A51"/>
    <w:rsid w:val="001A79C4"/>
    <w:rsid w:val="001B331A"/>
    <w:rsid w:val="001C0237"/>
    <w:rsid w:val="001C0E74"/>
    <w:rsid w:val="001C4DB8"/>
    <w:rsid w:val="001C50B8"/>
    <w:rsid w:val="001C7891"/>
    <w:rsid w:val="001D229F"/>
    <w:rsid w:val="001E2EB6"/>
    <w:rsid w:val="001F094A"/>
    <w:rsid w:val="001F4552"/>
    <w:rsid w:val="001F61C9"/>
    <w:rsid w:val="0020158D"/>
    <w:rsid w:val="002019EB"/>
    <w:rsid w:val="00203011"/>
    <w:rsid w:val="00204B58"/>
    <w:rsid w:val="00205051"/>
    <w:rsid w:val="00211F65"/>
    <w:rsid w:val="00214047"/>
    <w:rsid w:val="00216563"/>
    <w:rsid w:val="0021670F"/>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B1B"/>
    <w:rsid w:val="002761F4"/>
    <w:rsid w:val="002775E1"/>
    <w:rsid w:val="002777BA"/>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AA2"/>
    <w:rsid w:val="002C3031"/>
    <w:rsid w:val="002C4233"/>
    <w:rsid w:val="002C496D"/>
    <w:rsid w:val="002D05EB"/>
    <w:rsid w:val="002D11A8"/>
    <w:rsid w:val="002D2F29"/>
    <w:rsid w:val="002D46C0"/>
    <w:rsid w:val="002D5A92"/>
    <w:rsid w:val="002D65D2"/>
    <w:rsid w:val="002D6B31"/>
    <w:rsid w:val="002D7D5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8D6"/>
    <w:rsid w:val="00354B6D"/>
    <w:rsid w:val="00355210"/>
    <w:rsid w:val="00355CFD"/>
    <w:rsid w:val="003643E5"/>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BD6"/>
    <w:rsid w:val="003A0696"/>
    <w:rsid w:val="003A0C37"/>
    <w:rsid w:val="003A1B6B"/>
    <w:rsid w:val="003A46C0"/>
    <w:rsid w:val="003A600E"/>
    <w:rsid w:val="003A6513"/>
    <w:rsid w:val="003B16C7"/>
    <w:rsid w:val="003B29BC"/>
    <w:rsid w:val="003B3115"/>
    <w:rsid w:val="003B626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A86"/>
    <w:rsid w:val="00425160"/>
    <w:rsid w:val="00430DE3"/>
    <w:rsid w:val="0043271A"/>
    <w:rsid w:val="004348AE"/>
    <w:rsid w:val="004376C0"/>
    <w:rsid w:val="0044223A"/>
    <w:rsid w:val="00450B67"/>
    <w:rsid w:val="00451851"/>
    <w:rsid w:val="0045189A"/>
    <w:rsid w:val="00453343"/>
    <w:rsid w:val="004538C3"/>
    <w:rsid w:val="00454637"/>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904"/>
    <w:rsid w:val="004D03C4"/>
    <w:rsid w:val="004D0BF1"/>
    <w:rsid w:val="004D0F4E"/>
    <w:rsid w:val="004D3278"/>
    <w:rsid w:val="004D35A4"/>
    <w:rsid w:val="004D445F"/>
    <w:rsid w:val="004E087B"/>
    <w:rsid w:val="004E44A4"/>
    <w:rsid w:val="004E7B8B"/>
    <w:rsid w:val="004E7BDD"/>
    <w:rsid w:val="004F0E3B"/>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845"/>
    <w:rsid w:val="00516CCA"/>
    <w:rsid w:val="00521123"/>
    <w:rsid w:val="00521221"/>
    <w:rsid w:val="0052250B"/>
    <w:rsid w:val="00523283"/>
    <w:rsid w:val="005305C6"/>
    <w:rsid w:val="00540EEC"/>
    <w:rsid w:val="005414F4"/>
    <w:rsid w:val="00546187"/>
    <w:rsid w:val="00547B11"/>
    <w:rsid w:val="00555049"/>
    <w:rsid w:val="00557D77"/>
    <w:rsid w:val="00560B29"/>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3A1"/>
    <w:rsid w:val="005C1567"/>
    <w:rsid w:val="005C28D3"/>
    <w:rsid w:val="005C6CE5"/>
    <w:rsid w:val="005C76C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6F18"/>
    <w:rsid w:val="006C2EB5"/>
    <w:rsid w:val="006D18A3"/>
    <w:rsid w:val="006D5970"/>
    <w:rsid w:val="006E3076"/>
    <w:rsid w:val="006E481E"/>
    <w:rsid w:val="006E4D5F"/>
    <w:rsid w:val="006E64BF"/>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19D"/>
    <w:rsid w:val="007A628F"/>
    <w:rsid w:val="007B0DE3"/>
    <w:rsid w:val="007B1BFD"/>
    <w:rsid w:val="007B7191"/>
    <w:rsid w:val="007C1D94"/>
    <w:rsid w:val="007C51D7"/>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DB3"/>
    <w:rsid w:val="00891078"/>
    <w:rsid w:val="00892716"/>
    <w:rsid w:val="00893067"/>
    <w:rsid w:val="008933DE"/>
    <w:rsid w:val="00895FCE"/>
    <w:rsid w:val="00897F3E"/>
    <w:rsid w:val="008A21B4"/>
    <w:rsid w:val="008A4483"/>
    <w:rsid w:val="008B07DE"/>
    <w:rsid w:val="008B1309"/>
    <w:rsid w:val="008B28E7"/>
    <w:rsid w:val="008B4C9E"/>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C87"/>
    <w:rsid w:val="00912BD9"/>
    <w:rsid w:val="00916FB2"/>
    <w:rsid w:val="00920E5B"/>
    <w:rsid w:val="00926436"/>
    <w:rsid w:val="00926C53"/>
    <w:rsid w:val="0093018C"/>
    <w:rsid w:val="0094495F"/>
    <w:rsid w:val="009535E1"/>
    <w:rsid w:val="009544C0"/>
    <w:rsid w:val="00954FA4"/>
    <w:rsid w:val="00956AE9"/>
    <w:rsid w:val="00961ABD"/>
    <w:rsid w:val="00962D1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B19"/>
    <w:rsid w:val="00A303B9"/>
    <w:rsid w:val="00A37416"/>
    <w:rsid w:val="00A40ED6"/>
    <w:rsid w:val="00A47621"/>
    <w:rsid w:val="00A479CD"/>
    <w:rsid w:val="00A50CFC"/>
    <w:rsid w:val="00A54D67"/>
    <w:rsid w:val="00A55A3F"/>
    <w:rsid w:val="00A5656A"/>
    <w:rsid w:val="00A5787A"/>
    <w:rsid w:val="00A60103"/>
    <w:rsid w:val="00A65010"/>
    <w:rsid w:val="00A652F6"/>
    <w:rsid w:val="00A65861"/>
    <w:rsid w:val="00A727CA"/>
    <w:rsid w:val="00A732EA"/>
    <w:rsid w:val="00A7489E"/>
    <w:rsid w:val="00A8015F"/>
    <w:rsid w:val="00A81931"/>
    <w:rsid w:val="00A85039"/>
    <w:rsid w:val="00A906AA"/>
    <w:rsid w:val="00A94C5E"/>
    <w:rsid w:val="00AA252C"/>
    <w:rsid w:val="00AA666E"/>
    <w:rsid w:val="00AA7960"/>
    <w:rsid w:val="00AB5518"/>
    <w:rsid w:val="00AC3A0E"/>
    <w:rsid w:val="00AC4A04"/>
    <w:rsid w:val="00AC5341"/>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0DF4"/>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32B"/>
    <w:rsid w:val="00B82CC2"/>
    <w:rsid w:val="00B84A89"/>
    <w:rsid w:val="00B84FCF"/>
    <w:rsid w:val="00B9256C"/>
    <w:rsid w:val="00B92BEF"/>
    <w:rsid w:val="00B94443"/>
    <w:rsid w:val="00B9689A"/>
    <w:rsid w:val="00B97056"/>
    <w:rsid w:val="00BA531E"/>
    <w:rsid w:val="00BA728B"/>
    <w:rsid w:val="00BB06CB"/>
    <w:rsid w:val="00BB0F6A"/>
    <w:rsid w:val="00BB261F"/>
    <w:rsid w:val="00BB2887"/>
    <w:rsid w:val="00BB3B56"/>
    <w:rsid w:val="00BB5EAA"/>
    <w:rsid w:val="00BB5F11"/>
    <w:rsid w:val="00BB6638"/>
    <w:rsid w:val="00BB7FD2"/>
    <w:rsid w:val="00BC04FA"/>
    <w:rsid w:val="00BC1C22"/>
    <w:rsid w:val="00BC2D13"/>
    <w:rsid w:val="00BC460B"/>
    <w:rsid w:val="00BC4ED3"/>
    <w:rsid w:val="00BC5725"/>
    <w:rsid w:val="00BD30B1"/>
    <w:rsid w:val="00BE0F7B"/>
    <w:rsid w:val="00BE10C2"/>
    <w:rsid w:val="00BF0D6C"/>
    <w:rsid w:val="00C01D14"/>
    <w:rsid w:val="00C01D97"/>
    <w:rsid w:val="00C025B4"/>
    <w:rsid w:val="00C029EC"/>
    <w:rsid w:val="00C14E72"/>
    <w:rsid w:val="00C161FD"/>
    <w:rsid w:val="00C17C9F"/>
    <w:rsid w:val="00C20A97"/>
    <w:rsid w:val="00C20E85"/>
    <w:rsid w:val="00C23F17"/>
    <w:rsid w:val="00C246F2"/>
    <w:rsid w:val="00C252FA"/>
    <w:rsid w:val="00C26D0D"/>
    <w:rsid w:val="00C27C95"/>
    <w:rsid w:val="00C300D2"/>
    <w:rsid w:val="00C3270F"/>
    <w:rsid w:val="00C3278B"/>
    <w:rsid w:val="00C33375"/>
    <w:rsid w:val="00C34C23"/>
    <w:rsid w:val="00C368FA"/>
    <w:rsid w:val="00C42005"/>
    <w:rsid w:val="00C4664D"/>
    <w:rsid w:val="00C46C7D"/>
    <w:rsid w:val="00C472AA"/>
    <w:rsid w:val="00C50A05"/>
    <w:rsid w:val="00C54AED"/>
    <w:rsid w:val="00C555FC"/>
    <w:rsid w:val="00C55E9B"/>
    <w:rsid w:val="00C56D09"/>
    <w:rsid w:val="00C57D24"/>
    <w:rsid w:val="00C604D6"/>
    <w:rsid w:val="00C62E37"/>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5C7"/>
    <w:rsid w:val="00CC02F1"/>
    <w:rsid w:val="00CC1122"/>
    <w:rsid w:val="00CC11A6"/>
    <w:rsid w:val="00CC135E"/>
    <w:rsid w:val="00CC7226"/>
    <w:rsid w:val="00CD0735"/>
    <w:rsid w:val="00CD1057"/>
    <w:rsid w:val="00CD45E3"/>
    <w:rsid w:val="00CD4771"/>
    <w:rsid w:val="00CD5089"/>
    <w:rsid w:val="00CD5D3F"/>
    <w:rsid w:val="00CD7E1F"/>
    <w:rsid w:val="00CE4BC4"/>
    <w:rsid w:val="00CE6FF2"/>
    <w:rsid w:val="00CE7DA2"/>
    <w:rsid w:val="00CF2F8A"/>
    <w:rsid w:val="00CF3DB3"/>
    <w:rsid w:val="00D0274B"/>
    <w:rsid w:val="00D0503D"/>
    <w:rsid w:val="00D052BC"/>
    <w:rsid w:val="00D07026"/>
    <w:rsid w:val="00D146AE"/>
    <w:rsid w:val="00D22C8F"/>
    <w:rsid w:val="00D3203C"/>
    <w:rsid w:val="00D33491"/>
    <w:rsid w:val="00D3442D"/>
    <w:rsid w:val="00D35C1D"/>
    <w:rsid w:val="00D36F00"/>
    <w:rsid w:val="00D44B67"/>
    <w:rsid w:val="00D44F8E"/>
    <w:rsid w:val="00D51FD5"/>
    <w:rsid w:val="00D55DE0"/>
    <w:rsid w:val="00D607EF"/>
    <w:rsid w:val="00D60F88"/>
    <w:rsid w:val="00D61246"/>
    <w:rsid w:val="00D646BD"/>
    <w:rsid w:val="00D65558"/>
    <w:rsid w:val="00D71201"/>
    <w:rsid w:val="00D720C7"/>
    <w:rsid w:val="00D84841"/>
    <w:rsid w:val="00D876E6"/>
    <w:rsid w:val="00D90958"/>
    <w:rsid w:val="00DA1025"/>
    <w:rsid w:val="00DA22EC"/>
    <w:rsid w:val="00DA5682"/>
    <w:rsid w:val="00DA5860"/>
    <w:rsid w:val="00DA5C0C"/>
    <w:rsid w:val="00DB1F5D"/>
    <w:rsid w:val="00DB2767"/>
    <w:rsid w:val="00DC1B10"/>
    <w:rsid w:val="00DC2924"/>
    <w:rsid w:val="00DC4729"/>
    <w:rsid w:val="00DD31C5"/>
    <w:rsid w:val="00DD5020"/>
    <w:rsid w:val="00DD63BE"/>
    <w:rsid w:val="00DE4296"/>
    <w:rsid w:val="00DF2469"/>
    <w:rsid w:val="00DF7899"/>
    <w:rsid w:val="00E0524C"/>
    <w:rsid w:val="00E07B32"/>
    <w:rsid w:val="00E13516"/>
    <w:rsid w:val="00E15751"/>
    <w:rsid w:val="00E17160"/>
    <w:rsid w:val="00E17D41"/>
    <w:rsid w:val="00E231D1"/>
    <w:rsid w:val="00E273A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BF2"/>
    <w:rsid w:val="00E83D90"/>
    <w:rsid w:val="00E83F91"/>
    <w:rsid w:val="00E86299"/>
    <w:rsid w:val="00E87890"/>
    <w:rsid w:val="00E9107A"/>
    <w:rsid w:val="00E91F62"/>
    <w:rsid w:val="00E929FD"/>
    <w:rsid w:val="00E93240"/>
    <w:rsid w:val="00E9479B"/>
    <w:rsid w:val="00E94E22"/>
    <w:rsid w:val="00E95F08"/>
    <w:rsid w:val="00E97171"/>
    <w:rsid w:val="00EA4D48"/>
    <w:rsid w:val="00EA7ADF"/>
    <w:rsid w:val="00EB2173"/>
    <w:rsid w:val="00EB62E6"/>
    <w:rsid w:val="00EB695F"/>
    <w:rsid w:val="00EC120A"/>
    <w:rsid w:val="00EC226E"/>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2E38"/>
    <w:rsid w:val="00F254D1"/>
    <w:rsid w:val="00F32B82"/>
    <w:rsid w:val="00F34C86"/>
    <w:rsid w:val="00F4043E"/>
    <w:rsid w:val="00F40CFB"/>
    <w:rsid w:val="00F41795"/>
    <w:rsid w:val="00F41BBC"/>
    <w:rsid w:val="00F444F0"/>
    <w:rsid w:val="00F446FF"/>
    <w:rsid w:val="00F45521"/>
    <w:rsid w:val="00F50847"/>
    <w:rsid w:val="00F53F27"/>
    <w:rsid w:val="00F54223"/>
    <w:rsid w:val="00F546D1"/>
    <w:rsid w:val="00F60281"/>
    <w:rsid w:val="00F66272"/>
    <w:rsid w:val="00F709C0"/>
    <w:rsid w:val="00F812D2"/>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A95"/>
    <w:rsid w:val="00FC51F9"/>
    <w:rsid w:val="00FC5B40"/>
    <w:rsid w:val="00FC5FF8"/>
    <w:rsid w:val="00FD271B"/>
    <w:rsid w:val="00FD3D7C"/>
    <w:rsid w:val="00FD4F8F"/>
    <w:rsid w:val="00FE0C16"/>
    <w:rsid w:val="00FE14AF"/>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535E1"/>
    <w:rPr>
      <w:color w:val="605E5C"/>
      <w:shd w:val="clear" w:color="auto" w:fill="E1DFDD"/>
    </w:rPr>
  </w:style>
  <w:style w:type="paragraph" w:styleId="ListParagraph">
    <w:name w:val="List Paragraph"/>
    <w:basedOn w:val="Normal"/>
    <w:uiPriority w:val="34"/>
    <w:qFormat/>
    <w:rsid w:val="00E878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ebecca.parker@powys.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3</TotalTime>
  <Pages>9</Pages>
  <Words>4529</Words>
  <Characters>22515</Characters>
  <Application>Microsoft Office Word</Application>
  <DocSecurity>0</DocSecurity>
  <Lines>375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Parker</cp:lastModifiedBy>
  <cp:revision>4</cp:revision>
  <cp:lastPrinted>2020-02-11T19:20:00Z</cp:lastPrinted>
  <dcterms:created xsi:type="dcterms:W3CDTF">2026-02-18T14:12:00Z</dcterms:created>
  <dcterms:modified xsi:type="dcterms:W3CDTF">2026-02-25T10:21:00Z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