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D4D896F" w14:textId="0D33AE8D" w:rsidR="006D1123" w:rsidRDefault="006D1123">
      <w:pPr>
        <w:spacing w:after="200"/>
        <w:rPr>
          <w:b/>
          <w:bCs/>
          <w:sz w:val="28"/>
          <w:szCs w:val="28"/>
        </w:rPr>
      </w:pPr>
      <w:r>
        <w:rPr>
          <w:b/>
          <w:bCs/>
          <w:noProof/>
          <w:sz w:val="28"/>
          <w:szCs w:val="28"/>
        </w:rPr>
        <w:drawing>
          <wp:inline distT="0" distB="0" distL="0" distR="0" wp14:anchorId="12BC1F3C" wp14:editId="4B31CDBC">
            <wp:extent cx="5943600" cy="2478405"/>
            <wp:effectExtent l="0" t="0" r="0" b="0"/>
            <wp:docPr id="591561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61535" name="Picture 5915615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478405"/>
                    </a:xfrm>
                    <a:prstGeom prst="rect">
                      <a:avLst/>
                    </a:prstGeom>
                  </pic:spPr>
                </pic:pic>
              </a:graphicData>
            </a:graphic>
          </wp:inline>
        </w:drawing>
      </w:r>
    </w:p>
    <w:p w14:paraId="243930A5" w14:textId="6B5CAC5E" w:rsidR="00595F5F" w:rsidRDefault="00000000">
      <w:pPr>
        <w:spacing w:after="200"/>
      </w:pPr>
      <w:r>
        <w:rPr>
          <w:b/>
          <w:bCs/>
          <w:sz w:val="28"/>
          <w:szCs w:val="28"/>
        </w:rPr>
        <w:t>Component 2 – Essay</w:t>
      </w:r>
    </w:p>
    <w:p w14:paraId="410BE5E2" w14:textId="77777777" w:rsidR="00595F5F" w:rsidRDefault="00000000">
      <w:pPr>
        <w:spacing w:after="300"/>
      </w:pPr>
      <w:r>
        <w:rPr>
          <w:b/>
          <w:bCs/>
          <w:sz w:val="24"/>
          <w:szCs w:val="24"/>
        </w:rPr>
        <w:t>Methods of Contracting in Project Management</w:t>
      </w:r>
    </w:p>
    <w:p w14:paraId="007EF4EF" w14:textId="77777777" w:rsidR="00595F5F" w:rsidRDefault="00000000">
      <w:pPr>
        <w:spacing w:after="200" w:line="300" w:lineRule="auto"/>
      </w:pPr>
      <w:r>
        <w:rPr>
          <w:b/>
          <w:bCs/>
          <w:sz w:val="24"/>
          <w:szCs w:val="24"/>
        </w:rPr>
        <w:t xml:space="preserve">Student Name: </w:t>
      </w:r>
      <w:r>
        <w:rPr>
          <w:sz w:val="24"/>
          <w:szCs w:val="24"/>
        </w:rPr>
        <w:t>Hristina Veskova</w:t>
      </w:r>
    </w:p>
    <w:p w14:paraId="21872288" w14:textId="77777777" w:rsidR="00595F5F" w:rsidRDefault="00000000">
      <w:pPr>
        <w:spacing w:after="200" w:line="300" w:lineRule="auto"/>
      </w:pPr>
      <w:r>
        <w:rPr>
          <w:b/>
          <w:bCs/>
          <w:sz w:val="24"/>
          <w:szCs w:val="24"/>
        </w:rPr>
        <w:t xml:space="preserve">Student Number: </w:t>
      </w:r>
      <w:r>
        <w:rPr>
          <w:sz w:val="24"/>
          <w:szCs w:val="24"/>
        </w:rPr>
        <w:t>2328970</w:t>
      </w:r>
    </w:p>
    <w:p w14:paraId="58448D9A" w14:textId="77777777" w:rsidR="00595F5F" w:rsidRDefault="00000000">
      <w:pPr>
        <w:spacing w:after="200" w:line="300" w:lineRule="auto"/>
      </w:pPr>
      <w:r>
        <w:rPr>
          <w:b/>
          <w:bCs/>
          <w:sz w:val="24"/>
          <w:szCs w:val="24"/>
        </w:rPr>
        <w:t xml:space="preserve">Module: </w:t>
      </w:r>
      <w:r>
        <w:rPr>
          <w:sz w:val="24"/>
          <w:szCs w:val="24"/>
        </w:rPr>
        <w:t>Project Management (LCBB6006)</w:t>
      </w:r>
    </w:p>
    <w:p w14:paraId="58F93C40" w14:textId="77777777" w:rsidR="00595F5F" w:rsidRDefault="00000000">
      <w:pPr>
        <w:spacing w:after="200" w:line="300" w:lineRule="auto"/>
      </w:pPr>
      <w:r>
        <w:rPr>
          <w:b/>
          <w:bCs/>
          <w:sz w:val="24"/>
          <w:szCs w:val="24"/>
        </w:rPr>
        <w:t xml:space="preserve">Lecturer: </w:t>
      </w:r>
      <w:r>
        <w:rPr>
          <w:sz w:val="24"/>
          <w:szCs w:val="24"/>
        </w:rPr>
        <w:t>Dr Zainab Atta</w:t>
      </w:r>
    </w:p>
    <w:p w14:paraId="6C8949AD" w14:textId="77777777" w:rsidR="00595F5F" w:rsidRDefault="00595F5F">
      <w:pPr>
        <w:spacing w:after="300"/>
      </w:pPr>
    </w:p>
    <w:sdt>
      <w:sdtPr>
        <w:rPr>
          <w:rFonts w:ascii="Times New Roman" w:eastAsia="Times New Roman" w:hAnsi="Times New Roman" w:cs="Times New Roman"/>
          <w:b w:val="0"/>
          <w:bCs w:val="0"/>
          <w:color w:val="auto"/>
          <w:sz w:val="20"/>
          <w:szCs w:val="20"/>
          <w:lang w:val="en-GB" w:eastAsia="en-GB"/>
        </w:rPr>
        <w:id w:val="143330832"/>
        <w:docPartObj>
          <w:docPartGallery w:val="Table of Contents"/>
          <w:docPartUnique/>
        </w:docPartObj>
      </w:sdtPr>
      <w:sdtEndPr>
        <w:rPr>
          <w:noProof/>
        </w:rPr>
      </w:sdtEndPr>
      <w:sdtContent>
        <w:p w14:paraId="2BC7EAB1" w14:textId="077BE6B1" w:rsidR="006D1123" w:rsidRDefault="006D1123">
          <w:pPr>
            <w:pStyle w:val="TOCHeading"/>
          </w:pPr>
          <w:r>
            <w:t>Table of Contents</w:t>
          </w:r>
        </w:p>
        <w:p w14:paraId="47A0206C" w14:textId="12D90E39" w:rsidR="006D1123" w:rsidRDefault="006D1123">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34745132" w:history="1">
            <w:r w:rsidRPr="00593FAD">
              <w:rPr>
                <w:rStyle w:val="Hyperlink"/>
                <w:noProof/>
              </w:rPr>
              <w:t>Introduction</w:t>
            </w:r>
            <w:r>
              <w:rPr>
                <w:noProof/>
                <w:webHidden/>
              </w:rPr>
              <w:tab/>
            </w:r>
            <w:r>
              <w:rPr>
                <w:noProof/>
                <w:webHidden/>
              </w:rPr>
              <w:fldChar w:fldCharType="begin"/>
            </w:r>
            <w:r>
              <w:rPr>
                <w:noProof/>
                <w:webHidden/>
              </w:rPr>
              <w:instrText xml:space="preserve"> PAGEREF _Toc234745132 \h </w:instrText>
            </w:r>
            <w:r>
              <w:rPr>
                <w:noProof/>
                <w:webHidden/>
              </w:rPr>
            </w:r>
            <w:r>
              <w:rPr>
                <w:noProof/>
                <w:webHidden/>
              </w:rPr>
              <w:fldChar w:fldCharType="separate"/>
            </w:r>
            <w:r>
              <w:rPr>
                <w:noProof/>
                <w:webHidden/>
              </w:rPr>
              <w:t>2</w:t>
            </w:r>
            <w:r>
              <w:rPr>
                <w:noProof/>
                <w:webHidden/>
              </w:rPr>
              <w:fldChar w:fldCharType="end"/>
            </w:r>
          </w:hyperlink>
        </w:p>
        <w:p w14:paraId="6508AD44" w14:textId="178D7791" w:rsidR="006D1123" w:rsidRDefault="006D1123">
          <w:pPr>
            <w:pStyle w:val="TOC1"/>
            <w:tabs>
              <w:tab w:val="right" w:leader="dot" w:pos="9350"/>
            </w:tabs>
            <w:rPr>
              <w:noProof/>
            </w:rPr>
          </w:pPr>
          <w:hyperlink w:anchor="_Toc234745133" w:history="1">
            <w:r w:rsidRPr="00593FAD">
              <w:rPr>
                <w:rStyle w:val="Hyperlink"/>
                <w:noProof/>
              </w:rPr>
              <w:t>Contracting in Project Management</w:t>
            </w:r>
            <w:r>
              <w:rPr>
                <w:noProof/>
                <w:webHidden/>
              </w:rPr>
              <w:tab/>
            </w:r>
            <w:r>
              <w:rPr>
                <w:noProof/>
                <w:webHidden/>
              </w:rPr>
              <w:fldChar w:fldCharType="begin"/>
            </w:r>
            <w:r>
              <w:rPr>
                <w:noProof/>
                <w:webHidden/>
              </w:rPr>
              <w:instrText xml:space="preserve"> PAGEREF _Toc234745133 \h </w:instrText>
            </w:r>
            <w:r>
              <w:rPr>
                <w:noProof/>
                <w:webHidden/>
              </w:rPr>
            </w:r>
            <w:r>
              <w:rPr>
                <w:noProof/>
                <w:webHidden/>
              </w:rPr>
              <w:fldChar w:fldCharType="separate"/>
            </w:r>
            <w:r>
              <w:rPr>
                <w:noProof/>
                <w:webHidden/>
              </w:rPr>
              <w:t>2</w:t>
            </w:r>
            <w:r>
              <w:rPr>
                <w:noProof/>
                <w:webHidden/>
              </w:rPr>
              <w:fldChar w:fldCharType="end"/>
            </w:r>
          </w:hyperlink>
        </w:p>
        <w:p w14:paraId="18EC0856" w14:textId="4CE9D6EA" w:rsidR="006D1123" w:rsidRDefault="006D1123">
          <w:pPr>
            <w:pStyle w:val="TOC1"/>
            <w:tabs>
              <w:tab w:val="right" w:leader="dot" w:pos="9350"/>
            </w:tabs>
            <w:rPr>
              <w:noProof/>
            </w:rPr>
          </w:pPr>
          <w:hyperlink w:anchor="_Toc234745134" w:history="1">
            <w:r w:rsidRPr="00593FAD">
              <w:rPr>
                <w:rStyle w:val="Hyperlink"/>
                <w:noProof/>
              </w:rPr>
              <w:t>Turnkey Contracting</w:t>
            </w:r>
            <w:r>
              <w:rPr>
                <w:noProof/>
                <w:webHidden/>
              </w:rPr>
              <w:tab/>
            </w:r>
            <w:r>
              <w:rPr>
                <w:noProof/>
                <w:webHidden/>
              </w:rPr>
              <w:fldChar w:fldCharType="begin"/>
            </w:r>
            <w:r>
              <w:rPr>
                <w:noProof/>
                <w:webHidden/>
              </w:rPr>
              <w:instrText xml:space="preserve"> PAGEREF _Toc234745134 \h </w:instrText>
            </w:r>
            <w:r>
              <w:rPr>
                <w:noProof/>
                <w:webHidden/>
              </w:rPr>
            </w:r>
            <w:r>
              <w:rPr>
                <w:noProof/>
                <w:webHidden/>
              </w:rPr>
              <w:fldChar w:fldCharType="separate"/>
            </w:r>
            <w:r>
              <w:rPr>
                <w:noProof/>
                <w:webHidden/>
              </w:rPr>
              <w:t>3</w:t>
            </w:r>
            <w:r>
              <w:rPr>
                <w:noProof/>
                <w:webHidden/>
              </w:rPr>
              <w:fldChar w:fldCharType="end"/>
            </w:r>
          </w:hyperlink>
        </w:p>
        <w:p w14:paraId="32087DAC" w14:textId="4991F6E0" w:rsidR="006D1123" w:rsidRDefault="006D1123">
          <w:pPr>
            <w:pStyle w:val="TOC1"/>
            <w:tabs>
              <w:tab w:val="right" w:leader="dot" w:pos="9350"/>
            </w:tabs>
            <w:rPr>
              <w:noProof/>
            </w:rPr>
          </w:pPr>
          <w:hyperlink w:anchor="_Toc234745135" w:history="1">
            <w:r w:rsidRPr="00593FAD">
              <w:rPr>
                <w:rStyle w:val="Hyperlink"/>
                <w:noProof/>
              </w:rPr>
              <w:t>Multicontract</w:t>
            </w:r>
            <w:r>
              <w:rPr>
                <w:noProof/>
                <w:webHidden/>
              </w:rPr>
              <w:tab/>
            </w:r>
            <w:r>
              <w:rPr>
                <w:noProof/>
                <w:webHidden/>
              </w:rPr>
              <w:fldChar w:fldCharType="begin"/>
            </w:r>
            <w:r>
              <w:rPr>
                <w:noProof/>
                <w:webHidden/>
              </w:rPr>
              <w:instrText xml:space="preserve"> PAGEREF _Toc234745135 \h </w:instrText>
            </w:r>
            <w:r>
              <w:rPr>
                <w:noProof/>
                <w:webHidden/>
              </w:rPr>
            </w:r>
            <w:r>
              <w:rPr>
                <w:noProof/>
                <w:webHidden/>
              </w:rPr>
              <w:fldChar w:fldCharType="separate"/>
            </w:r>
            <w:r>
              <w:rPr>
                <w:noProof/>
                <w:webHidden/>
              </w:rPr>
              <w:t>4</w:t>
            </w:r>
            <w:r>
              <w:rPr>
                <w:noProof/>
                <w:webHidden/>
              </w:rPr>
              <w:fldChar w:fldCharType="end"/>
            </w:r>
          </w:hyperlink>
        </w:p>
        <w:p w14:paraId="0AC9EC54" w14:textId="6D098BCD" w:rsidR="006D1123" w:rsidRDefault="006D1123">
          <w:pPr>
            <w:pStyle w:val="TOC1"/>
            <w:tabs>
              <w:tab w:val="right" w:leader="dot" w:pos="9350"/>
            </w:tabs>
            <w:rPr>
              <w:noProof/>
            </w:rPr>
          </w:pPr>
          <w:hyperlink w:anchor="_Toc234745136" w:history="1">
            <w:r w:rsidRPr="00593FAD">
              <w:rPr>
                <w:rStyle w:val="Hyperlink"/>
                <w:noProof/>
              </w:rPr>
              <w:t>Do-it-yourself (DIY)</w:t>
            </w:r>
            <w:r>
              <w:rPr>
                <w:noProof/>
                <w:webHidden/>
              </w:rPr>
              <w:tab/>
            </w:r>
            <w:r>
              <w:rPr>
                <w:noProof/>
                <w:webHidden/>
              </w:rPr>
              <w:fldChar w:fldCharType="begin"/>
            </w:r>
            <w:r>
              <w:rPr>
                <w:noProof/>
                <w:webHidden/>
              </w:rPr>
              <w:instrText xml:space="preserve"> PAGEREF _Toc234745136 \h </w:instrText>
            </w:r>
            <w:r>
              <w:rPr>
                <w:noProof/>
                <w:webHidden/>
              </w:rPr>
            </w:r>
            <w:r>
              <w:rPr>
                <w:noProof/>
                <w:webHidden/>
              </w:rPr>
              <w:fldChar w:fldCharType="separate"/>
            </w:r>
            <w:r>
              <w:rPr>
                <w:noProof/>
                <w:webHidden/>
              </w:rPr>
              <w:t>4</w:t>
            </w:r>
            <w:r>
              <w:rPr>
                <w:noProof/>
                <w:webHidden/>
              </w:rPr>
              <w:fldChar w:fldCharType="end"/>
            </w:r>
          </w:hyperlink>
        </w:p>
        <w:p w14:paraId="7F7C18DF" w14:textId="4FF7ED53" w:rsidR="006D1123" w:rsidRDefault="006D1123">
          <w:pPr>
            <w:pStyle w:val="TOC1"/>
            <w:tabs>
              <w:tab w:val="right" w:leader="dot" w:pos="9350"/>
            </w:tabs>
            <w:rPr>
              <w:noProof/>
            </w:rPr>
          </w:pPr>
          <w:hyperlink w:anchor="_Toc234745137" w:history="1">
            <w:r w:rsidRPr="00593FAD">
              <w:rPr>
                <w:rStyle w:val="Hyperlink"/>
                <w:noProof/>
              </w:rPr>
              <w:t>Multicontract + Do-it-yourself (DIY)</w:t>
            </w:r>
            <w:r>
              <w:rPr>
                <w:noProof/>
                <w:webHidden/>
              </w:rPr>
              <w:tab/>
            </w:r>
            <w:r>
              <w:rPr>
                <w:noProof/>
                <w:webHidden/>
              </w:rPr>
              <w:fldChar w:fldCharType="begin"/>
            </w:r>
            <w:r>
              <w:rPr>
                <w:noProof/>
                <w:webHidden/>
              </w:rPr>
              <w:instrText xml:space="preserve"> PAGEREF _Toc234745137 \h </w:instrText>
            </w:r>
            <w:r>
              <w:rPr>
                <w:noProof/>
                <w:webHidden/>
              </w:rPr>
            </w:r>
            <w:r>
              <w:rPr>
                <w:noProof/>
                <w:webHidden/>
              </w:rPr>
              <w:fldChar w:fldCharType="separate"/>
            </w:r>
            <w:r>
              <w:rPr>
                <w:noProof/>
                <w:webHidden/>
              </w:rPr>
              <w:t>5</w:t>
            </w:r>
            <w:r>
              <w:rPr>
                <w:noProof/>
                <w:webHidden/>
              </w:rPr>
              <w:fldChar w:fldCharType="end"/>
            </w:r>
          </w:hyperlink>
        </w:p>
        <w:p w14:paraId="56D3125B" w14:textId="5BA692C3" w:rsidR="006D1123" w:rsidRDefault="006D1123">
          <w:pPr>
            <w:pStyle w:val="TOC1"/>
            <w:tabs>
              <w:tab w:val="right" w:leader="dot" w:pos="9350"/>
            </w:tabs>
            <w:rPr>
              <w:noProof/>
            </w:rPr>
          </w:pPr>
          <w:hyperlink w:anchor="_Toc234745138" w:history="1">
            <w:r w:rsidRPr="00593FAD">
              <w:rPr>
                <w:rStyle w:val="Hyperlink"/>
                <w:noProof/>
              </w:rPr>
              <w:t>Comparative Discussion</w:t>
            </w:r>
            <w:r>
              <w:rPr>
                <w:noProof/>
                <w:webHidden/>
              </w:rPr>
              <w:tab/>
            </w:r>
            <w:r>
              <w:rPr>
                <w:noProof/>
                <w:webHidden/>
              </w:rPr>
              <w:fldChar w:fldCharType="begin"/>
            </w:r>
            <w:r>
              <w:rPr>
                <w:noProof/>
                <w:webHidden/>
              </w:rPr>
              <w:instrText xml:space="preserve"> PAGEREF _Toc234745138 \h </w:instrText>
            </w:r>
            <w:r>
              <w:rPr>
                <w:noProof/>
                <w:webHidden/>
              </w:rPr>
            </w:r>
            <w:r>
              <w:rPr>
                <w:noProof/>
                <w:webHidden/>
              </w:rPr>
              <w:fldChar w:fldCharType="separate"/>
            </w:r>
            <w:r>
              <w:rPr>
                <w:noProof/>
                <w:webHidden/>
              </w:rPr>
              <w:t>6</w:t>
            </w:r>
            <w:r>
              <w:rPr>
                <w:noProof/>
                <w:webHidden/>
              </w:rPr>
              <w:fldChar w:fldCharType="end"/>
            </w:r>
          </w:hyperlink>
        </w:p>
        <w:p w14:paraId="7A7403BF" w14:textId="35A30CE0" w:rsidR="006D1123" w:rsidRDefault="006D1123">
          <w:pPr>
            <w:pStyle w:val="TOC1"/>
            <w:tabs>
              <w:tab w:val="right" w:leader="dot" w:pos="9350"/>
            </w:tabs>
            <w:rPr>
              <w:noProof/>
            </w:rPr>
          </w:pPr>
          <w:hyperlink w:anchor="_Toc234745139" w:history="1">
            <w:r w:rsidRPr="00593FAD">
              <w:rPr>
                <w:rStyle w:val="Hyperlink"/>
                <w:noProof/>
              </w:rPr>
              <w:t>Conclusion</w:t>
            </w:r>
            <w:r>
              <w:rPr>
                <w:noProof/>
                <w:webHidden/>
              </w:rPr>
              <w:tab/>
            </w:r>
            <w:r>
              <w:rPr>
                <w:noProof/>
                <w:webHidden/>
              </w:rPr>
              <w:fldChar w:fldCharType="begin"/>
            </w:r>
            <w:r>
              <w:rPr>
                <w:noProof/>
                <w:webHidden/>
              </w:rPr>
              <w:instrText xml:space="preserve"> PAGEREF _Toc234745139 \h </w:instrText>
            </w:r>
            <w:r>
              <w:rPr>
                <w:noProof/>
                <w:webHidden/>
              </w:rPr>
            </w:r>
            <w:r>
              <w:rPr>
                <w:noProof/>
                <w:webHidden/>
              </w:rPr>
              <w:fldChar w:fldCharType="separate"/>
            </w:r>
            <w:r>
              <w:rPr>
                <w:noProof/>
                <w:webHidden/>
              </w:rPr>
              <w:t>7</w:t>
            </w:r>
            <w:r>
              <w:rPr>
                <w:noProof/>
                <w:webHidden/>
              </w:rPr>
              <w:fldChar w:fldCharType="end"/>
            </w:r>
          </w:hyperlink>
        </w:p>
        <w:p w14:paraId="4FC0BCA8" w14:textId="34B639C5" w:rsidR="006D1123" w:rsidRDefault="006D1123">
          <w:pPr>
            <w:pStyle w:val="TOC1"/>
            <w:tabs>
              <w:tab w:val="right" w:leader="dot" w:pos="9350"/>
            </w:tabs>
            <w:rPr>
              <w:noProof/>
            </w:rPr>
          </w:pPr>
          <w:hyperlink w:anchor="_Toc234745140" w:history="1"/>
        </w:p>
        <w:p w14:paraId="2F8345BE" w14:textId="713B3562" w:rsidR="006D1123" w:rsidRDefault="006D1123">
          <w:r>
            <w:rPr>
              <w:b/>
              <w:bCs/>
              <w:noProof/>
            </w:rPr>
            <w:fldChar w:fldCharType="end"/>
          </w:r>
        </w:p>
      </w:sdtContent>
    </w:sdt>
    <w:p w14:paraId="0C50280E" w14:textId="77777777" w:rsidR="00595F5F" w:rsidRDefault="00000000">
      <w:pPr>
        <w:pStyle w:val="Heading1"/>
        <w:spacing w:before="300" w:after="200"/>
      </w:pPr>
      <w:bookmarkStart w:id="0" w:name="_Toc234745132"/>
      <w:r>
        <w:rPr>
          <w:b/>
          <w:bCs/>
        </w:rPr>
        <w:lastRenderedPageBreak/>
        <w:t>Introduction</w:t>
      </w:r>
      <w:bookmarkEnd w:id="0"/>
    </w:p>
    <w:p w14:paraId="7A1D5622" w14:textId="77777777" w:rsidR="00595F5F" w:rsidRDefault="00000000">
      <w:pPr>
        <w:spacing w:after="200" w:line="300" w:lineRule="auto"/>
      </w:pPr>
      <w:r>
        <w:rPr>
          <w:sz w:val="24"/>
          <w:szCs w:val="24"/>
        </w:rPr>
        <w:t xml:space="preserve">Project management is the process of planning, organising, leading and controlling resources to achieve specific project objectives within agreed constraints of scope, cost, quality and time (PMI, 2021). One of the most important decisions made during project planning is selecting the most appropriate contracting method, because it directly shapes project performance, communication, accountability and risk allocation. A contract is not merely a legal document; it is the mechanism by which scope, cost, time </w:t>
      </w:r>
      <w:r>
        <w:rPr>
          <w:sz w:val="24"/>
          <w:szCs w:val="24"/>
        </w:rPr>
        <w:t>and risk are allocated between the client and the parties responsible for delivering the work (APM, 2025; Larson and Gray, 2021).</w:t>
      </w:r>
    </w:p>
    <w:p w14:paraId="527E4745" w14:textId="79B21EB2" w:rsidR="00595F5F" w:rsidRDefault="00000000">
      <w:pPr>
        <w:spacing w:after="200" w:line="300" w:lineRule="auto"/>
      </w:pPr>
      <w:r>
        <w:rPr>
          <w:sz w:val="24"/>
          <w:szCs w:val="24"/>
        </w:rPr>
        <w:t xml:space="preserve">Organisations </w:t>
      </w:r>
      <w:r w:rsidR="005D65B6">
        <w:rPr>
          <w:sz w:val="24"/>
          <w:szCs w:val="24"/>
        </w:rPr>
        <w:t>contracts</w:t>
      </w:r>
      <w:r>
        <w:rPr>
          <w:sz w:val="24"/>
          <w:szCs w:val="24"/>
        </w:rPr>
        <w:t xml:space="preserve"> work externally for several recurring reasons: to access specialised expertise or equipment they do not hold in-house, to transfer delivery risk to a party better placed to manage it, or to benefit from competitive market pricing (Kerzner, 2022). Equally, retaining work in-house can be the more sensible choice where a task is small in scale, sensitive, or already within the organisation's existing capacity.</w:t>
      </w:r>
    </w:p>
    <w:p w14:paraId="5180F1B7" w14:textId="4875DEF8" w:rsidR="00595F5F" w:rsidRDefault="00000000">
      <w:pPr>
        <w:spacing w:after="200" w:line="300" w:lineRule="auto"/>
      </w:pPr>
      <w:r>
        <w:rPr>
          <w:sz w:val="24"/>
          <w:szCs w:val="24"/>
        </w:rPr>
        <w:t xml:space="preserve">This essay examines the four principal methods of contracting in project management, Turnkey, </w:t>
      </w:r>
      <w:proofErr w:type="spellStart"/>
      <w:r>
        <w:rPr>
          <w:sz w:val="24"/>
          <w:szCs w:val="24"/>
        </w:rPr>
        <w:t>Multicontract</w:t>
      </w:r>
      <w:proofErr w:type="spellEnd"/>
      <w:r>
        <w:rPr>
          <w:sz w:val="24"/>
          <w:szCs w:val="24"/>
        </w:rPr>
        <w:t xml:space="preserve">, Do-it-yourself (DIY) and </w:t>
      </w:r>
      <w:r w:rsidR="005D65B6">
        <w:rPr>
          <w:sz w:val="24"/>
          <w:szCs w:val="24"/>
        </w:rPr>
        <w:t>Multicentric</w:t>
      </w:r>
      <w:r>
        <w:rPr>
          <w:sz w:val="24"/>
          <w:szCs w:val="24"/>
        </w:rPr>
        <w:t xml:space="preserve"> combined with DIY, and illustrates each with reference to a single running example: the construction of a new battery manufacturing plant for a renewable energy company. The discussion demonstrates that no contracting method is universally superior; the appropriate choice depends on balancing risk, cost, control and project complexity.</w:t>
      </w:r>
    </w:p>
    <w:p w14:paraId="5AC5D68A" w14:textId="77777777" w:rsidR="00595F5F" w:rsidRDefault="00000000">
      <w:pPr>
        <w:pStyle w:val="Heading1"/>
        <w:spacing w:before="300" w:after="200"/>
      </w:pPr>
      <w:bookmarkStart w:id="1" w:name="_Toc234745133"/>
      <w:r>
        <w:rPr>
          <w:b/>
          <w:bCs/>
        </w:rPr>
        <w:t>Contracting in Project Management</w:t>
      </w:r>
      <w:bookmarkEnd w:id="1"/>
    </w:p>
    <w:p w14:paraId="72C45CE6" w14:textId="77777777" w:rsidR="00595F5F" w:rsidRDefault="00000000">
      <w:pPr>
        <w:spacing w:after="200" w:line="300" w:lineRule="auto"/>
      </w:pPr>
      <w:r>
        <w:rPr>
          <w:sz w:val="24"/>
          <w:szCs w:val="24"/>
        </w:rPr>
        <w:t>Contracting is a fundamental aspect of project management because it establishes the legal and commercial relationship between the project owner and the organisations responsible for delivering specific elements of the project. The method chosen determines how responsibilities, risks, costs and decision-making authority are distributed among the parties involved, and an inappropriate choice can significantly affect project performance (PMI, 2021).</w:t>
      </w:r>
    </w:p>
    <w:p w14:paraId="722CCB8D" w14:textId="77777777" w:rsidR="00595F5F" w:rsidRDefault="00000000">
      <w:pPr>
        <w:spacing w:after="200" w:line="300" w:lineRule="auto"/>
      </w:pPr>
      <w:r>
        <w:rPr>
          <w:sz w:val="24"/>
          <w:szCs w:val="24"/>
        </w:rPr>
        <w:t>Modern projects have become increasingly complex due to technological advances, global supply chains and rising stakeholder expectations, and organisations rarely rely on a single contracting approach for every project. Instead, they weigh factors such as project size, technical complexity, available internal expertise, financial resources and the desired level of control before selecting a method (Kerzner, 2022).</w:t>
      </w:r>
    </w:p>
    <w:p w14:paraId="3B89E4EC" w14:textId="77777777" w:rsidR="00595F5F" w:rsidRDefault="00000000">
      <w:pPr>
        <w:spacing w:after="200" w:line="300" w:lineRule="auto"/>
      </w:pPr>
      <w:r>
        <w:rPr>
          <w:sz w:val="24"/>
          <w:szCs w:val="24"/>
        </w:rPr>
        <w:t xml:space="preserve">Risk allocation is central to this decision. Some arrangements transfer most project responsibility to an external contractor, while others require the client to remain actively involved throughout delivery. Certain methods also provide greater flexibility for changes during execution, whereas </w:t>
      </w:r>
      <w:r>
        <w:rPr>
          <w:sz w:val="24"/>
          <w:szCs w:val="24"/>
        </w:rPr>
        <w:lastRenderedPageBreak/>
        <w:t>others prioritise cost certainty. The sections that follow examine each of the four principal methods using the battery plant project introduced above to illustrate how the same underlying scope of work could reasonably be delivered through any of the four approaches, depending on the manufacturer's priorities, risk appetite and in-house capability.</w:t>
      </w:r>
    </w:p>
    <w:p w14:paraId="341FFF96" w14:textId="77777777" w:rsidR="00595F5F" w:rsidRDefault="00000000">
      <w:pPr>
        <w:pStyle w:val="Heading1"/>
        <w:spacing w:before="300" w:after="200"/>
      </w:pPr>
      <w:bookmarkStart w:id="2" w:name="_Toc234745134"/>
      <w:r>
        <w:rPr>
          <w:b/>
          <w:bCs/>
        </w:rPr>
        <w:t>Turnkey Contracting</w:t>
      </w:r>
      <w:bookmarkEnd w:id="2"/>
    </w:p>
    <w:p w14:paraId="4A9CECC4" w14:textId="77777777" w:rsidR="00595F5F" w:rsidRDefault="00000000">
      <w:pPr>
        <w:spacing w:after="200" w:line="300" w:lineRule="auto"/>
      </w:pPr>
      <w:r>
        <w:rPr>
          <w:sz w:val="24"/>
          <w:szCs w:val="24"/>
        </w:rPr>
        <w:t>Turnkey contracting is a procurement method in which a single contractor assumes responsibility for the entire project, from design through construction, testing and handover, delivering a facility that is ready for immediate use (PMI, 2021). The contractor coordinates all activities, manages subcontractors, and is accountable for meeting agreed specifications, quality standards and completion dates.</w:t>
      </w:r>
    </w:p>
    <w:p w14:paraId="0133FBCA" w14:textId="77777777" w:rsidR="00595F5F" w:rsidRDefault="00000000">
      <w:pPr>
        <w:spacing w:after="200" w:line="300" w:lineRule="auto"/>
      </w:pPr>
      <w:r>
        <w:rPr>
          <w:sz w:val="24"/>
          <w:szCs w:val="24"/>
        </w:rPr>
        <w:t>For the battery plant, turnkey contracting would suit a manufacturer with strong engineering ambitions but no in-house construction capability: a single Engineering, Procurement and Construction contractor could take the project from initial design through to a fully commissioned facility, allowing the manufacturer's own staff to focus on production planning rather than construction management.</w:t>
      </w:r>
    </w:p>
    <w:p w14:paraId="424F2D07" w14:textId="77777777" w:rsidR="00595F5F" w:rsidRDefault="00000000">
      <w:pPr>
        <w:spacing w:after="200" w:line="300" w:lineRule="auto"/>
      </w:pPr>
      <w:r>
        <w:rPr>
          <w:sz w:val="24"/>
          <w:szCs w:val="24"/>
        </w:rPr>
        <w:t>The principal advantage is single-point accountability. Because one contractor manages the entire project, communication is simpler, accountability is easier to establish, and disputes between multiple parties are reduced (Kerzner, 2022). Turnkey contracts also tend to offer greater cost certainty, since the contractor absorbs a substantial share of the financial and technical risk (APM, 2025), which is attractive to a manufacturer seeking a predictable capital budget.</w:t>
      </w:r>
    </w:p>
    <w:p w14:paraId="727F4BAB" w14:textId="77777777" w:rsidR="00595F5F" w:rsidRDefault="00000000">
      <w:pPr>
        <w:spacing w:after="200" w:line="300" w:lineRule="auto"/>
      </w:pPr>
      <w:r>
        <w:rPr>
          <w:sz w:val="24"/>
          <w:szCs w:val="24"/>
        </w:rPr>
        <w:t>A related concern is that a contractor carrying substantial fixed-price risk may look for opportunities to reduce cost within the specification, creating tension between contractor margin and client quality expectations. The corresponding disadvantage is reduced client influence once the contract is signed. If the manufacturer's process requirements change during construction, for example if a new battery chemistry demands a different plant layout, modifications can be expensive and slow to agree (Lock, 202</w:t>
      </w:r>
      <w:r>
        <w:rPr>
          <w:sz w:val="24"/>
          <w:szCs w:val="24"/>
        </w:rPr>
        <w:t>0). Turnkey pricing also typically carries a contingency premium, since the contractor accepts more risk, meaning the client may ultimately pay more than under alternative methods (Lock, 2020).</w:t>
      </w:r>
    </w:p>
    <w:p w14:paraId="1886DA88" w14:textId="77777777" w:rsidR="00595F5F" w:rsidRDefault="00000000">
      <w:pPr>
        <w:spacing w:after="200" w:line="300" w:lineRule="auto"/>
      </w:pPr>
      <w:r>
        <w:rPr>
          <w:sz w:val="24"/>
          <w:szCs w:val="24"/>
        </w:rPr>
        <w:t>Turnkey contracting therefore works best where requirements are stable and well defined before construction begins, such as a standard industrial facility, but is less suited to projects where the client expects to refine technical requirements as the project proceeds.</w:t>
      </w:r>
    </w:p>
    <w:p w14:paraId="087A4D2E" w14:textId="77777777" w:rsidR="00595F5F" w:rsidRDefault="00000000">
      <w:pPr>
        <w:pStyle w:val="Heading1"/>
        <w:spacing w:before="300" w:after="200"/>
      </w:pPr>
      <w:bookmarkStart w:id="3" w:name="_Toc234745135"/>
      <w:proofErr w:type="spellStart"/>
      <w:r>
        <w:rPr>
          <w:b/>
          <w:bCs/>
        </w:rPr>
        <w:lastRenderedPageBreak/>
        <w:t>Multicontract</w:t>
      </w:r>
      <w:bookmarkEnd w:id="3"/>
      <w:proofErr w:type="spellEnd"/>
    </w:p>
    <w:p w14:paraId="56EF92E9" w14:textId="77777777" w:rsidR="00595F5F" w:rsidRDefault="00000000">
      <w:pPr>
        <w:spacing w:after="200" w:line="300" w:lineRule="auto"/>
      </w:pPr>
      <w:proofErr w:type="spellStart"/>
      <w:r>
        <w:rPr>
          <w:sz w:val="24"/>
          <w:szCs w:val="24"/>
        </w:rPr>
        <w:t>Multicontract</w:t>
      </w:r>
      <w:proofErr w:type="spellEnd"/>
      <w:r>
        <w:rPr>
          <w:sz w:val="24"/>
          <w:szCs w:val="24"/>
        </w:rPr>
        <w:t xml:space="preserve"> is a method in which the client enters into separate contracts with several specialist contractors, each responsible for a distinct part of the project, rather than relying on a single organisation to deliver everything (PMI, 2021). For the battery plant, the manufacturer might contract separately for the building shell, the specialist cleanroom and dry-room systems, and the process equipment installation, since each requires different, highly specific expertise.</w:t>
      </w:r>
    </w:p>
    <w:p w14:paraId="3FE3CD23" w14:textId="77777777" w:rsidR="00595F5F" w:rsidRDefault="00000000">
      <w:pPr>
        <w:spacing w:after="200" w:line="300" w:lineRule="auto"/>
      </w:pPr>
      <w:r>
        <w:rPr>
          <w:sz w:val="24"/>
          <w:szCs w:val="24"/>
        </w:rPr>
        <w:t xml:space="preserve">The main advantage is access to specialist contractors in each field, which often produces higher-quality work, together with the potential for more competitive pricing through separate tendering of each package (Kerzner, 2022). The client also keeps far greater influence over detailed specification throughout delivery, rather than losing that influence the moment a single contract is signed. </w:t>
      </w:r>
      <w:proofErr w:type="spellStart"/>
      <w:r>
        <w:rPr>
          <w:sz w:val="24"/>
          <w:szCs w:val="24"/>
        </w:rPr>
        <w:t>Multicontracting</w:t>
      </w:r>
      <w:proofErr w:type="spellEnd"/>
      <w:r>
        <w:rPr>
          <w:sz w:val="24"/>
          <w:szCs w:val="24"/>
        </w:rPr>
        <w:t xml:space="preserve"> also gives the client greater flexibility: if one contractor underperforms, it can be replaced without disrupting every other work package (APM, 2025).</w:t>
      </w:r>
    </w:p>
    <w:p w14:paraId="21417F0C" w14:textId="5AC7FC79" w:rsidR="00595F5F" w:rsidRDefault="00000000">
      <w:pPr>
        <w:spacing w:after="200" w:line="300" w:lineRule="auto"/>
      </w:pPr>
      <w:r>
        <w:rPr>
          <w:sz w:val="24"/>
          <w:szCs w:val="24"/>
        </w:rPr>
        <w:t xml:space="preserve">The disadvantage is that the client assumes far greater coordination responsibility. Because no single contractor is accountable for the whole project, the client, or its project manager, must integrate the interfaces between packages itself. For the battery plant, a delay in the cleanroom </w:t>
      </w:r>
      <w:r w:rsidR="00C856DD">
        <w:rPr>
          <w:sz w:val="24"/>
          <w:szCs w:val="24"/>
        </w:rPr>
        <w:t>fit out</w:t>
      </w:r>
      <w:r>
        <w:rPr>
          <w:sz w:val="24"/>
          <w:szCs w:val="24"/>
        </w:rPr>
        <w:t xml:space="preserve"> could directly hold up the process equipment installer, and disputes over which contractor is liable for the resulting delay can be difficult to resolve (Lock, 2020). </w:t>
      </w:r>
      <w:proofErr w:type="spellStart"/>
      <w:r>
        <w:rPr>
          <w:sz w:val="24"/>
          <w:szCs w:val="24"/>
        </w:rPr>
        <w:t>Multicontracting</w:t>
      </w:r>
      <w:proofErr w:type="spellEnd"/>
      <w:r>
        <w:rPr>
          <w:sz w:val="24"/>
          <w:szCs w:val="24"/>
        </w:rPr>
        <w:t xml:space="preserve"> therefore demands considerably more project management capability and time than turnkey contracting.</w:t>
      </w:r>
    </w:p>
    <w:p w14:paraId="68B3C633" w14:textId="77777777" w:rsidR="00595F5F" w:rsidRDefault="00000000">
      <w:pPr>
        <w:spacing w:after="200" w:line="300" w:lineRule="auto"/>
      </w:pPr>
      <w:proofErr w:type="spellStart"/>
      <w:r>
        <w:rPr>
          <w:sz w:val="24"/>
          <w:szCs w:val="24"/>
        </w:rPr>
        <w:t>Multicontracting</w:t>
      </w:r>
      <w:proofErr w:type="spellEnd"/>
      <w:r>
        <w:rPr>
          <w:sz w:val="24"/>
          <w:szCs w:val="24"/>
        </w:rPr>
        <w:t xml:space="preserve"> is generally the preferred approach for large, technically complex projects where the client has, or can hire, sufficient project management capability to manage several contractual relationships simultaneously. For a manufacturer with an experienced engineering team, this method can secure both higher quality and better value than a single turnkey agreement, but for a client without that capability, it significantly increases the risk of coordination failure.</w:t>
      </w:r>
    </w:p>
    <w:p w14:paraId="53C7805F" w14:textId="77777777" w:rsidR="00595F5F" w:rsidRDefault="00000000">
      <w:pPr>
        <w:pStyle w:val="Heading1"/>
        <w:spacing w:before="300" w:after="200"/>
      </w:pPr>
      <w:bookmarkStart w:id="4" w:name="_Toc234745136"/>
      <w:r>
        <w:rPr>
          <w:b/>
          <w:bCs/>
        </w:rPr>
        <w:t>Do-it-yourself (DIY)</w:t>
      </w:r>
      <w:bookmarkEnd w:id="4"/>
    </w:p>
    <w:p w14:paraId="2794A14B" w14:textId="7EA2B012" w:rsidR="00595F5F" w:rsidRDefault="00000000">
      <w:pPr>
        <w:spacing w:after="200" w:line="300" w:lineRule="auto"/>
      </w:pPr>
      <w:r>
        <w:rPr>
          <w:sz w:val="24"/>
          <w:szCs w:val="24"/>
        </w:rPr>
        <w:t xml:space="preserve">The Do-it-yourself method differs from </w:t>
      </w:r>
      <w:r w:rsidR="00C856DD">
        <w:rPr>
          <w:sz w:val="24"/>
          <w:szCs w:val="24"/>
        </w:rPr>
        <w:t>both above</w:t>
      </w:r>
      <w:r>
        <w:rPr>
          <w:sz w:val="24"/>
          <w:szCs w:val="24"/>
        </w:rPr>
        <w:t xml:space="preserve"> because the client undertakes most or all project activities using its own internal resources rather than external contractors (PMI, 2021). This is most viable for organisations that already possess the necessary technical expertise, personnel and equipment.</w:t>
      </w:r>
    </w:p>
    <w:p w14:paraId="0BFC797D" w14:textId="77777777" w:rsidR="00595F5F" w:rsidRDefault="00000000">
      <w:pPr>
        <w:spacing w:after="200" w:line="300" w:lineRule="auto"/>
      </w:pPr>
      <w:r>
        <w:rPr>
          <w:sz w:val="24"/>
          <w:szCs w:val="24"/>
        </w:rPr>
        <w:t xml:space="preserve">For the battery plant, DIY would be unsuitable for the main construction, since few manufacturers have in-house capability to build an industrial facility of that scale, but it is well suited to smaller elements of the same programme, such as fitting out internal offices or </w:t>
      </w:r>
      <w:r>
        <w:rPr>
          <w:sz w:val="24"/>
          <w:szCs w:val="24"/>
        </w:rPr>
        <w:lastRenderedPageBreak/>
        <w:t>reconfiguring an existing warehouse for parts storage using the company's own maintenance team.</w:t>
      </w:r>
    </w:p>
    <w:p w14:paraId="6FCD6F92" w14:textId="77777777" w:rsidR="00595F5F" w:rsidRDefault="00000000">
      <w:pPr>
        <w:spacing w:after="200" w:line="300" w:lineRule="auto"/>
      </w:pPr>
      <w:r>
        <w:rPr>
          <w:sz w:val="24"/>
          <w:szCs w:val="24"/>
        </w:rPr>
        <w:t>The main advantage of DIY is control: decisions can be made quickly, changes implemented without renegotiating external contracts, and the knowledge gained remains within the organisation (Kerzner, 2022). It can also reduce cost by eliminating contractor profit margins, provided the organisation already employs suitably skilled staff (APM, 2025).</w:t>
      </w:r>
    </w:p>
    <w:p w14:paraId="373E38F6" w14:textId="77777777" w:rsidR="00595F5F" w:rsidRDefault="00000000">
      <w:pPr>
        <w:spacing w:after="200" w:line="300" w:lineRule="auto"/>
      </w:pPr>
      <w:r>
        <w:rPr>
          <w:sz w:val="24"/>
          <w:szCs w:val="24"/>
        </w:rPr>
        <w:t>The disadvantage is that the organisation bears the full technical, financial and operational risk itself. Internal staff often have existing operational duties, limiting how much time they can realistically dedicate to a large project, and organisations lacking sufficient in-house expertise risk cost overruns, delays and quality problems that outweigh any expected savings (Lock, 2020). Because there is no competitive market discipline on price or performance under DIY delivery, inefficient practices can al</w:t>
      </w:r>
      <w:r>
        <w:rPr>
          <w:sz w:val="24"/>
          <w:szCs w:val="24"/>
        </w:rPr>
        <w:t>so persist unchallenged.</w:t>
      </w:r>
    </w:p>
    <w:p w14:paraId="691C180C" w14:textId="77777777" w:rsidR="00595F5F" w:rsidRDefault="00000000">
      <w:pPr>
        <w:spacing w:after="200" w:line="300" w:lineRule="auto"/>
      </w:pPr>
      <w:r>
        <w:rPr>
          <w:sz w:val="24"/>
          <w:szCs w:val="24"/>
        </w:rPr>
        <w:t>DIY is therefore most appropriate for small, low-risk or routine work within an organisation's existing capability, such as the office fit-out in the battery plant example, rather than for large or highly technical elements of a capital programme.</w:t>
      </w:r>
    </w:p>
    <w:p w14:paraId="75D366AA" w14:textId="77777777" w:rsidR="00595F5F" w:rsidRDefault="00000000">
      <w:pPr>
        <w:spacing w:before="100" w:after="150"/>
      </w:pPr>
      <w:r>
        <w:rPr>
          <w:i/>
          <w:iCs/>
        </w:rPr>
        <w:t>Table 1: Comparison of contracting methods</w:t>
      </w:r>
    </w:p>
    <w:tbl>
      <w:tblPr>
        <w:tblW w:w="104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1600"/>
        <w:gridCol w:w="2600"/>
        <w:gridCol w:w="2600"/>
        <w:gridCol w:w="3600"/>
      </w:tblGrid>
      <w:tr w:rsidR="00595F5F" w14:paraId="1D5176DA" w14:textId="77777777">
        <w:tc>
          <w:tcPr>
            <w:tcW w:w="1600" w:type="dxa"/>
            <w:shd w:val="clear" w:color="auto" w:fill="D9D9D9"/>
            <w:tcMar>
              <w:top w:w="100" w:type="dxa"/>
              <w:left w:w="100" w:type="dxa"/>
              <w:bottom w:w="100" w:type="dxa"/>
              <w:right w:w="100" w:type="dxa"/>
            </w:tcMar>
          </w:tcPr>
          <w:p w14:paraId="4A166D96" w14:textId="77777777" w:rsidR="00595F5F" w:rsidRDefault="00000000">
            <w:r>
              <w:rPr>
                <w:b/>
                <w:bCs/>
              </w:rPr>
              <w:t>Method</w:t>
            </w:r>
          </w:p>
        </w:tc>
        <w:tc>
          <w:tcPr>
            <w:tcW w:w="2600" w:type="dxa"/>
            <w:shd w:val="clear" w:color="auto" w:fill="D9D9D9"/>
            <w:tcMar>
              <w:top w:w="100" w:type="dxa"/>
              <w:left w:w="100" w:type="dxa"/>
              <w:bottom w:w="100" w:type="dxa"/>
              <w:right w:w="100" w:type="dxa"/>
            </w:tcMar>
          </w:tcPr>
          <w:p w14:paraId="5976E7A3" w14:textId="77777777" w:rsidR="00595F5F" w:rsidRDefault="00000000">
            <w:r>
              <w:rPr>
                <w:b/>
                <w:bCs/>
              </w:rPr>
              <w:t>Main Advantage</w:t>
            </w:r>
          </w:p>
        </w:tc>
        <w:tc>
          <w:tcPr>
            <w:tcW w:w="2600" w:type="dxa"/>
            <w:shd w:val="clear" w:color="auto" w:fill="D9D9D9"/>
            <w:tcMar>
              <w:top w:w="100" w:type="dxa"/>
              <w:left w:w="100" w:type="dxa"/>
              <w:bottom w:w="100" w:type="dxa"/>
              <w:right w:w="100" w:type="dxa"/>
            </w:tcMar>
          </w:tcPr>
          <w:p w14:paraId="41A13161" w14:textId="77777777" w:rsidR="00595F5F" w:rsidRDefault="00000000">
            <w:r>
              <w:rPr>
                <w:b/>
                <w:bCs/>
              </w:rPr>
              <w:t>Main Disadvantage</w:t>
            </w:r>
          </w:p>
        </w:tc>
        <w:tc>
          <w:tcPr>
            <w:tcW w:w="3600" w:type="dxa"/>
            <w:shd w:val="clear" w:color="auto" w:fill="D9D9D9"/>
            <w:tcMar>
              <w:top w:w="100" w:type="dxa"/>
              <w:left w:w="100" w:type="dxa"/>
              <w:bottom w:w="100" w:type="dxa"/>
              <w:right w:w="100" w:type="dxa"/>
            </w:tcMar>
          </w:tcPr>
          <w:p w14:paraId="5FF035EC" w14:textId="77777777" w:rsidR="00595F5F" w:rsidRDefault="00000000">
            <w:r>
              <w:rPr>
                <w:b/>
                <w:bCs/>
              </w:rPr>
              <w:t>Best Suitable Projects</w:t>
            </w:r>
          </w:p>
        </w:tc>
      </w:tr>
      <w:tr w:rsidR="00595F5F" w14:paraId="1C11661F" w14:textId="77777777">
        <w:tc>
          <w:tcPr>
            <w:tcW w:w="1600" w:type="dxa"/>
            <w:tcMar>
              <w:top w:w="100" w:type="dxa"/>
              <w:left w:w="100" w:type="dxa"/>
              <w:bottom w:w="100" w:type="dxa"/>
              <w:right w:w="100" w:type="dxa"/>
            </w:tcMar>
          </w:tcPr>
          <w:p w14:paraId="5949540C" w14:textId="77777777" w:rsidR="00595F5F" w:rsidRDefault="00000000">
            <w:r>
              <w:t>Turnkey</w:t>
            </w:r>
          </w:p>
        </w:tc>
        <w:tc>
          <w:tcPr>
            <w:tcW w:w="2600" w:type="dxa"/>
            <w:tcMar>
              <w:top w:w="100" w:type="dxa"/>
              <w:left w:w="100" w:type="dxa"/>
              <w:bottom w:w="100" w:type="dxa"/>
              <w:right w:w="100" w:type="dxa"/>
            </w:tcMar>
          </w:tcPr>
          <w:p w14:paraId="6D2A3BCE" w14:textId="77777777" w:rsidR="00595F5F" w:rsidRDefault="00000000">
            <w:r>
              <w:t>Single point of responsibility and accountability; greater cost certainty</w:t>
            </w:r>
          </w:p>
        </w:tc>
        <w:tc>
          <w:tcPr>
            <w:tcW w:w="2600" w:type="dxa"/>
            <w:tcMar>
              <w:top w:w="100" w:type="dxa"/>
              <w:left w:w="100" w:type="dxa"/>
              <w:bottom w:w="100" w:type="dxa"/>
              <w:right w:w="100" w:type="dxa"/>
            </w:tcMar>
          </w:tcPr>
          <w:p w14:paraId="084539D0" w14:textId="3D13D9D3" w:rsidR="00595F5F" w:rsidRDefault="00000000">
            <w:r>
              <w:t xml:space="preserve">Less client involvement and influence once the contract is awarded; </w:t>
            </w:r>
            <w:r w:rsidR="00C856DD">
              <w:t>typically,</w:t>
            </w:r>
            <w:r>
              <w:t xml:space="preserve"> higher contract price</w:t>
            </w:r>
          </w:p>
        </w:tc>
        <w:tc>
          <w:tcPr>
            <w:tcW w:w="3600" w:type="dxa"/>
            <w:tcMar>
              <w:top w:w="100" w:type="dxa"/>
              <w:left w:w="100" w:type="dxa"/>
              <w:bottom w:w="100" w:type="dxa"/>
              <w:right w:w="100" w:type="dxa"/>
            </w:tcMar>
          </w:tcPr>
          <w:p w14:paraId="62C78A4C" w14:textId="77777777" w:rsidR="00595F5F" w:rsidRDefault="00000000">
            <w:r>
              <w:t>Standard industrial facilities, hospitals, renewable energy plants</w:t>
            </w:r>
          </w:p>
        </w:tc>
      </w:tr>
      <w:tr w:rsidR="00595F5F" w14:paraId="5A43E903" w14:textId="77777777">
        <w:tc>
          <w:tcPr>
            <w:tcW w:w="1600" w:type="dxa"/>
            <w:tcMar>
              <w:top w:w="100" w:type="dxa"/>
              <w:left w:w="100" w:type="dxa"/>
              <w:bottom w:w="100" w:type="dxa"/>
              <w:right w:w="100" w:type="dxa"/>
            </w:tcMar>
          </w:tcPr>
          <w:p w14:paraId="628764F0" w14:textId="77777777" w:rsidR="00595F5F" w:rsidRDefault="00000000">
            <w:proofErr w:type="spellStart"/>
            <w:r>
              <w:t>Multicontract</w:t>
            </w:r>
            <w:proofErr w:type="spellEnd"/>
          </w:p>
        </w:tc>
        <w:tc>
          <w:tcPr>
            <w:tcW w:w="2600" w:type="dxa"/>
            <w:tcMar>
              <w:top w:w="100" w:type="dxa"/>
              <w:left w:w="100" w:type="dxa"/>
              <w:bottom w:w="100" w:type="dxa"/>
              <w:right w:w="100" w:type="dxa"/>
            </w:tcMar>
          </w:tcPr>
          <w:p w14:paraId="7F38356F" w14:textId="77777777" w:rsidR="00595F5F" w:rsidRDefault="00000000">
            <w:r>
              <w:t>Access to specialist expertise per discipline; competitive pricing</w:t>
            </w:r>
          </w:p>
        </w:tc>
        <w:tc>
          <w:tcPr>
            <w:tcW w:w="2600" w:type="dxa"/>
            <w:tcMar>
              <w:top w:w="100" w:type="dxa"/>
              <w:left w:w="100" w:type="dxa"/>
              <w:bottom w:w="100" w:type="dxa"/>
              <w:right w:w="100" w:type="dxa"/>
            </w:tcMar>
          </w:tcPr>
          <w:p w14:paraId="2A66D2E5" w14:textId="77777777" w:rsidR="00595F5F" w:rsidRDefault="00000000">
            <w:r>
              <w:t>Complex coordination; client bears a greater share of project risk</w:t>
            </w:r>
          </w:p>
        </w:tc>
        <w:tc>
          <w:tcPr>
            <w:tcW w:w="3600" w:type="dxa"/>
            <w:tcMar>
              <w:top w:w="100" w:type="dxa"/>
              <w:left w:w="100" w:type="dxa"/>
              <w:bottom w:w="100" w:type="dxa"/>
              <w:right w:w="100" w:type="dxa"/>
            </w:tcMar>
          </w:tcPr>
          <w:p w14:paraId="45B56080" w14:textId="77777777" w:rsidR="00595F5F" w:rsidRDefault="00000000">
            <w:r>
              <w:t>Large, technically complex projects with distinct specialist packages</w:t>
            </w:r>
          </w:p>
        </w:tc>
      </w:tr>
      <w:tr w:rsidR="00595F5F" w14:paraId="5A944BB4" w14:textId="77777777">
        <w:tc>
          <w:tcPr>
            <w:tcW w:w="1600" w:type="dxa"/>
            <w:tcMar>
              <w:top w:w="100" w:type="dxa"/>
              <w:left w:w="100" w:type="dxa"/>
              <w:bottom w:w="100" w:type="dxa"/>
              <w:right w:w="100" w:type="dxa"/>
            </w:tcMar>
          </w:tcPr>
          <w:p w14:paraId="7A4F021C" w14:textId="77777777" w:rsidR="00595F5F" w:rsidRDefault="00000000">
            <w:r>
              <w:t>DIY</w:t>
            </w:r>
          </w:p>
        </w:tc>
        <w:tc>
          <w:tcPr>
            <w:tcW w:w="2600" w:type="dxa"/>
            <w:tcMar>
              <w:top w:w="100" w:type="dxa"/>
              <w:left w:w="100" w:type="dxa"/>
              <w:bottom w:w="100" w:type="dxa"/>
              <w:right w:w="100" w:type="dxa"/>
            </w:tcMar>
          </w:tcPr>
          <w:p w14:paraId="4410ED33" w14:textId="77777777" w:rsidR="00595F5F" w:rsidRDefault="00000000">
            <w:r>
              <w:t>Maximum organisational control; potential cost savings</w:t>
            </w:r>
          </w:p>
        </w:tc>
        <w:tc>
          <w:tcPr>
            <w:tcW w:w="2600" w:type="dxa"/>
            <w:tcMar>
              <w:top w:w="100" w:type="dxa"/>
              <w:left w:w="100" w:type="dxa"/>
              <w:bottom w:w="100" w:type="dxa"/>
              <w:right w:w="100" w:type="dxa"/>
            </w:tcMar>
          </w:tcPr>
          <w:p w14:paraId="58688F20" w14:textId="77777777" w:rsidR="00595F5F" w:rsidRDefault="00000000">
            <w:r>
              <w:t>Client bears full project risk; may lack specialist knowledge or spare capacity</w:t>
            </w:r>
          </w:p>
        </w:tc>
        <w:tc>
          <w:tcPr>
            <w:tcW w:w="3600" w:type="dxa"/>
            <w:tcMar>
              <w:top w:w="100" w:type="dxa"/>
              <w:left w:w="100" w:type="dxa"/>
              <w:bottom w:w="100" w:type="dxa"/>
              <w:right w:w="100" w:type="dxa"/>
            </w:tcMar>
          </w:tcPr>
          <w:p w14:paraId="3E47910C" w14:textId="1E5120A2" w:rsidR="00595F5F" w:rsidRDefault="00000000">
            <w:r>
              <w:t xml:space="preserve">Small internal projects, routine maintenance, office </w:t>
            </w:r>
            <w:r w:rsidR="00C856DD">
              <w:t>fitouts</w:t>
            </w:r>
          </w:p>
        </w:tc>
      </w:tr>
      <w:tr w:rsidR="00595F5F" w14:paraId="5D7E4C93" w14:textId="77777777">
        <w:tc>
          <w:tcPr>
            <w:tcW w:w="1600" w:type="dxa"/>
            <w:tcMar>
              <w:top w:w="100" w:type="dxa"/>
              <w:left w:w="100" w:type="dxa"/>
              <w:bottom w:w="100" w:type="dxa"/>
              <w:right w:w="100" w:type="dxa"/>
            </w:tcMar>
          </w:tcPr>
          <w:p w14:paraId="06292A23" w14:textId="77777777" w:rsidR="00595F5F" w:rsidRDefault="00000000">
            <w:proofErr w:type="spellStart"/>
            <w:r>
              <w:t>Multicontract</w:t>
            </w:r>
            <w:proofErr w:type="spellEnd"/>
            <w:r>
              <w:t xml:space="preserve"> + DIY</w:t>
            </w:r>
          </w:p>
        </w:tc>
        <w:tc>
          <w:tcPr>
            <w:tcW w:w="2600" w:type="dxa"/>
            <w:tcMar>
              <w:top w:w="100" w:type="dxa"/>
              <w:left w:w="100" w:type="dxa"/>
              <w:bottom w:w="100" w:type="dxa"/>
              <w:right w:w="100" w:type="dxa"/>
            </w:tcMar>
          </w:tcPr>
          <w:p w14:paraId="744229D9" w14:textId="77777777" w:rsidR="00595F5F" w:rsidRDefault="00000000">
            <w:r>
              <w:t>Balance of internal control and external specialist expertise; high flexibility</w:t>
            </w:r>
          </w:p>
        </w:tc>
        <w:tc>
          <w:tcPr>
            <w:tcW w:w="2600" w:type="dxa"/>
            <w:tcMar>
              <w:top w:w="100" w:type="dxa"/>
              <w:left w:w="100" w:type="dxa"/>
              <w:bottom w:w="100" w:type="dxa"/>
              <w:right w:w="100" w:type="dxa"/>
            </w:tcMar>
          </w:tcPr>
          <w:p w14:paraId="294C5F52" w14:textId="77777777" w:rsidR="00595F5F" w:rsidRDefault="00000000">
            <w:r>
              <w:t>Difficult governance across internal teams and multiple contractors</w:t>
            </w:r>
          </w:p>
        </w:tc>
        <w:tc>
          <w:tcPr>
            <w:tcW w:w="3600" w:type="dxa"/>
            <w:tcMar>
              <w:top w:w="100" w:type="dxa"/>
              <w:left w:w="100" w:type="dxa"/>
              <w:bottom w:w="100" w:type="dxa"/>
              <w:right w:w="100" w:type="dxa"/>
            </w:tcMar>
          </w:tcPr>
          <w:p w14:paraId="71F19F6F" w14:textId="77777777" w:rsidR="00595F5F" w:rsidRDefault="00000000">
            <w:r>
              <w:t>Large, mixed-scope programmes combining specialist and routine work</w:t>
            </w:r>
          </w:p>
        </w:tc>
      </w:tr>
    </w:tbl>
    <w:p w14:paraId="514C88C8" w14:textId="77777777" w:rsidR="00595F5F" w:rsidRDefault="00595F5F">
      <w:pPr>
        <w:spacing w:after="200"/>
      </w:pPr>
    </w:p>
    <w:p w14:paraId="00283149" w14:textId="77777777" w:rsidR="00595F5F" w:rsidRDefault="00000000">
      <w:pPr>
        <w:pStyle w:val="Heading1"/>
        <w:spacing w:before="300" w:after="200"/>
      </w:pPr>
      <w:bookmarkStart w:id="5" w:name="_Toc234745137"/>
      <w:proofErr w:type="spellStart"/>
      <w:r>
        <w:rPr>
          <w:b/>
          <w:bCs/>
        </w:rPr>
        <w:t>Multicontract</w:t>
      </w:r>
      <w:proofErr w:type="spellEnd"/>
      <w:r>
        <w:rPr>
          <w:b/>
          <w:bCs/>
        </w:rPr>
        <w:t xml:space="preserve"> + Do-it-yourself (DIY)</w:t>
      </w:r>
      <w:bookmarkEnd w:id="5"/>
    </w:p>
    <w:p w14:paraId="20F75BB8" w14:textId="18F294A7" w:rsidR="00595F5F" w:rsidRDefault="00000000">
      <w:pPr>
        <w:spacing w:after="200" w:line="300" w:lineRule="auto"/>
      </w:pPr>
      <w:r>
        <w:rPr>
          <w:sz w:val="24"/>
          <w:szCs w:val="24"/>
        </w:rPr>
        <w:t xml:space="preserve">The </w:t>
      </w:r>
      <w:proofErr w:type="spellStart"/>
      <w:r>
        <w:rPr>
          <w:sz w:val="24"/>
          <w:szCs w:val="24"/>
        </w:rPr>
        <w:t>Multicontract</w:t>
      </w:r>
      <w:proofErr w:type="spellEnd"/>
      <w:r>
        <w:rPr>
          <w:sz w:val="24"/>
          <w:szCs w:val="24"/>
        </w:rPr>
        <w:t xml:space="preserve"> + DIY approach combines internal delivery with external specialist contracting: the client performs selected tasks itself while contracting out work that requires specialist knowledge, equipment or additional capacity (PMI, 2021). For the battery plant, the </w:t>
      </w:r>
      <w:r>
        <w:rPr>
          <w:sz w:val="24"/>
          <w:szCs w:val="24"/>
        </w:rPr>
        <w:lastRenderedPageBreak/>
        <w:t xml:space="preserve">manufacturer might contract the cleanroom construction and specialist process equipment installation to external specialists, since </w:t>
      </w:r>
      <w:r w:rsidR="00C856DD">
        <w:rPr>
          <w:sz w:val="24"/>
          <w:szCs w:val="24"/>
        </w:rPr>
        <w:t>this demand expertise</w:t>
      </w:r>
      <w:r>
        <w:rPr>
          <w:sz w:val="24"/>
          <w:szCs w:val="24"/>
        </w:rPr>
        <w:t xml:space="preserve"> it lacks in-house, while its own engineering team simultaneously manages site groundw</w:t>
      </w:r>
      <w:r>
        <w:rPr>
          <w:sz w:val="24"/>
          <w:szCs w:val="24"/>
        </w:rPr>
        <w:t>orks and the office fit-out using existing staff.</w:t>
      </w:r>
    </w:p>
    <w:p w14:paraId="4C865D0A" w14:textId="77777777" w:rsidR="00595F5F" w:rsidRDefault="00000000">
      <w:pPr>
        <w:spacing w:after="200" w:line="300" w:lineRule="auto"/>
      </w:pPr>
      <w:r>
        <w:rPr>
          <w:sz w:val="24"/>
          <w:szCs w:val="24"/>
        </w:rPr>
        <w:t>The main advantage is flexibility: each activity can be matched to whichever delivery method suits it best, retaining strategic control over critical elements while buying in expertise only where it is genuinely needed (Kerzner, 2022). This can also improve cost efficiency, since routine work stays in-house at no contractor mark-up (APM, 2025).</w:t>
      </w:r>
    </w:p>
    <w:p w14:paraId="59AC1D86" w14:textId="33341076" w:rsidR="00595F5F" w:rsidRDefault="00000000">
      <w:pPr>
        <w:spacing w:after="200" w:line="300" w:lineRule="auto"/>
      </w:pPr>
      <w:r>
        <w:rPr>
          <w:sz w:val="24"/>
          <w:szCs w:val="24"/>
        </w:rPr>
        <w:t xml:space="preserve">The disadvantage is added complexity. Managing internal teams and multiple external contractors simultaneously requires clear governance and well-defined responsibilities; if roles are poorly allocated, ambiguity over accountability can increase the risk of delays or disputes (Lock, 2020). Structured process frameworks that combine maturity models with PMBOK-aligned guidance can help address this by formalising how internal and external </w:t>
      </w:r>
      <w:r w:rsidR="00C856DD">
        <w:rPr>
          <w:sz w:val="24"/>
          <w:szCs w:val="24"/>
        </w:rPr>
        <w:t>teams’</w:t>
      </w:r>
      <w:r>
        <w:rPr>
          <w:sz w:val="24"/>
          <w:szCs w:val="24"/>
        </w:rPr>
        <w:t xml:space="preserve"> hand over work (Rdiouat et al., 2021).</w:t>
      </w:r>
    </w:p>
    <w:p w14:paraId="3AF5962A" w14:textId="77777777" w:rsidR="00595F5F" w:rsidRDefault="00000000">
      <w:pPr>
        <w:spacing w:after="200" w:line="300" w:lineRule="auto"/>
      </w:pPr>
      <w:r>
        <w:rPr>
          <w:sz w:val="24"/>
          <w:szCs w:val="24"/>
        </w:rPr>
        <w:t>This hybrid approach suits large, mixed-scope programmes, such as a manufacturing plant with both highly specialised and routine elements, where the client has some internal capability but cannot realistically deliver the whole project itself. Its success, however, depends heavily on disciplined planning and communication across the internal and external boundary.</w:t>
      </w:r>
    </w:p>
    <w:p w14:paraId="7A8EA617" w14:textId="77777777" w:rsidR="00595F5F" w:rsidRDefault="00000000">
      <w:pPr>
        <w:pStyle w:val="Heading1"/>
        <w:spacing w:before="300" w:after="200"/>
      </w:pPr>
      <w:bookmarkStart w:id="6" w:name="_Toc234745138"/>
      <w:r>
        <w:rPr>
          <w:b/>
          <w:bCs/>
        </w:rPr>
        <w:t>Comparative Discussion</w:t>
      </w:r>
      <w:bookmarkEnd w:id="6"/>
    </w:p>
    <w:p w14:paraId="4D86C295" w14:textId="77777777" w:rsidR="00595F5F" w:rsidRDefault="00000000">
      <w:pPr>
        <w:spacing w:after="200" w:line="300" w:lineRule="auto"/>
      </w:pPr>
      <w:r>
        <w:rPr>
          <w:sz w:val="24"/>
          <w:szCs w:val="24"/>
        </w:rPr>
        <w:t xml:space="preserve">Across the battery plant example, the four methods sit along a broadly consistent spectrum: as the client gives up direct control, it typically gains simplicity and cost certainty, and as it retains more control, it absorbs more coordination effort and risk. Turnkey minimises the manufacturer's management burden and maximises cost certainty but sacrifices influence over detailed design once signed. </w:t>
      </w:r>
      <w:proofErr w:type="spellStart"/>
      <w:r>
        <w:rPr>
          <w:sz w:val="24"/>
          <w:szCs w:val="24"/>
        </w:rPr>
        <w:t>Multicontracting</w:t>
      </w:r>
      <w:proofErr w:type="spellEnd"/>
      <w:r>
        <w:rPr>
          <w:sz w:val="24"/>
          <w:szCs w:val="24"/>
        </w:rPr>
        <w:t xml:space="preserve"> restores that influence and can improve quality and price through competition, at the cost of significant coordination demands on the client (Kerzner, 2022). DIY maximises control still further but exposes the organisation to the full weight of technical and financial risk, meaning it is realistic only for the smaller, lower-risk elements of the programme. The hybrid approach attempts to capture the benefits of each by matching delivery method to package, at the cost of being the most admin</w:t>
      </w:r>
      <w:r>
        <w:rPr>
          <w:sz w:val="24"/>
          <w:szCs w:val="24"/>
        </w:rPr>
        <w:t>istratively demanding option to govern.</w:t>
      </w:r>
    </w:p>
    <w:p w14:paraId="45E39C21" w14:textId="77777777" w:rsidR="00595F5F" w:rsidRDefault="00000000">
      <w:pPr>
        <w:spacing w:after="200" w:line="300" w:lineRule="auto"/>
      </w:pPr>
      <w:r>
        <w:rPr>
          <w:sz w:val="24"/>
          <w:szCs w:val="24"/>
        </w:rPr>
        <w:t xml:space="preserve">Selection should not be based on cost alone. Clients and contractors are prone to optimism bias and strategic misrepresentation when forecasting costs and schedules, which can distort the apparent price advantage of one method over another regardless of its underlying structural merits (Flyvbjerg, 2021). A contracting strategy that appears cheapest on paper may still </w:t>
      </w:r>
      <w:r>
        <w:rPr>
          <w:sz w:val="24"/>
          <w:szCs w:val="24"/>
        </w:rPr>
        <w:lastRenderedPageBreak/>
        <w:t>underperform if it fails to allocate risk appropriately or leaves the client without the flexibility to respond to unforeseen circumstances. For the battery plant, this means the manufacturer's final choice should reflect not just headline price, but how well each method matches its actual in-house capability and appetite for risk.</w:t>
      </w:r>
    </w:p>
    <w:p w14:paraId="47E97B33" w14:textId="77777777" w:rsidR="00595F5F" w:rsidRDefault="00000000">
      <w:pPr>
        <w:pStyle w:val="Heading1"/>
        <w:spacing w:before="300" w:after="200"/>
      </w:pPr>
      <w:bookmarkStart w:id="7" w:name="_Toc234745139"/>
      <w:r>
        <w:rPr>
          <w:b/>
          <w:bCs/>
        </w:rPr>
        <w:t>Conclusion</w:t>
      </w:r>
      <w:bookmarkEnd w:id="7"/>
    </w:p>
    <w:p w14:paraId="63282BDE" w14:textId="77777777" w:rsidR="00595F5F" w:rsidRDefault="00000000">
      <w:pPr>
        <w:spacing w:after="200" w:line="300" w:lineRule="auto"/>
      </w:pPr>
      <w:r>
        <w:rPr>
          <w:sz w:val="24"/>
          <w:szCs w:val="24"/>
        </w:rPr>
        <w:t xml:space="preserve">Contracting plays a fundamental role in project management because it determines how responsibilities, risks and resources are allocated throughout a project's lifecycle. As the battery plant example demonstrates, no single method is universally superior: turnkey offers simplicity and cost certainty at the expense of client control; </w:t>
      </w:r>
      <w:proofErr w:type="spellStart"/>
      <w:r>
        <w:rPr>
          <w:sz w:val="24"/>
          <w:szCs w:val="24"/>
        </w:rPr>
        <w:t>multicontracting</w:t>
      </w:r>
      <w:proofErr w:type="spellEnd"/>
      <w:r>
        <w:rPr>
          <w:sz w:val="24"/>
          <w:szCs w:val="24"/>
        </w:rPr>
        <w:t xml:space="preserve"> restores control and specialist quality at the cost of coordination demands; DIY maximises control but concentrates risk entirely within the organisation; and the hybrid </w:t>
      </w:r>
      <w:proofErr w:type="spellStart"/>
      <w:r>
        <w:rPr>
          <w:sz w:val="24"/>
          <w:szCs w:val="24"/>
        </w:rPr>
        <w:t>Multicontract</w:t>
      </w:r>
      <w:proofErr w:type="spellEnd"/>
      <w:r>
        <w:rPr>
          <w:sz w:val="24"/>
          <w:szCs w:val="24"/>
        </w:rPr>
        <w:t xml:space="preserve"> + DIY approach balances these trade-offs at the cost of governance complexity.</w:t>
      </w:r>
    </w:p>
    <w:p w14:paraId="1727C369" w14:textId="77777777" w:rsidR="00595F5F" w:rsidRDefault="00000000">
      <w:pPr>
        <w:spacing w:after="200" w:line="300" w:lineRule="auto"/>
      </w:pPr>
      <w:r>
        <w:rPr>
          <w:sz w:val="24"/>
          <w:szCs w:val="24"/>
        </w:rPr>
        <w:t xml:space="preserve">This is consistent with perspective-based understandings of project success, which suggest that what counts as a successful outcome depends on the priorities of different stakeholders rather than a single fixed standard (McLeod, Doolin and </w:t>
      </w:r>
      <w:proofErr w:type="spellStart"/>
      <w:r>
        <w:rPr>
          <w:sz w:val="24"/>
          <w:szCs w:val="24"/>
        </w:rPr>
        <w:t>MacDonell</w:t>
      </w:r>
      <w:proofErr w:type="spellEnd"/>
      <w:r>
        <w:rPr>
          <w:sz w:val="24"/>
          <w:szCs w:val="24"/>
        </w:rPr>
        <w:t>, 2021). Project managers must therefore weigh not only cost, but risk allocation, organisational capability, stakeholder expectations and long-term outcomes before selecting a contracting strategy for a project such as the battery plant described throughout this essay.</w:t>
      </w:r>
    </w:p>
    <w:p w14:paraId="6B804BDD" w14:textId="77777777" w:rsidR="00595F5F" w:rsidRDefault="00000000">
      <w:pPr>
        <w:spacing w:after="200" w:line="300" w:lineRule="auto"/>
      </w:pPr>
      <w:r>
        <w:rPr>
          <w:sz w:val="24"/>
          <w:szCs w:val="24"/>
        </w:rPr>
        <w:t>As projects continue to grow in scale and complexity, the ability to select and manage the most appropriate contracting method, rather than defaulting to habit or convenience, will remain an essential competency for project managers across every industry.</w:t>
      </w:r>
    </w:p>
    <w:p w14:paraId="176AA89B" w14:textId="77777777" w:rsidR="006D1123" w:rsidRDefault="006D1123">
      <w:pPr>
        <w:pStyle w:val="Heading1"/>
        <w:spacing w:before="300" w:after="200"/>
        <w:rPr>
          <w:b/>
          <w:bCs/>
        </w:rPr>
      </w:pPr>
      <w:bookmarkStart w:id="8" w:name="_Toc234745140"/>
    </w:p>
    <w:p w14:paraId="33EB4A62" w14:textId="74ACD109" w:rsidR="00595F5F" w:rsidRDefault="00000000">
      <w:pPr>
        <w:pStyle w:val="Heading1"/>
        <w:spacing w:before="300" w:after="200"/>
      </w:pPr>
      <w:r>
        <w:rPr>
          <w:b/>
          <w:bCs/>
        </w:rPr>
        <w:t>References</w:t>
      </w:r>
      <w:bookmarkEnd w:id="8"/>
    </w:p>
    <w:p w14:paraId="6491570F" w14:textId="77777777" w:rsidR="00595F5F" w:rsidRDefault="00000000">
      <w:pPr>
        <w:spacing w:after="200" w:line="300" w:lineRule="auto"/>
      </w:pPr>
      <w:r>
        <w:rPr>
          <w:sz w:val="22"/>
          <w:szCs w:val="22"/>
        </w:rPr>
        <w:t xml:space="preserve">Association for Project Management (APM) (2025) APM Body of Knowledge. 8th </w:t>
      </w:r>
      <w:proofErr w:type="spellStart"/>
      <w:r>
        <w:rPr>
          <w:sz w:val="22"/>
          <w:szCs w:val="22"/>
        </w:rPr>
        <w:t>edn</w:t>
      </w:r>
      <w:proofErr w:type="spellEnd"/>
      <w:r>
        <w:rPr>
          <w:sz w:val="22"/>
          <w:szCs w:val="22"/>
        </w:rPr>
        <w:t>. Buckinghamshire: Association for Project Management.</w:t>
      </w:r>
    </w:p>
    <w:p w14:paraId="36C5C2E6" w14:textId="77777777" w:rsidR="00595F5F" w:rsidRDefault="00000000">
      <w:pPr>
        <w:spacing w:after="200" w:line="300" w:lineRule="auto"/>
      </w:pPr>
      <w:r>
        <w:rPr>
          <w:sz w:val="22"/>
          <w:szCs w:val="22"/>
        </w:rPr>
        <w:t xml:space="preserve">Flyvbjerg, B. (2021) 'Top Ten </w:t>
      </w:r>
      <w:proofErr w:type="spellStart"/>
      <w:r>
        <w:rPr>
          <w:sz w:val="22"/>
          <w:szCs w:val="22"/>
        </w:rPr>
        <w:t>Behavioral</w:t>
      </w:r>
      <w:proofErr w:type="spellEnd"/>
      <w:r>
        <w:rPr>
          <w:sz w:val="22"/>
          <w:szCs w:val="22"/>
        </w:rPr>
        <w:t xml:space="preserve"> Biases in Project Management: An Overview', Project Management Journal, 52(6), pp. 531–546.</w:t>
      </w:r>
    </w:p>
    <w:p w14:paraId="5BD2D356" w14:textId="77777777" w:rsidR="00595F5F" w:rsidRDefault="00000000">
      <w:pPr>
        <w:spacing w:after="200" w:line="300" w:lineRule="auto"/>
      </w:pPr>
      <w:r>
        <w:rPr>
          <w:sz w:val="22"/>
          <w:szCs w:val="22"/>
        </w:rPr>
        <w:t xml:space="preserve">Kerzner, H. (2022) Project Management: A Systems Approach to Planning, Scheduling, and Controlling. 13th </w:t>
      </w:r>
      <w:proofErr w:type="spellStart"/>
      <w:r>
        <w:rPr>
          <w:sz w:val="22"/>
          <w:szCs w:val="22"/>
        </w:rPr>
        <w:t>edn</w:t>
      </w:r>
      <w:proofErr w:type="spellEnd"/>
      <w:r>
        <w:rPr>
          <w:sz w:val="22"/>
          <w:szCs w:val="22"/>
        </w:rPr>
        <w:t>. Hoboken, NJ: John Wiley &amp; Sons.</w:t>
      </w:r>
    </w:p>
    <w:p w14:paraId="420265A8" w14:textId="77777777" w:rsidR="00595F5F" w:rsidRDefault="00000000">
      <w:pPr>
        <w:spacing w:after="200" w:line="300" w:lineRule="auto"/>
      </w:pPr>
      <w:r>
        <w:rPr>
          <w:sz w:val="22"/>
          <w:szCs w:val="22"/>
        </w:rPr>
        <w:t xml:space="preserve">Larson, E.W. and Gray, C.F. (2021) Project Management: The Managerial Process. 8th </w:t>
      </w:r>
      <w:proofErr w:type="spellStart"/>
      <w:r>
        <w:rPr>
          <w:sz w:val="22"/>
          <w:szCs w:val="22"/>
        </w:rPr>
        <w:t>edn</w:t>
      </w:r>
      <w:proofErr w:type="spellEnd"/>
      <w:r>
        <w:rPr>
          <w:sz w:val="22"/>
          <w:szCs w:val="22"/>
        </w:rPr>
        <w:t>. New York: McGraw-Hill Education.</w:t>
      </w:r>
    </w:p>
    <w:p w14:paraId="7102A895" w14:textId="77777777" w:rsidR="00595F5F" w:rsidRDefault="00000000">
      <w:pPr>
        <w:spacing w:after="200" w:line="300" w:lineRule="auto"/>
      </w:pPr>
      <w:r>
        <w:rPr>
          <w:sz w:val="22"/>
          <w:szCs w:val="22"/>
        </w:rPr>
        <w:lastRenderedPageBreak/>
        <w:t xml:space="preserve">Lock, D. (2020) Project Management. 10th </w:t>
      </w:r>
      <w:proofErr w:type="spellStart"/>
      <w:r>
        <w:rPr>
          <w:sz w:val="22"/>
          <w:szCs w:val="22"/>
        </w:rPr>
        <w:t>edn</w:t>
      </w:r>
      <w:proofErr w:type="spellEnd"/>
      <w:r>
        <w:rPr>
          <w:sz w:val="22"/>
          <w:szCs w:val="22"/>
        </w:rPr>
        <w:t>. London: Routledge.</w:t>
      </w:r>
    </w:p>
    <w:p w14:paraId="0E0A5212" w14:textId="77777777" w:rsidR="00595F5F" w:rsidRDefault="00000000">
      <w:pPr>
        <w:spacing w:after="200" w:line="300" w:lineRule="auto"/>
      </w:pPr>
      <w:r>
        <w:rPr>
          <w:sz w:val="22"/>
          <w:szCs w:val="22"/>
        </w:rPr>
        <w:t xml:space="preserve">McLeod, L., Doolin, B. and </w:t>
      </w:r>
      <w:proofErr w:type="spellStart"/>
      <w:r>
        <w:rPr>
          <w:sz w:val="22"/>
          <w:szCs w:val="22"/>
        </w:rPr>
        <w:t>MacDonell</w:t>
      </w:r>
      <w:proofErr w:type="spellEnd"/>
      <w:r>
        <w:rPr>
          <w:sz w:val="22"/>
          <w:szCs w:val="22"/>
        </w:rPr>
        <w:t>, S.G. (2021) 'A Perspective-Based Understanding of Project Success', Project Leadership and Society, 2, 100012.</w:t>
      </w:r>
    </w:p>
    <w:p w14:paraId="3CFB2C45" w14:textId="77777777" w:rsidR="00595F5F" w:rsidRDefault="00000000">
      <w:pPr>
        <w:spacing w:after="200" w:line="300" w:lineRule="auto"/>
      </w:pPr>
      <w:r>
        <w:rPr>
          <w:sz w:val="22"/>
          <w:szCs w:val="22"/>
        </w:rPr>
        <w:t xml:space="preserve">Project Management Institute (PMI) (2021) A Guide to the Project Management Body of Knowledge (PMBOK® Guide) and The Standard for Project Management. 7th </w:t>
      </w:r>
      <w:proofErr w:type="spellStart"/>
      <w:r>
        <w:rPr>
          <w:sz w:val="22"/>
          <w:szCs w:val="22"/>
        </w:rPr>
        <w:t>edn</w:t>
      </w:r>
      <w:proofErr w:type="spellEnd"/>
      <w:r>
        <w:rPr>
          <w:sz w:val="22"/>
          <w:szCs w:val="22"/>
        </w:rPr>
        <w:t>. Newtown Square, PA: Project Management Institute.</w:t>
      </w:r>
    </w:p>
    <w:p w14:paraId="0ADE2198" w14:textId="77777777" w:rsidR="00595F5F" w:rsidRDefault="00000000">
      <w:pPr>
        <w:spacing w:after="200" w:line="300" w:lineRule="auto"/>
      </w:pPr>
      <w:r>
        <w:rPr>
          <w:sz w:val="22"/>
          <w:szCs w:val="22"/>
        </w:rPr>
        <w:t xml:space="preserve">Rdiouat, Y., </w:t>
      </w:r>
      <w:proofErr w:type="spellStart"/>
      <w:r>
        <w:rPr>
          <w:sz w:val="22"/>
          <w:szCs w:val="22"/>
        </w:rPr>
        <w:t>Nakabi</w:t>
      </w:r>
      <w:proofErr w:type="spellEnd"/>
      <w:r>
        <w:rPr>
          <w:sz w:val="22"/>
          <w:szCs w:val="22"/>
        </w:rPr>
        <w:t xml:space="preserve">, N., </w:t>
      </w:r>
      <w:proofErr w:type="spellStart"/>
      <w:r>
        <w:rPr>
          <w:sz w:val="22"/>
          <w:szCs w:val="22"/>
        </w:rPr>
        <w:t>Kahtani</w:t>
      </w:r>
      <w:proofErr w:type="spellEnd"/>
      <w:r>
        <w:rPr>
          <w:sz w:val="22"/>
          <w:szCs w:val="22"/>
        </w:rPr>
        <w:t>, K. and Semma, A. (2021) 'Towards a New Approach of Continuous Process Improvement Based on CMMI and PMBOK', International Journal of Advanced Computer Science and Applications, 12(9), pp. 612–620.</w:t>
      </w:r>
    </w:p>
    <w:sectPr w:rsidR="00595F5F">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922697B"/>
    <w:multiLevelType w:val="hybridMultilevel"/>
    <w:tmpl w:val="A78C130C"/>
    <w:lvl w:ilvl="0" w:tplc="18560FE6">
      <w:start w:val="1"/>
      <w:numFmt w:val="bullet"/>
      <w:lvlText w:val="●"/>
      <w:lvlJc w:val="left"/>
      <w:pPr>
        <w:ind w:left="720" w:hanging="360"/>
      </w:pPr>
    </w:lvl>
    <w:lvl w:ilvl="1" w:tplc="2900384C">
      <w:start w:val="1"/>
      <w:numFmt w:val="bullet"/>
      <w:lvlText w:val="○"/>
      <w:lvlJc w:val="left"/>
      <w:pPr>
        <w:ind w:left="1440" w:hanging="360"/>
      </w:pPr>
    </w:lvl>
    <w:lvl w:ilvl="2" w:tplc="4F26F838">
      <w:start w:val="1"/>
      <w:numFmt w:val="bullet"/>
      <w:lvlText w:val="■"/>
      <w:lvlJc w:val="left"/>
      <w:pPr>
        <w:ind w:left="2160" w:hanging="360"/>
      </w:pPr>
    </w:lvl>
    <w:lvl w:ilvl="3" w:tplc="FDFC38FC">
      <w:start w:val="1"/>
      <w:numFmt w:val="bullet"/>
      <w:lvlText w:val="●"/>
      <w:lvlJc w:val="left"/>
      <w:pPr>
        <w:ind w:left="2880" w:hanging="360"/>
      </w:pPr>
    </w:lvl>
    <w:lvl w:ilvl="4" w:tplc="A9A227BC">
      <w:start w:val="1"/>
      <w:numFmt w:val="bullet"/>
      <w:lvlText w:val="○"/>
      <w:lvlJc w:val="left"/>
      <w:pPr>
        <w:ind w:left="3600" w:hanging="360"/>
      </w:pPr>
    </w:lvl>
    <w:lvl w:ilvl="5" w:tplc="BE043996">
      <w:start w:val="1"/>
      <w:numFmt w:val="bullet"/>
      <w:lvlText w:val="■"/>
      <w:lvlJc w:val="left"/>
      <w:pPr>
        <w:ind w:left="4320" w:hanging="360"/>
      </w:pPr>
    </w:lvl>
    <w:lvl w:ilvl="6" w:tplc="B1D2652E">
      <w:start w:val="1"/>
      <w:numFmt w:val="bullet"/>
      <w:lvlText w:val="●"/>
      <w:lvlJc w:val="left"/>
      <w:pPr>
        <w:ind w:left="5040" w:hanging="360"/>
      </w:pPr>
    </w:lvl>
    <w:lvl w:ilvl="7" w:tplc="14729B20">
      <w:start w:val="1"/>
      <w:numFmt w:val="bullet"/>
      <w:lvlText w:val="●"/>
      <w:lvlJc w:val="left"/>
      <w:pPr>
        <w:ind w:left="5760" w:hanging="360"/>
      </w:pPr>
    </w:lvl>
    <w:lvl w:ilvl="8" w:tplc="8C0AE428">
      <w:start w:val="1"/>
      <w:numFmt w:val="bullet"/>
      <w:lvlText w:val="●"/>
      <w:lvlJc w:val="left"/>
      <w:pPr>
        <w:ind w:left="6480" w:hanging="360"/>
      </w:pPr>
    </w:lvl>
  </w:abstractNum>
  <w:num w:numId="1" w16cid:durableId="2133205570">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F5F"/>
    <w:rsid w:val="00595F5F"/>
    <w:rsid w:val="005D65B6"/>
    <w:rsid w:val="006D1123"/>
    <w:rsid w:val="008825EC"/>
    <w:rsid w:val="00C856DD"/>
    <w:rsid w:val="00F83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94763"/>
  <w15:docId w15:val="{114A7885-4A67-8740-918E-980394B23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6D1123"/>
    <w:pPr>
      <w:keepNext/>
      <w:keepLines/>
      <w:spacing w:before="480" w:line="276" w:lineRule="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6D1123"/>
    <w:pPr>
      <w:spacing w:before="120"/>
    </w:pPr>
    <w:rPr>
      <w:rFonts w:asciiTheme="minorHAnsi" w:hAnsiTheme="minorHAnsi"/>
      <w:b/>
      <w:bCs/>
      <w:i/>
      <w:iCs/>
      <w:sz w:val="24"/>
      <w:szCs w:val="24"/>
    </w:rPr>
  </w:style>
  <w:style w:type="paragraph" w:styleId="TOC2">
    <w:name w:val="toc 2"/>
    <w:basedOn w:val="Normal"/>
    <w:next w:val="Normal"/>
    <w:autoRedefine/>
    <w:uiPriority w:val="39"/>
    <w:semiHidden/>
    <w:unhideWhenUsed/>
    <w:rsid w:val="006D1123"/>
    <w:pPr>
      <w:spacing w:before="120"/>
      <w:ind w:left="200"/>
    </w:pPr>
    <w:rPr>
      <w:rFonts w:asciiTheme="minorHAnsi" w:hAnsiTheme="minorHAnsi"/>
      <w:b/>
      <w:bCs/>
      <w:sz w:val="22"/>
      <w:szCs w:val="22"/>
    </w:rPr>
  </w:style>
  <w:style w:type="paragraph" w:styleId="TOC3">
    <w:name w:val="toc 3"/>
    <w:basedOn w:val="Normal"/>
    <w:next w:val="Normal"/>
    <w:autoRedefine/>
    <w:uiPriority w:val="39"/>
    <w:semiHidden/>
    <w:unhideWhenUsed/>
    <w:rsid w:val="006D1123"/>
    <w:pPr>
      <w:ind w:left="400"/>
    </w:pPr>
    <w:rPr>
      <w:rFonts w:asciiTheme="minorHAnsi" w:hAnsiTheme="minorHAnsi"/>
    </w:rPr>
  </w:style>
  <w:style w:type="paragraph" w:styleId="TOC4">
    <w:name w:val="toc 4"/>
    <w:basedOn w:val="Normal"/>
    <w:next w:val="Normal"/>
    <w:autoRedefine/>
    <w:uiPriority w:val="39"/>
    <w:semiHidden/>
    <w:unhideWhenUsed/>
    <w:rsid w:val="006D1123"/>
    <w:pPr>
      <w:ind w:left="600"/>
    </w:pPr>
    <w:rPr>
      <w:rFonts w:asciiTheme="minorHAnsi" w:hAnsiTheme="minorHAnsi"/>
    </w:rPr>
  </w:style>
  <w:style w:type="paragraph" w:styleId="TOC5">
    <w:name w:val="toc 5"/>
    <w:basedOn w:val="Normal"/>
    <w:next w:val="Normal"/>
    <w:autoRedefine/>
    <w:uiPriority w:val="39"/>
    <w:semiHidden/>
    <w:unhideWhenUsed/>
    <w:rsid w:val="006D1123"/>
    <w:pPr>
      <w:ind w:left="800"/>
    </w:pPr>
    <w:rPr>
      <w:rFonts w:asciiTheme="minorHAnsi" w:hAnsiTheme="minorHAnsi"/>
    </w:rPr>
  </w:style>
  <w:style w:type="paragraph" w:styleId="TOC6">
    <w:name w:val="toc 6"/>
    <w:basedOn w:val="Normal"/>
    <w:next w:val="Normal"/>
    <w:autoRedefine/>
    <w:uiPriority w:val="39"/>
    <w:semiHidden/>
    <w:unhideWhenUsed/>
    <w:rsid w:val="006D1123"/>
    <w:pPr>
      <w:ind w:left="1000"/>
    </w:pPr>
    <w:rPr>
      <w:rFonts w:asciiTheme="minorHAnsi" w:hAnsiTheme="minorHAnsi"/>
    </w:rPr>
  </w:style>
  <w:style w:type="paragraph" w:styleId="TOC7">
    <w:name w:val="toc 7"/>
    <w:basedOn w:val="Normal"/>
    <w:next w:val="Normal"/>
    <w:autoRedefine/>
    <w:uiPriority w:val="39"/>
    <w:semiHidden/>
    <w:unhideWhenUsed/>
    <w:rsid w:val="006D1123"/>
    <w:pPr>
      <w:ind w:left="1200"/>
    </w:pPr>
    <w:rPr>
      <w:rFonts w:asciiTheme="minorHAnsi" w:hAnsiTheme="minorHAnsi"/>
    </w:rPr>
  </w:style>
  <w:style w:type="paragraph" w:styleId="TOC8">
    <w:name w:val="toc 8"/>
    <w:basedOn w:val="Normal"/>
    <w:next w:val="Normal"/>
    <w:autoRedefine/>
    <w:uiPriority w:val="39"/>
    <w:semiHidden/>
    <w:unhideWhenUsed/>
    <w:rsid w:val="006D1123"/>
    <w:pPr>
      <w:ind w:left="1400"/>
    </w:pPr>
    <w:rPr>
      <w:rFonts w:asciiTheme="minorHAnsi" w:hAnsiTheme="minorHAnsi"/>
    </w:rPr>
  </w:style>
  <w:style w:type="paragraph" w:styleId="TOC9">
    <w:name w:val="toc 9"/>
    <w:basedOn w:val="Normal"/>
    <w:next w:val="Normal"/>
    <w:autoRedefine/>
    <w:uiPriority w:val="39"/>
    <w:semiHidden/>
    <w:unhideWhenUsed/>
    <w:rsid w:val="006D1123"/>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03E3E7-C5D2-934F-81D6-77D239F09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2598</Words>
  <Characters>14810</Characters>
  <Application>Microsoft Office Word</Application>
  <DocSecurity>0</DocSecurity>
  <Lines>123</Lines>
  <Paragraphs>34</Paragraphs>
  <ScaleCrop>false</ScaleCrop>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Hristina Veskova (2328970)</cp:lastModifiedBy>
  <cp:revision>4</cp:revision>
  <dcterms:created xsi:type="dcterms:W3CDTF">2026-07-12T09:41:00Z</dcterms:created>
  <dcterms:modified xsi:type="dcterms:W3CDTF">2026-07-19T17:09:00Z</dcterms:modified>
</cp:coreProperties>
</file>