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C37AF" w14:textId="06AF3511" w:rsidR="0068030E" w:rsidRPr="0068030E" w:rsidRDefault="0068030E" w:rsidP="00AC00F3">
      <w:pPr>
        <w:rPr>
          <w:rFonts w:ascii="Calibri" w:hAnsi="Calibri" w:cs="Calibri"/>
        </w:rPr>
      </w:pPr>
      <w:r w:rsidRPr="0068030E">
        <w:rPr>
          <w:rFonts w:ascii="Calibri" w:hAnsi="Calibri" w:cs="Calibri"/>
          <w:b/>
          <w:bCs/>
        </w:rPr>
        <w:t>How do the United Kingdom and Japan differ in their approaches to heritage disaster response, and what do these differences reveal about national understandings of heritage?</w:t>
      </w:r>
    </w:p>
    <w:p w14:paraId="39BAC21E" w14:textId="50783D15" w:rsidR="00AC00F3" w:rsidRPr="00F110FD" w:rsidRDefault="007E43EA" w:rsidP="00AC00F3">
      <w:pPr>
        <w:rPr>
          <w:rFonts w:ascii="Calibri" w:hAnsi="Calibri" w:cs="Calibri"/>
        </w:rPr>
      </w:pPr>
      <w:r w:rsidRPr="00F110FD">
        <w:rPr>
          <w:rFonts w:ascii="Calibri" w:hAnsi="Calibri" w:cs="Calibri"/>
        </w:rPr>
        <w:t>To</w:t>
      </w:r>
      <w:r w:rsidR="00AA4449" w:rsidRPr="00F110FD">
        <w:rPr>
          <w:rFonts w:ascii="Calibri" w:hAnsi="Calibri" w:cs="Calibri"/>
        </w:rPr>
        <w:t xml:space="preserve"> </w:t>
      </w:r>
      <w:r w:rsidR="008562D1" w:rsidRPr="00F110FD">
        <w:rPr>
          <w:rFonts w:ascii="Calibri" w:hAnsi="Calibri" w:cs="Calibri"/>
        </w:rPr>
        <w:t xml:space="preserve">analyse how the UK and </w:t>
      </w:r>
      <w:r w:rsidRPr="00F110FD">
        <w:rPr>
          <w:rFonts w:ascii="Calibri" w:hAnsi="Calibri" w:cs="Calibri"/>
        </w:rPr>
        <w:t>J</w:t>
      </w:r>
      <w:r w:rsidR="008562D1" w:rsidRPr="00F110FD">
        <w:rPr>
          <w:rFonts w:ascii="Calibri" w:hAnsi="Calibri" w:cs="Calibri"/>
        </w:rPr>
        <w:t xml:space="preserve">apan differ in their approaches to heritage disaster response, and what </w:t>
      </w:r>
      <w:r w:rsidRPr="00F110FD">
        <w:rPr>
          <w:rFonts w:ascii="Calibri" w:hAnsi="Calibri" w:cs="Calibri"/>
        </w:rPr>
        <w:t>the</w:t>
      </w:r>
      <w:r w:rsidR="008562D1" w:rsidRPr="00F110FD">
        <w:rPr>
          <w:rFonts w:ascii="Calibri" w:hAnsi="Calibri" w:cs="Calibri"/>
        </w:rPr>
        <w:t xml:space="preserve"> differences reveal about national understandings of heritage,</w:t>
      </w:r>
      <w:r w:rsidR="00223C79" w:rsidRPr="00F110FD">
        <w:rPr>
          <w:rFonts w:ascii="Calibri" w:hAnsi="Calibri" w:cs="Calibri"/>
        </w:rPr>
        <w:t xml:space="preserve"> it is important to </w:t>
      </w:r>
      <w:r w:rsidRPr="00F110FD">
        <w:rPr>
          <w:rFonts w:ascii="Calibri" w:hAnsi="Calibri" w:cs="Calibri"/>
        </w:rPr>
        <w:t>first</w:t>
      </w:r>
      <w:r w:rsidR="00223C79" w:rsidRPr="00F110FD">
        <w:rPr>
          <w:rFonts w:ascii="Calibri" w:hAnsi="Calibri" w:cs="Calibri"/>
        </w:rPr>
        <w:t xml:space="preserve"> set out what this essay is referring to in terms of heritage. For this essay, we will use </w:t>
      </w:r>
      <w:r w:rsidR="00AC00F3" w:rsidRPr="00F110FD">
        <w:rPr>
          <w:rFonts w:ascii="Calibri" w:hAnsi="Calibri" w:cs="Calibri"/>
        </w:rPr>
        <w:t xml:space="preserve">key </w:t>
      </w:r>
      <w:r w:rsidRPr="00F110FD">
        <w:rPr>
          <w:rFonts w:ascii="Calibri" w:hAnsi="Calibri" w:cs="Calibri"/>
        </w:rPr>
        <w:t>scholarly</w:t>
      </w:r>
      <w:r w:rsidR="00AC00F3" w:rsidRPr="00F110FD">
        <w:rPr>
          <w:rFonts w:ascii="Calibri" w:hAnsi="Calibri" w:cs="Calibri"/>
        </w:rPr>
        <w:t xml:space="preserve"> ideas from Smith and Harrison, who describe heritage as encompassing both tangible elements, such as buildings and artefacts, and intangible elements, including traditions, practices and cultural meanings associated with the past, reflecting the view that heritage is not simply a collection of objects but an ongoing cultural process.</w:t>
      </w:r>
      <w:r w:rsidR="0083748F" w:rsidRPr="00F110FD">
        <w:rPr>
          <w:rStyle w:val="FootnoteReference"/>
          <w:rFonts w:ascii="Calibri" w:hAnsi="Calibri" w:cs="Calibri"/>
        </w:rPr>
        <w:footnoteReference w:id="1"/>
      </w:r>
      <w:r w:rsidR="009D2855" w:rsidRPr="00F110FD">
        <w:rPr>
          <w:rFonts w:ascii="Calibri" w:hAnsi="Calibri" w:cs="Calibri"/>
        </w:rPr>
        <w:t xml:space="preserve"> These definitions will be key in understanding how </w:t>
      </w:r>
      <w:r w:rsidR="00087030" w:rsidRPr="00F110FD">
        <w:rPr>
          <w:rFonts w:ascii="Calibri" w:hAnsi="Calibri" w:cs="Calibri"/>
        </w:rPr>
        <w:t>and what heritage is responded to in the two nations and how this</w:t>
      </w:r>
      <w:r w:rsidR="00FD4199" w:rsidRPr="00F110FD">
        <w:rPr>
          <w:rFonts w:ascii="Calibri" w:hAnsi="Calibri" w:cs="Calibri"/>
        </w:rPr>
        <w:t xml:space="preserve"> shows their understanding of heritage.</w:t>
      </w:r>
    </w:p>
    <w:p w14:paraId="2CC124F0" w14:textId="487BF12D" w:rsidR="00E87E4C" w:rsidRPr="00F110FD" w:rsidRDefault="004E396A" w:rsidP="00586C94">
      <w:pPr>
        <w:rPr>
          <w:rFonts w:ascii="Calibri" w:hAnsi="Calibri" w:cs="Calibri"/>
        </w:rPr>
      </w:pPr>
      <w:r w:rsidRPr="00F110FD">
        <w:rPr>
          <w:rFonts w:ascii="Calibri" w:hAnsi="Calibri" w:cs="Calibri"/>
        </w:rPr>
        <w:tab/>
        <w:t xml:space="preserve">It is also important to understand why </w:t>
      </w:r>
      <w:r w:rsidR="009454E0" w:rsidRPr="00F110FD">
        <w:rPr>
          <w:rFonts w:ascii="Calibri" w:hAnsi="Calibri" w:cs="Calibri"/>
        </w:rPr>
        <w:t xml:space="preserve">heritage disaster response is important, </w:t>
      </w:r>
      <w:r w:rsidR="000F7421" w:rsidRPr="00F110FD">
        <w:rPr>
          <w:rFonts w:ascii="Calibri" w:hAnsi="Calibri" w:cs="Calibri"/>
        </w:rPr>
        <w:t xml:space="preserve">which has been explained by UNESCO, an organisation </w:t>
      </w:r>
      <w:r w:rsidR="009B5624" w:rsidRPr="00F110FD">
        <w:rPr>
          <w:rFonts w:ascii="Calibri" w:hAnsi="Calibri" w:cs="Calibri"/>
        </w:rPr>
        <w:t xml:space="preserve">with </w:t>
      </w:r>
      <w:r w:rsidR="000F7421" w:rsidRPr="00F110FD">
        <w:rPr>
          <w:rFonts w:ascii="Calibri" w:hAnsi="Calibri" w:cs="Calibri"/>
        </w:rPr>
        <w:t>world heritage sites in both Japan and the UK, making it extremely relevant:</w:t>
      </w:r>
    </w:p>
    <w:p w14:paraId="163808FC" w14:textId="458F980B" w:rsidR="00474502" w:rsidRPr="00F110FD" w:rsidRDefault="00474502" w:rsidP="00474502">
      <w:pPr>
        <w:ind w:left="360"/>
        <w:rPr>
          <w:rFonts w:ascii="Calibri" w:hAnsi="Calibri" w:cs="Calibri"/>
        </w:rPr>
      </w:pPr>
      <w:r w:rsidRPr="00F110FD">
        <w:rPr>
          <w:rFonts w:ascii="Calibri" w:hAnsi="Calibri" w:cs="Calibri"/>
        </w:rPr>
        <w:t>“Disasters have significant physical, environmental, economic, cultural and social impacts, including the destruction, damage, and fragmentation of (tangible and intangible) heritage.”</w:t>
      </w:r>
      <w:r w:rsidRPr="00F110FD">
        <w:rPr>
          <w:rStyle w:val="FootnoteReference"/>
          <w:rFonts w:ascii="Calibri" w:hAnsi="Calibri" w:cs="Calibri"/>
        </w:rPr>
        <w:footnoteReference w:id="2"/>
      </w:r>
    </w:p>
    <w:p w14:paraId="2F96586A" w14:textId="6D7AF64E" w:rsidR="00F355AA" w:rsidRPr="00F110FD" w:rsidRDefault="004432AD" w:rsidP="00F355AA">
      <w:pPr>
        <w:rPr>
          <w:rFonts w:ascii="Calibri" w:hAnsi="Calibri" w:cs="Calibri"/>
        </w:rPr>
      </w:pPr>
      <w:r w:rsidRPr="00F110FD">
        <w:rPr>
          <w:rFonts w:ascii="Calibri" w:hAnsi="Calibri" w:cs="Calibri"/>
        </w:rPr>
        <w:t xml:space="preserve">This is an important </w:t>
      </w:r>
      <w:r w:rsidR="00125B43" w:rsidRPr="00F110FD">
        <w:rPr>
          <w:rFonts w:ascii="Calibri" w:hAnsi="Calibri" w:cs="Calibri"/>
        </w:rPr>
        <w:t>point</w:t>
      </w:r>
      <w:r w:rsidR="00986B78" w:rsidRPr="00F110FD">
        <w:rPr>
          <w:rFonts w:ascii="Calibri" w:hAnsi="Calibri" w:cs="Calibri"/>
        </w:rPr>
        <w:t>, as it shows the importance of disaster response in protecting the vulnerability of our heritage, as well as the environmental and economic impacts</w:t>
      </w:r>
      <w:r w:rsidR="00783E50" w:rsidRPr="00F110FD">
        <w:rPr>
          <w:rFonts w:ascii="Calibri" w:hAnsi="Calibri" w:cs="Calibri"/>
        </w:rPr>
        <w:t xml:space="preserve"> disasters have on society.</w:t>
      </w:r>
      <w:r w:rsidR="008A1C5E" w:rsidRPr="00F110FD">
        <w:rPr>
          <w:rFonts w:ascii="Calibri" w:hAnsi="Calibri" w:cs="Calibri"/>
        </w:rPr>
        <w:t xml:space="preserve"> Therefore</w:t>
      </w:r>
      <w:r w:rsidR="00986B78" w:rsidRPr="00F110FD">
        <w:rPr>
          <w:rFonts w:ascii="Calibri" w:hAnsi="Calibri" w:cs="Calibri"/>
        </w:rPr>
        <w:t>,</w:t>
      </w:r>
      <w:r w:rsidR="008A1C5E" w:rsidRPr="00F110FD">
        <w:rPr>
          <w:rFonts w:ascii="Calibri" w:hAnsi="Calibri" w:cs="Calibri"/>
        </w:rPr>
        <w:t xml:space="preserve"> </w:t>
      </w:r>
      <w:r w:rsidR="00986B78" w:rsidRPr="00F110FD">
        <w:rPr>
          <w:rFonts w:ascii="Calibri" w:hAnsi="Calibri" w:cs="Calibri"/>
        </w:rPr>
        <w:t>nations need to have</w:t>
      </w:r>
      <w:r w:rsidR="008A1C5E" w:rsidRPr="00F110FD">
        <w:rPr>
          <w:rFonts w:ascii="Calibri" w:hAnsi="Calibri" w:cs="Calibri"/>
        </w:rPr>
        <w:t xml:space="preserve"> a </w:t>
      </w:r>
      <w:r w:rsidR="00B425C6" w:rsidRPr="00F110FD">
        <w:rPr>
          <w:rFonts w:ascii="Calibri" w:hAnsi="Calibri" w:cs="Calibri"/>
        </w:rPr>
        <w:t xml:space="preserve">Disaster Risk Reduction (DRR) response to combat these. DRR is an approach </w:t>
      </w:r>
      <w:r w:rsidR="00403AF0" w:rsidRPr="00F110FD">
        <w:rPr>
          <w:rFonts w:ascii="Calibri" w:hAnsi="Calibri" w:cs="Calibri"/>
        </w:rPr>
        <w:t xml:space="preserve">to </w:t>
      </w:r>
      <w:r w:rsidR="00B425C6" w:rsidRPr="00F110FD">
        <w:rPr>
          <w:rFonts w:ascii="Calibri" w:hAnsi="Calibri" w:cs="Calibri"/>
        </w:rPr>
        <w:t>managing hazards by reducing vulnerabilities and strengthening resilience, encompassing actions taken before, during and after disasters through preparedness, response and recovery processes.</w:t>
      </w:r>
      <w:r w:rsidR="00403AF0" w:rsidRPr="00F110FD">
        <w:rPr>
          <w:rStyle w:val="FootnoteReference"/>
          <w:rFonts w:ascii="Calibri" w:hAnsi="Calibri" w:cs="Calibri"/>
        </w:rPr>
        <w:footnoteReference w:id="3"/>
      </w:r>
      <w:r w:rsidR="001B6A6B" w:rsidRPr="00F110FD">
        <w:rPr>
          <w:rFonts w:ascii="Calibri" w:hAnsi="Calibri" w:cs="Calibri"/>
        </w:rPr>
        <w:t xml:space="preserve"> </w:t>
      </w:r>
      <w:r w:rsidR="00986B78" w:rsidRPr="00F110FD">
        <w:rPr>
          <w:rFonts w:ascii="Calibri" w:hAnsi="Calibri" w:cs="Calibri"/>
        </w:rPr>
        <w:t>Any DRR approach must include</w:t>
      </w:r>
      <w:r w:rsidR="001C6481" w:rsidRPr="00F110FD">
        <w:rPr>
          <w:rFonts w:ascii="Calibri" w:hAnsi="Calibri" w:cs="Calibri"/>
        </w:rPr>
        <w:t xml:space="preserve"> these three stages of preparedness, response and recovery</w:t>
      </w:r>
      <w:r w:rsidR="00986B78" w:rsidRPr="00F110FD">
        <w:rPr>
          <w:rFonts w:ascii="Calibri" w:hAnsi="Calibri" w:cs="Calibri"/>
        </w:rPr>
        <w:t>;</w:t>
      </w:r>
      <w:r w:rsidR="001C6481" w:rsidRPr="00F110FD">
        <w:rPr>
          <w:rFonts w:ascii="Calibri" w:hAnsi="Calibri" w:cs="Calibri"/>
        </w:rPr>
        <w:t xml:space="preserve"> these are the basis </w:t>
      </w:r>
      <w:r w:rsidR="00986B78" w:rsidRPr="00F110FD">
        <w:rPr>
          <w:rFonts w:ascii="Calibri" w:hAnsi="Calibri" w:cs="Calibri"/>
        </w:rPr>
        <w:t>on</w:t>
      </w:r>
      <w:r w:rsidR="001C6481" w:rsidRPr="00F110FD">
        <w:rPr>
          <w:rFonts w:ascii="Calibri" w:hAnsi="Calibri" w:cs="Calibri"/>
        </w:rPr>
        <w:t xml:space="preserve"> which our analysis of Japan and </w:t>
      </w:r>
      <w:r w:rsidR="00986B78" w:rsidRPr="00F110FD">
        <w:rPr>
          <w:rFonts w:ascii="Calibri" w:hAnsi="Calibri" w:cs="Calibri"/>
        </w:rPr>
        <w:t xml:space="preserve">the </w:t>
      </w:r>
      <w:r w:rsidR="001C6481" w:rsidRPr="00F110FD">
        <w:rPr>
          <w:rFonts w:ascii="Calibri" w:hAnsi="Calibri" w:cs="Calibri"/>
        </w:rPr>
        <w:t>UK will be based</w:t>
      </w:r>
      <w:r w:rsidR="0069251E" w:rsidRPr="00F110FD">
        <w:rPr>
          <w:rFonts w:ascii="Calibri" w:hAnsi="Calibri" w:cs="Calibri"/>
        </w:rPr>
        <w:t xml:space="preserve">, and how they cover these. These stages are also </w:t>
      </w:r>
      <w:r w:rsidR="00495126" w:rsidRPr="00F110FD">
        <w:rPr>
          <w:rFonts w:ascii="Calibri" w:hAnsi="Calibri" w:cs="Calibri"/>
        </w:rPr>
        <w:t>supported</w:t>
      </w:r>
      <w:r w:rsidR="0069251E" w:rsidRPr="00F110FD">
        <w:rPr>
          <w:rFonts w:ascii="Calibri" w:hAnsi="Calibri" w:cs="Calibri"/>
        </w:rPr>
        <w:t xml:space="preserve"> through academia by the likes of Jigyasu, </w:t>
      </w:r>
      <w:r w:rsidR="00F355AA" w:rsidRPr="00F110FD">
        <w:rPr>
          <w:rFonts w:ascii="Calibri" w:hAnsi="Calibri" w:cs="Calibri"/>
        </w:rPr>
        <w:t>‘Disaster risk management involves coordinated efforts to prepare for, respond to and recover from hazard events’.</w:t>
      </w:r>
      <w:r w:rsidR="00F355AA" w:rsidRPr="00F110FD">
        <w:rPr>
          <w:rStyle w:val="FootnoteReference"/>
          <w:rFonts w:ascii="Calibri" w:hAnsi="Calibri" w:cs="Calibri"/>
        </w:rPr>
        <w:footnoteReference w:id="4"/>
      </w:r>
      <w:r w:rsidR="0090526A" w:rsidRPr="00F110FD">
        <w:rPr>
          <w:rFonts w:ascii="Calibri" w:hAnsi="Calibri" w:cs="Calibri"/>
        </w:rPr>
        <w:t xml:space="preserve"> </w:t>
      </w:r>
      <w:r w:rsidR="00A67521">
        <w:rPr>
          <w:rFonts w:ascii="Calibri" w:hAnsi="Calibri" w:cs="Calibri"/>
        </w:rPr>
        <w:t>These h</w:t>
      </w:r>
      <w:r w:rsidR="0090526A" w:rsidRPr="00F110FD">
        <w:rPr>
          <w:rFonts w:ascii="Calibri" w:hAnsi="Calibri" w:cs="Calibri"/>
        </w:rPr>
        <w:t>ighlight the importance of the presence of these steps</w:t>
      </w:r>
      <w:r w:rsidR="00A67521">
        <w:rPr>
          <w:rFonts w:ascii="Calibri" w:hAnsi="Calibri" w:cs="Calibri"/>
        </w:rPr>
        <w:t>;</w:t>
      </w:r>
      <w:r w:rsidR="0090526A" w:rsidRPr="00F110FD">
        <w:rPr>
          <w:rFonts w:ascii="Calibri" w:hAnsi="Calibri" w:cs="Calibri"/>
        </w:rPr>
        <w:t xml:space="preserve"> </w:t>
      </w:r>
      <w:r w:rsidR="00986B78" w:rsidRPr="00F110FD">
        <w:rPr>
          <w:rFonts w:ascii="Calibri" w:hAnsi="Calibri" w:cs="Calibri"/>
        </w:rPr>
        <w:t>therefore,</w:t>
      </w:r>
      <w:r w:rsidR="0090526A" w:rsidRPr="00F110FD">
        <w:rPr>
          <w:rFonts w:ascii="Calibri" w:hAnsi="Calibri" w:cs="Calibri"/>
        </w:rPr>
        <w:t xml:space="preserve"> when assessing </w:t>
      </w:r>
      <w:r w:rsidR="00986B78" w:rsidRPr="00F110FD">
        <w:rPr>
          <w:rFonts w:ascii="Calibri" w:hAnsi="Calibri" w:cs="Calibri"/>
        </w:rPr>
        <w:t xml:space="preserve">the </w:t>
      </w:r>
      <w:r w:rsidR="0090526A" w:rsidRPr="00F110FD">
        <w:rPr>
          <w:rFonts w:ascii="Calibri" w:hAnsi="Calibri" w:cs="Calibri"/>
        </w:rPr>
        <w:t xml:space="preserve">UK and </w:t>
      </w:r>
      <w:r w:rsidR="00986B78" w:rsidRPr="00F110FD">
        <w:rPr>
          <w:rFonts w:ascii="Calibri" w:hAnsi="Calibri" w:cs="Calibri"/>
        </w:rPr>
        <w:t>Japan's</w:t>
      </w:r>
      <w:r w:rsidR="0090526A" w:rsidRPr="00F110FD">
        <w:rPr>
          <w:rFonts w:ascii="Calibri" w:hAnsi="Calibri" w:cs="Calibri"/>
        </w:rPr>
        <w:t xml:space="preserve"> approache</w:t>
      </w:r>
      <w:r w:rsidR="00906312" w:rsidRPr="00F110FD">
        <w:rPr>
          <w:rFonts w:ascii="Calibri" w:hAnsi="Calibri" w:cs="Calibri"/>
        </w:rPr>
        <w:t>s</w:t>
      </w:r>
      <w:r w:rsidR="00986B78" w:rsidRPr="00F110FD">
        <w:rPr>
          <w:rFonts w:ascii="Calibri" w:hAnsi="Calibri" w:cs="Calibri"/>
        </w:rPr>
        <w:t>,</w:t>
      </w:r>
      <w:r w:rsidR="00906312" w:rsidRPr="00F110FD">
        <w:rPr>
          <w:rFonts w:ascii="Calibri" w:hAnsi="Calibri" w:cs="Calibri"/>
        </w:rPr>
        <w:t xml:space="preserve"> we must see if they are present.</w:t>
      </w:r>
    </w:p>
    <w:p w14:paraId="6ED58D41" w14:textId="465004EE" w:rsidR="00673E9F" w:rsidRPr="00F110FD" w:rsidRDefault="00673E9F" w:rsidP="00F355AA">
      <w:pPr>
        <w:rPr>
          <w:rFonts w:ascii="Calibri" w:hAnsi="Calibri" w:cs="Calibri"/>
        </w:rPr>
      </w:pPr>
      <w:r w:rsidRPr="00F110FD">
        <w:rPr>
          <w:rFonts w:ascii="Calibri" w:hAnsi="Calibri" w:cs="Calibri"/>
        </w:rPr>
        <w:tab/>
        <w:t xml:space="preserve">It is also important to note that countries experience disaster risk in different ways, with Japan representing a high-risk, disaster-experienced context, while the </w:t>
      </w:r>
      <w:r w:rsidR="00986B78" w:rsidRPr="00F110FD">
        <w:rPr>
          <w:rFonts w:ascii="Calibri" w:hAnsi="Calibri" w:cs="Calibri"/>
        </w:rPr>
        <w:t>UK</w:t>
      </w:r>
      <w:r w:rsidRPr="00F110FD">
        <w:rPr>
          <w:rFonts w:ascii="Calibri" w:hAnsi="Calibri" w:cs="Calibri"/>
        </w:rPr>
        <w:t xml:space="preserve">, although less hazard-prone, remains vulnerable to a range of threats. This comparison is increasingly important as climate change intensifies hazards globally and cultural heritage is recognised </w:t>
      </w:r>
      <w:r w:rsidRPr="00F110FD">
        <w:rPr>
          <w:rFonts w:ascii="Calibri" w:hAnsi="Calibri" w:cs="Calibri"/>
        </w:rPr>
        <w:lastRenderedPageBreak/>
        <w:t>as particularly vulnerable to damage, loss and fragmentation in disaster contexts.</w:t>
      </w:r>
      <w:r w:rsidRPr="00F110FD">
        <w:rPr>
          <w:rStyle w:val="FootnoteReference"/>
          <w:rFonts w:ascii="Calibri" w:hAnsi="Calibri" w:cs="Calibri"/>
        </w:rPr>
        <w:footnoteReference w:id="5"/>
      </w:r>
      <w:r w:rsidRPr="00F110FD">
        <w:rPr>
          <w:rFonts w:ascii="Calibri" w:hAnsi="Calibri" w:cs="Calibri"/>
        </w:rPr>
        <w:t xml:space="preserve"> </w:t>
      </w:r>
      <w:r w:rsidR="002F186D">
        <w:rPr>
          <w:rFonts w:ascii="Calibri" w:hAnsi="Calibri" w:cs="Calibri"/>
        </w:rPr>
        <w:t xml:space="preserve">This </w:t>
      </w:r>
      <w:r w:rsidRPr="00F110FD">
        <w:rPr>
          <w:rFonts w:ascii="Calibri" w:hAnsi="Calibri" w:cs="Calibri"/>
        </w:rPr>
        <w:t>comparison is being drawn between the two countries</w:t>
      </w:r>
      <w:r w:rsidR="00986B78" w:rsidRPr="00F110FD">
        <w:rPr>
          <w:rFonts w:ascii="Calibri" w:hAnsi="Calibri" w:cs="Calibri"/>
        </w:rPr>
        <w:t>,</w:t>
      </w:r>
      <w:r w:rsidRPr="00F110FD">
        <w:rPr>
          <w:rFonts w:ascii="Calibri" w:hAnsi="Calibri" w:cs="Calibri"/>
        </w:rPr>
        <w:t xml:space="preserve"> as while very different, I believe that </w:t>
      </w:r>
      <w:r w:rsidR="003C7B7A" w:rsidRPr="00F110FD">
        <w:rPr>
          <w:rFonts w:ascii="Calibri" w:hAnsi="Calibri" w:cs="Calibri"/>
        </w:rPr>
        <w:t>both could learn from one another to improve current approaches</w:t>
      </w:r>
      <w:r w:rsidR="0017570D">
        <w:rPr>
          <w:rFonts w:ascii="Calibri" w:hAnsi="Calibri" w:cs="Calibri"/>
        </w:rPr>
        <w:t>,</w:t>
      </w:r>
      <w:r w:rsidR="003C7B7A" w:rsidRPr="00F110FD">
        <w:rPr>
          <w:rFonts w:ascii="Calibri" w:hAnsi="Calibri" w:cs="Calibri"/>
        </w:rPr>
        <w:t xml:space="preserve"> but also the comparison will show what each country values most in terms of heritage.</w:t>
      </w:r>
    </w:p>
    <w:p w14:paraId="1943D246" w14:textId="02D5D18B" w:rsidR="003C7B7A" w:rsidRPr="00F110FD" w:rsidRDefault="003C7B7A" w:rsidP="003C7B7A">
      <w:pPr>
        <w:ind w:firstLine="360"/>
        <w:rPr>
          <w:rFonts w:ascii="Calibri" w:hAnsi="Calibri" w:cs="Calibri"/>
        </w:rPr>
      </w:pPr>
      <w:r w:rsidRPr="00F110FD">
        <w:rPr>
          <w:rFonts w:ascii="Calibri" w:hAnsi="Calibri" w:cs="Calibri"/>
        </w:rPr>
        <w:t>Therefore, the essay will argue that cultural heritage, encompassing both tangible assets such as buildings and artefacts and intangible practices such as traditions and rituals, is increasingly recognised as vulnerable to the impacts of natural and human-induced disasters. As climate change intensifies and extreme events become more frequent, the need for effective heritage disaster response has become a critical concern for policymakers and heritage professionals alike. Different national contexts, however, approach this challenge in distinct ways, shaped by their risk environments, institutional structures, and cultural values. While both the United Kingdom and Japan have developed formal systems to manage heritage in times of crisis, Japan’s approach is notably more proactive, integrated, and embedded within broader disaster risk reduction strategies due to its high exposure to natural hazards. In contrast, the UK’s response tends to be more reactive, institutionally fragmented, and shaped by preservation-focused heritage values rather than immediate risk preparedness.</w:t>
      </w:r>
    </w:p>
    <w:p w14:paraId="482681F1" w14:textId="4E0F6DF9" w:rsidR="006D150E" w:rsidRPr="00F110FD" w:rsidRDefault="006D150E" w:rsidP="006D150E">
      <w:pPr>
        <w:ind w:firstLine="720"/>
        <w:rPr>
          <w:rFonts w:ascii="Calibri" w:hAnsi="Calibri" w:cs="Calibri"/>
          <w:b/>
          <w:bCs/>
        </w:rPr>
      </w:pPr>
      <w:r w:rsidRPr="00F110FD">
        <w:rPr>
          <w:rFonts w:ascii="Calibri" w:hAnsi="Calibri" w:cs="Calibri"/>
        </w:rPr>
        <w:t xml:space="preserve">Firstly, it is important to look at the heritage risk context for each nation, which will highlight how both the geography and risk shape heritage strategies. Japan, as a country, experiences frequent earthquakes, tsunamis and typhoons. In Japan, heritage is </w:t>
      </w:r>
      <w:r w:rsidR="00B602BA">
        <w:rPr>
          <w:rFonts w:ascii="Calibri" w:hAnsi="Calibri" w:cs="Calibri"/>
        </w:rPr>
        <w:t xml:space="preserve">therefore </w:t>
      </w:r>
      <w:r w:rsidRPr="00F110FD">
        <w:rPr>
          <w:rFonts w:ascii="Calibri" w:hAnsi="Calibri" w:cs="Calibri"/>
        </w:rPr>
        <w:t>constantly under threat, which means there is a need for long-term planning and institutional readiness. This is highly documented in the media and academic studies. Pastrana-Huguet et al. have argued that Japan is a disaster-experienced country due to its geographical location along the Pacific Ring of Fire, which exposes it to frequent earthquakes, tsunamis, typhoons, and other natural hazards.</w:t>
      </w:r>
      <w:r w:rsidRPr="00F110FD">
        <w:rPr>
          <w:rStyle w:val="FootnoteReference"/>
          <w:rFonts w:ascii="Calibri" w:hAnsi="Calibri" w:cs="Calibri"/>
        </w:rPr>
        <w:footnoteReference w:id="6"/>
      </w:r>
      <w:r w:rsidRPr="00F110FD">
        <w:rPr>
          <w:rFonts w:ascii="Calibri" w:hAnsi="Calibri" w:cs="Calibri"/>
        </w:rPr>
        <w:t xml:space="preserve"> Major events such as the 2011 </w:t>
      </w:r>
      <w:proofErr w:type="spellStart"/>
      <w:r w:rsidRPr="00F110FD">
        <w:rPr>
          <w:rFonts w:ascii="Calibri" w:hAnsi="Calibri" w:cs="Calibri"/>
        </w:rPr>
        <w:t>Tōhoku</w:t>
      </w:r>
      <w:proofErr w:type="spellEnd"/>
      <w:r w:rsidRPr="00F110FD">
        <w:rPr>
          <w:rFonts w:ascii="Calibri" w:hAnsi="Calibri" w:cs="Calibri"/>
        </w:rPr>
        <w:t xml:space="preserve"> earthquake and tsunami demonstrate the scale and intensity of these risks, having widespread impacts on both communities and cultural heritage.</w:t>
      </w:r>
      <w:r w:rsidRPr="00F110FD">
        <w:rPr>
          <w:rStyle w:val="FootnoteReference"/>
          <w:rFonts w:ascii="Calibri" w:hAnsi="Calibri" w:cs="Calibri"/>
        </w:rPr>
        <w:footnoteReference w:id="7"/>
      </w:r>
      <w:r w:rsidRPr="00F110FD">
        <w:rPr>
          <w:rFonts w:ascii="Calibri" w:hAnsi="Calibri" w:cs="Calibri"/>
        </w:rPr>
        <w:t xml:space="preserve"> As a result of this constant exposure, cultural heritage in Japan is considered particularly vulnerable, as repeated hazard events threaten both tangible sites and intangible practices.</w:t>
      </w:r>
      <w:r w:rsidRPr="00F110FD">
        <w:rPr>
          <w:rStyle w:val="FootnoteReference"/>
          <w:rFonts w:ascii="Calibri" w:hAnsi="Calibri" w:cs="Calibri"/>
        </w:rPr>
        <w:footnoteReference w:id="8"/>
      </w:r>
      <w:r w:rsidRPr="00F110FD">
        <w:rPr>
          <w:rFonts w:ascii="Calibri" w:hAnsi="Calibri" w:cs="Calibri"/>
        </w:rPr>
        <w:t xml:space="preserve"> This persistent risk has contributed to the development of long-term planning approaches, often described as a national “culture of prevention,” in which lessons from past disasters are continuously integrated into future strategies.</w:t>
      </w:r>
      <w:r w:rsidRPr="00F110FD">
        <w:rPr>
          <w:rStyle w:val="FootnoteReference"/>
          <w:rFonts w:ascii="Calibri" w:hAnsi="Calibri" w:cs="Calibri"/>
        </w:rPr>
        <w:footnoteReference w:id="9"/>
      </w:r>
      <w:r w:rsidRPr="00F110FD">
        <w:rPr>
          <w:rFonts w:ascii="Calibri" w:hAnsi="Calibri" w:cs="Calibri"/>
        </w:rPr>
        <w:t xml:space="preserve"> Furthermore, Japan has established strong institutional frameworks that embed disaster risk management within heritage protection systems, </w:t>
      </w:r>
      <w:r w:rsidRPr="00F110FD">
        <w:rPr>
          <w:rFonts w:ascii="Calibri" w:hAnsi="Calibri" w:cs="Calibri"/>
        </w:rPr>
        <w:lastRenderedPageBreak/>
        <w:t>ensuring that preparedness, mitigation, and recovery are coordinated at both national and local levels.</w:t>
      </w:r>
      <w:r w:rsidRPr="00F110FD">
        <w:rPr>
          <w:rStyle w:val="FootnoteReference"/>
          <w:rFonts w:ascii="Calibri" w:hAnsi="Calibri" w:cs="Calibri"/>
        </w:rPr>
        <w:footnoteReference w:id="10"/>
      </w:r>
    </w:p>
    <w:p w14:paraId="0853C34F" w14:textId="03758F9F" w:rsidR="006D150E" w:rsidRPr="00F110FD" w:rsidRDefault="006D150E" w:rsidP="006D150E">
      <w:pPr>
        <w:rPr>
          <w:rFonts w:ascii="Calibri" w:hAnsi="Calibri" w:cs="Calibri"/>
        </w:rPr>
      </w:pPr>
      <w:r w:rsidRPr="00F110FD">
        <w:rPr>
          <w:rFonts w:ascii="Calibri" w:hAnsi="Calibri" w:cs="Calibri"/>
          <w:b/>
          <w:bCs/>
        </w:rPr>
        <w:tab/>
      </w:r>
      <w:r w:rsidRPr="00F110FD">
        <w:rPr>
          <w:rFonts w:ascii="Calibri" w:hAnsi="Calibri" w:cs="Calibri"/>
        </w:rPr>
        <w:t>On the other hand, the UK is very different; the frequency of disasters is significantly lower, but they can still cause a catastrophic impact on heritage. With climate change, the UK is becoming increasingly at risk of flooding events, which means that heritage sites are becoming vulnerable to extreme weather events and rising precipitation levels.</w:t>
      </w:r>
      <w:r w:rsidRPr="00F110FD">
        <w:rPr>
          <w:rStyle w:val="FootnoteReference"/>
          <w:rFonts w:ascii="Calibri" w:hAnsi="Calibri" w:cs="Calibri"/>
        </w:rPr>
        <w:footnoteReference w:id="11"/>
      </w:r>
      <w:r w:rsidRPr="00F110FD">
        <w:rPr>
          <w:rFonts w:ascii="Calibri" w:hAnsi="Calibri" w:cs="Calibri"/>
        </w:rPr>
        <w:t xml:space="preserve"> This risk was seen in 2020 when </w:t>
      </w:r>
      <w:r w:rsidR="00394366">
        <w:rPr>
          <w:rFonts w:ascii="Calibri" w:hAnsi="Calibri" w:cs="Calibri"/>
        </w:rPr>
        <w:t xml:space="preserve">the </w:t>
      </w:r>
      <w:r w:rsidRPr="00F110FD">
        <w:rPr>
          <w:rFonts w:ascii="Calibri" w:hAnsi="Calibri" w:cs="Calibri"/>
        </w:rPr>
        <w:t>Pontypridd Museum w</w:t>
      </w:r>
      <w:r w:rsidR="00394366">
        <w:rPr>
          <w:rFonts w:ascii="Calibri" w:hAnsi="Calibri" w:cs="Calibri"/>
        </w:rPr>
        <w:t>as</w:t>
      </w:r>
      <w:r w:rsidRPr="00F110FD">
        <w:rPr>
          <w:rFonts w:ascii="Calibri" w:hAnsi="Calibri" w:cs="Calibri"/>
        </w:rPr>
        <w:t xml:space="preserve"> hit by unprecedented flooding</w:t>
      </w:r>
      <w:r w:rsidR="005A2BA3">
        <w:rPr>
          <w:rFonts w:ascii="Calibri" w:hAnsi="Calibri" w:cs="Calibri"/>
        </w:rPr>
        <w:t>;</w:t>
      </w:r>
      <w:r w:rsidRPr="00F110FD">
        <w:rPr>
          <w:rFonts w:ascii="Calibri" w:hAnsi="Calibri" w:cs="Calibri"/>
        </w:rPr>
        <w:t xml:space="preserve"> the community and staff had to act quickly to salvage the collections.</w:t>
      </w:r>
      <w:r w:rsidRPr="00F110FD">
        <w:rPr>
          <w:rStyle w:val="FootnoteReference"/>
          <w:rFonts w:ascii="Calibri" w:hAnsi="Calibri" w:cs="Calibri"/>
        </w:rPr>
        <w:footnoteReference w:id="12"/>
      </w:r>
      <w:r w:rsidRPr="00F110FD">
        <w:rPr>
          <w:rFonts w:ascii="Calibri" w:hAnsi="Calibri" w:cs="Calibri"/>
        </w:rPr>
        <w:t xml:space="preserve"> Similarly, fires, although relatively rare, have had severe impacts on cultural heritage, as demonstrated by the destruction of the Glasgow School of Art, one of Scotland’s most significant architectural landmarks.</w:t>
      </w:r>
      <w:r w:rsidRPr="00F110FD">
        <w:rPr>
          <w:rStyle w:val="FootnoteReference"/>
          <w:rFonts w:ascii="Calibri" w:hAnsi="Calibri" w:cs="Calibri"/>
        </w:rPr>
        <w:footnoteReference w:id="13"/>
      </w:r>
      <w:r w:rsidRPr="00F110FD">
        <w:rPr>
          <w:rFonts w:ascii="Calibri" w:hAnsi="Calibri" w:cs="Calibri"/>
        </w:rPr>
        <w:t xml:space="preserve"> Despite these risks, disaster is often perceived </w:t>
      </w:r>
      <w:r w:rsidR="005A2BA3">
        <w:rPr>
          <w:rFonts w:ascii="Calibri" w:hAnsi="Calibri" w:cs="Calibri"/>
        </w:rPr>
        <w:t xml:space="preserve">in the UK </w:t>
      </w:r>
      <w:r w:rsidRPr="00F110FD">
        <w:rPr>
          <w:rFonts w:ascii="Calibri" w:hAnsi="Calibri" w:cs="Calibri"/>
        </w:rPr>
        <w:t>as occasional rather than constant, with evidence suggesting that preparedness and public awareness remain uneven.</w:t>
      </w:r>
      <w:r w:rsidRPr="00F110FD">
        <w:rPr>
          <w:rStyle w:val="FootnoteReference"/>
          <w:rFonts w:ascii="Calibri" w:hAnsi="Calibri" w:cs="Calibri"/>
        </w:rPr>
        <w:footnoteReference w:id="14"/>
      </w:r>
      <w:r w:rsidRPr="00F110FD">
        <w:rPr>
          <w:rFonts w:ascii="Calibri" w:hAnsi="Calibri" w:cs="Calibri"/>
        </w:rPr>
        <w:t xml:space="preserve"> This is reflected in the UK’s broader approach to risk management, which has been characterised as reactive, responding to events as they occur</w:t>
      </w:r>
      <w:r w:rsidR="004F415B">
        <w:rPr>
          <w:rFonts w:ascii="Calibri" w:hAnsi="Calibri" w:cs="Calibri"/>
        </w:rPr>
        <w:t>,</w:t>
      </w:r>
      <w:r w:rsidRPr="00F110FD">
        <w:rPr>
          <w:rFonts w:ascii="Calibri" w:hAnsi="Calibri" w:cs="Calibri"/>
        </w:rPr>
        <w:t xml:space="preserve"> rather than embedding long-term preventative strategies.</w:t>
      </w:r>
      <w:r w:rsidRPr="00F110FD">
        <w:rPr>
          <w:rStyle w:val="FootnoteReference"/>
          <w:rFonts w:ascii="Calibri" w:hAnsi="Calibri" w:cs="Calibri"/>
        </w:rPr>
        <w:footnoteReference w:id="15"/>
      </w:r>
    </w:p>
    <w:p w14:paraId="10786F7D" w14:textId="2CB03139" w:rsidR="006D150E" w:rsidRPr="00F110FD" w:rsidRDefault="006D150E" w:rsidP="006D150E">
      <w:pPr>
        <w:rPr>
          <w:rFonts w:ascii="Calibri" w:hAnsi="Calibri" w:cs="Calibri"/>
        </w:rPr>
      </w:pPr>
      <w:r w:rsidRPr="00F110FD">
        <w:rPr>
          <w:rFonts w:ascii="Calibri" w:hAnsi="Calibri" w:cs="Calibri"/>
        </w:rPr>
        <w:tab/>
        <w:t xml:space="preserve">Therefore, in terms of risk context, the nations are very different. Japan has a culture of preparedness, whereas the UK, while aware of risks, puts less urgency on them, despite the </w:t>
      </w:r>
      <w:r w:rsidR="004F415B">
        <w:rPr>
          <w:rFonts w:ascii="Calibri" w:hAnsi="Calibri" w:cs="Calibri"/>
        </w:rPr>
        <w:t xml:space="preserve">occasional </w:t>
      </w:r>
      <w:r w:rsidRPr="00F110FD">
        <w:rPr>
          <w:rFonts w:ascii="Calibri" w:hAnsi="Calibri" w:cs="Calibri"/>
        </w:rPr>
        <w:t>catastrophic impact. This shows that environmental risk is directly shaping how heritage protection systems are developed, as in both instances, it appears that the frequency of disasters is driving preparedness.</w:t>
      </w:r>
    </w:p>
    <w:p w14:paraId="6178D324" w14:textId="579620ED" w:rsidR="00667670" w:rsidRPr="00F110FD" w:rsidRDefault="00667670" w:rsidP="00667670">
      <w:pPr>
        <w:ind w:firstLine="720"/>
        <w:rPr>
          <w:rFonts w:ascii="Calibri" w:hAnsi="Calibri" w:cs="Calibri"/>
        </w:rPr>
      </w:pPr>
      <w:r w:rsidRPr="00F110FD">
        <w:rPr>
          <w:rFonts w:ascii="Calibri" w:hAnsi="Calibri" w:cs="Calibri"/>
        </w:rPr>
        <w:t xml:space="preserve">Nevertheless, while we can see that both countries have different risk profiles, it is still vital to compare how policies and institutional frameworks help each country to organise heritage disaster responses. </w:t>
      </w:r>
      <w:r w:rsidRPr="006B004E">
        <w:rPr>
          <w:rFonts w:ascii="Calibri" w:hAnsi="Calibri" w:cs="Calibri"/>
        </w:rPr>
        <w:t>This links to point two, respectively, in the DRR approach.</w:t>
      </w:r>
      <w:r w:rsidRPr="00F110FD">
        <w:rPr>
          <w:rFonts w:ascii="Calibri" w:hAnsi="Calibri" w:cs="Calibri"/>
        </w:rPr>
        <w:t xml:space="preserve"> In the UK, heritage disaster response is characterised by a decentralised system involving multiple organisations, including Historic England, CADW, Historic Environment Scotland, and local authorities, each of which plays a role in the protection and management of heritage assets.</w:t>
      </w:r>
      <w:r w:rsidRPr="00F110FD">
        <w:rPr>
          <w:rStyle w:val="FootnoteReference"/>
          <w:rFonts w:ascii="Calibri" w:hAnsi="Calibri" w:cs="Calibri"/>
        </w:rPr>
        <w:footnoteReference w:id="16"/>
      </w:r>
      <w:r w:rsidRPr="00F110FD">
        <w:rPr>
          <w:rFonts w:ascii="Calibri" w:hAnsi="Calibri" w:cs="Calibri"/>
        </w:rPr>
        <w:t xml:space="preserve"> This distribution of responsibility reflects a structure in which decision-making is spread across different levels, often resulting in varied approaches to preparedness. This fragmentation is also partly d</w:t>
      </w:r>
      <w:r w:rsidR="008F5333">
        <w:rPr>
          <w:rFonts w:ascii="Calibri" w:hAnsi="Calibri" w:cs="Calibri"/>
        </w:rPr>
        <w:t>ue</w:t>
      </w:r>
      <w:r w:rsidRPr="00F110FD">
        <w:rPr>
          <w:rFonts w:ascii="Calibri" w:hAnsi="Calibri" w:cs="Calibri"/>
        </w:rPr>
        <w:t xml:space="preserve"> to the devolved governmental structure in the UK, where Scotland, Wales and Northern Ireland take responsibility for their own cultural </w:t>
      </w:r>
      <w:proofErr w:type="gramStart"/>
      <w:r w:rsidRPr="00F110FD">
        <w:rPr>
          <w:rFonts w:ascii="Calibri" w:hAnsi="Calibri" w:cs="Calibri"/>
        </w:rPr>
        <w:t>heritage, but</w:t>
      </w:r>
      <w:proofErr w:type="gramEnd"/>
      <w:r w:rsidRPr="00F110FD">
        <w:rPr>
          <w:rFonts w:ascii="Calibri" w:hAnsi="Calibri" w:cs="Calibri"/>
        </w:rPr>
        <w:t xml:space="preserve"> still feed into UK-wide priorities. Historic England’s emergency planning guidance, for example, outlines general frameworks for responding to crises, but these are dependent on local implementation rather than being centrally enforced and do not serve </w:t>
      </w:r>
      <w:r w:rsidRPr="00F110FD">
        <w:rPr>
          <w:rFonts w:ascii="Calibri" w:hAnsi="Calibri" w:cs="Calibri"/>
        </w:rPr>
        <w:lastRenderedPageBreak/>
        <w:t>Wales, Scotland or Northern Ireland.</w:t>
      </w:r>
      <w:r w:rsidRPr="00F110FD">
        <w:rPr>
          <w:rStyle w:val="FootnoteReference"/>
          <w:rFonts w:ascii="Calibri" w:hAnsi="Calibri" w:cs="Calibri"/>
        </w:rPr>
        <w:footnoteReference w:id="17"/>
      </w:r>
      <w:r w:rsidRPr="00F110FD">
        <w:rPr>
          <w:rFonts w:ascii="Calibri" w:hAnsi="Calibri" w:cs="Calibri"/>
        </w:rPr>
        <w:t xml:space="preserve"> As a result, response is not uniform, and levels of response can differ significantly depending on resources, regional and devolved risk exposure. This is reflected in the Historic England </w:t>
      </w:r>
      <w:r w:rsidRPr="00F110FD">
        <w:rPr>
          <w:rFonts w:ascii="Calibri" w:hAnsi="Calibri" w:cs="Calibri"/>
          <w:i/>
          <w:iCs/>
        </w:rPr>
        <w:t>Heritage at Risk</w:t>
      </w:r>
      <w:r w:rsidRPr="00F110FD">
        <w:rPr>
          <w:rFonts w:ascii="Calibri" w:hAnsi="Calibri" w:cs="Calibri"/>
        </w:rPr>
        <w:t xml:space="preserve"> report, which </w:t>
      </w:r>
      <w:r w:rsidR="00400C94">
        <w:rPr>
          <w:rFonts w:ascii="Calibri" w:hAnsi="Calibri" w:cs="Calibri"/>
        </w:rPr>
        <w:t>identifies</w:t>
      </w:r>
      <w:r w:rsidRPr="00F110FD">
        <w:rPr>
          <w:rFonts w:ascii="Calibri" w:hAnsi="Calibri" w:cs="Calibri"/>
        </w:rPr>
        <w:t xml:space="preserve"> varying degrees of vulnerability across the country for England, but you would have to visit the relevant devolved bodies to find information for the other nations.</w:t>
      </w:r>
      <w:r w:rsidRPr="00F110FD">
        <w:rPr>
          <w:rStyle w:val="FootnoteReference"/>
          <w:rFonts w:ascii="Calibri" w:hAnsi="Calibri" w:cs="Calibri"/>
        </w:rPr>
        <w:footnoteReference w:id="18"/>
      </w:r>
    </w:p>
    <w:p w14:paraId="7349054F" w14:textId="6168C54A" w:rsidR="00667670" w:rsidRPr="00F110FD" w:rsidRDefault="00667670" w:rsidP="00667670">
      <w:pPr>
        <w:ind w:firstLine="720"/>
        <w:rPr>
          <w:rFonts w:ascii="Calibri" w:hAnsi="Calibri" w:cs="Calibri"/>
        </w:rPr>
      </w:pPr>
      <w:r w:rsidRPr="00F110FD">
        <w:rPr>
          <w:rFonts w:ascii="Calibri" w:hAnsi="Calibri" w:cs="Calibri"/>
        </w:rPr>
        <w:t xml:space="preserve">Although policies and emergency guidance exist, their application </w:t>
      </w:r>
      <w:r w:rsidR="001F0408">
        <w:rPr>
          <w:rFonts w:ascii="Calibri" w:hAnsi="Calibri" w:cs="Calibri"/>
        </w:rPr>
        <w:t>can be</w:t>
      </w:r>
      <w:r w:rsidRPr="00F110FD">
        <w:rPr>
          <w:rFonts w:ascii="Calibri" w:hAnsi="Calibri" w:cs="Calibri"/>
        </w:rPr>
        <w:t xml:space="preserve"> inconsistent across the sector. Research into fire preparedness in historic buildings highlights that planning often relies on site-specific measures, with Kincaid noting that site-specific strategies are best to manage risks in historic environments.</w:t>
      </w:r>
      <w:r w:rsidRPr="00F110FD">
        <w:rPr>
          <w:rStyle w:val="FootnoteReference"/>
          <w:rFonts w:ascii="Calibri" w:hAnsi="Calibri" w:cs="Calibri"/>
        </w:rPr>
        <w:footnoteReference w:id="19"/>
      </w:r>
      <w:r w:rsidRPr="00F110FD">
        <w:rPr>
          <w:rFonts w:ascii="Calibri" w:hAnsi="Calibri" w:cs="Calibri"/>
        </w:rPr>
        <w:t xml:space="preserve"> While this flexibility allows for context-specific responses, it</w:t>
      </w:r>
      <w:r w:rsidR="00214869">
        <w:rPr>
          <w:rFonts w:ascii="Calibri" w:hAnsi="Calibri" w:cs="Calibri"/>
        </w:rPr>
        <w:t xml:space="preserve"> can</w:t>
      </w:r>
      <w:r w:rsidRPr="00F110FD">
        <w:rPr>
          <w:rFonts w:ascii="Calibri" w:hAnsi="Calibri" w:cs="Calibri"/>
        </w:rPr>
        <w:t xml:space="preserve"> also </w:t>
      </w:r>
      <w:r w:rsidR="00FC6418">
        <w:rPr>
          <w:rFonts w:ascii="Calibri" w:hAnsi="Calibri" w:cs="Calibri"/>
        </w:rPr>
        <w:t>contribute</w:t>
      </w:r>
      <w:r w:rsidRPr="00F110FD">
        <w:rPr>
          <w:rFonts w:ascii="Calibri" w:hAnsi="Calibri" w:cs="Calibri"/>
        </w:rPr>
        <w:t xml:space="preserve"> to uneven levels of preparedness. This issue became particularly evident during periods of crisis, such as the COVID-19 pandemic, where heritage organisations were required to adapt independently to rapidly changing circumstances. Guest</w:t>
      </w:r>
      <w:r w:rsidR="00437C02">
        <w:rPr>
          <w:rFonts w:ascii="Calibri" w:hAnsi="Calibri" w:cs="Calibri"/>
        </w:rPr>
        <w:t>,</w:t>
      </w:r>
      <w:r w:rsidRPr="00F110FD">
        <w:rPr>
          <w:rFonts w:ascii="Calibri" w:hAnsi="Calibri" w:cs="Calibri"/>
        </w:rPr>
        <w:t xml:space="preserve"> highlights how the sector was forced to respond quickly, demonstrating resilience </w:t>
      </w:r>
      <w:r w:rsidR="00A109FD">
        <w:rPr>
          <w:rFonts w:ascii="Calibri" w:hAnsi="Calibri" w:cs="Calibri"/>
        </w:rPr>
        <w:t>despite</w:t>
      </w:r>
      <w:r w:rsidRPr="00F110FD">
        <w:rPr>
          <w:rFonts w:ascii="Calibri" w:hAnsi="Calibri" w:cs="Calibri"/>
        </w:rPr>
        <w:t xml:space="preserve"> </w:t>
      </w:r>
      <w:r w:rsidR="00581229">
        <w:rPr>
          <w:rFonts w:ascii="Calibri" w:hAnsi="Calibri" w:cs="Calibri"/>
        </w:rPr>
        <w:t>lacking</w:t>
      </w:r>
      <w:r w:rsidRPr="00F110FD">
        <w:rPr>
          <w:rFonts w:ascii="Calibri" w:hAnsi="Calibri" w:cs="Calibri"/>
        </w:rPr>
        <w:t xml:space="preserve"> central coordination.</w:t>
      </w:r>
      <w:r w:rsidRPr="00F110FD">
        <w:rPr>
          <w:rStyle w:val="FootnoteReference"/>
          <w:rFonts w:ascii="Calibri" w:hAnsi="Calibri" w:cs="Calibri"/>
        </w:rPr>
        <w:footnoteReference w:id="20"/>
      </w:r>
      <w:r w:rsidRPr="00F110FD">
        <w:rPr>
          <w:rFonts w:ascii="Calibri" w:hAnsi="Calibri" w:cs="Calibri"/>
        </w:rPr>
        <w:t xml:space="preserve"> This also puts increased pressure on the people on the ground, where responsibility should sit higher. Similarly, the UK National Commission for UNESCO has emphasised that disaster management within the heritage sector requires more integrated approaches, suggesting that current systems remain fragmented.</w:t>
      </w:r>
      <w:r w:rsidRPr="00F110FD">
        <w:rPr>
          <w:rStyle w:val="FootnoteReference"/>
          <w:rFonts w:ascii="Calibri" w:hAnsi="Calibri" w:cs="Calibri"/>
        </w:rPr>
        <w:footnoteReference w:id="21"/>
      </w:r>
    </w:p>
    <w:p w14:paraId="535DA3DB" w14:textId="020E0177" w:rsidR="00667670" w:rsidRPr="00F110FD" w:rsidRDefault="00AD009B" w:rsidP="00667670">
      <w:pPr>
        <w:ind w:firstLine="720"/>
        <w:rPr>
          <w:rFonts w:ascii="Calibri" w:hAnsi="Calibri" w:cs="Calibri"/>
        </w:rPr>
      </w:pPr>
      <w:r>
        <w:rPr>
          <w:rFonts w:ascii="Calibri" w:hAnsi="Calibri" w:cs="Calibri"/>
        </w:rPr>
        <w:t>Additionally</w:t>
      </w:r>
      <w:r w:rsidR="00667670" w:rsidRPr="00F110FD">
        <w:rPr>
          <w:rFonts w:ascii="Calibri" w:hAnsi="Calibri" w:cs="Calibri"/>
        </w:rPr>
        <w:t>, the allocation of emergency funding further reinforces the reactive nature of the UK’s system. For example, Historic England’s Emergency Response Fund was introduced to provide urgent support to heritage sites affected by crises, illustrating how responses are often mobilised after events occur rather than as part of long-term planning.</w:t>
      </w:r>
      <w:r w:rsidR="00667670" w:rsidRPr="00F110FD">
        <w:rPr>
          <w:rStyle w:val="FootnoteReference"/>
          <w:rFonts w:ascii="Calibri" w:hAnsi="Calibri" w:cs="Calibri"/>
        </w:rPr>
        <w:footnoteReference w:id="22"/>
      </w:r>
      <w:r w:rsidR="00667670" w:rsidRPr="00F110FD">
        <w:rPr>
          <w:rFonts w:ascii="Calibri" w:hAnsi="Calibri" w:cs="Calibri"/>
        </w:rPr>
        <w:t xml:space="preserve"> Consequently, while the UK benefits from a broad network of organisations and policy frameworks, its decentralised structure can lead to coordination challenges and inconsistent response capacity. </w:t>
      </w:r>
      <w:r w:rsidR="00667670" w:rsidRPr="00FC4FC9">
        <w:rPr>
          <w:rFonts w:ascii="Calibri" w:hAnsi="Calibri" w:cs="Calibri"/>
        </w:rPr>
        <w:t>This demonstrates that disaster preparedness within the UK heritage sector is shaped not only by policy but also by institutional structure, resulting in a system that is adaptable but uneven in practice.</w:t>
      </w:r>
      <w:r w:rsidR="00FC4FC9" w:rsidRPr="00FC4FC9">
        <w:rPr>
          <w:rStyle w:val="FootnoteReference"/>
          <w:rFonts w:ascii="Calibri" w:hAnsi="Calibri" w:cs="Calibri"/>
        </w:rPr>
        <w:footnoteReference w:id="23"/>
      </w:r>
    </w:p>
    <w:p w14:paraId="4A63E1A6" w14:textId="7D81237C" w:rsidR="00667670" w:rsidRPr="00F110FD" w:rsidRDefault="00667670" w:rsidP="00667670">
      <w:pPr>
        <w:ind w:firstLine="720"/>
        <w:rPr>
          <w:rFonts w:ascii="Calibri" w:hAnsi="Calibri" w:cs="Calibri"/>
        </w:rPr>
      </w:pPr>
      <w:r w:rsidRPr="00F110FD">
        <w:rPr>
          <w:rFonts w:ascii="Calibri" w:hAnsi="Calibri" w:cs="Calibri"/>
        </w:rPr>
        <w:t>As a juxtaposition, Japan manages its response to disasters in the context of cultural heritage through a centralised coordination via the government, which is clearly structured. The Agency for Cultural Affairs operates as the principal authority overseeing heritage protection, and its disaster response guidelines demonstrate how cultural assets are incorporated into broader national emergency planning frameworks.</w:t>
      </w:r>
      <w:r w:rsidRPr="00F110FD">
        <w:rPr>
          <w:rStyle w:val="FootnoteReference"/>
          <w:rFonts w:ascii="Calibri" w:hAnsi="Calibri" w:cs="Calibri"/>
        </w:rPr>
        <w:footnoteReference w:id="24"/>
      </w:r>
      <w:r w:rsidRPr="00F110FD">
        <w:rPr>
          <w:rFonts w:ascii="Calibri" w:hAnsi="Calibri" w:cs="Calibri"/>
        </w:rPr>
        <w:t xml:space="preserve"> This differs from the </w:t>
      </w:r>
      <w:r w:rsidRPr="00F110FD">
        <w:rPr>
          <w:rFonts w:ascii="Calibri" w:hAnsi="Calibri" w:cs="Calibri"/>
        </w:rPr>
        <w:lastRenderedPageBreak/>
        <w:t>UK, as not only is it centralised, it also links to wider emergency planning, not just emergency planning in the heritage sector. These guidelines outline procedures for preparedness, response, and recovery, directly linking to the three characteristics of DRR. Through this structure, heritage response becomes embedded within the same institutional and operational systems that manage natural hazards more broadly.</w:t>
      </w:r>
    </w:p>
    <w:p w14:paraId="74D47604" w14:textId="62D1F946" w:rsidR="00667670" w:rsidRPr="00F110FD" w:rsidRDefault="00667670" w:rsidP="00667670">
      <w:pPr>
        <w:ind w:firstLine="720"/>
        <w:rPr>
          <w:rFonts w:ascii="Calibri" w:hAnsi="Calibri" w:cs="Calibri"/>
        </w:rPr>
      </w:pPr>
      <w:r w:rsidRPr="00F110FD">
        <w:rPr>
          <w:rFonts w:ascii="Calibri" w:hAnsi="Calibri" w:cs="Calibri"/>
        </w:rPr>
        <w:t>Moreover, research into disaster risk assessment for heritage in Japan</w:t>
      </w:r>
      <w:r w:rsidR="00C2036B">
        <w:rPr>
          <w:rFonts w:ascii="Calibri" w:hAnsi="Calibri" w:cs="Calibri"/>
        </w:rPr>
        <w:t>,</w:t>
      </w:r>
      <w:r w:rsidRPr="00F110FD">
        <w:rPr>
          <w:rFonts w:ascii="Calibri" w:hAnsi="Calibri" w:cs="Calibri"/>
        </w:rPr>
        <w:t xml:space="preserve"> demonstrates that both tangible and intangible elements are included within planning processes, indicating a holistic understanding of cultural value.</w:t>
      </w:r>
      <w:r w:rsidRPr="00F110FD">
        <w:rPr>
          <w:rStyle w:val="FootnoteReference"/>
          <w:rFonts w:ascii="Calibri" w:hAnsi="Calibri" w:cs="Calibri"/>
        </w:rPr>
        <w:footnoteReference w:id="25"/>
      </w:r>
      <w:r w:rsidRPr="00F110FD">
        <w:rPr>
          <w:rFonts w:ascii="Calibri" w:hAnsi="Calibri" w:cs="Calibri"/>
        </w:rPr>
        <w:t xml:space="preserve"> This suggests that preservation is not limited to physical structures but extends to practices, knowledge, and traditions that require safeguarding in the event of disruption. Furthermore, the establishment of coordinated networks for cultural heritage rescue</w:t>
      </w:r>
      <w:r w:rsidR="00E63F66">
        <w:rPr>
          <w:rFonts w:ascii="Calibri" w:hAnsi="Calibri" w:cs="Calibri"/>
        </w:rPr>
        <w:t>,</w:t>
      </w:r>
      <w:r w:rsidRPr="00F110FD">
        <w:rPr>
          <w:rFonts w:ascii="Calibri" w:hAnsi="Calibri" w:cs="Calibri"/>
        </w:rPr>
        <w:t xml:space="preserve"> highlights the importance of collaboration across institutions. Kurahashi emphasises the development of organised response networks, which enable rapid mobilisation and cooperation between national and local bodies in times of crisis, forming what is described as a system of “heritage rescue” operating within a unified framework.</w:t>
      </w:r>
      <w:r w:rsidRPr="00F110FD">
        <w:rPr>
          <w:rStyle w:val="FootnoteReference"/>
          <w:rFonts w:ascii="Calibri" w:hAnsi="Calibri" w:cs="Calibri"/>
        </w:rPr>
        <w:footnoteReference w:id="26"/>
      </w:r>
    </w:p>
    <w:p w14:paraId="15C07A0E" w14:textId="17346266" w:rsidR="00667670" w:rsidRPr="00F110FD" w:rsidRDefault="00667670" w:rsidP="00667670">
      <w:pPr>
        <w:ind w:firstLine="720"/>
        <w:rPr>
          <w:rFonts w:ascii="Calibri" w:hAnsi="Calibri" w:cs="Calibri"/>
        </w:rPr>
      </w:pPr>
      <w:r w:rsidRPr="00F110FD">
        <w:rPr>
          <w:rFonts w:ascii="Calibri" w:hAnsi="Calibri" w:cs="Calibri"/>
        </w:rPr>
        <w:t xml:space="preserve">Therefore, there is a clear distinction between Japan and the UK in their deployed response to heritage disasters. While Japan has an integrated and systematic approach, the UK </w:t>
      </w:r>
      <w:r w:rsidR="008707A5">
        <w:rPr>
          <w:rFonts w:ascii="Calibri" w:hAnsi="Calibri" w:cs="Calibri"/>
        </w:rPr>
        <w:t xml:space="preserve">appears </w:t>
      </w:r>
      <w:r w:rsidRPr="00F110FD">
        <w:rPr>
          <w:rFonts w:ascii="Calibri" w:hAnsi="Calibri" w:cs="Calibri"/>
        </w:rPr>
        <w:t xml:space="preserve">fragmented and variable. However, both nations still place importance on the need to recover cultural heritage despite a difference in responses. Governmental structures in the UK can hinder joined-up approaches </w:t>
      </w:r>
      <w:r w:rsidR="00DC6727">
        <w:rPr>
          <w:rFonts w:ascii="Calibri" w:hAnsi="Calibri" w:cs="Calibri"/>
        </w:rPr>
        <w:t>when</w:t>
      </w:r>
      <w:r w:rsidRPr="00F110FD">
        <w:rPr>
          <w:rFonts w:ascii="Calibri" w:hAnsi="Calibri" w:cs="Calibri"/>
        </w:rPr>
        <w:t xml:space="preserve"> all bodies </w:t>
      </w:r>
      <w:r w:rsidR="00DC6727">
        <w:rPr>
          <w:rFonts w:ascii="Calibri" w:hAnsi="Calibri" w:cs="Calibri"/>
        </w:rPr>
        <w:t xml:space="preserve">do not </w:t>
      </w:r>
      <w:r w:rsidRPr="00F110FD">
        <w:rPr>
          <w:rFonts w:ascii="Calibri" w:hAnsi="Calibri" w:cs="Calibri"/>
        </w:rPr>
        <w:t>work together, whereas the overarching governmental approach by Japan</w:t>
      </w:r>
      <w:r w:rsidR="0023340D">
        <w:rPr>
          <w:rFonts w:ascii="Calibri" w:hAnsi="Calibri" w:cs="Calibri"/>
        </w:rPr>
        <w:t>,</w:t>
      </w:r>
      <w:r w:rsidRPr="00F110FD">
        <w:rPr>
          <w:rFonts w:ascii="Calibri" w:hAnsi="Calibri" w:cs="Calibri"/>
        </w:rPr>
        <w:t xml:space="preserve"> ensures everyone understands their role in disaster response.</w:t>
      </w:r>
    </w:p>
    <w:p w14:paraId="678954E5" w14:textId="0AF7E8AC" w:rsidR="00F110FD" w:rsidRPr="00F110FD" w:rsidRDefault="00F110FD" w:rsidP="00F110FD">
      <w:pPr>
        <w:ind w:firstLine="720"/>
        <w:rPr>
          <w:rFonts w:ascii="Calibri" w:hAnsi="Calibri" w:cs="Calibri"/>
        </w:rPr>
      </w:pPr>
      <w:r w:rsidRPr="00F110FD">
        <w:rPr>
          <w:rFonts w:ascii="Calibri" w:hAnsi="Calibri" w:cs="Calibri"/>
        </w:rPr>
        <w:tab/>
        <w:t>While we have compared the policies around preparation and response to heritage disasters in the UK and Japan, we must also compare what happens in practice. Firstly, in terms of preparations, Japan systematically incorporates heritage into disaster risk assessments.</w:t>
      </w:r>
      <w:r w:rsidRPr="00F110FD">
        <w:rPr>
          <w:rStyle w:val="FootnoteReference"/>
          <w:rFonts w:ascii="Calibri" w:hAnsi="Calibri" w:cs="Calibri"/>
        </w:rPr>
        <w:footnoteReference w:id="27"/>
      </w:r>
      <w:r w:rsidRPr="00F110FD">
        <w:rPr>
          <w:rFonts w:ascii="Calibri" w:hAnsi="Calibri" w:cs="Calibri"/>
        </w:rPr>
        <w:t xml:space="preserve"> This </w:t>
      </w:r>
      <w:r w:rsidR="00241173">
        <w:rPr>
          <w:rFonts w:ascii="Calibri" w:hAnsi="Calibri" w:cs="Calibri"/>
        </w:rPr>
        <w:t>demonstrates</w:t>
      </w:r>
      <w:r w:rsidRPr="00F110FD">
        <w:rPr>
          <w:rFonts w:ascii="Calibri" w:hAnsi="Calibri" w:cs="Calibri"/>
        </w:rPr>
        <w:t xml:space="preserve"> that Japan is proactive in its DRR approach and anticipates risk, not just reacts. This shows that in practice, Japan </w:t>
      </w:r>
      <w:r w:rsidR="00EB68F9">
        <w:rPr>
          <w:rFonts w:ascii="Calibri" w:hAnsi="Calibri" w:cs="Calibri"/>
        </w:rPr>
        <w:t>works to their policies</w:t>
      </w:r>
      <w:r w:rsidRPr="00F110FD">
        <w:rPr>
          <w:rFonts w:ascii="Calibri" w:hAnsi="Calibri" w:cs="Calibri"/>
        </w:rPr>
        <w:t xml:space="preserve">. Added to this, the World Bank </w:t>
      </w:r>
      <w:r w:rsidR="003A4F10">
        <w:rPr>
          <w:rFonts w:ascii="Calibri" w:hAnsi="Calibri" w:cs="Calibri"/>
        </w:rPr>
        <w:t>paper</w:t>
      </w:r>
      <w:r w:rsidR="0010165C">
        <w:rPr>
          <w:rFonts w:ascii="Calibri" w:hAnsi="Calibri" w:cs="Calibri"/>
        </w:rPr>
        <w:t>,</w:t>
      </w:r>
      <w:r w:rsidR="003A4F10">
        <w:rPr>
          <w:rFonts w:ascii="Calibri" w:hAnsi="Calibri" w:cs="Calibri"/>
        </w:rPr>
        <w:t xml:space="preserve"> </w:t>
      </w:r>
      <w:r w:rsidRPr="00F110FD">
        <w:rPr>
          <w:rFonts w:ascii="Calibri" w:hAnsi="Calibri" w:cs="Calibri"/>
        </w:rPr>
        <w:t xml:space="preserve">also </w:t>
      </w:r>
      <w:r w:rsidR="0010165C">
        <w:rPr>
          <w:rFonts w:ascii="Calibri" w:hAnsi="Calibri" w:cs="Calibri"/>
        </w:rPr>
        <w:t>underscores</w:t>
      </w:r>
      <w:r w:rsidRPr="00F110FD">
        <w:rPr>
          <w:rFonts w:ascii="Calibri" w:hAnsi="Calibri" w:cs="Calibri"/>
        </w:rPr>
        <w:t xml:space="preserve"> that Japan combines their risk assessments with regular training exercises that are practised across the country.</w:t>
      </w:r>
      <w:r w:rsidRPr="00F110FD">
        <w:rPr>
          <w:rStyle w:val="FootnoteReference"/>
          <w:rFonts w:ascii="Calibri" w:hAnsi="Calibri" w:cs="Calibri"/>
        </w:rPr>
        <w:footnoteReference w:id="28"/>
      </w:r>
      <w:r w:rsidRPr="00F110FD">
        <w:rPr>
          <w:rFonts w:ascii="Calibri" w:hAnsi="Calibri" w:cs="Calibri"/>
        </w:rPr>
        <w:t xml:space="preserve"> Again, demonstrating that preparedness is also translated into action, as while it looks good on paper to have all these policies, if people do not know how to enact them, they are rendered useless. Here, Japan is showing a commitment to ensuring people know what to do if a disaster strikes.</w:t>
      </w:r>
    </w:p>
    <w:p w14:paraId="1A8AB8B3" w14:textId="5FDC5089" w:rsidR="00F110FD" w:rsidRPr="00F110FD" w:rsidRDefault="00F110FD" w:rsidP="00F110FD">
      <w:pPr>
        <w:ind w:firstLine="720"/>
        <w:rPr>
          <w:rFonts w:ascii="Calibri" w:hAnsi="Calibri" w:cs="Calibri"/>
        </w:rPr>
      </w:pPr>
      <w:r w:rsidRPr="00F110FD">
        <w:rPr>
          <w:rFonts w:ascii="Calibri" w:hAnsi="Calibri" w:cs="Calibri"/>
        </w:rPr>
        <w:t xml:space="preserve">Moreover, as Japan </w:t>
      </w:r>
      <w:r w:rsidR="00EF4DEC">
        <w:rPr>
          <w:rFonts w:ascii="Calibri" w:hAnsi="Calibri" w:cs="Calibri"/>
        </w:rPr>
        <w:t>are aware that</w:t>
      </w:r>
      <w:r w:rsidRPr="00F110FD">
        <w:rPr>
          <w:rFonts w:ascii="Calibri" w:hAnsi="Calibri" w:cs="Calibri"/>
        </w:rPr>
        <w:t xml:space="preserve"> their risk profile is high, they </w:t>
      </w:r>
      <w:r w:rsidR="00481626">
        <w:rPr>
          <w:rFonts w:ascii="Calibri" w:hAnsi="Calibri" w:cs="Calibri"/>
        </w:rPr>
        <w:t xml:space="preserve">have </w:t>
      </w:r>
      <w:r w:rsidRPr="00F110FD">
        <w:rPr>
          <w:rFonts w:ascii="Calibri" w:hAnsi="Calibri" w:cs="Calibri"/>
        </w:rPr>
        <w:t>enact</w:t>
      </w:r>
      <w:r w:rsidR="00481626">
        <w:rPr>
          <w:rFonts w:ascii="Calibri" w:hAnsi="Calibri" w:cs="Calibri"/>
        </w:rPr>
        <w:t>ed</w:t>
      </w:r>
      <w:r w:rsidRPr="00F110FD">
        <w:rPr>
          <w:rFonts w:ascii="Calibri" w:hAnsi="Calibri" w:cs="Calibri"/>
        </w:rPr>
        <w:t xml:space="preserve"> several initiatives to preserve </w:t>
      </w:r>
      <w:r w:rsidR="00481626">
        <w:rPr>
          <w:rFonts w:ascii="Calibri" w:hAnsi="Calibri" w:cs="Calibri"/>
        </w:rPr>
        <w:t xml:space="preserve">their </w:t>
      </w:r>
      <w:r w:rsidRPr="00F110FD">
        <w:rPr>
          <w:rFonts w:ascii="Calibri" w:hAnsi="Calibri" w:cs="Calibri"/>
        </w:rPr>
        <w:t xml:space="preserve">heritage, should it be lost. One way in which they do this is through </w:t>
      </w:r>
      <w:r w:rsidR="00405EA5">
        <w:rPr>
          <w:rFonts w:ascii="Calibri" w:hAnsi="Calibri" w:cs="Calibri"/>
        </w:rPr>
        <w:t xml:space="preserve">the </w:t>
      </w:r>
      <w:r w:rsidRPr="00F110FD">
        <w:rPr>
          <w:rFonts w:ascii="Calibri" w:hAnsi="Calibri" w:cs="Calibri"/>
        </w:rPr>
        <w:t xml:space="preserve">digitalisation of collections at risk to ensure that the story they tell would not be </w:t>
      </w:r>
      <w:r w:rsidRPr="00F110FD">
        <w:rPr>
          <w:rFonts w:ascii="Calibri" w:hAnsi="Calibri" w:cs="Calibri"/>
        </w:rPr>
        <w:lastRenderedPageBreak/>
        <w:t>lost, if they could not be recovered.</w:t>
      </w:r>
      <w:r w:rsidRPr="00F110FD">
        <w:rPr>
          <w:rStyle w:val="FootnoteReference"/>
          <w:rFonts w:ascii="Calibri" w:hAnsi="Calibri" w:cs="Calibri"/>
        </w:rPr>
        <w:footnoteReference w:id="29"/>
      </w:r>
      <w:r w:rsidRPr="00F110FD">
        <w:rPr>
          <w:rFonts w:ascii="Calibri" w:hAnsi="Calibri" w:cs="Calibri"/>
        </w:rPr>
        <w:t xml:space="preserve"> This shows that Japan's preparedness transcends physical protection and ventures into data preservation. This evolution beyond physical protection is supported by Japan's fear of irreparable damage </w:t>
      </w:r>
      <w:r w:rsidR="00B23E4C">
        <w:rPr>
          <w:rFonts w:ascii="Calibri" w:hAnsi="Calibri" w:cs="Calibri"/>
        </w:rPr>
        <w:t xml:space="preserve">and loss </w:t>
      </w:r>
      <w:r w:rsidRPr="00F110FD">
        <w:rPr>
          <w:rFonts w:ascii="Calibri" w:hAnsi="Calibri" w:cs="Calibri"/>
        </w:rPr>
        <w:t>to intangible heritage during disasters, not just buildings.</w:t>
      </w:r>
      <w:r w:rsidRPr="00F110FD">
        <w:rPr>
          <w:rStyle w:val="FootnoteReference"/>
          <w:rFonts w:ascii="Calibri" w:hAnsi="Calibri" w:cs="Calibri"/>
        </w:rPr>
        <w:footnoteReference w:id="30"/>
      </w:r>
      <w:r w:rsidRPr="00F110FD">
        <w:rPr>
          <w:rFonts w:ascii="Calibri" w:hAnsi="Calibri" w:cs="Calibri"/>
        </w:rPr>
        <w:t xml:space="preserve"> To combat the loss of intangible heritage, Japan have prepared cultural response systems, where heritage response becomes a part of the local culture and daily life.</w:t>
      </w:r>
      <w:r w:rsidRPr="00F110FD">
        <w:rPr>
          <w:rStyle w:val="FootnoteReference"/>
          <w:rFonts w:ascii="Calibri" w:hAnsi="Calibri" w:cs="Calibri"/>
        </w:rPr>
        <w:footnoteReference w:id="31"/>
      </w:r>
      <w:r w:rsidRPr="00F110FD">
        <w:rPr>
          <w:rFonts w:ascii="Calibri" w:hAnsi="Calibri" w:cs="Calibri"/>
        </w:rPr>
        <w:t xml:space="preserve"> This is also further supported by ensuring that heritage sites such as museums and temples have emergency kits and evacuation procedures that are practical and can be enacted once a disaster has happened.</w:t>
      </w:r>
      <w:r w:rsidRPr="00F110FD">
        <w:rPr>
          <w:rStyle w:val="FootnoteReference"/>
          <w:rFonts w:ascii="Calibri" w:hAnsi="Calibri" w:cs="Calibri"/>
        </w:rPr>
        <w:footnoteReference w:id="32"/>
      </w:r>
    </w:p>
    <w:p w14:paraId="56DC66E5" w14:textId="11361DE7" w:rsidR="00F110FD" w:rsidRPr="00F110FD" w:rsidRDefault="00F110FD" w:rsidP="00F110FD">
      <w:pPr>
        <w:rPr>
          <w:rFonts w:ascii="Calibri" w:hAnsi="Calibri" w:cs="Calibri"/>
        </w:rPr>
      </w:pPr>
      <w:r w:rsidRPr="00F110FD">
        <w:rPr>
          <w:rFonts w:ascii="Calibri" w:hAnsi="Calibri" w:cs="Calibri"/>
        </w:rPr>
        <w:tab/>
      </w:r>
      <w:r w:rsidR="008A7512">
        <w:rPr>
          <w:rFonts w:ascii="Calibri" w:hAnsi="Calibri" w:cs="Calibri"/>
        </w:rPr>
        <w:t xml:space="preserve">In </w:t>
      </w:r>
      <w:r w:rsidR="00695D4B">
        <w:rPr>
          <w:rFonts w:ascii="Calibri" w:hAnsi="Calibri" w:cs="Calibri"/>
        </w:rPr>
        <w:t>addition</w:t>
      </w:r>
      <w:r w:rsidRPr="00F110FD">
        <w:rPr>
          <w:rFonts w:ascii="Calibri" w:hAnsi="Calibri" w:cs="Calibri"/>
        </w:rPr>
        <w:t xml:space="preserve">, Japan’s cultural heritage disaster response is characterised by the rapid mobilisation of coordinated recovery efforts following major events, particularly evident after the 2011 </w:t>
      </w:r>
      <w:proofErr w:type="spellStart"/>
      <w:r w:rsidRPr="00F110FD">
        <w:rPr>
          <w:rFonts w:ascii="Calibri" w:hAnsi="Calibri" w:cs="Calibri"/>
        </w:rPr>
        <w:t>Tōhoku</w:t>
      </w:r>
      <w:proofErr w:type="spellEnd"/>
      <w:r w:rsidRPr="00F110FD">
        <w:rPr>
          <w:rFonts w:ascii="Calibri" w:hAnsi="Calibri" w:cs="Calibri"/>
        </w:rPr>
        <w:t xml:space="preserve"> earthquake and tsunami. The </w:t>
      </w:r>
      <w:r w:rsidRPr="00F110FD">
        <w:rPr>
          <w:rFonts w:ascii="Calibri" w:eastAsia="Times New Roman" w:hAnsi="Calibri" w:cs="Calibri"/>
          <w:kern w:val="0"/>
          <w:lang w:eastAsia="en-GB"/>
          <w14:ligatures w14:val="none"/>
        </w:rPr>
        <w:t>National Institutes for Cultural Heritage</w:t>
      </w:r>
      <w:r w:rsidRPr="00F110FD">
        <w:rPr>
          <w:rFonts w:ascii="Calibri" w:hAnsi="Calibri" w:cs="Calibri"/>
        </w:rPr>
        <w:t xml:space="preserve"> report</w:t>
      </w:r>
      <w:r w:rsidR="00695D4B">
        <w:rPr>
          <w:rFonts w:ascii="Calibri" w:hAnsi="Calibri" w:cs="Calibri"/>
        </w:rPr>
        <w:t>,</w:t>
      </w:r>
      <w:r w:rsidRPr="00F110FD">
        <w:rPr>
          <w:rFonts w:ascii="Calibri" w:hAnsi="Calibri" w:cs="Calibri"/>
        </w:rPr>
        <w:t xml:space="preserve"> demonstrates how large</w:t>
      </w:r>
      <w:r w:rsidRPr="00F110FD">
        <w:rPr>
          <w:rFonts w:ascii="Calibri" w:hAnsi="Calibri" w:cs="Calibri"/>
        </w:rPr>
        <w:noBreakHyphen/>
        <w:t>scale salvage operations were quickly organised to recover and stabilise damaged artefacts, with multiple institutions working together to save damaged heritage sites across affected regions.</w:t>
      </w:r>
      <w:r w:rsidRPr="00F110FD">
        <w:rPr>
          <w:rStyle w:val="FootnoteReference"/>
          <w:rFonts w:ascii="Calibri" w:hAnsi="Calibri" w:cs="Calibri"/>
        </w:rPr>
        <w:footnoteReference w:id="33"/>
      </w:r>
      <w:r w:rsidRPr="00F110FD">
        <w:rPr>
          <w:rFonts w:ascii="Calibri" w:hAnsi="Calibri" w:cs="Calibri"/>
        </w:rPr>
        <w:t xml:space="preserve"> Alongside physical recovery, the systematic documentation of damaged sites ensured that information about heritage assets was preserved even where material loss occurred, reflecting a comprehensive and forward</w:t>
      </w:r>
      <w:r w:rsidRPr="00F110FD">
        <w:rPr>
          <w:rFonts w:ascii="Calibri" w:hAnsi="Calibri" w:cs="Calibri"/>
        </w:rPr>
        <w:noBreakHyphen/>
        <w:t>planning approach.</w:t>
      </w:r>
      <w:r w:rsidRPr="00F110FD">
        <w:rPr>
          <w:rStyle w:val="FootnoteReference"/>
          <w:rFonts w:ascii="Calibri" w:hAnsi="Calibri" w:cs="Calibri"/>
        </w:rPr>
        <w:footnoteReference w:id="34"/>
      </w:r>
      <w:r w:rsidRPr="00F110FD">
        <w:rPr>
          <w:rFonts w:ascii="Calibri" w:hAnsi="Calibri" w:cs="Calibri"/>
        </w:rPr>
        <w:t xml:space="preserve"> This dual focus</w:t>
      </w:r>
      <w:r w:rsidR="0054576D">
        <w:rPr>
          <w:rFonts w:ascii="Calibri" w:hAnsi="Calibri" w:cs="Calibri"/>
        </w:rPr>
        <w:t xml:space="preserve"> in Japan</w:t>
      </w:r>
      <w:r w:rsidR="006A1F1D">
        <w:rPr>
          <w:rFonts w:ascii="Calibri" w:hAnsi="Calibri" w:cs="Calibri"/>
        </w:rPr>
        <w:t>,</w:t>
      </w:r>
      <w:r w:rsidRPr="00F110FD">
        <w:rPr>
          <w:rFonts w:ascii="Calibri" w:hAnsi="Calibri" w:cs="Calibri"/>
        </w:rPr>
        <w:t xml:space="preserve"> highlights how response mechanisms address both immediate and long</w:t>
      </w:r>
      <w:r w:rsidRPr="00F110FD">
        <w:rPr>
          <w:rFonts w:ascii="Calibri" w:hAnsi="Calibri" w:cs="Calibri"/>
        </w:rPr>
        <w:noBreakHyphen/>
        <w:t>term preservation needs. Furthermore, these operations rel</w:t>
      </w:r>
      <w:r w:rsidR="006A1F1D">
        <w:rPr>
          <w:rFonts w:ascii="Calibri" w:hAnsi="Calibri" w:cs="Calibri"/>
        </w:rPr>
        <w:t>y</w:t>
      </w:r>
      <w:r w:rsidRPr="00F110FD">
        <w:rPr>
          <w:rFonts w:ascii="Calibri" w:hAnsi="Calibri" w:cs="Calibri"/>
        </w:rPr>
        <w:t xml:space="preserve"> heavily on the collaboration of trained professionals and volunteers, enabling rapid and efficient deployment of expertise.</w:t>
      </w:r>
      <w:r w:rsidRPr="00F110FD">
        <w:rPr>
          <w:rStyle w:val="FootnoteReference"/>
          <w:rFonts w:ascii="Calibri" w:hAnsi="Calibri" w:cs="Calibri"/>
        </w:rPr>
        <w:footnoteReference w:id="35"/>
      </w:r>
      <w:r w:rsidRPr="00F110FD">
        <w:rPr>
          <w:rFonts w:ascii="Calibri" w:hAnsi="Calibri" w:cs="Calibri"/>
        </w:rPr>
        <w:t xml:space="preserve"> </w:t>
      </w:r>
      <w:r w:rsidRPr="006B4AB7">
        <w:rPr>
          <w:rFonts w:ascii="Calibri" w:hAnsi="Calibri" w:cs="Calibri"/>
        </w:rPr>
        <w:t xml:space="preserve">Overall, this </w:t>
      </w:r>
      <w:r w:rsidR="009E16E7" w:rsidRPr="006B4AB7">
        <w:rPr>
          <w:rFonts w:ascii="Calibri" w:hAnsi="Calibri" w:cs="Calibri"/>
        </w:rPr>
        <w:t>example</w:t>
      </w:r>
      <w:r w:rsidR="00950808" w:rsidRPr="006B4AB7">
        <w:rPr>
          <w:rFonts w:ascii="Calibri" w:hAnsi="Calibri" w:cs="Calibri"/>
        </w:rPr>
        <w:t>,</w:t>
      </w:r>
      <w:r w:rsidRPr="006B4AB7">
        <w:rPr>
          <w:rFonts w:ascii="Calibri" w:hAnsi="Calibri" w:cs="Calibri"/>
        </w:rPr>
        <w:t xml:space="preserve"> illustrates that Japan’s system is not only highly organised but also capable of swift and effective mobilisation, reinforcing the integration of cultural heritage protection within broader national disaster management frameworks. It also highlights that policy and guidance on preparation and response can be turned into practice.</w:t>
      </w:r>
      <w:r w:rsidR="006B4AB7" w:rsidRPr="006B4AB7">
        <w:rPr>
          <w:rStyle w:val="FootnoteReference"/>
          <w:rFonts w:ascii="Calibri" w:hAnsi="Calibri" w:cs="Calibri"/>
        </w:rPr>
        <w:footnoteReference w:id="36"/>
      </w:r>
    </w:p>
    <w:p w14:paraId="60643E0D" w14:textId="35393842" w:rsidR="00F110FD" w:rsidRPr="00F110FD" w:rsidRDefault="00F110FD" w:rsidP="00F110FD">
      <w:pPr>
        <w:rPr>
          <w:rFonts w:ascii="Calibri" w:hAnsi="Calibri" w:cs="Calibri"/>
        </w:rPr>
      </w:pPr>
      <w:r w:rsidRPr="00F110FD">
        <w:rPr>
          <w:rFonts w:ascii="Calibri" w:hAnsi="Calibri" w:cs="Calibri"/>
        </w:rPr>
        <w:tab/>
        <w:t xml:space="preserve">Like Japan, the UK </w:t>
      </w:r>
      <w:r w:rsidR="00B04FDB">
        <w:rPr>
          <w:rFonts w:ascii="Calibri" w:hAnsi="Calibri" w:cs="Calibri"/>
        </w:rPr>
        <w:t>works to</w:t>
      </w:r>
      <w:r w:rsidRPr="00F110FD">
        <w:rPr>
          <w:rFonts w:ascii="Calibri" w:hAnsi="Calibri" w:cs="Calibri"/>
        </w:rPr>
        <w:t xml:space="preserve"> the</w:t>
      </w:r>
      <w:r w:rsidR="00B04FDB">
        <w:rPr>
          <w:rFonts w:ascii="Calibri" w:hAnsi="Calibri" w:cs="Calibri"/>
        </w:rPr>
        <w:t>ir</w:t>
      </w:r>
      <w:r w:rsidRPr="00F110FD">
        <w:rPr>
          <w:rFonts w:ascii="Calibri" w:hAnsi="Calibri" w:cs="Calibri"/>
        </w:rPr>
        <w:t xml:space="preserve"> policies on disaster preparedness and response. </w:t>
      </w:r>
      <w:r w:rsidR="00B04FDB">
        <w:rPr>
          <w:rFonts w:ascii="Calibri" w:hAnsi="Calibri" w:cs="Calibri"/>
        </w:rPr>
        <w:t>However, events</w:t>
      </w:r>
      <w:r w:rsidRPr="00F110FD">
        <w:rPr>
          <w:rFonts w:ascii="Calibri" w:hAnsi="Calibri" w:cs="Calibri"/>
        </w:rPr>
        <w:t xml:space="preserve"> on the ground are also not uniform and vary significantly by institution. They are also reactive rather than proactive, like Japan. This results in significant variation in response capacity, particularly between well</w:t>
      </w:r>
      <w:r w:rsidRPr="00F110FD">
        <w:rPr>
          <w:rFonts w:ascii="Calibri" w:hAnsi="Calibri" w:cs="Calibri"/>
        </w:rPr>
        <w:noBreakHyphen/>
        <w:t xml:space="preserve">resourced institutions and smaller or regionally managed sites. This is illustrated by the case of the Glasgow School of Art, where two major fires in 2014 and 2018 led to severe cultural loss despite </w:t>
      </w:r>
      <w:r w:rsidR="00A843B6">
        <w:rPr>
          <w:rFonts w:ascii="Calibri" w:hAnsi="Calibri" w:cs="Calibri"/>
        </w:rPr>
        <w:t xml:space="preserve">significant </w:t>
      </w:r>
      <w:r w:rsidRPr="00F110FD">
        <w:rPr>
          <w:rFonts w:ascii="Calibri" w:hAnsi="Calibri" w:cs="Calibri"/>
        </w:rPr>
        <w:t>response efforts. The 2018 fire</w:t>
      </w:r>
      <w:r w:rsidR="00C31A54">
        <w:rPr>
          <w:rFonts w:ascii="Calibri" w:hAnsi="Calibri" w:cs="Calibri"/>
        </w:rPr>
        <w:t>,</w:t>
      </w:r>
      <w:r w:rsidRPr="00F110FD">
        <w:rPr>
          <w:rFonts w:ascii="Calibri" w:hAnsi="Calibri" w:cs="Calibri"/>
        </w:rPr>
        <w:t xml:space="preserve"> in particular</w:t>
      </w:r>
      <w:r w:rsidR="00C31A54">
        <w:rPr>
          <w:rFonts w:ascii="Calibri" w:hAnsi="Calibri" w:cs="Calibri"/>
        </w:rPr>
        <w:t>,</w:t>
      </w:r>
      <w:r w:rsidRPr="00F110FD">
        <w:rPr>
          <w:rFonts w:ascii="Calibri" w:hAnsi="Calibri" w:cs="Calibri"/>
        </w:rPr>
        <w:t xml:space="preserve"> caused irreparable damage, destroying much of the Mackintosh </w:t>
      </w:r>
      <w:r w:rsidRPr="00F110FD">
        <w:rPr>
          <w:rFonts w:ascii="Calibri" w:hAnsi="Calibri" w:cs="Calibri"/>
        </w:rPr>
        <w:lastRenderedPageBreak/>
        <w:t>Building, a globally significant example of early twentieth</w:t>
      </w:r>
      <w:r w:rsidRPr="00F110FD">
        <w:rPr>
          <w:rFonts w:ascii="Calibri" w:hAnsi="Calibri" w:cs="Calibri"/>
        </w:rPr>
        <w:noBreakHyphen/>
        <w:t>century architecture.</w:t>
      </w:r>
      <w:r w:rsidRPr="00F110FD">
        <w:rPr>
          <w:rStyle w:val="FootnoteReference"/>
          <w:rFonts w:ascii="Calibri" w:hAnsi="Calibri" w:cs="Calibri"/>
        </w:rPr>
        <w:footnoteReference w:id="37"/>
      </w:r>
      <w:r w:rsidRPr="00F110FD">
        <w:rPr>
          <w:rFonts w:ascii="Calibri" w:hAnsi="Calibri" w:cs="Calibri"/>
        </w:rPr>
        <w:t xml:space="preserve"> Despite a rapid emergency response, including over 120 firefighters working to contain the blaze, the scale of destruction revealed underlying vulnerabilities in risk management and preparedness systems.</w:t>
      </w:r>
      <w:r w:rsidRPr="00F110FD">
        <w:rPr>
          <w:rStyle w:val="FootnoteReference"/>
          <w:rFonts w:ascii="Calibri" w:hAnsi="Calibri" w:cs="Calibri"/>
        </w:rPr>
        <w:footnoteReference w:id="38"/>
      </w:r>
      <w:r w:rsidRPr="00F110FD">
        <w:rPr>
          <w:rFonts w:ascii="Calibri" w:hAnsi="Calibri" w:cs="Calibri"/>
        </w:rPr>
        <w:t xml:space="preserve"> The repeated impact of fire on the same building further highlights systemic weaknesses</w:t>
      </w:r>
      <w:r w:rsidR="00397271">
        <w:rPr>
          <w:rFonts w:ascii="Calibri" w:hAnsi="Calibri" w:cs="Calibri"/>
        </w:rPr>
        <w:t xml:space="preserve"> in risk management</w:t>
      </w:r>
      <w:r w:rsidRPr="00F110FD">
        <w:rPr>
          <w:rFonts w:ascii="Calibri" w:hAnsi="Calibri" w:cs="Calibri"/>
        </w:rPr>
        <w:t>, suggesting that lessons from earlier incidents had not been fully embedded into long</w:t>
      </w:r>
      <w:r w:rsidRPr="00F110FD">
        <w:rPr>
          <w:rFonts w:ascii="Calibri" w:hAnsi="Calibri" w:cs="Calibri"/>
        </w:rPr>
        <w:noBreakHyphen/>
        <w:t>term preventative strategies. Media and institutional analysis of the event also point to criticism of reconstruction efforts and the pace of recovery, reinforcing the perception that responses are often mobilised after disaster</w:t>
      </w:r>
      <w:r w:rsidR="00BF6F25">
        <w:rPr>
          <w:rFonts w:ascii="Calibri" w:hAnsi="Calibri" w:cs="Calibri"/>
        </w:rPr>
        <w:t>,</w:t>
      </w:r>
      <w:r w:rsidRPr="00F110FD">
        <w:rPr>
          <w:rFonts w:ascii="Calibri" w:hAnsi="Calibri" w:cs="Calibri"/>
        </w:rPr>
        <w:t xml:space="preserve"> rather than effectively mitigating risk in advance.</w:t>
      </w:r>
      <w:r w:rsidRPr="00F110FD">
        <w:rPr>
          <w:rStyle w:val="FootnoteReference"/>
          <w:rFonts w:ascii="Calibri" w:hAnsi="Calibri" w:cs="Calibri"/>
        </w:rPr>
        <w:footnoteReference w:id="39"/>
      </w:r>
    </w:p>
    <w:p w14:paraId="00AD50EB" w14:textId="71AAC4DA" w:rsidR="00F110FD" w:rsidRPr="00F110FD" w:rsidRDefault="00F110FD" w:rsidP="006A4DDE">
      <w:pPr>
        <w:ind w:firstLine="720"/>
        <w:rPr>
          <w:rFonts w:ascii="Calibri" w:hAnsi="Calibri" w:cs="Calibri"/>
        </w:rPr>
      </w:pPr>
      <w:r w:rsidRPr="00F110FD">
        <w:rPr>
          <w:rFonts w:ascii="Calibri" w:hAnsi="Calibri" w:cs="Calibri"/>
        </w:rPr>
        <w:t>Beyond fire</w:t>
      </w:r>
      <w:r w:rsidRPr="00F110FD">
        <w:rPr>
          <w:rFonts w:ascii="Calibri" w:hAnsi="Calibri" w:cs="Calibri"/>
        </w:rPr>
        <w:noBreakHyphen/>
        <w:t xml:space="preserve">related incidents, similar issues can be observed in the UK’s response to flooding, which remains a key environmental threat. </w:t>
      </w:r>
      <w:r w:rsidR="00C0718E" w:rsidRPr="00C0718E">
        <w:rPr>
          <w:rFonts w:ascii="Calibri" w:hAnsi="Calibri" w:cs="Calibri"/>
        </w:rPr>
        <w:t>For example, the Museum of Making in Derby, located within a UNESCO World Heritage Site, was significantly damaged during Storm Babet in 2023, when floodwaters from the River Derwent entered the building and disrupted its operations.</w:t>
      </w:r>
      <w:r w:rsidR="00C0718E">
        <w:rPr>
          <w:rStyle w:val="FootnoteReference"/>
          <w:rFonts w:ascii="Calibri" w:hAnsi="Calibri" w:cs="Calibri"/>
        </w:rPr>
        <w:footnoteReference w:id="40"/>
      </w:r>
      <w:r w:rsidR="006A4DDE">
        <w:rPr>
          <w:rFonts w:ascii="Calibri" w:hAnsi="Calibri" w:cs="Calibri"/>
        </w:rPr>
        <w:t xml:space="preserve"> </w:t>
      </w:r>
      <w:r w:rsidRPr="00F110FD">
        <w:rPr>
          <w:rFonts w:ascii="Calibri" w:hAnsi="Calibri" w:cs="Calibri"/>
        </w:rPr>
        <w:t>Reports indicate that flood management systems are often splintered and reactionary, with gaps in long</w:t>
      </w:r>
      <w:r w:rsidRPr="00F110FD">
        <w:rPr>
          <w:rFonts w:ascii="Calibri" w:hAnsi="Calibri" w:cs="Calibri"/>
        </w:rPr>
        <w:noBreakHyphen/>
        <w:t>term resilience planning across communities and infrastructure.</w:t>
      </w:r>
      <w:r w:rsidRPr="00F110FD">
        <w:rPr>
          <w:rStyle w:val="FootnoteReference"/>
          <w:rFonts w:ascii="Calibri" w:hAnsi="Calibri" w:cs="Calibri"/>
        </w:rPr>
        <w:footnoteReference w:id="41"/>
      </w:r>
      <w:r w:rsidRPr="00F110FD">
        <w:rPr>
          <w:rFonts w:ascii="Calibri" w:hAnsi="Calibri" w:cs="Calibri"/>
        </w:rPr>
        <w:t xml:space="preserve"> Additionally, research shows that preparedness and response to flooding are inconsistent, with some communities reporting a lack of warning or awareness before events, highlighting uneven access to preparedness resources.</w:t>
      </w:r>
      <w:r w:rsidRPr="00F110FD">
        <w:rPr>
          <w:rStyle w:val="FootnoteReference"/>
          <w:rFonts w:ascii="Calibri" w:hAnsi="Calibri" w:cs="Calibri"/>
        </w:rPr>
        <w:footnoteReference w:id="42"/>
      </w:r>
      <w:r w:rsidRPr="00F110FD">
        <w:rPr>
          <w:rFonts w:ascii="Calibri" w:hAnsi="Calibri" w:cs="Calibri"/>
        </w:rPr>
        <w:t xml:space="preserve"> Together, these examples demonstrate</w:t>
      </w:r>
      <w:r w:rsidR="0080201D">
        <w:rPr>
          <w:rFonts w:ascii="Calibri" w:hAnsi="Calibri" w:cs="Calibri"/>
        </w:rPr>
        <w:t>,</w:t>
      </w:r>
      <w:r w:rsidRPr="00F110FD">
        <w:rPr>
          <w:rFonts w:ascii="Calibri" w:hAnsi="Calibri" w:cs="Calibri"/>
        </w:rPr>
        <w:t xml:space="preserve"> that while the UK has made progress in recognising and responding to heritage risks, its system</w:t>
      </w:r>
      <w:r w:rsidR="00FC5B7E">
        <w:rPr>
          <w:rFonts w:ascii="Calibri" w:hAnsi="Calibri" w:cs="Calibri"/>
        </w:rPr>
        <w:t>s</w:t>
      </w:r>
      <w:r w:rsidRPr="00F110FD">
        <w:rPr>
          <w:rFonts w:ascii="Calibri" w:hAnsi="Calibri" w:cs="Calibri"/>
        </w:rPr>
        <w:t xml:space="preserve"> remain characterised by variability and reactivity. Preparedness is improving, but it is not yet consistently embedded across all institutions, resulting in uneven protection of cultural heritage and a continued reliance on post</w:t>
      </w:r>
      <w:r w:rsidRPr="00F110FD">
        <w:rPr>
          <w:rFonts w:ascii="Calibri" w:hAnsi="Calibri" w:cs="Calibri"/>
        </w:rPr>
        <w:noBreakHyphen/>
        <w:t>disaster recovery rather than proactive prevention.</w:t>
      </w:r>
    </w:p>
    <w:p w14:paraId="1405F2D5" w14:textId="760F70FC" w:rsidR="00F110FD" w:rsidRPr="00F110FD" w:rsidRDefault="00F110FD" w:rsidP="00F110FD">
      <w:pPr>
        <w:ind w:firstLine="720"/>
        <w:rPr>
          <w:rFonts w:ascii="Calibri" w:hAnsi="Calibri" w:cs="Calibri"/>
        </w:rPr>
      </w:pPr>
      <w:r w:rsidRPr="00F110FD">
        <w:rPr>
          <w:rFonts w:ascii="Calibri" w:hAnsi="Calibri" w:cs="Calibri"/>
        </w:rPr>
        <w:t>Overall, this comparison demonstrates that the key difference between Japan and the UK lies not simply in policy, but in the consistency with which policy is translated into practice. Japan’s approach reveals a clear alignment between planning and implementation, where preparedness measures—such as training, documentation, and coordinated response systems—are embedded across all levels of society</w:t>
      </w:r>
      <w:r w:rsidR="00640A49">
        <w:rPr>
          <w:rFonts w:ascii="Calibri" w:hAnsi="Calibri" w:cs="Calibri"/>
        </w:rPr>
        <w:t xml:space="preserve"> by the Agency for Cultural Affairs</w:t>
      </w:r>
      <w:r w:rsidRPr="00F110FD">
        <w:rPr>
          <w:rFonts w:ascii="Calibri" w:hAnsi="Calibri" w:cs="Calibri"/>
        </w:rPr>
        <w:t>.</w:t>
      </w:r>
      <w:r w:rsidR="001419AD">
        <w:rPr>
          <w:rStyle w:val="FootnoteReference"/>
          <w:rFonts w:ascii="Calibri" w:hAnsi="Calibri" w:cs="Calibri"/>
        </w:rPr>
        <w:footnoteReference w:id="43"/>
      </w:r>
      <w:r w:rsidRPr="00F110FD">
        <w:rPr>
          <w:rFonts w:ascii="Calibri" w:hAnsi="Calibri" w:cs="Calibri"/>
        </w:rPr>
        <w:t xml:space="preserve"> In contrast, the UK’s more fragmented and institution</w:t>
      </w:r>
      <w:r w:rsidRPr="00F110FD">
        <w:rPr>
          <w:rFonts w:ascii="Calibri" w:hAnsi="Calibri" w:cs="Calibri"/>
        </w:rPr>
        <w:noBreakHyphen/>
        <w:t>dependent framework results in uneven outcomes, where an effective response is possible but not guaranteed. These differences highlight how varying risk environments shape not only policy design but also the extent to which preparedness becomes operational in practice. Japan is also more explicitly risk</w:t>
      </w:r>
      <w:r w:rsidRPr="00F110FD">
        <w:rPr>
          <w:rFonts w:ascii="Calibri" w:hAnsi="Calibri" w:cs="Calibri"/>
        </w:rPr>
        <w:noBreakHyphen/>
        <w:t xml:space="preserve">focused; its digitalisation efforts aim to mitigate loss and ensure cultural continuity in the event of disaster. In contrast, similar initiatives in the UK often prioritise access and </w:t>
      </w:r>
      <w:r w:rsidRPr="00F110FD">
        <w:rPr>
          <w:rFonts w:ascii="Calibri" w:hAnsi="Calibri" w:cs="Calibri"/>
        </w:rPr>
        <w:lastRenderedPageBreak/>
        <w:t>inclusion, as seen in programmes such as the Welsh CELF initiative.</w:t>
      </w:r>
      <w:r w:rsidRPr="00F110FD">
        <w:rPr>
          <w:rStyle w:val="FootnoteReference"/>
          <w:rFonts w:ascii="Calibri" w:hAnsi="Calibri" w:cs="Calibri"/>
        </w:rPr>
        <w:footnoteReference w:id="44"/>
      </w:r>
      <w:r w:rsidRPr="00F110FD">
        <w:rPr>
          <w:rFonts w:ascii="Calibri" w:hAnsi="Calibri" w:cs="Calibri"/>
        </w:rPr>
        <w:t xml:space="preserve"> This demonstrates that, while similar strategies may be employed in both contexts, they are driven by fundamentally different motivations—risk mitigation in Japan and accessibility in the UK.</w:t>
      </w:r>
    </w:p>
    <w:p w14:paraId="687C6891" w14:textId="585505B2" w:rsidR="001C37A9" w:rsidRPr="004F244A" w:rsidRDefault="001C37A9" w:rsidP="001C37A9">
      <w:pPr>
        <w:ind w:firstLine="720"/>
        <w:rPr>
          <w:rFonts w:ascii="Calibri" w:hAnsi="Calibri" w:cs="Calibri"/>
        </w:rPr>
      </w:pPr>
      <w:r>
        <w:tab/>
      </w:r>
      <w:r w:rsidRPr="004F244A">
        <w:rPr>
          <w:rFonts w:ascii="Calibri" w:hAnsi="Calibri" w:cs="Calibri"/>
        </w:rPr>
        <w:t>Furthermore, a key factor shaping disaster response in Japan is the cultural understanding of heritage as a living, evolving process rather than a fixed and unchangeable entity and how this links to the third aspect of DRR; recovery. As Smith argues, heritage should be understood as a process that is continually produced through social practices and meanings rather than preserved as static objects.</w:t>
      </w:r>
      <w:r w:rsidRPr="004F244A">
        <w:rPr>
          <w:rStyle w:val="FootnoteReference"/>
          <w:rFonts w:ascii="Calibri" w:hAnsi="Calibri" w:cs="Calibri"/>
        </w:rPr>
        <w:footnoteReference w:id="45"/>
      </w:r>
      <w:r w:rsidRPr="004F244A">
        <w:rPr>
          <w:rFonts w:ascii="Calibri" w:hAnsi="Calibri" w:cs="Calibri"/>
        </w:rPr>
        <w:t xml:space="preserve"> This perspective is reflected strongly in Japan, where heritage is seen as evolving and capable of being recreated without losing its significance. For example, the reconstruction of temples and historic buildings is widely accepted as a legitimate form of preservation, as rebuilding is understood to maintain cultural continuity rather than diminish authenticity.</w:t>
      </w:r>
      <w:r w:rsidR="000E6C84">
        <w:rPr>
          <w:rStyle w:val="FootnoteReference"/>
          <w:rFonts w:ascii="Calibri" w:hAnsi="Calibri" w:cs="Calibri"/>
        </w:rPr>
        <w:footnoteReference w:id="46"/>
      </w:r>
      <w:r w:rsidRPr="004F244A">
        <w:rPr>
          <w:rFonts w:ascii="Calibri" w:hAnsi="Calibri" w:cs="Calibri"/>
        </w:rPr>
        <w:t xml:space="preserve"> Littlejohn suggests that heritage loss in Japan can be generative, as destruction and reconstruction allow cultural meanings to be reassembled rather than simply lost, meaning that changes to material form do not necessarily undermine cultural significance.</w:t>
      </w:r>
      <w:r w:rsidRPr="004F244A">
        <w:rPr>
          <w:rStyle w:val="FootnoteReference"/>
          <w:rFonts w:ascii="Calibri" w:hAnsi="Calibri" w:cs="Calibri"/>
        </w:rPr>
        <w:footnoteReference w:id="47"/>
      </w:r>
      <w:r w:rsidRPr="004F244A">
        <w:rPr>
          <w:rFonts w:ascii="Calibri" w:hAnsi="Calibri" w:cs="Calibri"/>
        </w:rPr>
        <w:t xml:space="preserve"> This aligns with broader theoretical arguments </w:t>
      </w:r>
      <w:r w:rsidR="00AC7674">
        <w:rPr>
          <w:rFonts w:ascii="Calibri" w:hAnsi="Calibri" w:cs="Calibri"/>
        </w:rPr>
        <w:t xml:space="preserve">made </w:t>
      </w:r>
      <w:r w:rsidRPr="004F244A">
        <w:rPr>
          <w:rFonts w:ascii="Calibri" w:hAnsi="Calibri" w:cs="Calibri"/>
        </w:rPr>
        <w:t xml:space="preserve">by Ashworth </w:t>
      </w:r>
      <w:r w:rsidR="00F42261">
        <w:rPr>
          <w:rFonts w:ascii="Calibri" w:hAnsi="Calibri" w:cs="Calibri"/>
        </w:rPr>
        <w:t>et al</w:t>
      </w:r>
      <w:r w:rsidRPr="004F244A">
        <w:rPr>
          <w:rFonts w:ascii="Calibri" w:hAnsi="Calibri" w:cs="Calibri"/>
        </w:rPr>
        <w:t>, who emphasise that heritage is plural and shaped by contemporary values rather than fixed historical realities.</w:t>
      </w:r>
      <w:r w:rsidRPr="004F244A">
        <w:rPr>
          <w:rStyle w:val="FootnoteReference"/>
          <w:rFonts w:ascii="Calibri" w:hAnsi="Calibri" w:cs="Calibri"/>
        </w:rPr>
        <w:footnoteReference w:id="48"/>
      </w:r>
    </w:p>
    <w:p w14:paraId="07C46702" w14:textId="3788FA69" w:rsidR="001C37A9" w:rsidRPr="004F244A" w:rsidRDefault="001C37A9" w:rsidP="001C37A9">
      <w:pPr>
        <w:ind w:firstLine="720"/>
        <w:rPr>
          <w:rFonts w:ascii="Calibri" w:hAnsi="Calibri" w:cs="Calibri"/>
        </w:rPr>
      </w:pPr>
      <w:r w:rsidRPr="004F244A">
        <w:rPr>
          <w:rFonts w:ascii="Calibri" w:hAnsi="Calibri" w:cs="Calibri"/>
        </w:rPr>
        <w:t>This ideology on heritage</w:t>
      </w:r>
      <w:r w:rsidR="00671CE8">
        <w:rPr>
          <w:rFonts w:ascii="Calibri" w:hAnsi="Calibri" w:cs="Calibri"/>
        </w:rPr>
        <w:t>,</w:t>
      </w:r>
      <w:r w:rsidRPr="004F244A">
        <w:rPr>
          <w:rFonts w:ascii="Calibri" w:hAnsi="Calibri" w:cs="Calibri"/>
        </w:rPr>
        <w:t xml:space="preserve"> impacts decision-making in disaster contexts. </w:t>
      </w:r>
      <w:r w:rsidR="00671CE8">
        <w:rPr>
          <w:rFonts w:ascii="Calibri" w:hAnsi="Calibri" w:cs="Calibri"/>
        </w:rPr>
        <w:t>Due to</w:t>
      </w:r>
      <w:r w:rsidRPr="004F244A">
        <w:rPr>
          <w:rFonts w:ascii="Calibri" w:hAnsi="Calibri" w:cs="Calibri"/>
        </w:rPr>
        <w:t xml:space="preserve"> heritage </w:t>
      </w:r>
      <w:r w:rsidR="00671CE8">
        <w:rPr>
          <w:rFonts w:ascii="Calibri" w:hAnsi="Calibri" w:cs="Calibri"/>
        </w:rPr>
        <w:t>being</w:t>
      </w:r>
      <w:r w:rsidRPr="004F244A">
        <w:rPr>
          <w:rFonts w:ascii="Calibri" w:hAnsi="Calibri" w:cs="Calibri"/>
        </w:rPr>
        <w:t xml:space="preserve"> understood as something that can be reconstructed, responses tend to prioritise the continuation of cultural practices and meanings rather than preserving original buildings and collections. Takakura’s work on disaster in Japan</w:t>
      </w:r>
      <w:r w:rsidR="00CB0587">
        <w:rPr>
          <w:rFonts w:ascii="Calibri" w:hAnsi="Calibri" w:cs="Calibri"/>
        </w:rPr>
        <w:t>,</w:t>
      </w:r>
      <w:r w:rsidRPr="004F244A">
        <w:rPr>
          <w:rFonts w:ascii="Calibri" w:hAnsi="Calibri" w:cs="Calibri"/>
        </w:rPr>
        <w:t xml:space="preserve"> demonstrates that cultural recovery often centres on maintaining community identity, particularly through the restoration of traditions and intangible heritage practices that persist even after physical destruction.</w:t>
      </w:r>
      <w:r w:rsidRPr="004F244A">
        <w:rPr>
          <w:rStyle w:val="FootnoteReference"/>
          <w:rFonts w:ascii="Calibri" w:hAnsi="Calibri" w:cs="Calibri"/>
        </w:rPr>
        <w:footnoteReference w:id="49"/>
      </w:r>
      <w:r w:rsidRPr="004F244A">
        <w:rPr>
          <w:rFonts w:ascii="Calibri" w:hAnsi="Calibri" w:cs="Calibri"/>
        </w:rPr>
        <w:t xml:space="preserve"> This is further supported by evidence from post</w:t>
      </w:r>
      <w:r w:rsidR="001D753F">
        <w:rPr>
          <w:rFonts w:ascii="Calibri" w:hAnsi="Calibri" w:cs="Calibri"/>
        </w:rPr>
        <w:t xml:space="preserve"> 2011 </w:t>
      </w:r>
      <w:r w:rsidR="00C476F5">
        <w:rPr>
          <w:rFonts w:ascii="Calibri" w:hAnsi="Calibri" w:cs="Calibri"/>
        </w:rPr>
        <w:t>Tohoku disaster</w:t>
      </w:r>
      <w:r w:rsidRPr="004F244A">
        <w:rPr>
          <w:rFonts w:ascii="Calibri" w:hAnsi="Calibri" w:cs="Calibri"/>
        </w:rPr>
        <w:t xml:space="preserve"> recovery, where community-led cultural initiatives played a central role in rebuilding social cohesion and identity, reinforcing the idea that heritage is embedded within everyday life rather than confined to physical structures.</w:t>
      </w:r>
      <w:r w:rsidRPr="004F244A">
        <w:rPr>
          <w:rStyle w:val="FootnoteReference"/>
          <w:rFonts w:ascii="Calibri" w:hAnsi="Calibri" w:cs="Calibri"/>
        </w:rPr>
        <w:footnoteReference w:id="50"/>
      </w:r>
    </w:p>
    <w:p w14:paraId="14B07386" w14:textId="4398FFC4" w:rsidR="001C37A9" w:rsidRPr="004F244A" w:rsidRDefault="001C37A9" w:rsidP="001C37A9">
      <w:pPr>
        <w:ind w:firstLine="720"/>
        <w:rPr>
          <w:rFonts w:ascii="Calibri" w:hAnsi="Calibri" w:cs="Calibri"/>
        </w:rPr>
      </w:pPr>
      <w:r w:rsidRPr="004F244A">
        <w:rPr>
          <w:rFonts w:ascii="Calibri" w:hAnsi="Calibri" w:cs="Calibri"/>
        </w:rPr>
        <w:t>Ultimately, th</w:t>
      </w:r>
      <w:r w:rsidR="00814C6E">
        <w:rPr>
          <w:rFonts w:ascii="Calibri" w:hAnsi="Calibri" w:cs="Calibri"/>
        </w:rPr>
        <w:t>ese ideas</w:t>
      </w:r>
      <w:r w:rsidRPr="004F244A">
        <w:rPr>
          <w:rFonts w:ascii="Calibri" w:hAnsi="Calibri" w:cs="Calibri"/>
        </w:rPr>
        <w:t xml:space="preserve"> reflec</w:t>
      </w:r>
      <w:r w:rsidR="00814C6E">
        <w:rPr>
          <w:rFonts w:ascii="Calibri" w:hAnsi="Calibri" w:cs="Calibri"/>
        </w:rPr>
        <w:t>t</w:t>
      </w:r>
      <w:r w:rsidRPr="004F244A">
        <w:rPr>
          <w:rFonts w:ascii="Calibri" w:hAnsi="Calibri" w:cs="Calibri"/>
        </w:rPr>
        <w:t xml:space="preserve"> a broader cultural logic in which heritage is inseparable from community identity and social continuity. As Morris suggests, resilience in heritage contexts depends not only on physical preservation but also on the ability of communities to sustain cultural meaning through adaptation and renewal.</w:t>
      </w:r>
      <w:r w:rsidRPr="004F244A">
        <w:rPr>
          <w:rStyle w:val="FootnoteReference"/>
          <w:rFonts w:ascii="Calibri" w:hAnsi="Calibri" w:cs="Calibri"/>
        </w:rPr>
        <w:footnoteReference w:id="51"/>
      </w:r>
      <w:r w:rsidRPr="004F244A">
        <w:rPr>
          <w:rFonts w:ascii="Calibri" w:hAnsi="Calibri" w:cs="Calibri"/>
        </w:rPr>
        <w:t xml:space="preserve"> In Japan, this </w:t>
      </w:r>
      <w:r w:rsidR="00B14669">
        <w:rPr>
          <w:rFonts w:ascii="Calibri" w:hAnsi="Calibri" w:cs="Calibri"/>
        </w:rPr>
        <w:t xml:space="preserve">has </w:t>
      </w:r>
      <w:r w:rsidRPr="004F244A">
        <w:rPr>
          <w:rFonts w:ascii="Calibri" w:hAnsi="Calibri" w:cs="Calibri"/>
        </w:rPr>
        <w:t>result</w:t>
      </w:r>
      <w:r w:rsidR="00B14669">
        <w:rPr>
          <w:rFonts w:ascii="Calibri" w:hAnsi="Calibri" w:cs="Calibri"/>
        </w:rPr>
        <w:t>ed</w:t>
      </w:r>
      <w:r w:rsidRPr="004F244A">
        <w:rPr>
          <w:rFonts w:ascii="Calibri" w:hAnsi="Calibri" w:cs="Calibri"/>
        </w:rPr>
        <w:t xml:space="preserve"> in decision-making processes that are more flexible and forward-looking, prioritising the survival of cultural identity over the preservation of original material forms. There is an </w:t>
      </w:r>
      <w:r w:rsidRPr="004F244A">
        <w:rPr>
          <w:rFonts w:ascii="Calibri" w:hAnsi="Calibri" w:cs="Calibri"/>
        </w:rPr>
        <w:lastRenderedPageBreak/>
        <w:t>understanding that there is no use in maintaining a building if the cultural identity around it no longer exists.</w:t>
      </w:r>
    </w:p>
    <w:p w14:paraId="0E891059" w14:textId="77777777" w:rsidR="00C476F5" w:rsidRDefault="001C37A9" w:rsidP="001C37A9">
      <w:pPr>
        <w:ind w:firstLine="720"/>
        <w:rPr>
          <w:rFonts w:ascii="Calibri" w:hAnsi="Calibri" w:cs="Calibri"/>
        </w:rPr>
      </w:pPr>
      <w:r w:rsidRPr="004F244A">
        <w:rPr>
          <w:rFonts w:ascii="Calibri" w:hAnsi="Calibri" w:cs="Calibri"/>
        </w:rPr>
        <w:t>In contrast to Japan, cultural understandings of heritage in the UK place a strong emphasis on authenticity and the preservation of original materials, which significantly shapes decision</w:t>
      </w:r>
      <w:r w:rsidRPr="004F244A">
        <w:rPr>
          <w:rFonts w:ascii="Calibri" w:hAnsi="Calibri" w:cs="Calibri"/>
        </w:rPr>
        <w:noBreakHyphen/>
        <w:t>making in disaster contexts. Heritage is often viewed as something that derives value from its material integrity, meaning that the original fabric of buildings, artefacts, and sites must be maintained wherever possible. Historic England's policy states that</w:t>
      </w:r>
      <w:r w:rsidR="00C476F5">
        <w:rPr>
          <w:rFonts w:ascii="Calibri" w:hAnsi="Calibri" w:cs="Calibri"/>
        </w:rPr>
        <w:t>:</w:t>
      </w:r>
      <w:r w:rsidRPr="004F244A">
        <w:rPr>
          <w:rFonts w:ascii="Calibri" w:hAnsi="Calibri" w:cs="Calibri"/>
        </w:rPr>
        <w:t xml:space="preserve"> </w:t>
      </w:r>
    </w:p>
    <w:p w14:paraId="42B8DBFE" w14:textId="4E3312CB" w:rsidR="00C476F5" w:rsidRDefault="00C476F5" w:rsidP="001C37A9">
      <w:pPr>
        <w:ind w:firstLine="720"/>
        <w:rPr>
          <w:rFonts w:ascii="Calibri" w:hAnsi="Calibri" w:cs="Calibri"/>
        </w:rPr>
      </w:pPr>
      <w:r>
        <w:rPr>
          <w:rFonts w:ascii="Calibri" w:hAnsi="Calibri" w:cs="Calibri"/>
        </w:rPr>
        <w:t>“R</w:t>
      </w:r>
      <w:r w:rsidR="001C37A9" w:rsidRPr="004F244A">
        <w:rPr>
          <w:rFonts w:ascii="Calibri" w:hAnsi="Calibri" w:cs="Calibri"/>
        </w:rPr>
        <w:t>etaining as much of the significant historic fabric and keeping changes to a minimum are of key importance when carrying out repair work to historic buildings</w:t>
      </w:r>
      <w:r>
        <w:rPr>
          <w:rFonts w:ascii="Calibri" w:hAnsi="Calibri" w:cs="Calibri"/>
        </w:rPr>
        <w:t>”</w:t>
      </w:r>
      <w:r w:rsidR="001C37A9" w:rsidRPr="004F244A">
        <w:rPr>
          <w:rFonts w:ascii="Calibri" w:hAnsi="Calibri" w:cs="Calibri"/>
        </w:rPr>
        <w:t>.</w:t>
      </w:r>
      <w:r w:rsidR="001C37A9" w:rsidRPr="004F244A">
        <w:rPr>
          <w:rStyle w:val="FootnoteReference"/>
          <w:rFonts w:ascii="Calibri" w:hAnsi="Calibri" w:cs="Calibri"/>
        </w:rPr>
        <w:footnoteReference w:id="52"/>
      </w:r>
      <w:r w:rsidR="001C37A9" w:rsidRPr="004F244A">
        <w:rPr>
          <w:rFonts w:ascii="Calibri" w:hAnsi="Calibri" w:cs="Calibri"/>
        </w:rPr>
        <w:t xml:space="preserve"> </w:t>
      </w:r>
    </w:p>
    <w:p w14:paraId="504C8D35" w14:textId="5486640B" w:rsidR="001C37A9" w:rsidRPr="004F244A" w:rsidRDefault="001C37A9" w:rsidP="00C476F5">
      <w:pPr>
        <w:rPr>
          <w:rFonts w:ascii="Calibri" w:hAnsi="Calibri" w:cs="Calibri"/>
        </w:rPr>
      </w:pPr>
      <w:r w:rsidRPr="004F244A">
        <w:rPr>
          <w:rFonts w:ascii="Calibri" w:hAnsi="Calibri" w:cs="Calibri"/>
        </w:rPr>
        <w:t>As a result, reconstruction can be controversial within the UK, as rebuilding a damaged structure may be seen to compromise its authenticity rather than preserve it. Ashwort</w:t>
      </w:r>
      <w:r w:rsidR="007F1BDC">
        <w:rPr>
          <w:rFonts w:ascii="Calibri" w:hAnsi="Calibri" w:cs="Calibri"/>
        </w:rPr>
        <w:t>h et al,</w:t>
      </w:r>
      <w:r w:rsidRPr="004F244A">
        <w:rPr>
          <w:rFonts w:ascii="Calibri" w:hAnsi="Calibri" w:cs="Calibri"/>
        </w:rPr>
        <w:t xml:space="preserve"> highlight that heritage is not neutral, </w:t>
      </w:r>
      <w:r w:rsidR="007F1BDC">
        <w:rPr>
          <w:rFonts w:ascii="Calibri" w:hAnsi="Calibri" w:cs="Calibri"/>
        </w:rPr>
        <w:t>however</w:t>
      </w:r>
      <w:r w:rsidRPr="004F244A">
        <w:rPr>
          <w:rFonts w:ascii="Calibri" w:hAnsi="Calibri" w:cs="Calibri"/>
        </w:rPr>
        <w:t xml:space="preserve"> shaped by competing values and interpretations, and in the UK context, this often results in tensions between conservation and change.</w:t>
      </w:r>
      <w:r w:rsidRPr="004F244A">
        <w:rPr>
          <w:rStyle w:val="FootnoteReference"/>
          <w:rFonts w:ascii="Calibri" w:hAnsi="Calibri" w:cs="Calibri"/>
        </w:rPr>
        <w:footnoteReference w:id="53"/>
      </w:r>
      <w:r w:rsidRPr="004F244A">
        <w:rPr>
          <w:rFonts w:ascii="Calibri" w:hAnsi="Calibri" w:cs="Calibri"/>
        </w:rPr>
        <w:t xml:space="preserve"> </w:t>
      </w:r>
    </w:p>
    <w:p w14:paraId="23D20691" w14:textId="3EFCF682" w:rsidR="001C37A9" w:rsidRPr="004F244A" w:rsidRDefault="00D23C98" w:rsidP="001C37A9">
      <w:pPr>
        <w:ind w:firstLine="720"/>
        <w:rPr>
          <w:rFonts w:ascii="Calibri" w:hAnsi="Calibri" w:cs="Calibri"/>
        </w:rPr>
      </w:pPr>
      <w:r>
        <w:rPr>
          <w:rFonts w:ascii="Calibri" w:hAnsi="Calibri" w:cs="Calibri"/>
        </w:rPr>
        <w:t>Typically, t</w:t>
      </w:r>
      <w:r w:rsidR="001C37A9" w:rsidRPr="004F244A">
        <w:rPr>
          <w:rFonts w:ascii="Calibri" w:hAnsi="Calibri" w:cs="Calibri"/>
        </w:rPr>
        <w:t>hese cultural values directly influence how disaster recovery is approached</w:t>
      </w:r>
      <w:r w:rsidR="00DB3E0A">
        <w:rPr>
          <w:rFonts w:ascii="Calibri" w:hAnsi="Calibri" w:cs="Calibri"/>
        </w:rPr>
        <w:t xml:space="preserve"> in the UK</w:t>
      </w:r>
      <w:r w:rsidR="001C37A9" w:rsidRPr="004F244A">
        <w:rPr>
          <w:rFonts w:ascii="Calibri" w:hAnsi="Calibri" w:cs="Calibri"/>
        </w:rPr>
        <w:t>. Rather than prioritising reconstruction, there is often a focus on conservation, stabilisation, and careful restoration of surviving material. This can slow down recovery processes and limit the extent to which damaged heritage can be rebuilt, as preserving authenticity is prioritised over rapid restoration.</w:t>
      </w:r>
      <w:r w:rsidR="001C37A9" w:rsidRPr="004F244A">
        <w:rPr>
          <w:rStyle w:val="FootnoteReference"/>
          <w:rFonts w:ascii="Calibri" w:hAnsi="Calibri" w:cs="Calibri"/>
        </w:rPr>
        <w:footnoteReference w:id="54"/>
      </w:r>
      <w:r w:rsidR="001C37A9" w:rsidRPr="004F244A">
        <w:rPr>
          <w:rFonts w:ascii="Calibri" w:hAnsi="Calibri" w:cs="Calibri"/>
        </w:rPr>
        <w:t xml:space="preserve"> For example, debates following heritage loss frequently centre on whether reconstruction is appropriate, reflecting a cultural reluctance to accept renewal as a form of preservation. Dawans' work on conservation notes that in Western contexts, rebuilding is often treated as a loss of authenticity rather than continuity.</w:t>
      </w:r>
      <w:r w:rsidR="001C37A9" w:rsidRPr="004F244A">
        <w:rPr>
          <w:rStyle w:val="FootnoteReference"/>
          <w:rFonts w:ascii="Calibri" w:hAnsi="Calibri" w:cs="Calibri"/>
        </w:rPr>
        <w:footnoteReference w:id="55"/>
      </w:r>
    </w:p>
    <w:p w14:paraId="4B52BA1F" w14:textId="5772E0C7" w:rsidR="001C37A9" w:rsidRPr="004F244A" w:rsidRDefault="001C37A9" w:rsidP="001C37A9">
      <w:pPr>
        <w:ind w:firstLine="720"/>
        <w:rPr>
          <w:rFonts w:ascii="Calibri" w:hAnsi="Calibri" w:cs="Calibri"/>
        </w:rPr>
      </w:pPr>
      <w:r w:rsidRPr="004F244A">
        <w:rPr>
          <w:rFonts w:ascii="Calibri" w:hAnsi="Calibri" w:cs="Calibri"/>
        </w:rPr>
        <w:t xml:space="preserve">Furthermore, heritage in the UK is typically managed by experts and institutions, such as Historic England and the National Trust, rather than being embedded in everyday community practice. This institutional </w:t>
      </w:r>
      <w:r w:rsidR="00B00D17">
        <w:rPr>
          <w:rFonts w:ascii="Calibri" w:hAnsi="Calibri" w:cs="Calibri"/>
        </w:rPr>
        <w:t xml:space="preserve">led </w:t>
      </w:r>
      <w:r w:rsidRPr="004F244A">
        <w:rPr>
          <w:rFonts w:ascii="Calibri" w:hAnsi="Calibri" w:cs="Calibri"/>
        </w:rPr>
        <w:t>approach reinforces a more formal, preservation-focused model of heritage management, where decisions are guided by professional standards and conservation principles. As highlighted by Smith and Waterton, resilience and decision</w:t>
      </w:r>
      <w:r w:rsidRPr="004F244A">
        <w:rPr>
          <w:rFonts w:ascii="Calibri" w:hAnsi="Calibri" w:cs="Calibri"/>
        </w:rPr>
        <w:noBreakHyphen/>
        <w:t>making are often mediated through institutional and expert-led frameworks, in which dominant “authorised” discourses shape practice and can limit direct community involvement in heritage management.</w:t>
      </w:r>
      <w:r w:rsidRPr="004F244A">
        <w:rPr>
          <w:rStyle w:val="FootnoteReference"/>
          <w:rFonts w:ascii="Calibri" w:hAnsi="Calibri" w:cs="Calibri"/>
        </w:rPr>
        <w:footnoteReference w:id="56"/>
      </w:r>
      <w:r w:rsidRPr="004F244A">
        <w:rPr>
          <w:rFonts w:ascii="Calibri" w:hAnsi="Calibri" w:cs="Calibri"/>
        </w:rPr>
        <w:t xml:space="preserve"> While this system ensures high levels of technical </w:t>
      </w:r>
      <w:r w:rsidRPr="004F244A">
        <w:rPr>
          <w:rFonts w:ascii="Calibri" w:hAnsi="Calibri" w:cs="Calibri"/>
        </w:rPr>
        <w:lastRenderedPageBreak/>
        <w:t>expertise, it can also contribute to slower and more cautious responses in disaster situations</w:t>
      </w:r>
      <w:r w:rsidR="006D0F7A">
        <w:rPr>
          <w:rFonts w:ascii="Calibri" w:hAnsi="Calibri" w:cs="Calibri"/>
        </w:rPr>
        <w:t xml:space="preserve"> in the UK</w:t>
      </w:r>
      <w:r w:rsidRPr="004F244A">
        <w:rPr>
          <w:rFonts w:ascii="Calibri" w:hAnsi="Calibri" w:cs="Calibri"/>
        </w:rPr>
        <w:t>.</w:t>
      </w:r>
    </w:p>
    <w:p w14:paraId="3FBB221C" w14:textId="2765199A" w:rsidR="001C37A9" w:rsidRPr="004F244A" w:rsidRDefault="001C37A9" w:rsidP="001C37A9">
      <w:pPr>
        <w:ind w:firstLine="720"/>
        <w:rPr>
          <w:rFonts w:ascii="Calibri" w:hAnsi="Calibri" w:cs="Calibri"/>
        </w:rPr>
      </w:pPr>
      <w:r w:rsidRPr="004F244A">
        <w:rPr>
          <w:rFonts w:ascii="Calibri" w:eastAsia="Times New Roman" w:hAnsi="Calibri" w:cs="Calibri"/>
          <w:kern w:val="0"/>
          <w:lang w:eastAsia="en-GB"/>
          <w14:ligatures w14:val="none"/>
        </w:rPr>
        <w:t xml:space="preserve">Overall, the comparison between Japan and the United Kingdom highlights how cultural values shape approaches to heritage disaster response. In Japan, heritage is understood as a living and renewable process, meaning that reconstruction is accepted as a means of maintaining continuity, even when original materials are lost. In contrast, the UK prioritises the preservation of original fabric, reflecting a cultural emphasis on authenticity and material integrity. </w:t>
      </w:r>
      <w:proofErr w:type="gramStart"/>
      <w:r w:rsidRPr="004F244A">
        <w:rPr>
          <w:rFonts w:ascii="Calibri" w:eastAsia="Times New Roman" w:hAnsi="Calibri" w:cs="Calibri"/>
          <w:kern w:val="0"/>
          <w:lang w:eastAsia="en-GB"/>
          <w14:ligatures w14:val="none"/>
        </w:rPr>
        <w:t xml:space="preserve">As a </w:t>
      </w:r>
      <w:r w:rsidR="00AE09D6">
        <w:rPr>
          <w:rFonts w:ascii="Calibri" w:eastAsia="Times New Roman" w:hAnsi="Calibri" w:cs="Calibri"/>
          <w:kern w:val="0"/>
          <w:lang w:eastAsia="en-GB"/>
          <w14:ligatures w14:val="none"/>
        </w:rPr>
        <w:t>consequence</w:t>
      </w:r>
      <w:proofErr w:type="gramEnd"/>
      <w:r w:rsidR="00AE09D6">
        <w:rPr>
          <w:rFonts w:ascii="Calibri" w:eastAsia="Times New Roman" w:hAnsi="Calibri" w:cs="Calibri"/>
          <w:kern w:val="0"/>
          <w:lang w:eastAsia="en-GB"/>
          <w14:ligatures w14:val="none"/>
        </w:rPr>
        <w:t>,</w:t>
      </w:r>
      <w:r w:rsidRPr="004F244A">
        <w:rPr>
          <w:rFonts w:ascii="Calibri" w:eastAsia="Times New Roman" w:hAnsi="Calibri" w:cs="Calibri"/>
          <w:kern w:val="0"/>
          <w:lang w:eastAsia="en-GB"/>
          <w14:ligatures w14:val="none"/>
        </w:rPr>
        <w:t xml:space="preserve"> reconstruction is often more controversial and less widely adopted. These differences demonstrate that cultural values play a decisive role in determining whether heritage is restored, rebuilt, or preserved following disasters, shaping both policy and practice.</w:t>
      </w:r>
    </w:p>
    <w:p w14:paraId="7335B842" w14:textId="6182AD4C" w:rsidR="005E2044" w:rsidRPr="00AA7DB5" w:rsidRDefault="005E2044" w:rsidP="005E2044">
      <w:pPr>
        <w:ind w:firstLine="720"/>
        <w:rPr>
          <w:rFonts w:ascii="Calibri" w:hAnsi="Calibri" w:cs="Calibri"/>
        </w:rPr>
      </w:pPr>
      <w:r w:rsidRPr="00AA7DB5">
        <w:rPr>
          <w:rFonts w:ascii="Calibri" w:hAnsi="Calibri" w:cs="Calibri"/>
        </w:rPr>
        <w:t>In conclusion, the comparison between the U</w:t>
      </w:r>
      <w:r>
        <w:rPr>
          <w:rFonts w:ascii="Calibri" w:hAnsi="Calibri" w:cs="Calibri"/>
        </w:rPr>
        <w:t>K</w:t>
      </w:r>
      <w:r w:rsidRPr="00AA7DB5">
        <w:rPr>
          <w:rFonts w:ascii="Calibri" w:hAnsi="Calibri" w:cs="Calibri"/>
        </w:rPr>
        <w:t xml:space="preserve"> and Japan</w:t>
      </w:r>
      <w:r w:rsidR="006B1D4C">
        <w:rPr>
          <w:rFonts w:ascii="Calibri" w:hAnsi="Calibri" w:cs="Calibri"/>
        </w:rPr>
        <w:t xml:space="preserve"> approaches to heritage risk</w:t>
      </w:r>
      <w:r w:rsidRPr="00AA7DB5">
        <w:rPr>
          <w:rFonts w:ascii="Calibri" w:hAnsi="Calibri" w:cs="Calibri"/>
        </w:rPr>
        <w:t xml:space="preserve"> demonstrates that differences in heritage disaster response are shaped by a combination of risk exposure, institutional structures, preparedness levels, and, most significantly, cultural values. Japan’s high exposure to natural hazards has driven the development of integrated and highly coordinated institutional frameworks, supported by advanced preparedness systems and regular planning for disaster scenarios. In contrast, the UK’s relatively lower exposure has contributed to a more fragmented and reactive approach, with less systematic integration of heritage into broader disaster risk reduction strategies.</w:t>
      </w:r>
      <w:r>
        <w:rPr>
          <w:rFonts w:ascii="Calibri" w:hAnsi="Calibri" w:cs="Calibri"/>
        </w:rPr>
        <w:t xml:space="preserve"> </w:t>
      </w:r>
      <w:r w:rsidRPr="00AA7DB5">
        <w:rPr>
          <w:rFonts w:ascii="Calibri" w:hAnsi="Calibri" w:cs="Calibri"/>
        </w:rPr>
        <w:t>Both nations engage with the key phases of disaster risk reduction—preparedness, response, and recovery—but differ significantly in how these are prioritised and implemented.</w:t>
      </w:r>
    </w:p>
    <w:p w14:paraId="6EEAB608" w14:textId="7F6AE198" w:rsidR="005E2044" w:rsidRPr="00AA7DB5" w:rsidRDefault="005E2044" w:rsidP="005E2044">
      <w:pPr>
        <w:ind w:firstLine="720"/>
        <w:rPr>
          <w:rFonts w:ascii="Calibri" w:hAnsi="Calibri" w:cs="Calibri"/>
        </w:rPr>
      </w:pPr>
      <w:r w:rsidRPr="00AA7DB5">
        <w:rPr>
          <w:rFonts w:ascii="Calibri" w:hAnsi="Calibri" w:cs="Calibri"/>
        </w:rPr>
        <w:t xml:space="preserve">However, while these structural factors are important, it is cultural understanding that ultimately determines how heritage is valued and managed following </w:t>
      </w:r>
      <w:r>
        <w:rPr>
          <w:rFonts w:ascii="Calibri" w:hAnsi="Calibri" w:cs="Calibri"/>
        </w:rPr>
        <w:t xml:space="preserve">a </w:t>
      </w:r>
      <w:r w:rsidRPr="00AA7DB5">
        <w:rPr>
          <w:rFonts w:ascii="Calibri" w:hAnsi="Calibri" w:cs="Calibri"/>
        </w:rPr>
        <w:t xml:space="preserve">disaster. In Japan, heritage is conceptualised as a living and renewable process, allowing reconstruction to function as a legitimate means of maintaining cultural continuity. This underpins a proactive and flexible response, where the survival of cultural identity takes precedence over the preservation of original material fabric. </w:t>
      </w:r>
      <w:r w:rsidR="005A5B3E">
        <w:rPr>
          <w:rFonts w:ascii="Calibri" w:hAnsi="Calibri" w:cs="Calibri"/>
        </w:rPr>
        <w:t>In</w:t>
      </w:r>
      <w:r w:rsidRPr="00AA7DB5">
        <w:rPr>
          <w:rFonts w:ascii="Calibri" w:hAnsi="Calibri" w:cs="Calibri"/>
        </w:rPr>
        <w:t xml:space="preserve"> contrast, the UK prioritises authenticity and the retention of original materials, reflecting a more material-focused understanding of heritage. As a result, recovery efforts </w:t>
      </w:r>
      <w:r w:rsidR="002D3EC3">
        <w:rPr>
          <w:rFonts w:ascii="Calibri" w:hAnsi="Calibri" w:cs="Calibri"/>
        </w:rPr>
        <w:t xml:space="preserve">in the UK, </w:t>
      </w:r>
      <w:r w:rsidRPr="00AA7DB5">
        <w:rPr>
          <w:rFonts w:ascii="Calibri" w:hAnsi="Calibri" w:cs="Calibri"/>
        </w:rPr>
        <w:t xml:space="preserve">emphasise conservation and minimal intervention, which can limit reconstruction and lead to slower, more cautious responses. These differences reveal that national approaches to heritage disaster response are not simply </w:t>
      </w:r>
      <w:proofErr w:type="gramStart"/>
      <w:r w:rsidRPr="00AA7DB5">
        <w:rPr>
          <w:rFonts w:ascii="Calibri" w:hAnsi="Calibri" w:cs="Calibri"/>
        </w:rPr>
        <w:t>technical, but</w:t>
      </w:r>
      <w:proofErr w:type="gramEnd"/>
      <w:r w:rsidR="00FC4676">
        <w:rPr>
          <w:rFonts w:ascii="Calibri" w:hAnsi="Calibri" w:cs="Calibri"/>
        </w:rPr>
        <w:t xml:space="preserve"> are</w:t>
      </w:r>
      <w:r w:rsidRPr="00AA7DB5">
        <w:rPr>
          <w:rFonts w:ascii="Calibri" w:hAnsi="Calibri" w:cs="Calibri"/>
        </w:rPr>
        <w:t xml:space="preserve"> deeply rooted in culturally embedded ideas about what heritage is and why it matters.</w:t>
      </w:r>
    </w:p>
    <w:p w14:paraId="3D564D10" w14:textId="484396EC" w:rsidR="005E2044" w:rsidRPr="00AA7DB5" w:rsidRDefault="005E2044" w:rsidP="005E2044">
      <w:pPr>
        <w:ind w:firstLine="720"/>
        <w:rPr>
          <w:rFonts w:ascii="Calibri" w:hAnsi="Calibri" w:cs="Calibri"/>
        </w:rPr>
      </w:pPr>
      <w:r w:rsidRPr="00AA7DB5">
        <w:rPr>
          <w:rFonts w:ascii="Calibri" w:hAnsi="Calibri" w:cs="Calibri"/>
        </w:rPr>
        <w:t xml:space="preserve">This comparison </w:t>
      </w:r>
      <w:r w:rsidR="00FC4676">
        <w:rPr>
          <w:rFonts w:ascii="Calibri" w:hAnsi="Calibri" w:cs="Calibri"/>
        </w:rPr>
        <w:t>has</w:t>
      </w:r>
      <w:r w:rsidRPr="00AA7DB5">
        <w:rPr>
          <w:rFonts w:ascii="Calibri" w:hAnsi="Calibri" w:cs="Calibri"/>
        </w:rPr>
        <w:t xml:space="preserve"> highlight</w:t>
      </w:r>
      <w:r w:rsidR="00FC4676">
        <w:rPr>
          <w:rFonts w:ascii="Calibri" w:hAnsi="Calibri" w:cs="Calibri"/>
        </w:rPr>
        <w:t>ed</w:t>
      </w:r>
      <w:r w:rsidRPr="00AA7DB5">
        <w:rPr>
          <w:rFonts w:ascii="Calibri" w:hAnsi="Calibri" w:cs="Calibri"/>
        </w:rPr>
        <w:t xml:space="preserve"> important areas for critical reflection. </w:t>
      </w:r>
      <w:r w:rsidR="00FC4676">
        <w:rPr>
          <w:rFonts w:ascii="Calibri" w:hAnsi="Calibri" w:cs="Calibri"/>
        </w:rPr>
        <w:t>For example, t</w:t>
      </w:r>
      <w:r w:rsidRPr="00AA7DB5">
        <w:rPr>
          <w:rFonts w:ascii="Calibri" w:hAnsi="Calibri" w:cs="Calibri"/>
        </w:rPr>
        <w:t xml:space="preserve">he UK could benefit from adopting aspects of Japan’s more integrated and forward-planning approach, particularly through stronger coordination between heritage and disaster management sectors, and greater investment in preparedness strategies. Additionally, a more flexible understanding of authenticity could allow for adaptive responses that better support community recovery and cultural continuity after </w:t>
      </w:r>
      <w:r>
        <w:rPr>
          <w:rFonts w:ascii="Calibri" w:hAnsi="Calibri" w:cs="Calibri"/>
        </w:rPr>
        <w:t xml:space="preserve">a </w:t>
      </w:r>
      <w:r w:rsidRPr="00AA7DB5">
        <w:rPr>
          <w:rFonts w:ascii="Calibri" w:hAnsi="Calibri" w:cs="Calibri"/>
        </w:rPr>
        <w:t>disaster.</w:t>
      </w:r>
    </w:p>
    <w:p w14:paraId="32D737E7" w14:textId="665270B8" w:rsidR="005E2044" w:rsidRPr="00AA7DB5" w:rsidRDefault="005E2044" w:rsidP="005E2044">
      <w:pPr>
        <w:ind w:firstLine="720"/>
        <w:rPr>
          <w:rFonts w:ascii="Calibri" w:hAnsi="Calibri" w:cs="Calibri"/>
        </w:rPr>
      </w:pPr>
      <w:r w:rsidRPr="00AA7DB5">
        <w:rPr>
          <w:rFonts w:ascii="Calibri" w:hAnsi="Calibri" w:cs="Calibri"/>
        </w:rPr>
        <w:lastRenderedPageBreak/>
        <w:t>Ultimately, as climate change and environmental risks intensify globally, heritage disaster response</w:t>
      </w:r>
      <w:r w:rsidR="00444082">
        <w:rPr>
          <w:rFonts w:ascii="Calibri" w:hAnsi="Calibri" w:cs="Calibri"/>
        </w:rPr>
        <w:t>s</w:t>
      </w:r>
      <w:r w:rsidRPr="00AA7DB5">
        <w:rPr>
          <w:rFonts w:ascii="Calibri" w:hAnsi="Calibri" w:cs="Calibri"/>
        </w:rPr>
        <w:t xml:space="preserve"> will become an increasingly urgent challenge. The contrast between Japan and the UK illustrates that resilience depends not only on infrastructure and policy, but on how </w:t>
      </w:r>
      <w:r w:rsidR="00871515">
        <w:rPr>
          <w:rFonts w:ascii="Calibri" w:hAnsi="Calibri" w:cs="Calibri"/>
        </w:rPr>
        <w:t xml:space="preserve">different </w:t>
      </w:r>
      <w:r w:rsidRPr="00AA7DB5">
        <w:rPr>
          <w:rFonts w:ascii="Calibri" w:hAnsi="Calibri" w:cs="Calibri"/>
        </w:rPr>
        <w:t>societies conceptualise heritage itself. Recognising and learning from these differing approaches will be essential in developing more effective, inclusive, and sustainable strategies for protecting cultural heritage in an era of growing uncertainty</w:t>
      </w:r>
      <w:r w:rsidR="00871515">
        <w:rPr>
          <w:rFonts w:ascii="Calibri" w:hAnsi="Calibri" w:cs="Calibri"/>
        </w:rPr>
        <w:t xml:space="preserve"> across the globe</w:t>
      </w:r>
      <w:r w:rsidRPr="00AA7DB5">
        <w:rPr>
          <w:rFonts w:ascii="Calibri" w:hAnsi="Calibri" w:cs="Calibri"/>
        </w:rPr>
        <w:t>.</w:t>
      </w:r>
    </w:p>
    <w:p w14:paraId="1A759101" w14:textId="091866C4" w:rsidR="008A1C5E" w:rsidRPr="00F9276C" w:rsidRDefault="008A1C5E" w:rsidP="008A1C5E"/>
    <w:p w14:paraId="070ED028" w14:textId="77777777" w:rsidR="00586C94" w:rsidRPr="00586C94" w:rsidRDefault="00586C94" w:rsidP="00586C94"/>
    <w:p w14:paraId="37F3A67E" w14:textId="77777777" w:rsidR="003F5657" w:rsidRDefault="003F5657"/>
    <w:p w14:paraId="2843A8F9" w14:textId="77777777" w:rsidR="009D70A8" w:rsidRDefault="009D70A8"/>
    <w:p w14:paraId="555E4EAC" w14:textId="77777777" w:rsidR="009D70A8" w:rsidRDefault="009D70A8"/>
    <w:p w14:paraId="0B324EF5" w14:textId="77777777" w:rsidR="009D70A8" w:rsidRDefault="009D70A8"/>
    <w:p w14:paraId="6296CAFE" w14:textId="77777777" w:rsidR="009D70A8" w:rsidRDefault="009D70A8"/>
    <w:p w14:paraId="6C9F54A1" w14:textId="77777777" w:rsidR="00C476F5" w:rsidRDefault="00C476F5"/>
    <w:p w14:paraId="0F7877F3" w14:textId="77777777" w:rsidR="00C476F5" w:rsidRDefault="00C476F5"/>
    <w:p w14:paraId="250D524C" w14:textId="77777777" w:rsidR="00C476F5" w:rsidRDefault="00C476F5"/>
    <w:p w14:paraId="21BB34D9" w14:textId="77777777" w:rsidR="00C476F5" w:rsidRDefault="00C476F5"/>
    <w:p w14:paraId="2F18EA28" w14:textId="77777777" w:rsidR="00C476F5" w:rsidRDefault="00C476F5"/>
    <w:p w14:paraId="2F78412A" w14:textId="77777777" w:rsidR="00C476F5" w:rsidRDefault="00C476F5"/>
    <w:p w14:paraId="515BD3C0" w14:textId="77777777" w:rsidR="00C476F5" w:rsidRDefault="00C476F5"/>
    <w:p w14:paraId="3FF83DD0" w14:textId="77777777" w:rsidR="00C476F5" w:rsidRDefault="00C476F5"/>
    <w:p w14:paraId="033F28D0" w14:textId="77777777" w:rsidR="00C476F5" w:rsidRDefault="00C476F5"/>
    <w:p w14:paraId="0084AFD7" w14:textId="77777777" w:rsidR="00C476F5" w:rsidRDefault="00C476F5"/>
    <w:p w14:paraId="129D387B" w14:textId="77777777" w:rsidR="00C476F5" w:rsidRDefault="00C476F5"/>
    <w:p w14:paraId="0B2914BA" w14:textId="77777777" w:rsidR="00C476F5" w:rsidRDefault="00C476F5"/>
    <w:p w14:paraId="02213358" w14:textId="77777777" w:rsidR="00C476F5" w:rsidRDefault="00C476F5"/>
    <w:p w14:paraId="087097C3" w14:textId="77777777" w:rsidR="00C476F5" w:rsidRDefault="00C476F5"/>
    <w:p w14:paraId="1C59D34C" w14:textId="77777777" w:rsidR="00C476F5" w:rsidRDefault="00C476F5"/>
    <w:p w14:paraId="08906C42" w14:textId="77777777" w:rsidR="00C476F5" w:rsidRDefault="00C476F5"/>
    <w:p w14:paraId="7A0935CF" w14:textId="79557F47" w:rsidR="009D70A8" w:rsidRPr="009D70A8" w:rsidRDefault="009D70A8">
      <w:pPr>
        <w:rPr>
          <w:b/>
          <w:bCs/>
        </w:rPr>
      </w:pPr>
      <w:r w:rsidRPr="009D70A8">
        <w:rPr>
          <w:b/>
          <w:bCs/>
        </w:rPr>
        <w:lastRenderedPageBreak/>
        <w:t>Bibliography</w:t>
      </w:r>
    </w:p>
    <w:p w14:paraId="04B8E7C4" w14:textId="6C3F6D67" w:rsidR="000E6C84" w:rsidRPr="000E6C84" w:rsidRDefault="000E6C84" w:rsidP="000E6C84">
      <w:pPr>
        <w:pStyle w:val="ListParagraph"/>
        <w:numPr>
          <w:ilvl w:val="0"/>
          <w:numId w:val="4"/>
        </w:numPr>
        <w:spacing w:after="0" w:line="240" w:lineRule="auto"/>
        <w:rPr>
          <w:rFonts w:ascii="Calibri" w:eastAsia="Times New Roman" w:hAnsi="Calibri" w:cs="Calibri"/>
          <w:kern w:val="0"/>
          <w:lang w:eastAsia="en-GB"/>
          <w14:ligatures w14:val="none"/>
        </w:rPr>
      </w:pPr>
      <w:r w:rsidRPr="000E6C84">
        <w:rPr>
          <w:rFonts w:ascii="Calibri" w:eastAsia="Times New Roman" w:hAnsi="Calibri" w:cs="Calibri"/>
          <w:kern w:val="0"/>
          <w:lang w:eastAsia="en-GB"/>
          <w14:ligatures w14:val="none"/>
        </w:rPr>
        <w:t>Adams</w:t>
      </w:r>
      <w:r>
        <w:rPr>
          <w:rFonts w:ascii="Calibri" w:eastAsia="Times New Roman" w:hAnsi="Calibri" w:cs="Calibri"/>
          <w:kern w:val="0"/>
          <w:lang w:eastAsia="en-GB"/>
          <w14:ligatures w14:val="none"/>
        </w:rPr>
        <w:t>,</w:t>
      </w:r>
      <w:r w:rsidRPr="000E6C84">
        <w:rPr>
          <w:rFonts w:ascii="Calibri" w:eastAsia="Times New Roman" w:hAnsi="Calibri" w:cs="Calibri"/>
          <w:kern w:val="0"/>
          <w:lang w:eastAsia="en-GB"/>
          <w14:ligatures w14:val="none"/>
        </w:rPr>
        <w:t xml:space="preserve"> </w:t>
      </w:r>
      <w:r w:rsidRPr="000E6C84">
        <w:rPr>
          <w:rFonts w:ascii="Calibri" w:eastAsia="Times New Roman" w:hAnsi="Calibri" w:cs="Calibri"/>
          <w:kern w:val="0"/>
          <w:lang w:eastAsia="en-GB"/>
          <w14:ligatures w14:val="none"/>
        </w:rPr>
        <w:t xml:space="preserve">Cassandra, ‘Japan’s Ise Shrine and Its Thirteen-Hundred-Year-Old Reconstruction Tradition’, </w:t>
      </w:r>
      <w:r w:rsidRPr="000E6C84">
        <w:rPr>
          <w:rFonts w:ascii="Calibri" w:eastAsia="Times New Roman" w:hAnsi="Calibri" w:cs="Calibri"/>
          <w:i/>
          <w:iCs/>
          <w:kern w:val="0"/>
          <w:lang w:eastAsia="en-GB"/>
          <w14:ligatures w14:val="none"/>
        </w:rPr>
        <w:t>Journal of Architectural Education,</w:t>
      </w:r>
      <w:r w:rsidRPr="000E6C84">
        <w:rPr>
          <w:rFonts w:ascii="Calibri" w:eastAsia="Times New Roman" w:hAnsi="Calibri" w:cs="Calibri"/>
          <w:kern w:val="0"/>
          <w:lang w:eastAsia="en-GB"/>
          <w14:ligatures w14:val="none"/>
        </w:rPr>
        <w:t xml:space="preserve"> 52.1 (1998), pp. 49–60.</w:t>
      </w:r>
    </w:p>
    <w:p w14:paraId="2F332122" w14:textId="6CFEC42D" w:rsidR="009D70A8" w:rsidRPr="00D356FB" w:rsidRDefault="009D70A8" w:rsidP="009D70A8">
      <w:pPr>
        <w:pStyle w:val="NoSpacing"/>
        <w:numPr>
          <w:ilvl w:val="0"/>
          <w:numId w:val="4"/>
        </w:numPr>
      </w:pPr>
      <w:r w:rsidRPr="00D356FB">
        <w:t xml:space="preserve">Agency for Cultural Affairs, </w:t>
      </w:r>
      <w:r w:rsidRPr="00D356FB">
        <w:rPr>
          <w:i/>
          <w:iCs/>
        </w:rPr>
        <w:t>Cultural Heritage Disaster Response Guidelines</w:t>
      </w:r>
      <w:r w:rsidRPr="00D356FB">
        <w:t xml:space="preserve"> &lt;</w:t>
      </w:r>
      <w:hyperlink r:id="rId8" w:history="1">
        <w:r w:rsidRPr="00D356FB">
          <w:rPr>
            <w:rStyle w:val="Hyperlink"/>
            <w:rFonts w:ascii="Calibri" w:hAnsi="Calibri" w:cs="Calibri"/>
          </w:rPr>
          <w:t>https://ch-drm.nich.go.jp/english/disaster-response/</w:t>
        </w:r>
      </w:hyperlink>
      <w:r w:rsidRPr="00D356FB">
        <w:t xml:space="preserve"> &gt;[accessed 01/06/2026].</w:t>
      </w:r>
    </w:p>
    <w:p w14:paraId="578AF14A" w14:textId="77777777" w:rsidR="009D70A8" w:rsidRPr="00D356FB" w:rsidRDefault="009D70A8" w:rsidP="009D70A8">
      <w:pPr>
        <w:pStyle w:val="NoSpacing"/>
        <w:numPr>
          <w:ilvl w:val="0"/>
          <w:numId w:val="4"/>
        </w:numPr>
        <w:rPr>
          <w:b/>
          <w:bCs/>
        </w:rPr>
      </w:pPr>
      <w:r w:rsidRPr="00D356FB">
        <w:t xml:space="preserve">Ashworth, Gregory et al, </w:t>
      </w:r>
      <w:r w:rsidRPr="00D356FB">
        <w:rPr>
          <w:i/>
          <w:iCs/>
        </w:rPr>
        <w:t xml:space="preserve">Pluralising Pasts: Heritage, Identity and Place in Multicultural Societies </w:t>
      </w:r>
      <w:r w:rsidRPr="00D356FB">
        <w:t>(London: Pluto Press, 2019).</w:t>
      </w:r>
    </w:p>
    <w:p w14:paraId="085778DB" w14:textId="77777777" w:rsidR="009D70A8" w:rsidRPr="00D356FB" w:rsidRDefault="009D70A8" w:rsidP="009D70A8">
      <w:pPr>
        <w:pStyle w:val="NoSpacing"/>
        <w:numPr>
          <w:ilvl w:val="0"/>
          <w:numId w:val="4"/>
        </w:numPr>
      </w:pPr>
      <w:r w:rsidRPr="00D356FB">
        <w:t>BBC News, ‘Japan earthquake: Tsunami hits north</w:t>
      </w:r>
      <w:r w:rsidRPr="00D356FB">
        <w:noBreakHyphen/>
        <w:t xml:space="preserve">east’, 11 March 2011, </w:t>
      </w:r>
      <w:hyperlink r:id="rId9" w:history="1">
        <w:r w:rsidRPr="00D356FB">
          <w:rPr>
            <w:rStyle w:val="Hyperlink"/>
            <w:rFonts w:ascii="Calibri" w:hAnsi="Calibri" w:cs="Calibri"/>
          </w:rPr>
          <w:t>https://www.bbc.co.uk/news/world-asia-pacific-12709598</w:t>
        </w:r>
      </w:hyperlink>
      <w:r w:rsidRPr="00D356FB">
        <w:t xml:space="preserve"> [accessed 01/06/2026].</w:t>
      </w:r>
    </w:p>
    <w:p w14:paraId="1EC41C4A" w14:textId="77777777" w:rsidR="009D70A8" w:rsidRPr="00D356FB" w:rsidRDefault="009D70A8" w:rsidP="009D70A8">
      <w:pPr>
        <w:pStyle w:val="NoSpacing"/>
        <w:numPr>
          <w:ilvl w:val="0"/>
          <w:numId w:val="4"/>
        </w:numPr>
      </w:pPr>
      <w:r w:rsidRPr="00D356FB">
        <w:t xml:space="preserve">British Red Cross, </w:t>
      </w:r>
      <w:r w:rsidRPr="00D356FB">
        <w:rPr>
          <w:i/>
          <w:iCs/>
        </w:rPr>
        <w:t>Water’s Edge: UK Flooding Research Report</w:t>
      </w:r>
      <w:r w:rsidRPr="00D356FB">
        <w:t>, 2026.</w:t>
      </w:r>
    </w:p>
    <w:p w14:paraId="647DF53C" w14:textId="77777777" w:rsidR="009D70A8" w:rsidRPr="00D356FB" w:rsidRDefault="009D70A8" w:rsidP="009D70A8">
      <w:pPr>
        <w:pStyle w:val="NoSpacing"/>
        <w:numPr>
          <w:ilvl w:val="0"/>
          <w:numId w:val="4"/>
        </w:numPr>
      </w:pPr>
      <w:r w:rsidRPr="00D356FB">
        <w:t xml:space="preserve">CADW, </w:t>
      </w:r>
      <w:r w:rsidRPr="00D356FB">
        <w:rPr>
          <w:i/>
          <w:iCs/>
        </w:rPr>
        <w:t>Listed Buildings at Risk</w:t>
      </w:r>
      <w:r w:rsidRPr="00D356FB">
        <w:t xml:space="preserve"> &lt;</w:t>
      </w:r>
      <w:hyperlink r:id="rId10" w:anchor="section-managing-listed-buildings-at-risk" w:history="1">
        <w:r w:rsidRPr="00D356FB">
          <w:rPr>
            <w:rStyle w:val="Hyperlink"/>
            <w:rFonts w:ascii="Calibri" w:hAnsi="Calibri" w:cs="Calibri"/>
          </w:rPr>
          <w:t xml:space="preserve">Listed buildings at risk | </w:t>
        </w:r>
        <w:proofErr w:type="spellStart"/>
        <w:r w:rsidRPr="00D356FB">
          <w:rPr>
            <w:rStyle w:val="Hyperlink"/>
            <w:rFonts w:ascii="Calibri" w:hAnsi="Calibri" w:cs="Calibri"/>
          </w:rPr>
          <w:t>Cadw</w:t>
        </w:r>
        <w:proofErr w:type="spellEnd"/>
      </w:hyperlink>
      <w:r w:rsidRPr="00D356FB">
        <w:t>&gt; [accessed 01/06/2026].</w:t>
      </w:r>
    </w:p>
    <w:p w14:paraId="4F35DB08" w14:textId="77777777" w:rsidR="009D70A8" w:rsidRPr="00D356FB" w:rsidRDefault="009D70A8" w:rsidP="009D70A8">
      <w:pPr>
        <w:pStyle w:val="NoSpacing"/>
        <w:numPr>
          <w:ilvl w:val="0"/>
          <w:numId w:val="4"/>
        </w:numPr>
      </w:pPr>
      <w:r w:rsidRPr="00D356FB">
        <w:t xml:space="preserve">Current Archaeology, </w:t>
      </w:r>
      <w:r w:rsidRPr="00D356FB">
        <w:rPr>
          <w:i/>
          <w:iCs/>
        </w:rPr>
        <w:t>Historic England Emergency Response Fund,</w:t>
      </w:r>
      <w:r w:rsidRPr="00D356FB">
        <w:t xml:space="preserve"> 2020 </w:t>
      </w:r>
      <w:hyperlink r:id="rId11" w:history="1">
        <w:r w:rsidRPr="00D356FB">
          <w:rPr>
            <w:rStyle w:val="Hyperlink"/>
            <w:rFonts w:ascii="Calibri" w:hAnsi="Calibri" w:cs="Calibri"/>
          </w:rPr>
          <w:t>https://archaeology.co.uk/articles/news/historic-england-emergency-response-funds.htm</w:t>
        </w:r>
      </w:hyperlink>
      <w:r w:rsidRPr="00D356FB">
        <w:t xml:space="preserve"> [accessed 01/06/2026].</w:t>
      </w:r>
    </w:p>
    <w:p w14:paraId="6020B2BF" w14:textId="77777777" w:rsidR="009D70A8" w:rsidRPr="00D356FB" w:rsidRDefault="009D70A8" w:rsidP="009D70A8">
      <w:pPr>
        <w:pStyle w:val="NoSpacing"/>
        <w:numPr>
          <w:ilvl w:val="0"/>
          <w:numId w:val="4"/>
        </w:numPr>
        <w:rPr>
          <w:rFonts w:eastAsia="Times New Roman"/>
          <w:kern w:val="0"/>
          <w:lang w:eastAsia="en-GB"/>
          <w14:ligatures w14:val="none"/>
        </w:rPr>
      </w:pPr>
      <w:r w:rsidRPr="00D356FB">
        <w:rPr>
          <w:rFonts w:eastAsia="Times New Roman"/>
          <w:kern w:val="0"/>
          <w:lang w:eastAsia="en-GB"/>
          <w14:ligatures w14:val="none"/>
        </w:rPr>
        <w:t xml:space="preserve">Dawans, Stéphane, ‘Identical Reconstruction and Heritage Authenticity’, </w:t>
      </w:r>
      <w:r w:rsidRPr="00D356FB">
        <w:rPr>
          <w:rFonts w:eastAsia="Times New Roman"/>
          <w:i/>
          <w:iCs/>
          <w:kern w:val="0"/>
          <w:lang w:eastAsia="en-GB"/>
          <w14:ligatures w14:val="none"/>
        </w:rPr>
        <w:t xml:space="preserve">IX International Forum Le Vie </w:t>
      </w:r>
      <w:proofErr w:type="spellStart"/>
      <w:r w:rsidRPr="00D356FB">
        <w:rPr>
          <w:rFonts w:eastAsia="Times New Roman"/>
          <w:i/>
          <w:iCs/>
          <w:kern w:val="0"/>
          <w:lang w:eastAsia="en-GB"/>
          <w14:ligatures w14:val="none"/>
        </w:rPr>
        <w:t>dei</w:t>
      </w:r>
      <w:proofErr w:type="spellEnd"/>
      <w:r w:rsidRPr="00D356FB">
        <w:rPr>
          <w:rFonts w:eastAsia="Times New Roman"/>
          <w:i/>
          <w:iCs/>
          <w:kern w:val="0"/>
          <w:lang w:eastAsia="en-GB"/>
          <w14:ligatures w14:val="none"/>
        </w:rPr>
        <w:t xml:space="preserve"> Mercanti Aversa</w:t>
      </w:r>
      <w:r w:rsidRPr="00D356FB">
        <w:rPr>
          <w:rFonts w:eastAsia="Times New Roman"/>
          <w:kern w:val="0"/>
          <w:lang w:eastAsia="en-GB"/>
          <w14:ligatures w14:val="none"/>
        </w:rPr>
        <w:t>, Capri 9-10-11, 2011, &lt;</w:t>
      </w:r>
      <w:r w:rsidRPr="00D356FB">
        <w:t xml:space="preserve"> </w:t>
      </w:r>
      <w:hyperlink r:id="rId12" w:history="1">
        <w:r w:rsidRPr="00D356FB">
          <w:rPr>
            <w:rStyle w:val="Hyperlink"/>
            <w:rFonts w:ascii="Calibri" w:eastAsia="Times New Roman" w:hAnsi="Calibri" w:cs="Calibri"/>
            <w:kern w:val="0"/>
            <w:lang w:eastAsia="en-GB"/>
            <w14:ligatures w14:val="none"/>
          </w:rPr>
          <w:t>(99+) Identical Reconstruction and Heritage Authenticity</w:t>
        </w:r>
      </w:hyperlink>
      <w:r w:rsidRPr="00D356FB">
        <w:rPr>
          <w:rFonts w:eastAsia="Times New Roman"/>
          <w:kern w:val="0"/>
          <w:lang w:eastAsia="en-GB"/>
          <w14:ligatures w14:val="none"/>
        </w:rPr>
        <w:t>&gt; [accessed 01/06/2026].</w:t>
      </w:r>
    </w:p>
    <w:p w14:paraId="6176385B" w14:textId="77777777" w:rsidR="009D70A8" w:rsidRPr="00D356FB" w:rsidRDefault="009D70A8" w:rsidP="009D70A8">
      <w:pPr>
        <w:pStyle w:val="NoSpacing"/>
        <w:numPr>
          <w:ilvl w:val="0"/>
          <w:numId w:val="4"/>
        </w:numPr>
      </w:pPr>
      <w:r w:rsidRPr="00D356FB">
        <w:t xml:space="preserve">Goto, Tomomi, </w:t>
      </w:r>
      <w:r w:rsidRPr="00D356FB">
        <w:rPr>
          <w:i/>
          <w:iCs/>
        </w:rPr>
        <w:t>Disaster Risk Assessment and Prevention for Intangible Heritage</w:t>
      </w:r>
      <w:r w:rsidRPr="00D356FB">
        <w:t>,  2024, &lt;</w:t>
      </w:r>
      <w:hyperlink r:id="rId13" w:history="1">
        <w:r w:rsidRPr="00D356FB">
          <w:rPr>
            <w:rStyle w:val="Hyperlink"/>
            <w:rFonts w:ascii="Calibri" w:hAnsi="Calibri" w:cs="Calibri"/>
          </w:rPr>
          <w:t>https://www.irci.jp/wp_files/wp-content/uploads/2024/04/IRCI_Report_Research-on-ICH-Safeguarding-and-DRM_FY2020-23-1_7_T-Goto.pdf</w:t>
        </w:r>
      </w:hyperlink>
      <w:r w:rsidRPr="00D356FB">
        <w:t xml:space="preserve"> &gt;[accessed 01/06/2026].</w:t>
      </w:r>
    </w:p>
    <w:p w14:paraId="0F5CD547" w14:textId="77777777" w:rsidR="009D70A8" w:rsidRPr="00D356FB" w:rsidRDefault="009D70A8" w:rsidP="009D70A8">
      <w:pPr>
        <w:pStyle w:val="NoSpacing"/>
        <w:numPr>
          <w:ilvl w:val="0"/>
          <w:numId w:val="4"/>
        </w:numPr>
      </w:pPr>
      <w:r w:rsidRPr="00D356FB">
        <w:t xml:space="preserve">Guest, Kate, ‘Heritage and the Pandemic’, </w:t>
      </w:r>
      <w:r w:rsidRPr="00D356FB">
        <w:rPr>
          <w:i/>
          <w:iCs/>
        </w:rPr>
        <w:t>Historic Environment</w:t>
      </w:r>
      <w:r w:rsidRPr="00D356FB">
        <w:t>, 12, 2021, pp. 4–18.</w:t>
      </w:r>
    </w:p>
    <w:p w14:paraId="776EAC94" w14:textId="77777777" w:rsidR="009D70A8" w:rsidRPr="00D356FB" w:rsidRDefault="009D70A8" w:rsidP="009D70A8">
      <w:pPr>
        <w:pStyle w:val="NoSpacing"/>
        <w:numPr>
          <w:ilvl w:val="0"/>
          <w:numId w:val="4"/>
        </w:numPr>
      </w:pPr>
      <w:r w:rsidRPr="00D356FB">
        <w:t xml:space="preserve">Harrison, Rodney, </w:t>
      </w:r>
      <w:r w:rsidRPr="00D356FB">
        <w:rPr>
          <w:i/>
          <w:iCs/>
        </w:rPr>
        <w:t>Heritage: Critical Approaches</w:t>
      </w:r>
      <w:r w:rsidRPr="00D356FB">
        <w:t xml:space="preserve"> (London: Routledge, 2013)</w:t>
      </w:r>
    </w:p>
    <w:p w14:paraId="6BDF94E9" w14:textId="77777777" w:rsidR="009D70A8" w:rsidRPr="00D356FB" w:rsidRDefault="009D70A8" w:rsidP="009D70A8">
      <w:pPr>
        <w:pStyle w:val="NoSpacing"/>
        <w:numPr>
          <w:ilvl w:val="0"/>
          <w:numId w:val="4"/>
        </w:numPr>
        <w:rPr>
          <w:b/>
          <w:bCs/>
        </w:rPr>
      </w:pPr>
      <w:r w:rsidRPr="00D356FB">
        <w:t xml:space="preserve">Historic England, </w:t>
      </w:r>
      <w:r w:rsidRPr="00D356FB">
        <w:rPr>
          <w:i/>
          <w:iCs/>
        </w:rPr>
        <w:t>Delivering on Climate Change Action and Heritage</w:t>
      </w:r>
      <w:r w:rsidRPr="00D356FB">
        <w:t xml:space="preserve">, 2021 &lt; </w:t>
      </w:r>
      <w:hyperlink r:id="rId14" w:history="1">
        <w:r w:rsidRPr="00D356FB">
          <w:rPr>
            <w:rStyle w:val="Hyperlink"/>
            <w:rFonts w:ascii="Calibri" w:hAnsi="Calibri" w:cs="Calibri"/>
          </w:rPr>
          <w:t>Delivering on Climate Change Action and Heritage | Historic England</w:t>
        </w:r>
      </w:hyperlink>
      <w:r w:rsidRPr="00D356FB">
        <w:t>&gt; [accessed 01/06/2026].</w:t>
      </w:r>
    </w:p>
    <w:p w14:paraId="7B60A541" w14:textId="77777777" w:rsidR="009D70A8" w:rsidRPr="00D356FB" w:rsidRDefault="009D70A8" w:rsidP="009D70A8">
      <w:pPr>
        <w:pStyle w:val="NoSpacing"/>
        <w:numPr>
          <w:ilvl w:val="0"/>
          <w:numId w:val="4"/>
        </w:numPr>
      </w:pPr>
      <w:r w:rsidRPr="00D356FB">
        <w:t xml:space="preserve">Historic England, </w:t>
      </w:r>
      <w:r w:rsidRPr="00D356FB">
        <w:rPr>
          <w:i/>
          <w:iCs/>
        </w:rPr>
        <w:t>Emergency Planning for Heritage</w:t>
      </w:r>
      <w:r w:rsidRPr="00D356FB">
        <w:t>, 2026, &lt;</w:t>
      </w:r>
      <w:hyperlink r:id="rId15" w:history="1">
        <w:r w:rsidRPr="00D356FB">
          <w:rPr>
            <w:rStyle w:val="Hyperlink"/>
            <w:rFonts w:ascii="Calibri" w:hAnsi="Calibri" w:cs="Calibri"/>
          </w:rPr>
          <w:t>https://historicengland.org.uk/advice/technical-advice/emergency-and-fire/emergency-planning-advice/</w:t>
        </w:r>
      </w:hyperlink>
      <w:r w:rsidRPr="00D356FB">
        <w:t>&gt; [accessed 01/06/2026].</w:t>
      </w:r>
    </w:p>
    <w:p w14:paraId="45B09D22" w14:textId="77777777" w:rsidR="009D70A8" w:rsidRDefault="009D70A8" w:rsidP="009D70A8">
      <w:pPr>
        <w:pStyle w:val="NoSpacing"/>
        <w:numPr>
          <w:ilvl w:val="0"/>
          <w:numId w:val="4"/>
        </w:numPr>
      </w:pPr>
      <w:r w:rsidRPr="00D356FB">
        <w:t xml:space="preserve">Historic England, </w:t>
      </w:r>
      <w:r w:rsidRPr="00D356FB">
        <w:rPr>
          <w:i/>
          <w:iCs/>
        </w:rPr>
        <w:t xml:space="preserve">Heritage at Risk </w:t>
      </w:r>
      <w:r w:rsidRPr="00D356FB">
        <w:t>&lt;</w:t>
      </w:r>
      <w:hyperlink r:id="rId16" w:history="1">
        <w:r w:rsidRPr="00D356FB">
          <w:rPr>
            <w:rStyle w:val="Hyperlink"/>
            <w:rFonts w:ascii="Calibri" w:hAnsi="Calibri" w:cs="Calibri"/>
          </w:rPr>
          <w:t>Heritage at Risk 2025</w:t>
        </w:r>
      </w:hyperlink>
      <w:r w:rsidRPr="00D356FB">
        <w:t>&gt;[accessed 01/06/2026].</w:t>
      </w:r>
    </w:p>
    <w:p w14:paraId="37E3D17D" w14:textId="25A554C4" w:rsidR="00EC2EB1" w:rsidRPr="00FC4FC9" w:rsidRDefault="00EC2EB1" w:rsidP="00EC2EB1">
      <w:pPr>
        <w:pStyle w:val="ListParagraph"/>
        <w:numPr>
          <w:ilvl w:val="0"/>
          <w:numId w:val="4"/>
        </w:numPr>
        <w:spacing w:after="0" w:line="240" w:lineRule="auto"/>
        <w:rPr>
          <w:rFonts w:ascii="Calibri" w:eastAsia="Times New Roman" w:hAnsi="Calibri" w:cs="Calibri"/>
          <w:kern w:val="0"/>
          <w:lang w:eastAsia="en-GB"/>
          <w14:ligatures w14:val="none"/>
        </w:rPr>
      </w:pPr>
      <w:r w:rsidRPr="00FC4FC9">
        <w:rPr>
          <w:rFonts w:ascii="Calibri" w:eastAsia="Times New Roman" w:hAnsi="Calibri" w:cs="Calibri"/>
          <w:kern w:val="0"/>
          <w:lang w:eastAsia="en-GB"/>
          <w14:ligatures w14:val="none"/>
        </w:rPr>
        <w:t xml:space="preserve">Historic England, </w:t>
      </w:r>
      <w:r w:rsidRPr="00FC4FC9">
        <w:rPr>
          <w:rFonts w:ascii="Calibri" w:eastAsia="Times New Roman" w:hAnsi="Calibri" w:cs="Calibri"/>
          <w:i/>
          <w:iCs/>
          <w:kern w:val="0"/>
          <w:lang w:eastAsia="en-GB"/>
          <w14:ligatures w14:val="none"/>
        </w:rPr>
        <w:t>Historic England Strategy 2026–2031</w:t>
      </w:r>
      <w:r w:rsidRPr="00FC4FC9">
        <w:rPr>
          <w:rFonts w:ascii="Calibri" w:eastAsia="Times New Roman" w:hAnsi="Calibri" w:cs="Calibri"/>
          <w:kern w:val="0"/>
          <w:lang w:eastAsia="en-GB"/>
          <w14:ligatures w14:val="none"/>
        </w:rPr>
        <w:t xml:space="preserve">, 2026 </w:t>
      </w:r>
      <w:r w:rsidR="00FC4FC9" w:rsidRPr="00FC4FC9">
        <w:rPr>
          <w:rFonts w:ascii="Calibri" w:eastAsia="Times New Roman" w:hAnsi="Calibri" w:cs="Calibri"/>
          <w:kern w:val="0"/>
          <w:lang w:eastAsia="en-GB"/>
          <w14:ligatures w14:val="none"/>
        </w:rPr>
        <w:t>&lt;</w:t>
      </w:r>
      <w:hyperlink r:id="rId17" w:history="1">
        <w:r w:rsidR="00FC4FC9" w:rsidRPr="00FC4FC9">
          <w:rPr>
            <w:rStyle w:val="Hyperlink"/>
            <w:rFonts w:ascii="Calibri" w:eastAsia="Times New Roman" w:hAnsi="Calibri" w:cs="Calibri"/>
            <w:kern w:val="0"/>
            <w:lang w:eastAsia="en-GB"/>
            <w14:ligatures w14:val="none"/>
          </w:rPr>
          <w:t>https://historicengland.org.uk/images-books/publications/he-strategic-plan-2026-31/he-strategy-2026/</w:t>
        </w:r>
      </w:hyperlink>
      <w:r w:rsidR="00FC4FC9" w:rsidRPr="00FC4FC9">
        <w:rPr>
          <w:rFonts w:ascii="Calibri" w:eastAsia="Times New Roman" w:hAnsi="Calibri" w:cs="Calibri"/>
          <w:kern w:val="0"/>
          <w:lang w:eastAsia="en-GB"/>
          <w14:ligatures w14:val="none"/>
        </w:rPr>
        <w:t>&gt; [accessed 01/06/2026].</w:t>
      </w:r>
    </w:p>
    <w:p w14:paraId="45E8557D" w14:textId="77777777" w:rsidR="00EC2EB1" w:rsidRPr="00D356FB" w:rsidRDefault="00EC2EB1" w:rsidP="00EC2EB1">
      <w:pPr>
        <w:pStyle w:val="NoSpacing"/>
        <w:ind w:left="720"/>
      </w:pPr>
    </w:p>
    <w:p w14:paraId="2388F832" w14:textId="77777777" w:rsidR="009D70A8" w:rsidRPr="00D356FB" w:rsidRDefault="009D70A8" w:rsidP="009D70A8">
      <w:pPr>
        <w:pStyle w:val="NoSpacing"/>
        <w:numPr>
          <w:ilvl w:val="0"/>
          <w:numId w:val="4"/>
        </w:numPr>
        <w:rPr>
          <w:rFonts w:eastAsia="Times New Roman"/>
          <w:kern w:val="0"/>
          <w:lang w:eastAsia="en-GB"/>
          <w14:ligatures w14:val="none"/>
        </w:rPr>
      </w:pPr>
      <w:r w:rsidRPr="00D356FB">
        <w:rPr>
          <w:rFonts w:eastAsia="Times New Roman"/>
          <w:kern w:val="0"/>
          <w:lang w:eastAsia="en-GB"/>
          <w14:ligatures w14:val="none"/>
        </w:rPr>
        <w:t xml:space="preserve">Historic England, </w:t>
      </w:r>
      <w:r w:rsidRPr="00D356FB">
        <w:rPr>
          <w:rFonts w:eastAsia="Times New Roman"/>
          <w:i/>
          <w:iCs/>
          <w:kern w:val="0"/>
          <w:lang w:eastAsia="en-GB"/>
          <w14:ligatures w14:val="none"/>
        </w:rPr>
        <w:t>Principles of Repair for Historic Buildings &lt;</w:t>
      </w:r>
      <w:hyperlink r:id="rId18" w:history="1">
        <w:r w:rsidRPr="00D356FB">
          <w:rPr>
            <w:rStyle w:val="Hyperlink"/>
            <w:rFonts w:ascii="Calibri" w:eastAsia="Times New Roman" w:hAnsi="Calibri" w:cs="Calibri"/>
            <w:i/>
            <w:iCs/>
            <w:kern w:val="0"/>
            <w:lang w:eastAsia="en-GB"/>
            <w14:ligatures w14:val="none"/>
          </w:rPr>
          <w:t>Principles of Repair for Historic Buildings | Historic England</w:t>
        </w:r>
      </w:hyperlink>
      <w:r w:rsidRPr="00D356FB">
        <w:rPr>
          <w:rFonts w:eastAsia="Times New Roman"/>
          <w:i/>
          <w:iCs/>
          <w:kern w:val="0"/>
          <w:lang w:eastAsia="en-GB"/>
          <w14:ligatures w14:val="none"/>
        </w:rPr>
        <w:t>&gt; [accessed 01/06/2026].</w:t>
      </w:r>
    </w:p>
    <w:p w14:paraId="58A65DA5" w14:textId="77777777" w:rsidR="009D70A8" w:rsidRPr="00D356FB" w:rsidRDefault="009D70A8" w:rsidP="009D70A8">
      <w:pPr>
        <w:pStyle w:val="NoSpacing"/>
        <w:numPr>
          <w:ilvl w:val="0"/>
          <w:numId w:val="4"/>
        </w:numPr>
      </w:pPr>
      <w:r w:rsidRPr="00D356FB">
        <w:t xml:space="preserve">Historic Environment Scotland, </w:t>
      </w:r>
      <w:r w:rsidRPr="00D356FB">
        <w:rPr>
          <w:i/>
          <w:iCs/>
        </w:rPr>
        <w:t>Buildings at Risk Register</w:t>
      </w:r>
      <w:r w:rsidRPr="00D356FB">
        <w:t>, &lt;</w:t>
      </w:r>
      <w:hyperlink r:id="rId19" w:history="1">
        <w:r w:rsidRPr="00D356FB">
          <w:rPr>
            <w:rStyle w:val="Hyperlink"/>
            <w:rFonts w:ascii="Calibri" w:hAnsi="Calibri" w:cs="Calibri"/>
          </w:rPr>
          <w:t>Buildings at Risk Register | Historic Environment Scotland | HES</w:t>
        </w:r>
      </w:hyperlink>
      <w:r w:rsidRPr="00D356FB">
        <w:t>&gt; [accessed 01/06/2026].</w:t>
      </w:r>
    </w:p>
    <w:p w14:paraId="016367B9" w14:textId="77777777" w:rsidR="009D70A8" w:rsidRPr="00D356FB" w:rsidRDefault="009D70A8" w:rsidP="009D70A8">
      <w:pPr>
        <w:pStyle w:val="NoSpacing"/>
        <w:numPr>
          <w:ilvl w:val="0"/>
          <w:numId w:val="4"/>
        </w:numPr>
      </w:pPr>
      <w:hyperlink r:id="rId20" w:history="1">
        <w:r w:rsidRPr="00D356FB">
          <w:rPr>
            <w:rStyle w:val="Hyperlink"/>
            <w:rFonts w:ascii="Calibri" w:hAnsi="Calibri" w:cs="Calibri"/>
          </w:rPr>
          <w:t>Homepage | CELF</w:t>
        </w:r>
      </w:hyperlink>
    </w:p>
    <w:p w14:paraId="5D8EE372" w14:textId="77777777" w:rsidR="009D70A8" w:rsidRPr="00D356FB" w:rsidRDefault="009D70A8" w:rsidP="009D70A8">
      <w:pPr>
        <w:pStyle w:val="NoSpacing"/>
        <w:numPr>
          <w:ilvl w:val="0"/>
          <w:numId w:val="4"/>
        </w:numPr>
      </w:pPr>
      <w:r w:rsidRPr="00D356FB">
        <w:t xml:space="preserve">JAWS, </w:t>
      </w:r>
      <w:r w:rsidRPr="00D356FB">
        <w:rPr>
          <w:rFonts w:eastAsia="Times New Roman"/>
          <w:i/>
          <w:iCs/>
          <w:kern w:val="0"/>
          <w:lang w:eastAsia="en-GB"/>
          <w14:ligatures w14:val="none"/>
        </w:rPr>
        <w:t xml:space="preserve">JAWS online series of Reflection on </w:t>
      </w:r>
      <w:proofErr w:type="spellStart"/>
      <w:r w:rsidRPr="00D356FB">
        <w:rPr>
          <w:rFonts w:eastAsia="Times New Roman"/>
          <w:i/>
          <w:iCs/>
          <w:kern w:val="0"/>
          <w:lang w:eastAsia="en-GB"/>
          <w14:ligatures w14:val="none"/>
        </w:rPr>
        <w:t>Tōhoku</w:t>
      </w:r>
      <w:proofErr w:type="spellEnd"/>
      <w:r w:rsidRPr="00D356FB">
        <w:t xml:space="preserve"> &lt;</w:t>
      </w:r>
      <w:hyperlink r:id="rId21" w:history="1">
        <w:r w:rsidRPr="00D356FB">
          <w:rPr>
            <w:rStyle w:val="Hyperlink"/>
            <w:rFonts w:ascii="Calibri" w:hAnsi="Calibri" w:cs="Calibri"/>
          </w:rPr>
          <w:t xml:space="preserve">JAWS online series of Reflection on </w:t>
        </w:r>
        <w:proofErr w:type="spellStart"/>
        <w:r w:rsidRPr="00D356FB">
          <w:rPr>
            <w:rStyle w:val="Hyperlink"/>
            <w:rFonts w:ascii="Calibri" w:hAnsi="Calibri" w:cs="Calibri"/>
          </w:rPr>
          <w:t>Tōhoku</w:t>
        </w:r>
        <w:proofErr w:type="spellEnd"/>
        <w:r w:rsidRPr="00D356FB">
          <w:rPr>
            <w:rStyle w:val="Hyperlink"/>
            <w:rFonts w:ascii="Calibri" w:hAnsi="Calibri" w:cs="Calibri"/>
          </w:rPr>
          <w:t xml:space="preserve"> – JAWS</w:t>
        </w:r>
      </w:hyperlink>
      <w:r w:rsidRPr="00D356FB">
        <w:t>&gt; [accessed 01/06/2026].</w:t>
      </w:r>
    </w:p>
    <w:p w14:paraId="4DB871F1" w14:textId="77777777" w:rsidR="009D70A8" w:rsidRPr="00D356FB" w:rsidRDefault="009D70A8" w:rsidP="009D70A8">
      <w:pPr>
        <w:pStyle w:val="NoSpacing"/>
        <w:numPr>
          <w:ilvl w:val="0"/>
          <w:numId w:val="4"/>
        </w:numPr>
      </w:pPr>
      <w:r w:rsidRPr="00D356FB">
        <w:t xml:space="preserve">Jigyasu, Rohit, ‘Managing Cultural Heritage in Disaster’, </w:t>
      </w:r>
      <w:r w:rsidRPr="00D356FB">
        <w:rPr>
          <w:i/>
          <w:iCs/>
        </w:rPr>
        <w:t>Journal of Cultural Heritage</w:t>
      </w:r>
      <w:r w:rsidRPr="00D356FB">
        <w:t>, 15 (2014), 450–457</w:t>
      </w:r>
    </w:p>
    <w:p w14:paraId="37F81493" w14:textId="77777777" w:rsidR="009D70A8" w:rsidRPr="00D356FB" w:rsidRDefault="009D70A8" w:rsidP="009D70A8">
      <w:pPr>
        <w:pStyle w:val="NoSpacing"/>
        <w:numPr>
          <w:ilvl w:val="0"/>
          <w:numId w:val="4"/>
        </w:numPr>
      </w:pPr>
      <w:r w:rsidRPr="00D356FB">
        <w:lastRenderedPageBreak/>
        <w:t xml:space="preserve">Kincaid, Simon, ‘Emergency Planning for Fire in Historic Buildings’, </w:t>
      </w:r>
      <w:r w:rsidRPr="00D356FB">
        <w:rPr>
          <w:i/>
          <w:iCs/>
        </w:rPr>
        <w:t>Historic Environment</w:t>
      </w:r>
      <w:r w:rsidRPr="00D356FB">
        <w:t>, 10.1, 2019, pp. 19–39.</w:t>
      </w:r>
    </w:p>
    <w:p w14:paraId="433A2611" w14:textId="77777777" w:rsidR="009D70A8" w:rsidRPr="00D356FB" w:rsidRDefault="009D70A8" w:rsidP="009D70A8">
      <w:pPr>
        <w:pStyle w:val="NoSpacing"/>
        <w:numPr>
          <w:ilvl w:val="0"/>
          <w:numId w:val="4"/>
        </w:numPr>
      </w:pPr>
      <w:r w:rsidRPr="00D356FB">
        <w:t xml:space="preserve">Kurahashi, Tetsuro, ‘Various Networks to Rescue and Support Damaged Cultural Heritage and Libraries - Response to the 2024 Noto Peninsula Earthquake and Other Disasters’, </w:t>
      </w:r>
      <w:r w:rsidRPr="00D356FB">
        <w:rPr>
          <w:i/>
          <w:iCs/>
        </w:rPr>
        <w:t>CDNLAO</w:t>
      </w:r>
      <w:r w:rsidRPr="00D356FB">
        <w:t xml:space="preserve">, 106, September 2025 &lt; </w:t>
      </w:r>
      <w:hyperlink r:id="rId22" w:history="1">
        <w:r w:rsidRPr="00D356FB">
          <w:rPr>
            <w:rStyle w:val="Hyperlink"/>
            <w:rFonts w:ascii="Calibri" w:hAnsi="Calibri" w:cs="Calibri"/>
          </w:rPr>
          <w:t xml:space="preserve">Various Networks to Rescue and Support Damaged Cultural Heritage and </w:t>
        </w:r>
        <w:proofErr w:type="spellStart"/>
        <w:r w:rsidRPr="00D356FB">
          <w:rPr>
            <w:rStyle w:val="Hyperlink"/>
            <w:rFonts w:ascii="Calibri" w:hAnsi="Calibri" w:cs="Calibri"/>
          </w:rPr>
          <w:t>Librariesâ</w:t>
        </w:r>
        <w:proofErr w:type="spellEnd"/>
        <w:r w:rsidRPr="00D356FB">
          <w:rPr>
            <w:rStyle w:val="Hyperlink"/>
            <w:rFonts w:ascii="Calibri" w:hAnsi="Calibri" w:cs="Calibri"/>
          </w:rPr>
          <w:t>€”Response to the 2024 Noto Peninsula Earthquake and Other Disasters, CDNLAO Newsletter 106</w:t>
        </w:r>
      </w:hyperlink>
      <w:r w:rsidRPr="00D356FB">
        <w:t>&gt; [accessed 01/06/2026].</w:t>
      </w:r>
    </w:p>
    <w:p w14:paraId="28D32BC6" w14:textId="77777777" w:rsidR="009D70A8" w:rsidRPr="00D356FB" w:rsidRDefault="009D70A8" w:rsidP="009D70A8">
      <w:pPr>
        <w:pStyle w:val="NoSpacing"/>
        <w:numPr>
          <w:ilvl w:val="0"/>
          <w:numId w:val="4"/>
        </w:numPr>
      </w:pPr>
      <w:r w:rsidRPr="00D356FB">
        <w:t xml:space="preserve">Littlejohn, Andrew, ‘Dividing Worlds: Tsunamis, Seawalls, and Ontological Politics in Northeast Japan’, </w:t>
      </w:r>
      <w:r w:rsidRPr="00D356FB">
        <w:rPr>
          <w:i/>
          <w:iCs/>
        </w:rPr>
        <w:t>Social Analysis</w:t>
      </w:r>
      <w:r w:rsidRPr="00D356FB">
        <w:t>, 64.1 ,2020, pp. 24–43.</w:t>
      </w:r>
    </w:p>
    <w:p w14:paraId="48431D5A" w14:textId="77777777" w:rsidR="009D70A8" w:rsidRPr="00D356FB" w:rsidRDefault="009D70A8" w:rsidP="009D70A8">
      <w:pPr>
        <w:pStyle w:val="NoSpacing"/>
        <w:numPr>
          <w:ilvl w:val="0"/>
          <w:numId w:val="4"/>
        </w:numPr>
      </w:pPr>
      <w:r w:rsidRPr="00D356FB">
        <w:t xml:space="preserve">Littlejohn, Andrew, ‘Museums of Themselves: Disaster, Heritage, and Disaster Heritage in Tohoku’, </w:t>
      </w:r>
      <w:r w:rsidRPr="00D356FB">
        <w:rPr>
          <w:i/>
          <w:iCs/>
        </w:rPr>
        <w:t>Japan Forum</w:t>
      </w:r>
      <w:r w:rsidRPr="00D356FB">
        <w:t>, 33, 2021, pp. 476–496.</w:t>
      </w:r>
    </w:p>
    <w:p w14:paraId="51C9D80A" w14:textId="77777777" w:rsidR="009D70A8" w:rsidRPr="00D356FB" w:rsidRDefault="009D70A8" w:rsidP="009D70A8">
      <w:pPr>
        <w:pStyle w:val="NoSpacing"/>
        <w:numPr>
          <w:ilvl w:val="0"/>
          <w:numId w:val="4"/>
        </w:numPr>
        <w:rPr>
          <w:rFonts w:eastAsia="Times New Roman"/>
          <w:kern w:val="0"/>
          <w:lang w:eastAsia="en-GB"/>
          <w14:ligatures w14:val="none"/>
        </w:rPr>
      </w:pPr>
      <w:r w:rsidRPr="00D356FB">
        <w:rPr>
          <w:rFonts w:eastAsia="Times New Roman"/>
          <w:kern w:val="0"/>
          <w:lang w:eastAsia="en-GB"/>
          <w14:ligatures w14:val="none"/>
        </w:rPr>
        <w:t>Littlejohn, Andrew, ‘The Potential of Intangible Loss: Reassembling Heritage and Reconstructing the Social in Post</w:t>
      </w:r>
      <w:r w:rsidRPr="00D356FB">
        <w:rPr>
          <w:rFonts w:eastAsia="Times New Roman"/>
          <w:kern w:val="0"/>
          <w:lang w:eastAsia="en-GB"/>
          <w14:ligatures w14:val="none"/>
        </w:rPr>
        <w:noBreakHyphen/>
        <w:t xml:space="preserve">Disaster Japan’, </w:t>
      </w:r>
      <w:r w:rsidRPr="00D356FB">
        <w:rPr>
          <w:rFonts w:eastAsia="Times New Roman"/>
          <w:i/>
          <w:iCs/>
          <w:kern w:val="0"/>
          <w:lang w:eastAsia="en-GB"/>
          <w14:ligatures w14:val="none"/>
        </w:rPr>
        <w:t>Social Anthropology</w:t>
      </w:r>
      <w:r w:rsidRPr="00D356FB">
        <w:rPr>
          <w:rFonts w:eastAsia="Times New Roman"/>
          <w:kern w:val="0"/>
          <w:lang w:eastAsia="en-GB"/>
          <w14:ligatures w14:val="none"/>
        </w:rPr>
        <w:t>, 29.4, 2021, pp. 944–959.</w:t>
      </w:r>
    </w:p>
    <w:p w14:paraId="4771E960" w14:textId="77777777" w:rsidR="009D70A8" w:rsidRPr="00D356FB" w:rsidRDefault="009D70A8" w:rsidP="009D70A8">
      <w:pPr>
        <w:pStyle w:val="NoSpacing"/>
        <w:numPr>
          <w:ilvl w:val="0"/>
          <w:numId w:val="4"/>
        </w:numPr>
        <w:rPr>
          <w:rFonts w:eastAsia="Times New Roman"/>
          <w:kern w:val="0"/>
          <w:lang w:eastAsia="en-GB"/>
          <w14:ligatures w14:val="none"/>
        </w:rPr>
      </w:pPr>
      <w:r w:rsidRPr="00D356FB">
        <w:rPr>
          <w:rFonts w:eastAsia="Times New Roman"/>
          <w:kern w:val="0"/>
          <w:lang w:eastAsia="en-GB"/>
          <w14:ligatures w14:val="none"/>
        </w:rPr>
        <w:t xml:space="preserve">National Institutes for Cultural Heritage, </w:t>
      </w:r>
      <w:r w:rsidRPr="00D356FB">
        <w:rPr>
          <w:rFonts w:eastAsia="Times New Roman"/>
          <w:i/>
          <w:iCs/>
          <w:kern w:val="0"/>
          <w:lang w:eastAsia="en-GB"/>
          <w14:ligatures w14:val="none"/>
        </w:rPr>
        <w:t>Rescue Efforts for Cultural Properties Affected by the Great East Japan Earthquake Disasters</w:t>
      </w:r>
      <w:r w:rsidRPr="00D356FB">
        <w:rPr>
          <w:rFonts w:eastAsia="Times New Roman"/>
          <w:kern w:val="0"/>
          <w:lang w:eastAsia="en-GB"/>
          <w14:ligatures w14:val="none"/>
        </w:rPr>
        <w:t>, 2013 &lt;</w:t>
      </w:r>
      <w:hyperlink r:id="rId23" w:history="1">
        <w:r w:rsidRPr="00D356FB">
          <w:rPr>
            <w:rStyle w:val="Hyperlink"/>
            <w:rFonts w:ascii="Calibri" w:eastAsia="Times New Roman" w:hAnsi="Calibri" w:cs="Calibri"/>
            <w:kern w:val="0"/>
            <w:lang w:eastAsia="en-GB"/>
            <w14:ligatures w14:val="none"/>
          </w:rPr>
          <w:t>https://www.tobunken.go.jp/english/rescue/report_2013.pdf</w:t>
        </w:r>
      </w:hyperlink>
      <w:r w:rsidRPr="00D356FB">
        <w:rPr>
          <w:rFonts w:eastAsia="Times New Roman"/>
          <w:kern w:val="0"/>
          <w:lang w:eastAsia="en-GB"/>
          <w14:ligatures w14:val="none"/>
        </w:rPr>
        <w:t>&gt; [accessed 01/06/2026].</w:t>
      </w:r>
    </w:p>
    <w:p w14:paraId="7812D75F" w14:textId="77777777" w:rsidR="009D70A8" w:rsidRPr="00D356FB" w:rsidRDefault="009D70A8" w:rsidP="009D70A8">
      <w:pPr>
        <w:pStyle w:val="NoSpacing"/>
        <w:numPr>
          <w:ilvl w:val="0"/>
          <w:numId w:val="4"/>
        </w:numPr>
        <w:rPr>
          <w:rFonts w:eastAsia="Times New Roman"/>
          <w:kern w:val="0"/>
          <w:lang w:eastAsia="en-GB"/>
          <w14:ligatures w14:val="none"/>
        </w:rPr>
      </w:pPr>
      <w:r w:rsidRPr="00D356FB">
        <w:rPr>
          <w:rFonts w:eastAsia="Times New Roman"/>
          <w:kern w:val="0"/>
          <w:lang w:eastAsia="en-GB"/>
          <w14:ligatures w14:val="none"/>
        </w:rPr>
        <w:t xml:space="preserve">NHK World, </w:t>
      </w:r>
      <w:r w:rsidRPr="00D356FB">
        <w:rPr>
          <w:rFonts w:eastAsia="Times New Roman"/>
          <w:i/>
          <w:iCs/>
          <w:kern w:val="0"/>
          <w:lang w:eastAsia="en-GB"/>
          <w14:ligatures w14:val="none"/>
        </w:rPr>
        <w:t>Cultural Recovery after 3.11</w:t>
      </w:r>
      <w:r w:rsidRPr="00D356FB">
        <w:rPr>
          <w:rFonts w:eastAsia="Times New Roman"/>
          <w:kern w:val="0"/>
          <w:lang w:eastAsia="en-GB"/>
          <w14:ligatures w14:val="none"/>
        </w:rPr>
        <w:t>, (documentary, 2016) &lt;</w:t>
      </w:r>
      <w:r w:rsidRPr="00D356FB">
        <w:t xml:space="preserve"> </w:t>
      </w:r>
      <w:hyperlink r:id="rId24" w:history="1">
        <w:r w:rsidRPr="00D356FB">
          <w:rPr>
            <w:rStyle w:val="Hyperlink"/>
            <w:rFonts w:ascii="Calibri" w:eastAsia="Times New Roman" w:hAnsi="Calibri" w:cs="Calibri"/>
            <w:kern w:val="0"/>
            <w:lang w:eastAsia="en-GB"/>
            <w14:ligatures w14:val="none"/>
          </w:rPr>
          <w:t xml:space="preserve">15 years after 3/11: A moment of silence for lives </w:t>
        </w:r>
        <w:proofErr w:type="spellStart"/>
        <w:r w:rsidRPr="00D356FB">
          <w:rPr>
            <w:rStyle w:val="Hyperlink"/>
            <w:rFonts w:ascii="Calibri" w:eastAsia="Times New Roman" w:hAnsi="Calibri" w:cs="Calibri"/>
            <w:kern w:val="0"/>
            <w:lang w:eastAsia="en-GB"/>
            <w14:ligatures w14:val="none"/>
          </w:rPr>
          <w:t>lost</w:t>
        </w:r>
        <w:r w:rsidRPr="00D356FB">
          <w:rPr>
            <w:rStyle w:val="Hyperlink"/>
            <w:rFonts w:ascii="Calibri" w:eastAsia="MS Mincho" w:hAnsi="Calibri" w:cs="Calibri"/>
            <w:kern w:val="0"/>
            <w:lang w:eastAsia="en-GB"/>
            <w14:ligatures w14:val="none"/>
          </w:rPr>
          <w:t>ー</w:t>
        </w:r>
        <w:r w:rsidRPr="00D356FB">
          <w:rPr>
            <w:rStyle w:val="Hyperlink"/>
            <w:rFonts w:ascii="Calibri" w:eastAsia="Times New Roman" w:hAnsi="Calibri" w:cs="Calibri"/>
            <w:kern w:val="0"/>
            <w:lang w:eastAsia="en-GB"/>
            <w14:ligatures w14:val="none"/>
          </w:rPr>
          <w:t>NHK</w:t>
        </w:r>
        <w:proofErr w:type="spellEnd"/>
        <w:r w:rsidRPr="00D356FB">
          <w:rPr>
            <w:rStyle w:val="Hyperlink"/>
            <w:rFonts w:ascii="Calibri" w:eastAsia="Times New Roman" w:hAnsi="Calibri" w:cs="Calibri"/>
            <w:kern w:val="0"/>
            <w:lang w:eastAsia="en-GB"/>
            <w14:ligatures w14:val="none"/>
          </w:rPr>
          <w:t xml:space="preserve"> WORLD-JAPAN NEWS - YouTube</w:t>
        </w:r>
      </w:hyperlink>
      <w:r w:rsidRPr="00D356FB">
        <w:rPr>
          <w:rFonts w:eastAsia="Times New Roman"/>
          <w:kern w:val="0"/>
          <w:lang w:eastAsia="en-GB"/>
          <w14:ligatures w14:val="none"/>
        </w:rPr>
        <w:t>&gt; [accessed 01/06/2026].</w:t>
      </w:r>
    </w:p>
    <w:p w14:paraId="05DD4D01" w14:textId="77777777" w:rsidR="009D70A8" w:rsidRPr="00D356FB" w:rsidRDefault="009D70A8" w:rsidP="009D70A8">
      <w:pPr>
        <w:pStyle w:val="NoSpacing"/>
        <w:numPr>
          <w:ilvl w:val="0"/>
          <w:numId w:val="4"/>
        </w:numPr>
      </w:pPr>
      <w:r w:rsidRPr="00D356FB">
        <w:t xml:space="preserve">Pastrana-Huguet, Josep et al, ‘Japan’s Culture of Prevention’, </w:t>
      </w:r>
      <w:r w:rsidRPr="00D356FB">
        <w:rPr>
          <w:i/>
          <w:iCs/>
        </w:rPr>
        <w:t>Sustainability</w:t>
      </w:r>
      <w:r w:rsidRPr="00D356FB">
        <w:t>, 14, 2022.</w:t>
      </w:r>
    </w:p>
    <w:p w14:paraId="15DFCBA6" w14:textId="77777777" w:rsidR="009D70A8" w:rsidRPr="00D356FB" w:rsidRDefault="009D70A8" w:rsidP="009D70A8">
      <w:pPr>
        <w:pStyle w:val="NoSpacing"/>
        <w:numPr>
          <w:ilvl w:val="0"/>
          <w:numId w:val="4"/>
        </w:numPr>
      </w:pPr>
      <w:r w:rsidRPr="00D356FB">
        <w:t xml:space="preserve">Pontypridd Museum, </w:t>
      </w:r>
      <w:r w:rsidRPr="00D356FB">
        <w:rPr>
          <w:i/>
          <w:iCs/>
        </w:rPr>
        <w:t>Museum Flooding,</w:t>
      </w:r>
      <w:r w:rsidRPr="00D356FB">
        <w:t xml:space="preserve"> 2020 &lt;</w:t>
      </w:r>
      <w:hyperlink r:id="rId25" w:history="1">
        <w:r w:rsidRPr="00D356FB">
          <w:rPr>
            <w:rStyle w:val="Hyperlink"/>
            <w:rFonts w:ascii="Calibri" w:hAnsi="Calibri" w:cs="Calibri"/>
          </w:rPr>
          <w:t>Museum Flooding</w:t>
        </w:r>
      </w:hyperlink>
      <w:r w:rsidRPr="00D356FB">
        <w:t>&gt; [accessed 01/06/2026].</w:t>
      </w:r>
    </w:p>
    <w:p w14:paraId="45946031" w14:textId="77777777" w:rsidR="009D70A8" w:rsidRPr="00D356FB" w:rsidRDefault="009D70A8" w:rsidP="009D70A8">
      <w:pPr>
        <w:pStyle w:val="NoSpacing"/>
        <w:numPr>
          <w:ilvl w:val="0"/>
          <w:numId w:val="4"/>
        </w:numPr>
        <w:rPr>
          <w:rFonts w:eastAsia="Times New Roman"/>
          <w:kern w:val="0"/>
          <w:lang w:eastAsia="en-GB"/>
          <w14:ligatures w14:val="none"/>
        </w:rPr>
      </w:pPr>
      <w:r w:rsidRPr="00D356FB">
        <w:rPr>
          <w:rFonts w:eastAsia="Times New Roman"/>
          <w:kern w:val="0"/>
          <w:lang w:eastAsia="en-GB"/>
          <w14:ligatures w14:val="none"/>
        </w:rPr>
        <w:t xml:space="preserve">SATŌ, Daisuke, ‘Psychosocial Support and History: How Preserving Heritage Can Rebuild Communities’ in </w:t>
      </w:r>
      <w:r w:rsidRPr="00D356FB">
        <w:rPr>
          <w:rFonts w:eastAsia="Times New Roman"/>
          <w:i/>
          <w:iCs/>
          <w:kern w:val="0"/>
          <w:lang w:eastAsia="en-GB"/>
          <w14:ligatures w14:val="none"/>
        </w:rPr>
        <w:t>History, Heritage, and Resilience</w:t>
      </w:r>
      <w:r w:rsidRPr="00D356FB">
        <w:rPr>
          <w:rFonts w:eastAsia="Times New Roman"/>
          <w:kern w:val="0"/>
          <w:lang w:eastAsia="en-GB"/>
          <w14:ligatures w14:val="none"/>
        </w:rPr>
        <w:t xml:space="preserve"> ed by J. F. Morris (London: Routledge, 2012), pp. 1-10.</w:t>
      </w:r>
    </w:p>
    <w:p w14:paraId="683B1D2D" w14:textId="77777777" w:rsidR="009D70A8" w:rsidRPr="00D356FB" w:rsidRDefault="009D70A8" w:rsidP="009D70A8">
      <w:pPr>
        <w:pStyle w:val="NoSpacing"/>
        <w:numPr>
          <w:ilvl w:val="0"/>
          <w:numId w:val="4"/>
        </w:numPr>
      </w:pPr>
      <w:r w:rsidRPr="00D356FB">
        <w:t xml:space="preserve">Scottish Fire and Rescue Service, </w:t>
      </w:r>
      <w:r w:rsidRPr="00D356FB">
        <w:rPr>
          <w:i/>
          <w:iCs/>
        </w:rPr>
        <w:t>Fire Investigation Report: Glasgow School of Art</w:t>
      </w:r>
      <w:r w:rsidRPr="00D356FB">
        <w:t>, 2022 &lt;</w:t>
      </w:r>
      <w:hyperlink r:id="rId26" w:history="1">
        <w:r w:rsidRPr="00D356FB">
          <w:rPr>
            <w:rStyle w:val="Hyperlink"/>
            <w:rFonts w:ascii="Calibri" w:hAnsi="Calibri" w:cs="Calibri"/>
          </w:rPr>
          <w:t>Fire Investigation Report - The Glasgow School of Art, 15 June 2018 | Scottish Fire and Rescue Service</w:t>
        </w:r>
      </w:hyperlink>
      <w:r w:rsidRPr="00D356FB">
        <w:t>&gt; [accessed 01/06/2026].</w:t>
      </w:r>
    </w:p>
    <w:p w14:paraId="3EDB3E56" w14:textId="77777777" w:rsidR="009D70A8" w:rsidRPr="00D356FB" w:rsidRDefault="009D70A8" w:rsidP="009D70A8">
      <w:pPr>
        <w:pStyle w:val="NoSpacing"/>
        <w:numPr>
          <w:ilvl w:val="0"/>
          <w:numId w:val="4"/>
        </w:numPr>
        <w:rPr>
          <w:rFonts w:eastAsia="Times New Roman"/>
          <w:kern w:val="0"/>
          <w:lang w:eastAsia="en-GB"/>
          <w14:ligatures w14:val="none"/>
        </w:rPr>
      </w:pPr>
      <w:r w:rsidRPr="00D356FB">
        <w:rPr>
          <w:rFonts w:eastAsia="Times New Roman"/>
          <w:kern w:val="0"/>
          <w:lang w:eastAsia="en-GB"/>
          <w14:ligatures w14:val="none"/>
        </w:rPr>
        <w:t xml:space="preserve">Smith, </w:t>
      </w:r>
      <w:proofErr w:type="spellStart"/>
      <w:r w:rsidRPr="00D356FB">
        <w:rPr>
          <w:rFonts w:eastAsia="Times New Roman"/>
          <w:kern w:val="0"/>
          <w:lang w:eastAsia="en-GB"/>
          <w14:ligatures w14:val="none"/>
        </w:rPr>
        <w:t>Laurajane</w:t>
      </w:r>
      <w:proofErr w:type="spellEnd"/>
      <w:r w:rsidRPr="00D356FB">
        <w:rPr>
          <w:rFonts w:eastAsia="Times New Roman"/>
          <w:kern w:val="0"/>
          <w:lang w:eastAsia="en-GB"/>
          <w14:ligatures w14:val="none"/>
        </w:rPr>
        <w:t xml:space="preserve"> and Emma Waterton, ‘Constrained by Commonsense: The Authorized Heritage Discourse in Contemporary Debates’, in </w:t>
      </w:r>
      <w:r w:rsidRPr="00D356FB">
        <w:rPr>
          <w:rFonts w:eastAsia="Times New Roman"/>
          <w:i/>
          <w:iCs/>
          <w:kern w:val="0"/>
          <w:lang w:eastAsia="en-GB"/>
          <w14:ligatures w14:val="none"/>
        </w:rPr>
        <w:t>The Oxford Handbook of Public</w:t>
      </w:r>
      <w:r w:rsidRPr="00D356FB">
        <w:rPr>
          <w:rFonts w:eastAsia="Times New Roman"/>
          <w:kern w:val="0"/>
          <w:lang w:eastAsia="en-GB"/>
          <w14:ligatures w14:val="none"/>
        </w:rPr>
        <w:t xml:space="preserve"> </w:t>
      </w:r>
      <w:r w:rsidRPr="00D356FB">
        <w:rPr>
          <w:rFonts w:eastAsia="Times New Roman"/>
          <w:i/>
          <w:iCs/>
          <w:kern w:val="0"/>
          <w:lang w:eastAsia="en-GB"/>
          <w14:ligatures w14:val="none"/>
        </w:rPr>
        <w:t xml:space="preserve">Archaeology, </w:t>
      </w:r>
      <w:r w:rsidRPr="00D356FB">
        <w:rPr>
          <w:rFonts w:eastAsia="Times New Roman"/>
          <w:kern w:val="0"/>
          <w:lang w:eastAsia="en-GB"/>
          <w14:ligatures w14:val="none"/>
        </w:rPr>
        <w:t>ed by Robin Skeates (Oxford, 2012), pp. 153–171.</w:t>
      </w:r>
    </w:p>
    <w:p w14:paraId="7BF32DCC" w14:textId="77777777" w:rsidR="009D70A8" w:rsidRPr="00D356FB" w:rsidRDefault="009D70A8" w:rsidP="009D70A8">
      <w:pPr>
        <w:pStyle w:val="NoSpacing"/>
        <w:numPr>
          <w:ilvl w:val="0"/>
          <w:numId w:val="4"/>
        </w:numPr>
      </w:pPr>
      <w:r w:rsidRPr="00D356FB">
        <w:t xml:space="preserve">Smith, </w:t>
      </w:r>
      <w:proofErr w:type="spellStart"/>
      <w:r w:rsidRPr="00D356FB">
        <w:t>Laurajane</w:t>
      </w:r>
      <w:proofErr w:type="spellEnd"/>
      <w:r w:rsidRPr="00D356FB">
        <w:t xml:space="preserve">, ‘Heritage as a Cultural Process’, </w:t>
      </w:r>
      <w:r w:rsidRPr="00D356FB">
        <w:rPr>
          <w:i/>
          <w:iCs/>
        </w:rPr>
        <w:t>Museum International</w:t>
      </w:r>
      <w:r w:rsidRPr="00D356FB">
        <w:t>, 58.1–2, 2006, pp. 44–55.</w:t>
      </w:r>
    </w:p>
    <w:p w14:paraId="3B30F308" w14:textId="77777777" w:rsidR="009D70A8" w:rsidRPr="00D356FB" w:rsidRDefault="009D70A8" w:rsidP="009D70A8">
      <w:pPr>
        <w:pStyle w:val="NoSpacing"/>
        <w:numPr>
          <w:ilvl w:val="0"/>
          <w:numId w:val="4"/>
        </w:numPr>
      </w:pPr>
      <w:r w:rsidRPr="00D356FB">
        <w:t xml:space="preserve">Smith, </w:t>
      </w:r>
      <w:proofErr w:type="spellStart"/>
      <w:r w:rsidRPr="00D356FB">
        <w:t>Laurajane</w:t>
      </w:r>
      <w:proofErr w:type="spellEnd"/>
      <w:r w:rsidRPr="00D356FB">
        <w:t xml:space="preserve">, </w:t>
      </w:r>
      <w:r w:rsidRPr="00D356FB">
        <w:rPr>
          <w:i/>
          <w:iCs/>
        </w:rPr>
        <w:t>Uses of Heritage</w:t>
      </w:r>
      <w:r w:rsidRPr="00D356FB">
        <w:t xml:space="preserve"> (London: Routledge, 2006)</w:t>
      </w:r>
    </w:p>
    <w:p w14:paraId="5FE84090" w14:textId="77777777" w:rsidR="009D70A8" w:rsidRPr="00D356FB" w:rsidRDefault="009D70A8" w:rsidP="009D70A8">
      <w:pPr>
        <w:pStyle w:val="NoSpacing"/>
        <w:numPr>
          <w:ilvl w:val="0"/>
          <w:numId w:val="4"/>
        </w:numPr>
        <w:rPr>
          <w:rFonts w:eastAsia="Times New Roman"/>
          <w:kern w:val="0"/>
          <w:lang w:eastAsia="en-GB"/>
          <w14:ligatures w14:val="none"/>
        </w:rPr>
      </w:pPr>
      <w:r w:rsidRPr="00D356FB">
        <w:rPr>
          <w:rFonts w:eastAsia="Times New Roman"/>
          <w:kern w:val="0"/>
          <w:lang w:eastAsia="en-GB"/>
          <w14:ligatures w14:val="none"/>
        </w:rPr>
        <w:t xml:space="preserve">Takakura, Hiroki, </w:t>
      </w:r>
      <w:r w:rsidRPr="00D356FB">
        <w:rPr>
          <w:rFonts w:eastAsia="Times New Roman"/>
          <w:i/>
          <w:iCs/>
          <w:kern w:val="0"/>
          <w:lang w:eastAsia="en-GB"/>
          <w14:ligatures w14:val="none"/>
        </w:rPr>
        <w:t>Anthropology and Disaster in Japan</w:t>
      </w:r>
      <w:r w:rsidRPr="00D356FB">
        <w:rPr>
          <w:rFonts w:eastAsia="Times New Roman"/>
          <w:kern w:val="0"/>
          <w:lang w:eastAsia="en-GB"/>
          <w14:ligatures w14:val="none"/>
        </w:rPr>
        <w:t xml:space="preserve"> (London: Routledge, 2023).</w:t>
      </w:r>
    </w:p>
    <w:p w14:paraId="6C01B92A" w14:textId="77777777" w:rsidR="009D70A8" w:rsidRPr="00D356FB" w:rsidRDefault="009D70A8" w:rsidP="009D70A8">
      <w:pPr>
        <w:pStyle w:val="NoSpacing"/>
        <w:numPr>
          <w:ilvl w:val="0"/>
          <w:numId w:val="4"/>
        </w:numPr>
      </w:pPr>
      <w:r w:rsidRPr="00D356FB">
        <w:t xml:space="preserve">Takakura, Hiroki, </w:t>
      </w:r>
      <w:proofErr w:type="gramStart"/>
      <w:r w:rsidRPr="00D356FB">
        <w:rPr>
          <w:i/>
          <w:iCs/>
        </w:rPr>
        <w:t>The</w:t>
      </w:r>
      <w:proofErr w:type="gramEnd"/>
      <w:r w:rsidRPr="00D356FB">
        <w:rPr>
          <w:i/>
          <w:iCs/>
        </w:rPr>
        <w:t xml:space="preserve"> role of intangible cultural heritage in the disaster recovery in Fukushima, </w:t>
      </w:r>
      <w:r w:rsidRPr="00D356FB">
        <w:t xml:space="preserve">2019, &lt; </w:t>
      </w:r>
      <w:hyperlink r:id="rId27" w:history="1">
        <w:r w:rsidRPr="00D356FB">
          <w:rPr>
            <w:rStyle w:val="Hyperlink"/>
            <w:rFonts w:ascii="Calibri" w:hAnsi="Calibri" w:cs="Calibri"/>
          </w:rPr>
          <w:t>Takakura2019Fukushima.pdf</w:t>
        </w:r>
      </w:hyperlink>
      <w:r w:rsidRPr="00D356FB">
        <w:t>&gt; [accessed 01/06/2026].</w:t>
      </w:r>
    </w:p>
    <w:p w14:paraId="19296CD5" w14:textId="77777777" w:rsidR="009D70A8" w:rsidRPr="00D356FB" w:rsidRDefault="009D70A8" w:rsidP="009D70A8">
      <w:pPr>
        <w:pStyle w:val="NoSpacing"/>
        <w:numPr>
          <w:ilvl w:val="0"/>
          <w:numId w:val="4"/>
        </w:numPr>
      </w:pPr>
      <w:r w:rsidRPr="00D356FB">
        <w:t>The Guardian</w:t>
      </w:r>
      <w:r w:rsidRPr="00D356FB">
        <w:rPr>
          <w:i/>
          <w:iCs/>
        </w:rPr>
        <w:t xml:space="preserve">, </w:t>
      </w:r>
      <w:proofErr w:type="gramStart"/>
      <w:r w:rsidRPr="00D356FB">
        <w:rPr>
          <w:i/>
          <w:iCs/>
        </w:rPr>
        <w:t>Rebuild</w:t>
      </w:r>
      <w:proofErr w:type="gramEnd"/>
      <w:r w:rsidRPr="00D356FB">
        <w:rPr>
          <w:i/>
          <w:iCs/>
        </w:rPr>
        <w:t xml:space="preserve"> criticism after fire,</w:t>
      </w:r>
      <w:r w:rsidRPr="00D356FB">
        <w:t xml:space="preserve"> 24 January 2023 &lt;</w:t>
      </w:r>
      <w:hyperlink r:id="rId28" w:history="1">
        <w:r w:rsidRPr="00D356FB">
          <w:rPr>
            <w:rStyle w:val="Hyperlink"/>
            <w:rFonts w:ascii="Calibri" w:hAnsi="Calibri" w:cs="Calibri"/>
          </w:rPr>
          <w:t>https://www.theguardian.com/education/2023/jan/24/glasgow-school-of-art-cost-and-pace-of-rebuild-criticised-after-2018-fire</w:t>
        </w:r>
      </w:hyperlink>
      <w:r w:rsidRPr="00D356FB">
        <w:t>&gt; [accessed 01/06/2026].</w:t>
      </w:r>
    </w:p>
    <w:p w14:paraId="6540E27F" w14:textId="77777777" w:rsidR="009D70A8" w:rsidRPr="00D356FB" w:rsidRDefault="009D70A8" w:rsidP="009D70A8">
      <w:pPr>
        <w:pStyle w:val="NoSpacing"/>
        <w:numPr>
          <w:ilvl w:val="0"/>
          <w:numId w:val="4"/>
        </w:numPr>
      </w:pPr>
      <w:r w:rsidRPr="00D356FB">
        <w:lastRenderedPageBreak/>
        <w:t>The Herald</w:t>
      </w:r>
      <w:r w:rsidRPr="00D356FB">
        <w:rPr>
          <w:b/>
          <w:bCs/>
        </w:rPr>
        <w:t xml:space="preserve">, </w:t>
      </w:r>
      <w:r w:rsidRPr="00D356FB">
        <w:rPr>
          <w:i/>
          <w:iCs/>
        </w:rPr>
        <w:t>A complete timeline of the Glasgow School of Art fires</w:t>
      </w:r>
      <w:r w:rsidRPr="00D356FB">
        <w:t>, 2024 &lt;</w:t>
      </w:r>
      <w:hyperlink r:id="rId29" w:history="1">
        <w:r w:rsidRPr="00D356FB">
          <w:rPr>
            <w:rStyle w:val="Hyperlink"/>
            <w:rFonts w:ascii="Calibri" w:hAnsi="Calibri" w:cs="Calibri"/>
          </w:rPr>
          <w:t>A complete timeline of the Glasgow School of Art fires | The Herald</w:t>
        </w:r>
      </w:hyperlink>
      <w:r w:rsidRPr="00D356FB">
        <w:t>&gt; [accessed 01/06/2026].</w:t>
      </w:r>
    </w:p>
    <w:p w14:paraId="053E080B" w14:textId="77777777" w:rsidR="009D70A8" w:rsidRPr="00D356FB" w:rsidRDefault="009D70A8" w:rsidP="009D70A8">
      <w:pPr>
        <w:pStyle w:val="NoSpacing"/>
        <w:numPr>
          <w:ilvl w:val="0"/>
          <w:numId w:val="4"/>
        </w:numPr>
      </w:pPr>
      <w:r w:rsidRPr="00D356FB">
        <w:t xml:space="preserve">UK Government, </w:t>
      </w:r>
      <w:r w:rsidRPr="00D356FB">
        <w:rPr>
          <w:i/>
          <w:iCs/>
        </w:rPr>
        <w:t>UK Public Survey of Risk Perception, Resilience and Preparedness</w:t>
      </w:r>
      <w:r w:rsidRPr="00D356FB">
        <w:t>, 2025.</w:t>
      </w:r>
    </w:p>
    <w:p w14:paraId="37C742AC" w14:textId="77777777" w:rsidR="009D70A8" w:rsidRPr="00D356FB" w:rsidRDefault="009D70A8" w:rsidP="009D70A8">
      <w:pPr>
        <w:pStyle w:val="NoSpacing"/>
        <w:numPr>
          <w:ilvl w:val="0"/>
          <w:numId w:val="4"/>
        </w:numPr>
      </w:pPr>
      <w:r w:rsidRPr="00D356FB">
        <w:t xml:space="preserve">UK National Commission for UNESCO, </w:t>
      </w:r>
      <w:r w:rsidRPr="00D356FB">
        <w:rPr>
          <w:i/>
          <w:iCs/>
        </w:rPr>
        <w:t>Heritage and Disaster Response and Resilience</w:t>
      </w:r>
      <w:r w:rsidRPr="00D356FB">
        <w:t>, 2021.</w:t>
      </w:r>
    </w:p>
    <w:p w14:paraId="72558E8F" w14:textId="77777777" w:rsidR="009D70A8" w:rsidRPr="00D356FB" w:rsidRDefault="009D70A8" w:rsidP="009D70A8">
      <w:pPr>
        <w:pStyle w:val="NoSpacing"/>
        <w:numPr>
          <w:ilvl w:val="0"/>
          <w:numId w:val="4"/>
        </w:numPr>
      </w:pPr>
      <w:r w:rsidRPr="00D356FB">
        <w:t xml:space="preserve">UK Parliament, </w:t>
      </w:r>
      <w:r w:rsidRPr="00D356FB">
        <w:rPr>
          <w:i/>
          <w:iCs/>
        </w:rPr>
        <w:t>Flood Resilience in England</w:t>
      </w:r>
      <w:r w:rsidRPr="00D356FB">
        <w:t>, 2025.</w:t>
      </w:r>
    </w:p>
    <w:p w14:paraId="574AE821" w14:textId="77777777" w:rsidR="009D70A8" w:rsidRPr="00D356FB" w:rsidRDefault="009D70A8" w:rsidP="009D70A8">
      <w:pPr>
        <w:pStyle w:val="NoSpacing"/>
        <w:numPr>
          <w:ilvl w:val="0"/>
          <w:numId w:val="4"/>
        </w:numPr>
      </w:pPr>
      <w:r w:rsidRPr="00D356FB">
        <w:t xml:space="preserve">UNESCO, </w:t>
      </w:r>
      <w:r w:rsidRPr="00D356FB">
        <w:rPr>
          <w:i/>
          <w:iCs/>
        </w:rPr>
        <w:t>‘Heritage, Disaster Response and Resilience’</w:t>
      </w:r>
      <w:r w:rsidRPr="00D356FB">
        <w:t xml:space="preserve">, </w:t>
      </w:r>
      <w:r w:rsidRPr="00D356FB">
        <w:rPr>
          <w:i/>
          <w:iCs/>
        </w:rPr>
        <w:t>Heritage and Our Sustainable Future</w:t>
      </w:r>
      <w:r w:rsidRPr="00D356FB">
        <w:t xml:space="preserve">, Issue 8, 6th December 2021 </w:t>
      </w:r>
      <w:hyperlink r:id="rId30" w:history="1">
        <w:r w:rsidRPr="00D356FB">
          <w:rPr>
            <w:rStyle w:val="Hyperlink"/>
            <w:rFonts w:ascii="Calibri" w:hAnsi="Calibri" w:cs="Calibri"/>
          </w:rPr>
          <w:t>https://unesco.org.uk/site/assets/files/2777/4_heritage-disaster-response-and-resilience-report.pdf</w:t>
        </w:r>
      </w:hyperlink>
      <w:r w:rsidRPr="00D356FB">
        <w:t xml:space="preserve"> [accessed 01/06/2026]. </w:t>
      </w:r>
    </w:p>
    <w:p w14:paraId="6FB80E48" w14:textId="77777777" w:rsidR="009D70A8" w:rsidRDefault="009D70A8" w:rsidP="009D70A8">
      <w:pPr>
        <w:pStyle w:val="NoSpacing"/>
        <w:numPr>
          <w:ilvl w:val="0"/>
          <w:numId w:val="4"/>
        </w:numPr>
      </w:pPr>
      <w:r w:rsidRPr="00D356FB">
        <w:t xml:space="preserve">UNESCO, ‘Reducing Disaster Risks at World Heritage Properties’, </w:t>
      </w:r>
      <w:hyperlink r:id="rId31" w:history="1">
        <w:r w:rsidRPr="00D356FB">
          <w:rPr>
            <w:rStyle w:val="Hyperlink"/>
            <w:rFonts w:ascii="Calibri" w:hAnsi="Calibri" w:cs="Calibri"/>
          </w:rPr>
          <w:t>https://whc.unesco.org/en/disaster-risk-reduction/</w:t>
        </w:r>
      </w:hyperlink>
      <w:r w:rsidRPr="00D356FB">
        <w:t xml:space="preserve"> [accessed 01/06/2026].</w:t>
      </w:r>
    </w:p>
    <w:p w14:paraId="70A698BC" w14:textId="208D6F97" w:rsidR="006A4DDE" w:rsidRPr="006A4DDE" w:rsidRDefault="000E6C84" w:rsidP="009D70A8">
      <w:pPr>
        <w:pStyle w:val="NoSpacing"/>
        <w:numPr>
          <w:ilvl w:val="0"/>
          <w:numId w:val="4"/>
        </w:numPr>
      </w:pPr>
      <w:r w:rsidRPr="006A4DDE">
        <w:rPr>
          <w:rFonts w:ascii="Calibri" w:hAnsi="Calibri" w:cs="Calibri"/>
        </w:rPr>
        <w:t>Ware</w:t>
      </w:r>
      <w:r>
        <w:rPr>
          <w:rFonts w:ascii="Calibri" w:hAnsi="Calibri" w:cs="Calibri"/>
        </w:rPr>
        <w:t>,</w:t>
      </w:r>
      <w:r w:rsidRPr="006A4DDE">
        <w:rPr>
          <w:rFonts w:ascii="Calibri" w:hAnsi="Calibri" w:cs="Calibri"/>
        </w:rPr>
        <w:t xml:space="preserve"> </w:t>
      </w:r>
      <w:r w:rsidR="006A4DDE" w:rsidRPr="006A4DDE">
        <w:rPr>
          <w:rFonts w:ascii="Calibri" w:hAnsi="Calibri" w:cs="Calibri"/>
        </w:rPr>
        <w:t xml:space="preserve">Joe, ‘UK Museum Housed in UNESCO Heritage Site Suffers Significant Flood Damage’, </w:t>
      </w:r>
      <w:r w:rsidR="006A4DDE" w:rsidRPr="006A4DDE">
        <w:rPr>
          <w:rFonts w:ascii="Calibri" w:hAnsi="Calibri" w:cs="Calibri"/>
          <w:i/>
          <w:iCs/>
        </w:rPr>
        <w:t>The Art Newspaper,</w:t>
      </w:r>
      <w:r w:rsidR="006A4DDE" w:rsidRPr="006A4DDE">
        <w:rPr>
          <w:rFonts w:ascii="Calibri" w:hAnsi="Calibri" w:cs="Calibri"/>
        </w:rPr>
        <w:t xml:space="preserve"> 24 October 2023 &lt;https://www.theartnewspaper.com/2023/10/24/uk-museum-housed-in-unesco-heritage-site-suffers-significant-flood-damage&gt;[accessed 01/06/2026].</w:t>
      </w:r>
    </w:p>
    <w:p w14:paraId="0308C743" w14:textId="77777777" w:rsidR="009D70A8" w:rsidRPr="00D356FB" w:rsidRDefault="009D70A8" w:rsidP="009D70A8">
      <w:pPr>
        <w:pStyle w:val="NoSpacing"/>
        <w:numPr>
          <w:ilvl w:val="0"/>
          <w:numId w:val="4"/>
        </w:numPr>
      </w:pPr>
      <w:r w:rsidRPr="00D356FB">
        <w:t xml:space="preserve">World Bank, </w:t>
      </w:r>
      <w:r w:rsidRPr="00D356FB">
        <w:rPr>
          <w:rStyle w:val="Emphasis"/>
          <w:rFonts w:ascii="Calibri" w:hAnsi="Calibri" w:cs="Calibri"/>
        </w:rPr>
        <w:t>Resilient Cultural Heritage: Learning from Japan’s Disaster Experience</w:t>
      </w:r>
      <w:r w:rsidRPr="00D356FB">
        <w:t xml:space="preserve"> (Washington, DC: Global Facility for Disaster Reduction and Recovery, 2020) &lt;https://www.gfdrr.org/sites/default/files/publication/Japan_Resilient_Cultural_Heritage.pdf&gt; [accessed 01/06/2026].</w:t>
      </w:r>
    </w:p>
    <w:p w14:paraId="02D1066C" w14:textId="77777777" w:rsidR="009D70A8" w:rsidRPr="00D356FB" w:rsidRDefault="009D70A8" w:rsidP="009D70A8">
      <w:pPr>
        <w:pStyle w:val="NoSpacing"/>
        <w:numPr>
          <w:ilvl w:val="0"/>
          <w:numId w:val="4"/>
        </w:numPr>
      </w:pPr>
      <w:r w:rsidRPr="00D356FB">
        <w:t xml:space="preserve">Yamashita, Shinji, ‘Cultural Heritage and Disaster Risk Reduction’, </w:t>
      </w:r>
      <w:r w:rsidRPr="00D356FB">
        <w:rPr>
          <w:i/>
          <w:iCs/>
        </w:rPr>
        <w:t>Japanese Review of Cultural Anthropology</w:t>
      </w:r>
      <w:r w:rsidRPr="00D356FB">
        <w:t>, 21, 2020, pp. 79–84.</w:t>
      </w:r>
    </w:p>
    <w:p w14:paraId="7C60F8BB" w14:textId="77777777" w:rsidR="009D70A8" w:rsidRDefault="009D70A8"/>
    <w:sectPr w:rsidR="009D70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4C019" w14:textId="77777777" w:rsidR="00D96E79" w:rsidRDefault="00D96E79" w:rsidP="0083748F">
      <w:pPr>
        <w:spacing w:after="0" w:line="240" w:lineRule="auto"/>
      </w:pPr>
      <w:r>
        <w:separator/>
      </w:r>
    </w:p>
  </w:endnote>
  <w:endnote w:type="continuationSeparator" w:id="0">
    <w:p w14:paraId="2010B246" w14:textId="77777777" w:rsidR="00D96E79" w:rsidRDefault="00D96E79" w:rsidP="00837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C220A" w14:textId="77777777" w:rsidR="00D96E79" w:rsidRDefault="00D96E79" w:rsidP="0083748F">
      <w:pPr>
        <w:spacing w:after="0" w:line="240" w:lineRule="auto"/>
      </w:pPr>
      <w:r>
        <w:separator/>
      </w:r>
    </w:p>
  </w:footnote>
  <w:footnote w:type="continuationSeparator" w:id="0">
    <w:p w14:paraId="3F26FDBC" w14:textId="77777777" w:rsidR="00D96E79" w:rsidRDefault="00D96E79" w:rsidP="0083748F">
      <w:pPr>
        <w:spacing w:after="0" w:line="240" w:lineRule="auto"/>
      </w:pPr>
      <w:r>
        <w:continuationSeparator/>
      </w:r>
    </w:p>
  </w:footnote>
  <w:footnote w:id="1">
    <w:p w14:paraId="0E1DFA49" w14:textId="2B54CCBD" w:rsidR="0083748F" w:rsidRPr="00F110FD" w:rsidRDefault="0083748F"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w:t>
      </w:r>
      <w:proofErr w:type="spellStart"/>
      <w:r w:rsidRPr="00F110FD">
        <w:rPr>
          <w:rFonts w:ascii="Calibri" w:hAnsi="Calibri" w:cs="Calibri"/>
          <w:sz w:val="18"/>
          <w:szCs w:val="18"/>
        </w:rPr>
        <w:t>Laurajane</w:t>
      </w:r>
      <w:proofErr w:type="spellEnd"/>
      <w:r w:rsidRPr="00F110FD">
        <w:rPr>
          <w:rFonts w:ascii="Calibri" w:hAnsi="Calibri" w:cs="Calibri"/>
          <w:sz w:val="18"/>
          <w:szCs w:val="18"/>
        </w:rPr>
        <w:t xml:space="preserve"> Smith, </w:t>
      </w:r>
      <w:r w:rsidRPr="00F110FD">
        <w:rPr>
          <w:rFonts w:ascii="Calibri" w:hAnsi="Calibri" w:cs="Calibri"/>
          <w:i/>
          <w:iCs/>
          <w:sz w:val="18"/>
          <w:szCs w:val="18"/>
        </w:rPr>
        <w:t>Uses of Heritage</w:t>
      </w:r>
      <w:r w:rsidRPr="00F110FD">
        <w:rPr>
          <w:rFonts w:ascii="Calibri" w:hAnsi="Calibri" w:cs="Calibri"/>
          <w:sz w:val="18"/>
          <w:szCs w:val="18"/>
        </w:rPr>
        <w:t xml:space="preserve">, pp. 1–10; Rodney Harrison, </w:t>
      </w:r>
      <w:r w:rsidRPr="00F110FD">
        <w:rPr>
          <w:rFonts w:ascii="Calibri" w:hAnsi="Calibri" w:cs="Calibri"/>
          <w:i/>
          <w:iCs/>
          <w:sz w:val="18"/>
          <w:szCs w:val="18"/>
        </w:rPr>
        <w:t>Heritage: Critical Approaches</w:t>
      </w:r>
      <w:r w:rsidRPr="00F110FD">
        <w:rPr>
          <w:rFonts w:ascii="Calibri" w:hAnsi="Calibri" w:cs="Calibri"/>
          <w:sz w:val="18"/>
          <w:szCs w:val="18"/>
        </w:rPr>
        <w:t>, pp. 3–10.</w:t>
      </w:r>
    </w:p>
  </w:footnote>
  <w:footnote w:id="2">
    <w:p w14:paraId="30C8B0DE" w14:textId="2E8338BC" w:rsidR="00474502" w:rsidRPr="00F110FD" w:rsidRDefault="00474502"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w:t>
      </w:r>
      <w:r w:rsidR="00DC0AC4" w:rsidRPr="00F110FD">
        <w:rPr>
          <w:rFonts w:ascii="Calibri" w:hAnsi="Calibri" w:cs="Calibri"/>
          <w:sz w:val="18"/>
          <w:szCs w:val="18"/>
        </w:rPr>
        <w:t xml:space="preserve">UNESCO, </w:t>
      </w:r>
      <w:r w:rsidR="00DC0AC4" w:rsidRPr="00F110FD">
        <w:rPr>
          <w:rFonts w:ascii="Calibri" w:hAnsi="Calibri" w:cs="Calibri"/>
          <w:i/>
          <w:iCs/>
          <w:sz w:val="18"/>
          <w:szCs w:val="18"/>
        </w:rPr>
        <w:t>‘Heritage, Disaster Response and Resilience’.</w:t>
      </w:r>
    </w:p>
  </w:footnote>
  <w:footnote w:id="3">
    <w:p w14:paraId="27248570" w14:textId="75C52B36" w:rsidR="00403AF0" w:rsidRPr="00F110FD" w:rsidRDefault="00403AF0"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UNESCO, ‘Reducing Disaster Risks at World Heritage Properties’.</w:t>
      </w:r>
    </w:p>
  </w:footnote>
  <w:footnote w:id="4">
    <w:p w14:paraId="7256C766" w14:textId="286CA1E2" w:rsidR="00F355AA" w:rsidRPr="00F110FD" w:rsidRDefault="00F355AA"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Rohit Jigyasu, ‘Managing Cultural Heritage in Disaster’.</w:t>
      </w:r>
    </w:p>
  </w:footnote>
  <w:footnote w:id="5">
    <w:p w14:paraId="1F049CE6" w14:textId="37F37D69" w:rsidR="00673E9F" w:rsidRPr="00F110FD" w:rsidRDefault="00673E9F"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Rohit Jigyasu, ‘Managing Cultural Heritage in Disaster’.</w:t>
      </w:r>
    </w:p>
  </w:footnote>
  <w:footnote w:id="6">
    <w:p w14:paraId="7759D451" w14:textId="77777777" w:rsidR="006D150E" w:rsidRPr="00F110FD" w:rsidRDefault="006D150E"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Josep Pastrana-Huguet et al, ‘Japan’s Culture of Prevention’.</w:t>
      </w:r>
    </w:p>
  </w:footnote>
  <w:footnote w:id="7">
    <w:p w14:paraId="4C331352" w14:textId="77777777" w:rsidR="006D150E" w:rsidRPr="00F110FD" w:rsidRDefault="006D150E"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BBC News, ‘Japan earthquake: Tsunami hits north</w:t>
      </w:r>
      <w:r w:rsidRPr="00F110FD">
        <w:rPr>
          <w:rFonts w:ascii="Calibri" w:hAnsi="Calibri" w:cs="Calibri"/>
          <w:sz w:val="18"/>
          <w:szCs w:val="18"/>
        </w:rPr>
        <w:noBreakHyphen/>
        <w:t>east’.</w:t>
      </w:r>
    </w:p>
  </w:footnote>
  <w:footnote w:id="8">
    <w:p w14:paraId="5E792035" w14:textId="77777777" w:rsidR="006D150E" w:rsidRPr="00F110FD" w:rsidRDefault="006D150E"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World Bank, </w:t>
      </w:r>
      <w:r w:rsidRPr="00F110FD">
        <w:rPr>
          <w:rFonts w:ascii="Calibri" w:hAnsi="Calibri" w:cs="Calibri"/>
          <w:i/>
          <w:iCs/>
          <w:sz w:val="18"/>
          <w:szCs w:val="18"/>
        </w:rPr>
        <w:t>Resilient Cultural Heritage: Learning from Japan’s Disaster Experience</w:t>
      </w:r>
      <w:r w:rsidRPr="00F110FD">
        <w:rPr>
          <w:rFonts w:ascii="Calibri" w:hAnsi="Calibri" w:cs="Calibri"/>
          <w:sz w:val="18"/>
          <w:szCs w:val="18"/>
        </w:rPr>
        <w:t>.</w:t>
      </w:r>
    </w:p>
  </w:footnote>
  <w:footnote w:id="9">
    <w:p w14:paraId="67D56EEA" w14:textId="77777777" w:rsidR="006D150E" w:rsidRPr="00F110FD" w:rsidRDefault="006D150E"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Josep Pastrana-Huguet et al, ‘Japan’s Culture of Prevention’.</w:t>
      </w:r>
    </w:p>
  </w:footnote>
  <w:footnote w:id="10">
    <w:p w14:paraId="020CE2CD" w14:textId="77777777" w:rsidR="006D150E" w:rsidRPr="00F110FD" w:rsidRDefault="006D150E"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Shinji Yamashita, ‘Cultural Heritage and Disaster Risk Reduction’.</w:t>
      </w:r>
    </w:p>
  </w:footnote>
  <w:footnote w:id="11">
    <w:p w14:paraId="43657324" w14:textId="77777777" w:rsidR="006D150E" w:rsidRPr="00F110FD" w:rsidRDefault="006D150E" w:rsidP="00F110FD">
      <w:pPr>
        <w:pStyle w:val="FootnoteText"/>
        <w:rPr>
          <w:rFonts w:ascii="Calibri" w:hAnsi="Calibri" w:cs="Calibri"/>
          <w:b/>
          <w:bCs/>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Historic England, </w:t>
      </w:r>
      <w:r w:rsidRPr="00F110FD">
        <w:rPr>
          <w:rFonts w:ascii="Calibri" w:hAnsi="Calibri" w:cs="Calibri"/>
          <w:i/>
          <w:iCs/>
          <w:sz w:val="18"/>
          <w:szCs w:val="18"/>
        </w:rPr>
        <w:t>Delivering on Climate Change Action and Heritage</w:t>
      </w:r>
      <w:r w:rsidRPr="00F110FD">
        <w:rPr>
          <w:rFonts w:ascii="Calibri" w:hAnsi="Calibri" w:cs="Calibri"/>
          <w:sz w:val="18"/>
          <w:szCs w:val="18"/>
        </w:rPr>
        <w:t>.</w:t>
      </w:r>
    </w:p>
  </w:footnote>
  <w:footnote w:id="12">
    <w:p w14:paraId="25FF0D6A" w14:textId="77777777" w:rsidR="006D150E" w:rsidRPr="00F110FD" w:rsidRDefault="006D150E"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Pontypridd Museum, </w:t>
      </w:r>
      <w:r w:rsidRPr="00F110FD">
        <w:rPr>
          <w:rFonts w:ascii="Calibri" w:hAnsi="Calibri" w:cs="Calibri"/>
          <w:i/>
          <w:iCs/>
          <w:sz w:val="18"/>
          <w:szCs w:val="18"/>
        </w:rPr>
        <w:t>Museum Flooding.</w:t>
      </w:r>
    </w:p>
  </w:footnote>
  <w:footnote w:id="13">
    <w:p w14:paraId="44B2641D" w14:textId="77777777" w:rsidR="006D150E" w:rsidRPr="00F110FD" w:rsidRDefault="006D150E" w:rsidP="00F110FD">
      <w:pPr>
        <w:pStyle w:val="FootnoteText"/>
        <w:rPr>
          <w:rFonts w:ascii="Calibri" w:hAnsi="Calibri" w:cs="Calibri"/>
          <w:b/>
          <w:bCs/>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The Herald</w:t>
      </w:r>
      <w:r w:rsidRPr="00F110FD">
        <w:rPr>
          <w:rFonts w:ascii="Calibri" w:hAnsi="Calibri" w:cs="Calibri"/>
          <w:b/>
          <w:bCs/>
          <w:sz w:val="18"/>
          <w:szCs w:val="18"/>
        </w:rPr>
        <w:t xml:space="preserve">, </w:t>
      </w:r>
      <w:r w:rsidRPr="00F110FD">
        <w:rPr>
          <w:rFonts w:ascii="Calibri" w:hAnsi="Calibri" w:cs="Calibri"/>
          <w:i/>
          <w:iCs/>
          <w:sz w:val="18"/>
          <w:szCs w:val="18"/>
        </w:rPr>
        <w:t>A complete timeline of the Glasgow School of Art fires</w:t>
      </w:r>
      <w:r w:rsidRPr="00F110FD">
        <w:rPr>
          <w:rFonts w:ascii="Calibri" w:hAnsi="Calibri" w:cs="Calibri"/>
          <w:sz w:val="18"/>
          <w:szCs w:val="18"/>
        </w:rPr>
        <w:t>.</w:t>
      </w:r>
    </w:p>
  </w:footnote>
  <w:footnote w:id="14">
    <w:p w14:paraId="0AB786C1" w14:textId="77777777" w:rsidR="006D150E" w:rsidRPr="00F110FD" w:rsidRDefault="006D150E"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UK Government, </w:t>
      </w:r>
      <w:r w:rsidRPr="00F110FD">
        <w:rPr>
          <w:rFonts w:ascii="Calibri" w:hAnsi="Calibri" w:cs="Calibri"/>
          <w:i/>
          <w:iCs/>
          <w:sz w:val="18"/>
          <w:szCs w:val="18"/>
        </w:rPr>
        <w:t>UK Public Survey of Risk Perception, Resilience and Preparedness</w:t>
      </w:r>
      <w:r w:rsidRPr="00F110FD">
        <w:rPr>
          <w:rFonts w:ascii="Calibri" w:hAnsi="Calibri" w:cs="Calibri"/>
          <w:sz w:val="18"/>
          <w:szCs w:val="18"/>
        </w:rPr>
        <w:t>, 2025.</w:t>
      </w:r>
    </w:p>
  </w:footnote>
  <w:footnote w:id="15">
    <w:p w14:paraId="3DB941E7" w14:textId="77777777" w:rsidR="006D150E" w:rsidRPr="00F110FD" w:rsidRDefault="006D150E"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UK Parliament, </w:t>
      </w:r>
      <w:r w:rsidRPr="00F110FD">
        <w:rPr>
          <w:rFonts w:ascii="Calibri" w:hAnsi="Calibri" w:cs="Calibri"/>
          <w:i/>
          <w:iCs/>
          <w:sz w:val="18"/>
          <w:szCs w:val="18"/>
        </w:rPr>
        <w:t>Flood Resilience in England</w:t>
      </w:r>
      <w:r w:rsidRPr="00F110FD">
        <w:rPr>
          <w:rFonts w:ascii="Calibri" w:hAnsi="Calibri" w:cs="Calibri"/>
          <w:sz w:val="18"/>
          <w:szCs w:val="18"/>
        </w:rPr>
        <w:t>, 2025.</w:t>
      </w:r>
    </w:p>
  </w:footnote>
  <w:footnote w:id="16">
    <w:p w14:paraId="141735A5" w14:textId="77777777" w:rsidR="00667670" w:rsidRPr="00F110FD" w:rsidRDefault="00667670"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Historic England, </w:t>
      </w:r>
      <w:r w:rsidRPr="00F110FD">
        <w:rPr>
          <w:rFonts w:ascii="Calibri" w:hAnsi="Calibri" w:cs="Calibri"/>
          <w:i/>
          <w:iCs/>
          <w:sz w:val="18"/>
          <w:szCs w:val="18"/>
        </w:rPr>
        <w:t>Emergency Planning for Heritage</w:t>
      </w:r>
      <w:r w:rsidRPr="00F110FD">
        <w:rPr>
          <w:rFonts w:ascii="Calibri" w:hAnsi="Calibri" w:cs="Calibri"/>
          <w:sz w:val="18"/>
          <w:szCs w:val="18"/>
        </w:rPr>
        <w:t>.</w:t>
      </w:r>
    </w:p>
  </w:footnote>
  <w:footnote w:id="17">
    <w:p w14:paraId="5971A427" w14:textId="77777777" w:rsidR="00667670" w:rsidRPr="00F110FD" w:rsidRDefault="00667670"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Historic England, </w:t>
      </w:r>
      <w:r w:rsidRPr="00F110FD">
        <w:rPr>
          <w:rFonts w:ascii="Calibri" w:hAnsi="Calibri" w:cs="Calibri"/>
          <w:i/>
          <w:iCs/>
          <w:sz w:val="18"/>
          <w:szCs w:val="18"/>
        </w:rPr>
        <w:t>Emergency Planning for Heritage</w:t>
      </w:r>
      <w:r w:rsidRPr="00F110FD">
        <w:rPr>
          <w:rFonts w:ascii="Calibri" w:hAnsi="Calibri" w:cs="Calibri"/>
          <w:sz w:val="18"/>
          <w:szCs w:val="18"/>
        </w:rPr>
        <w:t>.</w:t>
      </w:r>
    </w:p>
  </w:footnote>
  <w:footnote w:id="18">
    <w:p w14:paraId="77B34242" w14:textId="77777777" w:rsidR="00667670" w:rsidRPr="00F110FD" w:rsidRDefault="00667670" w:rsidP="00F110FD">
      <w:pPr>
        <w:spacing w:after="0"/>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Historic England, </w:t>
      </w:r>
      <w:r w:rsidRPr="00F110FD">
        <w:rPr>
          <w:rFonts w:ascii="Calibri" w:hAnsi="Calibri" w:cs="Calibri"/>
          <w:i/>
          <w:iCs/>
          <w:sz w:val="18"/>
          <w:szCs w:val="18"/>
        </w:rPr>
        <w:t xml:space="preserve">Heritage at Risk; </w:t>
      </w:r>
      <w:r w:rsidRPr="00F110FD">
        <w:rPr>
          <w:rFonts w:ascii="Calibri" w:hAnsi="Calibri" w:cs="Calibri"/>
          <w:sz w:val="18"/>
          <w:szCs w:val="18"/>
        </w:rPr>
        <w:t xml:space="preserve">CADW, </w:t>
      </w:r>
      <w:r w:rsidRPr="00F110FD">
        <w:rPr>
          <w:rFonts w:ascii="Calibri" w:hAnsi="Calibri" w:cs="Calibri"/>
          <w:i/>
          <w:iCs/>
          <w:sz w:val="18"/>
          <w:szCs w:val="18"/>
        </w:rPr>
        <w:t>Listed Buildings at Risk</w:t>
      </w:r>
      <w:r w:rsidRPr="00F110FD">
        <w:rPr>
          <w:rFonts w:ascii="Calibri" w:hAnsi="Calibri" w:cs="Calibri"/>
          <w:sz w:val="18"/>
          <w:szCs w:val="18"/>
        </w:rPr>
        <w:t xml:space="preserve">; Historic Environment Scotland, </w:t>
      </w:r>
      <w:r w:rsidRPr="00F110FD">
        <w:rPr>
          <w:rFonts w:ascii="Calibri" w:hAnsi="Calibri" w:cs="Calibri"/>
          <w:i/>
          <w:iCs/>
          <w:sz w:val="18"/>
          <w:szCs w:val="18"/>
        </w:rPr>
        <w:t>Buildings at Risk Register</w:t>
      </w:r>
      <w:r w:rsidRPr="00F110FD">
        <w:rPr>
          <w:rFonts w:ascii="Calibri" w:hAnsi="Calibri" w:cs="Calibri"/>
          <w:sz w:val="18"/>
          <w:szCs w:val="18"/>
        </w:rPr>
        <w:t>.</w:t>
      </w:r>
    </w:p>
  </w:footnote>
  <w:footnote w:id="19">
    <w:p w14:paraId="3301D2DE" w14:textId="77777777" w:rsidR="00667670" w:rsidRPr="00F110FD" w:rsidRDefault="00667670"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Simon Kincaid, ‘Emergency Planning for Fire in Historic Buildings’.</w:t>
      </w:r>
    </w:p>
  </w:footnote>
  <w:footnote w:id="20">
    <w:p w14:paraId="68034FE9" w14:textId="77777777" w:rsidR="00667670" w:rsidRPr="00F110FD" w:rsidRDefault="00667670" w:rsidP="00F110FD">
      <w:pPr>
        <w:spacing w:after="0"/>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Kate Guest, ‘Heritage and the Pandemic’.</w:t>
      </w:r>
    </w:p>
  </w:footnote>
  <w:footnote w:id="21">
    <w:p w14:paraId="621D7F80" w14:textId="77777777" w:rsidR="00667670" w:rsidRPr="00F110FD" w:rsidRDefault="00667670"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UK National Commission for UNESCO, </w:t>
      </w:r>
      <w:r w:rsidRPr="00F110FD">
        <w:rPr>
          <w:rFonts w:ascii="Calibri" w:hAnsi="Calibri" w:cs="Calibri"/>
          <w:i/>
          <w:iCs/>
          <w:sz w:val="18"/>
          <w:szCs w:val="18"/>
        </w:rPr>
        <w:t>Heritage and Disaster Response and Resilience</w:t>
      </w:r>
      <w:r w:rsidRPr="00F110FD">
        <w:rPr>
          <w:rFonts w:ascii="Calibri" w:hAnsi="Calibri" w:cs="Calibri"/>
          <w:sz w:val="18"/>
          <w:szCs w:val="18"/>
        </w:rPr>
        <w:t>, 2021.</w:t>
      </w:r>
    </w:p>
  </w:footnote>
  <w:footnote w:id="22">
    <w:p w14:paraId="20B133E2" w14:textId="77777777" w:rsidR="00667670" w:rsidRPr="00F110FD" w:rsidRDefault="00667670"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Current Archaeology, </w:t>
      </w:r>
      <w:r w:rsidRPr="00F110FD">
        <w:rPr>
          <w:rFonts w:ascii="Calibri" w:hAnsi="Calibri" w:cs="Calibri"/>
          <w:i/>
          <w:iCs/>
          <w:sz w:val="18"/>
          <w:szCs w:val="18"/>
        </w:rPr>
        <w:t>Historic England Emergency Response Fund.</w:t>
      </w:r>
    </w:p>
  </w:footnote>
  <w:footnote w:id="23">
    <w:p w14:paraId="6E5ADE49" w14:textId="3A3B7DEA" w:rsidR="00FC4FC9" w:rsidRPr="00FC4FC9" w:rsidRDefault="00FC4FC9">
      <w:pPr>
        <w:pStyle w:val="FootnoteText"/>
        <w:rPr>
          <w:sz w:val="18"/>
          <w:szCs w:val="18"/>
        </w:rPr>
      </w:pPr>
      <w:r>
        <w:rPr>
          <w:rStyle w:val="FootnoteReference"/>
        </w:rPr>
        <w:footnoteRef/>
      </w:r>
      <w:r>
        <w:t xml:space="preserve"> </w:t>
      </w:r>
      <w:r w:rsidRPr="00FC4FC9">
        <w:rPr>
          <w:rFonts w:ascii="Calibri" w:eastAsia="Times New Roman" w:hAnsi="Calibri" w:cs="Calibri"/>
          <w:kern w:val="0"/>
          <w:sz w:val="18"/>
          <w:szCs w:val="18"/>
          <w:lang w:eastAsia="en-GB"/>
          <w14:ligatures w14:val="none"/>
        </w:rPr>
        <w:t xml:space="preserve">Historic England, </w:t>
      </w:r>
      <w:r w:rsidRPr="00FC4FC9">
        <w:rPr>
          <w:rFonts w:ascii="Calibri" w:eastAsia="Times New Roman" w:hAnsi="Calibri" w:cs="Calibri"/>
          <w:i/>
          <w:iCs/>
          <w:kern w:val="0"/>
          <w:sz w:val="18"/>
          <w:szCs w:val="18"/>
          <w:lang w:eastAsia="en-GB"/>
          <w14:ligatures w14:val="none"/>
        </w:rPr>
        <w:t>Historic England Strategy 2026–2031</w:t>
      </w:r>
      <w:r w:rsidRPr="00FC4FC9">
        <w:rPr>
          <w:rFonts w:ascii="Calibri" w:eastAsia="Times New Roman" w:hAnsi="Calibri" w:cs="Calibri"/>
          <w:kern w:val="0"/>
          <w:sz w:val="18"/>
          <w:szCs w:val="18"/>
          <w:lang w:eastAsia="en-GB"/>
          <w14:ligatures w14:val="none"/>
        </w:rPr>
        <w:t>, 2026</w:t>
      </w:r>
      <w:r w:rsidRPr="00FC4FC9">
        <w:rPr>
          <w:rFonts w:ascii="Calibri" w:eastAsia="Times New Roman" w:hAnsi="Calibri" w:cs="Calibri"/>
          <w:kern w:val="0"/>
          <w:sz w:val="18"/>
          <w:szCs w:val="18"/>
          <w:lang w:eastAsia="en-GB"/>
          <w14:ligatures w14:val="none"/>
        </w:rPr>
        <w:t>.</w:t>
      </w:r>
    </w:p>
  </w:footnote>
  <w:footnote w:id="24">
    <w:p w14:paraId="49202B89" w14:textId="77777777" w:rsidR="00667670" w:rsidRPr="00F110FD" w:rsidRDefault="00667670"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Agency for Cultural Affairs, </w:t>
      </w:r>
      <w:r w:rsidRPr="00F110FD">
        <w:rPr>
          <w:rFonts w:ascii="Calibri" w:hAnsi="Calibri" w:cs="Calibri"/>
          <w:i/>
          <w:iCs/>
          <w:sz w:val="18"/>
          <w:szCs w:val="18"/>
        </w:rPr>
        <w:t>Cultural Heritage Disaster Response Guidelines</w:t>
      </w:r>
      <w:r w:rsidRPr="00F110FD">
        <w:rPr>
          <w:rFonts w:ascii="Calibri" w:hAnsi="Calibri" w:cs="Calibri"/>
          <w:sz w:val="18"/>
          <w:szCs w:val="18"/>
        </w:rPr>
        <w:t>.</w:t>
      </w:r>
    </w:p>
  </w:footnote>
  <w:footnote w:id="25">
    <w:p w14:paraId="7232F6B7" w14:textId="77777777" w:rsidR="00667670" w:rsidRPr="00F110FD" w:rsidRDefault="00667670"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Tomomi Goto, </w:t>
      </w:r>
      <w:r w:rsidRPr="00F110FD">
        <w:rPr>
          <w:rFonts w:ascii="Calibri" w:hAnsi="Calibri" w:cs="Calibri"/>
          <w:i/>
          <w:iCs/>
          <w:sz w:val="18"/>
          <w:szCs w:val="18"/>
        </w:rPr>
        <w:t>Disaster Risk Assessment and Prevention for Intangible Heritage</w:t>
      </w:r>
      <w:r w:rsidRPr="00F110FD">
        <w:rPr>
          <w:rFonts w:ascii="Calibri" w:hAnsi="Calibri" w:cs="Calibri"/>
          <w:sz w:val="18"/>
          <w:szCs w:val="18"/>
        </w:rPr>
        <w:t>.</w:t>
      </w:r>
    </w:p>
  </w:footnote>
  <w:footnote w:id="26">
    <w:p w14:paraId="282FC36B" w14:textId="18816247" w:rsidR="00667670" w:rsidRPr="00F110FD" w:rsidRDefault="00667670"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Tetsuro Kurahashi, ‘Various Networks to Rescue and Support Damaged Cultural Heritage and Libraries - Response to the 2024 Noto Peninsula Earthquake and Other Disasters’</w:t>
      </w:r>
      <w:r w:rsidR="006B4AB7">
        <w:rPr>
          <w:rFonts w:ascii="Calibri" w:hAnsi="Calibri" w:cs="Calibri"/>
          <w:sz w:val="18"/>
          <w:szCs w:val="18"/>
        </w:rPr>
        <w:t>.</w:t>
      </w:r>
    </w:p>
  </w:footnote>
  <w:footnote w:id="27">
    <w:p w14:paraId="46317F74" w14:textId="77777777" w:rsidR="00F110FD" w:rsidRPr="00F110FD" w:rsidRDefault="00F110FD"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World Bank, </w:t>
      </w:r>
      <w:r w:rsidRPr="00F110FD">
        <w:rPr>
          <w:rStyle w:val="Emphasis"/>
          <w:rFonts w:ascii="Calibri" w:hAnsi="Calibri" w:cs="Calibri"/>
          <w:sz w:val="18"/>
          <w:szCs w:val="18"/>
        </w:rPr>
        <w:t>Resilient Cultural Heritage: Learning from Japan’s Disaster Experience.</w:t>
      </w:r>
    </w:p>
  </w:footnote>
  <w:footnote w:id="28">
    <w:p w14:paraId="73F36040" w14:textId="77777777" w:rsidR="00F110FD" w:rsidRPr="00F110FD" w:rsidRDefault="00F110FD"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World Bank, </w:t>
      </w:r>
      <w:r w:rsidRPr="00F110FD">
        <w:rPr>
          <w:rStyle w:val="Emphasis"/>
          <w:rFonts w:ascii="Calibri" w:hAnsi="Calibri" w:cs="Calibri"/>
          <w:sz w:val="18"/>
          <w:szCs w:val="18"/>
        </w:rPr>
        <w:t>Resilient Cultural Heritage: Learning from Japan’s Disaster Experience.</w:t>
      </w:r>
    </w:p>
  </w:footnote>
  <w:footnote w:id="29">
    <w:p w14:paraId="5AC072A8" w14:textId="77777777" w:rsidR="00F110FD" w:rsidRPr="00F110FD" w:rsidRDefault="00F110FD" w:rsidP="00F110FD">
      <w:pPr>
        <w:spacing w:after="0"/>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Andrew Littlejohn, ‘Museums of Themselves: Disaster, Heritage, and Disaster Heritage in Tohoku’.</w:t>
      </w:r>
    </w:p>
  </w:footnote>
  <w:footnote w:id="30">
    <w:p w14:paraId="23FB772B" w14:textId="77777777" w:rsidR="00F110FD" w:rsidRPr="00F110FD" w:rsidRDefault="00F110FD"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Andrew Littlejohn, </w:t>
      </w:r>
      <w:r w:rsidRPr="00F110FD">
        <w:rPr>
          <w:rFonts w:ascii="Calibri" w:eastAsia="Times New Roman" w:hAnsi="Calibri" w:cs="Calibri"/>
          <w:kern w:val="0"/>
          <w:sz w:val="18"/>
          <w:szCs w:val="18"/>
          <w:lang w:eastAsia="en-GB"/>
          <w14:ligatures w14:val="none"/>
        </w:rPr>
        <w:t>‘The Potential of Intangible Loss: Reassembling Heritage and Reconstructing the Social in Post</w:t>
      </w:r>
      <w:r w:rsidRPr="00F110FD">
        <w:rPr>
          <w:rFonts w:ascii="Calibri" w:eastAsia="Times New Roman" w:hAnsi="Calibri" w:cs="Calibri"/>
          <w:kern w:val="0"/>
          <w:sz w:val="18"/>
          <w:szCs w:val="18"/>
          <w:lang w:eastAsia="en-GB"/>
          <w14:ligatures w14:val="none"/>
        </w:rPr>
        <w:noBreakHyphen/>
        <w:t>Disaster Japan’.</w:t>
      </w:r>
    </w:p>
  </w:footnote>
  <w:footnote w:id="31">
    <w:p w14:paraId="011761D3" w14:textId="77777777" w:rsidR="00F110FD" w:rsidRPr="00F110FD" w:rsidRDefault="00F110FD" w:rsidP="00F110FD">
      <w:pPr>
        <w:pStyle w:val="NormalWeb"/>
        <w:spacing w:before="0" w:beforeAutospacing="0" w:after="0" w:afterAutospacing="0" w:line="300" w:lineRule="atLeas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Hiroki Takakura, </w:t>
      </w:r>
      <w:r w:rsidRPr="00F110FD">
        <w:rPr>
          <w:rFonts w:ascii="Calibri" w:hAnsi="Calibri" w:cs="Calibri"/>
          <w:i/>
          <w:iCs/>
          <w:sz w:val="18"/>
          <w:szCs w:val="18"/>
        </w:rPr>
        <w:t>The role of intangible cultural heritage in the disaster recovery in Fukushima.</w:t>
      </w:r>
    </w:p>
  </w:footnote>
  <w:footnote w:id="32">
    <w:p w14:paraId="79108DC7" w14:textId="77777777" w:rsidR="00F110FD" w:rsidRPr="00F110FD" w:rsidRDefault="00F110FD"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JAWS, </w:t>
      </w:r>
      <w:r w:rsidRPr="00F110FD">
        <w:rPr>
          <w:rFonts w:ascii="Calibri" w:eastAsia="Times New Roman" w:hAnsi="Calibri" w:cs="Calibri"/>
          <w:i/>
          <w:iCs/>
          <w:kern w:val="0"/>
          <w:sz w:val="18"/>
          <w:szCs w:val="18"/>
          <w:lang w:eastAsia="en-GB"/>
          <w14:ligatures w14:val="none"/>
        </w:rPr>
        <w:t xml:space="preserve">JAWS online series of Reflection on </w:t>
      </w:r>
      <w:proofErr w:type="spellStart"/>
      <w:r w:rsidRPr="00F110FD">
        <w:rPr>
          <w:rFonts w:ascii="Calibri" w:eastAsia="Times New Roman" w:hAnsi="Calibri" w:cs="Calibri"/>
          <w:i/>
          <w:iCs/>
          <w:kern w:val="0"/>
          <w:sz w:val="18"/>
          <w:szCs w:val="18"/>
          <w:lang w:eastAsia="en-GB"/>
          <w14:ligatures w14:val="none"/>
        </w:rPr>
        <w:t>Tōhoku</w:t>
      </w:r>
      <w:proofErr w:type="spellEnd"/>
      <w:r w:rsidRPr="00F110FD">
        <w:rPr>
          <w:rFonts w:ascii="Calibri" w:eastAsia="Times New Roman" w:hAnsi="Calibri" w:cs="Calibri"/>
          <w:i/>
          <w:iCs/>
          <w:kern w:val="0"/>
          <w:sz w:val="18"/>
          <w:szCs w:val="18"/>
          <w:lang w:eastAsia="en-GB"/>
          <w14:ligatures w14:val="none"/>
        </w:rPr>
        <w:t>.</w:t>
      </w:r>
    </w:p>
  </w:footnote>
  <w:footnote w:id="33">
    <w:p w14:paraId="0B1BF8FE" w14:textId="77777777" w:rsidR="00F110FD" w:rsidRPr="00F110FD" w:rsidRDefault="00F110FD"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w:t>
      </w:r>
      <w:r w:rsidRPr="00F110FD">
        <w:rPr>
          <w:rFonts w:ascii="Calibri" w:eastAsia="Times New Roman" w:hAnsi="Calibri" w:cs="Calibri"/>
          <w:kern w:val="0"/>
          <w:sz w:val="18"/>
          <w:szCs w:val="18"/>
          <w:lang w:eastAsia="en-GB"/>
          <w14:ligatures w14:val="none"/>
        </w:rPr>
        <w:t xml:space="preserve">National Institutes for Cultural Heritage, </w:t>
      </w:r>
      <w:r w:rsidRPr="00F110FD">
        <w:rPr>
          <w:rFonts w:ascii="Calibri" w:eastAsia="Times New Roman" w:hAnsi="Calibri" w:cs="Calibri"/>
          <w:i/>
          <w:iCs/>
          <w:kern w:val="0"/>
          <w:sz w:val="18"/>
          <w:szCs w:val="18"/>
          <w:lang w:eastAsia="en-GB"/>
          <w14:ligatures w14:val="none"/>
        </w:rPr>
        <w:t>Rescue Efforts for Cultural Properties Affected by the Great East Japan Earthquake Disasters</w:t>
      </w:r>
      <w:r w:rsidRPr="00F110FD">
        <w:rPr>
          <w:rFonts w:ascii="Calibri" w:eastAsia="Times New Roman" w:hAnsi="Calibri" w:cs="Calibri"/>
          <w:kern w:val="0"/>
          <w:sz w:val="18"/>
          <w:szCs w:val="18"/>
          <w:lang w:eastAsia="en-GB"/>
          <w14:ligatures w14:val="none"/>
        </w:rPr>
        <w:t>.</w:t>
      </w:r>
    </w:p>
  </w:footnote>
  <w:footnote w:id="34">
    <w:p w14:paraId="4B2BE44A" w14:textId="77777777" w:rsidR="00F110FD" w:rsidRPr="00F110FD" w:rsidRDefault="00F110FD"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w:t>
      </w:r>
      <w:r w:rsidRPr="00F110FD">
        <w:rPr>
          <w:rFonts w:ascii="Calibri" w:eastAsia="Times New Roman" w:hAnsi="Calibri" w:cs="Calibri"/>
          <w:kern w:val="0"/>
          <w:sz w:val="18"/>
          <w:szCs w:val="18"/>
          <w:lang w:eastAsia="en-GB"/>
          <w14:ligatures w14:val="none"/>
        </w:rPr>
        <w:t xml:space="preserve">National Institutes for Cultural Heritage, </w:t>
      </w:r>
      <w:r w:rsidRPr="00F110FD">
        <w:rPr>
          <w:rFonts w:ascii="Calibri" w:eastAsia="Times New Roman" w:hAnsi="Calibri" w:cs="Calibri"/>
          <w:i/>
          <w:iCs/>
          <w:kern w:val="0"/>
          <w:sz w:val="18"/>
          <w:szCs w:val="18"/>
          <w:lang w:eastAsia="en-GB"/>
          <w14:ligatures w14:val="none"/>
        </w:rPr>
        <w:t>Rescue Efforts for Cultural Properties Affected by the Great East Japan Earthquake Disasters</w:t>
      </w:r>
      <w:r w:rsidRPr="00F110FD">
        <w:rPr>
          <w:rFonts w:ascii="Calibri" w:eastAsia="Times New Roman" w:hAnsi="Calibri" w:cs="Calibri"/>
          <w:kern w:val="0"/>
          <w:sz w:val="18"/>
          <w:szCs w:val="18"/>
          <w:lang w:eastAsia="en-GB"/>
          <w14:ligatures w14:val="none"/>
        </w:rPr>
        <w:t>.</w:t>
      </w:r>
    </w:p>
  </w:footnote>
  <w:footnote w:id="35">
    <w:p w14:paraId="6DE1D7AD" w14:textId="77777777" w:rsidR="00F110FD" w:rsidRPr="00F110FD" w:rsidRDefault="00F110FD"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JAWS, </w:t>
      </w:r>
      <w:r w:rsidRPr="00F110FD">
        <w:rPr>
          <w:rFonts w:ascii="Calibri" w:eastAsia="Times New Roman" w:hAnsi="Calibri" w:cs="Calibri"/>
          <w:i/>
          <w:iCs/>
          <w:kern w:val="0"/>
          <w:sz w:val="18"/>
          <w:szCs w:val="18"/>
          <w:lang w:eastAsia="en-GB"/>
          <w14:ligatures w14:val="none"/>
        </w:rPr>
        <w:t xml:space="preserve">JAWS online series of Reflection on </w:t>
      </w:r>
      <w:proofErr w:type="spellStart"/>
      <w:r w:rsidRPr="00F110FD">
        <w:rPr>
          <w:rFonts w:ascii="Calibri" w:eastAsia="Times New Roman" w:hAnsi="Calibri" w:cs="Calibri"/>
          <w:i/>
          <w:iCs/>
          <w:kern w:val="0"/>
          <w:sz w:val="18"/>
          <w:szCs w:val="18"/>
          <w:lang w:eastAsia="en-GB"/>
          <w14:ligatures w14:val="none"/>
        </w:rPr>
        <w:t>Tōhoku</w:t>
      </w:r>
      <w:proofErr w:type="spellEnd"/>
      <w:r w:rsidRPr="00F110FD">
        <w:rPr>
          <w:rFonts w:ascii="Calibri" w:eastAsia="Times New Roman" w:hAnsi="Calibri" w:cs="Calibri"/>
          <w:i/>
          <w:iCs/>
          <w:kern w:val="0"/>
          <w:sz w:val="18"/>
          <w:szCs w:val="18"/>
          <w:lang w:eastAsia="en-GB"/>
          <w14:ligatures w14:val="none"/>
        </w:rPr>
        <w:t>.</w:t>
      </w:r>
    </w:p>
  </w:footnote>
  <w:footnote w:id="36">
    <w:p w14:paraId="6425CEA1" w14:textId="14FB37BE" w:rsidR="006B4AB7" w:rsidRDefault="006B4AB7">
      <w:pPr>
        <w:pStyle w:val="FootnoteText"/>
      </w:pPr>
      <w:r>
        <w:rPr>
          <w:rStyle w:val="FootnoteReference"/>
        </w:rPr>
        <w:footnoteRef/>
      </w:r>
      <w:r>
        <w:t xml:space="preserve"> </w:t>
      </w:r>
      <w:r w:rsidRPr="00F110FD">
        <w:rPr>
          <w:rFonts w:ascii="Calibri" w:hAnsi="Calibri" w:cs="Calibri"/>
          <w:sz w:val="18"/>
          <w:szCs w:val="18"/>
        </w:rPr>
        <w:t>Tetsuro Kurahashi, ‘Various Networks to Rescue and Support Damaged Cultural Heritage and Libraries - Response to the 2024 Noto Peninsula Earthquake and Other Disasters’</w:t>
      </w:r>
      <w:r>
        <w:rPr>
          <w:rFonts w:ascii="Calibri" w:hAnsi="Calibri" w:cs="Calibri"/>
          <w:sz w:val="18"/>
          <w:szCs w:val="18"/>
        </w:rPr>
        <w:t>.</w:t>
      </w:r>
    </w:p>
  </w:footnote>
  <w:footnote w:id="37">
    <w:p w14:paraId="0C1BFE2A" w14:textId="77777777" w:rsidR="00F110FD" w:rsidRPr="00F110FD" w:rsidRDefault="00F110FD"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Scottish Fire and Rescue Service, </w:t>
      </w:r>
      <w:r w:rsidRPr="00F110FD">
        <w:rPr>
          <w:rFonts w:ascii="Calibri" w:hAnsi="Calibri" w:cs="Calibri"/>
          <w:i/>
          <w:iCs/>
          <w:sz w:val="18"/>
          <w:szCs w:val="18"/>
        </w:rPr>
        <w:t>Fire Investigation Report: Glasgow School of Art</w:t>
      </w:r>
      <w:r w:rsidRPr="00F110FD">
        <w:rPr>
          <w:rFonts w:ascii="Calibri" w:hAnsi="Calibri" w:cs="Calibri"/>
          <w:sz w:val="18"/>
          <w:szCs w:val="18"/>
        </w:rPr>
        <w:t>.</w:t>
      </w:r>
    </w:p>
  </w:footnote>
  <w:footnote w:id="38">
    <w:p w14:paraId="28F23D8B" w14:textId="77777777" w:rsidR="00F110FD" w:rsidRPr="00F110FD" w:rsidRDefault="00F110FD"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Scottish Fire and Rescue Service, </w:t>
      </w:r>
      <w:r w:rsidRPr="00F110FD">
        <w:rPr>
          <w:rFonts w:ascii="Calibri" w:hAnsi="Calibri" w:cs="Calibri"/>
          <w:i/>
          <w:iCs/>
          <w:sz w:val="18"/>
          <w:szCs w:val="18"/>
        </w:rPr>
        <w:t>Fire Investigation Report: Glasgow School of Art</w:t>
      </w:r>
      <w:r w:rsidRPr="00F110FD">
        <w:rPr>
          <w:rFonts w:ascii="Calibri" w:hAnsi="Calibri" w:cs="Calibri"/>
          <w:sz w:val="18"/>
          <w:szCs w:val="18"/>
        </w:rPr>
        <w:t>.</w:t>
      </w:r>
    </w:p>
  </w:footnote>
  <w:footnote w:id="39">
    <w:p w14:paraId="702FBE62" w14:textId="77777777" w:rsidR="00F110FD" w:rsidRPr="00F110FD" w:rsidRDefault="00F110FD"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The Guardian</w:t>
      </w:r>
      <w:r w:rsidRPr="00F110FD">
        <w:rPr>
          <w:rFonts w:ascii="Calibri" w:hAnsi="Calibri" w:cs="Calibri"/>
          <w:i/>
          <w:iCs/>
          <w:sz w:val="18"/>
          <w:szCs w:val="18"/>
        </w:rPr>
        <w:t>, Rebuild criticism after fire.</w:t>
      </w:r>
    </w:p>
  </w:footnote>
  <w:footnote w:id="40">
    <w:p w14:paraId="405BEC2A" w14:textId="0049FA11" w:rsidR="00C0718E" w:rsidRDefault="00C0718E">
      <w:pPr>
        <w:pStyle w:val="FootnoteText"/>
      </w:pPr>
      <w:r>
        <w:rPr>
          <w:rStyle w:val="FootnoteReference"/>
        </w:rPr>
        <w:footnoteRef/>
      </w:r>
      <w:r>
        <w:t xml:space="preserve"> </w:t>
      </w:r>
      <w:r w:rsidR="005632A2" w:rsidRPr="006A4DDE">
        <w:rPr>
          <w:rFonts w:ascii="Calibri" w:hAnsi="Calibri" w:cs="Calibri"/>
          <w:sz w:val="18"/>
          <w:szCs w:val="18"/>
        </w:rPr>
        <w:t>Joe Ware, ‘UK Museum Housed in UNESCO Heritage Site Suffers Significant Flood Damage’</w:t>
      </w:r>
      <w:r w:rsidR="006A4DDE">
        <w:rPr>
          <w:rFonts w:ascii="Calibri" w:hAnsi="Calibri" w:cs="Calibri"/>
          <w:sz w:val="18"/>
          <w:szCs w:val="18"/>
        </w:rPr>
        <w:t>.</w:t>
      </w:r>
    </w:p>
  </w:footnote>
  <w:footnote w:id="41">
    <w:p w14:paraId="72A79AFA" w14:textId="77777777" w:rsidR="00F110FD" w:rsidRPr="00F110FD" w:rsidRDefault="00F110FD" w:rsidP="00F110FD">
      <w:pPr>
        <w:pStyle w:val="FootnoteText"/>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UK Parliament, </w:t>
      </w:r>
      <w:r w:rsidRPr="00F110FD">
        <w:rPr>
          <w:rFonts w:ascii="Calibri" w:hAnsi="Calibri" w:cs="Calibri"/>
          <w:i/>
          <w:iCs/>
          <w:sz w:val="18"/>
          <w:szCs w:val="18"/>
        </w:rPr>
        <w:t>Flood Resilience in England</w:t>
      </w:r>
      <w:r w:rsidRPr="00F110FD">
        <w:rPr>
          <w:rFonts w:ascii="Calibri" w:hAnsi="Calibri" w:cs="Calibri"/>
          <w:sz w:val="18"/>
          <w:szCs w:val="18"/>
        </w:rPr>
        <w:t>, 2025.</w:t>
      </w:r>
    </w:p>
  </w:footnote>
  <w:footnote w:id="42">
    <w:p w14:paraId="22F15FE2" w14:textId="77777777" w:rsidR="00F110FD" w:rsidRPr="00F110FD" w:rsidRDefault="00F110FD" w:rsidP="00F110FD">
      <w:pPr>
        <w:spacing w:after="0"/>
        <w:rPr>
          <w:rFonts w:ascii="Calibri" w:hAnsi="Calibri" w:cs="Calibri"/>
          <w:sz w:val="18"/>
          <w:szCs w:val="18"/>
        </w:rPr>
      </w:pPr>
      <w:r w:rsidRPr="00F110FD">
        <w:rPr>
          <w:rStyle w:val="FootnoteReference"/>
          <w:rFonts w:ascii="Calibri" w:hAnsi="Calibri" w:cs="Calibri"/>
          <w:sz w:val="18"/>
          <w:szCs w:val="18"/>
        </w:rPr>
        <w:footnoteRef/>
      </w:r>
      <w:r w:rsidRPr="00F110FD">
        <w:rPr>
          <w:rFonts w:ascii="Calibri" w:hAnsi="Calibri" w:cs="Calibri"/>
          <w:sz w:val="18"/>
          <w:szCs w:val="18"/>
        </w:rPr>
        <w:t xml:space="preserve"> British Red Cross, </w:t>
      </w:r>
      <w:r w:rsidRPr="00F110FD">
        <w:rPr>
          <w:rFonts w:ascii="Calibri" w:hAnsi="Calibri" w:cs="Calibri"/>
          <w:i/>
          <w:iCs/>
          <w:sz w:val="18"/>
          <w:szCs w:val="18"/>
        </w:rPr>
        <w:t>Water’s Edge: UK Flooding Research Report</w:t>
      </w:r>
      <w:r w:rsidRPr="00F110FD">
        <w:rPr>
          <w:rFonts w:ascii="Calibri" w:hAnsi="Calibri" w:cs="Calibri"/>
          <w:sz w:val="18"/>
          <w:szCs w:val="18"/>
        </w:rPr>
        <w:t>, 2026.</w:t>
      </w:r>
    </w:p>
  </w:footnote>
  <w:footnote w:id="43">
    <w:p w14:paraId="496E7AA4" w14:textId="412CC499" w:rsidR="001419AD" w:rsidRDefault="001419AD">
      <w:pPr>
        <w:pStyle w:val="FootnoteText"/>
      </w:pPr>
      <w:r>
        <w:rPr>
          <w:rStyle w:val="FootnoteReference"/>
        </w:rPr>
        <w:footnoteRef/>
      </w:r>
      <w:r>
        <w:t xml:space="preserve"> </w:t>
      </w:r>
      <w:r w:rsidRPr="001419AD">
        <w:rPr>
          <w:rFonts w:ascii="Calibri" w:hAnsi="Calibri" w:cs="Calibri"/>
          <w:sz w:val="18"/>
          <w:szCs w:val="18"/>
        </w:rPr>
        <w:t xml:space="preserve">World Bank, </w:t>
      </w:r>
      <w:r w:rsidRPr="001419AD">
        <w:rPr>
          <w:rStyle w:val="Emphasis"/>
          <w:rFonts w:ascii="Calibri" w:hAnsi="Calibri" w:cs="Calibri"/>
          <w:sz w:val="18"/>
          <w:szCs w:val="18"/>
        </w:rPr>
        <w:t>Resilient Cultural Heritage: Learning from Japan’s Disaster Experience</w:t>
      </w:r>
      <w:r w:rsidRPr="001419AD">
        <w:rPr>
          <w:rStyle w:val="Emphasis"/>
          <w:rFonts w:ascii="Calibri" w:hAnsi="Calibri" w:cs="Calibri"/>
          <w:sz w:val="18"/>
          <w:szCs w:val="18"/>
        </w:rPr>
        <w:t>.</w:t>
      </w:r>
    </w:p>
  </w:footnote>
  <w:footnote w:id="44">
    <w:p w14:paraId="20F82CB5" w14:textId="77777777" w:rsidR="00F110FD" w:rsidRDefault="00F110FD" w:rsidP="00F110FD">
      <w:pPr>
        <w:pStyle w:val="FootnoteText"/>
      </w:pPr>
      <w:r w:rsidRPr="00F110FD">
        <w:rPr>
          <w:rStyle w:val="FootnoteReference"/>
          <w:rFonts w:ascii="Calibri" w:hAnsi="Calibri" w:cs="Calibri"/>
          <w:sz w:val="18"/>
          <w:szCs w:val="18"/>
        </w:rPr>
        <w:footnoteRef/>
      </w:r>
      <w:r w:rsidRPr="00F110FD">
        <w:rPr>
          <w:rFonts w:ascii="Calibri" w:hAnsi="Calibri" w:cs="Calibri"/>
          <w:sz w:val="18"/>
          <w:szCs w:val="18"/>
        </w:rPr>
        <w:t xml:space="preserve"> </w:t>
      </w:r>
      <w:hyperlink r:id="rId1" w:history="1">
        <w:r w:rsidRPr="00F110FD">
          <w:rPr>
            <w:rStyle w:val="Hyperlink"/>
            <w:rFonts w:ascii="Calibri" w:hAnsi="Calibri" w:cs="Calibri"/>
            <w:sz w:val="18"/>
            <w:szCs w:val="18"/>
          </w:rPr>
          <w:t>Homepage | CELF</w:t>
        </w:r>
      </w:hyperlink>
    </w:p>
  </w:footnote>
  <w:footnote w:id="45">
    <w:p w14:paraId="082B1179" w14:textId="77777777" w:rsidR="001C37A9" w:rsidRPr="004F244A" w:rsidRDefault="001C37A9" w:rsidP="001C37A9">
      <w:pPr>
        <w:pStyle w:val="FootnoteText"/>
        <w:rPr>
          <w:rFonts w:ascii="Calibri" w:hAnsi="Calibri" w:cs="Calibri"/>
          <w:sz w:val="18"/>
          <w:szCs w:val="18"/>
        </w:rPr>
      </w:pPr>
      <w:r w:rsidRPr="004F244A">
        <w:rPr>
          <w:rStyle w:val="FootnoteReference"/>
          <w:rFonts w:ascii="Calibri" w:hAnsi="Calibri" w:cs="Calibri"/>
          <w:sz w:val="18"/>
          <w:szCs w:val="18"/>
        </w:rPr>
        <w:footnoteRef/>
      </w:r>
      <w:r w:rsidRPr="004F244A">
        <w:rPr>
          <w:rFonts w:ascii="Calibri" w:hAnsi="Calibri" w:cs="Calibri"/>
          <w:sz w:val="18"/>
          <w:szCs w:val="18"/>
        </w:rPr>
        <w:t xml:space="preserve"> </w:t>
      </w:r>
      <w:proofErr w:type="spellStart"/>
      <w:r w:rsidRPr="004F244A">
        <w:rPr>
          <w:rFonts w:ascii="Calibri" w:hAnsi="Calibri" w:cs="Calibri"/>
          <w:sz w:val="18"/>
          <w:szCs w:val="18"/>
        </w:rPr>
        <w:t>Laurajane</w:t>
      </w:r>
      <w:proofErr w:type="spellEnd"/>
      <w:r w:rsidRPr="004F244A">
        <w:rPr>
          <w:rFonts w:ascii="Calibri" w:hAnsi="Calibri" w:cs="Calibri"/>
          <w:sz w:val="18"/>
          <w:szCs w:val="18"/>
        </w:rPr>
        <w:t xml:space="preserve"> Smith, ‘Heritage as a Cultural Process’.</w:t>
      </w:r>
    </w:p>
  </w:footnote>
  <w:footnote w:id="46">
    <w:p w14:paraId="50C8727A" w14:textId="49E782DA" w:rsidR="000E6C84" w:rsidRPr="000E6C84" w:rsidRDefault="000E6C84">
      <w:pPr>
        <w:pStyle w:val="FootnoteText"/>
        <w:rPr>
          <w:sz w:val="18"/>
          <w:szCs w:val="18"/>
        </w:rPr>
      </w:pPr>
      <w:r>
        <w:rPr>
          <w:rStyle w:val="FootnoteReference"/>
        </w:rPr>
        <w:footnoteRef/>
      </w:r>
      <w:r>
        <w:t xml:space="preserve"> </w:t>
      </w:r>
      <w:r w:rsidRPr="000E6C84">
        <w:rPr>
          <w:rFonts w:ascii="Calibri" w:eastAsia="Times New Roman" w:hAnsi="Calibri" w:cs="Calibri"/>
          <w:kern w:val="0"/>
          <w:sz w:val="18"/>
          <w:szCs w:val="18"/>
          <w:lang w:eastAsia="en-GB"/>
          <w14:ligatures w14:val="none"/>
        </w:rPr>
        <w:t>Cassandra Adams, ‘Japan’s Ise Shrine and Its Thirteen-Hundred-Year-Old Reconstruction Tradition’</w:t>
      </w:r>
      <w:r w:rsidRPr="000E6C84">
        <w:rPr>
          <w:rFonts w:ascii="Calibri" w:eastAsia="Times New Roman" w:hAnsi="Calibri" w:cs="Calibri"/>
          <w:kern w:val="0"/>
          <w:sz w:val="18"/>
          <w:szCs w:val="18"/>
          <w:lang w:eastAsia="en-GB"/>
          <w14:ligatures w14:val="none"/>
        </w:rPr>
        <w:t>.</w:t>
      </w:r>
    </w:p>
  </w:footnote>
  <w:footnote w:id="47">
    <w:p w14:paraId="7749FF22" w14:textId="77777777" w:rsidR="001C37A9" w:rsidRPr="004F244A" w:rsidRDefault="001C37A9" w:rsidP="001C37A9">
      <w:pPr>
        <w:pStyle w:val="FootnoteText"/>
        <w:rPr>
          <w:rFonts w:ascii="Calibri" w:hAnsi="Calibri" w:cs="Calibri"/>
          <w:sz w:val="18"/>
          <w:szCs w:val="18"/>
        </w:rPr>
      </w:pPr>
      <w:r w:rsidRPr="004F244A">
        <w:rPr>
          <w:rStyle w:val="FootnoteReference"/>
          <w:rFonts w:ascii="Calibri" w:hAnsi="Calibri" w:cs="Calibri"/>
          <w:sz w:val="18"/>
          <w:szCs w:val="18"/>
        </w:rPr>
        <w:footnoteRef/>
      </w:r>
      <w:r w:rsidRPr="004F244A">
        <w:rPr>
          <w:rFonts w:ascii="Calibri" w:hAnsi="Calibri" w:cs="Calibri"/>
          <w:sz w:val="18"/>
          <w:szCs w:val="18"/>
        </w:rPr>
        <w:t xml:space="preserve"> Andrew Littlejohn, ‘Dividing Worlds: Tsunamis, Seawalls, and Ontological Politics in Northeast Japan’.</w:t>
      </w:r>
    </w:p>
  </w:footnote>
  <w:footnote w:id="48">
    <w:p w14:paraId="6CCDB3AF" w14:textId="77777777" w:rsidR="001C37A9" w:rsidRPr="004F244A" w:rsidRDefault="001C37A9" w:rsidP="001C37A9">
      <w:pPr>
        <w:spacing w:after="0"/>
        <w:rPr>
          <w:rFonts w:ascii="Calibri" w:hAnsi="Calibri" w:cs="Calibri"/>
          <w:b/>
          <w:bCs/>
          <w:sz w:val="18"/>
          <w:szCs w:val="18"/>
        </w:rPr>
      </w:pPr>
      <w:r w:rsidRPr="004F244A">
        <w:rPr>
          <w:rStyle w:val="FootnoteReference"/>
          <w:rFonts w:ascii="Calibri" w:hAnsi="Calibri" w:cs="Calibri"/>
          <w:sz w:val="18"/>
          <w:szCs w:val="18"/>
        </w:rPr>
        <w:footnoteRef/>
      </w:r>
      <w:r w:rsidRPr="004F244A">
        <w:rPr>
          <w:rFonts w:ascii="Calibri" w:hAnsi="Calibri" w:cs="Calibri"/>
          <w:sz w:val="18"/>
          <w:szCs w:val="18"/>
        </w:rPr>
        <w:t xml:space="preserve"> Gregory Ashworth et al, </w:t>
      </w:r>
      <w:r w:rsidRPr="004F244A">
        <w:rPr>
          <w:rFonts w:ascii="Calibri" w:hAnsi="Calibri" w:cs="Calibri"/>
          <w:i/>
          <w:iCs/>
          <w:sz w:val="18"/>
          <w:szCs w:val="18"/>
        </w:rPr>
        <w:t>Pluralising Pasts: Heritage, Identity and Place in Multicultural Societies.</w:t>
      </w:r>
    </w:p>
  </w:footnote>
  <w:footnote w:id="49">
    <w:p w14:paraId="2A7335FD" w14:textId="77777777" w:rsidR="001C37A9" w:rsidRPr="004F244A" w:rsidRDefault="001C37A9" w:rsidP="001C37A9">
      <w:pPr>
        <w:pStyle w:val="FootnoteText"/>
        <w:rPr>
          <w:rFonts w:ascii="Calibri" w:hAnsi="Calibri" w:cs="Calibri"/>
          <w:sz w:val="18"/>
          <w:szCs w:val="18"/>
        </w:rPr>
      </w:pPr>
      <w:r w:rsidRPr="004F244A">
        <w:rPr>
          <w:rStyle w:val="FootnoteReference"/>
          <w:rFonts w:ascii="Calibri" w:hAnsi="Calibri" w:cs="Calibri"/>
          <w:sz w:val="18"/>
          <w:szCs w:val="18"/>
        </w:rPr>
        <w:footnoteRef/>
      </w:r>
      <w:r w:rsidRPr="004F244A">
        <w:rPr>
          <w:rFonts w:ascii="Calibri" w:hAnsi="Calibri" w:cs="Calibri"/>
          <w:sz w:val="18"/>
          <w:szCs w:val="18"/>
        </w:rPr>
        <w:t xml:space="preserve"> Hiroki Takakura, </w:t>
      </w:r>
      <w:r w:rsidRPr="004F244A">
        <w:rPr>
          <w:rFonts w:ascii="Calibri" w:hAnsi="Calibri" w:cs="Calibri"/>
          <w:i/>
          <w:iCs/>
          <w:sz w:val="18"/>
          <w:szCs w:val="18"/>
        </w:rPr>
        <w:t>Anthropology and Disaster in Japan</w:t>
      </w:r>
      <w:r w:rsidRPr="004F244A">
        <w:rPr>
          <w:rFonts w:ascii="Calibri" w:hAnsi="Calibri" w:cs="Calibri"/>
          <w:sz w:val="18"/>
          <w:szCs w:val="18"/>
        </w:rPr>
        <w:t>.</w:t>
      </w:r>
    </w:p>
  </w:footnote>
  <w:footnote w:id="50">
    <w:p w14:paraId="20EAF6AA" w14:textId="77777777" w:rsidR="001C37A9" w:rsidRPr="004F244A" w:rsidRDefault="001C37A9" w:rsidP="001C37A9">
      <w:pPr>
        <w:pStyle w:val="FootnoteText"/>
        <w:rPr>
          <w:rFonts w:ascii="Calibri" w:hAnsi="Calibri" w:cs="Calibri"/>
          <w:sz w:val="18"/>
          <w:szCs w:val="18"/>
        </w:rPr>
      </w:pPr>
      <w:r w:rsidRPr="004F244A">
        <w:rPr>
          <w:rStyle w:val="FootnoteReference"/>
          <w:rFonts w:ascii="Calibri" w:hAnsi="Calibri" w:cs="Calibri"/>
          <w:sz w:val="18"/>
          <w:szCs w:val="18"/>
        </w:rPr>
        <w:footnoteRef/>
      </w:r>
      <w:r w:rsidRPr="004F244A">
        <w:rPr>
          <w:rFonts w:ascii="Calibri" w:hAnsi="Calibri" w:cs="Calibri"/>
          <w:sz w:val="18"/>
          <w:szCs w:val="18"/>
        </w:rPr>
        <w:t xml:space="preserve"> </w:t>
      </w:r>
      <w:r w:rsidRPr="004F244A">
        <w:rPr>
          <w:rFonts w:ascii="Calibri" w:eastAsia="Times New Roman" w:hAnsi="Calibri" w:cs="Calibri"/>
          <w:kern w:val="0"/>
          <w:sz w:val="18"/>
          <w:szCs w:val="18"/>
          <w:lang w:eastAsia="en-GB"/>
          <w14:ligatures w14:val="none"/>
        </w:rPr>
        <w:t xml:space="preserve">NHK World, </w:t>
      </w:r>
      <w:r w:rsidRPr="004F244A">
        <w:rPr>
          <w:rFonts w:ascii="Calibri" w:eastAsia="Times New Roman" w:hAnsi="Calibri" w:cs="Calibri"/>
          <w:i/>
          <w:iCs/>
          <w:kern w:val="0"/>
          <w:sz w:val="18"/>
          <w:szCs w:val="18"/>
          <w:lang w:eastAsia="en-GB"/>
          <w14:ligatures w14:val="none"/>
        </w:rPr>
        <w:t>Cultural Recovery after 3.11</w:t>
      </w:r>
      <w:r w:rsidRPr="004F244A">
        <w:rPr>
          <w:rFonts w:ascii="Calibri" w:eastAsia="Times New Roman" w:hAnsi="Calibri" w:cs="Calibri"/>
          <w:kern w:val="0"/>
          <w:sz w:val="18"/>
          <w:szCs w:val="18"/>
          <w:lang w:eastAsia="en-GB"/>
          <w14:ligatures w14:val="none"/>
        </w:rPr>
        <w:t>.</w:t>
      </w:r>
    </w:p>
  </w:footnote>
  <w:footnote w:id="51">
    <w:p w14:paraId="7105A3BC" w14:textId="77777777" w:rsidR="001C37A9" w:rsidRPr="004F244A" w:rsidRDefault="001C37A9" w:rsidP="001C37A9">
      <w:pPr>
        <w:pStyle w:val="FootnoteText"/>
        <w:rPr>
          <w:rFonts w:ascii="Calibri" w:hAnsi="Calibri" w:cs="Calibri"/>
          <w:sz w:val="18"/>
          <w:szCs w:val="18"/>
        </w:rPr>
      </w:pPr>
      <w:r w:rsidRPr="004F244A">
        <w:rPr>
          <w:rStyle w:val="FootnoteReference"/>
          <w:rFonts w:ascii="Calibri" w:hAnsi="Calibri" w:cs="Calibri"/>
          <w:sz w:val="18"/>
          <w:szCs w:val="18"/>
        </w:rPr>
        <w:footnoteRef/>
      </w:r>
      <w:r w:rsidRPr="004F244A">
        <w:rPr>
          <w:rFonts w:ascii="Calibri" w:hAnsi="Calibri" w:cs="Calibri"/>
          <w:sz w:val="18"/>
          <w:szCs w:val="18"/>
        </w:rPr>
        <w:t xml:space="preserve"> </w:t>
      </w:r>
      <w:r w:rsidRPr="004F244A">
        <w:rPr>
          <w:rFonts w:ascii="Calibri" w:eastAsia="Times New Roman" w:hAnsi="Calibri" w:cs="Calibri"/>
          <w:kern w:val="0"/>
          <w:sz w:val="18"/>
          <w:szCs w:val="18"/>
          <w:lang w:eastAsia="en-GB"/>
          <w14:ligatures w14:val="none"/>
        </w:rPr>
        <w:t>Daisuke SATŌ, ‘Psychosocial Support and History: How Preserving Heritage Can Rebuild Communities’.</w:t>
      </w:r>
    </w:p>
  </w:footnote>
  <w:footnote w:id="52">
    <w:p w14:paraId="0067442F" w14:textId="77777777" w:rsidR="001C37A9" w:rsidRPr="004F244A" w:rsidRDefault="001C37A9" w:rsidP="001C37A9">
      <w:pPr>
        <w:pStyle w:val="FootnoteText"/>
        <w:rPr>
          <w:rFonts w:ascii="Calibri" w:hAnsi="Calibri" w:cs="Calibri"/>
          <w:sz w:val="18"/>
          <w:szCs w:val="18"/>
        </w:rPr>
      </w:pPr>
      <w:r w:rsidRPr="004F244A">
        <w:rPr>
          <w:rStyle w:val="FootnoteReference"/>
          <w:rFonts w:ascii="Calibri" w:hAnsi="Calibri" w:cs="Calibri"/>
          <w:sz w:val="18"/>
          <w:szCs w:val="18"/>
        </w:rPr>
        <w:footnoteRef/>
      </w:r>
      <w:r w:rsidRPr="004F244A">
        <w:rPr>
          <w:rFonts w:ascii="Calibri" w:hAnsi="Calibri" w:cs="Calibri"/>
          <w:sz w:val="18"/>
          <w:szCs w:val="18"/>
        </w:rPr>
        <w:t xml:space="preserve"> </w:t>
      </w:r>
      <w:r w:rsidRPr="004F244A">
        <w:rPr>
          <w:rFonts w:ascii="Calibri" w:eastAsia="Times New Roman" w:hAnsi="Calibri" w:cs="Calibri"/>
          <w:kern w:val="0"/>
          <w:sz w:val="18"/>
          <w:szCs w:val="18"/>
          <w:lang w:eastAsia="en-GB"/>
          <w14:ligatures w14:val="none"/>
        </w:rPr>
        <w:t xml:space="preserve">Historic England, </w:t>
      </w:r>
      <w:r w:rsidRPr="004F244A">
        <w:rPr>
          <w:rFonts w:ascii="Calibri" w:eastAsia="Times New Roman" w:hAnsi="Calibri" w:cs="Calibri"/>
          <w:i/>
          <w:iCs/>
          <w:kern w:val="0"/>
          <w:sz w:val="18"/>
          <w:szCs w:val="18"/>
          <w:lang w:eastAsia="en-GB"/>
          <w14:ligatures w14:val="none"/>
        </w:rPr>
        <w:t>Principles of Repair for Historic Buildings.</w:t>
      </w:r>
    </w:p>
  </w:footnote>
  <w:footnote w:id="53">
    <w:p w14:paraId="14AF6D4F" w14:textId="77777777" w:rsidR="001C37A9" w:rsidRPr="004F244A" w:rsidRDefault="001C37A9" w:rsidP="001C37A9">
      <w:pPr>
        <w:pStyle w:val="FootnoteText"/>
        <w:rPr>
          <w:rFonts w:ascii="Calibri" w:hAnsi="Calibri" w:cs="Calibri"/>
          <w:sz w:val="18"/>
          <w:szCs w:val="18"/>
        </w:rPr>
      </w:pPr>
      <w:r w:rsidRPr="004F244A">
        <w:rPr>
          <w:rStyle w:val="FootnoteReference"/>
          <w:rFonts w:ascii="Calibri" w:hAnsi="Calibri" w:cs="Calibri"/>
          <w:sz w:val="18"/>
          <w:szCs w:val="18"/>
        </w:rPr>
        <w:footnoteRef/>
      </w:r>
      <w:r w:rsidRPr="004F244A">
        <w:rPr>
          <w:rFonts w:ascii="Calibri" w:hAnsi="Calibri" w:cs="Calibri"/>
          <w:sz w:val="18"/>
          <w:szCs w:val="18"/>
        </w:rPr>
        <w:t xml:space="preserve"> Gregory Ashworth et al, </w:t>
      </w:r>
      <w:r w:rsidRPr="004F244A">
        <w:rPr>
          <w:rFonts w:ascii="Calibri" w:hAnsi="Calibri" w:cs="Calibri"/>
          <w:i/>
          <w:iCs/>
          <w:sz w:val="18"/>
          <w:szCs w:val="18"/>
        </w:rPr>
        <w:t>Pluralising Pasts: Heritage, Identity and Place in Multicultural Societies.</w:t>
      </w:r>
    </w:p>
  </w:footnote>
  <w:footnote w:id="54">
    <w:p w14:paraId="290125F3" w14:textId="77777777" w:rsidR="001C37A9" w:rsidRPr="004F244A" w:rsidRDefault="001C37A9" w:rsidP="001C37A9">
      <w:pPr>
        <w:pStyle w:val="FootnoteText"/>
        <w:rPr>
          <w:rFonts w:ascii="Calibri" w:hAnsi="Calibri" w:cs="Calibri"/>
          <w:sz w:val="18"/>
          <w:szCs w:val="18"/>
        </w:rPr>
      </w:pPr>
      <w:r w:rsidRPr="004F244A">
        <w:rPr>
          <w:rStyle w:val="FootnoteReference"/>
          <w:rFonts w:ascii="Calibri" w:hAnsi="Calibri" w:cs="Calibri"/>
          <w:sz w:val="18"/>
          <w:szCs w:val="18"/>
        </w:rPr>
        <w:footnoteRef/>
      </w:r>
      <w:r w:rsidRPr="004F244A">
        <w:rPr>
          <w:rFonts w:ascii="Calibri" w:hAnsi="Calibri" w:cs="Calibri"/>
          <w:sz w:val="18"/>
          <w:szCs w:val="18"/>
        </w:rPr>
        <w:t xml:space="preserve"> </w:t>
      </w:r>
      <w:r w:rsidRPr="004F244A">
        <w:rPr>
          <w:rFonts w:ascii="Calibri" w:eastAsia="Times New Roman" w:hAnsi="Calibri" w:cs="Calibri"/>
          <w:kern w:val="0"/>
          <w:sz w:val="18"/>
          <w:szCs w:val="18"/>
          <w:lang w:eastAsia="en-GB"/>
          <w14:ligatures w14:val="none"/>
        </w:rPr>
        <w:t xml:space="preserve">Historic England, </w:t>
      </w:r>
      <w:r w:rsidRPr="004F244A">
        <w:rPr>
          <w:rFonts w:ascii="Calibri" w:eastAsia="Times New Roman" w:hAnsi="Calibri" w:cs="Calibri"/>
          <w:i/>
          <w:iCs/>
          <w:kern w:val="0"/>
          <w:sz w:val="18"/>
          <w:szCs w:val="18"/>
          <w:lang w:eastAsia="en-GB"/>
          <w14:ligatures w14:val="none"/>
        </w:rPr>
        <w:t>Principles of Repair for Historic Buildings.</w:t>
      </w:r>
    </w:p>
  </w:footnote>
  <w:footnote w:id="55">
    <w:p w14:paraId="2C19B09A" w14:textId="77777777" w:rsidR="001C37A9" w:rsidRPr="004F244A" w:rsidRDefault="001C37A9" w:rsidP="001C37A9">
      <w:pPr>
        <w:pStyle w:val="FootnoteText"/>
        <w:rPr>
          <w:rFonts w:ascii="Calibri" w:hAnsi="Calibri" w:cs="Calibri"/>
          <w:sz w:val="18"/>
          <w:szCs w:val="18"/>
        </w:rPr>
      </w:pPr>
      <w:r w:rsidRPr="004F244A">
        <w:rPr>
          <w:rStyle w:val="FootnoteReference"/>
          <w:rFonts w:ascii="Calibri" w:hAnsi="Calibri" w:cs="Calibri"/>
          <w:sz w:val="18"/>
          <w:szCs w:val="18"/>
        </w:rPr>
        <w:footnoteRef/>
      </w:r>
      <w:r w:rsidRPr="004F244A">
        <w:rPr>
          <w:rFonts w:ascii="Calibri" w:hAnsi="Calibri" w:cs="Calibri"/>
          <w:sz w:val="18"/>
          <w:szCs w:val="18"/>
        </w:rPr>
        <w:t xml:space="preserve"> </w:t>
      </w:r>
      <w:r w:rsidRPr="004F244A">
        <w:rPr>
          <w:rFonts w:ascii="Calibri" w:eastAsia="Times New Roman" w:hAnsi="Calibri" w:cs="Calibri"/>
          <w:kern w:val="0"/>
          <w:sz w:val="18"/>
          <w:szCs w:val="18"/>
          <w:lang w:eastAsia="en-GB"/>
          <w14:ligatures w14:val="none"/>
        </w:rPr>
        <w:t>Stéphane Dawans, ‘Identical Reconstruction and Heritage Authenticity’.</w:t>
      </w:r>
    </w:p>
  </w:footnote>
  <w:footnote w:id="56">
    <w:p w14:paraId="7098E161" w14:textId="77777777" w:rsidR="001C37A9" w:rsidRPr="004F244A" w:rsidRDefault="001C37A9" w:rsidP="001C37A9">
      <w:pPr>
        <w:pStyle w:val="FootnoteText"/>
        <w:rPr>
          <w:rFonts w:ascii="Calibri" w:hAnsi="Calibri" w:cs="Calibri"/>
          <w:sz w:val="18"/>
          <w:szCs w:val="18"/>
        </w:rPr>
      </w:pPr>
      <w:r w:rsidRPr="004F244A">
        <w:rPr>
          <w:rStyle w:val="FootnoteReference"/>
          <w:rFonts w:ascii="Calibri" w:hAnsi="Calibri" w:cs="Calibri"/>
          <w:sz w:val="18"/>
          <w:szCs w:val="18"/>
        </w:rPr>
        <w:footnoteRef/>
      </w:r>
      <w:r w:rsidRPr="004F244A">
        <w:rPr>
          <w:rFonts w:ascii="Calibri" w:hAnsi="Calibri" w:cs="Calibri"/>
          <w:sz w:val="18"/>
          <w:szCs w:val="18"/>
        </w:rPr>
        <w:t xml:space="preserve"> </w:t>
      </w:r>
      <w:proofErr w:type="spellStart"/>
      <w:r w:rsidRPr="004F244A">
        <w:rPr>
          <w:rFonts w:ascii="Calibri" w:eastAsia="Times New Roman" w:hAnsi="Calibri" w:cs="Calibri"/>
          <w:kern w:val="0"/>
          <w:sz w:val="18"/>
          <w:szCs w:val="18"/>
          <w:lang w:eastAsia="en-GB"/>
          <w14:ligatures w14:val="none"/>
        </w:rPr>
        <w:t>Laurajane</w:t>
      </w:r>
      <w:proofErr w:type="spellEnd"/>
      <w:r w:rsidRPr="004F244A">
        <w:rPr>
          <w:rFonts w:ascii="Calibri" w:eastAsia="Times New Roman" w:hAnsi="Calibri" w:cs="Calibri"/>
          <w:kern w:val="0"/>
          <w:sz w:val="18"/>
          <w:szCs w:val="18"/>
          <w:lang w:eastAsia="en-GB"/>
          <w14:ligatures w14:val="none"/>
        </w:rPr>
        <w:t xml:space="preserve"> Smith and Emma Waterton, ‘Constrained by Commonsense: The Authorized Heritage Discourse in Contemporary Debates’.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FA0D60"/>
    <w:multiLevelType w:val="multilevel"/>
    <w:tmpl w:val="C0A0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802D49"/>
    <w:multiLevelType w:val="multilevel"/>
    <w:tmpl w:val="12AA5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5C3701"/>
    <w:multiLevelType w:val="hybridMultilevel"/>
    <w:tmpl w:val="9E06E388"/>
    <w:lvl w:ilvl="0" w:tplc="08090001">
      <w:start w:val="1"/>
      <w:numFmt w:val="bullet"/>
      <w:lvlText w:val=""/>
      <w:lvlJc w:val="left"/>
      <w:pPr>
        <w:ind w:left="720" w:hanging="360"/>
      </w:pPr>
      <w:rPr>
        <w:rFonts w:ascii="Symbol" w:hAnsi="Symbol"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882153"/>
    <w:multiLevelType w:val="multilevel"/>
    <w:tmpl w:val="39EEB5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3401543">
    <w:abstractNumId w:val="1"/>
  </w:num>
  <w:num w:numId="2" w16cid:durableId="153566743">
    <w:abstractNumId w:val="3"/>
  </w:num>
  <w:num w:numId="3" w16cid:durableId="2130856620">
    <w:abstractNumId w:val="0"/>
  </w:num>
  <w:num w:numId="4" w16cid:durableId="5207514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870"/>
    <w:rsid w:val="00064006"/>
    <w:rsid w:val="00087030"/>
    <w:rsid w:val="000D1BA0"/>
    <w:rsid w:val="000E6C84"/>
    <w:rsid w:val="000F5506"/>
    <w:rsid w:val="000F7421"/>
    <w:rsid w:val="0010165C"/>
    <w:rsid w:val="00125B43"/>
    <w:rsid w:val="001419AD"/>
    <w:rsid w:val="0017570D"/>
    <w:rsid w:val="001B6A6B"/>
    <w:rsid w:val="001C37A9"/>
    <w:rsid w:val="001C6481"/>
    <w:rsid w:val="001D753F"/>
    <w:rsid w:val="001F0408"/>
    <w:rsid w:val="00214869"/>
    <w:rsid w:val="00223C79"/>
    <w:rsid w:val="0023340D"/>
    <w:rsid w:val="00241173"/>
    <w:rsid w:val="002D3EC3"/>
    <w:rsid w:val="002F186D"/>
    <w:rsid w:val="00335918"/>
    <w:rsid w:val="00336B73"/>
    <w:rsid w:val="00394366"/>
    <w:rsid w:val="00397271"/>
    <w:rsid w:val="003A4F10"/>
    <w:rsid w:val="003C7B7A"/>
    <w:rsid w:val="003F5657"/>
    <w:rsid w:val="00400C94"/>
    <w:rsid w:val="00403AF0"/>
    <w:rsid w:val="00405EA5"/>
    <w:rsid w:val="00407DFD"/>
    <w:rsid w:val="00437C02"/>
    <w:rsid w:val="004432AD"/>
    <w:rsid w:val="00444082"/>
    <w:rsid w:val="00474502"/>
    <w:rsid w:val="00481626"/>
    <w:rsid w:val="00481870"/>
    <w:rsid w:val="00495126"/>
    <w:rsid w:val="00496868"/>
    <w:rsid w:val="004E396A"/>
    <w:rsid w:val="004F415B"/>
    <w:rsid w:val="005018B8"/>
    <w:rsid w:val="0054576D"/>
    <w:rsid w:val="005632A2"/>
    <w:rsid w:val="00581229"/>
    <w:rsid w:val="00586C94"/>
    <w:rsid w:val="005A2BA3"/>
    <w:rsid w:val="005A5B3E"/>
    <w:rsid w:val="005B6A8C"/>
    <w:rsid w:val="005D15DF"/>
    <w:rsid w:val="005E2044"/>
    <w:rsid w:val="005E6E76"/>
    <w:rsid w:val="00640A49"/>
    <w:rsid w:val="00656196"/>
    <w:rsid w:val="00667670"/>
    <w:rsid w:val="00671CE8"/>
    <w:rsid w:val="00673E9F"/>
    <w:rsid w:val="0068030E"/>
    <w:rsid w:val="0069251E"/>
    <w:rsid w:val="00695D4B"/>
    <w:rsid w:val="006A1F1D"/>
    <w:rsid w:val="006A4DDE"/>
    <w:rsid w:val="006B004E"/>
    <w:rsid w:val="006B1D4C"/>
    <w:rsid w:val="006B4AB7"/>
    <w:rsid w:val="006B73FB"/>
    <w:rsid w:val="006D0F7A"/>
    <w:rsid w:val="006D150E"/>
    <w:rsid w:val="00783E50"/>
    <w:rsid w:val="007E43EA"/>
    <w:rsid w:val="007F1BDC"/>
    <w:rsid w:val="0080201D"/>
    <w:rsid w:val="00814C6E"/>
    <w:rsid w:val="0083748F"/>
    <w:rsid w:val="008562D1"/>
    <w:rsid w:val="008707A5"/>
    <w:rsid w:val="00871515"/>
    <w:rsid w:val="008A1C5E"/>
    <w:rsid w:val="008A7512"/>
    <w:rsid w:val="008F5333"/>
    <w:rsid w:val="0090526A"/>
    <w:rsid w:val="00906312"/>
    <w:rsid w:val="00913660"/>
    <w:rsid w:val="009454E0"/>
    <w:rsid w:val="00950808"/>
    <w:rsid w:val="00986B78"/>
    <w:rsid w:val="009B5624"/>
    <w:rsid w:val="009D2855"/>
    <w:rsid w:val="009D70A8"/>
    <w:rsid w:val="009E16E7"/>
    <w:rsid w:val="00A109FD"/>
    <w:rsid w:val="00A67521"/>
    <w:rsid w:val="00A843B6"/>
    <w:rsid w:val="00AA4449"/>
    <w:rsid w:val="00AC00F3"/>
    <w:rsid w:val="00AC7674"/>
    <w:rsid w:val="00AD009B"/>
    <w:rsid w:val="00AE09D6"/>
    <w:rsid w:val="00B00D17"/>
    <w:rsid w:val="00B04FDB"/>
    <w:rsid w:val="00B14669"/>
    <w:rsid w:val="00B23E4C"/>
    <w:rsid w:val="00B425C6"/>
    <w:rsid w:val="00B602BA"/>
    <w:rsid w:val="00BE07A7"/>
    <w:rsid w:val="00BF6F25"/>
    <w:rsid w:val="00C046B3"/>
    <w:rsid w:val="00C0718E"/>
    <w:rsid w:val="00C2036B"/>
    <w:rsid w:val="00C31A54"/>
    <w:rsid w:val="00C476F5"/>
    <w:rsid w:val="00CB0587"/>
    <w:rsid w:val="00D23C98"/>
    <w:rsid w:val="00D96E79"/>
    <w:rsid w:val="00DB3E0A"/>
    <w:rsid w:val="00DC0AC4"/>
    <w:rsid w:val="00DC6727"/>
    <w:rsid w:val="00DF6F4A"/>
    <w:rsid w:val="00E12666"/>
    <w:rsid w:val="00E41099"/>
    <w:rsid w:val="00E63F66"/>
    <w:rsid w:val="00E87E4C"/>
    <w:rsid w:val="00EA5A01"/>
    <w:rsid w:val="00EB68F9"/>
    <w:rsid w:val="00EC2EB1"/>
    <w:rsid w:val="00EF4DEC"/>
    <w:rsid w:val="00F110FD"/>
    <w:rsid w:val="00F355AA"/>
    <w:rsid w:val="00F42261"/>
    <w:rsid w:val="00F635B5"/>
    <w:rsid w:val="00F8400D"/>
    <w:rsid w:val="00FC4676"/>
    <w:rsid w:val="00FC4FC9"/>
    <w:rsid w:val="00FC5B7E"/>
    <w:rsid w:val="00FC6418"/>
    <w:rsid w:val="00FD4199"/>
    <w:rsid w:val="00FD5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3430CA"/>
  <w15:chartTrackingRefBased/>
  <w15:docId w15:val="{031FE844-89DF-4CF9-835C-3330A9A47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660"/>
  </w:style>
  <w:style w:type="paragraph" w:styleId="Heading1">
    <w:name w:val="heading 1"/>
    <w:basedOn w:val="Normal"/>
    <w:next w:val="Normal"/>
    <w:link w:val="Heading1Char"/>
    <w:uiPriority w:val="9"/>
    <w:qFormat/>
    <w:rsid w:val="00913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3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3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3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3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36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36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36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36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3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3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3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3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3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3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3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3660"/>
    <w:rPr>
      <w:rFonts w:eastAsiaTheme="majorEastAsia" w:cstheme="majorBidi"/>
      <w:color w:val="272727" w:themeColor="text1" w:themeTint="D8"/>
    </w:rPr>
  </w:style>
  <w:style w:type="paragraph" w:styleId="Title">
    <w:name w:val="Title"/>
    <w:basedOn w:val="Normal"/>
    <w:next w:val="Normal"/>
    <w:link w:val="TitleChar"/>
    <w:uiPriority w:val="10"/>
    <w:qFormat/>
    <w:rsid w:val="009136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3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36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3660"/>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913660"/>
    <w:pPr>
      <w:ind w:left="720"/>
      <w:contextualSpacing/>
    </w:pPr>
  </w:style>
  <w:style w:type="paragraph" w:styleId="Quote">
    <w:name w:val="Quote"/>
    <w:basedOn w:val="Normal"/>
    <w:next w:val="Normal"/>
    <w:link w:val="QuoteChar"/>
    <w:uiPriority w:val="29"/>
    <w:qFormat/>
    <w:rsid w:val="00913660"/>
    <w:pPr>
      <w:spacing w:before="160"/>
      <w:jc w:val="center"/>
    </w:pPr>
    <w:rPr>
      <w:i/>
      <w:iCs/>
      <w:color w:val="404040" w:themeColor="text1" w:themeTint="BF"/>
    </w:rPr>
  </w:style>
  <w:style w:type="character" w:customStyle="1" w:styleId="QuoteChar">
    <w:name w:val="Quote Char"/>
    <w:basedOn w:val="DefaultParagraphFont"/>
    <w:link w:val="Quote"/>
    <w:uiPriority w:val="29"/>
    <w:rsid w:val="00913660"/>
    <w:rPr>
      <w:i/>
      <w:iCs/>
      <w:color w:val="404040" w:themeColor="text1" w:themeTint="BF"/>
    </w:rPr>
  </w:style>
  <w:style w:type="paragraph" w:styleId="IntenseQuote">
    <w:name w:val="Intense Quote"/>
    <w:basedOn w:val="Normal"/>
    <w:next w:val="Normal"/>
    <w:link w:val="IntenseQuoteChar"/>
    <w:uiPriority w:val="30"/>
    <w:qFormat/>
    <w:rsid w:val="00913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3660"/>
    <w:rPr>
      <w:i/>
      <w:iCs/>
      <w:color w:val="0F4761" w:themeColor="accent1" w:themeShade="BF"/>
    </w:rPr>
  </w:style>
  <w:style w:type="character" w:styleId="IntenseEmphasis">
    <w:name w:val="Intense Emphasis"/>
    <w:basedOn w:val="DefaultParagraphFont"/>
    <w:uiPriority w:val="21"/>
    <w:qFormat/>
    <w:rsid w:val="00913660"/>
    <w:rPr>
      <w:i/>
      <w:iCs/>
      <w:color w:val="0F4761" w:themeColor="accent1" w:themeShade="BF"/>
    </w:rPr>
  </w:style>
  <w:style w:type="character" w:styleId="IntenseReference">
    <w:name w:val="Intense Reference"/>
    <w:basedOn w:val="DefaultParagraphFont"/>
    <w:uiPriority w:val="32"/>
    <w:qFormat/>
    <w:rsid w:val="00913660"/>
    <w:rPr>
      <w:b/>
      <w:bCs/>
      <w:smallCaps/>
      <w:color w:val="0F4761" w:themeColor="accent1" w:themeShade="BF"/>
      <w:spacing w:val="5"/>
    </w:rPr>
  </w:style>
  <w:style w:type="paragraph" w:styleId="FootnoteText">
    <w:name w:val="footnote text"/>
    <w:basedOn w:val="Normal"/>
    <w:link w:val="FootnoteTextChar"/>
    <w:uiPriority w:val="99"/>
    <w:semiHidden/>
    <w:unhideWhenUsed/>
    <w:rsid w:val="008374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48F"/>
    <w:rPr>
      <w:sz w:val="20"/>
      <w:szCs w:val="20"/>
    </w:rPr>
  </w:style>
  <w:style w:type="character" w:styleId="FootnoteReference">
    <w:name w:val="footnote reference"/>
    <w:basedOn w:val="DefaultParagraphFont"/>
    <w:uiPriority w:val="99"/>
    <w:semiHidden/>
    <w:unhideWhenUsed/>
    <w:rsid w:val="0083748F"/>
    <w:rPr>
      <w:vertAlign w:val="superscript"/>
    </w:rPr>
  </w:style>
  <w:style w:type="character" w:styleId="Hyperlink">
    <w:name w:val="Hyperlink"/>
    <w:basedOn w:val="DefaultParagraphFont"/>
    <w:uiPriority w:val="99"/>
    <w:unhideWhenUsed/>
    <w:rsid w:val="00403AF0"/>
    <w:rPr>
      <w:color w:val="467886" w:themeColor="hyperlink"/>
      <w:u w:val="single"/>
    </w:rPr>
  </w:style>
  <w:style w:type="character" w:styleId="UnresolvedMention">
    <w:name w:val="Unresolved Mention"/>
    <w:basedOn w:val="DefaultParagraphFont"/>
    <w:uiPriority w:val="99"/>
    <w:semiHidden/>
    <w:unhideWhenUsed/>
    <w:rsid w:val="00403AF0"/>
    <w:rPr>
      <w:color w:val="605E5C"/>
      <w:shd w:val="clear" w:color="auto" w:fill="E1DFDD"/>
    </w:rPr>
  </w:style>
  <w:style w:type="character" w:styleId="Emphasis">
    <w:name w:val="Emphasis"/>
    <w:basedOn w:val="DefaultParagraphFont"/>
    <w:uiPriority w:val="20"/>
    <w:qFormat/>
    <w:rsid w:val="00F110FD"/>
    <w:rPr>
      <w:i/>
      <w:iCs/>
    </w:rPr>
  </w:style>
  <w:style w:type="paragraph" w:styleId="NormalWeb">
    <w:name w:val="Normal (Web)"/>
    <w:basedOn w:val="Normal"/>
    <w:uiPriority w:val="99"/>
    <w:unhideWhenUsed/>
    <w:rsid w:val="00F110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9D70A8"/>
    <w:pPr>
      <w:spacing w:after="0" w:line="240" w:lineRule="auto"/>
    </w:pPr>
  </w:style>
  <w:style w:type="character" w:styleId="FollowedHyperlink">
    <w:name w:val="FollowedHyperlink"/>
    <w:basedOn w:val="DefaultParagraphFont"/>
    <w:uiPriority w:val="99"/>
    <w:semiHidden/>
    <w:unhideWhenUsed/>
    <w:rsid w:val="009D70A8"/>
    <w:rPr>
      <w:color w:val="96607D" w:themeColor="followedHyperlink"/>
      <w:u w:val="single"/>
    </w:rPr>
  </w:style>
  <w:style w:type="character" w:styleId="CommentReference">
    <w:name w:val="annotation reference"/>
    <w:basedOn w:val="DefaultParagraphFont"/>
    <w:uiPriority w:val="99"/>
    <w:semiHidden/>
    <w:unhideWhenUsed/>
    <w:rsid w:val="00E12666"/>
    <w:rPr>
      <w:sz w:val="16"/>
      <w:szCs w:val="16"/>
    </w:rPr>
  </w:style>
  <w:style w:type="paragraph" w:styleId="CommentText">
    <w:name w:val="annotation text"/>
    <w:basedOn w:val="Normal"/>
    <w:link w:val="CommentTextChar"/>
    <w:uiPriority w:val="99"/>
    <w:unhideWhenUsed/>
    <w:rsid w:val="00E12666"/>
    <w:pPr>
      <w:spacing w:line="240" w:lineRule="auto"/>
    </w:pPr>
    <w:rPr>
      <w:sz w:val="20"/>
      <w:szCs w:val="20"/>
    </w:rPr>
  </w:style>
  <w:style w:type="character" w:customStyle="1" w:styleId="CommentTextChar">
    <w:name w:val="Comment Text Char"/>
    <w:basedOn w:val="DefaultParagraphFont"/>
    <w:link w:val="CommentText"/>
    <w:uiPriority w:val="99"/>
    <w:rsid w:val="00E12666"/>
    <w:rPr>
      <w:sz w:val="20"/>
      <w:szCs w:val="20"/>
    </w:rPr>
  </w:style>
  <w:style w:type="paragraph" w:styleId="CommentSubject">
    <w:name w:val="annotation subject"/>
    <w:basedOn w:val="CommentText"/>
    <w:next w:val="CommentText"/>
    <w:link w:val="CommentSubjectChar"/>
    <w:uiPriority w:val="99"/>
    <w:semiHidden/>
    <w:unhideWhenUsed/>
    <w:rsid w:val="00E12666"/>
    <w:rPr>
      <w:b/>
      <w:bCs/>
    </w:rPr>
  </w:style>
  <w:style w:type="character" w:customStyle="1" w:styleId="CommentSubjectChar">
    <w:name w:val="Comment Subject Char"/>
    <w:basedOn w:val="CommentTextChar"/>
    <w:link w:val="CommentSubject"/>
    <w:uiPriority w:val="99"/>
    <w:semiHidden/>
    <w:rsid w:val="00E1266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rci.jp/wp_files/wp-content/uploads/2024/04/IRCI_Report_Research-on-ICH-Safeguarding-and-DRM_FY2020-23-1_7_T-Goto.pdf" TargetMode="External"/><Relationship Id="rId18" Type="http://schemas.openxmlformats.org/officeDocument/2006/relationships/hyperlink" Target="https://historicengland.org.uk/advice/technical-advice/buildings/principles-of-repair-for-historic-buildings/" TargetMode="External"/><Relationship Id="rId26" Type="http://schemas.openxmlformats.org/officeDocument/2006/relationships/hyperlink" Target="https://www.firescotland.gov.uk/publications/document/?id=69" TargetMode="External"/><Relationship Id="rId3" Type="http://schemas.openxmlformats.org/officeDocument/2006/relationships/styles" Target="styles.xml"/><Relationship Id="rId21" Type="http://schemas.openxmlformats.org/officeDocument/2006/relationships/hyperlink" Target="https://japananthropologyworkshop.org/jaws-online-series-of-reflection-on-tohoku/" TargetMode="External"/><Relationship Id="rId7" Type="http://schemas.openxmlformats.org/officeDocument/2006/relationships/endnotes" Target="endnotes.xml"/><Relationship Id="rId12" Type="http://schemas.openxmlformats.org/officeDocument/2006/relationships/hyperlink" Target="https://www.academia.edu/66313350/Identical_Reconstruction_and_Heritage_Authenticity" TargetMode="External"/><Relationship Id="rId17" Type="http://schemas.openxmlformats.org/officeDocument/2006/relationships/hyperlink" Target="https://historicengland.org.uk/images-books/publications/he-strategic-plan-2026-31/he-strategy-2026/" TargetMode="External"/><Relationship Id="rId25" Type="http://schemas.openxmlformats.org/officeDocument/2006/relationships/hyperlink" Target="https://www.pontypriddmuseum.wales/museum-flooding"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historicengland.maps.arcgis.com/apps/instant/basic/index.html?appid=fee914c2d6554824ae5911d4c14ae6bb" TargetMode="External"/><Relationship Id="rId20" Type="http://schemas.openxmlformats.org/officeDocument/2006/relationships/hyperlink" Target="https://celfarycyd.wales/" TargetMode="External"/><Relationship Id="rId29" Type="http://schemas.openxmlformats.org/officeDocument/2006/relationships/hyperlink" Target="https://www.heraldscotland.com/news/24199850.complete-timeline-glasgow-school-art-fir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aeology.co.uk/articles/news/historic-england-emergency-response-funds.htm" TargetMode="External"/><Relationship Id="rId24" Type="http://schemas.openxmlformats.org/officeDocument/2006/relationships/hyperlink" Target="https://www.youtube.com/watch?v=oeaHa0ShT3I"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istoricengland.org.uk/advice/technical-advice/emergency-and-fire/emergency-planning-advice/" TargetMode="External"/><Relationship Id="rId23" Type="http://schemas.openxmlformats.org/officeDocument/2006/relationships/hyperlink" Target="https://www.tobunken.go.jp/english/rescue/report_2013.pdf" TargetMode="External"/><Relationship Id="rId28" Type="http://schemas.openxmlformats.org/officeDocument/2006/relationships/hyperlink" Target="https://www.theguardian.com/education/2023/jan/24/glasgow-school-of-art-cost-and-pace-of-rebuild-criticised-after-2018-fire" TargetMode="External"/><Relationship Id="rId10" Type="http://schemas.openxmlformats.org/officeDocument/2006/relationships/hyperlink" Target="https://cadw.gov.wales/advice-support/historic-assets/listed-buildings/listed-buildings-risk" TargetMode="External"/><Relationship Id="rId19" Type="http://schemas.openxmlformats.org/officeDocument/2006/relationships/hyperlink" Target="https://www.historicenvironment.scot/advice-and-support/planning-and-guidance/buildings-at-risk-register/" TargetMode="External"/><Relationship Id="rId31" Type="http://schemas.openxmlformats.org/officeDocument/2006/relationships/hyperlink" Target="https://whc.unesco.org/en/disaster-risk-reduction/" TargetMode="External"/><Relationship Id="rId4" Type="http://schemas.openxmlformats.org/officeDocument/2006/relationships/settings" Target="settings.xml"/><Relationship Id="rId9" Type="http://schemas.openxmlformats.org/officeDocument/2006/relationships/hyperlink" Target="https://www.bbc.co.uk/news/world-asia-pacific-12709598" TargetMode="External"/><Relationship Id="rId14" Type="http://schemas.openxmlformats.org/officeDocument/2006/relationships/hyperlink" Target="https://historicengland.org.uk/advice/climate-change/" TargetMode="External"/><Relationship Id="rId22" Type="http://schemas.openxmlformats.org/officeDocument/2006/relationships/hyperlink" Target="https://www.ndl.go.jp/en/cdnlao/newsletter/106/1062.html" TargetMode="External"/><Relationship Id="rId27" Type="http://schemas.openxmlformats.org/officeDocument/2006/relationships/hyperlink" Target="file:///C:\Users\elewis3\Downloads\Takakura2019Fukushima.pdf" TargetMode="External"/><Relationship Id="rId30" Type="http://schemas.openxmlformats.org/officeDocument/2006/relationships/hyperlink" Target="https://unesco.org.uk/site/assets/files/2777/4_heritage-disaster-response-and-resilience-report.pdf" TargetMode="External"/><Relationship Id="rId8" Type="http://schemas.openxmlformats.org/officeDocument/2006/relationships/hyperlink" Target="https://ch-drm.nich.go.jp/english/disaster-response/"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celfarycyd.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8E910D-BFC6-49B0-A862-E5240CA30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TotalTime>
  <Pages>14</Pages>
  <Words>5685</Words>
  <Characters>32409</Characters>
  <Application>Microsoft Office Word</Application>
  <DocSecurity>0</DocSecurity>
  <Lines>270</Lines>
  <Paragraphs>76</Paragraphs>
  <ScaleCrop>false</ScaleCrop>
  <Company/>
  <LinksUpToDate>false</LinksUpToDate>
  <CharactersWithSpaces>38018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Esta Lewis</dc:creator>
  <cp:keywords/>
  <dc:description/>
  <cp:lastModifiedBy>Esta Lewis</cp:lastModifiedBy>
  <cp:revision>130</cp:revision>
  <dcterms:created xsi:type="dcterms:W3CDTF">2026-06-01T07:42:00Z</dcterms:created>
  <dcterms:modified xsi:type="dcterms:W3CDTF">2026-06-03T10:25:00Z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744b23fa-4d8b-433e-9b3a-4f4daf355857</vt:lpwstr>
  </property>
</Properties>
</file>