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287" w:rsidRPr="00A85BFE" w:rsidRDefault="00981287" w:rsidP="00981287">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0288" behindDoc="0" locked="0" layoutInCell="1" allowOverlap="1" wp14:anchorId="6D56D500" wp14:editId="37364135">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981287" w:rsidRPr="00A406E5" w:rsidRDefault="00981287" w:rsidP="0098128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81287" w:rsidRPr="00A406E5" w:rsidTr="00006101">
        <w:tc>
          <w:tcPr>
            <w:tcW w:w="9922" w:type="dxa"/>
            <w:shd w:val="clear" w:color="auto" w:fill="C0C0C0"/>
          </w:tcPr>
          <w:p w:rsidR="00981287" w:rsidRPr="00A406E5" w:rsidRDefault="00981287" w:rsidP="00006101">
            <w:pPr>
              <w:pStyle w:val="Heading4"/>
              <w:rPr>
                <w:rFonts w:ascii="Arial" w:hAnsi="Arial" w:cs="Arial"/>
                <w:b/>
                <w:bCs/>
              </w:rPr>
            </w:pPr>
            <w:r w:rsidRPr="6D4D0207">
              <w:rPr>
                <w:rFonts w:ascii="Arial" w:hAnsi="Arial" w:cs="Arial"/>
                <w:b/>
                <w:bCs/>
              </w:rPr>
              <w:t xml:space="preserve">LEVEL 6 ASSESSMENT SPECIFICATION </w:t>
            </w:r>
          </w:p>
        </w:tc>
      </w:tr>
    </w:tbl>
    <w:p w:rsidR="00981287" w:rsidRPr="00A406E5" w:rsidRDefault="00981287" w:rsidP="0098128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Student name:</w:t>
            </w:r>
          </w:p>
        </w:tc>
        <w:tc>
          <w:tcPr>
            <w:tcW w:w="3293" w:type="dxa"/>
          </w:tcPr>
          <w:p w:rsidR="00981287" w:rsidRPr="00A406E5" w:rsidRDefault="00981287" w:rsidP="00006101">
            <w:pPr>
              <w:spacing w:before="120" w:after="120"/>
              <w:jc w:val="both"/>
              <w:rPr>
                <w:rFonts w:ascii="Arial" w:hAnsi="Arial" w:cs="Arial"/>
                <w:b/>
              </w:rPr>
            </w:pPr>
            <w:r>
              <w:rPr>
                <w:rFonts w:ascii="Arial" w:hAnsi="Arial" w:cs="Arial"/>
                <w:b/>
              </w:rPr>
              <w:t>Leonie Barnett</w:t>
            </w:r>
          </w:p>
        </w:tc>
        <w:tc>
          <w:tcPr>
            <w:tcW w:w="2268" w:type="dxa"/>
            <w:shd w:val="clear" w:color="auto" w:fill="D9D9D9" w:themeFill="background1" w:themeFillShade="D9"/>
          </w:tcPr>
          <w:p w:rsidR="00981287" w:rsidRPr="00A406E5" w:rsidRDefault="00981287" w:rsidP="00006101">
            <w:pPr>
              <w:spacing w:before="120" w:after="120"/>
              <w:jc w:val="both"/>
              <w:rPr>
                <w:rFonts w:ascii="Arial" w:hAnsi="Arial" w:cs="Arial"/>
                <w:b/>
                <w:bCs/>
              </w:rPr>
            </w:pPr>
            <w:r w:rsidRPr="6D4D0207">
              <w:rPr>
                <w:rFonts w:ascii="Arial" w:hAnsi="Arial" w:cs="Arial"/>
                <w:b/>
                <w:bCs/>
              </w:rPr>
              <w:t>Student ID number:</w:t>
            </w:r>
          </w:p>
        </w:tc>
        <w:tc>
          <w:tcPr>
            <w:tcW w:w="2268" w:type="dxa"/>
          </w:tcPr>
          <w:p w:rsidR="00981287" w:rsidRPr="00A406E5" w:rsidRDefault="00981287" w:rsidP="00006101">
            <w:pPr>
              <w:spacing w:before="120" w:after="120"/>
              <w:jc w:val="both"/>
              <w:rPr>
                <w:rFonts w:ascii="Arial" w:hAnsi="Arial" w:cs="Arial"/>
                <w:b/>
              </w:rPr>
            </w:pPr>
            <w:r>
              <w:rPr>
                <w:rFonts w:ascii="Arial" w:hAnsi="Arial" w:cs="Arial"/>
                <w:b/>
              </w:rPr>
              <w:t>1805147</w:t>
            </w:r>
            <w:bookmarkStart w:id="0" w:name="_GoBack"/>
            <w:bookmarkEnd w:id="0"/>
          </w:p>
        </w:tc>
      </w:tr>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981287" w:rsidRPr="00A406E5" w:rsidRDefault="00981287" w:rsidP="00006101">
            <w:pPr>
              <w:spacing w:before="120" w:after="120"/>
              <w:jc w:val="both"/>
              <w:rPr>
                <w:rFonts w:ascii="Arial" w:hAnsi="Arial" w:cs="Arial"/>
                <w:b/>
              </w:rPr>
            </w:pPr>
            <w:r>
              <w:rPr>
                <w:rFonts w:ascii="Arial" w:hAnsi="Arial" w:cs="Arial"/>
                <w:b/>
              </w:rPr>
              <w:t>Secondary PGCE</w:t>
            </w:r>
          </w:p>
        </w:tc>
      </w:tr>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981287" w:rsidRPr="00A406E5" w:rsidRDefault="00981287" w:rsidP="00006101">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Module code:</w:t>
            </w:r>
          </w:p>
        </w:tc>
        <w:tc>
          <w:tcPr>
            <w:tcW w:w="3293" w:type="dxa"/>
          </w:tcPr>
          <w:p w:rsidR="00981287" w:rsidRPr="00A406E5" w:rsidRDefault="00981287" w:rsidP="00006101">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981287" w:rsidRPr="004D5E9B" w:rsidRDefault="00981287" w:rsidP="00006101">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981287" w:rsidRPr="00A406E5" w:rsidRDefault="00981287" w:rsidP="00006101">
            <w:pPr>
              <w:spacing w:before="120" w:after="120"/>
              <w:jc w:val="both"/>
              <w:rPr>
                <w:rFonts w:ascii="Arial" w:hAnsi="Arial" w:cs="Arial"/>
                <w:b/>
              </w:rPr>
            </w:pPr>
            <w:r>
              <w:rPr>
                <w:rFonts w:ascii="Arial" w:hAnsi="Arial" w:cs="Arial"/>
                <w:b/>
              </w:rPr>
              <w:t>50%</w:t>
            </w:r>
          </w:p>
        </w:tc>
      </w:tr>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Lecturer:</w:t>
            </w:r>
          </w:p>
        </w:tc>
        <w:tc>
          <w:tcPr>
            <w:tcW w:w="3293" w:type="dxa"/>
          </w:tcPr>
          <w:p w:rsidR="00981287" w:rsidRPr="00A406E5" w:rsidRDefault="00981287" w:rsidP="00006101">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981287" w:rsidRPr="00A406E5" w:rsidRDefault="00981287" w:rsidP="00006101">
            <w:pPr>
              <w:spacing w:before="120" w:after="120"/>
              <w:jc w:val="both"/>
              <w:rPr>
                <w:rFonts w:ascii="Arial" w:hAnsi="Arial" w:cs="Arial"/>
                <w:b/>
                <w:bCs/>
              </w:rPr>
            </w:pPr>
            <w:r w:rsidRPr="6D4D0207">
              <w:rPr>
                <w:rFonts w:ascii="Arial" w:hAnsi="Arial" w:cs="Arial"/>
                <w:b/>
                <w:bCs/>
              </w:rPr>
              <w:t>Internal Verifier:</w:t>
            </w:r>
          </w:p>
        </w:tc>
        <w:tc>
          <w:tcPr>
            <w:tcW w:w="2268" w:type="dxa"/>
          </w:tcPr>
          <w:p w:rsidR="00981287" w:rsidRPr="00A406E5" w:rsidRDefault="00981287" w:rsidP="00006101">
            <w:pPr>
              <w:spacing w:before="120" w:after="120"/>
              <w:jc w:val="both"/>
              <w:rPr>
                <w:rFonts w:ascii="Arial" w:hAnsi="Arial" w:cs="Arial"/>
                <w:b/>
              </w:rPr>
            </w:pPr>
          </w:p>
        </w:tc>
      </w:tr>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Assignment Title:</w:t>
            </w:r>
          </w:p>
        </w:tc>
        <w:tc>
          <w:tcPr>
            <w:tcW w:w="3293" w:type="dxa"/>
          </w:tcPr>
          <w:p w:rsidR="00981287" w:rsidRPr="00A406E5" w:rsidRDefault="00981287" w:rsidP="00006101">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Word count (or equivalent):</w:t>
            </w:r>
          </w:p>
        </w:tc>
        <w:tc>
          <w:tcPr>
            <w:tcW w:w="2268" w:type="dxa"/>
          </w:tcPr>
          <w:p w:rsidR="00981287" w:rsidRDefault="00981287" w:rsidP="00981287">
            <w:pPr>
              <w:pStyle w:val="ListParagraph"/>
              <w:numPr>
                <w:ilvl w:val="0"/>
                <w:numId w:val="5"/>
              </w:numPr>
              <w:spacing w:before="120" w:after="120" w:line="240" w:lineRule="auto"/>
              <w:jc w:val="both"/>
              <w:rPr>
                <w:rFonts w:ascii="Arial" w:hAnsi="Arial" w:cs="Arial"/>
                <w:b/>
              </w:rPr>
            </w:pPr>
            <w:r>
              <w:rPr>
                <w:rFonts w:ascii="Arial" w:hAnsi="Arial" w:cs="Arial"/>
                <w:b/>
              </w:rPr>
              <w:t>= 1,500</w:t>
            </w:r>
          </w:p>
          <w:p w:rsidR="00981287" w:rsidRPr="006E02E8" w:rsidRDefault="00981287" w:rsidP="00981287">
            <w:pPr>
              <w:pStyle w:val="ListParagraph"/>
              <w:numPr>
                <w:ilvl w:val="0"/>
                <w:numId w:val="5"/>
              </w:numPr>
              <w:spacing w:before="120" w:after="120" w:line="240" w:lineRule="auto"/>
              <w:jc w:val="both"/>
              <w:rPr>
                <w:rFonts w:ascii="Arial" w:hAnsi="Arial" w:cs="Arial"/>
                <w:b/>
              </w:rPr>
            </w:pPr>
            <w:r>
              <w:rPr>
                <w:rFonts w:ascii="Arial" w:hAnsi="Arial" w:cs="Arial"/>
                <w:b/>
              </w:rPr>
              <w:t>= 2,000</w:t>
            </w:r>
          </w:p>
        </w:tc>
      </w:tr>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981287" w:rsidRPr="00A406E5" w:rsidRDefault="00981287" w:rsidP="00006101">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981287" w:rsidRPr="00A406E5" w:rsidRDefault="00981287" w:rsidP="00006101">
            <w:pPr>
              <w:spacing w:before="120" w:after="120"/>
              <w:jc w:val="both"/>
              <w:rPr>
                <w:rFonts w:ascii="Arial" w:hAnsi="Arial" w:cs="Arial"/>
                <w:b/>
              </w:rPr>
            </w:pPr>
            <w:r>
              <w:rPr>
                <w:rFonts w:ascii="Arial" w:hAnsi="Arial" w:cs="Arial"/>
                <w:b/>
              </w:rPr>
              <w:t>17 December 2018</w:t>
            </w:r>
          </w:p>
        </w:tc>
      </w:tr>
      <w:tr w:rsidR="00981287" w:rsidRPr="00A406E5" w:rsidTr="00006101">
        <w:tc>
          <w:tcPr>
            <w:tcW w:w="2093" w:type="dxa"/>
            <w:shd w:val="clear" w:color="auto" w:fill="auto"/>
          </w:tcPr>
          <w:p w:rsidR="00981287" w:rsidRPr="00A406E5" w:rsidRDefault="00981287" w:rsidP="00006101">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981287" w:rsidRPr="00A406E5" w:rsidRDefault="00981287" w:rsidP="00006101">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981287" w:rsidRPr="00A406E5" w:rsidRDefault="00981287" w:rsidP="00006101">
            <w:pPr>
              <w:spacing w:before="120" w:after="120"/>
              <w:jc w:val="both"/>
              <w:rPr>
                <w:rFonts w:ascii="Arial" w:hAnsi="Arial" w:cs="Arial"/>
                <w:b/>
                <w:bCs/>
              </w:rPr>
            </w:pPr>
            <w:r w:rsidRPr="6D4D0207">
              <w:rPr>
                <w:rFonts w:ascii="Arial" w:hAnsi="Arial" w:cs="Arial"/>
                <w:b/>
                <w:bCs/>
              </w:rPr>
              <w:t xml:space="preserve">Alternative submission method (if applicable): </w:t>
            </w:r>
          </w:p>
          <w:p w:rsidR="00981287" w:rsidRPr="00A406E5" w:rsidRDefault="00981287" w:rsidP="00006101">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981287" w:rsidRPr="00A406E5" w:rsidTr="00006101">
        <w:tc>
          <w:tcPr>
            <w:tcW w:w="2093" w:type="dxa"/>
            <w:shd w:val="clear" w:color="auto" w:fill="auto"/>
          </w:tcPr>
          <w:p w:rsidR="00981287" w:rsidRPr="00A406E5" w:rsidRDefault="00981287" w:rsidP="00006101">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981287" w:rsidRPr="00A406E5" w:rsidRDefault="00981287" w:rsidP="00006101">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981287" w:rsidRDefault="00981287" w:rsidP="00A220AC"/>
    <w:p w:rsidR="00981287" w:rsidRDefault="00981287" w:rsidP="00A220AC"/>
    <w:p w:rsidR="00981287" w:rsidRDefault="00981287" w:rsidP="00A220AC"/>
    <w:p w:rsidR="005C55E1" w:rsidRDefault="00A220AC" w:rsidP="00A220AC">
      <w:proofErr w:type="spellStart"/>
      <w:r>
        <w:t>i</w:t>
      </w:r>
      <w:proofErr w:type="spellEnd"/>
      <w:r>
        <w:t xml:space="preserve">) </w:t>
      </w:r>
      <w:r w:rsidR="00AF4701">
        <w:t>The lesson chose</w:t>
      </w:r>
      <w:r w:rsidR="00673D6E">
        <w:t xml:space="preserve">n for the </w:t>
      </w:r>
      <w:r w:rsidR="0078770E">
        <w:t>‘micro teach’</w:t>
      </w:r>
      <w:r w:rsidR="00673D6E">
        <w:t xml:space="preserve"> was the third lesson out of six from a scheme of work </w:t>
      </w:r>
      <w:r w:rsidR="00533AD1">
        <w:t xml:space="preserve">[SOW] </w:t>
      </w:r>
      <w:r w:rsidR="00673D6E">
        <w:t>predominantly focussing on rivers.</w:t>
      </w:r>
      <w:r w:rsidR="006C2D79">
        <w:t xml:space="preserve"> The lesson</w:t>
      </w:r>
      <w:r w:rsidR="001677B1">
        <w:t xml:space="preserve"> introduced</w:t>
      </w:r>
      <w:r w:rsidR="006C2D79">
        <w:t xml:space="preserve"> </w:t>
      </w:r>
      <w:r w:rsidR="00F90944">
        <w:t xml:space="preserve">and </w:t>
      </w:r>
      <w:r w:rsidR="005C55E1">
        <w:t>explored two out of three</w:t>
      </w:r>
      <w:r w:rsidR="006C2D79">
        <w:t xml:space="preserve"> river processes</w:t>
      </w:r>
      <w:r w:rsidR="005C55E1">
        <w:t>:</w:t>
      </w:r>
      <w:r w:rsidR="006C2D79">
        <w:t xml:space="preserve"> </w:t>
      </w:r>
      <w:r w:rsidR="00F90944">
        <w:t>erosion and transportation</w:t>
      </w:r>
      <w:r w:rsidR="005C55E1">
        <w:t xml:space="preserve">. </w:t>
      </w:r>
      <w:r w:rsidR="00673D6E">
        <w:t>The scheme of work was designed for a key stage three</w:t>
      </w:r>
      <w:r w:rsidR="00C777E4">
        <w:t xml:space="preserve"> [KS3]</w:t>
      </w:r>
      <w:r w:rsidR="00673D6E">
        <w:t xml:space="preserve"> year eight class but could easily b</w:t>
      </w:r>
      <w:r w:rsidR="005C55E1">
        <w:t>e adapted to suit year seven or</w:t>
      </w:r>
      <w:r w:rsidR="00673D6E">
        <w:t xml:space="preserve"> nine by </w:t>
      </w:r>
      <w:r w:rsidR="007617C0">
        <w:t xml:space="preserve">implementing </w:t>
      </w:r>
      <w:r w:rsidR="00793B9C">
        <w:t xml:space="preserve">additional scaffolding or </w:t>
      </w:r>
      <w:r w:rsidR="008A2365">
        <w:t xml:space="preserve">more varying levels of </w:t>
      </w:r>
      <w:r w:rsidR="00793B9C">
        <w:t>challenge. The first</w:t>
      </w:r>
      <w:r w:rsidR="005C55E1">
        <w:t xml:space="preserve"> lesson</w:t>
      </w:r>
      <w:r w:rsidR="00793B9C">
        <w:t xml:space="preserve"> </w:t>
      </w:r>
      <w:r w:rsidR="005C55E1">
        <w:t xml:space="preserve">began with </w:t>
      </w:r>
      <w:r w:rsidR="00533AD1">
        <w:t xml:space="preserve">the water cycle, </w:t>
      </w:r>
      <w:r w:rsidR="005C55E1">
        <w:t>which enabled</w:t>
      </w:r>
      <w:r w:rsidR="007617C0">
        <w:t xml:space="preserve"> </w:t>
      </w:r>
      <w:r w:rsidR="00533AD1">
        <w:t>learners to start their ‘river journey’ at the very beginning</w:t>
      </w:r>
      <w:r w:rsidR="005F29FF">
        <w:t>,</w:t>
      </w:r>
      <w:r w:rsidR="00533AD1">
        <w:t xml:space="preserve"> </w:t>
      </w:r>
      <w:r w:rsidR="005C55E1">
        <w:t>this allowed</w:t>
      </w:r>
      <w:r w:rsidR="008A2365">
        <w:t xml:space="preserve"> </w:t>
      </w:r>
      <w:r w:rsidR="00533AD1">
        <w:t>them to develop a good understanding of the basics</w:t>
      </w:r>
      <w:r w:rsidR="007617C0">
        <w:t xml:space="preserve">. By lesson six learners should have developed a comprehensive knowledge of the subject content and begin using their skills to reach higher order levels </w:t>
      </w:r>
      <w:r w:rsidR="007617C0" w:rsidRPr="00B04E03">
        <w:t>of Bloom’s Taxonomy</w:t>
      </w:r>
      <w:r w:rsidR="00EC7C49" w:rsidRPr="00B04E03">
        <w:t xml:space="preserve"> (1956) </w:t>
      </w:r>
      <w:r w:rsidR="0078770E" w:rsidRPr="00B04E03">
        <w:t xml:space="preserve">for example when creating an engaging and thought-provoking poster during the </w:t>
      </w:r>
      <w:r w:rsidR="0078770E" w:rsidRPr="00A220AC">
        <w:rPr>
          <w:color w:val="000000" w:themeColor="text1"/>
        </w:rPr>
        <w:t>‘People &amp; Rivers’ lesson</w:t>
      </w:r>
      <w:r w:rsidR="00533AD1">
        <w:t xml:space="preserve">. </w:t>
      </w:r>
      <w:r w:rsidR="006D18AD">
        <w:t xml:space="preserve">The scheme of work also incorporated several welsh case studies and a promotional poster advertising a Welsh river to make relatable links between the topic and the environment around them. These ideas </w:t>
      </w:r>
      <w:r w:rsidR="004B0BA7">
        <w:t xml:space="preserve">were added </w:t>
      </w:r>
      <w:r w:rsidR="001D24EB">
        <w:t xml:space="preserve">after consulting the </w:t>
      </w:r>
      <w:r w:rsidR="009C74C5">
        <w:t xml:space="preserve">‘Y </w:t>
      </w:r>
      <w:proofErr w:type="spellStart"/>
      <w:r w:rsidR="009C74C5">
        <w:t>Cwricwlwm</w:t>
      </w:r>
      <w:proofErr w:type="spellEnd"/>
      <w:r w:rsidR="009C74C5">
        <w:t xml:space="preserve"> </w:t>
      </w:r>
      <w:proofErr w:type="spellStart"/>
      <w:r w:rsidR="009C74C5">
        <w:t>Cymreig</w:t>
      </w:r>
      <w:proofErr w:type="spellEnd"/>
      <w:r w:rsidR="009C74C5">
        <w:t>’</w:t>
      </w:r>
      <w:r w:rsidR="001D24EB">
        <w:t xml:space="preserve"> report</w:t>
      </w:r>
      <w:r w:rsidR="009C74C5">
        <w:t xml:space="preserve"> </w:t>
      </w:r>
      <w:r w:rsidR="009C74C5" w:rsidRPr="0042205F">
        <w:t>(</w:t>
      </w:r>
      <w:proofErr w:type="spellStart"/>
      <w:r w:rsidR="009C74C5" w:rsidRPr="0042205F">
        <w:t>Accac</w:t>
      </w:r>
      <w:proofErr w:type="spellEnd"/>
      <w:r w:rsidR="009C74C5" w:rsidRPr="0042205F">
        <w:t>, 2003).</w:t>
      </w:r>
    </w:p>
    <w:p w:rsidR="009B0B7B" w:rsidRPr="009B0B7B" w:rsidRDefault="00533AD1">
      <w:pPr>
        <w:rPr>
          <w:color w:val="000000" w:themeColor="text1"/>
        </w:rPr>
      </w:pPr>
      <w:r>
        <w:t xml:space="preserve">Throughout the SOW learners are </w:t>
      </w:r>
      <w:r w:rsidR="00892260">
        <w:t xml:space="preserve">able </w:t>
      </w:r>
      <w:r>
        <w:t>to progress and build knowledge</w:t>
      </w:r>
      <w:r w:rsidR="00892260">
        <w:t xml:space="preserve"> through challenges firmly rooted in subject content</w:t>
      </w:r>
      <w:r>
        <w:t xml:space="preserve"> </w:t>
      </w:r>
      <w:r w:rsidR="00892260">
        <w:t xml:space="preserve">to succeed in reaching the final </w:t>
      </w:r>
      <w:r w:rsidR="00892260" w:rsidRPr="00B04E03">
        <w:t>goal (</w:t>
      </w:r>
      <w:r w:rsidR="007617C0" w:rsidRPr="00B04E03">
        <w:t xml:space="preserve">Allison, </w:t>
      </w:r>
      <w:proofErr w:type="spellStart"/>
      <w:r w:rsidR="007617C0" w:rsidRPr="00B04E03">
        <w:t>Tharby</w:t>
      </w:r>
      <w:proofErr w:type="spellEnd"/>
      <w:r w:rsidR="007617C0" w:rsidRPr="00B04E03">
        <w:t xml:space="preserve"> and </w:t>
      </w:r>
      <w:proofErr w:type="spellStart"/>
      <w:r w:rsidR="007617C0" w:rsidRPr="00B04E03">
        <w:t>Lemov</w:t>
      </w:r>
      <w:proofErr w:type="spellEnd"/>
      <w:r w:rsidR="007617C0" w:rsidRPr="00B04E03">
        <w:t>, 2015)</w:t>
      </w:r>
      <w:r w:rsidR="00892260" w:rsidRPr="00B04E03">
        <w:t xml:space="preserve">. </w:t>
      </w:r>
      <w:r w:rsidR="005F29FF" w:rsidRPr="00B04E03">
        <w:t xml:space="preserve">This was evident within the </w:t>
      </w:r>
      <w:proofErr w:type="spellStart"/>
      <w:r w:rsidR="005F29FF" w:rsidRPr="00B04E03">
        <w:t>microteach</w:t>
      </w:r>
      <w:proofErr w:type="spellEnd"/>
      <w:r w:rsidR="005F29FF" w:rsidRPr="00B04E03">
        <w:t xml:space="preserve"> lesson</w:t>
      </w:r>
      <w:r w:rsidR="006C2D79" w:rsidRPr="00B04E03">
        <w:t xml:space="preserve"> </w:t>
      </w:r>
      <w:r w:rsidR="005F29FF" w:rsidRPr="00B04E03">
        <w:t xml:space="preserve">where learners began </w:t>
      </w:r>
      <w:r w:rsidR="005C55E1" w:rsidRPr="00B04E03">
        <w:t xml:space="preserve">with definition and labelling </w:t>
      </w:r>
      <w:r w:rsidR="005C55E1">
        <w:rPr>
          <w:color w:val="0D0D0D" w:themeColor="text1" w:themeTint="F2"/>
        </w:rPr>
        <w:t>activities before</w:t>
      </w:r>
      <w:r w:rsidR="004A0582">
        <w:rPr>
          <w:color w:val="0D0D0D" w:themeColor="text1" w:themeTint="F2"/>
        </w:rPr>
        <w:t xml:space="preserve"> further</w:t>
      </w:r>
      <w:r w:rsidR="005C55E1">
        <w:rPr>
          <w:color w:val="0D0D0D" w:themeColor="text1" w:themeTint="F2"/>
        </w:rPr>
        <w:t xml:space="preserve"> </w:t>
      </w:r>
      <w:r w:rsidR="004A0582">
        <w:rPr>
          <w:color w:val="0D0D0D" w:themeColor="text1" w:themeTint="F2"/>
        </w:rPr>
        <w:t>building on knowledge and moving on to a meaningful and challenging literacy task.</w:t>
      </w:r>
      <w:r w:rsidR="004A0582">
        <w:t xml:space="preserve"> </w:t>
      </w:r>
      <w:r w:rsidR="0078770E">
        <w:rPr>
          <w:color w:val="000000" w:themeColor="text1"/>
        </w:rPr>
        <w:t xml:space="preserve">Although there is a definite place for </w:t>
      </w:r>
      <w:r w:rsidR="0078770E">
        <w:rPr>
          <w:color w:val="000000" w:themeColor="text1"/>
        </w:rPr>
        <w:lastRenderedPageBreak/>
        <w:t>challenge within all lessons of all subjects</w:t>
      </w:r>
      <w:r w:rsidR="0078770E" w:rsidRPr="00DC703F">
        <w:t xml:space="preserve">, Hattie and Yates </w:t>
      </w:r>
      <w:r w:rsidR="00090B06" w:rsidRPr="00DC703F">
        <w:t xml:space="preserve">(2014) </w:t>
      </w:r>
      <w:r w:rsidR="0078770E" w:rsidRPr="00DC703F">
        <w:t xml:space="preserve">have illuminated the importance of not pushing learners too far and outlined what </w:t>
      </w:r>
      <w:r w:rsidR="0078770E">
        <w:rPr>
          <w:color w:val="000000" w:themeColor="text1"/>
        </w:rPr>
        <w:t>they have deemed ‘The Struggle Zone’</w:t>
      </w:r>
      <w:r w:rsidR="00A771C0">
        <w:rPr>
          <w:color w:val="000000" w:themeColor="text1"/>
        </w:rPr>
        <w:t xml:space="preserve"> </w:t>
      </w:r>
      <w:r w:rsidR="0078770E">
        <w:rPr>
          <w:color w:val="000000" w:themeColor="text1"/>
        </w:rPr>
        <w:t xml:space="preserve"> </w:t>
      </w:r>
      <w:r w:rsidR="00A771C0">
        <w:rPr>
          <w:color w:val="000000" w:themeColor="text1"/>
        </w:rPr>
        <w:t xml:space="preserve">to be </w:t>
      </w:r>
      <w:r w:rsidR="00090B06">
        <w:rPr>
          <w:color w:val="000000" w:themeColor="text1"/>
        </w:rPr>
        <w:t>just far enough</w:t>
      </w:r>
      <w:r w:rsidR="00A771C0">
        <w:rPr>
          <w:color w:val="000000" w:themeColor="text1"/>
        </w:rPr>
        <w:t>. Learners were led into the ‘struggle zone’ multiple times during the micro</w:t>
      </w:r>
      <w:r w:rsidR="00981287">
        <w:rPr>
          <w:color w:val="000000" w:themeColor="text1"/>
        </w:rPr>
        <w:t xml:space="preserve"> </w:t>
      </w:r>
      <w:r w:rsidR="00A771C0">
        <w:rPr>
          <w:color w:val="000000" w:themeColor="text1"/>
        </w:rPr>
        <w:t>teach lesson as well as throughout the scheme of work</w:t>
      </w:r>
      <w:r w:rsidR="004D3A5B">
        <w:rPr>
          <w:color w:val="000000" w:themeColor="text1"/>
        </w:rPr>
        <w:t>, however,</w:t>
      </w:r>
      <w:r w:rsidR="00A771C0">
        <w:rPr>
          <w:color w:val="000000" w:themeColor="text1"/>
        </w:rPr>
        <w:t xml:space="preserve"> it was also ensured that appropriate scaffolding and differentiation </w:t>
      </w:r>
      <w:r w:rsidR="004D3A5B">
        <w:rPr>
          <w:color w:val="000000" w:themeColor="text1"/>
        </w:rPr>
        <w:t xml:space="preserve">was implemented to prevent learners from falling into the highly challenging, highly stressful, </w:t>
      </w:r>
      <w:r w:rsidR="004D3A5B" w:rsidRPr="00DC703F">
        <w:t>cognitive overload that is ‘The Panic Zone’ where limited learning takes place (Hattie and Yates, 2014).</w:t>
      </w:r>
      <w:r w:rsidR="001C07C8" w:rsidRPr="00DC703F">
        <w:t xml:space="preserve"> Bates (2016) </w:t>
      </w:r>
      <w:r w:rsidR="00307ED1">
        <w:rPr>
          <w:color w:val="000000" w:themeColor="text1"/>
        </w:rPr>
        <w:t xml:space="preserve">emphasises the importance of this by insisting that higher level orders of Bloom’s </w:t>
      </w:r>
      <w:r w:rsidR="00307ED1" w:rsidRPr="00DC703F">
        <w:t xml:space="preserve">Taxonomy (1956) are not attempted until the understanding and application have been fully understood. </w:t>
      </w:r>
      <w:r w:rsidR="004D3A5B" w:rsidRPr="00DC703F">
        <w:t xml:space="preserve">Carol </w:t>
      </w:r>
      <w:proofErr w:type="spellStart"/>
      <w:r w:rsidR="004D3A5B" w:rsidRPr="00DC703F">
        <w:t>Dweck</w:t>
      </w:r>
      <w:proofErr w:type="spellEnd"/>
      <w:r w:rsidR="00090B06" w:rsidRPr="00DC703F">
        <w:t xml:space="preserve"> (2007)</w:t>
      </w:r>
      <w:r w:rsidR="00EC7C49" w:rsidRPr="00DC703F">
        <w:t>,</w:t>
      </w:r>
      <w:r w:rsidR="004D3A5B" w:rsidRPr="00DC703F">
        <w:t xml:space="preserve"> </w:t>
      </w:r>
      <w:r w:rsidR="00EC7C49" w:rsidRPr="00DC703F">
        <w:t>again, argues</w:t>
      </w:r>
      <w:r w:rsidR="00CF5B99" w:rsidRPr="00DC703F">
        <w:t xml:space="preserve"> for</w:t>
      </w:r>
      <w:r w:rsidR="00EC7C49" w:rsidRPr="00DC703F">
        <w:t xml:space="preserve"> the importance of challenge, predominantly </w:t>
      </w:r>
      <w:r w:rsidR="006413BE" w:rsidRPr="00DC703F">
        <w:t xml:space="preserve">through </w:t>
      </w:r>
      <w:r w:rsidR="00EC7C49" w:rsidRPr="00DC703F">
        <w:t xml:space="preserve">continuously </w:t>
      </w:r>
      <w:r w:rsidR="00EC7C49">
        <w:rPr>
          <w:color w:val="000000" w:themeColor="text1"/>
        </w:rPr>
        <w:t>maintaining high expectations of learners</w:t>
      </w:r>
      <w:r w:rsidR="00CF5B99">
        <w:rPr>
          <w:color w:val="000000" w:themeColor="text1"/>
        </w:rPr>
        <w:t>, which</w:t>
      </w:r>
      <w:r w:rsidR="00EC7C49">
        <w:rPr>
          <w:color w:val="000000" w:themeColor="text1"/>
        </w:rPr>
        <w:t xml:space="preserve"> in turn encourages a growth </w:t>
      </w:r>
      <w:proofErr w:type="spellStart"/>
      <w:r w:rsidR="00EC7C49">
        <w:rPr>
          <w:color w:val="000000" w:themeColor="text1"/>
        </w:rPr>
        <w:t>mindset</w:t>
      </w:r>
      <w:proofErr w:type="spellEnd"/>
      <w:r w:rsidR="00CF5B99">
        <w:rPr>
          <w:color w:val="000000" w:themeColor="text1"/>
        </w:rPr>
        <w:t>, where learning from failure becomes vital to a</w:t>
      </w:r>
      <w:r w:rsidR="00090B06">
        <w:rPr>
          <w:color w:val="000000" w:themeColor="text1"/>
        </w:rPr>
        <w:t xml:space="preserve"> learner’s future success</w:t>
      </w:r>
      <w:r w:rsidR="00183492">
        <w:rPr>
          <w:color w:val="000000" w:themeColor="text1"/>
        </w:rPr>
        <w:t xml:space="preserve">. </w:t>
      </w:r>
      <w:r w:rsidR="004A0582" w:rsidRPr="00DC703F">
        <w:t xml:space="preserve">Alternatively, </w:t>
      </w:r>
      <w:r w:rsidR="00183492" w:rsidRPr="00DC703F">
        <w:t xml:space="preserve">Hattie </w:t>
      </w:r>
      <w:r w:rsidR="004A4436" w:rsidRPr="00DC703F">
        <w:t xml:space="preserve">and </w:t>
      </w:r>
      <w:r w:rsidR="004A4436">
        <w:rPr>
          <w:color w:val="000000" w:themeColor="text1"/>
        </w:rPr>
        <w:t>Donoghue</w:t>
      </w:r>
      <w:r w:rsidR="006573D1">
        <w:rPr>
          <w:color w:val="000000" w:themeColor="text1"/>
        </w:rPr>
        <w:t xml:space="preserve"> </w:t>
      </w:r>
      <w:r w:rsidR="00090B06">
        <w:rPr>
          <w:color w:val="000000" w:themeColor="text1"/>
        </w:rPr>
        <w:t xml:space="preserve">(2016) </w:t>
      </w:r>
      <w:r w:rsidR="00C32FEF">
        <w:rPr>
          <w:color w:val="000000" w:themeColor="text1"/>
        </w:rPr>
        <w:t>sugges</w:t>
      </w:r>
      <w:r w:rsidR="000A75BF">
        <w:rPr>
          <w:color w:val="000000" w:themeColor="text1"/>
        </w:rPr>
        <w:t>t</w:t>
      </w:r>
      <w:r w:rsidR="00C32FEF">
        <w:rPr>
          <w:color w:val="000000" w:themeColor="text1"/>
        </w:rPr>
        <w:t xml:space="preserve"> that in order to progress, learners must be encouraged to develop and mature ‘surface learning’ into ‘deeper learning’ where they are able to expand on knowledge and make </w:t>
      </w:r>
      <w:r w:rsidR="00E64A0B">
        <w:rPr>
          <w:color w:val="000000" w:themeColor="text1"/>
        </w:rPr>
        <w:t xml:space="preserve">more profound </w:t>
      </w:r>
      <w:r w:rsidR="00C32FEF">
        <w:rPr>
          <w:color w:val="000000" w:themeColor="text1"/>
        </w:rPr>
        <w:t>connections</w:t>
      </w:r>
      <w:r w:rsidR="00CF5B99">
        <w:rPr>
          <w:color w:val="000000" w:themeColor="text1"/>
        </w:rPr>
        <w:t xml:space="preserve"> between ideas</w:t>
      </w:r>
      <w:r w:rsidR="00B04E03">
        <w:rPr>
          <w:color w:val="000000" w:themeColor="text1"/>
        </w:rPr>
        <w:t>,</w:t>
      </w:r>
      <w:r w:rsidR="00C32FEF">
        <w:rPr>
          <w:color w:val="000000" w:themeColor="text1"/>
        </w:rPr>
        <w:t xml:space="preserve"> </w:t>
      </w:r>
      <w:r w:rsidR="00CF5B99">
        <w:rPr>
          <w:color w:val="000000" w:themeColor="text1"/>
        </w:rPr>
        <w:t>in place of</w:t>
      </w:r>
      <w:r w:rsidR="00B04E03">
        <w:rPr>
          <w:color w:val="000000" w:themeColor="text1"/>
        </w:rPr>
        <w:t>,</w:t>
      </w:r>
      <w:r w:rsidR="00F75EE8">
        <w:rPr>
          <w:color w:val="000000" w:themeColor="text1"/>
        </w:rPr>
        <w:t xml:space="preserve"> simply</w:t>
      </w:r>
      <w:r w:rsidR="00CF5B99">
        <w:rPr>
          <w:color w:val="000000" w:themeColor="text1"/>
        </w:rPr>
        <w:t xml:space="preserve"> remembering</w:t>
      </w:r>
      <w:r w:rsidR="00090B06">
        <w:rPr>
          <w:color w:val="000000" w:themeColor="text1"/>
        </w:rPr>
        <w:t xml:space="preserve"> and recalling the basics</w:t>
      </w:r>
      <w:r w:rsidR="00CF5B99">
        <w:rPr>
          <w:color w:val="000000" w:themeColor="text1"/>
        </w:rPr>
        <w:t>.</w:t>
      </w:r>
      <w:r w:rsidR="000A75BF">
        <w:rPr>
          <w:color w:val="000000" w:themeColor="text1"/>
        </w:rPr>
        <w:t xml:space="preserve"> </w:t>
      </w:r>
      <w:r w:rsidR="001044F1">
        <w:rPr>
          <w:color w:val="000000" w:themeColor="text1"/>
        </w:rPr>
        <w:t xml:space="preserve">During the micro lesson, answers were ‘teased’ out of learners using </w:t>
      </w:r>
      <w:r w:rsidR="009B0B7B">
        <w:rPr>
          <w:color w:val="000000" w:themeColor="text1"/>
        </w:rPr>
        <w:t xml:space="preserve">questioning and prompting to encourage them to make connections between the processes and words/ideas that they may have already been familiar with such as ‘abrasive’ in relation to ‘abrasion’. </w:t>
      </w:r>
    </w:p>
    <w:p w:rsidR="007704E6" w:rsidRPr="000A75BF" w:rsidRDefault="000A75BF">
      <w:pPr>
        <w:rPr>
          <w:color w:val="000000" w:themeColor="text1"/>
        </w:rPr>
      </w:pPr>
      <w:r>
        <w:rPr>
          <w:color w:val="000000" w:themeColor="text1"/>
        </w:rPr>
        <w:lastRenderedPageBreak/>
        <w:t xml:space="preserve">In order to enhance learning and encourage students to learn at their maximum rate, the lesson’s objectives were well thought </w:t>
      </w:r>
      <w:r w:rsidRPr="00F77956">
        <w:t xml:space="preserve">out in advance, ensuring that all activities were accessible and fully inclusive (Petty, 2014). </w:t>
      </w:r>
      <w:r w:rsidR="001C2EEC" w:rsidRPr="00F77956">
        <w:t>Drawing on Doran’s (1981) theories that led to the formation of the SMART objectives</w:t>
      </w:r>
      <w:r w:rsidR="00E90F44" w:rsidRPr="00F77956">
        <w:t xml:space="preserve">, </w:t>
      </w:r>
      <w:r w:rsidR="00811299" w:rsidRPr="00F77956">
        <w:t xml:space="preserve">the argument </w:t>
      </w:r>
      <w:r w:rsidR="00811299" w:rsidRPr="00DC703F">
        <w:t>is put forward</w:t>
      </w:r>
      <w:r w:rsidR="00253BD7" w:rsidRPr="00DC703F">
        <w:t xml:space="preserve"> that all lesson</w:t>
      </w:r>
      <w:r w:rsidR="002E20B6" w:rsidRPr="00DC703F">
        <w:t>s</w:t>
      </w:r>
      <w:r w:rsidR="00253BD7" w:rsidRPr="00DC703F">
        <w:t xml:space="preserve"> should </w:t>
      </w:r>
      <w:r w:rsidR="00253BD7">
        <w:rPr>
          <w:color w:val="0D0D0D" w:themeColor="text1" w:themeTint="F2"/>
        </w:rPr>
        <w:t>have</w:t>
      </w:r>
      <w:r w:rsidR="001C2EEC">
        <w:rPr>
          <w:color w:val="0D0D0D" w:themeColor="text1" w:themeTint="F2"/>
        </w:rPr>
        <w:t xml:space="preserve"> </w:t>
      </w:r>
      <w:r w:rsidR="00E90F44">
        <w:rPr>
          <w:color w:val="0D0D0D" w:themeColor="text1" w:themeTint="F2"/>
        </w:rPr>
        <w:t>specific, measurable, acceptable, realistic and time bound elements. The micro</w:t>
      </w:r>
      <w:r w:rsidR="00051C8D">
        <w:rPr>
          <w:color w:val="0D0D0D" w:themeColor="text1" w:themeTint="F2"/>
        </w:rPr>
        <w:t xml:space="preserve"> </w:t>
      </w:r>
      <w:r w:rsidR="00E90F44">
        <w:rPr>
          <w:color w:val="0D0D0D" w:themeColor="text1" w:themeTint="F2"/>
        </w:rPr>
        <w:t xml:space="preserve">teach lesson plan </w:t>
      </w:r>
      <w:r w:rsidR="00E90F44" w:rsidRPr="00DC703F">
        <w:t>encompassed these ideas which all contributed towards meeting the two subject specific lesson objectives.</w:t>
      </w:r>
      <w:r w:rsidR="00811299" w:rsidRPr="00DC703F">
        <w:t xml:space="preserve"> Similarly,</w:t>
      </w:r>
      <w:r w:rsidR="00E90F44" w:rsidRPr="00DC703F">
        <w:t xml:space="preserve"> </w:t>
      </w:r>
      <w:r w:rsidR="00253BD7" w:rsidRPr="00DC703F">
        <w:t xml:space="preserve">Clarke, Timperley and Hattie (2003) </w:t>
      </w:r>
      <w:r w:rsidR="00FA4B6E" w:rsidRPr="00DC703F">
        <w:t>put forward their own formula for establishing learning intentions and objectives</w:t>
      </w:r>
      <w:r w:rsidR="00E90F44" w:rsidRPr="00DC703F">
        <w:t>, where c</w:t>
      </w:r>
      <w:r w:rsidR="00FA4B6E" w:rsidRPr="00DC703F">
        <w:t>hallenge, commitment and confidence paired with high expectations and</w:t>
      </w:r>
      <w:r w:rsidR="00811299" w:rsidRPr="00DC703F">
        <w:t xml:space="preserve"> a</w:t>
      </w:r>
      <w:r w:rsidR="00FA4B6E" w:rsidRPr="00DC703F">
        <w:t xml:space="preserve"> </w:t>
      </w:r>
      <w:r w:rsidR="00FA4B6E">
        <w:rPr>
          <w:color w:val="0D0D0D" w:themeColor="text1" w:themeTint="F2"/>
        </w:rPr>
        <w:t xml:space="preserve">conceptual understanding enabled learners to </w:t>
      </w:r>
      <w:r w:rsidR="00E90F44">
        <w:rPr>
          <w:color w:val="0D0D0D" w:themeColor="text1" w:themeTint="F2"/>
        </w:rPr>
        <w:t xml:space="preserve">reach </w:t>
      </w:r>
      <w:r w:rsidR="00FA4B6E">
        <w:rPr>
          <w:color w:val="0D0D0D" w:themeColor="text1" w:themeTint="F2"/>
        </w:rPr>
        <w:t xml:space="preserve">the learning outcomes. </w:t>
      </w:r>
      <w:r w:rsidR="002E20B6">
        <w:rPr>
          <w:color w:val="0D0D0D" w:themeColor="text1" w:themeTint="F2"/>
        </w:rPr>
        <w:t>Contrary to</w:t>
      </w:r>
      <w:r w:rsidR="00811299">
        <w:rPr>
          <w:color w:val="0D0D0D" w:themeColor="text1" w:themeTint="F2"/>
        </w:rPr>
        <w:t xml:space="preserve"> both</w:t>
      </w:r>
      <w:r w:rsidR="002E20B6">
        <w:rPr>
          <w:color w:val="0D0D0D" w:themeColor="text1" w:themeTint="F2"/>
        </w:rPr>
        <w:t xml:space="preserve"> ideas</w:t>
      </w:r>
      <w:r w:rsidR="00490E16">
        <w:rPr>
          <w:color w:val="0D0D0D" w:themeColor="text1" w:themeTint="F2"/>
        </w:rPr>
        <w:t>,</w:t>
      </w:r>
      <w:r w:rsidR="002E20B6">
        <w:rPr>
          <w:color w:val="0D0D0D" w:themeColor="text1" w:themeTint="F2"/>
        </w:rPr>
        <w:t xml:space="preserve"> </w:t>
      </w:r>
      <w:r w:rsidR="002E20B6" w:rsidRPr="00DC703F">
        <w:t xml:space="preserve">Pritchard (2005) who has devised </w:t>
      </w:r>
      <w:r w:rsidR="002E20B6">
        <w:rPr>
          <w:color w:val="0D0D0D" w:themeColor="text1" w:themeTint="F2"/>
        </w:rPr>
        <w:t xml:space="preserve">his own seven point lesson planning checklist, understands that not all </w:t>
      </w:r>
      <w:r w:rsidR="00490E16">
        <w:rPr>
          <w:color w:val="0D0D0D" w:themeColor="text1" w:themeTint="F2"/>
        </w:rPr>
        <w:t>lesson plans</w:t>
      </w:r>
      <w:r w:rsidR="002E20B6">
        <w:rPr>
          <w:color w:val="0D0D0D" w:themeColor="text1" w:themeTint="F2"/>
        </w:rPr>
        <w:t xml:space="preserve"> will be able to </w:t>
      </w:r>
      <w:r w:rsidR="00490E16">
        <w:rPr>
          <w:color w:val="0D0D0D" w:themeColor="text1" w:themeTint="F2"/>
        </w:rPr>
        <w:t>incorporate</w:t>
      </w:r>
      <w:r w:rsidR="002E20B6">
        <w:rPr>
          <w:color w:val="0D0D0D" w:themeColor="text1" w:themeTint="F2"/>
        </w:rPr>
        <w:t xml:space="preserve"> all </w:t>
      </w:r>
      <w:r w:rsidR="00490E16">
        <w:rPr>
          <w:color w:val="0D0D0D" w:themeColor="text1" w:themeTint="F2"/>
        </w:rPr>
        <w:t xml:space="preserve">seven </w:t>
      </w:r>
      <w:r w:rsidR="002E20B6">
        <w:rPr>
          <w:color w:val="0D0D0D" w:themeColor="text1" w:themeTint="F2"/>
        </w:rPr>
        <w:t>points</w:t>
      </w:r>
      <w:r w:rsidR="00811299">
        <w:rPr>
          <w:color w:val="0D0D0D" w:themeColor="text1" w:themeTint="F2"/>
        </w:rPr>
        <w:t xml:space="preserve"> every time</w:t>
      </w:r>
      <w:r w:rsidR="002E20B6">
        <w:rPr>
          <w:color w:val="0D0D0D" w:themeColor="text1" w:themeTint="F2"/>
        </w:rPr>
        <w:t>, but also adds that effort should be made within a SOW/programme of study to ensure that all bases are covered</w:t>
      </w:r>
      <w:r w:rsidR="00811299">
        <w:rPr>
          <w:color w:val="0D0D0D" w:themeColor="text1" w:themeTint="F2"/>
        </w:rPr>
        <w:t>, ranging</w:t>
      </w:r>
      <w:r w:rsidR="002E20B6">
        <w:rPr>
          <w:color w:val="0D0D0D" w:themeColor="text1" w:themeTint="F2"/>
        </w:rPr>
        <w:t xml:space="preserve"> from focus and interaction to </w:t>
      </w:r>
      <w:r w:rsidR="002E20B6" w:rsidRPr="00DC703F">
        <w:t xml:space="preserve">variety. </w:t>
      </w:r>
      <w:r w:rsidR="00B935D2" w:rsidRPr="00DC703F">
        <w:t>Bates (2016</w:t>
      </w:r>
      <w:r w:rsidR="00490E16" w:rsidRPr="00DC703F">
        <w:t>)</w:t>
      </w:r>
      <w:r w:rsidR="007704E6" w:rsidRPr="00DC703F">
        <w:t>,</w:t>
      </w:r>
      <w:r w:rsidR="00490E16" w:rsidRPr="00DC703F">
        <w:t xml:space="preserve"> expanding on Pritchard’s (2005) </w:t>
      </w:r>
      <w:r w:rsidR="00490E16" w:rsidRPr="00490E16">
        <w:rPr>
          <w:color w:val="0D0D0D" w:themeColor="text1" w:themeTint="F2"/>
        </w:rPr>
        <w:t xml:space="preserve">ideas argues that </w:t>
      </w:r>
      <w:r w:rsidR="00490E16">
        <w:rPr>
          <w:color w:val="0D0D0D" w:themeColor="text1" w:themeTint="F2"/>
        </w:rPr>
        <w:t>a ‘perfect’ lesson plan does not exist and</w:t>
      </w:r>
      <w:r w:rsidR="007704E6">
        <w:rPr>
          <w:color w:val="0D0D0D" w:themeColor="text1" w:themeTint="F2"/>
        </w:rPr>
        <w:t xml:space="preserve"> that</w:t>
      </w:r>
      <w:r w:rsidR="00490E16">
        <w:rPr>
          <w:color w:val="0D0D0D" w:themeColor="text1" w:themeTint="F2"/>
        </w:rPr>
        <w:t xml:space="preserve"> there is no given way </w:t>
      </w:r>
      <w:r w:rsidR="00AA326C">
        <w:rPr>
          <w:color w:val="0D0D0D" w:themeColor="text1" w:themeTint="F2"/>
        </w:rPr>
        <w:t xml:space="preserve">or set path </w:t>
      </w:r>
      <w:r w:rsidR="00490E16">
        <w:rPr>
          <w:color w:val="0D0D0D" w:themeColor="text1" w:themeTint="F2"/>
        </w:rPr>
        <w:t xml:space="preserve">to </w:t>
      </w:r>
      <w:r w:rsidR="007704E6">
        <w:rPr>
          <w:color w:val="0D0D0D" w:themeColor="text1" w:themeTint="F2"/>
        </w:rPr>
        <w:t>achieve a lesson’s outcomes or objectives.</w:t>
      </w:r>
      <w:r w:rsidR="00B04E03">
        <w:rPr>
          <w:color w:val="0D0D0D" w:themeColor="text1" w:themeTint="F2"/>
        </w:rPr>
        <w:t xml:space="preserve"> In this context, adaptability is key.</w:t>
      </w:r>
      <w:r w:rsidR="007704E6">
        <w:rPr>
          <w:color w:val="0D0D0D" w:themeColor="text1" w:themeTint="F2"/>
        </w:rPr>
        <w:t xml:space="preserve"> He expands on this by comparing lesson planning to an art</w:t>
      </w:r>
      <w:r w:rsidR="00B935D2">
        <w:rPr>
          <w:color w:val="0D0D0D" w:themeColor="text1" w:themeTint="F2"/>
        </w:rPr>
        <w:t>,</w:t>
      </w:r>
      <w:r w:rsidR="007704E6">
        <w:rPr>
          <w:color w:val="0D0D0D" w:themeColor="text1" w:themeTint="F2"/>
        </w:rPr>
        <w:t xml:space="preserve"> </w:t>
      </w:r>
      <w:r w:rsidR="00B935D2">
        <w:rPr>
          <w:color w:val="0D0D0D" w:themeColor="text1" w:themeTint="F2"/>
        </w:rPr>
        <w:t xml:space="preserve">where there is always a level of subjectivity, </w:t>
      </w:r>
      <w:r w:rsidR="007704E6">
        <w:rPr>
          <w:color w:val="0D0D0D" w:themeColor="text1" w:themeTint="F2"/>
        </w:rPr>
        <w:t>rather than a science</w:t>
      </w:r>
      <w:r w:rsidR="00B935D2">
        <w:rPr>
          <w:color w:val="0D0D0D" w:themeColor="text1" w:themeTint="F2"/>
        </w:rPr>
        <w:t xml:space="preserve"> </w:t>
      </w:r>
      <w:r w:rsidR="007704E6">
        <w:rPr>
          <w:color w:val="0D0D0D" w:themeColor="text1" w:themeTint="F2"/>
        </w:rPr>
        <w:t>(</w:t>
      </w:r>
      <w:r w:rsidR="00B935D2">
        <w:rPr>
          <w:color w:val="0D0D0D" w:themeColor="text1" w:themeTint="F2"/>
        </w:rPr>
        <w:t>Bates</w:t>
      </w:r>
      <w:r w:rsidR="007704E6">
        <w:rPr>
          <w:color w:val="0D0D0D" w:themeColor="text1" w:themeTint="F2"/>
        </w:rPr>
        <w:t>, 2014).</w:t>
      </w:r>
      <w:r w:rsidR="00B935D2">
        <w:rPr>
          <w:color w:val="0D0D0D" w:themeColor="text1" w:themeTint="F2"/>
        </w:rPr>
        <w:t xml:space="preserve"> </w:t>
      </w:r>
      <w:r w:rsidR="00811299">
        <w:rPr>
          <w:color w:val="0D0D0D" w:themeColor="text1" w:themeTint="F2"/>
        </w:rPr>
        <w:t>Yet</w:t>
      </w:r>
      <w:r w:rsidR="00B935D2">
        <w:rPr>
          <w:color w:val="0D0D0D" w:themeColor="text1" w:themeTint="F2"/>
        </w:rPr>
        <w:t>,</w:t>
      </w:r>
      <w:r w:rsidR="00811299">
        <w:rPr>
          <w:color w:val="0D0D0D" w:themeColor="text1" w:themeTint="F2"/>
        </w:rPr>
        <w:t xml:space="preserve"> despite</w:t>
      </w:r>
      <w:r w:rsidR="00811299" w:rsidRPr="00F77956">
        <w:t xml:space="preserve"> this,</w:t>
      </w:r>
      <w:r w:rsidR="00B935D2" w:rsidRPr="00F77956">
        <w:t xml:space="preserve"> Petty (2014) </w:t>
      </w:r>
      <w:r w:rsidR="00B935D2">
        <w:rPr>
          <w:color w:val="0D0D0D" w:themeColor="text1" w:themeTint="F2"/>
        </w:rPr>
        <w:t>presents an argument for the structuring</w:t>
      </w:r>
      <w:r w:rsidR="00AA6A85">
        <w:rPr>
          <w:color w:val="0D0D0D" w:themeColor="text1" w:themeTint="F2"/>
        </w:rPr>
        <w:t>/stepping</w:t>
      </w:r>
      <w:r w:rsidR="00B935D2">
        <w:rPr>
          <w:color w:val="0D0D0D" w:themeColor="text1" w:themeTint="F2"/>
        </w:rPr>
        <w:t xml:space="preserve"> of lesson plans</w:t>
      </w:r>
      <w:r w:rsidR="00AA6A85">
        <w:rPr>
          <w:color w:val="0D0D0D" w:themeColor="text1" w:themeTint="F2"/>
        </w:rPr>
        <w:t>,</w:t>
      </w:r>
      <w:r w:rsidR="00B935D2">
        <w:rPr>
          <w:color w:val="0D0D0D" w:themeColor="text1" w:themeTint="F2"/>
        </w:rPr>
        <w:t xml:space="preserve"> where ‘ladders of tasks’ </w:t>
      </w:r>
      <w:r w:rsidR="00AA6A85">
        <w:rPr>
          <w:color w:val="0D0D0D" w:themeColor="text1" w:themeTint="F2"/>
        </w:rPr>
        <w:t xml:space="preserve">are present to guide and stretch a learner, developing their understanding in order to reach the desired outcome. </w:t>
      </w:r>
    </w:p>
    <w:p w:rsidR="00190127" w:rsidRPr="003843D6" w:rsidRDefault="00C777E4" w:rsidP="004F75B7">
      <w:pPr>
        <w:rPr>
          <w:color w:val="0D0D0D" w:themeColor="text1" w:themeTint="F2"/>
        </w:rPr>
      </w:pPr>
      <w:r>
        <w:rPr>
          <w:color w:val="0D0D0D" w:themeColor="text1" w:themeTint="F2"/>
        </w:rPr>
        <w:lastRenderedPageBreak/>
        <w:t>The lesson plan incorporated skills drawn from the KS3 National Curriculum for Geography</w:t>
      </w:r>
      <w:r w:rsidR="00EC6F93">
        <w:rPr>
          <w:color w:val="0D0D0D" w:themeColor="text1" w:themeTint="F2"/>
        </w:rPr>
        <w:t xml:space="preserve"> in</w:t>
      </w:r>
      <w:r w:rsidR="00012C7A">
        <w:rPr>
          <w:color w:val="0D0D0D" w:themeColor="text1" w:themeTint="F2"/>
        </w:rPr>
        <w:t xml:space="preserve"> Wales</w:t>
      </w:r>
      <w:r w:rsidR="00D5028D">
        <w:rPr>
          <w:color w:val="0D0D0D" w:themeColor="text1" w:themeTint="F2"/>
        </w:rPr>
        <w:t xml:space="preserve"> (</w:t>
      </w:r>
      <w:r w:rsidR="00DC703F">
        <w:rPr>
          <w:color w:val="0D0D0D" w:themeColor="text1" w:themeTint="F2"/>
        </w:rPr>
        <w:t xml:space="preserve">Welsh Government, </w:t>
      </w:r>
      <w:r w:rsidR="00D5028D">
        <w:rPr>
          <w:color w:val="0D0D0D" w:themeColor="text1" w:themeTint="F2"/>
        </w:rPr>
        <w:t>2008)</w:t>
      </w:r>
      <w:r>
        <w:rPr>
          <w:color w:val="0D0D0D" w:themeColor="text1" w:themeTint="F2"/>
        </w:rPr>
        <w:t xml:space="preserve"> </w:t>
      </w:r>
      <w:r w:rsidR="00F05820">
        <w:rPr>
          <w:color w:val="0D0D0D" w:themeColor="text1" w:themeTint="F2"/>
        </w:rPr>
        <w:t>such as ‘Understanding Processes’ and ‘Communicating’</w:t>
      </w:r>
      <w:r w:rsidR="00D5028D">
        <w:rPr>
          <w:color w:val="0D0D0D" w:themeColor="text1" w:themeTint="F2"/>
        </w:rPr>
        <w:t xml:space="preserve">. </w:t>
      </w:r>
      <w:r w:rsidR="00FC6E64">
        <w:rPr>
          <w:color w:val="0D0D0D" w:themeColor="text1" w:themeTint="F2"/>
        </w:rPr>
        <w:t>In order to develop</w:t>
      </w:r>
      <w:r w:rsidR="00EF03D9">
        <w:rPr>
          <w:color w:val="0D0D0D" w:themeColor="text1" w:themeTint="F2"/>
        </w:rPr>
        <w:t xml:space="preserve"> commu</w:t>
      </w:r>
      <w:r w:rsidR="00FC6E64">
        <w:rPr>
          <w:color w:val="0D0D0D" w:themeColor="text1" w:themeTint="F2"/>
        </w:rPr>
        <w:t>nication skills,</w:t>
      </w:r>
      <w:r w:rsidR="00AA5DE2">
        <w:rPr>
          <w:color w:val="0D0D0D" w:themeColor="text1" w:themeTint="F2"/>
        </w:rPr>
        <w:t xml:space="preserve"> the</w:t>
      </w:r>
      <w:r w:rsidR="00EF03D9">
        <w:rPr>
          <w:color w:val="0D0D0D" w:themeColor="text1" w:themeTint="F2"/>
        </w:rPr>
        <w:t xml:space="preserve"> first core task of the micro lesson was designed to be completed in </w:t>
      </w:r>
      <w:r w:rsidR="00EF03D9" w:rsidRPr="00DC703F">
        <w:t xml:space="preserve">groups. </w:t>
      </w:r>
      <w:r w:rsidR="00C84E23" w:rsidRPr="00DC703F">
        <w:t>Vygotsky (1962) developed the idea of th</w:t>
      </w:r>
      <w:r w:rsidR="003843D6" w:rsidRPr="00DC703F">
        <w:t>e zone of proximal development [ZPD] w</w:t>
      </w:r>
      <w:r w:rsidR="00C84E23" w:rsidRPr="00DC703F">
        <w:t xml:space="preserve">hereby </w:t>
      </w:r>
      <w:r w:rsidR="00D129B0" w:rsidRPr="00DC703F">
        <w:t xml:space="preserve">learners can develop </w:t>
      </w:r>
      <w:r w:rsidR="00D129B0">
        <w:rPr>
          <w:color w:val="0D0D0D" w:themeColor="text1" w:themeTint="F2"/>
        </w:rPr>
        <w:t xml:space="preserve">their understanding and comprehension of a topic more deeply via social interaction with their peers. </w:t>
      </w:r>
      <w:r w:rsidR="00427841">
        <w:rPr>
          <w:color w:val="0D0D0D" w:themeColor="text1" w:themeTint="F2"/>
        </w:rPr>
        <w:t>Vygotsky’</w:t>
      </w:r>
      <w:r w:rsidR="003843D6">
        <w:rPr>
          <w:color w:val="0D0D0D" w:themeColor="text1" w:themeTint="F2"/>
        </w:rPr>
        <w:t>s ZPD groupings rely on more able learners supporting and sharing knowledge with less able learners where both parties benefit from participating in the experience. Unlike this, for the micro lesson l</w:t>
      </w:r>
      <w:r w:rsidR="00F87755">
        <w:rPr>
          <w:color w:val="0D0D0D" w:themeColor="text1" w:themeTint="F2"/>
        </w:rPr>
        <w:t>earners were grouped</w:t>
      </w:r>
      <w:r w:rsidR="003843D6">
        <w:rPr>
          <w:color w:val="0D0D0D" w:themeColor="text1" w:themeTint="F2"/>
        </w:rPr>
        <w:t xml:space="preserve"> by ability</w:t>
      </w:r>
      <w:r w:rsidR="00F87755">
        <w:rPr>
          <w:color w:val="0D0D0D" w:themeColor="text1" w:themeTint="F2"/>
        </w:rPr>
        <w:t xml:space="preserve"> into small, achievement based ‘buzz groups’ where learne</w:t>
      </w:r>
      <w:r w:rsidR="00190127">
        <w:rPr>
          <w:color w:val="0D0D0D" w:themeColor="text1" w:themeTint="F2"/>
        </w:rPr>
        <w:t xml:space="preserve">rs could work at their </w:t>
      </w:r>
      <w:r w:rsidR="0021009D">
        <w:rPr>
          <w:color w:val="0D0D0D" w:themeColor="text1" w:themeTint="F2"/>
        </w:rPr>
        <w:t xml:space="preserve">own pace (Petty, 2014). </w:t>
      </w:r>
      <w:r w:rsidR="00F0707C">
        <w:rPr>
          <w:color w:val="0D0D0D" w:themeColor="text1" w:themeTint="F2"/>
        </w:rPr>
        <w:t xml:space="preserve">There is much deliberation when it comes to the optimal way of grouping and </w:t>
      </w:r>
      <w:r w:rsidR="00F0707C" w:rsidRPr="00DC703F">
        <w:t>Webb (2009) outlines that issues and obstacles can arise within any combination of heterogeneous</w:t>
      </w:r>
      <w:r w:rsidR="005D12DE" w:rsidRPr="00DC703F">
        <w:t xml:space="preserve"> (mixed) groupings. </w:t>
      </w:r>
      <w:proofErr w:type="spellStart"/>
      <w:r w:rsidR="005D12DE" w:rsidRPr="00DC703F">
        <w:t>Ginnis</w:t>
      </w:r>
      <w:proofErr w:type="spellEnd"/>
      <w:r w:rsidR="005D12DE" w:rsidRPr="00DC703F">
        <w:t xml:space="preserve"> (2002) presents </w:t>
      </w:r>
      <w:r w:rsidR="005D12DE">
        <w:rPr>
          <w:color w:val="0D0D0D" w:themeColor="text1" w:themeTint="F2"/>
        </w:rPr>
        <w:t>the solution of ‘proportional representation’</w:t>
      </w:r>
      <w:r w:rsidR="004F75B7">
        <w:rPr>
          <w:color w:val="0D0D0D" w:themeColor="text1" w:themeTint="F2"/>
        </w:rPr>
        <w:t xml:space="preserve"> to the potentially arising issue of</w:t>
      </w:r>
      <w:r w:rsidR="005D12DE">
        <w:rPr>
          <w:color w:val="0D0D0D" w:themeColor="text1" w:themeTint="F2"/>
        </w:rPr>
        <w:t xml:space="preserve"> task ‘passengers’ </w:t>
      </w:r>
      <w:r w:rsidR="004F75B7">
        <w:rPr>
          <w:color w:val="0D0D0D" w:themeColor="text1" w:themeTint="F2"/>
        </w:rPr>
        <w:t xml:space="preserve">(learners who contribute little or nothing to the task) </w:t>
      </w:r>
      <w:r w:rsidR="005D12DE">
        <w:rPr>
          <w:color w:val="0D0D0D" w:themeColor="text1" w:themeTint="F2"/>
        </w:rPr>
        <w:t xml:space="preserve">whereby all learners are </w:t>
      </w:r>
      <w:r w:rsidR="004F75B7">
        <w:rPr>
          <w:color w:val="0D0D0D" w:themeColor="text1" w:themeTint="F2"/>
        </w:rPr>
        <w:t xml:space="preserve">actively </w:t>
      </w:r>
      <w:r w:rsidR="005D12DE">
        <w:rPr>
          <w:color w:val="0D0D0D" w:themeColor="text1" w:themeTint="F2"/>
        </w:rPr>
        <w:t>encouraged and challenged to cont</w:t>
      </w:r>
      <w:r w:rsidR="004F75B7">
        <w:rPr>
          <w:color w:val="0D0D0D" w:themeColor="text1" w:themeTint="F2"/>
        </w:rPr>
        <w:t xml:space="preserve">ribute fully to all activities by being held accountable for their lack of involvement. </w:t>
      </w:r>
      <w:r w:rsidR="004F2202" w:rsidRPr="00DC703F">
        <w:t xml:space="preserve">Levy (2008) reviews all methods of grouping, concluding that there is a place for all variations within the </w:t>
      </w:r>
      <w:r w:rsidR="004F2202">
        <w:rPr>
          <w:color w:val="0D0D0D" w:themeColor="text1" w:themeTint="F2"/>
        </w:rPr>
        <w:t>classroom</w:t>
      </w:r>
      <w:r w:rsidR="00FC6E64">
        <w:rPr>
          <w:color w:val="0D0D0D" w:themeColor="text1" w:themeTint="F2"/>
        </w:rPr>
        <w:t>;</w:t>
      </w:r>
      <w:r w:rsidR="004F2202">
        <w:rPr>
          <w:color w:val="0D0D0D" w:themeColor="text1" w:themeTint="F2"/>
        </w:rPr>
        <w:t xml:space="preserve"> </w:t>
      </w:r>
      <w:r w:rsidR="00FC6E64">
        <w:rPr>
          <w:color w:val="0D0D0D" w:themeColor="text1" w:themeTint="F2"/>
        </w:rPr>
        <w:t xml:space="preserve">providing that it is properly facilitated by the teacher who ensures that all ‘loose ends’ are tied up. </w:t>
      </w:r>
    </w:p>
    <w:p w:rsidR="0077761B" w:rsidRDefault="00F532B4">
      <w:pPr>
        <w:rPr>
          <w:color w:val="000000" w:themeColor="text1"/>
        </w:rPr>
      </w:pPr>
      <w:r w:rsidRPr="00DC703F">
        <w:lastRenderedPageBreak/>
        <w:t>McGregor’s (1985) ideas of a ‘Theory X Teacher’ assert that i</w:t>
      </w:r>
      <w:r w:rsidR="00575D43" w:rsidRPr="00DC703F">
        <w:t xml:space="preserve">t is also the responsibility of the teacher to </w:t>
      </w:r>
      <w:r w:rsidRPr="00DC703F">
        <w:t xml:space="preserve">fully engage and </w:t>
      </w:r>
      <w:r w:rsidR="00575D43" w:rsidRPr="00DC703F">
        <w:t xml:space="preserve">motivate all </w:t>
      </w:r>
      <w:r w:rsidRPr="00DC703F">
        <w:t xml:space="preserve">learners. The </w:t>
      </w:r>
      <w:proofErr w:type="spellStart"/>
      <w:r w:rsidRPr="00DC703F">
        <w:t>microteach</w:t>
      </w:r>
      <w:proofErr w:type="spellEnd"/>
      <w:r w:rsidRPr="00DC703F">
        <w:t xml:space="preserve"> lesson, in conjunction with ‘Theory X’ was designed with Curzon’s (2006) fourteen points for motivation in mind. Challenging but meaningful tasks were set throughout and learning materials used were both interesting and stimulating. </w:t>
      </w:r>
      <w:r w:rsidR="00022A8E" w:rsidRPr="00DC703F">
        <w:t>Similarly to the ideas of Clarke et al. (200</w:t>
      </w:r>
      <w:r w:rsidR="009E1D0C" w:rsidRPr="00DC703F">
        <w:t>3) the first task</w:t>
      </w:r>
      <w:r w:rsidR="00022A8E" w:rsidRPr="00DC703F">
        <w:t xml:space="preserve"> supported and </w:t>
      </w:r>
      <w:r w:rsidR="009E1D0C" w:rsidRPr="00DC703F">
        <w:t xml:space="preserve">underpinned more than one activity and learning outcome. </w:t>
      </w:r>
      <w:proofErr w:type="spellStart"/>
      <w:r w:rsidR="009E1D0C" w:rsidRPr="00DC703F">
        <w:t>McGreogor’s</w:t>
      </w:r>
      <w:proofErr w:type="spellEnd"/>
      <w:r w:rsidR="009E1D0C" w:rsidRPr="00DC703F">
        <w:t xml:space="preserve"> (1985) ‘Theory Y Teacher’ and </w:t>
      </w:r>
      <w:proofErr w:type="spellStart"/>
      <w:r w:rsidR="009E1D0C" w:rsidRPr="00DC703F">
        <w:t>Dweck</w:t>
      </w:r>
      <w:proofErr w:type="spellEnd"/>
      <w:r w:rsidR="009E1D0C" w:rsidRPr="00DC703F">
        <w:t xml:space="preserve"> (2000) through </w:t>
      </w:r>
      <w:r w:rsidR="009E1D0C" w:rsidRPr="00396DBA">
        <w:rPr>
          <w:color w:val="000000" w:themeColor="text1"/>
        </w:rPr>
        <w:t xml:space="preserve">her growth </w:t>
      </w:r>
      <w:proofErr w:type="spellStart"/>
      <w:r w:rsidR="009E1D0C" w:rsidRPr="00396DBA">
        <w:rPr>
          <w:color w:val="000000" w:themeColor="text1"/>
        </w:rPr>
        <w:t>mindset</w:t>
      </w:r>
      <w:proofErr w:type="spellEnd"/>
      <w:r w:rsidR="009E1D0C" w:rsidRPr="00396DBA">
        <w:rPr>
          <w:color w:val="000000" w:themeColor="text1"/>
        </w:rPr>
        <w:t xml:space="preserve"> theories believe that in</w:t>
      </w:r>
      <w:r w:rsidR="008A5A19">
        <w:rPr>
          <w:color w:val="000000" w:themeColor="text1"/>
        </w:rPr>
        <w:t xml:space="preserve"> </w:t>
      </w:r>
      <w:r w:rsidR="009E1D0C" w:rsidRPr="00396DBA">
        <w:rPr>
          <w:color w:val="000000" w:themeColor="text1"/>
        </w:rPr>
        <w:t xml:space="preserve">fact, learners are not motivated by external resources and stimuli but rather through their own internal desire to progress and </w:t>
      </w:r>
      <w:r w:rsidR="009E1D0C" w:rsidRPr="00DC703F">
        <w:t>improve (Bates, 2016).</w:t>
      </w:r>
      <w:r w:rsidR="008A5A19" w:rsidRPr="00DC703F">
        <w:t xml:space="preserve"> </w:t>
      </w:r>
      <w:r w:rsidR="008A5A19">
        <w:rPr>
          <w:color w:val="000000" w:themeColor="text1"/>
        </w:rPr>
        <w:t xml:space="preserve">Despite </w:t>
      </w:r>
      <w:r w:rsidR="008A5A19" w:rsidRPr="00DC703F">
        <w:t xml:space="preserve">this, Reece and Walker (2007) state that </w:t>
      </w:r>
      <w:r w:rsidR="008A5A19">
        <w:rPr>
          <w:color w:val="000000" w:themeColor="text1"/>
        </w:rPr>
        <w:t xml:space="preserve">games and </w:t>
      </w:r>
      <w:r w:rsidR="00790EAC">
        <w:rPr>
          <w:color w:val="000000" w:themeColor="text1"/>
        </w:rPr>
        <w:t>inspiring resources</w:t>
      </w:r>
      <w:r w:rsidR="00801DA2">
        <w:rPr>
          <w:color w:val="000000" w:themeColor="text1"/>
        </w:rPr>
        <w:t xml:space="preserve"> distributed with positive praise </w:t>
      </w:r>
      <w:r w:rsidR="00790EAC">
        <w:rPr>
          <w:color w:val="000000" w:themeColor="text1"/>
        </w:rPr>
        <w:t>can still increase a learner’s interest in the subject</w:t>
      </w:r>
      <w:r w:rsidR="00D062C1">
        <w:rPr>
          <w:color w:val="000000" w:themeColor="text1"/>
        </w:rPr>
        <w:t>,</w:t>
      </w:r>
      <w:r w:rsidR="00790EAC">
        <w:rPr>
          <w:color w:val="000000" w:themeColor="text1"/>
        </w:rPr>
        <w:t xml:space="preserve"> particularly when presented in an unusual context. These ideas could be linked to the ‘Shrunken Scuba’ element of the micro lesson where learners had to imagine themselves physically experiencing the river processes in order to describe them. </w:t>
      </w:r>
    </w:p>
    <w:p w:rsidR="00820C8D" w:rsidRDefault="0077761B">
      <w:pPr>
        <w:rPr>
          <w:color w:val="000000" w:themeColor="text1"/>
        </w:rPr>
      </w:pPr>
      <w:r>
        <w:rPr>
          <w:color w:val="000000" w:themeColor="text1"/>
        </w:rPr>
        <w:t xml:space="preserve">Arguably, it was the ‘Shrunken Scuba’ task from the micro lesson that was the most meaningful. The literacy based task was </w:t>
      </w:r>
      <w:proofErr w:type="spellStart"/>
      <w:r>
        <w:rPr>
          <w:color w:val="000000" w:themeColor="text1"/>
        </w:rPr>
        <w:t>scaffolde</w:t>
      </w:r>
      <w:r w:rsidR="00FA7E47">
        <w:rPr>
          <w:color w:val="000000" w:themeColor="text1"/>
        </w:rPr>
        <w:t>d</w:t>
      </w:r>
      <w:proofErr w:type="spellEnd"/>
      <w:r w:rsidR="00FA7E47">
        <w:rPr>
          <w:color w:val="000000" w:themeColor="text1"/>
        </w:rPr>
        <w:t xml:space="preserve"> in several ways to both support and ensure that all learners could access the </w:t>
      </w:r>
      <w:r w:rsidR="00FA7E47" w:rsidRPr="00DC703F">
        <w:t>same task (Wood, Bruner and Ross, 1976).</w:t>
      </w:r>
      <w:r w:rsidR="003F2BAE" w:rsidRPr="00DC703F">
        <w:t xml:space="preserve"> </w:t>
      </w:r>
      <w:r w:rsidR="00FA7E47" w:rsidRPr="00DC703F">
        <w:t xml:space="preserve"> </w:t>
      </w:r>
      <w:r w:rsidR="00FA7E47">
        <w:rPr>
          <w:color w:val="000000" w:themeColor="text1"/>
        </w:rPr>
        <w:t xml:space="preserve">The </w:t>
      </w:r>
      <w:r w:rsidR="00E76714">
        <w:rPr>
          <w:color w:val="000000" w:themeColor="text1"/>
        </w:rPr>
        <w:t xml:space="preserve">national </w:t>
      </w:r>
      <w:r w:rsidR="00FA7E47">
        <w:rPr>
          <w:color w:val="000000" w:themeColor="text1"/>
        </w:rPr>
        <w:t>litera</w:t>
      </w:r>
      <w:r w:rsidR="003F2BAE">
        <w:rPr>
          <w:color w:val="000000" w:themeColor="text1"/>
        </w:rPr>
        <w:t>cy and numeracy framework [LNF]</w:t>
      </w:r>
      <w:r w:rsidR="00E76714">
        <w:rPr>
          <w:color w:val="000000" w:themeColor="text1"/>
        </w:rPr>
        <w:t xml:space="preserve"> was introduced</w:t>
      </w:r>
      <w:r w:rsidR="00216524">
        <w:rPr>
          <w:color w:val="000000" w:themeColor="text1"/>
        </w:rPr>
        <w:t xml:space="preserve"> in Wales</w:t>
      </w:r>
      <w:r w:rsidR="00E76714">
        <w:rPr>
          <w:color w:val="000000" w:themeColor="text1"/>
        </w:rPr>
        <w:t xml:space="preserve"> to enhance </w:t>
      </w:r>
      <w:r w:rsidR="00216524">
        <w:rPr>
          <w:color w:val="000000" w:themeColor="text1"/>
        </w:rPr>
        <w:t xml:space="preserve">the </w:t>
      </w:r>
      <w:r w:rsidR="00E76714">
        <w:rPr>
          <w:color w:val="000000" w:themeColor="text1"/>
        </w:rPr>
        <w:t>lit</w:t>
      </w:r>
      <w:r w:rsidR="00216524">
        <w:rPr>
          <w:color w:val="000000" w:themeColor="text1"/>
        </w:rPr>
        <w:t>eracy and numeracy skills of</w:t>
      </w:r>
      <w:r w:rsidR="00E76714">
        <w:rPr>
          <w:color w:val="000000" w:themeColor="text1"/>
        </w:rPr>
        <w:t xml:space="preserve"> learners a</w:t>
      </w:r>
      <w:r w:rsidR="00216524">
        <w:rPr>
          <w:color w:val="000000" w:themeColor="text1"/>
        </w:rPr>
        <w:t>ged from three to nineteen</w:t>
      </w:r>
      <w:r w:rsidR="003F2BAE">
        <w:rPr>
          <w:color w:val="000000" w:themeColor="text1"/>
        </w:rPr>
        <w:t>,</w:t>
      </w:r>
      <w:r w:rsidR="00E76714">
        <w:rPr>
          <w:color w:val="000000" w:themeColor="text1"/>
        </w:rPr>
        <w:t xml:space="preserve"> by embedding them</w:t>
      </w:r>
      <w:r w:rsidR="00216524">
        <w:rPr>
          <w:color w:val="000000" w:themeColor="text1"/>
        </w:rPr>
        <w:t xml:space="preserve"> within all subjects</w:t>
      </w:r>
      <w:r w:rsidR="003F2BAE">
        <w:rPr>
          <w:color w:val="000000" w:themeColor="text1"/>
        </w:rPr>
        <w:t xml:space="preserve"> </w:t>
      </w:r>
      <w:r w:rsidR="00E76714" w:rsidRPr="0042205F">
        <w:t>(W</w:t>
      </w:r>
      <w:r w:rsidR="0042205F" w:rsidRPr="0042205F">
        <w:t>elsh Government, 2014</w:t>
      </w:r>
      <w:r w:rsidR="00216524" w:rsidRPr="0042205F">
        <w:t xml:space="preserve">). </w:t>
      </w:r>
      <w:r w:rsidR="00216524">
        <w:rPr>
          <w:color w:val="0D0D0D" w:themeColor="text1" w:themeTint="F2"/>
        </w:rPr>
        <w:t>Several literacy skills</w:t>
      </w:r>
      <w:r w:rsidR="00553E92">
        <w:rPr>
          <w:color w:val="0D0D0D" w:themeColor="text1" w:themeTint="F2"/>
        </w:rPr>
        <w:t>, predominantly of the writing nature,</w:t>
      </w:r>
      <w:r w:rsidR="00216524">
        <w:rPr>
          <w:color w:val="0D0D0D" w:themeColor="text1" w:themeTint="F2"/>
        </w:rPr>
        <w:t xml:space="preserve"> outlined in the </w:t>
      </w:r>
      <w:r w:rsidR="00216524">
        <w:rPr>
          <w:color w:val="0D0D0D" w:themeColor="text1" w:themeTint="F2"/>
        </w:rPr>
        <w:lastRenderedPageBreak/>
        <w:t xml:space="preserve">LNF </w:t>
      </w:r>
      <w:r w:rsidR="00553E92">
        <w:rPr>
          <w:color w:val="0D0D0D" w:themeColor="text1" w:themeTint="F2"/>
        </w:rPr>
        <w:t>for year eight</w:t>
      </w:r>
      <w:r w:rsidR="00D116C5">
        <w:rPr>
          <w:color w:val="0D0D0D" w:themeColor="text1" w:themeTint="F2"/>
        </w:rPr>
        <w:t>,</w:t>
      </w:r>
      <w:r w:rsidR="00553E92">
        <w:rPr>
          <w:color w:val="0D0D0D" w:themeColor="text1" w:themeTint="F2"/>
        </w:rPr>
        <w:t xml:space="preserve"> such as </w:t>
      </w:r>
      <w:r w:rsidR="00D116C5">
        <w:rPr>
          <w:color w:val="0D0D0D" w:themeColor="text1" w:themeTint="F2"/>
        </w:rPr>
        <w:t>“</w:t>
      </w:r>
      <w:r w:rsidR="00553E92">
        <w:rPr>
          <w:color w:val="0D0D0D" w:themeColor="text1" w:themeTint="F2"/>
        </w:rPr>
        <w:t xml:space="preserve">8.WS4 – Organising longer pieces of writing making links with and between paragraphs” </w:t>
      </w:r>
      <w:r w:rsidR="0042205F">
        <w:rPr>
          <w:color w:val="0D0D0D" w:themeColor="text1" w:themeTint="F2"/>
        </w:rPr>
        <w:t>(Welsh</w:t>
      </w:r>
      <w:r w:rsidR="001044F1">
        <w:rPr>
          <w:color w:val="0D0D0D" w:themeColor="text1" w:themeTint="F2"/>
        </w:rPr>
        <w:t xml:space="preserve"> Government, 2014) </w:t>
      </w:r>
      <w:r w:rsidR="00553E92">
        <w:rPr>
          <w:color w:val="0D0D0D" w:themeColor="text1" w:themeTint="F2"/>
        </w:rPr>
        <w:t xml:space="preserve">were incorporated into the lesson. </w:t>
      </w:r>
      <w:r w:rsidR="003F2BAE">
        <w:rPr>
          <w:color w:val="0D0D0D" w:themeColor="text1" w:themeTint="F2"/>
        </w:rPr>
        <w:t xml:space="preserve">Unfortunately, following an interim report it was found that levels in literacy across KS3 had ultimately remained the same and the overall standard of pupil’s literacy was still </w:t>
      </w:r>
      <w:r w:rsidR="003F2BAE" w:rsidRPr="00935CD3">
        <w:t xml:space="preserve">adequate (Estyn, 2015). </w:t>
      </w:r>
      <w:r w:rsidR="003F2BAE">
        <w:rPr>
          <w:color w:val="000000" w:themeColor="text1"/>
        </w:rPr>
        <w:t>To assist learners during the micro lesson a literacy grid was available to improve and develop their pieces of descriptive writing. The grid provided an array of prompts ranging from sentence starters and connectives to guidance on how to expand ideas and add explanations.  This task was also differentiated to ensure full inclusivity and accessibility.</w:t>
      </w:r>
    </w:p>
    <w:p w:rsidR="009C74C5" w:rsidRDefault="00B97ED8">
      <w:pPr>
        <w:rPr>
          <w:color w:val="0D0D0D" w:themeColor="text1" w:themeTint="F2"/>
        </w:rPr>
      </w:pPr>
      <w:r>
        <w:rPr>
          <w:color w:val="000000" w:themeColor="text1"/>
        </w:rPr>
        <w:t>The</w:t>
      </w:r>
      <w:r w:rsidR="00820C8D">
        <w:rPr>
          <w:color w:val="000000" w:themeColor="text1"/>
        </w:rPr>
        <w:t xml:space="preserve"> activities</w:t>
      </w:r>
      <w:r>
        <w:rPr>
          <w:color w:val="000000" w:themeColor="text1"/>
        </w:rPr>
        <w:t>, as previously mentioned,</w:t>
      </w:r>
      <w:r w:rsidR="00820C8D">
        <w:rPr>
          <w:color w:val="000000" w:themeColor="text1"/>
        </w:rPr>
        <w:t xml:space="preserve"> were</w:t>
      </w:r>
      <w:r>
        <w:rPr>
          <w:color w:val="000000" w:themeColor="text1"/>
        </w:rPr>
        <w:t xml:space="preserve"> differentiated in line with Petty’s (2014) ideas of ‘laddered tasks’ which led learners from recall and remembering activities to ones of higher order involving</w:t>
      </w:r>
      <w:r w:rsidR="00820C8D">
        <w:rPr>
          <w:color w:val="000000" w:themeColor="text1"/>
        </w:rPr>
        <w:t xml:space="preserve"> </w:t>
      </w:r>
      <w:r w:rsidR="00820C8D" w:rsidRPr="00DC703F">
        <w:t>elements of</w:t>
      </w:r>
      <w:r w:rsidRPr="00DC703F">
        <w:t xml:space="preserve"> analysing and creating (Bloom, 1956). The activities which were predominantly differentiated by task an</w:t>
      </w:r>
      <w:r w:rsidR="00801DA2" w:rsidRPr="00DC703F">
        <w:t>d outcome,</w:t>
      </w:r>
      <w:r w:rsidRPr="00DC703F">
        <w:t xml:space="preserve"> arguably</w:t>
      </w:r>
      <w:r w:rsidR="00801DA2" w:rsidRPr="00DC703F">
        <w:t>,</w:t>
      </w:r>
      <w:r w:rsidRPr="00DC703F">
        <w:t xml:space="preserve"> did not meet the needs of every </w:t>
      </w:r>
      <w:r w:rsidR="00801DA2" w:rsidRPr="00DC703F">
        <w:t xml:space="preserve">individual </w:t>
      </w:r>
      <w:r w:rsidRPr="00DC703F">
        <w:t>learner in the class. Tomlinson (2005) states the importance of getting to know every single learner, enabling</w:t>
      </w:r>
      <w:r w:rsidR="00801DA2" w:rsidRPr="00DC703F">
        <w:t xml:space="preserve"> all</w:t>
      </w:r>
      <w:r w:rsidRPr="00DC703F">
        <w:t xml:space="preserve"> future lessons to be tailored to meet their needs more appropriately by encompassing a variety of methods </w:t>
      </w:r>
      <w:r w:rsidR="00801DA2" w:rsidRPr="00DC703F">
        <w:t>(</w:t>
      </w:r>
      <w:r w:rsidRPr="00DC703F">
        <w:t>such as mixed ability groupings and personalised questioning</w:t>
      </w:r>
      <w:r w:rsidR="00801DA2" w:rsidRPr="00DC703F">
        <w:t>)</w:t>
      </w:r>
      <w:r w:rsidRPr="00DC703F">
        <w:t xml:space="preserve">. </w:t>
      </w:r>
      <w:r w:rsidR="00111A51" w:rsidRPr="00DC703F">
        <w:t xml:space="preserve">Several activities were peer assessed in order to </w:t>
      </w:r>
      <w:r w:rsidR="00FA015E" w:rsidRPr="00DC703F">
        <w:t xml:space="preserve">further develop, establish </w:t>
      </w:r>
      <w:r w:rsidR="00C360EF" w:rsidRPr="00DC703F">
        <w:t xml:space="preserve">and enhance the learning (Clarke, 2011). It was hoped that paired with the group activities, peer assessing would allow learners to gain and share a large amount of feedback with their peers. Black and William (2005) address several issues that can arise from </w:t>
      </w:r>
      <w:r w:rsidR="00C360EF" w:rsidRPr="00DC703F">
        <w:lastRenderedPageBreak/>
        <w:t xml:space="preserve">peer marking and formative assessment particularly when the confidence of the learner is jeopardised by making comparisons between themselves and others. </w:t>
      </w:r>
      <w:r w:rsidR="004D4DE9" w:rsidRPr="00DC703F">
        <w:t xml:space="preserve">Thomas and </w:t>
      </w:r>
      <w:proofErr w:type="spellStart"/>
      <w:r w:rsidR="004D4DE9" w:rsidRPr="00DC703F">
        <w:t>Kilmann</w:t>
      </w:r>
      <w:proofErr w:type="spellEnd"/>
      <w:r w:rsidR="004D4DE9" w:rsidRPr="00DC703F">
        <w:t xml:space="preserve"> (1974) </w:t>
      </w:r>
      <w:r w:rsidR="004D4DE9">
        <w:rPr>
          <w:color w:val="0D0D0D" w:themeColor="text1" w:themeTint="F2"/>
        </w:rPr>
        <w:t xml:space="preserve">argue that a collaborative learning environment where all learners feel confident, equal and included is the key to learning with and from each other. </w:t>
      </w:r>
    </w:p>
    <w:p w:rsidR="009C74C5" w:rsidRDefault="009C74C5">
      <w:pPr>
        <w:rPr>
          <w:color w:val="0D0D0D" w:themeColor="text1" w:themeTint="F2"/>
        </w:rPr>
      </w:pPr>
      <w:r>
        <w:rPr>
          <w:color w:val="0D0D0D" w:themeColor="text1" w:themeTint="F2"/>
        </w:rPr>
        <w:t xml:space="preserve">It is clear from the literature that the ‘perfect’ lesson does not exist, however, by getting to know the learners in front of you (Tomlinson, 2005), ensuring that the learning environment is enjoyable with plenty of praise (Reece and Walker, 2007), </w:t>
      </w:r>
      <w:r w:rsidR="00B04E03">
        <w:rPr>
          <w:color w:val="0D0D0D" w:themeColor="text1" w:themeTint="F2"/>
        </w:rPr>
        <w:t xml:space="preserve">planning in advance, </w:t>
      </w:r>
      <w:r>
        <w:rPr>
          <w:color w:val="0D0D0D" w:themeColor="text1" w:themeTint="F2"/>
        </w:rPr>
        <w:t>creating</w:t>
      </w:r>
      <w:r w:rsidR="00B04E03">
        <w:rPr>
          <w:color w:val="0D0D0D" w:themeColor="text1" w:themeTint="F2"/>
        </w:rPr>
        <w:t xml:space="preserve"> exciting and</w:t>
      </w:r>
      <w:r>
        <w:rPr>
          <w:color w:val="0D0D0D" w:themeColor="text1" w:themeTint="F2"/>
        </w:rPr>
        <w:t xml:space="preserve"> challenging activities</w:t>
      </w:r>
      <w:r w:rsidR="00B04E03">
        <w:rPr>
          <w:color w:val="0D0D0D" w:themeColor="text1" w:themeTint="F2"/>
        </w:rPr>
        <w:t xml:space="preserve"> </w:t>
      </w:r>
      <w:r>
        <w:rPr>
          <w:color w:val="0D0D0D" w:themeColor="text1" w:themeTint="F2"/>
        </w:rPr>
        <w:t xml:space="preserve">that can be accessed by all learners </w:t>
      </w:r>
      <w:r w:rsidR="00B04E03">
        <w:rPr>
          <w:color w:val="0D0D0D" w:themeColor="text1" w:themeTint="F2"/>
        </w:rPr>
        <w:t xml:space="preserve">(Petty, 2014), motivating the students(Curzon, 2006) and constantly adapting (Pritchard, 2005), each lesson should result in all learners being able to take something meaningful away every time. </w:t>
      </w:r>
    </w:p>
    <w:p w:rsidR="00EB6638" w:rsidRDefault="00EB6638">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A220AC" w:rsidRDefault="00A220AC">
      <w:pPr>
        <w:rPr>
          <w:color w:val="0D0D0D" w:themeColor="text1" w:themeTint="F2"/>
        </w:rPr>
      </w:pPr>
    </w:p>
    <w:p w:rsidR="00114788" w:rsidRDefault="00A220AC">
      <w:pPr>
        <w:rPr>
          <w:color w:val="0D0D0D" w:themeColor="text1" w:themeTint="F2"/>
        </w:rPr>
      </w:pPr>
      <w:r>
        <w:rPr>
          <w:color w:val="0D0D0D" w:themeColor="text1" w:themeTint="F2"/>
        </w:rPr>
        <w:t xml:space="preserve">ii) In light of my first teaching experiences at </w:t>
      </w:r>
      <w:proofErr w:type="spellStart"/>
      <w:r>
        <w:rPr>
          <w:color w:val="0D0D0D" w:themeColor="text1" w:themeTint="F2"/>
        </w:rPr>
        <w:t>Crickhowell</w:t>
      </w:r>
      <w:proofErr w:type="spellEnd"/>
      <w:r>
        <w:rPr>
          <w:color w:val="0D0D0D" w:themeColor="text1" w:themeTint="F2"/>
        </w:rPr>
        <w:t xml:space="preserve"> High School it has become quite clear that several elements of my micro lesson could have been</w:t>
      </w:r>
      <w:r w:rsidR="00CF0A8C">
        <w:rPr>
          <w:color w:val="0D0D0D" w:themeColor="text1" w:themeTint="F2"/>
        </w:rPr>
        <w:t xml:space="preserve"> developed further. </w:t>
      </w:r>
      <w:r w:rsidR="00114788">
        <w:rPr>
          <w:color w:val="0D0D0D" w:themeColor="text1" w:themeTint="F2"/>
        </w:rPr>
        <w:t xml:space="preserve">Overall, I </w:t>
      </w:r>
      <w:r w:rsidR="00B2695C">
        <w:rPr>
          <w:color w:val="0D0D0D" w:themeColor="text1" w:themeTint="F2"/>
        </w:rPr>
        <w:t xml:space="preserve">feel that the </w:t>
      </w:r>
      <w:r w:rsidR="00114788">
        <w:rPr>
          <w:color w:val="0D0D0D" w:themeColor="text1" w:themeTint="F2"/>
        </w:rPr>
        <w:t>lesson went relatively well and</w:t>
      </w:r>
      <w:r w:rsidR="00592C22">
        <w:rPr>
          <w:color w:val="0D0D0D" w:themeColor="text1" w:themeTint="F2"/>
        </w:rPr>
        <w:t xml:space="preserve"> I initially</w:t>
      </w:r>
      <w:r w:rsidR="00114788">
        <w:rPr>
          <w:color w:val="0D0D0D" w:themeColor="text1" w:themeTint="F2"/>
        </w:rPr>
        <w:t xml:space="preserve"> felt quite positive about the experience. I was really happy with my resources, how well the group work was carried out and that I had predicted some areas where the learners would struggle and pre-planned in </w:t>
      </w:r>
      <w:r w:rsidR="00114788">
        <w:rPr>
          <w:color w:val="0D0D0D" w:themeColor="text1" w:themeTint="F2"/>
        </w:rPr>
        <w:lastRenderedPageBreak/>
        <w:t xml:space="preserve">a few solutions to this. From the work collected it seems clear that all learners understood the lesson and were able to access all activities as no tasks were left incomplete. I believe that the learning </w:t>
      </w:r>
      <w:r w:rsidR="000C1C81">
        <w:rPr>
          <w:color w:val="0D0D0D" w:themeColor="text1" w:themeTint="F2"/>
        </w:rPr>
        <w:t>objectives</w:t>
      </w:r>
      <w:r w:rsidR="00114788">
        <w:rPr>
          <w:color w:val="0D0D0D" w:themeColor="text1" w:themeTint="F2"/>
        </w:rPr>
        <w:t xml:space="preserve"> set out were both challenging and realistic and that all learners were able to meet all requirements outlined in them. However, even quite recently after the lesson I was already aware of some of the elements </w:t>
      </w:r>
      <w:r w:rsidR="000C1C81">
        <w:rPr>
          <w:color w:val="0D0D0D" w:themeColor="text1" w:themeTint="F2"/>
        </w:rPr>
        <w:t xml:space="preserve">that </w:t>
      </w:r>
      <w:r w:rsidR="00114788">
        <w:rPr>
          <w:color w:val="0D0D0D" w:themeColor="text1" w:themeTint="F2"/>
        </w:rPr>
        <w:t xml:space="preserve">I could have improved on. I feel that a few small changes potentially could have significantly improved the learning, one being, </w:t>
      </w:r>
      <w:proofErr w:type="gramStart"/>
      <w:r w:rsidR="00114788">
        <w:rPr>
          <w:color w:val="0D0D0D" w:themeColor="text1" w:themeTint="F2"/>
        </w:rPr>
        <w:t>the</w:t>
      </w:r>
      <w:proofErr w:type="gramEnd"/>
      <w:r w:rsidR="00114788">
        <w:rPr>
          <w:color w:val="0D0D0D" w:themeColor="text1" w:themeTint="F2"/>
        </w:rPr>
        <w:t xml:space="preserve"> use of modelling.  If I were to teach this same lesson again I would make better use of the whiteboard</w:t>
      </w:r>
      <w:r w:rsidR="00423806">
        <w:rPr>
          <w:color w:val="0D0D0D" w:themeColor="text1" w:themeTint="F2"/>
        </w:rPr>
        <w:t xml:space="preserve">, </w:t>
      </w:r>
      <w:r w:rsidR="00114788">
        <w:rPr>
          <w:color w:val="0D0D0D" w:themeColor="text1" w:themeTint="F2"/>
        </w:rPr>
        <w:t>model</w:t>
      </w:r>
      <w:r w:rsidR="00423806">
        <w:rPr>
          <w:color w:val="0D0D0D" w:themeColor="text1" w:themeTint="F2"/>
        </w:rPr>
        <w:t>ling</w:t>
      </w:r>
      <w:r w:rsidR="00114788">
        <w:rPr>
          <w:color w:val="0D0D0D" w:themeColor="text1" w:themeTint="F2"/>
        </w:rPr>
        <w:t xml:space="preserve"> examples of the answer</w:t>
      </w:r>
      <w:r w:rsidR="000C1C81">
        <w:rPr>
          <w:color w:val="0D0D0D" w:themeColor="text1" w:themeTint="F2"/>
        </w:rPr>
        <w:t>s with the learners before setti</w:t>
      </w:r>
      <w:r w:rsidR="00114788">
        <w:rPr>
          <w:color w:val="0D0D0D" w:themeColor="text1" w:themeTint="F2"/>
        </w:rPr>
        <w:t>ng them off to attempt the tasks independently. I feel that this could’ve worked particu</w:t>
      </w:r>
      <w:r w:rsidR="000C1C81">
        <w:rPr>
          <w:color w:val="0D0D0D" w:themeColor="text1" w:themeTint="F2"/>
        </w:rPr>
        <w:t>larly well on the literacy task,</w:t>
      </w:r>
      <w:r w:rsidR="00114788">
        <w:rPr>
          <w:color w:val="0D0D0D" w:themeColor="text1" w:themeTint="F2"/>
        </w:rPr>
        <w:t xml:space="preserve"> where some learners struggled with the descriptive </w:t>
      </w:r>
      <w:r w:rsidR="000C1C81">
        <w:rPr>
          <w:color w:val="0D0D0D" w:themeColor="text1" w:themeTint="F2"/>
        </w:rPr>
        <w:t xml:space="preserve">explanations of the processes. I also think that it would’ve benefitted the learners as an enthusiastic demonstration that took suggestions from the class would have raised confidence and the learner’s faith in their own abilities. </w:t>
      </w:r>
    </w:p>
    <w:p w:rsidR="009919F8" w:rsidRDefault="00423806">
      <w:pPr>
        <w:rPr>
          <w:color w:val="0D0D0D" w:themeColor="text1" w:themeTint="F2"/>
        </w:rPr>
      </w:pPr>
      <w:r>
        <w:rPr>
          <w:color w:val="0D0D0D" w:themeColor="text1" w:themeTint="F2"/>
        </w:rPr>
        <w:t>Since reflecting on the micro</w:t>
      </w:r>
      <w:r w:rsidR="00CE7C13">
        <w:rPr>
          <w:color w:val="0D0D0D" w:themeColor="text1" w:themeTint="F2"/>
        </w:rPr>
        <w:t xml:space="preserve"> </w:t>
      </w:r>
      <w:r>
        <w:rPr>
          <w:color w:val="0D0D0D" w:themeColor="text1" w:themeTint="F2"/>
        </w:rPr>
        <w:t>teach video, tutor feedback and time spent teaching a real KS3 class, one of the first changes I would make to this lesson if I were to teach it again</w:t>
      </w:r>
      <w:r w:rsidR="00125464">
        <w:rPr>
          <w:color w:val="0D0D0D" w:themeColor="text1" w:themeTint="F2"/>
        </w:rPr>
        <w:t>,</w:t>
      </w:r>
      <w:r>
        <w:rPr>
          <w:color w:val="0D0D0D" w:themeColor="text1" w:themeTint="F2"/>
        </w:rPr>
        <w:t xml:space="preserve"> would be the approach to differentiation. </w:t>
      </w:r>
      <w:r w:rsidR="005644E2">
        <w:rPr>
          <w:color w:val="0D0D0D" w:themeColor="text1" w:themeTint="F2"/>
        </w:rPr>
        <w:t>In hindsight, I feel that it would have been more beneficial to have worked more closely with and better supported the lower able group. Drawing on Tomlinson’</w:t>
      </w:r>
      <w:r w:rsidR="00125464">
        <w:rPr>
          <w:color w:val="0D0D0D" w:themeColor="text1" w:themeTint="F2"/>
        </w:rPr>
        <w:t xml:space="preserve">s (2005) ideas grouping the learners by ability may have been another missed opportunity for better support here. </w:t>
      </w:r>
      <w:r w:rsidR="005644E2">
        <w:rPr>
          <w:color w:val="0D0D0D" w:themeColor="text1" w:themeTint="F2"/>
        </w:rPr>
        <w:t xml:space="preserve"> </w:t>
      </w:r>
      <w:r w:rsidR="00125464">
        <w:rPr>
          <w:color w:val="0D0D0D" w:themeColor="text1" w:themeTint="F2"/>
        </w:rPr>
        <w:t xml:space="preserve">Next time, I would trial this lesson with mixed ability groups, pairing </w:t>
      </w:r>
      <w:r w:rsidR="00125464">
        <w:rPr>
          <w:color w:val="0D0D0D" w:themeColor="text1" w:themeTint="F2"/>
        </w:rPr>
        <w:lastRenderedPageBreak/>
        <w:t>weaker learners with those who are more able</w:t>
      </w:r>
      <w:r w:rsidR="00F04723">
        <w:rPr>
          <w:color w:val="0D0D0D" w:themeColor="text1" w:themeTint="F2"/>
        </w:rPr>
        <w:t>,</w:t>
      </w:r>
      <w:r w:rsidR="00125464">
        <w:rPr>
          <w:color w:val="0D0D0D" w:themeColor="text1" w:themeTint="F2"/>
        </w:rPr>
        <w:t xml:space="preserve"> in the hope that both parties would learn more effectively by working alongside one another. </w:t>
      </w:r>
      <w:r w:rsidR="00F04723">
        <w:rPr>
          <w:color w:val="0D0D0D" w:themeColor="text1" w:themeTint="F2"/>
        </w:rPr>
        <w:t>I would also adapt the arguably basic MAT extension task of ‘River Processes Pictionary’ into something that held more meaning. For this, I would consider making the MAT learners ‘River Processes Experts’ and ‘deploy’ them on a series of ‘missions’ and ‘enquiries’ which may involve sharing their knowledge with other learners or developing their own research hypotheses. Incorporating more diverse and personalised methods of differentiation will hopefully be</w:t>
      </w:r>
      <w:r w:rsidR="009919F8">
        <w:rPr>
          <w:color w:val="0D0D0D" w:themeColor="text1" w:themeTint="F2"/>
        </w:rPr>
        <w:t>come easier as PTE 1 progresses. As I become more</w:t>
      </w:r>
      <w:r w:rsidR="00F04723">
        <w:rPr>
          <w:color w:val="0D0D0D" w:themeColor="text1" w:themeTint="F2"/>
        </w:rPr>
        <w:t xml:space="preserve"> familiar with and better aware of the individual needs and requirements of the learners in front of me</w:t>
      </w:r>
      <w:r w:rsidR="009919F8">
        <w:rPr>
          <w:color w:val="0D0D0D" w:themeColor="text1" w:themeTint="F2"/>
        </w:rPr>
        <w:t>, it should be easier to better tailor the lesson to suit them</w:t>
      </w:r>
      <w:r w:rsidR="00F04723">
        <w:rPr>
          <w:color w:val="0D0D0D" w:themeColor="text1" w:themeTint="F2"/>
        </w:rPr>
        <w:t xml:space="preserve">. </w:t>
      </w:r>
      <w:r w:rsidR="009919F8">
        <w:rPr>
          <w:color w:val="0D0D0D" w:themeColor="text1" w:themeTint="F2"/>
        </w:rPr>
        <w:t>I am confident that I have already improved this skill significantly and that I soon will be able to evidence my progress enough to meet QTS standard S3.3.4 “Differentiating their teaching to meet the needs of learners, including the more able and talented and those with special educational needs”.</w:t>
      </w:r>
    </w:p>
    <w:p w:rsidR="00176527" w:rsidRPr="00B2695C" w:rsidRDefault="009919F8" w:rsidP="00B2695C">
      <w:pPr>
        <w:autoSpaceDE w:val="0"/>
        <w:autoSpaceDN w:val="0"/>
        <w:adjustRightInd w:val="0"/>
        <w:rPr>
          <w:color w:val="000000"/>
        </w:rPr>
      </w:pPr>
      <w:r>
        <w:rPr>
          <w:color w:val="0D0D0D" w:themeColor="text1" w:themeTint="F2"/>
        </w:rPr>
        <w:t xml:space="preserve">If the micro lesson had been made up of a full teaching hour, one thing I definitely would have liked to </w:t>
      </w:r>
      <w:r w:rsidR="00D864FF">
        <w:rPr>
          <w:color w:val="0D0D0D" w:themeColor="text1" w:themeTint="F2"/>
        </w:rPr>
        <w:t xml:space="preserve">have </w:t>
      </w:r>
      <w:r>
        <w:rPr>
          <w:color w:val="0D0D0D" w:themeColor="text1" w:themeTint="F2"/>
        </w:rPr>
        <w:t>include</w:t>
      </w:r>
      <w:r w:rsidR="00D864FF">
        <w:rPr>
          <w:color w:val="0D0D0D" w:themeColor="text1" w:themeTint="F2"/>
        </w:rPr>
        <w:t>d</w:t>
      </w:r>
      <w:r>
        <w:rPr>
          <w:color w:val="0D0D0D" w:themeColor="text1" w:themeTint="F2"/>
        </w:rPr>
        <w:t xml:space="preserve"> would have been a digital component. </w:t>
      </w:r>
      <w:r w:rsidR="00D864FF">
        <w:rPr>
          <w:color w:val="0D0D0D" w:themeColor="text1" w:themeTint="F2"/>
        </w:rPr>
        <w:t>Although the scheme of work I designed was embedded with several activities covering several strands of the digital competence framework [DCF] (Welsh Government, 2016), this particular lesson was most definitely lacking. I feel that even something as simple as a video clip, where the learners would have had the opportunity to witness the processes in action would</w:t>
      </w:r>
      <w:r w:rsidR="00440F8F">
        <w:rPr>
          <w:color w:val="0D0D0D" w:themeColor="text1" w:themeTint="F2"/>
        </w:rPr>
        <w:t xml:space="preserve"> have certainly enhanced the </w:t>
      </w:r>
      <w:r w:rsidR="00440F8F">
        <w:rPr>
          <w:color w:val="0D0D0D" w:themeColor="text1" w:themeTint="F2"/>
        </w:rPr>
        <w:lastRenderedPageBreak/>
        <w:t>lesson and what they took from it. The literacy task would have been much easier to relate to for the learners if they actually could have seen the effects that the processes of erosion and transportation can have on a river. Assessment for Learning [AFL] also could’ve been better mapped with apps like ‘</w:t>
      </w:r>
      <w:proofErr w:type="spellStart"/>
      <w:r w:rsidR="00440F8F">
        <w:rPr>
          <w:color w:val="0D0D0D" w:themeColor="text1" w:themeTint="F2"/>
        </w:rPr>
        <w:t>Kahoot</w:t>
      </w:r>
      <w:proofErr w:type="spellEnd"/>
      <w:r w:rsidR="00440F8F">
        <w:rPr>
          <w:color w:val="0D0D0D" w:themeColor="text1" w:themeTint="F2"/>
        </w:rPr>
        <w:t>’ and ‘</w:t>
      </w:r>
      <w:proofErr w:type="spellStart"/>
      <w:r w:rsidR="00440F8F">
        <w:rPr>
          <w:color w:val="0D0D0D" w:themeColor="text1" w:themeTint="F2"/>
        </w:rPr>
        <w:t>Plicker</w:t>
      </w:r>
      <w:proofErr w:type="spellEnd"/>
      <w:r w:rsidR="00440F8F">
        <w:rPr>
          <w:color w:val="0D0D0D" w:themeColor="text1" w:themeTint="F2"/>
        </w:rPr>
        <w:t>’. Replacing the bingo dictionary plenary with a similar digital method, would have been an opportunity to ‘kill two birds with one stone’ as learners were recapping on terms whilst their understanding was simultaneously checked. Anyone needing additional support would have been identified and an appropriate intervention could have been added in time for the next lesson</w:t>
      </w:r>
      <w:r w:rsidR="008F02BC">
        <w:rPr>
          <w:color w:val="0D0D0D" w:themeColor="text1" w:themeTint="F2"/>
        </w:rPr>
        <w:t xml:space="preserve"> (if there was to be one)</w:t>
      </w:r>
      <w:r w:rsidR="00440F8F">
        <w:rPr>
          <w:color w:val="0D0D0D" w:themeColor="text1" w:themeTint="F2"/>
        </w:rPr>
        <w:t>.</w:t>
      </w:r>
      <w:r w:rsidR="00B2695C">
        <w:rPr>
          <w:color w:val="0D0D0D" w:themeColor="text1" w:themeTint="F2"/>
        </w:rPr>
        <w:t xml:space="preserve"> Although the lesson lacked ICT, thinking about how it could have been added has better prepared me for PTE 1 lessons where I can evidence its inclusion to meet QTS standard S3.3.10 “Using ICT effectively in their teaching”. </w:t>
      </w:r>
    </w:p>
    <w:p w:rsidR="00176527" w:rsidRDefault="00176527">
      <w:pPr>
        <w:rPr>
          <w:color w:val="0D0D0D" w:themeColor="text1" w:themeTint="F2"/>
        </w:rPr>
      </w:pPr>
      <w:r>
        <w:rPr>
          <w:color w:val="0D0D0D" w:themeColor="text1" w:themeTint="F2"/>
        </w:rPr>
        <w:t xml:space="preserve">Another personal criticism of my lesson would be the lack of planned questioning. During the micro teach lesson I found myself struggling to form meaningful and open ended questions that were of higher order (Bloom, 1956) and this was also evident in the video footage. </w:t>
      </w:r>
      <w:r w:rsidR="00F26FBA">
        <w:rPr>
          <w:color w:val="0D0D0D" w:themeColor="text1" w:themeTint="F2"/>
        </w:rPr>
        <w:t xml:space="preserve">I have found that planning questions beforehand makes for much better and more meaningful questioning where answers and ideas can be teased from the minds of learners with more success. Using a questioning grid based on the ideas of Bloom given to me by the school, I now plan a range of questions on each topic before each lesson and I feel much more comfortable leading questioning sessions that I have pre-planned. The micro lesson mostly contained questions like “Which process did you decide to </w:t>
      </w:r>
      <w:r w:rsidR="00F26FBA">
        <w:rPr>
          <w:color w:val="0D0D0D" w:themeColor="text1" w:themeTint="F2"/>
        </w:rPr>
        <w:lastRenderedPageBreak/>
        <w:t xml:space="preserve">write about?” which in effect, did nothing but check that the learner had completed the task. </w:t>
      </w:r>
      <w:r w:rsidR="008F68CF">
        <w:rPr>
          <w:color w:val="0D0D0D" w:themeColor="text1" w:themeTint="F2"/>
        </w:rPr>
        <w:t>Both the learne</w:t>
      </w:r>
      <w:r w:rsidR="00B2695C">
        <w:rPr>
          <w:color w:val="0D0D0D" w:themeColor="text1" w:themeTint="F2"/>
        </w:rPr>
        <w:t>rs as well as</w:t>
      </w:r>
      <w:r w:rsidR="008F68CF">
        <w:rPr>
          <w:color w:val="0D0D0D" w:themeColor="text1" w:themeTint="F2"/>
        </w:rPr>
        <w:t xml:space="preserve"> myself would have taken more from the lesson if I had used questions like “Can you distinguish between attrition and abrasion?” or “Can you summarize traction in three points or less?” to assess the class.</w:t>
      </w:r>
    </w:p>
    <w:p w:rsidR="00E2342B" w:rsidRDefault="008F68CF">
      <w:pPr>
        <w:rPr>
          <w:color w:val="0D0D0D" w:themeColor="text1" w:themeTint="F2"/>
        </w:rPr>
      </w:pPr>
      <w:r>
        <w:rPr>
          <w:color w:val="0D0D0D" w:themeColor="text1" w:themeTint="F2"/>
        </w:rPr>
        <w:t xml:space="preserve">The ‘teacher led’ elements of the lesson could have benefitted from being more ‘student led’ and again, teacher led time could’ve been better spent questioning. </w:t>
      </w:r>
      <w:r w:rsidR="00B2695C">
        <w:rPr>
          <w:color w:val="0D0D0D" w:themeColor="text1" w:themeTint="F2"/>
        </w:rPr>
        <w:t xml:space="preserve">Reflecting on tutor feedback, next time I would develop a starter that didn’t ‘spell out’ the lesson’s content as easily. This also, looking back, was a missed opportunity to assess the learner’s prior knowledge (Black and William, 2005). </w:t>
      </w:r>
      <w:r w:rsidR="00645556">
        <w:rPr>
          <w:color w:val="0D0D0D" w:themeColor="text1" w:themeTint="F2"/>
        </w:rPr>
        <w:t xml:space="preserve">If I were to design the lesson again I would </w:t>
      </w:r>
      <w:r w:rsidR="00E2342B">
        <w:rPr>
          <w:color w:val="0D0D0D" w:themeColor="text1" w:themeTint="F2"/>
        </w:rPr>
        <w:t xml:space="preserve">use a starter that would require ‘deeper thinking’ from the learners (Hattie and Donoghue, 2016). Rather than the excavator and the loader being presented to the learners as representations of the processes, next time, I would consider introducing the processes first. This may have been a good time to use a media clip to inform a task where learners were required to come up with their own representations of the processes. </w:t>
      </w:r>
      <w:r w:rsidR="00C40897">
        <w:rPr>
          <w:color w:val="0D0D0D" w:themeColor="text1" w:themeTint="F2"/>
        </w:rPr>
        <w:t>Now that I have more experience delivering starters, it has also become apparent that they are the perfect tool to calm and prepare the class for the lesson. Although there were no behavioural issues during my micro teach session, I think that had it been taught to an actual class of KS3 students some low level disruption may have arisen. The revised starter could have been ready and playing as the learners came into the room and this time could</w:t>
      </w:r>
      <w:r w:rsidR="00851037">
        <w:rPr>
          <w:color w:val="0D0D0D" w:themeColor="text1" w:themeTint="F2"/>
        </w:rPr>
        <w:t xml:space="preserve"> ha</w:t>
      </w:r>
      <w:r w:rsidR="00C40897">
        <w:rPr>
          <w:color w:val="0D0D0D" w:themeColor="text1" w:themeTint="F2"/>
        </w:rPr>
        <w:t>ve</w:t>
      </w:r>
      <w:r w:rsidR="00851037">
        <w:rPr>
          <w:color w:val="0D0D0D" w:themeColor="text1" w:themeTint="F2"/>
        </w:rPr>
        <w:t xml:space="preserve"> also</w:t>
      </w:r>
      <w:r w:rsidR="00C40897">
        <w:rPr>
          <w:color w:val="0D0D0D" w:themeColor="text1" w:themeTint="F2"/>
        </w:rPr>
        <w:t xml:space="preserve"> been spent getting the date, title and ‘Nod Y </w:t>
      </w:r>
      <w:proofErr w:type="spellStart"/>
      <w:r w:rsidR="00C40897">
        <w:rPr>
          <w:color w:val="0D0D0D" w:themeColor="text1" w:themeTint="F2"/>
        </w:rPr>
        <w:t>Wers</w:t>
      </w:r>
      <w:proofErr w:type="spellEnd"/>
      <w:r w:rsidR="00C40897">
        <w:rPr>
          <w:color w:val="0D0D0D" w:themeColor="text1" w:themeTint="F2"/>
        </w:rPr>
        <w:t xml:space="preserve">’ into their exercise books. </w:t>
      </w:r>
    </w:p>
    <w:p w:rsidR="00C40897" w:rsidRDefault="00C40897">
      <w:pPr>
        <w:rPr>
          <w:color w:val="0D0D0D" w:themeColor="text1" w:themeTint="F2"/>
        </w:rPr>
      </w:pPr>
      <w:r>
        <w:rPr>
          <w:color w:val="0D0D0D" w:themeColor="text1" w:themeTint="F2"/>
        </w:rPr>
        <w:lastRenderedPageBreak/>
        <w:t xml:space="preserve">Some incidental/classroom welsh was used </w:t>
      </w:r>
      <w:r w:rsidR="00851037">
        <w:rPr>
          <w:color w:val="0D0D0D" w:themeColor="text1" w:themeTint="F2"/>
        </w:rPr>
        <w:t xml:space="preserve">for the micro teach but now with better practise, this is something that comes much more naturally to me. </w:t>
      </w:r>
      <w:r w:rsidR="0017279F">
        <w:rPr>
          <w:color w:val="0D0D0D" w:themeColor="text1" w:themeTint="F2"/>
        </w:rPr>
        <w:t xml:space="preserve">The lesson could have been enriched with a better delivery of the welsh language. Since consulting the ‘Curriculum </w:t>
      </w:r>
      <w:proofErr w:type="spellStart"/>
      <w:r w:rsidR="0017279F">
        <w:rPr>
          <w:color w:val="0D0D0D" w:themeColor="text1" w:themeTint="F2"/>
        </w:rPr>
        <w:t>Cymreig</w:t>
      </w:r>
      <w:proofErr w:type="spellEnd"/>
      <w:r w:rsidR="0017279F">
        <w:rPr>
          <w:color w:val="0D0D0D" w:themeColor="text1" w:themeTint="F2"/>
        </w:rPr>
        <w:t>’ report</w:t>
      </w:r>
      <w:r w:rsidR="00266A58">
        <w:rPr>
          <w:color w:val="0D0D0D" w:themeColor="text1" w:themeTint="F2"/>
        </w:rPr>
        <w:t xml:space="preserve"> (</w:t>
      </w:r>
      <w:proofErr w:type="spellStart"/>
      <w:r w:rsidR="00266A58">
        <w:rPr>
          <w:color w:val="0D0D0D" w:themeColor="text1" w:themeTint="F2"/>
        </w:rPr>
        <w:t>Accac</w:t>
      </w:r>
      <w:proofErr w:type="spellEnd"/>
      <w:r w:rsidR="00266A58">
        <w:rPr>
          <w:color w:val="0D0D0D" w:themeColor="text1" w:themeTint="F2"/>
        </w:rPr>
        <w:t>, 2003)</w:t>
      </w:r>
      <w:r w:rsidR="0017279F">
        <w:rPr>
          <w:color w:val="0D0D0D" w:themeColor="text1" w:themeTint="F2"/>
        </w:rPr>
        <w:t>, it is evident that even the simplest adjustments such as</w:t>
      </w:r>
      <w:r w:rsidR="00266A58">
        <w:rPr>
          <w:color w:val="0D0D0D" w:themeColor="text1" w:themeTint="F2"/>
        </w:rPr>
        <w:t>, translating key words into welsh and preparing</w:t>
      </w:r>
      <w:r w:rsidR="00CE7C13">
        <w:rPr>
          <w:color w:val="0D0D0D" w:themeColor="text1" w:themeTint="F2"/>
        </w:rPr>
        <w:t xml:space="preserve"> the </w:t>
      </w:r>
      <w:r w:rsidR="00266A58">
        <w:rPr>
          <w:color w:val="0D0D0D" w:themeColor="text1" w:themeTint="F2"/>
        </w:rPr>
        <w:t>welsh case study</w:t>
      </w:r>
      <w:r w:rsidR="00CE7C13">
        <w:rPr>
          <w:color w:val="0D0D0D" w:themeColor="text1" w:themeTint="F2"/>
        </w:rPr>
        <w:t xml:space="preserve"> more robustly</w:t>
      </w:r>
      <w:r w:rsidR="00266A58">
        <w:rPr>
          <w:color w:val="0D0D0D" w:themeColor="text1" w:themeTint="F2"/>
        </w:rPr>
        <w:t xml:space="preserve"> for the literacy task would have </w:t>
      </w:r>
      <w:r w:rsidR="00CE7C13">
        <w:rPr>
          <w:color w:val="0D0D0D" w:themeColor="text1" w:themeTint="F2"/>
        </w:rPr>
        <w:t xml:space="preserve">exposed the learners to a more personalised, localised, beneficial and cultured session. During PTE 1 I have better embedded welsh examples and key words into the curriculum by using the locality to teach the topic. An example of this would be using O.S maps of the local area to teach Year 7 scale, grid references, map symbols and direction. </w:t>
      </w:r>
    </w:p>
    <w:p w:rsidR="00CE7C13" w:rsidRDefault="00CE7C13">
      <w:pPr>
        <w:rPr>
          <w:color w:val="0D0D0D" w:themeColor="text1" w:themeTint="F2"/>
        </w:rPr>
      </w:pPr>
      <w:r>
        <w:rPr>
          <w:color w:val="0D0D0D" w:themeColor="text1" w:themeTint="F2"/>
        </w:rPr>
        <w:t>Something I have been praised upon, in both the micro teach session and during PTE 1, are the resources that I create. As outlined by Curzon (2006), a stimulating resource can be used to underpin and support challenging and meaningful tasks. Although spending too much time creating resources has been criticised (</w:t>
      </w:r>
      <w:proofErr w:type="spellStart"/>
      <w:r>
        <w:rPr>
          <w:color w:val="0D0D0D" w:themeColor="text1" w:themeTint="F2"/>
        </w:rPr>
        <w:t>Dweck</w:t>
      </w:r>
      <w:proofErr w:type="spellEnd"/>
      <w:r>
        <w:rPr>
          <w:color w:val="0D0D0D" w:themeColor="text1" w:themeTint="F2"/>
        </w:rPr>
        <w:t>, 2000), this is something that I feel that I will continue to do even if it is simply to make classwork appear more aesthetically pleasing. I also believe that it encourages learners to have pride in their work and the tasks that they carry out. Reece and Walker (2007) also argue that bright and eye catching resources that link to the lesson’s themes can greater stimulate a learner’s interest in the topic. I feel that my resources have become more refined as I de</w:t>
      </w:r>
      <w:r>
        <w:rPr>
          <w:color w:val="0D0D0D" w:themeColor="text1" w:themeTint="F2"/>
        </w:rPr>
        <w:lastRenderedPageBreak/>
        <w:t>velop lessons for PTE 1 and that I can already provide evidence to meet QTS standard S3.1.3 “Selecting and preparing resources, and planning for their safe and effective organisation, taking account of learner’s interests and their language and cultural backgrounds…</w:t>
      </w:r>
      <w:proofErr w:type="gramStart"/>
      <w:r>
        <w:rPr>
          <w:color w:val="0D0D0D" w:themeColor="text1" w:themeTint="F2"/>
        </w:rPr>
        <w:t>”.</w:t>
      </w:r>
      <w:proofErr w:type="gramEnd"/>
      <w:r>
        <w:rPr>
          <w:color w:val="0D0D0D" w:themeColor="text1" w:themeTint="F2"/>
        </w:rPr>
        <w:t xml:space="preserve"> </w:t>
      </w:r>
    </w:p>
    <w:p w:rsidR="00371397" w:rsidRDefault="00D65037">
      <w:pPr>
        <w:rPr>
          <w:color w:val="0D0D0D" w:themeColor="text1" w:themeTint="F2"/>
        </w:rPr>
      </w:pPr>
      <w:r>
        <w:rPr>
          <w:color w:val="0D0D0D" w:themeColor="text1" w:themeTint="F2"/>
        </w:rPr>
        <w:t xml:space="preserve">I have taken tutor feedback on board and reduced the number of ‘basic’ tasks </w:t>
      </w:r>
      <w:r w:rsidR="004073F1">
        <w:rPr>
          <w:color w:val="0D0D0D" w:themeColor="text1" w:themeTint="F2"/>
        </w:rPr>
        <w:t>such as word fills from within my lessons. The micro teach activities included up to three word fills (depending on ability) and upon reflection, I believe that I may have taken away an opportunity for lower able learners to develop ‘surface learning’ into ‘deeper learning’</w:t>
      </w:r>
      <w:r w:rsidR="004073F1" w:rsidRPr="00DC703F">
        <w:t xml:space="preserve"> </w:t>
      </w:r>
      <w:r w:rsidR="004073F1">
        <w:t>(</w:t>
      </w:r>
      <w:r w:rsidR="004073F1" w:rsidRPr="00DC703F">
        <w:t xml:space="preserve">Hattie and </w:t>
      </w:r>
      <w:r w:rsidR="004073F1">
        <w:rPr>
          <w:color w:val="000000" w:themeColor="text1"/>
        </w:rPr>
        <w:t>Donoghue, 2016)</w:t>
      </w:r>
      <w:r w:rsidR="004073F1">
        <w:rPr>
          <w:color w:val="0D0D0D" w:themeColor="text1" w:themeTint="F2"/>
        </w:rPr>
        <w:t xml:space="preserve">. </w:t>
      </w:r>
      <w:r w:rsidR="00EB6638">
        <w:rPr>
          <w:color w:val="0D0D0D" w:themeColor="text1" w:themeTint="F2"/>
        </w:rPr>
        <w:t xml:space="preserve">At the time, I feel that I was too concerned with all learners completing all activities, rather than prioritising how well they were completing them. It may have been more beneficial for lower ability learners to spend more time on these questions as at least their understanding of the basics would have been more robust. Without this understanding learners should not have moved on to the more challenging activities and I feel that there might have been pressure to do this due to the time constraints of the task. </w:t>
      </w:r>
      <w:r w:rsidR="00EB6638">
        <w:rPr>
          <w:color w:val="0D0D0D" w:themeColor="text1" w:themeTint="F2"/>
        </w:rPr>
        <w:br/>
      </w:r>
      <w:r w:rsidR="00EB6638">
        <w:rPr>
          <w:color w:val="0D0D0D" w:themeColor="text1" w:themeTint="F2"/>
        </w:rPr>
        <w:br/>
        <w:t>During the lesson, I felt that I continuously reminded learners of time remaining</w:t>
      </w:r>
      <w:r w:rsidR="00E15752">
        <w:rPr>
          <w:color w:val="0D0D0D" w:themeColor="text1" w:themeTint="F2"/>
        </w:rPr>
        <w:t>, although I was praised for the pace of lesson</w:t>
      </w:r>
      <w:r w:rsidR="00EB6638">
        <w:rPr>
          <w:color w:val="0D0D0D" w:themeColor="text1" w:themeTint="F2"/>
        </w:rPr>
        <w:t xml:space="preserve">. During PTE1, I have used ‘e-timers’ to maintain </w:t>
      </w:r>
      <w:r w:rsidR="00371397">
        <w:rPr>
          <w:color w:val="0D0D0D" w:themeColor="text1" w:themeTint="F2"/>
        </w:rPr>
        <w:t xml:space="preserve">a good pace for some tasks, whereas for others, I have been more relaxed in my approach to give all learners the ample amount of time to access the questions and activities. Naturally, some learners finish much more quickly than others, but by ensuring that extension </w:t>
      </w:r>
      <w:r w:rsidR="00371397">
        <w:rPr>
          <w:color w:val="0D0D0D" w:themeColor="text1" w:themeTint="F2"/>
        </w:rPr>
        <w:lastRenderedPageBreak/>
        <w:t xml:space="preserve">tasks are available the learning can continuously flow. This also provides the perfect opportunity for tasks of higher order (Bloom, 1956) to be implemented into the lesson plan where learners have the opportunities to delve deeper into the subject content. Although all components of my micro lesson were planned to last a set amount of time, I exceeded the thirty minute time limit. This is a skill I prioritised when beginning PTE 1 </w:t>
      </w:r>
      <w:r w:rsidR="00E15752">
        <w:rPr>
          <w:color w:val="0D0D0D" w:themeColor="text1" w:themeTint="F2"/>
        </w:rPr>
        <w:t xml:space="preserve">and admittedly I did continue to struggle with this for a number of lessons as there is no school bell to dismiss learners. However, in recent weeks, since becoming better used to the timings of the lessons and how much work can be completed within them I have found myself leaving plenty of time for a plenary and class dismissal. </w:t>
      </w:r>
    </w:p>
    <w:p w:rsidR="004D577F" w:rsidRDefault="00E15752">
      <w:pPr>
        <w:rPr>
          <w:color w:val="0D0D0D" w:themeColor="text1" w:themeTint="F2"/>
        </w:rPr>
      </w:pPr>
      <w:r>
        <w:rPr>
          <w:color w:val="0D0D0D" w:themeColor="text1" w:themeTint="F2"/>
        </w:rPr>
        <w:t xml:space="preserve">To conclude, I feel that </w:t>
      </w:r>
      <w:r w:rsidR="00007191">
        <w:rPr>
          <w:color w:val="0D0D0D" w:themeColor="text1" w:themeTint="F2"/>
        </w:rPr>
        <w:t xml:space="preserve">since experiencing teaching through classroom observations and my own teaching practises, I am much better adapted to suit the teaching role. I feel that I have taken on board and addressed targets given to me by my subject tutor (following the micro teach lesson) and continue to work on and develop these skills lesson by lesson. I have found it much easier to scaffold and differentiate lessons for ‘real’ learners than I did when planning for my peers and I have reduced the use of ‘word fills’ used to almost nil. I have mostly incorporated student led starters into my teaching, where learners can discover the lesson’s upcoming content for themselves. This then provides me with more time, to circulate and support weaker learners who struggle to make the connections for themselves. I continue to challenge myself with personal targets each time I deliver a lesson during PTE 1 and I believe that my teaching has significantly improved in recent weeks. However, I am </w:t>
      </w:r>
      <w:r w:rsidR="00007191">
        <w:rPr>
          <w:color w:val="0D0D0D" w:themeColor="text1" w:themeTint="F2"/>
        </w:rPr>
        <w:lastRenderedPageBreak/>
        <w:t xml:space="preserve">fully aware that the lessons I create and teach can always be improved and I am </w:t>
      </w:r>
      <w:r w:rsidR="004D577F">
        <w:rPr>
          <w:color w:val="0D0D0D" w:themeColor="text1" w:themeTint="F2"/>
        </w:rPr>
        <w:t xml:space="preserve">committed to taking on board any criticisms or advice given to me my subject mentor as I progress </w:t>
      </w:r>
      <w:r w:rsidR="00BC5ABE">
        <w:rPr>
          <w:color w:val="0D0D0D" w:themeColor="text1" w:themeTint="F2"/>
        </w:rPr>
        <w:t xml:space="preserve">on, in coming weeks, </w:t>
      </w:r>
      <w:r w:rsidR="004D577F">
        <w:rPr>
          <w:color w:val="0D0D0D" w:themeColor="text1" w:themeTint="F2"/>
        </w:rPr>
        <w:t xml:space="preserve">to meet the QTS standards. </w:t>
      </w:r>
    </w:p>
    <w:p w:rsidR="00E15752" w:rsidRDefault="00E15752">
      <w:pPr>
        <w:rPr>
          <w:color w:val="0D0D0D" w:themeColor="text1" w:themeTint="F2"/>
        </w:rPr>
      </w:pPr>
    </w:p>
    <w:p w:rsidR="00981287" w:rsidRDefault="00981287">
      <w:pPr>
        <w:rPr>
          <w:color w:val="0D0D0D" w:themeColor="text1" w:themeTint="F2"/>
        </w:rPr>
      </w:pPr>
    </w:p>
    <w:p w:rsidR="00981287" w:rsidRDefault="00981287">
      <w:pPr>
        <w:rPr>
          <w:color w:val="0D0D0D" w:themeColor="text1" w:themeTint="F2"/>
        </w:rPr>
      </w:pPr>
      <w:r>
        <w:rPr>
          <w:color w:val="0D0D0D" w:themeColor="text1" w:themeTint="F2"/>
        </w:rPr>
        <w:br w:type="page"/>
      </w:r>
    </w:p>
    <w:p w:rsidR="00981287" w:rsidRDefault="00981287">
      <w:pPr>
        <w:rPr>
          <w:color w:val="0D0D0D" w:themeColor="text1" w:themeTint="F2"/>
        </w:rPr>
      </w:pPr>
      <w:r>
        <w:rPr>
          <w:noProof/>
          <w:color w:val="0D0D0D" w:themeColor="text1" w:themeTint="F2"/>
          <w:lang w:eastAsia="en-GB"/>
        </w:rPr>
        <w:lastRenderedPageBreak/>
        <w:drawing>
          <wp:anchor distT="0" distB="0" distL="114300" distR="114300" simplePos="0" relativeHeight="251658240" behindDoc="0" locked="0" layoutInCell="1" allowOverlap="1">
            <wp:simplePos x="0" y="0"/>
            <wp:positionH relativeFrom="column">
              <wp:posOffset>-1899285</wp:posOffset>
            </wp:positionH>
            <wp:positionV relativeFrom="paragraph">
              <wp:posOffset>1247775</wp:posOffset>
            </wp:positionV>
            <wp:extent cx="9564370" cy="7068820"/>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9564370" cy="7068820"/>
                    </a:xfrm>
                    <a:prstGeom prst="rect">
                      <a:avLst/>
                    </a:prstGeom>
                    <a:noFill/>
                  </pic:spPr>
                </pic:pic>
              </a:graphicData>
            </a:graphic>
          </wp:anchor>
        </w:drawing>
      </w:r>
    </w:p>
    <w:p w:rsidR="009C74C5" w:rsidRPr="00981287" w:rsidRDefault="009A6CD8">
      <w:pPr>
        <w:rPr>
          <w:color w:val="0D0D0D" w:themeColor="text1" w:themeTint="F2"/>
        </w:rPr>
      </w:pPr>
      <w:r w:rsidRPr="009A6CD8">
        <w:rPr>
          <w:color w:val="0D0D0D" w:themeColor="text1" w:themeTint="F2"/>
          <w:u w:val="single"/>
        </w:rPr>
        <w:t>References</w:t>
      </w:r>
    </w:p>
    <w:p w:rsidR="009C74C5" w:rsidRDefault="0042205F">
      <w:pPr>
        <w:rPr>
          <w:color w:val="0D0D0D" w:themeColor="text1" w:themeTint="F2"/>
        </w:rPr>
      </w:pPr>
      <w:proofErr w:type="spellStart"/>
      <w:r>
        <w:rPr>
          <w:rStyle w:val="selectable"/>
          <w:color w:val="000000"/>
        </w:rPr>
        <w:t>Accac</w:t>
      </w:r>
      <w:proofErr w:type="spellEnd"/>
      <w:r>
        <w:rPr>
          <w:rStyle w:val="selectable"/>
          <w:color w:val="000000"/>
        </w:rPr>
        <w:t xml:space="preserve"> - Qualifications, Curriculum and Assessment Authority for Wales (2003). </w:t>
      </w:r>
      <w:r>
        <w:rPr>
          <w:rStyle w:val="selectable"/>
          <w:i/>
          <w:iCs/>
          <w:color w:val="000000"/>
        </w:rPr>
        <w:t xml:space="preserve">Developing the Curriculum </w:t>
      </w:r>
      <w:proofErr w:type="spellStart"/>
      <w:r>
        <w:rPr>
          <w:rStyle w:val="selectable"/>
          <w:i/>
          <w:iCs/>
          <w:color w:val="000000"/>
        </w:rPr>
        <w:t>Cymreig</w:t>
      </w:r>
      <w:proofErr w:type="spellEnd"/>
      <w:r>
        <w:rPr>
          <w:rStyle w:val="selectable"/>
          <w:color w:val="000000"/>
        </w:rPr>
        <w:t xml:space="preserve">. Cardiff: </w:t>
      </w:r>
      <w:proofErr w:type="spellStart"/>
      <w:r>
        <w:rPr>
          <w:rStyle w:val="selectable"/>
          <w:color w:val="000000"/>
        </w:rPr>
        <w:t>Accac</w:t>
      </w:r>
      <w:proofErr w:type="spellEnd"/>
      <w:r>
        <w:rPr>
          <w:rStyle w:val="selectable"/>
          <w:color w:val="000000"/>
        </w:rPr>
        <w:t>.</w:t>
      </w:r>
    </w:p>
    <w:p w:rsidR="00892260" w:rsidRDefault="00892260">
      <w:r>
        <w:t xml:space="preserve">Allison, S, </w:t>
      </w:r>
      <w:proofErr w:type="spellStart"/>
      <w:r>
        <w:t>Tharby</w:t>
      </w:r>
      <w:proofErr w:type="spellEnd"/>
      <w:r>
        <w:t xml:space="preserve">, A, &amp; </w:t>
      </w:r>
      <w:proofErr w:type="spellStart"/>
      <w:r>
        <w:t>Lemov</w:t>
      </w:r>
      <w:proofErr w:type="spellEnd"/>
      <w:r>
        <w:t xml:space="preserve">, D </w:t>
      </w:r>
      <w:r w:rsidR="009C74C5">
        <w:t>2015, Making Every Lesson Count</w:t>
      </w:r>
      <w:r>
        <w:t xml:space="preserve">: Six principles to support great teaching and learning, Crown House Publishing, Carmarthen. Available from: ProQuest </w:t>
      </w:r>
      <w:proofErr w:type="spellStart"/>
      <w:r>
        <w:t>Ebook</w:t>
      </w:r>
      <w:proofErr w:type="spellEnd"/>
      <w:r>
        <w:t xml:space="preserve"> Central. [20 November 2018].</w:t>
      </w:r>
    </w:p>
    <w:p w:rsidR="00307ED1" w:rsidRDefault="00307ED1">
      <w:pPr>
        <w:rPr>
          <w:rStyle w:val="selectable"/>
          <w:color w:val="000000"/>
        </w:rPr>
      </w:pPr>
      <w:r>
        <w:rPr>
          <w:rStyle w:val="selectable"/>
          <w:color w:val="000000"/>
        </w:rPr>
        <w:t xml:space="preserve">Bates, B. (2016). </w:t>
      </w:r>
      <w:r>
        <w:rPr>
          <w:rStyle w:val="selectable"/>
          <w:i/>
          <w:iCs/>
          <w:color w:val="000000"/>
        </w:rPr>
        <w:t>Learning Theories Simplified</w:t>
      </w:r>
      <w:r>
        <w:rPr>
          <w:rStyle w:val="selectable"/>
          <w:color w:val="000000"/>
        </w:rPr>
        <w:t>. 1st ed. London: Sage.</w:t>
      </w:r>
    </w:p>
    <w:p w:rsidR="00C360EF" w:rsidRPr="00C360EF" w:rsidRDefault="00C360EF" w:rsidP="00C360EF">
      <w:pPr>
        <w:spacing w:after="0" w:line="240" w:lineRule="auto"/>
        <w:rPr>
          <w:rFonts w:eastAsia="Times New Roman" w:cs="Times New Roman"/>
          <w:lang w:eastAsia="en-GB"/>
        </w:rPr>
      </w:pPr>
      <w:r w:rsidRPr="00C360EF">
        <w:rPr>
          <w:rFonts w:eastAsia="Times New Roman" w:cs="Times New Roman"/>
          <w:lang w:eastAsia="en-GB"/>
        </w:rPr>
        <w:t xml:space="preserve">Black, P. and </w:t>
      </w:r>
      <w:proofErr w:type="spellStart"/>
      <w:r w:rsidRPr="00C360EF">
        <w:rPr>
          <w:rFonts w:eastAsia="Times New Roman" w:cs="Times New Roman"/>
          <w:lang w:eastAsia="en-GB"/>
        </w:rPr>
        <w:t>Wiliam</w:t>
      </w:r>
      <w:proofErr w:type="spellEnd"/>
      <w:r w:rsidRPr="00C360EF">
        <w:rPr>
          <w:rFonts w:eastAsia="Times New Roman" w:cs="Times New Roman"/>
          <w:lang w:eastAsia="en-GB"/>
        </w:rPr>
        <w:t xml:space="preserve">, D., 2005. </w:t>
      </w:r>
      <w:r w:rsidRPr="00C360EF">
        <w:rPr>
          <w:rFonts w:eastAsia="Times New Roman" w:cs="Times New Roman"/>
          <w:i/>
          <w:iCs/>
          <w:lang w:eastAsia="en-GB"/>
        </w:rPr>
        <w:t>Inside the black box: Raising standards through classroom assessment</w:t>
      </w:r>
      <w:r w:rsidRPr="00C360EF">
        <w:rPr>
          <w:rFonts w:eastAsia="Times New Roman" w:cs="Times New Roman"/>
          <w:lang w:eastAsia="en-GB"/>
        </w:rPr>
        <w:t>. Granada Learning.</w:t>
      </w:r>
    </w:p>
    <w:p w:rsidR="00C360EF" w:rsidRPr="00C360EF" w:rsidRDefault="00C360EF" w:rsidP="00C360EF">
      <w:pPr>
        <w:spacing w:after="0" w:line="240" w:lineRule="auto"/>
        <w:rPr>
          <w:rFonts w:ascii="Times New Roman" w:eastAsia="Times New Roman" w:hAnsi="Times New Roman" w:cs="Times New Roman"/>
          <w:sz w:val="24"/>
          <w:szCs w:val="24"/>
          <w:lang w:eastAsia="en-GB"/>
        </w:rPr>
      </w:pPr>
    </w:p>
    <w:p w:rsidR="006413BE" w:rsidRPr="009A6CD8" w:rsidRDefault="006413BE">
      <w:r w:rsidRPr="009A6CD8">
        <w:lastRenderedPageBreak/>
        <w:t xml:space="preserve">Bloom, B.S., (1956), </w:t>
      </w:r>
      <w:r w:rsidRPr="009A6CD8">
        <w:rPr>
          <w:i/>
        </w:rPr>
        <w:t>Taxonomy of Educational Objectives:</w:t>
      </w:r>
      <w:r w:rsidR="00532A6B" w:rsidRPr="009A6CD8">
        <w:rPr>
          <w:i/>
        </w:rPr>
        <w:t xml:space="preserve"> Handbook 1-Cognitive Domain, </w:t>
      </w:r>
      <w:r w:rsidR="00532A6B" w:rsidRPr="009A6CD8">
        <w:t xml:space="preserve">New York: Longmans Green. </w:t>
      </w:r>
    </w:p>
    <w:p w:rsidR="00253BD7" w:rsidRPr="009A6CD8" w:rsidRDefault="00253BD7">
      <w:r w:rsidRPr="009A6CD8">
        <w:t xml:space="preserve">Clarke, S., Timperley, H. and Hattie, J. (2003) </w:t>
      </w:r>
      <w:r w:rsidRPr="009A6CD8">
        <w:rPr>
          <w:i/>
        </w:rPr>
        <w:t>Unlocking Formative Assessment</w:t>
      </w:r>
      <w:r w:rsidRPr="009A6CD8">
        <w:t xml:space="preserve">. Auckland: Hodder Moa Beckett. </w:t>
      </w:r>
    </w:p>
    <w:p w:rsidR="00D062C1" w:rsidRPr="009A6CD8" w:rsidRDefault="00D062C1">
      <w:r w:rsidRPr="009A6CD8">
        <w:t xml:space="preserve">Curzon, L.B. (2006) </w:t>
      </w:r>
      <w:r w:rsidRPr="009A6CD8">
        <w:rPr>
          <w:i/>
        </w:rPr>
        <w:t>Teaching in Further Education (</w:t>
      </w:r>
      <w:r w:rsidRPr="009A6CD8">
        <w:t>6</w:t>
      </w:r>
      <w:r w:rsidRPr="009A6CD8">
        <w:rPr>
          <w:vertAlign w:val="superscript"/>
        </w:rPr>
        <w:t>th</w:t>
      </w:r>
      <w:r w:rsidRPr="009A6CD8">
        <w:t xml:space="preserve"> edition). London: Continuum. </w:t>
      </w:r>
    </w:p>
    <w:p w:rsidR="00E90F44" w:rsidRPr="009A6CD8" w:rsidRDefault="00E90F44">
      <w:r w:rsidRPr="009A6CD8">
        <w:t xml:space="preserve">Doran, G. There’s a SMART wat to write management goals and objectives. </w:t>
      </w:r>
      <w:r w:rsidRPr="009A6CD8">
        <w:rPr>
          <w:i/>
        </w:rPr>
        <w:t>Management Review</w:t>
      </w:r>
      <w:r w:rsidRPr="009A6CD8">
        <w:t xml:space="preserve">, 70(11), 35-6. </w:t>
      </w:r>
    </w:p>
    <w:p w:rsidR="00D70384" w:rsidRPr="009A6CD8" w:rsidRDefault="00D70384">
      <w:proofErr w:type="spellStart"/>
      <w:r w:rsidRPr="009A6CD8">
        <w:t>Dweck</w:t>
      </w:r>
      <w:proofErr w:type="spellEnd"/>
      <w:r w:rsidRPr="009A6CD8">
        <w:t xml:space="preserve">, C.S. (2000) </w:t>
      </w:r>
      <w:r w:rsidRPr="009A6CD8">
        <w:rPr>
          <w:i/>
        </w:rPr>
        <w:t>Self Theories: Their Role in Motivation, Personality and Development</w:t>
      </w:r>
      <w:r w:rsidR="00396DBA" w:rsidRPr="009A6CD8">
        <w:rPr>
          <w:i/>
        </w:rPr>
        <w:t xml:space="preserve"> </w:t>
      </w:r>
      <w:r w:rsidR="00396DBA" w:rsidRPr="009A6CD8">
        <w:t xml:space="preserve">(Essays in Social Psychology). Philadelphia, PA: Taylor &amp; Francis. </w:t>
      </w:r>
    </w:p>
    <w:p w:rsidR="00CF5B99" w:rsidRDefault="00CF5B99">
      <w:pPr>
        <w:rPr>
          <w:color w:val="000000" w:themeColor="text1"/>
        </w:rPr>
      </w:pPr>
      <w:proofErr w:type="spellStart"/>
      <w:r w:rsidRPr="00CF5B99">
        <w:rPr>
          <w:color w:val="000000" w:themeColor="text1"/>
        </w:rPr>
        <w:t>Dweck</w:t>
      </w:r>
      <w:proofErr w:type="spellEnd"/>
      <w:r w:rsidRPr="00CF5B99">
        <w:rPr>
          <w:color w:val="000000" w:themeColor="text1"/>
        </w:rPr>
        <w:t xml:space="preserve">, C. (2006). The </w:t>
      </w:r>
      <w:proofErr w:type="spellStart"/>
      <w:r w:rsidRPr="00CF5B99">
        <w:rPr>
          <w:color w:val="000000" w:themeColor="text1"/>
        </w:rPr>
        <w:t>Mindset</w:t>
      </w:r>
      <w:proofErr w:type="spellEnd"/>
      <w:r w:rsidRPr="00CF5B99">
        <w:rPr>
          <w:color w:val="000000" w:themeColor="text1"/>
        </w:rPr>
        <w:t xml:space="preserve">: </w:t>
      </w:r>
      <w:r w:rsidRPr="00CF5B99">
        <w:rPr>
          <w:i/>
          <w:color w:val="000000" w:themeColor="text1"/>
        </w:rPr>
        <w:t xml:space="preserve">The new psychology of success. </w:t>
      </w:r>
      <w:r w:rsidRPr="00CF5B99">
        <w:rPr>
          <w:color w:val="000000" w:themeColor="text1"/>
        </w:rPr>
        <w:t xml:space="preserve">New York. Random House Publishing Group. </w:t>
      </w:r>
    </w:p>
    <w:p w:rsidR="00935CD3" w:rsidRDefault="00935CD3">
      <w:pPr>
        <w:rPr>
          <w:color w:val="000000" w:themeColor="text1"/>
        </w:rPr>
      </w:pPr>
      <w:r>
        <w:rPr>
          <w:rStyle w:val="selectable"/>
          <w:color w:val="000000"/>
        </w:rPr>
        <w:t xml:space="preserve">Estyn (2015). </w:t>
      </w:r>
      <w:r>
        <w:rPr>
          <w:rStyle w:val="selectable"/>
          <w:i/>
          <w:iCs/>
          <w:color w:val="000000"/>
        </w:rPr>
        <w:t>Literacy in Key Stage 3: An Interim Report</w:t>
      </w:r>
      <w:r>
        <w:rPr>
          <w:rStyle w:val="selectable"/>
          <w:color w:val="000000"/>
        </w:rPr>
        <w:t>. Cardiff: Estyn.</w:t>
      </w:r>
    </w:p>
    <w:p w:rsidR="00AF7378" w:rsidRPr="00CF5B99" w:rsidRDefault="00AF7378">
      <w:pPr>
        <w:rPr>
          <w:color w:val="000000" w:themeColor="text1"/>
        </w:rPr>
      </w:pPr>
      <w:proofErr w:type="spellStart"/>
      <w:r>
        <w:rPr>
          <w:rStyle w:val="selectable"/>
          <w:color w:val="000000"/>
        </w:rPr>
        <w:t>Ginnis</w:t>
      </w:r>
      <w:proofErr w:type="spellEnd"/>
      <w:r>
        <w:rPr>
          <w:rStyle w:val="selectable"/>
          <w:color w:val="000000"/>
        </w:rPr>
        <w:t xml:space="preserve">, P. (2002). </w:t>
      </w:r>
      <w:r>
        <w:rPr>
          <w:rStyle w:val="selectable"/>
          <w:i/>
          <w:iCs/>
          <w:color w:val="000000"/>
        </w:rPr>
        <w:t>The Teacher's Toolkit</w:t>
      </w:r>
      <w:r>
        <w:rPr>
          <w:rStyle w:val="selectable"/>
          <w:color w:val="000000"/>
        </w:rPr>
        <w:t>. Norwalk, CT: Crown House Pub. Co.</w:t>
      </w:r>
    </w:p>
    <w:p w:rsidR="00350968" w:rsidRPr="006413BE" w:rsidRDefault="00350968">
      <w:pPr>
        <w:rPr>
          <w:i/>
        </w:rPr>
      </w:pPr>
      <w:r>
        <w:t xml:space="preserve">Hattie, J.A.C. and Donoghue, G.M., 2016. Learning strategies: a synthesis and conceptual model. </w:t>
      </w:r>
      <w:r>
        <w:rPr>
          <w:i/>
          <w:iCs/>
        </w:rPr>
        <w:t xml:space="preserve">NPJ Science of Learning, </w:t>
      </w:r>
      <w:r w:rsidRPr="004A4436">
        <w:rPr>
          <w:bCs/>
        </w:rPr>
        <w:t>1</w:t>
      </w:r>
      <w:r>
        <w:t>, pp. 16013.</w:t>
      </w:r>
    </w:p>
    <w:p w:rsidR="00350968" w:rsidRDefault="00A771C0">
      <w:pPr>
        <w:rPr>
          <w:rStyle w:val="selectable"/>
          <w:color w:val="000000"/>
        </w:rPr>
      </w:pPr>
      <w:r>
        <w:rPr>
          <w:rStyle w:val="selectable"/>
          <w:color w:val="000000"/>
        </w:rPr>
        <w:t xml:space="preserve">Hattie, J. and Yates, G. (2014). </w:t>
      </w:r>
      <w:r>
        <w:rPr>
          <w:rStyle w:val="selectable"/>
          <w:i/>
          <w:iCs/>
          <w:color w:val="000000"/>
        </w:rPr>
        <w:t>Visible learning and the science of how we learn</w:t>
      </w:r>
      <w:r>
        <w:rPr>
          <w:rStyle w:val="selectable"/>
          <w:color w:val="000000"/>
        </w:rPr>
        <w:t>. London: Routledge, Taylor &amp; Francis Group.</w:t>
      </w:r>
    </w:p>
    <w:p w:rsidR="00D062C1" w:rsidRDefault="00FC6E64" w:rsidP="00FC6E64">
      <w:pPr>
        <w:spacing w:after="0" w:line="240" w:lineRule="auto"/>
        <w:rPr>
          <w:rFonts w:eastAsia="Times New Roman" w:cs="Times New Roman"/>
          <w:lang w:eastAsia="en-GB"/>
        </w:rPr>
      </w:pPr>
      <w:r w:rsidRPr="00FC6E64">
        <w:rPr>
          <w:rFonts w:eastAsia="Times New Roman" w:cs="Times New Roman"/>
          <w:lang w:eastAsia="en-GB"/>
        </w:rPr>
        <w:lastRenderedPageBreak/>
        <w:t xml:space="preserve">Levy, H.M., 2008. Meeting the needs of all students through differentiated instruction: Helping every child reach and exceed standards. </w:t>
      </w:r>
      <w:r w:rsidRPr="00FC6E64">
        <w:rPr>
          <w:rFonts w:eastAsia="Times New Roman" w:cs="Times New Roman"/>
          <w:i/>
          <w:iCs/>
          <w:lang w:eastAsia="en-GB"/>
        </w:rPr>
        <w:t>The Clearing House: A Journal of Educational Strategies, Issues and Ideas</w:t>
      </w:r>
      <w:r w:rsidRPr="00FC6E64">
        <w:rPr>
          <w:rFonts w:eastAsia="Times New Roman" w:cs="Times New Roman"/>
          <w:lang w:eastAsia="en-GB"/>
        </w:rPr>
        <w:t xml:space="preserve">, </w:t>
      </w:r>
      <w:r w:rsidRPr="00FC6E64">
        <w:rPr>
          <w:rFonts w:eastAsia="Times New Roman" w:cs="Times New Roman"/>
          <w:i/>
          <w:iCs/>
          <w:lang w:eastAsia="en-GB"/>
        </w:rPr>
        <w:t>81</w:t>
      </w:r>
      <w:r w:rsidRPr="00FC6E64">
        <w:rPr>
          <w:rFonts w:eastAsia="Times New Roman" w:cs="Times New Roman"/>
          <w:lang w:eastAsia="en-GB"/>
        </w:rPr>
        <w:t>(4), pp.161-164.</w:t>
      </w:r>
    </w:p>
    <w:p w:rsidR="00D062C1" w:rsidRDefault="00D062C1" w:rsidP="00FC6E64">
      <w:pPr>
        <w:spacing w:after="0" w:line="240" w:lineRule="auto"/>
        <w:rPr>
          <w:rFonts w:eastAsia="Times New Roman" w:cs="Times New Roman"/>
          <w:lang w:eastAsia="en-GB"/>
        </w:rPr>
      </w:pPr>
    </w:p>
    <w:p w:rsidR="009A6CD8" w:rsidRDefault="00D062C1" w:rsidP="00FC6E64">
      <w:pPr>
        <w:spacing w:after="0" w:line="240" w:lineRule="auto"/>
        <w:rPr>
          <w:rFonts w:eastAsia="Times New Roman" w:cs="Times New Roman"/>
          <w:lang w:eastAsia="en-GB"/>
        </w:rPr>
      </w:pPr>
      <w:r>
        <w:rPr>
          <w:rFonts w:eastAsia="Times New Roman" w:cs="Times New Roman"/>
          <w:lang w:eastAsia="en-GB"/>
        </w:rPr>
        <w:t xml:space="preserve">McGregor, D. (1985) </w:t>
      </w:r>
      <w:proofErr w:type="gramStart"/>
      <w:r>
        <w:rPr>
          <w:rFonts w:eastAsia="Times New Roman" w:cs="Times New Roman"/>
          <w:i/>
          <w:lang w:eastAsia="en-GB"/>
        </w:rPr>
        <w:t>The</w:t>
      </w:r>
      <w:proofErr w:type="gramEnd"/>
      <w:r>
        <w:rPr>
          <w:rFonts w:eastAsia="Times New Roman" w:cs="Times New Roman"/>
          <w:i/>
          <w:lang w:eastAsia="en-GB"/>
        </w:rPr>
        <w:t xml:space="preserve"> Human Side of Enterprise. </w:t>
      </w:r>
      <w:r>
        <w:rPr>
          <w:rFonts w:eastAsia="Times New Roman" w:cs="Times New Roman"/>
          <w:lang w:eastAsia="en-GB"/>
        </w:rPr>
        <w:t>New York: McGraw-Hill.</w:t>
      </w:r>
    </w:p>
    <w:p w:rsidR="009A6CD8" w:rsidRDefault="009A6CD8" w:rsidP="00FC6E64">
      <w:pPr>
        <w:spacing w:after="0" w:line="240" w:lineRule="auto"/>
        <w:rPr>
          <w:rFonts w:eastAsia="Times New Roman" w:cs="Times New Roman"/>
          <w:lang w:eastAsia="en-GB"/>
        </w:rPr>
      </w:pPr>
    </w:p>
    <w:p w:rsidR="004B0BA7" w:rsidRPr="004B0BA7" w:rsidRDefault="009A6CD8" w:rsidP="00FC6E64">
      <w:pPr>
        <w:spacing w:after="0" w:line="240" w:lineRule="auto"/>
        <w:rPr>
          <w:color w:val="000000"/>
        </w:rPr>
      </w:pPr>
      <w:r>
        <w:rPr>
          <w:rStyle w:val="selectable"/>
          <w:color w:val="000000"/>
        </w:rPr>
        <w:t xml:space="preserve">Petty, G. (2014). </w:t>
      </w:r>
      <w:r>
        <w:rPr>
          <w:rStyle w:val="selectable"/>
          <w:i/>
          <w:iCs/>
          <w:color w:val="000000"/>
        </w:rPr>
        <w:t>Teaching Today - A Practical Guide</w:t>
      </w:r>
      <w:r>
        <w:rPr>
          <w:rStyle w:val="selectable"/>
          <w:color w:val="000000"/>
        </w:rPr>
        <w:t>. 5th ed. Oxford: Oxford University Press.</w:t>
      </w:r>
    </w:p>
    <w:p w:rsidR="00FC6E64" w:rsidRPr="00FC6E64" w:rsidRDefault="00FC6E64" w:rsidP="00FC6E64">
      <w:pPr>
        <w:spacing w:after="0" w:line="240" w:lineRule="auto"/>
        <w:rPr>
          <w:rStyle w:val="selectable"/>
          <w:rFonts w:ascii="Times New Roman" w:eastAsia="Times New Roman" w:hAnsi="Times New Roman" w:cs="Times New Roman"/>
          <w:sz w:val="24"/>
          <w:szCs w:val="24"/>
          <w:lang w:eastAsia="en-GB"/>
        </w:rPr>
      </w:pPr>
    </w:p>
    <w:p w:rsidR="00490E16" w:rsidRDefault="00490E16">
      <w:pPr>
        <w:rPr>
          <w:rStyle w:val="selectable"/>
          <w:color w:val="000000"/>
        </w:rPr>
      </w:pPr>
      <w:r>
        <w:rPr>
          <w:rStyle w:val="selectable"/>
          <w:color w:val="000000"/>
        </w:rPr>
        <w:t xml:space="preserve">Pritchard, A. (2005) </w:t>
      </w:r>
      <w:r w:rsidRPr="00490E16">
        <w:rPr>
          <w:rStyle w:val="selectable"/>
          <w:i/>
          <w:color w:val="000000"/>
        </w:rPr>
        <w:t>Ways of Learning</w:t>
      </w:r>
      <w:r>
        <w:rPr>
          <w:rStyle w:val="selectable"/>
          <w:color w:val="000000"/>
        </w:rPr>
        <w:t>. London: David Fulton.</w:t>
      </w:r>
    </w:p>
    <w:p w:rsidR="00D062C1" w:rsidRDefault="00D062C1">
      <w:pPr>
        <w:rPr>
          <w:rStyle w:val="selectable"/>
          <w:color w:val="000000"/>
        </w:rPr>
      </w:pPr>
      <w:r>
        <w:rPr>
          <w:rStyle w:val="selectable"/>
          <w:color w:val="000000"/>
        </w:rPr>
        <w:t xml:space="preserve">Reece, I. and Walker, S. (2007) </w:t>
      </w:r>
      <w:r>
        <w:rPr>
          <w:rStyle w:val="selectable"/>
          <w:i/>
          <w:color w:val="000000"/>
        </w:rPr>
        <w:t xml:space="preserve">Teaching, Training and Learning </w:t>
      </w:r>
      <w:r>
        <w:rPr>
          <w:rStyle w:val="selectable"/>
          <w:color w:val="000000"/>
        </w:rPr>
        <w:t>(6</w:t>
      </w:r>
      <w:r w:rsidRPr="00D062C1">
        <w:rPr>
          <w:rStyle w:val="selectable"/>
          <w:color w:val="000000"/>
          <w:vertAlign w:val="superscript"/>
        </w:rPr>
        <w:t>th</w:t>
      </w:r>
      <w:r>
        <w:rPr>
          <w:rStyle w:val="selectable"/>
          <w:color w:val="000000"/>
        </w:rPr>
        <w:t xml:space="preserve"> edition). Sunderland: Business Education Publishers. </w:t>
      </w:r>
    </w:p>
    <w:p w:rsidR="006D18AD" w:rsidRPr="006D18AD" w:rsidRDefault="006D18AD">
      <w:pPr>
        <w:rPr>
          <w:rStyle w:val="selectable"/>
          <w:color w:val="000000"/>
        </w:rPr>
      </w:pPr>
      <w:r>
        <w:rPr>
          <w:rStyle w:val="selectable"/>
          <w:color w:val="000000"/>
        </w:rPr>
        <w:t xml:space="preserve">Thomas, K.W. and </w:t>
      </w:r>
      <w:proofErr w:type="spellStart"/>
      <w:r>
        <w:rPr>
          <w:rStyle w:val="selectable"/>
          <w:color w:val="000000"/>
        </w:rPr>
        <w:t>Kilmann</w:t>
      </w:r>
      <w:proofErr w:type="spellEnd"/>
      <w:r>
        <w:rPr>
          <w:rStyle w:val="selectable"/>
          <w:color w:val="000000"/>
        </w:rPr>
        <w:t xml:space="preserve">, R.H. (1974) </w:t>
      </w:r>
      <w:r>
        <w:rPr>
          <w:rStyle w:val="selectable"/>
          <w:i/>
          <w:color w:val="000000"/>
        </w:rPr>
        <w:t>Thomas-</w:t>
      </w:r>
      <w:proofErr w:type="spellStart"/>
      <w:r>
        <w:rPr>
          <w:rStyle w:val="selectable"/>
          <w:i/>
          <w:color w:val="000000"/>
        </w:rPr>
        <w:t>Kilmann</w:t>
      </w:r>
      <w:proofErr w:type="spellEnd"/>
      <w:r>
        <w:rPr>
          <w:rStyle w:val="selectable"/>
          <w:i/>
          <w:color w:val="000000"/>
        </w:rPr>
        <w:t xml:space="preserve"> Conflict Mode Instrument. </w:t>
      </w:r>
      <w:r>
        <w:rPr>
          <w:rStyle w:val="selectable"/>
          <w:color w:val="000000"/>
        </w:rPr>
        <w:t xml:space="preserve">New York: </w:t>
      </w:r>
      <w:proofErr w:type="spellStart"/>
      <w:r>
        <w:rPr>
          <w:rStyle w:val="selectable"/>
          <w:color w:val="000000"/>
        </w:rPr>
        <w:t>Xicom</w:t>
      </w:r>
      <w:proofErr w:type="spellEnd"/>
      <w:r>
        <w:rPr>
          <w:rStyle w:val="selectable"/>
          <w:color w:val="000000"/>
        </w:rPr>
        <w:t>.</w:t>
      </w:r>
    </w:p>
    <w:p w:rsidR="00801DA2" w:rsidRPr="00801DA2" w:rsidRDefault="00801DA2">
      <w:pPr>
        <w:rPr>
          <w:rStyle w:val="selectable"/>
          <w:color w:val="000000"/>
        </w:rPr>
      </w:pPr>
      <w:r>
        <w:rPr>
          <w:rStyle w:val="selectable"/>
          <w:color w:val="000000"/>
        </w:rPr>
        <w:t xml:space="preserve">Tomlinson, C.A. (2005) </w:t>
      </w:r>
      <w:r>
        <w:rPr>
          <w:rStyle w:val="selectable"/>
          <w:i/>
          <w:color w:val="000000"/>
        </w:rPr>
        <w:t xml:space="preserve">Differentiation in Practise. </w:t>
      </w:r>
      <w:r>
        <w:rPr>
          <w:rStyle w:val="selectable"/>
          <w:color w:val="000000"/>
        </w:rPr>
        <w:t xml:space="preserve">Alexandria, VA: ASCD. </w:t>
      </w:r>
    </w:p>
    <w:p w:rsidR="00AA5DE2" w:rsidRDefault="00AA5DE2">
      <w:pPr>
        <w:rPr>
          <w:rStyle w:val="selectable"/>
          <w:color w:val="000000"/>
        </w:rPr>
      </w:pPr>
      <w:r>
        <w:rPr>
          <w:rStyle w:val="selectable"/>
          <w:color w:val="000000"/>
        </w:rPr>
        <w:t xml:space="preserve">Vygotsky, L.S., (1962) </w:t>
      </w:r>
      <w:r>
        <w:rPr>
          <w:rStyle w:val="selectable"/>
          <w:i/>
          <w:color w:val="000000"/>
        </w:rPr>
        <w:t xml:space="preserve">Thought and Language. </w:t>
      </w:r>
      <w:r>
        <w:rPr>
          <w:rStyle w:val="selectable"/>
          <w:color w:val="000000"/>
        </w:rPr>
        <w:t>Cambridge, MA: MIT Press.</w:t>
      </w:r>
    </w:p>
    <w:p w:rsidR="00AA5DE2" w:rsidRPr="00AA5DE2" w:rsidRDefault="00AA5DE2">
      <w:pPr>
        <w:rPr>
          <w:rStyle w:val="selectable"/>
          <w:color w:val="000000"/>
        </w:rPr>
      </w:pPr>
      <w:r>
        <w:rPr>
          <w:rStyle w:val="selectable"/>
          <w:color w:val="000000"/>
        </w:rPr>
        <w:t xml:space="preserve">Vygotsky, L.S., (1978) </w:t>
      </w:r>
      <w:r>
        <w:rPr>
          <w:rStyle w:val="selectable"/>
          <w:i/>
          <w:color w:val="000000"/>
        </w:rPr>
        <w:t xml:space="preserve">Mind in Society. </w:t>
      </w:r>
      <w:r>
        <w:rPr>
          <w:rStyle w:val="selectable"/>
          <w:color w:val="000000"/>
        </w:rPr>
        <w:t xml:space="preserve">Cambridge, MA: Harvard University Press. </w:t>
      </w:r>
    </w:p>
    <w:p w:rsidR="004F75B7" w:rsidRPr="004F75B7" w:rsidRDefault="004F75B7" w:rsidP="004F75B7">
      <w:pPr>
        <w:spacing w:after="0" w:line="240" w:lineRule="auto"/>
        <w:rPr>
          <w:rFonts w:eastAsia="Times New Roman" w:cs="Times New Roman"/>
          <w:lang w:eastAsia="en-GB"/>
        </w:rPr>
      </w:pPr>
      <w:r w:rsidRPr="004F75B7">
        <w:rPr>
          <w:rFonts w:eastAsia="Times New Roman" w:cs="Times New Roman"/>
          <w:lang w:eastAsia="en-GB"/>
        </w:rPr>
        <w:lastRenderedPageBreak/>
        <w:t xml:space="preserve">Webb, N.M., 1982. Student interaction and learning in small groups. </w:t>
      </w:r>
      <w:r w:rsidRPr="004F75B7">
        <w:rPr>
          <w:rFonts w:eastAsia="Times New Roman" w:cs="Times New Roman"/>
          <w:i/>
          <w:iCs/>
          <w:lang w:eastAsia="en-GB"/>
        </w:rPr>
        <w:t>Review of Educational research</w:t>
      </w:r>
      <w:r w:rsidRPr="004F75B7">
        <w:rPr>
          <w:rFonts w:eastAsia="Times New Roman" w:cs="Times New Roman"/>
          <w:lang w:eastAsia="en-GB"/>
        </w:rPr>
        <w:t xml:space="preserve">, </w:t>
      </w:r>
      <w:r w:rsidRPr="004F75B7">
        <w:rPr>
          <w:rFonts w:eastAsia="Times New Roman" w:cs="Times New Roman"/>
          <w:i/>
          <w:iCs/>
          <w:lang w:eastAsia="en-GB"/>
        </w:rPr>
        <w:t>52</w:t>
      </w:r>
      <w:r w:rsidRPr="004F75B7">
        <w:rPr>
          <w:rFonts w:eastAsia="Times New Roman" w:cs="Times New Roman"/>
          <w:lang w:eastAsia="en-GB"/>
        </w:rPr>
        <w:t>(3), pp.421-445.</w:t>
      </w:r>
    </w:p>
    <w:p w:rsidR="004F75B7" w:rsidRPr="004F75B7" w:rsidRDefault="004F75B7" w:rsidP="004F75B7">
      <w:pPr>
        <w:spacing w:after="0" w:line="240" w:lineRule="auto"/>
        <w:rPr>
          <w:rStyle w:val="selectable"/>
          <w:rFonts w:ascii="Times New Roman" w:eastAsia="Times New Roman" w:hAnsi="Times New Roman" w:cs="Times New Roman"/>
          <w:sz w:val="24"/>
          <w:szCs w:val="24"/>
          <w:lang w:eastAsia="en-GB"/>
        </w:rPr>
      </w:pPr>
    </w:p>
    <w:p w:rsidR="00AD4DEE" w:rsidRDefault="00AD4DEE">
      <w:pPr>
        <w:rPr>
          <w:rStyle w:val="selectable"/>
          <w:color w:val="000000"/>
        </w:rPr>
      </w:pPr>
      <w:r>
        <w:rPr>
          <w:rStyle w:val="selectable"/>
          <w:color w:val="000000"/>
        </w:rPr>
        <w:t xml:space="preserve">Welsh Assembly Government – Department for Children, Education, Lifelong Learning and Skills (2008). </w:t>
      </w:r>
      <w:r>
        <w:rPr>
          <w:rStyle w:val="selectable"/>
          <w:i/>
          <w:color w:val="000000"/>
        </w:rPr>
        <w:t xml:space="preserve">Geography in the National Curriculum for Wales. </w:t>
      </w:r>
      <w:r w:rsidR="00FE7D01">
        <w:rPr>
          <w:rStyle w:val="selectable"/>
          <w:color w:val="000000"/>
        </w:rPr>
        <w:t xml:space="preserve">Cardiff: Welsh Assembly Government. </w:t>
      </w:r>
    </w:p>
    <w:p w:rsidR="0042205F" w:rsidRDefault="0042205F">
      <w:pPr>
        <w:rPr>
          <w:rStyle w:val="selectable"/>
          <w:color w:val="000000"/>
        </w:rPr>
      </w:pPr>
      <w:r>
        <w:rPr>
          <w:rStyle w:val="selectable"/>
          <w:color w:val="000000"/>
        </w:rPr>
        <w:t xml:space="preserve">Welsh Government (2014). </w:t>
      </w:r>
      <w:r>
        <w:rPr>
          <w:rStyle w:val="selectable"/>
          <w:i/>
          <w:iCs/>
          <w:color w:val="000000"/>
        </w:rPr>
        <w:t>National Literacy and Numeracy Framework</w:t>
      </w:r>
      <w:r>
        <w:rPr>
          <w:rStyle w:val="selectable"/>
          <w:color w:val="000000"/>
        </w:rPr>
        <w:t>. Cardiff: Welsh Assembly Government.</w:t>
      </w:r>
    </w:p>
    <w:p w:rsidR="00FA7E47" w:rsidRPr="00FA7E47" w:rsidRDefault="00FA7E47">
      <w:pPr>
        <w:rPr>
          <w:color w:val="000000"/>
        </w:rPr>
      </w:pPr>
      <w:r>
        <w:rPr>
          <w:rStyle w:val="selectable"/>
          <w:color w:val="000000"/>
        </w:rPr>
        <w:t xml:space="preserve">Wood, D.J., Bruner, J.S. and Ross, G. (1976) </w:t>
      </w:r>
      <w:proofErr w:type="gramStart"/>
      <w:r>
        <w:rPr>
          <w:rStyle w:val="selectable"/>
          <w:color w:val="000000"/>
        </w:rPr>
        <w:t>The</w:t>
      </w:r>
      <w:proofErr w:type="gramEnd"/>
      <w:r>
        <w:rPr>
          <w:rStyle w:val="selectable"/>
          <w:color w:val="000000"/>
        </w:rPr>
        <w:t xml:space="preserve"> role of tutoring in problem solving. </w:t>
      </w:r>
      <w:r>
        <w:rPr>
          <w:rStyle w:val="selectable"/>
          <w:i/>
          <w:color w:val="000000"/>
        </w:rPr>
        <w:t xml:space="preserve">Journal of Child Psychiatry and Psychology, </w:t>
      </w:r>
      <w:r>
        <w:rPr>
          <w:rStyle w:val="selectable"/>
          <w:color w:val="000000"/>
        </w:rPr>
        <w:t xml:space="preserve">17(2), pp. 89-100. </w:t>
      </w:r>
    </w:p>
    <w:sectPr w:rsidR="00FA7E47" w:rsidRPr="00FA7E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554" w:rsidRDefault="00091554" w:rsidP="00811299">
      <w:pPr>
        <w:spacing w:after="0" w:line="240" w:lineRule="auto"/>
      </w:pPr>
      <w:r>
        <w:separator/>
      </w:r>
    </w:p>
  </w:endnote>
  <w:endnote w:type="continuationSeparator" w:id="0">
    <w:p w:rsidR="00091554" w:rsidRDefault="00091554" w:rsidP="0081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554" w:rsidRDefault="00091554" w:rsidP="00811299">
      <w:pPr>
        <w:spacing w:after="0" w:line="240" w:lineRule="auto"/>
      </w:pPr>
      <w:r>
        <w:separator/>
      </w:r>
    </w:p>
  </w:footnote>
  <w:footnote w:type="continuationSeparator" w:id="0">
    <w:p w:rsidR="00091554" w:rsidRDefault="00091554" w:rsidP="008112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882813"/>
    <w:multiLevelType w:val="hybridMultilevel"/>
    <w:tmpl w:val="0494FB52"/>
    <w:lvl w:ilvl="0" w:tplc="9D86B2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913DE6"/>
    <w:multiLevelType w:val="hybridMultilevel"/>
    <w:tmpl w:val="D286D82A"/>
    <w:lvl w:ilvl="0" w:tplc="7CAC3D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7632CE"/>
    <w:multiLevelType w:val="hybridMultilevel"/>
    <w:tmpl w:val="F5706160"/>
    <w:lvl w:ilvl="0" w:tplc="CE262A7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8C5F8B"/>
    <w:multiLevelType w:val="hybridMultilevel"/>
    <w:tmpl w:val="73200046"/>
    <w:lvl w:ilvl="0" w:tplc="13201D4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B0A"/>
    <w:rsid w:val="00007191"/>
    <w:rsid w:val="00012C7A"/>
    <w:rsid w:val="00022A8E"/>
    <w:rsid w:val="00037ACA"/>
    <w:rsid w:val="00051C8D"/>
    <w:rsid w:val="00075B0A"/>
    <w:rsid w:val="00090B06"/>
    <w:rsid w:val="00091554"/>
    <w:rsid w:val="000A75BF"/>
    <w:rsid w:val="000C1C81"/>
    <w:rsid w:val="000D37F6"/>
    <w:rsid w:val="000E5DC2"/>
    <w:rsid w:val="001044F1"/>
    <w:rsid w:val="00104A47"/>
    <w:rsid w:val="00111A51"/>
    <w:rsid w:val="00114788"/>
    <w:rsid w:val="00116A42"/>
    <w:rsid w:val="00125464"/>
    <w:rsid w:val="00127471"/>
    <w:rsid w:val="0015786A"/>
    <w:rsid w:val="001677B1"/>
    <w:rsid w:val="0017279F"/>
    <w:rsid w:val="00176527"/>
    <w:rsid w:val="00182299"/>
    <w:rsid w:val="00183492"/>
    <w:rsid w:val="00185D2E"/>
    <w:rsid w:val="00190127"/>
    <w:rsid w:val="001B3CE3"/>
    <w:rsid w:val="001C07C8"/>
    <w:rsid w:val="001C2EEC"/>
    <w:rsid w:val="001D24EB"/>
    <w:rsid w:val="0021009D"/>
    <w:rsid w:val="00216524"/>
    <w:rsid w:val="00221C27"/>
    <w:rsid w:val="00253BD7"/>
    <w:rsid w:val="00266A58"/>
    <w:rsid w:val="00267F7B"/>
    <w:rsid w:val="002D26AB"/>
    <w:rsid w:val="002E20B6"/>
    <w:rsid w:val="00307ED1"/>
    <w:rsid w:val="00350968"/>
    <w:rsid w:val="00371397"/>
    <w:rsid w:val="003843D6"/>
    <w:rsid w:val="00395079"/>
    <w:rsid w:val="00396DBA"/>
    <w:rsid w:val="003F2BAE"/>
    <w:rsid w:val="004073F1"/>
    <w:rsid w:val="0042205F"/>
    <w:rsid w:val="00423806"/>
    <w:rsid w:val="00427841"/>
    <w:rsid w:val="00440F8F"/>
    <w:rsid w:val="00461EB8"/>
    <w:rsid w:val="0049061D"/>
    <w:rsid w:val="00490E16"/>
    <w:rsid w:val="004A0582"/>
    <w:rsid w:val="004A4436"/>
    <w:rsid w:val="004B0BA7"/>
    <w:rsid w:val="004B2A83"/>
    <w:rsid w:val="004D3A5B"/>
    <w:rsid w:val="004D4DE9"/>
    <w:rsid w:val="004D577F"/>
    <w:rsid w:val="004F2202"/>
    <w:rsid w:val="004F75B7"/>
    <w:rsid w:val="00532A6B"/>
    <w:rsid w:val="00533AD1"/>
    <w:rsid w:val="00553E92"/>
    <w:rsid w:val="005644E2"/>
    <w:rsid w:val="00575D43"/>
    <w:rsid w:val="00592C22"/>
    <w:rsid w:val="005C55E1"/>
    <w:rsid w:val="005D0CFB"/>
    <w:rsid w:val="005D12DE"/>
    <w:rsid w:val="005F29FF"/>
    <w:rsid w:val="006413BE"/>
    <w:rsid w:val="00645556"/>
    <w:rsid w:val="006573D1"/>
    <w:rsid w:val="00673D6E"/>
    <w:rsid w:val="006B7913"/>
    <w:rsid w:val="006C2D79"/>
    <w:rsid w:val="006C7DA6"/>
    <w:rsid w:val="006D18AD"/>
    <w:rsid w:val="006E3521"/>
    <w:rsid w:val="0073343D"/>
    <w:rsid w:val="007617C0"/>
    <w:rsid w:val="007704E6"/>
    <w:rsid w:val="0077761B"/>
    <w:rsid w:val="0078770E"/>
    <w:rsid w:val="00790EAC"/>
    <w:rsid w:val="00793B9C"/>
    <w:rsid w:val="00801DA2"/>
    <w:rsid w:val="00811299"/>
    <w:rsid w:val="00820C8D"/>
    <w:rsid w:val="00851037"/>
    <w:rsid w:val="00892260"/>
    <w:rsid w:val="008A2365"/>
    <w:rsid w:val="008A5A19"/>
    <w:rsid w:val="008D673F"/>
    <w:rsid w:val="008F02BC"/>
    <w:rsid w:val="008F68CF"/>
    <w:rsid w:val="00935CD3"/>
    <w:rsid w:val="009531F7"/>
    <w:rsid w:val="00981287"/>
    <w:rsid w:val="009919F8"/>
    <w:rsid w:val="009A17F3"/>
    <w:rsid w:val="009A6CD8"/>
    <w:rsid w:val="009B0B7B"/>
    <w:rsid w:val="009C74C5"/>
    <w:rsid w:val="009D61BA"/>
    <w:rsid w:val="009E1AD0"/>
    <w:rsid w:val="009E1D0C"/>
    <w:rsid w:val="00A220AC"/>
    <w:rsid w:val="00A25627"/>
    <w:rsid w:val="00A516D1"/>
    <w:rsid w:val="00A61F86"/>
    <w:rsid w:val="00A771C0"/>
    <w:rsid w:val="00AA1157"/>
    <w:rsid w:val="00AA25E0"/>
    <w:rsid w:val="00AA326C"/>
    <w:rsid w:val="00AA5DE2"/>
    <w:rsid w:val="00AA6A85"/>
    <w:rsid w:val="00AD4DEE"/>
    <w:rsid w:val="00AF4701"/>
    <w:rsid w:val="00AF7378"/>
    <w:rsid w:val="00B04E03"/>
    <w:rsid w:val="00B2695C"/>
    <w:rsid w:val="00B935D2"/>
    <w:rsid w:val="00B97ED8"/>
    <w:rsid w:val="00BA0579"/>
    <w:rsid w:val="00BA7779"/>
    <w:rsid w:val="00BC5ABE"/>
    <w:rsid w:val="00BF270E"/>
    <w:rsid w:val="00C10A91"/>
    <w:rsid w:val="00C1442D"/>
    <w:rsid w:val="00C26E97"/>
    <w:rsid w:val="00C32FEF"/>
    <w:rsid w:val="00C360EF"/>
    <w:rsid w:val="00C40897"/>
    <w:rsid w:val="00C777E4"/>
    <w:rsid w:val="00C84E23"/>
    <w:rsid w:val="00CE7C13"/>
    <w:rsid w:val="00CF0A8C"/>
    <w:rsid w:val="00CF5B99"/>
    <w:rsid w:val="00D062C1"/>
    <w:rsid w:val="00D116C5"/>
    <w:rsid w:val="00D129B0"/>
    <w:rsid w:val="00D5028D"/>
    <w:rsid w:val="00D55285"/>
    <w:rsid w:val="00D57BBE"/>
    <w:rsid w:val="00D65037"/>
    <w:rsid w:val="00D70384"/>
    <w:rsid w:val="00D864FF"/>
    <w:rsid w:val="00DC703F"/>
    <w:rsid w:val="00E15752"/>
    <w:rsid w:val="00E2342B"/>
    <w:rsid w:val="00E64A0B"/>
    <w:rsid w:val="00E76714"/>
    <w:rsid w:val="00E876F2"/>
    <w:rsid w:val="00E90F44"/>
    <w:rsid w:val="00EB6638"/>
    <w:rsid w:val="00EC6F93"/>
    <w:rsid w:val="00EC7C49"/>
    <w:rsid w:val="00EF03D9"/>
    <w:rsid w:val="00F04723"/>
    <w:rsid w:val="00F05820"/>
    <w:rsid w:val="00F0707C"/>
    <w:rsid w:val="00F26FBA"/>
    <w:rsid w:val="00F532B4"/>
    <w:rsid w:val="00F64F42"/>
    <w:rsid w:val="00F75EE8"/>
    <w:rsid w:val="00F77956"/>
    <w:rsid w:val="00F87755"/>
    <w:rsid w:val="00F90944"/>
    <w:rsid w:val="00FA015E"/>
    <w:rsid w:val="00FA2108"/>
    <w:rsid w:val="00FA4B6E"/>
    <w:rsid w:val="00FA7E47"/>
    <w:rsid w:val="00FC6E64"/>
    <w:rsid w:val="00FE7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BBC96225-A427-4873-9A11-17EAFF5A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981287"/>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981287"/>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A771C0"/>
  </w:style>
  <w:style w:type="paragraph" w:styleId="Header">
    <w:name w:val="header"/>
    <w:basedOn w:val="Normal"/>
    <w:link w:val="HeaderChar"/>
    <w:unhideWhenUsed/>
    <w:rsid w:val="00811299"/>
    <w:pPr>
      <w:tabs>
        <w:tab w:val="center" w:pos="4513"/>
        <w:tab w:val="right" w:pos="9026"/>
      </w:tabs>
      <w:spacing w:after="0" w:line="240" w:lineRule="auto"/>
    </w:pPr>
  </w:style>
  <w:style w:type="character" w:customStyle="1" w:styleId="HeaderChar">
    <w:name w:val="Header Char"/>
    <w:basedOn w:val="DefaultParagraphFont"/>
    <w:link w:val="Header"/>
    <w:rsid w:val="00811299"/>
  </w:style>
  <w:style w:type="paragraph" w:styleId="Footer">
    <w:name w:val="footer"/>
    <w:basedOn w:val="Normal"/>
    <w:link w:val="FooterChar"/>
    <w:uiPriority w:val="99"/>
    <w:unhideWhenUsed/>
    <w:rsid w:val="00811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299"/>
  </w:style>
  <w:style w:type="paragraph" w:styleId="ListParagraph">
    <w:name w:val="List Paragraph"/>
    <w:basedOn w:val="Normal"/>
    <w:uiPriority w:val="34"/>
    <w:qFormat/>
    <w:rsid w:val="00A220AC"/>
    <w:pPr>
      <w:ind w:left="720"/>
      <w:contextualSpacing/>
    </w:pPr>
  </w:style>
  <w:style w:type="paragraph" w:customStyle="1" w:styleId="Char">
    <w:name w:val="Char"/>
    <w:basedOn w:val="Normal"/>
    <w:rsid w:val="00F04723"/>
    <w:pPr>
      <w:spacing w:line="240" w:lineRule="exact"/>
    </w:pPr>
    <w:rPr>
      <w:rFonts w:ascii="Tahoma" w:eastAsia="Times New Roman" w:hAnsi="Tahoma" w:cs="Tahoma"/>
      <w:sz w:val="20"/>
      <w:szCs w:val="20"/>
      <w:lang w:val="en-US"/>
    </w:rPr>
  </w:style>
  <w:style w:type="character" w:customStyle="1" w:styleId="Heading2Char">
    <w:name w:val="Heading 2 Char"/>
    <w:basedOn w:val="DefaultParagraphFont"/>
    <w:link w:val="Heading2"/>
    <w:rsid w:val="0098128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981287"/>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305853">
      <w:bodyDiv w:val="1"/>
      <w:marLeft w:val="0"/>
      <w:marRight w:val="0"/>
      <w:marTop w:val="0"/>
      <w:marBottom w:val="0"/>
      <w:divBdr>
        <w:top w:val="none" w:sz="0" w:space="0" w:color="auto"/>
        <w:left w:val="none" w:sz="0" w:space="0" w:color="auto"/>
        <w:bottom w:val="none" w:sz="0" w:space="0" w:color="auto"/>
        <w:right w:val="none" w:sz="0" w:space="0" w:color="auto"/>
      </w:divBdr>
      <w:divsChild>
        <w:div w:id="575750072">
          <w:marLeft w:val="0"/>
          <w:marRight w:val="0"/>
          <w:marTop w:val="0"/>
          <w:marBottom w:val="0"/>
          <w:divBdr>
            <w:top w:val="none" w:sz="0" w:space="0" w:color="auto"/>
            <w:left w:val="none" w:sz="0" w:space="0" w:color="auto"/>
            <w:bottom w:val="none" w:sz="0" w:space="0" w:color="auto"/>
            <w:right w:val="none" w:sz="0" w:space="0" w:color="auto"/>
          </w:divBdr>
        </w:div>
      </w:divsChild>
    </w:div>
    <w:div w:id="1560245031">
      <w:bodyDiv w:val="1"/>
      <w:marLeft w:val="0"/>
      <w:marRight w:val="0"/>
      <w:marTop w:val="0"/>
      <w:marBottom w:val="0"/>
      <w:divBdr>
        <w:top w:val="none" w:sz="0" w:space="0" w:color="auto"/>
        <w:left w:val="none" w:sz="0" w:space="0" w:color="auto"/>
        <w:bottom w:val="none" w:sz="0" w:space="0" w:color="auto"/>
        <w:right w:val="none" w:sz="0" w:space="0" w:color="auto"/>
      </w:divBdr>
      <w:divsChild>
        <w:div w:id="156849791">
          <w:marLeft w:val="0"/>
          <w:marRight w:val="0"/>
          <w:marTop w:val="0"/>
          <w:marBottom w:val="0"/>
          <w:divBdr>
            <w:top w:val="none" w:sz="0" w:space="0" w:color="auto"/>
            <w:left w:val="none" w:sz="0" w:space="0" w:color="auto"/>
            <w:bottom w:val="none" w:sz="0" w:space="0" w:color="auto"/>
            <w:right w:val="none" w:sz="0" w:space="0" w:color="auto"/>
          </w:divBdr>
        </w:div>
      </w:divsChild>
    </w:div>
    <w:div w:id="1640378237">
      <w:bodyDiv w:val="1"/>
      <w:marLeft w:val="0"/>
      <w:marRight w:val="0"/>
      <w:marTop w:val="0"/>
      <w:marBottom w:val="0"/>
      <w:divBdr>
        <w:top w:val="none" w:sz="0" w:space="0" w:color="auto"/>
        <w:left w:val="none" w:sz="0" w:space="0" w:color="auto"/>
        <w:bottom w:val="none" w:sz="0" w:space="0" w:color="auto"/>
        <w:right w:val="none" w:sz="0" w:space="0" w:color="auto"/>
      </w:divBdr>
      <w:divsChild>
        <w:div w:id="1554732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5406</TotalTime>
  <Pages>10</Pages>
  <Words>4205</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Barnett</dc:creator>
  <cp:keywords/>
  <dc:description/>
  <cp:lastModifiedBy>Leonie Barnett</cp:lastModifiedBy>
  <cp:revision>96</cp:revision>
  <dcterms:created xsi:type="dcterms:W3CDTF">2018-11-20T23:12:00Z</dcterms:created>
  <dcterms:modified xsi:type="dcterms:W3CDTF">2018-11-26T19:17:00Z</dcterms:modified>
</cp:coreProperties>
</file>