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7232FD" w:rsidRDefault="000B0D91">
      <w:pPr>
        <w:pStyle w:val="Title"/>
        <w:jc w:val="left"/>
      </w:pPr>
      <w:bookmarkStart w:id="0" w:name="_heading=h.xwhdmkxubmvh" w:colFirst="0" w:colLast="0"/>
      <w:bookmarkEnd w:id="0"/>
      <w:r>
        <w:rPr>
          <w:noProof/>
          <w:lang w:val="en-US" w:eastAsia="en-US"/>
        </w:rPr>
        <w:drawing>
          <wp:inline distT="0" distB="0" distL="0" distR="0">
            <wp:extent cx="2766329" cy="1028902"/>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cstate="print"/>
                    <a:srcRect l="5090" r="3463"/>
                    <a:stretch>
                      <a:fillRect/>
                    </a:stretch>
                  </pic:blipFill>
                  <pic:spPr>
                    <a:xfrm>
                      <a:off x="0" y="0"/>
                      <a:ext cx="2766329" cy="1028902"/>
                    </a:xfrm>
                    <a:prstGeom prst="rect">
                      <a:avLst/>
                    </a:prstGeom>
                    <a:ln/>
                  </pic:spPr>
                </pic:pic>
              </a:graphicData>
            </a:graphic>
          </wp:inline>
        </w:drawing>
      </w:r>
    </w:p>
    <w:p w:rsidR="007232FD" w:rsidRDefault="007232FD">
      <w:pPr>
        <w:pStyle w:val="Title"/>
        <w:jc w:val="both"/>
      </w:pPr>
    </w:p>
    <w:p w:rsidR="007232FD" w:rsidRDefault="000B0D91">
      <w:pPr>
        <w:pStyle w:val="Title"/>
      </w:pPr>
      <w:r>
        <w:t>MASTER OF BUSINESS ADMINISTRATION</w:t>
      </w:r>
    </w:p>
    <w:p w:rsidR="007232FD" w:rsidRDefault="007232FD">
      <w:pPr>
        <w:rPr>
          <w:sz w:val="32"/>
          <w:szCs w:val="32"/>
        </w:rPr>
      </w:pPr>
    </w:p>
    <w:p w:rsidR="007232FD" w:rsidRDefault="000B0D91">
      <w:pPr>
        <w:jc w:val="center"/>
        <w:rPr>
          <w:b/>
          <w:bCs/>
          <w:sz w:val="32"/>
          <w:szCs w:val="32"/>
        </w:rPr>
      </w:pPr>
      <w:r>
        <w:rPr>
          <w:b/>
          <w:bCs/>
          <w:sz w:val="32"/>
          <w:szCs w:val="32"/>
        </w:rPr>
        <w:t>INTERNATIONAL BUSINESS CONCEPTS</w:t>
      </w:r>
    </w:p>
    <w:p w:rsidR="007232FD" w:rsidRDefault="000B0D91">
      <w:pPr>
        <w:jc w:val="center"/>
        <w:rPr>
          <w:b/>
          <w:bCs/>
          <w:sz w:val="32"/>
          <w:szCs w:val="32"/>
        </w:rPr>
      </w:pPr>
      <w:r>
        <w:rPr>
          <w:b/>
          <w:bCs/>
          <w:sz w:val="32"/>
          <w:szCs w:val="32"/>
        </w:rPr>
        <w:t>LCMB7034</w:t>
      </w:r>
    </w:p>
    <w:p w:rsidR="007232FD" w:rsidRDefault="007232FD">
      <w:pPr>
        <w:jc w:val="center"/>
        <w:rPr>
          <w:b/>
          <w:bCs/>
          <w:sz w:val="32"/>
          <w:szCs w:val="32"/>
        </w:rPr>
      </w:pPr>
    </w:p>
    <w:p w:rsidR="007232FD" w:rsidRDefault="000B0D91">
      <w:pPr>
        <w:jc w:val="center"/>
        <w:rPr>
          <w:b/>
          <w:bCs/>
          <w:sz w:val="32"/>
          <w:szCs w:val="32"/>
        </w:rPr>
      </w:pPr>
      <w:r>
        <w:rPr>
          <w:b/>
          <w:bCs/>
          <w:sz w:val="32"/>
          <w:szCs w:val="32"/>
        </w:rPr>
        <w:t>REPORT</w:t>
      </w:r>
    </w:p>
    <w:p w:rsidR="007232FD" w:rsidRDefault="000B0D91">
      <w:pPr>
        <w:jc w:val="center"/>
        <w:rPr>
          <w:b/>
          <w:bCs/>
          <w:sz w:val="32"/>
          <w:szCs w:val="32"/>
        </w:rPr>
      </w:pPr>
      <w:r>
        <w:rPr>
          <w:b/>
          <w:bCs/>
          <w:sz w:val="32"/>
          <w:szCs w:val="32"/>
        </w:rPr>
        <w:t>AN ANALYSIS OF THE UK BANKING SECTOR AND THE STRATEGIC POSITIONING OF BANCO SANTANDER</w:t>
      </w:r>
    </w:p>
    <w:p w:rsidR="007232FD" w:rsidRDefault="007232FD">
      <w:pPr>
        <w:jc w:val="center"/>
        <w:rPr>
          <w:sz w:val="32"/>
          <w:szCs w:val="32"/>
        </w:rPr>
      </w:pPr>
    </w:p>
    <w:p w:rsidR="007232FD" w:rsidRDefault="007232FD">
      <w:pPr>
        <w:jc w:val="center"/>
        <w:rPr>
          <w:sz w:val="32"/>
          <w:szCs w:val="32"/>
        </w:rPr>
      </w:pPr>
    </w:p>
    <w:p w:rsidR="007232FD" w:rsidRDefault="007232FD">
      <w:pPr>
        <w:jc w:val="center"/>
        <w:rPr>
          <w:sz w:val="32"/>
          <w:szCs w:val="32"/>
        </w:rPr>
      </w:pPr>
    </w:p>
    <w:p w:rsidR="007232FD" w:rsidRDefault="000B0D91">
      <w:pPr>
        <w:jc w:val="center"/>
      </w:pPr>
      <w:r>
        <w:rPr>
          <w:b/>
          <w:bCs/>
        </w:rPr>
        <w:t xml:space="preserve">Lecturer Name: </w:t>
      </w:r>
      <w:r w:rsidR="00C20193">
        <w:t>DR GLADIUS DAVID KULOTHUNGAN</w:t>
      </w:r>
    </w:p>
    <w:p w:rsidR="007232FD" w:rsidRDefault="007232FD">
      <w:pPr>
        <w:jc w:val="center"/>
        <w:rPr>
          <w:b/>
          <w:bCs/>
        </w:rPr>
      </w:pPr>
    </w:p>
    <w:p w:rsidR="007232FD" w:rsidRDefault="000B0D91">
      <w:pPr>
        <w:jc w:val="center"/>
        <w:rPr>
          <w:b/>
          <w:bCs/>
        </w:rPr>
      </w:pPr>
      <w:r>
        <w:rPr>
          <w:b/>
          <w:bCs/>
        </w:rPr>
        <w:t xml:space="preserve">Student Name: </w:t>
      </w:r>
      <w:r w:rsidR="00C20193">
        <w:rPr>
          <w:b/>
          <w:bCs/>
        </w:rPr>
        <w:t>PARTH JAGDISHBHAI BHINGRADIYA</w:t>
      </w:r>
    </w:p>
    <w:p w:rsidR="00C20193" w:rsidRDefault="00C20193" w:rsidP="00C20193">
      <w:pPr>
        <w:rPr>
          <w:b/>
          <w:bCs/>
        </w:rPr>
      </w:pPr>
      <w:r>
        <w:rPr>
          <w:b/>
          <w:bCs/>
        </w:rPr>
        <w:t xml:space="preserve">                     </w:t>
      </w:r>
    </w:p>
    <w:p w:rsidR="007232FD" w:rsidRDefault="00C20193" w:rsidP="00C20193">
      <w:pPr>
        <w:rPr>
          <w:b/>
          <w:bCs/>
        </w:rPr>
      </w:pPr>
      <w:r>
        <w:rPr>
          <w:b/>
          <w:bCs/>
        </w:rPr>
        <w:t xml:space="preserve">                     </w:t>
      </w:r>
      <w:r w:rsidR="000B0D91">
        <w:rPr>
          <w:b/>
          <w:bCs/>
        </w:rPr>
        <w:t xml:space="preserve">Student ID: </w:t>
      </w:r>
      <w:r>
        <w:rPr>
          <w:b/>
          <w:bCs/>
        </w:rPr>
        <w:t>2505862</w:t>
      </w:r>
    </w:p>
    <w:p w:rsidR="007232FD" w:rsidRDefault="007232FD">
      <w:pPr>
        <w:jc w:val="center"/>
        <w:rPr>
          <w:b/>
          <w:bCs/>
        </w:rPr>
      </w:pPr>
    </w:p>
    <w:p w:rsidR="007232FD" w:rsidRPr="008C2D39" w:rsidRDefault="007232FD">
      <w:pPr>
        <w:jc w:val="center"/>
        <w:rPr>
          <w:b/>
          <w:bCs/>
        </w:rPr>
      </w:pPr>
    </w:p>
    <w:p w:rsidR="007232FD" w:rsidRPr="008C2D39" w:rsidRDefault="007232FD">
      <w:pPr>
        <w:jc w:val="center"/>
        <w:rPr>
          <w:b/>
          <w:bCs/>
        </w:rPr>
      </w:pPr>
    </w:p>
    <w:p w:rsidR="007232FD" w:rsidRPr="008C2D39" w:rsidRDefault="000B0D91">
      <w:pPr>
        <w:jc w:val="center"/>
      </w:pPr>
      <w:r w:rsidRPr="008C2D39">
        <w:br w:type="page"/>
      </w:r>
    </w:p>
    <w:p w:rsidR="007232FD" w:rsidRPr="008C2D39" w:rsidRDefault="000B0D91">
      <w:pPr>
        <w:jc w:val="center"/>
        <w:rPr>
          <w:b/>
          <w:bCs/>
        </w:rPr>
      </w:pPr>
      <w:r w:rsidRPr="008C2D39">
        <w:rPr>
          <w:b/>
          <w:bCs/>
        </w:rPr>
        <w:lastRenderedPageBreak/>
        <w:t>Executive Summary</w:t>
      </w:r>
    </w:p>
    <w:p w:rsidR="007232FD" w:rsidRPr="008C2D39" w:rsidRDefault="000B0D91">
      <w:r w:rsidRPr="008C2D39">
        <w:t>This report examines the competitiveness of the UK banking industry. The UK banking sector ranks among the largest in the world, with assets worth more than £10 trillion and substantial contribution to gross domestic product, employment and global financial services. The industry can be described as having great infrastructure, high-level digitalisation and highly skilled labour force that all contribute to its competitiveness on the international level. Based on the Porters Diamond Model, the analysis finds favourable conditions of factors, advanced consumer demand, and a robust fintech ecosystem as two important contributors to competitiveness. Nevertheless, the challenge is still fierce competition, regulatory complexity and external unpredictability like Brexit. The high rate of digital adoption and innovation in the sector has continued to transform the traditional banking models and become even more competitive.</w:t>
      </w:r>
    </w:p>
    <w:p w:rsidR="007232FD" w:rsidRPr="008C2D39" w:rsidRDefault="000B0D91">
      <w:r w:rsidRPr="008C2D39">
        <w:t xml:space="preserve">The report also </w:t>
      </w:r>
      <w:r w:rsidR="00B034C1" w:rsidRPr="008C2D39">
        <w:t>analyses</w:t>
      </w:r>
      <w:r w:rsidRPr="008C2D39">
        <w:t xml:space="preserve"> operations and assesses how Banco Santander is strategically positioned in the industry using PESTLE framework. Santander has managed to position itself due to the entry strategy based on acquisition and a great focus on localisation and digital transformation. Although the UK market has great growth prospects, Santander is confronted with regulatory compliance, economic fluctuations, and technological disruption issues. All in all, the UK has continued to be a good market to multinational banks. The success of Santander over the long term will rely on its capability to capitalize on the digital innovation, effectively handle risks, and ensure good customer relationships in the ever-competitive world.</w:t>
      </w:r>
      <w:r w:rsidRPr="008C2D39">
        <w:br w:type="page"/>
      </w:r>
    </w:p>
    <w:p w:rsidR="007232FD" w:rsidRPr="008C2D39" w:rsidRDefault="000B0D91">
      <w:pPr>
        <w:keepNext/>
        <w:keepLines/>
        <w:pBdr>
          <w:top w:val="nil"/>
          <w:left w:val="nil"/>
          <w:bottom w:val="nil"/>
          <w:right w:val="nil"/>
          <w:between w:val="nil"/>
        </w:pBdr>
        <w:jc w:val="center"/>
        <w:rPr>
          <w:b/>
          <w:bCs/>
        </w:rPr>
      </w:pPr>
      <w:r w:rsidRPr="008C2D39">
        <w:rPr>
          <w:b/>
          <w:bCs/>
        </w:rPr>
        <w:lastRenderedPageBreak/>
        <w:t>Table of Contents</w:t>
      </w:r>
    </w:p>
    <w:p w:rsidR="007232FD" w:rsidRPr="008C2D39" w:rsidRDefault="007232FD"/>
    <w:sdt>
      <w:sdtPr>
        <w:id w:val="960087790"/>
        <w:docPartObj>
          <w:docPartGallery w:val="Table of Contents"/>
          <w:docPartUnique/>
        </w:docPartObj>
      </w:sdtPr>
      <w:sdtContent>
        <w:p w:rsidR="00D67CE4" w:rsidRPr="008C2D39" w:rsidRDefault="00E11836" w:rsidP="00D67CE4">
          <w:pPr>
            <w:pStyle w:val="TOC1"/>
            <w:tabs>
              <w:tab w:val="right" w:leader="dot" w:pos="9016"/>
            </w:tabs>
            <w:rPr>
              <w:noProof/>
            </w:rPr>
          </w:pPr>
          <w:r w:rsidRPr="008C2D39">
            <w:fldChar w:fldCharType="begin"/>
          </w:r>
          <w:r w:rsidR="000B0D91" w:rsidRPr="008C2D39">
            <w:instrText xml:space="preserve"> TOC \h \u \z \t "Heading 1,1,Heading 2,2,Heading 3,3,"</w:instrText>
          </w:r>
          <w:r w:rsidRPr="008C2D39">
            <w:fldChar w:fldCharType="separate"/>
          </w:r>
          <w:hyperlink w:anchor="_Toc227932164" w:history="1">
            <w:r w:rsidR="00D67CE4" w:rsidRPr="008C2D39">
              <w:rPr>
                <w:rStyle w:val="Hyperlink"/>
                <w:noProof/>
                <w:color w:val="auto"/>
              </w:rPr>
              <w:t>Section 1: Industry Report</w:t>
            </w:r>
            <w:r w:rsidR="00D67CE4" w:rsidRPr="008C2D39">
              <w:rPr>
                <w:noProof/>
                <w:webHidden/>
              </w:rPr>
              <w:tab/>
            </w:r>
            <w:r w:rsidRPr="008C2D39">
              <w:rPr>
                <w:noProof/>
                <w:webHidden/>
              </w:rPr>
              <w:fldChar w:fldCharType="begin"/>
            </w:r>
            <w:r w:rsidR="00D67CE4" w:rsidRPr="008C2D39">
              <w:rPr>
                <w:noProof/>
                <w:webHidden/>
              </w:rPr>
              <w:instrText xml:space="preserve"> PAGEREF _Toc227932164 \h </w:instrText>
            </w:r>
            <w:r w:rsidRPr="008C2D39">
              <w:rPr>
                <w:noProof/>
                <w:webHidden/>
              </w:rPr>
            </w:r>
            <w:r w:rsidRPr="008C2D39">
              <w:rPr>
                <w:noProof/>
                <w:webHidden/>
              </w:rPr>
              <w:fldChar w:fldCharType="separate"/>
            </w:r>
            <w:r w:rsidR="00D67CE4" w:rsidRPr="008C2D39">
              <w:rPr>
                <w:noProof/>
                <w:webHidden/>
              </w:rPr>
              <w:t>5</w:t>
            </w:r>
            <w:r w:rsidRPr="008C2D39">
              <w:rPr>
                <w:noProof/>
                <w:webHidden/>
              </w:rPr>
              <w:fldChar w:fldCharType="end"/>
            </w:r>
          </w:hyperlink>
        </w:p>
        <w:p w:rsidR="00D67CE4" w:rsidRPr="008C2D39" w:rsidRDefault="00E11836" w:rsidP="00D67CE4">
          <w:pPr>
            <w:pStyle w:val="TOC2"/>
            <w:tabs>
              <w:tab w:val="right" w:leader="dot" w:pos="9016"/>
            </w:tabs>
            <w:rPr>
              <w:noProof/>
            </w:rPr>
          </w:pPr>
          <w:hyperlink w:anchor="_Toc227932165" w:history="1">
            <w:r w:rsidR="00D67CE4" w:rsidRPr="008C2D39">
              <w:rPr>
                <w:rStyle w:val="Hyperlink"/>
                <w:noProof/>
                <w:color w:val="auto"/>
              </w:rPr>
              <w:t>1. Introduction</w:t>
            </w:r>
            <w:r w:rsidR="00D67CE4" w:rsidRPr="008C2D39">
              <w:rPr>
                <w:noProof/>
                <w:webHidden/>
              </w:rPr>
              <w:tab/>
            </w:r>
            <w:r w:rsidRPr="008C2D39">
              <w:rPr>
                <w:noProof/>
                <w:webHidden/>
              </w:rPr>
              <w:fldChar w:fldCharType="begin"/>
            </w:r>
            <w:r w:rsidR="00D67CE4" w:rsidRPr="008C2D39">
              <w:rPr>
                <w:noProof/>
                <w:webHidden/>
              </w:rPr>
              <w:instrText xml:space="preserve"> PAGEREF _Toc227932165 \h </w:instrText>
            </w:r>
            <w:r w:rsidRPr="008C2D39">
              <w:rPr>
                <w:noProof/>
                <w:webHidden/>
              </w:rPr>
            </w:r>
            <w:r w:rsidRPr="008C2D39">
              <w:rPr>
                <w:noProof/>
                <w:webHidden/>
              </w:rPr>
              <w:fldChar w:fldCharType="separate"/>
            </w:r>
            <w:r w:rsidR="00D67CE4" w:rsidRPr="008C2D39">
              <w:rPr>
                <w:noProof/>
                <w:webHidden/>
              </w:rPr>
              <w:t>5</w:t>
            </w:r>
            <w:r w:rsidRPr="008C2D39">
              <w:rPr>
                <w:noProof/>
                <w:webHidden/>
              </w:rPr>
              <w:fldChar w:fldCharType="end"/>
            </w:r>
          </w:hyperlink>
        </w:p>
        <w:p w:rsidR="00D67CE4" w:rsidRPr="008C2D39" w:rsidRDefault="00E11836" w:rsidP="00D67CE4">
          <w:pPr>
            <w:pStyle w:val="TOC2"/>
            <w:tabs>
              <w:tab w:val="right" w:leader="dot" w:pos="9016"/>
            </w:tabs>
            <w:rPr>
              <w:noProof/>
            </w:rPr>
          </w:pPr>
          <w:hyperlink w:anchor="_Toc227932166" w:history="1">
            <w:r w:rsidR="00D67CE4" w:rsidRPr="008C2D39">
              <w:rPr>
                <w:rStyle w:val="Hyperlink"/>
                <w:noProof/>
                <w:color w:val="auto"/>
              </w:rPr>
              <w:t>2. Industry &amp; Country Overview</w:t>
            </w:r>
            <w:r w:rsidR="00D67CE4" w:rsidRPr="008C2D39">
              <w:rPr>
                <w:noProof/>
                <w:webHidden/>
              </w:rPr>
              <w:tab/>
            </w:r>
            <w:r w:rsidRPr="008C2D39">
              <w:rPr>
                <w:noProof/>
                <w:webHidden/>
              </w:rPr>
              <w:fldChar w:fldCharType="begin"/>
            </w:r>
            <w:r w:rsidR="00D67CE4" w:rsidRPr="008C2D39">
              <w:rPr>
                <w:noProof/>
                <w:webHidden/>
              </w:rPr>
              <w:instrText xml:space="preserve"> PAGEREF _Toc227932166 \h </w:instrText>
            </w:r>
            <w:r w:rsidRPr="008C2D39">
              <w:rPr>
                <w:noProof/>
                <w:webHidden/>
              </w:rPr>
            </w:r>
            <w:r w:rsidRPr="008C2D39">
              <w:rPr>
                <w:noProof/>
                <w:webHidden/>
              </w:rPr>
              <w:fldChar w:fldCharType="separate"/>
            </w:r>
            <w:r w:rsidR="00D67CE4" w:rsidRPr="008C2D39">
              <w:rPr>
                <w:noProof/>
                <w:webHidden/>
              </w:rPr>
              <w:t>5</w:t>
            </w:r>
            <w:r w:rsidRPr="008C2D39">
              <w:rPr>
                <w:noProof/>
                <w:webHidden/>
              </w:rPr>
              <w:fldChar w:fldCharType="end"/>
            </w:r>
          </w:hyperlink>
        </w:p>
        <w:p w:rsidR="00D67CE4" w:rsidRPr="008C2D39" w:rsidRDefault="00E11836" w:rsidP="00D67CE4">
          <w:pPr>
            <w:pStyle w:val="TOC3"/>
            <w:tabs>
              <w:tab w:val="right" w:leader="dot" w:pos="9016"/>
            </w:tabs>
            <w:rPr>
              <w:noProof/>
            </w:rPr>
          </w:pPr>
          <w:hyperlink w:anchor="_Toc227932167" w:history="1">
            <w:r w:rsidR="00D67CE4" w:rsidRPr="008C2D39">
              <w:rPr>
                <w:rStyle w:val="Hyperlink"/>
                <w:noProof/>
                <w:color w:val="auto"/>
              </w:rPr>
              <w:t>2.1 Overview of the UK Banking Sector</w:t>
            </w:r>
            <w:r w:rsidR="00D67CE4" w:rsidRPr="008C2D39">
              <w:rPr>
                <w:noProof/>
                <w:webHidden/>
              </w:rPr>
              <w:tab/>
            </w:r>
            <w:r w:rsidRPr="008C2D39">
              <w:rPr>
                <w:noProof/>
                <w:webHidden/>
              </w:rPr>
              <w:fldChar w:fldCharType="begin"/>
            </w:r>
            <w:r w:rsidR="00D67CE4" w:rsidRPr="008C2D39">
              <w:rPr>
                <w:noProof/>
                <w:webHidden/>
              </w:rPr>
              <w:instrText xml:space="preserve"> PAGEREF _Toc227932167 \h </w:instrText>
            </w:r>
            <w:r w:rsidRPr="008C2D39">
              <w:rPr>
                <w:noProof/>
                <w:webHidden/>
              </w:rPr>
            </w:r>
            <w:r w:rsidRPr="008C2D39">
              <w:rPr>
                <w:noProof/>
                <w:webHidden/>
              </w:rPr>
              <w:fldChar w:fldCharType="separate"/>
            </w:r>
            <w:r w:rsidR="00D67CE4" w:rsidRPr="008C2D39">
              <w:rPr>
                <w:noProof/>
                <w:webHidden/>
              </w:rPr>
              <w:t>5</w:t>
            </w:r>
            <w:r w:rsidRPr="008C2D39">
              <w:rPr>
                <w:noProof/>
                <w:webHidden/>
              </w:rPr>
              <w:fldChar w:fldCharType="end"/>
            </w:r>
          </w:hyperlink>
        </w:p>
        <w:p w:rsidR="00D67CE4" w:rsidRPr="008C2D39" w:rsidRDefault="00E11836" w:rsidP="00D67CE4">
          <w:pPr>
            <w:pStyle w:val="TOC3"/>
            <w:tabs>
              <w:tab w:val="right" w:leader="dot" w:pos="9016"/>
            </w:tabs>
            <w:rPr>
              <w:noProof/>
            </w:rPr>
          </w:pPr>
          <w:hyperlink w:anchor="_Toc227932168" w:history="1">
            <w:r w:rsidR="00D67CE4" w:rsidRPr="008C2D39">
              <w:rPr>
                <w:rStyle w:val="Hyperlink"/>
                <w:noProof/>
                <w:color w:val="auto"/>
              </w:rPr>
              <w:t>2.2 Economic Importance</w:t>
            </w:r>
            <w:r w:rsidR="00D67CE4" w:rsidRPr="008C2D39">
              <w:rPr>
                <w:noProof/>
                <w:webHidden/>
              </w:rPr>
              <w:tab/>
            </w:r>
            <w:r w:rsidRPr="008C2D39">
              <w:rPr>
                <w:noProof/>
                <w:webHidden/>
              </w:rPr>
              <w:fldChar w:fldCharType="begin"/>
            </w:r>
            <w:r w:rsidR="00D67CE4" w:rsidRPr="008C2D39">
              <w:rPr>
                <w:noProof/>
                <w:webHidden/>
              </w:rPr>
              <w:instrText xml:space="preserve"> PAGEREF _Toc227932168 \h </w:instrText>
            </w:r>
            <w:r w:rsidRPr="008C2D39">
              <w:rPr>
                <w:noProof/>
                <w:webHidden/>
              </w:rPr>
            </w:r>
            <w:r w:rsidRPr="008C2D39">
              <w:rPr>
                <w:noProof/>
                <w:webHidden/>
              </w:rPr>
              <w:fldChar w:fldCharType="separate"/>
            </w:r>
            <w:r w:rsidR="00D67CE4" w:rsidRPr="008C2D39">
              <w:rPr>
                <w:noProof/>
                <w:webHidden/>
              </w:rPr>
              <w:t>6</w:t>
            </w:r>
            <w:r w:rsidRPr="008C2D39">
              <w:rPr>
                <w:noProof/>
                <w:webHidden/>
              </w:rPr>
              <w:fldChar w:fldCharType="end"/>
            </w:r>
          </w:hyperlink>
        </w:p>
        <w:p w:rsidR="00D67CE4" w:rsidRPr="008C2D39" w:rsidRDefault="00E11836" w:rsidP="00D67CE4">
          <w:pPr>
            <w:pStyle w:val="TOC3"/>
            <w:tabs>
              <w:tab w:val="right" w:leader="dot" w:pos="9016"/>
            </w:tabs>
            <w:rPr>
              <w:noProof/>
            </w:rPr>
          </w:pPr>
          <w:hyperlink w:anchor="_Toc227932169" w:history="1">
            <w:r w:rsidR="00D67CE4" w:rsidRPr="008C2D39">
              <w:rPr>
                <w:rStyle w:val="Hyperlink"/>
                <w:noProof/>
                <w:color w:val="auto"/>
              </w:rPr>
              <w:t>2.3 Key Players in the Industry</w:t>
            </w:r>
            <w:r w:rsidR="00D67CE4" w:rsidRPr="008C2D39">
              <w:rPr>
                <w:noProof/>
                <w:webHidden/>
              </w:rPr>
              <w:tab/>
            </w:r>
            <w:r w:rsidRPr="008C2D39">
              <w:rPr>
                <w:noProof/>
                <w:webHidden/>
              </w:rPr>
              <w:fldChar w:fldCharType="begin"/>
            </w:r>
            <w:r w:rsidR="00D67CE4" w:rsidRPr="008C2D39">
              <w:rPr>
                <w:noProof/>
                <w:webHidden/>
              </w:rPr>
              <w:instrText xml:space="preserve"> PAGEREF _Toc227932169 \h </w:instrText>
            </w:r>
            <w:r w:rsidRPr="008C2D39">
              <w:rPr>
                <w:noProof/>
                <w:webHidden/>
              </w:rPr>
            </w:r>
            <w:r w:rsidRPr="008C2D39">
              <w:rPr>
                <w:noProof/>
                <w:webHidden/>
              </w:rPr>
              <w:fldChar w:fldCharType="separate"/>
            </w:r>
            <w:r w:rsidR="00D67CE4" w:rsidRPr="008C2D39">
              <w:rPr>
                <w:noProof/>
                <w:webHidden/>
              </w:rPr>
              <w:t>6</w:t>
            </w:r>
            <w:r w:rsidRPr="008C2D39">
              <w:rPr>
                <w:noProof/>
                <w:webHidden/>
              </w:rPr>
              <w:fldChar w:fldCharType="end"/>
            </w:r>
          </w:hyperlink>
        </w:p>
        <w:p w:rsidR="00D67CE4" w:rsidRPr="008C2D39" w:rsidRDefault="00E11836" w:rsidP="00D67CE4">
          <w:pPr>
            <w:pStyle w:val="TOC3"/>
            <w:tabs>
              <w:tab w:val="right" w:leader="dot" w:pos="9016"/>
            </w:tabs>
            <w:rPr>
              <w:noProof/>
            </w:rPr>
          </w:pPr>
          <w:hyperlink w:anchor="_Toc227932170" w:history="1">
            <w:r w:rsidR="00D67CE4" w:rsidRPr="008C2D39">
              <w:rPr>
                <w:rStyle w:val="Hyperlink"/>
                <w:noProof/>
                <w:color w:val="auto"/>
              </w:rPr>
              <w:t>2.4 Competitive Positioning</w:t>
            </w:r>
            <w:r w:rsidR="00D67CE4" w:rsidRPr="008C2D39">
              <w:rPr>
                <w:noProof/>
                <w:webHidden/>
              </w:rPr>
              <w:tab/>
            </w:r>
            <w:r w:rsidRPr="008C2D39">
              <w:rPr>
                <w:noProof/>
                <w:webHidden/>
              </w:rPr>
              <w:fldChar w:fldCharType="begin"/>
            </w:r>
            <w:r w:rsidR="00D67CE4" w:rsidRPr="008C2D39">
              <w:rPr>
                <w:noProof/>
                <w:webHidden/>
              </w:rPr>
              <w:instrText xml:space="preserve"> PAGEREF _Toc227932170 \h </w:instrText>
            </w:r>
            <w:r w:rsidRPr="008C2D39">
              <w:rPr>
                <w:noProof/>
                <w:webHidden/>
              </w:rPr>
            </w:r>
            <w:r w:rsidRPr="008C2D39">
              <w:rPr>
                <w:noProof/>
                <w:webHidden/>
              </w:rPr>
              <w:fldChar w:fldCharType="separate"/>
            </w:r>
            <w:r w:rsidR="00D67CE4" w:rsidRPr="008C2D39">
              <w:rPr>
                <w:noProof/>
                <w:webHidden/>
              </w:rPr>
              <w:t>9</w:t>
            </w:r>
            <w:r w:rsidRPr="008C2D39">
              <w:rPr>
                <w:noProof/>
                <w:webHidden/>
              </w:rPr>
              <w:fldChar w:fldCharType="end"/>
            </w:r>
          </w:hyperlink>
        </w:p>
        <w:p w:rsidR="00D67CE4" w:rsidRPr="008C2D39" w:rsidRDefault="00E11836" w:rsidP="00D67CE4">
          <w:pPr>
            <w:pStyle w:val="TOC2"/>
            <w:tabs>
              <w:tab w:val="right" w:leader="dot" w:pos="9016"/>
            </w:tabs>
            <w:rPr>
              <w:noProof/>
            </w:rPr>
          </w:pPr>
          <w:hyperlink w:anchor="_Toc227932171" w:history="1">
            <w:r w:rsidR="00D67CE4" w:rsidRPr="008C2D39">
              <w:rPr>
                <w:rStyle w:val="Hyperlink"/>
                <w:noProof/>
                <w:color w:val="auto"/>
              </w:rPr>
              <w:t>3. Porter’s Diamond Model Analysis</w:t>
            </w:r>
            <w:r w:rsidR="00D67CE4" w:rsidRPr="008C2D39">
              <w:rPr>
                <w:noProof/>
                <w:webHidden/>
              </w:rPr>
              <w:tab/>
            </w:r>
            <w:r w:rsidRPr="008C2D39">
              <w:rPr>
                <w:noProof/>
                <w:webHidden/>
              </w:rPr>
              <w:fldChar w:fldCharType="begin"/>
            </w:r>
            <w:r w:rsidR="00D67CE4" w:rsidRPr="008C2D39">
              <w:rPr>
                <w:noProof/>
                <w:webHidden/>
              </w:rPr>
              <w:instrText xml:space="preserve"> PAGEREF _Toc227932171 \h </w:instrText>
            </w:r>
            <w:r w:rsidRPr="008C2D39">
              <w:rPr>
                <w:noProof/>
                <w:webHidden/>
              </w:rPr>
            </w:r>
            <w:r w:rsidRPr="008C2D39">
              <w:rPr>
                <w:noProof/>
                <w:webHidden/>
              </w:rPr>
              <w:fldChar w:fldCharType="separate"/>
            </w:r>
            <w:r w:rsidR="00D67CE4" w:rsidRPr="008C2D39">
              <w:rPr>
                <w:noProof/>
                <w:webHidden/>
              </w:rPr>
              <w:t>10</w:t>
            </w:r>
            <w:r w:rsidRPr="008C2D39">
              <w:rPr>
                <w:noProof/>
                <w:webHidden/>
              </w:rPr>
              <w:fldChar w:fldCharType="end"/>
            </w:r>
          </w:hyperlink>
        </w:p>
        <w:p w:rsidR="00D67CE4" w:rsidRPr="008C2D39" w:rsidRDefault="00E11836" w:rsidP="00D67CE4">
          <w:pPr>
            <w:pStyle w:val="TOC3"/>
            <w:tabs>
              <w:tab w:val="right" w:leader="dot" w:pos="9016"/>
            </w:tabs>
            <w:rPr>
              <w:noProof/>
            </w:rPr>
          </w:pPr>
          <w:hyperlink w:anchor="_Toc227932172" w:history="1">
            <w:r w:rsidR="00D67CE4" w:rsidRPr="008C2D39">
              <w:rPr>
                <w:rStyle w:val="Hyperlink"/>
                <w:noProof/>
                <w:color w:val="auto"/>
              </w:rPr>
              <w:t>3.1 Factor Conditions</w:t>
            </w:r>
            <w:r w:rsidR="00D67CE4" w:rsidRPr="008C2D39">
              <w:rPr>
                <w:noProof/>
                <w:webHidden/>
              </w:rPr>
              <w:tab/>
            </w:r>
            <w:r w:rsidRPr="008C2D39">
              <w:rPr>
                <w:noProof/>
                <w:webHidden/>
              </w:rPr>
              <w:fldChar w:fldCharType="begin"/>
            </w:r>
            <w:r w:rsidR="00D67CE4" w:rsidRPr="008C2D39">
              <w:rPr>
                <w:noProof/>
                <w:webHidden/>
              </w:rPr>
              <w:instrText xml:space="preserve"> PAGEREF _Toc227932172 \h </w:instrText>
            </w:r>
            <w:r w:rsidRPr="008C2D39">
              <w:rPr>
                <w:noProof/>
                <w:webHidden/>
              </w:rPr>
            </w:r>
            <w:r w:rsidRPr="008C2D39">
              <w:rPr>
                <w:noProof/>
                <w:webHidden/>
              </w:rPr>
              <w:fldChar w:fldCharType="separate"/>
            </w:r>
            <w:r w:rsidR="00D67CE4" w:rsidRPr="008C2D39">
              <w:rPr>
                <w:noProof/>
                <w:webHidden/>
              </w:rPr>
              <w:t>10</w:t>
            </w:r>
            <w:r w:rsidRPr="008C2D39">
              <w:rPr>
                <w:noProof/>
                <w:webHidden/>
              </w:rPr>
              <w:fldChar w:fldCharType="end"/>
            </w:r>
          </w:hyperlink>
        </w:p>
        <w:p w:rsidR="00D67CE4" w:rsidRPr="008C2D39" w:rsidRDefault="00E11836" w:rsidP="00D67CE4">
          <w:pPr>
            <w:pStyle w:val="TOC3"/>
            <w:tabs>
              <w:tab w:val="right" w:leader="dot" w:pos="9016"/>
            </w:tabs>
            <w:rPr>
              <w:noProof/>
            </w:rPr>
          </w:pPr>
          <w:hyperlink w:anchor="_Toc227932173" w:history="1">
            <w:r w:rsidR="00D67CE4" w:rsidRPr="008C2D39">
              <w:rPr>
                <w:rStyle w:val="Hyperlink"/>
                <w:noProof/>
                <w:color w:val="auto"/>
              </w:rPr>
              <w:t>3.2 Demand Conditions</w:t>
            </w:r>
            <w:r w:rsidR="00D67CE4" w:rsidRPr="008C2D39">
              <w:rPr>
                <w:noProof/>
                <w:webHidden/>
              </w:rPr>
              <w:tab/>
            </w:r>
            <w:r w:rsidRPr="008C2D39">
              <w:rPr>
                <w:noProof/>
                <w:webHidden/>
              </w:rPr>
              <w:fldChar w:fldCharType="begin"/>
            </w:r>
            <w:r w:rsidR="00D67CE4" w:rsidRPr="008C2D39">
              <w:rPr>
                <w:noProof/>
                <w:webHidden/>
              </w:rPr>
              <w:instrText xml:space="preserve"> PAGEREF _Toc227932173 \h </w:instrText>
            </w:r>
            <w:r w:rsidRPr="008C2D39">
              <w:rPr>
                <w:noProof/>
                <w:webHidden/>
              </w:rPr>
            </w:r>
            <w:r w:rsidRPr="008C2D39">
              <w:rPr>
                <w:noProof/>
                <w:webHidden/>
              </w:rPr>
              <w:fldChar w:fldCharType="separate"/>
            </w:r>
            <w:r w:rsidR="00D67CE4" w:rsidRPr="008C2D39">
              <w:rPr>
                <w:noProof/>
                <w:webHidden/>
              </w:rPr>
              <w:t>10</w:t>
            </w:r>
            <w:r w:rsidRPr="008C2D39">
              <w:rPr>
                <w:noProof/>
                <w:webHidden/>
              </w:rPr>
              <w:fldChar w:fldCharType="end"/>
            </w:r>
          </w:hyperlink>
        </w:p>
        <w:p w:rsidR="00D67CE4" w:rsidRPr="008C2D39" w:rsidRDefault="00E11836" w:rsidP="00D67CE4">
          <w:pPr>
            <w:pStyle w:val="TOC3"/>
            <w:tabs>
              <w:tab w:val="right" w:leader="dot" w:pos="9016"/>
            </w:tabs>
            <w:rPr>
              <w:noProof/>
            </w:rPr>
          </w:pPr>
          <w:hyperlink w:anchor="_Toc227932174" w:history="1">
            <w:r w:rsidR="00D67CE4" w:rsidRPr="008C2D39">
              <w:rPr>
                <w:rStyle w:val="Hyperlink"/>
                <w:noProof/>
                <w:color w:val="auto"/>
              </w:rPr>
              <w:t>3.3 Related &amp; Supporting Industries</w:t>
            </w:r>
            <w:r w:rsidR="00D67CE4" w:rsidRPr="008C2D39">
              <w:rPr>
                <w:noProof/>
                <w:webHidden/>
              </w:rPr>
              <w:tab/>
            </w:r>
            <w:r w:rsidRPr="008C2D39">
              <w:rPr>
                <w:noProof/>
                <w:webHidden/>
              </w:rPr>
              <w:fldChar w:fldCharType="begin"/>
            </w:r>
            <w:r w:rsidR="00D67CE4" w:rsidRPr="008C2D39">
              <w:rPr>
                <w:noProof/>
                <w:webHidden/>
              </w:rPr>
              <w:instrText xml:space="preserve"> PAGEREF _Toc227932174 \h </w:instrText>
            </w:r>
            <w:r w:rsidRPr="008C2D39">
              <w:rPr>
                <w:noProof/>
                <w:webHidden/>
              </w:rPr>
            </w:r>
            <w:r w:rsidRPr="008C2D39">
              <w:rPr>
                <w:noProof/>
                <w:webHidden/>
              </w:rPr>
              <w:fldChar w:fldCharType="separate"/>
            </w:r>
            <w:r w:rsidR="00D67CE4" w:rsidRPr="008C2D39">
              <w:rPr>
                <w:noProof/>
                <w:webHidden/>
              </w:rPr>
              <w:t>11</w:t>
            </w:r>
            <w:r w:rsidRPr="008C2D39">
              <w:rPr>
                <w:noProof/>
                <w:webHidden/>
              </w:rPr>
              <w:fldChar w:fldCharType="end"/>
            </w:r>
          </w:hyperlink>
        </w:p>
        <w:p w:rsidR="00D67CE4" w:rsidRPr="008C2D39" w:rsidRDefault="00E11836" w:rsidP="00D67CE4">
          <w:pPr>
            <w:pStyle w:val="TOC3"/>
            <w:tabs>
              <w:tab w:val="right" w:leader="dot" w:pos="9016"/>
            </w:tabs>
            <w:rPr>
              <w:noProof/>
            </w:rPr>
          </w:pPr>
          <w:hyperlink w:anchor="_Toc227932175" w:history="1">
            <w:r w:rsidR="00D67CE4" w:rsidRPr="008C2D39">
              <w:rPr>
                <w:rStyle w:val="Hyperlink"/>
                <w:noProof/>
                <w:color w:val="auto"/>
              </w:rPr>
              <w:t>3.4 Firm Strategy, Structure &amp; Rivalry</w:t>
            </w:r>
            <w:r w:rsidR="00D67CE4" w:rsidRPr="008C2D39">
              <w:rPr>
                <w:noProof/>
                <w:webHidden/>
              </w:rPr>
              <w:tab/>
            </w:r>
            <w:r w:rsidRPr="008C2D39">
              <w:rPr>
                <w:noProof/>
                <w:webHidden/>
              </w:rPr>
              <w:fldChar w:fldCharType="begin"/>
            </w:r>
            <w:r w:rsidR="00D67CE4" w:rsidRPr="008C2D39">
              <w:rPr>
                <w:noProof/>
                <w:webHidden/>
              </w:rPr>
              <w:instrText xml:space="preserve"> PAGEREF _Toc227932175 \h </w:instrText>
            </w:r>
            <w:r w:rsidRPr="008C2D39">
              <w:rPr>
                <w:noProof/>
                <w:webHidden/>
              </w:rPr>
            </w:r>
            <w:r w:rsidRPr="008C2D39">
              <w:rPr>
                <w:noProof/>
                <w:webHidden/>
              </w:rPr>
              <w:fldChar w:fldCharType="separate"/>
            </w:r>
            <w:r w:rsidR="00D67CE4" w:rsidRPr="008C2D39">
              <w:rPr>
                <w:noProof/>
                <w:webHidden/>
              </w:rPr>
              <w:t>11</w:t>
            </w:r>
            <w:r w:rsidRPr="008C2D39">
              <w:rPr>
                <w:noProof/>
                <w:webHidden/>
              </w:rPr>
              <w:fldChar w:fldCharType="end"/>
            </w:r>
          </w:hyperlink>
        </w:p>
        <w:p w:rsidR="00D67CE4" w:rsidRPr="008C2D39" w:rsidRDefault="00E11836" w:rsidP="00D67CE4">
          <w:pPr>
            <w:pStyle w:val="TOC3"/>
            <w:tabs>
              <w:tab w:val="right" w:leader="dot" w:pos="9016"/>
            </w:tabs>
            <w:rPr>
              <w:noProof/>
            </w:rPr>
          </w:pPr>
          <w:hyperlink w:anchor="_Toc227932176" w:history="1">
            <w:r w:rsidR="00D67CE4" w:rsidRPr="008C2D39">
              <w:rPr>
                <w:rStyle w:val="Hyperlink"/>
                <w:noProof/>
                <w:color w:val="auto"/>
              </w:rPr>
              <w:t>3.5 Government Role</w:t>
            </w:r>
            <w:r w:rsidR="00D67CE4" w:rsidRPr="008C2D39">
              <w:rPr>
                <w:noProof/>
                <w:webHidden/>
              </w:rPr>
              <w:tab/>
            </w:r>
            <w:r w:rsidRPr="008C2D39">
              <w:rPr>
                <w:noProof/>
                <w:webHidden/>
              </w:rPr>
              <w:fldChar w:fldCharType="begin"/>
            </w:r>
            <w:r w:rsidR="00D67CE4" w:rsidRPr="008C2D39">
              <w:rPr>
                <w:noProof/>
                <w:webHidden/>
              </w:rPr>
              <w:instrText xml:space="preserve"> PAGEREF _Toc227932176 \h </w:instrText>
            </w:r>
            <w:r w:rsidRPr="008C2D39">
              <w:rPr>
                <w:noProof/>
                <w:webHidden/>
              </w:rPr>
            </w:r>
            <w:r w:rsidRPr="008C2D39">
              <w:rPr>
                <w:noProof/>
                <w:webHidden/>
              </w:rPr>
              <w:fldChar w:fldCharType="separate"/>
            </w:r>
            <w:r w:rsidR="00D67CE4" w:rsidRPr="008C2D39">
              <w:rPr>
                <w:noProof/>
                <w:webHidden/>
              </w:rPr>
              <w:t>11</w:t>
            </w:r>
            <w:r w:rsidRPr="008C2D39">
              <w:rPr>
                <w:noProof/>
                <w:webHidden/>
              </w:rPr>
              <w:fldChar w:fldCharType="end"/>
            </w:r>
          </w:hyperlink>
        </w:p>
        <w:p w:rsidR="00D67CE4" w:rsidRPr="008C2D39" w:rsidRDefault="00E11836" w:rsidP="00D67CE4">
          <w:pPr>
            <w:pStyle w:val="TOC3"/>
            <w:tabs>
              <w:tab w:val="right" w:leader="dot" w:pos="9016"/>
            </w:tabs>
            <w:rPr>
              <w:noProof/>
            </w:rPr>
          </w:pPr>
          <w:hyperlink w:anchor="_Toc227932177" w:history="1">
            <w:r w:rsidR="00D67CE4" w:rsidRPr="008C2D39">
              <w:rPr>
                <w:rStyle w:val="Hyperlink"/>
                <w:noProof/>
                <w:color w:val="auto"/>
              </w:rPr>
              <w:t>3.6 Chance</w:t>
            </w:r>
            <w:r w:rsidR="00D67CE4" w:rsidRPr="008C2D39">
              <w:rPr>
                <w:noProof/>
                <w:webHidden/>
              </w:rPr>
              <w:tab/>
            </w:r>
            <w:r w:rsidRPr="008C2D39">
              <w:rPr>
                <w:noProof/>
                <w:webHidden/>
              </w:rPr>
              <w:fldChar w:fldCharType="begin"/>
            </w:r>
            <w:r w:rsidR="00D67CE4" w:rsidRPr="008C2D39">
              <w:rPr>
                <w:noProof/>
                <w:webHidden/>
              </w:rPr>
              <w:instrText xml:space="preserve"> PAGEREF _Toc227932177 \h </w:instrText>
            </w:r>
            <w:r w:rsidRPr="008C2D39">
              <w:rPr>
                <w:noProof/>
                <w:webHidden/>
              </w:rPr>
            </w:r>
            <w:r w:rsidRPr="008C2D39">
              <w:rPr>
                <w:noProof/>
                <w:webHidden/>
              </w:rPr>
              <w:fldChar w:fldCharType="separate"/>
            </w:r>
            <w:r w:rsidR="00D67CE4" w:rsidRPr="008C2D39">
              <w:rPr>
                <w:noProof/>
                <w:webHidden/>
              </w:rPr>
              <w:t>12</w:t>
            </w:r>
            <w:r w:rsidRPr="008C2D39">
              <w:rPr>
                <w:noProof/>
                <w:webHidden/>
              </w:rPr>
              <w:fldChar w:fldCharType="end"/>
            </w:r>
          </w:hyperlink>
        </w:p>
        <w:p w:rsidR="00D67CE4" w:rsidRPr="008C2D39" w:rsidRDefault="00E11836" w:rsidP="00D67CE4">
          <w:pPr>
            <w:pStyle w:val="TOC2"/>
            <w:tabs>
              <w:tab w:val="right" w:leader="dot" w:pos="9016"/>
            </w:tabs>
            <w:rPr>
              <w:noProof/>
            </w:rPr>
          </w:pPr>
          <w:hyperlink w:anchor="_Toc227932178" w:history="1">
            <w:r w:rsidR="00D67CE4" w:rsidRPr="008C2D39">
              <w:rPr>
                <w:rStyle w:val="Hyperlink"/>
                <w:noProof/>
                <w:color w:val="auto"/>
              </w:rPr>
              <w:t>4. MNC Analysis: Banco Santander in the UK</w:t>
            </w:r>
            <w:r w:rsidR="00D67CE4" w:rsidRPr="008C2D39">
              <w:rPr>
                <w:noProof/>
                <w:webHidden/>
              </w:rPr>
              <w:tab/>
            </w:r>
            <w:r w:rsidRPr="008C2D39">
              <w:rPr>
                <w:noProof/>
                <w:webHidden/>
              </w:rPr>
              <w:fldChar w:fldCharType="begin"/>
            </w:r>
            <w:r w:rsidR="00D67CE4" w:rsidRPr="008C2D39">
              <w:rPr>
                <w:noProof/>
                <w:webHidden/>
              </w:rPr>
              <w:instrText xml:space="preserve"> PAGEREF _Toc227932178 \h </w:instrText>
            </w:r>
            <w:r w:rsidRPr="008C2D39">
              <w:rPr>
                <w:noProof/>
                <w:webHidden/>
              </w:rPr>
            </w:r>
            <w:r w:rsidRPr="008C2D39">
              <w:rPr>
                <w:noProof/>
                <w:webHidden/>
              </w:rPr>
              <w:fldChar w:fldCharType="separate"/>
            </w:r>
            <w:r w:rsidR="00D67CE4" w:rsidRPr="008C2D39">
              <w:rPr>
                <w:noProof/>
                <w:webHidden/>
              </w:rPr>
              <w:t>12</w:t>
            </w:r>
            <w:r w:rsidRPr="008C2D39">
              <w:rPr>
                <w:noProof/>
                <w:webHidden/>
              </w:rPr>
              <w:fldChar w:fldCharType="end"/>
            </w:r>
          </w:hyperlink>
        </w:p>
        <w:p w:rsidR="00D67CE4" w:rsidRPr="008C2D39" w:rsidRDefault="00E11836" w:rsidP="00D67CE4">
          <w:pPr>
            <w:pStyle w:val="TOC3"/>
            <w:tabs>
              <w:tab w:val="right" w:leader="dot" w:pos="9016"/>
            </w:tabs>
            <w:rPr>
              <w:noProof/>
            </w:rPr>
          </w:pPr>
          <w:hyperlink w:anchor="_Toc227932179" w:history="1">
            <w:r w:rsidR="00D67CE4" w:rsidRPr="008C2D39">
              <w:rPr>
                <w:rStyle w:val="Hyperlink"/>
                <w:noProof/>
                <w:color w:val="auto"/>
              </w:rPr>
              <w:t>4.1 Company Overview</w:t>
            </w:r>
            <w:r w:rsidR="00D67CE4" w:rsidRPr="008C2D39">
              <w:rPr>
                <w:noProof/>
                <w:webHidden/>
              </w:rPr>
              <w:tab/>
            </w:r>
            <w:r w:rsidRPr="008C2D39">
              <w:rPr>
                <w:noProof/>
                <w:webHidden/>
              </w:rPr>
              <w:fldChar w:fldCharType="begin"/>
            </w:r>
            <w:r w:rsidR="00D67CE4" w:rsidRPr="008C2D39">
              <w:rPr>
                <w:noProof/>
                <w:webHidden/>
              </w:rPr>
              <w:instrText xml:space="preserve"> PAGEREF _Toc227932179 \h </w:instrText>
            </w:r>
            <w:r w:rsidRPr="008C2D39">
              <w:rPr>
                <w:noProof/>
                <w:webHidden/>
              </w:rPr>
            </w:r>
            <w:r w:rsidRPr="008C2D39">
              <w:rPr>
                <w:noProof/>
                <w:webHidden/>
              </w:rPr>
              <w:fldChar w:fldCharType="separate"/>
            </w:r>
            <w:r w:rsidR="00D67CE4" w:rsidRPr="008C2D39">
              <w:rPr>
                <w:noProof/>
                <w:webHidden/>
              </w:rPr>
              <w:t>12</w:t>
            </w:r>
            <w:r w:rsidRPr="008C2D39">
              <w:rPr>
                <w:noProof/>
                <w:webHidden/>
              </w:rPr>
              <w:fldChar w:fldCharType="end"/>
            </w:r>
          </w:hyperlink>
        </w:p>
        <w:p w:rsidR="00D67CE4" w:rsidRPr="008C2D39" w:rsidRDefault="00E11836" w:rsidP="00D67CE4">
          <w:pPr>
            <w:pStyle w:val="TOC3"/>
            <w:tabs>
              <w:tab w:val="right" w:leader="dot" w:pos="9016"/>
            </w:tabs>
            <w:rPr>
              <w:noProof/>
            </w:rPr>
          </w:pPr>
          <w:hyperlink w:anchor="_Toc227932180" w:history="1">
            <w:r w:rsidR="00D67CE4" w:rsidRPr="008C2D39">
              <w:rPr>
                <w:rStyle w:val="Hyperlink"/>
                <w:noProof/>
                <w:color w:val="auto"/>
              </w:rPr>
              <w:t>4.2 Market Entry &amp; Strategy</w:t>
            </w:r>
            <w:r w:rsidR="00D67CE4" w:rsidRPr="008C2D39">
              <w:rPr>
                <w:noProof/>
                <w:webHidden/>
              </w:rPr>
              <w:tab/>
            </w:r>
            <w:r w:rsidRPr="008C2D39">
              <w:rPr>
                <w:noProof/>
                <w:webHidden/>
              </w:rPr>
              <w:fldChar w:fldCharType="begin"/>
            </w:r>
            <w:r w:rsidR="00D67CE4" w:rsidRPr="008C2D39">
              <w:rPr>
                <w:noProof/>
                <w:webHidden/>
              </w:rPr>
              <w:instrText xml:space="preserve"> PAGEREF _Toc227932180 \h </w:instrText>
            </w:r>
            <w:r w:rsidRPr="008C2D39">
              <w:rPr>
                <w:noProof/>
                <w:webHidden/>
              </w:rPr>
            </w:r>
            <w:r w:rsidRPr="008C2D39">
              <w:rPr>
                <w:noProof/>
                <w:webHidden/>
              </w:rPr>
              <w:fldChar w:fldCharType="separate"/>
            </w:r>
            <w:r w:rsidR="00D67CE4" w:rsidRPr="008C2D39">
              <w:rPr>
                <w:noProof/>
                <w:webHidden/>
              </w:rPr>
              <w:t>12</w:t>
            </w:r>
            <w:r w:rsidRPr="008C2D39">
              <w:rPr>
                <w:noProof/>
                <w:webHidden/>
              </w:rPr>
              <w:fldChar w:fldCharType="end"/>
            </w:r>
          </w:hyperlink>
        </w:p>
        <w:p w:rsidR="00D67CE4" w:rsidRPr="008C2D39" w:rsidRDefault="00E11836" w:rsidP="00D67CE4">
          <w:pPr>
            <w:pStyle w:val="TOC3"/>
            <w:tabs>
              <w:tab w:val="right" w:leader="dot" w:pos="9016"/>
            </w:tabs>
            <w:rPr>
              <w:noProof/>
            </w:rPr>
          </w:pPr>
          <w:hyperlink w:anchor="_Toc227932181" w:history="1">
            <w:r w:rsidR="00D67CE4" w:rsidRPr="008C2D39">
              <w:rPr>
                <w:rStyle w:val="Hyperlink"/>
                <w:noProof/>
                <w:color w:val="auto"/>
              </w:rPr>
              <w:t>4.3 PESTLE Analysis</w:t>
            </w:r>
            <w:r w:rsidR="00D67CE4" w:rsidRPr="008C2D39">
              <w:rPr>
                <w:noProof/>
                <w:webHidden/>
              </w:rPr>
              <w:tab/>
            </w:r>
            <w:r w:rsidRPr="008C2D39">
              <w:rPr>
                <w:noProof/>
                <w:webHidden/>
              </w:rPr>
              <w:fldChar w:fldCharType="begin"/>
            </w:r>
            <w:r w:rsidR="00D67CE4" w:rsidRPr="008C2D39">
              <w:rPr>
                <w:noProof/>
                <w:webHidden/>
              </w:rPr>
              <w:instrText xml:space="preserve"> PAGEREF _Toc227932181 \h </w:instrText>
            </w:r>
            <w:r w:rsidRPr="008C2D39">
              <w:rPr>
                <w:noProof/>
                <w:webHidden/>
              </w:rPr>
            </w:r>
            <w:r w:rsidRPr="008C2D39">
              <w:rPr>
                <w:noProof/>
                <w:webHidden/>
              </w:rPr>
              <w:fldChar w:fldCharType="separate"/>
            </w:r>
            <w:r w:rsidR="00D67CE4" w:rsidRPr="008C2D39">
              <w:rPr>
                <w:noProof/>
                <w:webHidden/>
              </w:rPr>
              <w:t>13</w:t>
            </w:r>
            <w:r w:rsidRPr="008C2D39">
              <w:rPr>
                <w:noProof/>
                <w:webHidden/>
              </w:rPr>
              <w:fldChar w:fldCharType="end"/>
            </w:r>
          </w:hyperlink>
        </w:p>
        <w:p w:rsidR="00D67CE4" w:rsidRPr="008C2D39" w:rsidRDefault="00E11836" w:rsidP="00D67CE4">
          <w:pPr>
            <w:pStyle w:val="TOC3"/>
            <w:tabs>
              <w:tab w:val="right" w:leader="dot" w:pos="9016"/>
            </w:tabs>
            <w:rPr>
              <w:noProof/>
            </w:rPr>
          </w:pPr>
          <w:hyperlink w:anchor="_Toc227932182" w:history="1">
            <w:r w:rsidR="00D67CE4" w:rsidRPr="008C2D39">
              <w:rPr>
                <w:rStyle w:val="Hyperlink"/>
                <w:noProof/>
                <w:color w:val="auto"/>
              </w:rPr>
              <w:t>4.4 Market Attractiveness Evaluation</w:t>
            </w:r>
            <w:r w:rsidR="00D67CE4" w:rsidRPr="008C2D39">
              <w:rPr>
                <w:noProof/>
                <w:webHidden/>
              </w:rPr>
              <w:tab/>
            </w:r>
            <w:r w:rsidRPr="008C2D39">
              <w:rPr>
                <w:noProof/>
                <w:webHidden/>
              </w:rPr>
              <w:fldChar w:fldCharType="begin"/>
            </w:r>
            <w:r w:rsidR="00D67CE4" w:rsidRPr="008C2D39">
              <w:rPr>
                <w:noProof/>
                <w:webHidden/>
              </w:rPr>
              <w:instrText xml:space="preserve"> PAGEREF _Toc227932182 \h </w:instrText>
            </w:r>
            <w:r w:rsidRPr="008C2D39">
              <w:rPr>
                <w:noProof/>
                <w:webHidden/>
              </w:rPr>
            </w:r>
            <w:r w:rsidRPr="008C2D39">
              <w:rPr>
                <w:noProof/>
                <w:webHidden/>
              </w:rPr>
              <w:fldChar w:fldCharType="separate"/>
            </w:r>
            <w:r w:rsidR="00D67CE4" w:rsidRPr="008C2D39">
              <w:rPr>
                <w:noProof/>
                <w:webHidden/>
              </w:rPr>
              <w:t>17</w:t>
            </w:r>
            <w:r w:rsidRPr="008C2D39">
              <w:rPr>
                <w:noProof/>
                <w:webHidden/>
              </w:rPr>
              <w:fldChar w:fldCharType="end"/>
            </w:r>
          </w:hyperlink>
        </w:p>
        <w:p w:rsidR="00D67CE4" w:rsidRPr="008C2D39" w:rsidRDefault="00E11836" w:rsidP="00D67CE4">
          <w:pPr>
            <w:pStyle w:val="TOC3"/>
            <w:tabs>
              <w:tab w:val="right" w:leader="dot" w:pos="9016"/>
            </w:tabs>
            <w:rPr>
              <w:noProof/>
            </w:rPr>
          </w:pPr>
          <w:hyperlink w:anchor="_Toc227932183" w:history="1">
            <w:r w:rsidR="00D67CE4" w:rsidRPr="008C2D39">
              <w:rPr>
                <w:rStyle w:val="Hyperlink"/>
                <w:noProof/>
                <w:color w:val="auto"/>
              </w:rPr>
              <w:t>4.5 Critical Evaluation of Success Factors</w:t>
            </w:r>
            <w:r w:rsidR="00D67CE4" w:rsidRPr="008C2D39">
              <w:rPr>
                <w:noProof/>
                <w:webHidden/>
              </w:rPr>
              <w:tab/>
            </w:r>
            <w:r w:rsidRPr="008C2D39">
              <w:rPr>
                <w:noProof/>
                <w:webHidden/>
              </w:rPr>
              <w:fldChar w:fldCharType="begin"/>
            </w:r>
            <w:r w:rsidR="00D67CE4" w:rsidRPr="008C2D39">
              <w:rPr>
                <w:noProof/>
                <w:webHidden/>
              </w:rPr>
              <w:instrText xml:space="preserve"> PAGEREF _Toc227932183 \h </w:instrText>
            </w:r>
            <w:r w:rsidRPr="008C2D39">
              <w:rPr>
                <w:noProof/>
                <w:webHidden/>
              </w:rPr>
            </w:r>
            <w:r w:rsidRPr="008C2D39">
              <w:rPr>
                <w:noProof/>
                <w:webHidden/>
              </w:rPr>
              <w:fldChar w:fldCharType="separate"/>
            </w:r>
            <w:r w:rsidR="00D67CE4" w:rsidRPr="008C2D39">
              <w:rPr>
                <w:noProof/>
                <w:webHidden/>
              </w:rPr>
              <w:t>18</w:t>
            </w:r>
            <w:r w:rsidRPr="008C2D39">
              <w:rPr>
                <w:noProof/>
                <w:webHidden/>
              </w:rPr>
              <w:fldChar w:fldCharType="end"/>
            </w:r>
          </w:hyperlink>
        </w:p>
        <w:p w:rsidR="00D67CE4" w:rsidRPr="008C2D39" w:rsidRDefault="00E11836" w:rsidP="00D67CE4">
          <w:pPr>
            <w:pStyle w:val="TOC2"/>
            <w:tabs>
              <w:tab w:val="right" w:leader="dot" w:pos="9016"/>
            </w:tabs>
            <w:rPr>
              <w:noProof/>
            </w:rPr>
          </w:pPr>
          <w:hyperlink w:anchor="_Toc227932184" w:history="1">
            <w:r w:rsidR="00D67CE4" w:rsidRPr="008C2D39">
              <w:rPr>
                <w:rStyle w:val="Hyperlink"/>
                <w:noProof/>
                <w:color w:val="auto"/>
              </w:rPr>
              <w:t>5. Conclusion</w:t>
            </w:r>
            <w:r w:rsidR="00D67CE4" w:rsidRPr="008C2D39">
              <w:rPr>
                <w:noProof/>
                <w:webHidden/>
              </w:rPr>
              <w:tab/>
            </w:r>
            <w:r w:rsidRPr="008C2D39">
              <w:rPr>
                <w:noProof/>
                <w:webHidden/>
              </w:rPr>
              <w:fldChar w:fldCharType="begin"/>
            </w:r>
            <w:r w:rsidR="00D67CE4" w:rsidRPr="008C2D39">
              <w:rPr>
                <w:noProof/>
                <w:webHidden/>
              </w:rPr>
              <w:instrText xml:space="preserve"> PAGEREF _Toc227932184 \h </w:instrText>
            </w:r>
            <w:r w:rsidRPr="008C2D39">
              <w:rPr>
                <w:noProof/>
                <w:webHidden/>
              </w:rPr>
            </w:r>
            <w:r w:rsidRPr="008C2D39">
              <w:rPr>
                <w:noProof/>
                <w:webHidden/>
              </w:rPr>
              <w:fldChar w:fldCharType="separate"/>
            </w:r>
            <w:r w:rsidR="00D67CE4" w:rsidRPr="008C2D39">
              <w:rPr>
                <w:noProof/>
                <w:webHidden/>
              </w:rPr>
              <w:t>18</w:t>
            </w:r>
            <w:r w:rsidRPr="008C2D39">
              <w:rPr>
                <w:noProof/>
                <w:webHidden/>
              </w:rPr>
              <w:fldChar w:fldCharType="end"/>
            </w:r>
          </w:hyperlink>
        </w:p>
        <w:p w:rsidR="00D67CE4" w:rsidRPr="008C2D39" w:rsidRDefault="00E11836" w:rsidP="00D67CE4">
          <w:pPr>
            <w:pStyle w:val="TOC1"/>
            <w:tabs>
              <w:tab w:val="right" w:leader="dot" w:pos="9016"/>
            </w:tabs>
            <w:rPr>
              <w:noProof/>
            </w:rPr>
          </w:pPr>
          <w:hyperlink w:anchor="_Toc227932185" w:history="1">
            <w:r w:rsidR="00D67CE4" w:rsidRPr="008C2D39">
              <w:rPr>
                <w:rStyle w:val="Hyperlink"/>
                <w:noProof/>
                <w:color w:val="auto"/>
              </w:rPr>
              <w:t>Section 2: Reflective Account</w:t>
            </w:r>
            <w:r w:rsidR="00D67CE4" w:rsidRPr="008C2D39">
              <w:rPr>
                <w:noProof/>
                <w:webHidden/>
              </w:rPr>
              <w:tab/>
            </w:r>
            <w:r w:rsidRPr="008C2D39">
              <w:rPr>
                <w:noProof/>
                <w:webHidden/>
              </w:rPr>
              <w:fldChar w:fldCharType="begin"/>
            </w:r>
            <w:r w:rsidR="00D67CE4" w:rsidRPr="008C2D39">
              <w:rPr>
                <w:noProof/>
                <w:webHidden/>
              </w:rPr>
              <w:instrText xml:space="preserve"> PAGEREF _Toc227932185 \h </w:instrText>
            </w:r>
            <w:r w:rsidRPr="008C2D39">
              <w:rPr>
                <w:noProof/>
                <w:webHidden/>
              </w:rPr>
            </w:r>
            <w:r w:rsidRPr="008C2D39">
              <w:rPr>
                <w:noProof/>
                <w:webHidden/>
              </w:rPr>
              <w:fldChar w:fldCharType="separate"/>
            </w:r>
            <w:r w:rsidR="00D67CE4" w:rsidRPr="008C2D39">
              <w:rPr>
                <w:noProof/>
                <w:webHidden/>
              </w:rPr>
              <w:t>20</w:t>
            </w:r>
            <w:r w:rsidRPr="008C2D39">
              <w:rPr>
                <w:noProof/>
                <w:webHidden/>
              </w:rPr>
              <w:fldChar w:fldCharType="end"/>
            </w:r>
          </w:hyperlink>
        </w:p>
        <w:p w:rsidR="00D67CE4" w:rsidRPr="008C2D39" w:rsidRDefault="00E11836" w:rsidP="00D67CE4">
          <w:pPr>
            <w:pStyle w:val="TOC2"/>
            <w:tabs>
              <w:tab w:val="right" w:leader="dot" w:pos="9016"/>
            </w:tabs>
            <w:rPr>
              <w:noProof/>
            </w:rPr>
          </w:pPr>
          <w:hyperlink w:anchor="_Toc227932186" w:history="1">
            <w:r w:rsidR="00D67CE4" w:rsidRPr="008C2D39">
              <w:rPr>
                <w:rStyle w:val="Hyperlink"/>
                <w:noProof/>
                <w:color w:val="auto"/>
              </w:rPr>
              <w:t>1. Description</w:t>
            </w:r>
            <w:r w:rsidR="00D67CE4" w:rsidRPr="008C2D39">
              <w:rPr>
                <w:noProof/>
                <w:webHidden/>
              </w:rPr>
              <w:tab/>
            </w:r>
            <w:r w:rsidRPr="008C2D39">
              <w:rPr>
                <w:noProof/>
                <w:webHidden/>
              </w:rPr>
              <w:fldChar w:fldCharType="begin"/>
            </w:r>
            <w:r w:rsidR="00D67CE4" w:rsidRPr="008C2D39">
              <w:rPr>
                <w:noProof/>
                <w:webHidden/>
              </w:rPr>
              <w:instrText xml:space="preserve"> PAGEREF _Toc227932186 \h </w:instrText>
            </w:r>
            <w:r w:rsidRPr="008C2D39">
              <w:rPr>
                <w:noProof/>
                <w:webHidden/>
              </w:rPr>
            </w:r>
            <w:r w:rsidRPr="008C2D39">
              <w:rPr>
                <w:noProof/>
                <w:webHidden/>
              </w:rPr>
              <w:fldChar w:fldCharType="separate"/>
            </w:r>
            <w:r w:rsidR="00D67CE4" w:rsidRPr="008C2D39">
              <w:rPr>
                <w:noProof/>
                <w:webHidden/>
              </w:rPr>
              <w:t>20</w:t>
            </w:r>
            <w:r w:rsidRPr="008C2D39">
              <w:rPr>
                <w:noProof/>
                <w:webHidden/>
              </w:rPr>
              <w:fldChar w:fldCharType="end"/>
            </w:r>
          </w:hyperlink>
        </w:p>
        <w:p w:rsidR="00D67CE4" w:rsidRPr="008C2D39" w:rsidRDefault="00E11836" w:rsidP="00D67CE4">
          <w:pPr>
            <w:pStyle w:val="TOC2"/>
            <w:tabs>
              <w:tab w:val="right" w:leader="dot" w:pos="9016"/>
            </w:tabs>
            <w:rPr>
              <w:noProof/>
            </w:rPr>
          </w:pPr>
          <w:hyperlink w:anchor="_Toc227932187" w:history="1">
            <w:r w:rsidR="00D67CE4" w:rsidRPr="008C2D39">
              <w:rPr>
                <w:rStyle w:val="Hyperlink"/>
                <w:noProof/>
                <w:color w:val="auto"/>
              </w:rPr>
              <w:t>2. Feelings</w:t>
            </w:r>
            <w:r w:rsidR="00D67CE4" w:rsidRPr="008C2D39">
              <w:rPr>
                <w:noProof/>
                <w:webHidden/>
              </w:rPr>
              <w:tab/>
            </w:r>
            <w:r w:rsidRPr="008C2D39">
              <w:rPr>
                <w:noProof/>
                <w:webHidden/>
              </w:rPr>
              <w:fldChar w:fldCharType="begin"/>
            </w:r>
            <w:r w:rsidR="00D67CE4" w:rsidRPr="008C2D39">
              <w:rPr>
                <w:noProof/>
                <w:webHidden/>
              </w:rPr>
              <w:instrText xml:space="preserve"> PAGEREF _Toc227932187 \h </w:instrText>
            </w:r>
            <w:r w:rsidRPr="008C2D39">
              <w:rPr>
                <w:noProof/>
                <w:webHidden/>
              </w:rPr>
            </w:r>
            <w:r w:rsidRPr="008C2D39">
              <w:rPr>
                <w:noProof/>
                <w:webHidden/>
              </w:rPr>
              <w:fldChar w:fldCharType="separate"/>
            </w:r>
            <w:r w:rsidR="00D67CE4" w:rsidRPr="008C2D39">
              <w:rPr>
                <w:noProof/>
                <w:webHidden/>
              </w:rPr>
              <w:t>20</w:t>
            </w:r>
            <w:r w:rsidRPr="008C2D39">
              <w:rPr>
                <w:noProof/>
                <w:webHidden/>
              </w:rPr>
              <w:fldChar w:fldCharType="end"/>
            </w:r>
          </w:hyperlink>
        </w:p>
        <w:p w:rsidR="00D67CE4" w:rsidRPr="008C2D39" w:rsidRDefault="00E11836" w:rsidP="00D67CE4">
          <w:pPr>
            <w:pStyle w:val="TOC2"/>
            <w:tabs>
              <w:tab w:val="right" w:leader="dot" w:pos="9016"/>
            </w:tabs>
            <w:rPr>
              <w:noProof/>
            </w:rPr>
          </w:pPr>
          <w:hyperlink w:anchor="_Toc227932188" w:history="1">
            <w:r w:rsidR="00D67CE4" w:rsidRPr="008C2D39">
              <w:rPr>
                <w:rStyle w:val="Hyperlink"/>
                <w:noProof/>
                <w:color w:val="auto"/>
              </w:rPr>
              <w:t>3. Evaluation</w:t>
            </w:r>
            <w:r w:rsidR="00D67CE4" w:rsidRPr="008C2D39">
              <w:rPr>
                <w:noProof/>
                <w:webHidden/>
              </w:rPr>
              <w:tab/>
            </w:r>
            <w:r w:rsidRPr="008C2D39">
              <w:rPr>
                <w:noProof/>
                <w:webHidden/>
              </w:rPr>
              <w:fldChar w:fldCharType="begin"/>
            </w:r>
            <w:r w:rsidR="00D67CE4" w:rsidRPr="008C2D39">
              <w:rPr>
                <w:noProof/>
                <w:webHidden/>
              </w:rPr>
              <w:instrText xml:space="preserve"> PAGEREF _Toc227932188 \h </w:instrText>
            </w:r>
            <w:r w:rsidRPr="008C2D39">
              <w:rPr>
                <w:noProof/>
                <w:webHidden/>
              </w:rPr>
            </w:r>
            <w:r w:rsidRPr="008C2D39">
              <w:rPr>
                <w:noProof/>
                <w:webHidden/>
              </w:rPr>
              <w:fldChar w:fldCharType="separate"/>
            </w:r>
            <w:r w:rsidR="00D67CE4" w:rsidRPr="008C2D39">
              <w:rPr>
                <w:noProof/>
                <w:webHidden/>
              </w:rPr>
              <w:t>20</w:t>
            </w:r>
            <w:r w:rsidRPr="008C2D39">
              <w:rPr>
                <w:noProof/>
                <w:webHidden/>
              </w:rPr>
              <w:fldChar w:fldCharType="end"/>
            </w:r>
          </w:hyperlink>
        </w:p>
        <w:p w:rsidR="00D67CE4" w:rsidRPr="008C2D39" w:rsidRDefault="00E11836" w:rsidP="00D67CE4">
          <w:pPr>
            <w:pStyle w:val="TOC2"/>
            <w:tabs>
              <w:tab w:val="right" w:leader="dot" w:pos="9016"/>
            </w:tabs>
            <w:rPr>
              <w:noProof/>
            </w:rPr>
          </w:pPr>
          <w:hyperlink w:anchor="_Toc227932189" w:history="1">
            <w:r w:rsidR="00D67CE4" w:rsidRPr="008C2D39">
              <w:rPr>
                <w:rStyle w:val="Hyperlink"/>
                <w:noProof/>
                <w:color w:val="auto"/>
              </w:rPr>
              <w:t>4. Analysis</w:t>
            </w:r>
            <w:r w:rsidR="00D67CE4" w:rsidRPr="008C2D39">
              <w:rPr>
                <w:noProof/>
                <w:webHidden/>
              </w:rPr>
              <w:tab/>
            </w:r>
            <w:r w:rsidRPr="008C2D39">
              <w:rPr>
                <w:noProof/>
                <w:webHidden/>
              </w:rPr>
              <w:fldChar w:fldCharType="begin"/>
            </w:r>
            <w:r w:rsidR="00D67CE4" w:rsidRPr="008C2D39">
              <w:rPr>
                <w:noProof/>
                <w:webHidden/>
              </w:rPr>
              <w:instrText xml:space="preserve"> PAGEREF _Toc227932189 \h </w:instrText>
            </w:r>
            <w:r w:rsidRPr="008C2D39">
              <w:rPr>
                <w:noProof/>
                <w:webHidden/>
              </w:rPr>
            </w:r>
            <w:r w:rsidRPr="008C2D39">
              <w:rPr>
                <w:noProof/>
                <w:webHidden/>
              </w:rPr>
              <w:fldChar w:fldCharType="separate"/>
            </w:r>
            <w:r w:rsidR="00D67CE4" w:rsidRPr="008C2D39">
              <w:rPr>
                <w:noProof/>
                <w:webHidden/>
              </w:rPr>
              <w:t>21</w:t>
            </w:r>
            <w:r w:rsidRPr="008C2D39">
              <w:rPr>
                <w:noProof/>
                <w:webHidden/>
              </w:rPr>
              <w:fldChar w:fldCharType="end"/>
            </w:r>
          </w:hyperlink>
        </w:p>
        <w:p w:rsidR="00D67CE4" w:rsidRPr="008C2D39" w:rsidRDefault="00E11836" w:rsidP="00D67CE4">
          <w:pPr>
            <w:pStyle w:val="TOC2"/>
            <w:tabs>
              <w:tab w:val="right" w:leader="dot" w:pos="9016"/>
            </w:tabs>
            <w:rPr>
              <w:noProof/>
            </w:rPr>
          </w:pPr>
          <w:hyperlink w:anchor="_Toc227932190" w:history="1">
            <w:r w:rsidR="00D67CE4" w:rsidRPr="008C2D39">
              <w:rPr>
                <w:rStyle w:val="Hyperlink"/>
                <w:noProof/>
                <w:color w:val="auto"/>
              </w:rPr>
              <w:t>5. Conclusion</w:t>
            </w:r>
            <w:r w:rsidR="00D67CE4" w:rsidRPr="008C2D39">
              <w:rPr>
                <w:noProof/>
                <w:webHidden/>
              </w:rPr>
              <w:tab/>
            </w:r>
            <w:r w:rsidRPr="008C2D39">
              <w:rPr>
                <w:noProof/>
                <w:webHidden/>
              </w:rPr>
              <w:fldChar w:fldCharType="begin"/>
            </w:r>
            <w:r w:rsidR="00D67CE4" w:rsidRPr="008C2D39">
              <w:rPr>
                <w:noProof/>
                <w:webHidden/>
              </w:rPr>
              <w:instrText xml:space="preserve"> PAGEREF _Toc227932190 \h </w:instrText>
            </w:r>
            <w:r w:rsidRPr="008C2D39">
              <w:rPr>
                <w:noProof/>
                <w:webHidden/>
              </w:rPr>
            </w:r>
            <w:r w:rsidRPr="008C2D39">
              <w:rPr>
                <w:noProof/>
                <w:webHidden/>
              </w:rPr>
              <w:fldChar w:fldCharType="separate"/>
            </w:r>
            <w:r w:rsidR="00D67CE4" w:rsidRPr="008C2D39">
              <w:rPr>
                <w:noProof/>
                <w:webHidden/>
              </w:rPr>
              <w:t>21</w:t>
            </w:r>
            <w:r w:rsidRPr="008C2D39">
              <w:rPr>
                <w:noProof/>
                <w:webHidden/>
              </w:rPr>
              <w:fldChar w:fldCharType="end"/>
            </w:r>
          </w:hyperlink>
        </w:p>
        <w:p w:rsidR="00D67CE4" w:rsidRPr="008C2D39" w:rsidRDefault="00E11836" w:rsidP="00D67CE4">
          <w:pPr>
            <w:pStyle w:val="TOC2"/>
            <w:tabs>
              <w:tab w:val="right" w:leader="dot" w:pos="9016"/>
            </w:tabs>
            <w:rPr>
              <w:noProof/>
            </w:rPr>
          </w:pPr>
          <w:hyperlink w:anchor="_Toc227932191" w:history="1">
            <w:r w:rsidR="00D67CE4" w:rsidRPr="008C2D39">
              <w:rPr>
                <w:rStyle w:val="Hyperlink"/>
                <w:noProof/>
                <w:color w:val="auto"/>
              </w:rPr>
              <w:t>6. Action Plan</w:t>
            </w:r>
            <w:r w:rsidR="00D67CE4" w:rsidRPr="008C2D39">
              <w:rPr>
                <w:noProof/>
                <w:webHidden/>
              </w:rPr>
              <w:tab/>
            </w:r>
            <w:r w:rsidRPr="008C2D39">
              <w:rPr>
                <w:noProof/>
                <w:webHidden/>
              </w:rPr>
              <w:fldChar w:fldCharType="begin"/>
            </w:r>
            <w:r w:rsidR="00D67CE4" w:rsidRPr="008C2D39">
              <w:rPr>
                <w:noProof/>
                <w:webHidden/>
              </w:rPr>
              <w:instrText xml:space="preserve"> PAGEREF _Toc227932191 \h </w:instrText>
            </w:r>
            <w:r w:rsidRPr="008C2D39">
              <w:rPr>
                <w:noProof/>
                <w:webHidden/>
              </w:rPr>
            </w:r>
            <w:r w:rsidRPr="008C2D39">
              <w:rPr>
                <w:noProof/>
                <w:webHidden/>
              </w:rPr>
              <w:fldChar w:fldCharType="separate"/>
            </w:r>
            <w:r w:rsidR="00D67CE4" w:rsidRPr="008C2D39">
              <w:rPr>
                <w:noProof/>
                <w:webHidden/>
              </w:rPr>
              <w:t>22</w:t>
            </w:r>
            <w:r w:rsidRPr="008C2D39">
              <w:rPr>
                <w:noProof/>
                <w:webHidden/>
              </w:rPr>
              <w:fldChar w:fldCharType="end"/>
            </w:r>
          </w:hyperlink>
        </w:p>
        <w:p w:rsidR="00D67CE4" w:rsidRPr="008C2D39" w:rsidRDefault="00E11836" w:rsidP="00D67CE4">
          <w:pPr>
            <w:pStyle w:val="TOC1"/>
            <w:tabs>
              <w:tab w:val="right" w:leader="dot" w:pos="9016"/>
            </w:tabs>
            <w:rPr>
              <w:noProof/>
            </w:rPr>
          </w:pPr>
          <w:hyperlink w:anchor="_Toc227932192" w:history="1">
            <w:r w:rsidR="00D67CE4" w:rsidRPr="008C2D39">
              <w:rPr>
                <w:rStyle w:val="Hyperlink"/>
                <w:noProof/>
                <w:color w:val="auto"/>
              </w:rPr>
              <w:t>References</w:t>
            </w:r>
            <w:r w:rsidR="00D67CE4" w:rsidRPr="008C2D39">
              <w:rPr>
                <w:noProof/>
                <w:webHidden/>
              </w:rPr>
              <w:tab/>
            </w:r>
            <w:r w:rsidRPr="008C2D39">
              <w:rPr>
                <w:noProof/>
                <w:webHidden/>
              </w:rPr>
              <w:fldChar w:fldCharType="begin"/>
            </w:r>
            <w:r w:rsidR="00D67CE4" w:rsidRPr="008C2D39">
              <w:rPr>
                <w:noProof/>
                <w:webHidden/>
              </w:rPr>
              <w:instrText xml:space="preserve"> PAGEREF _Toc227932192 \h </w:instrText>
            </w:r>
            <w:r w:rsidRPr="008C2D39">
              <w:rPr>
                <w:noProof/>
                <w:webHidden/>
              </w:rPr>
            </w:r>
            <w:r w:rsidRPr="008C2D39">
              <w:rPr>
                <w:noProof/>
                <w:webHidden/>
              </w:rPr>
              <w:fldChar w:fldCharType="separate"/>
            </w:r>
            <w:r w:rsidR="00D67CE4" w:rsidRPr="008C2D39">
              <w:rPr>
                <w:noProof/>
                <w:webHidden/>
              </w:rPr>
              <w:t>23</w:t>
            </w:r>
            <w:r w:rsidRPr="008C2D39">
              <w:rPr>
                <w:noProof/>
                <w:webHidden/>
              </w:rPr>
              <w:fldChar w:fldCharType="end"/>
            </w:r>
          </w:hyperlink>
        </w:p>
        <w:p w:rsidR="007232FD" w:rsidRPr="008C2D39" w:rsidRDefault="00E11836" w:rsidP="00D67CE4">
          <w:r w:rsidRPr="008C2D39">
            <w:fldChar w:fldCharType="end"/>
          </w:r>
        </w:p>
      </w:sdtContent>
    </w:sdt>
    <w:p w:rsidR="007232FD" w:rsidRPr="008C2D39" w:rsidRDefault="000B0D91">
      <w:pPr>
        <w:jc w:val="center"/>
        <w:rPr>
          <w:b/>
          <w:bCs/>
        </w:rPr>
      </w:pPr>
      <w:r w:rsidRPr="008C2D39">
        <w:br w:type="page"/>
      </w:r>
    </w:p>
    <w:p w:rsidR="007232FD" w:rsidRPr="008C2D39" w:rsidRDefault="000B0D91">
      <w:pPr>
        <w:pStyle w:val="Heading1"/>
      </w:pPr>
      <w:bookmarkStart w:id="1" w:name="_Toc227932164"/>
      <w:r w:rsidRPr="008C2D39">
        <w:lastRenderedPageBreak/>
        <w:t>Section 1: Industry Report</w:t>
      </w:r>
      <w:bookmarkEnd w:id="1"/>
    </w:p>
    <w:p w:rsidR="007232FD" w:rsidRPr="008C2D39" w:rsidRDefault="000B0D91">
      <w:pPr>
        <w:pStyle w:val="Heading2"/>
      </w:pPr>
      <w:bookmarkStart w:id="2" w:name="_Toc227932165"/>
      <w:r w:rsidRPr="008C2D39">
        <w:t>1. Introduction</w:t>
      </w:r>
      <w:bookmarkEnd w:id="2"/>
    </w:p>
    <w:p w:rsidR="007232FD" w:rsidRPr="008C2D39" w:rsidRDefault="000B0D91">
      <w:r w:rsidRPr="008C2D39">
        <w:t xml:space="preserve">Digitalisation and change in regulation make the UK banking industry a very globalised and competitive financial system. The UK banking industry is competitive due to pricing, quality of services and technology. London is one of the financial centres. This sector has transformed significantly due to technological disruption and regulatory changes. The availability of world-renowned universities and financial institutions makes it possible to have a steady stream of highly qualified professionals to facilitate innovation and productivity in the industry. This report focuses on Banco Santander that has solidified itself through localisation and acquisitions. This report evaluates the industry through the Diamond Model of Porter and Santander through the PESTLE model. Lastly, a reflection is presented on the strategic position of Banco Santander using the Gibbs reflective cycle. </w:t>
      </w:r>
    </w:p>
    <w:p w:rsidR="007232FD" w:rsidRPr="008C2D39" w:rsidRDefault="007232FD"/>
    <w:p w:rsidR="007232FD" w:rsidRPr="008C2D39" w:rsidRDefault="000B0D91">
      <w:pPr>
        <w:pStyle w:val="Heading2"/>
      </w:pPr>
      <w:bookmarkStart w:id="3" w:name="_Toc227932166"/>
      <w:r w:rsidRPr="008C2D39">
        <w:t>2. Industry &amp; Country Overview</w:t>
      </w:r>
      <w:bookmarkEnd w:id="3"/>
    </w:p>
    <w:p w:rsidR="007232FD" w:rsidRPr="008C2D39" w:rsidRDefault="000B0D91">
      <w:pPr>
        <w:pStyle w:val="Heading3"/>
      </w:pPr>
      <w:bookmarkStart w:id="4" w:name="_Toc227932167"/>
      <w:r w:rsidRPr="008C2D39">
        <w:t>2.1 Overview of the UK Banking Sector</w:t>
      </w:r>
      <w:bookmarkEnd w:id="4"/>
    </w:p>
    <w:p w:rsidR="007232FD" w:rsidRPr="008C2D39" w:rsidRDefault="000B0D91">
      <w:r w:rsidRPr="008C2D39">
        <w:t>The importance of the UK banking industry in world finance is that the sector is one of the biggest and most developed in the world, with total assets of more than £10 trillion (BOE, 2025). It encompasses retail, commercial and investment banking that is backed by a sound regulatory regime and financial infrastructure. The fact that London is a financial hub of the world only adds to its international relevance. The industry also earns approximately £180 billion, which makes a significant contribution to the economy (Statista, 2025a). There is a high level of digital adoption, with more than 85% of the UK adult population having to resort to online banking services, meaning that it is a mature market (Statista, 2025b). One of its significant characteristics is digital transformation, and banks are investing in artificial intelligence, big data, and automation to enhance efficiency and customer experience. al-</w:t>
      </w:r>
      <w:proofErr w:type="spellStart"/>
      <w:r w:rsidRPr="008C2D39">
        <w:t>Hattami</w:t>
      </w:r>
      <w:proofErr w:type="spellEnd"/>
      <w:r w:rsidRPr="008C2D39">
        <w:t xml:space="preserve"> (2025) mentioned that digital systems contribute to increased accuracy, transparency, and operational efficiency, which reinforces existing global competitiveness of the banking industry of the UK.</w:t>
      </w:r>
    </w:p>
    <w:p w:rsidR="007232FD" w:rsidRPr="008C2D39" w:rsidRDefault="000B0D91">
      <w:pPr>
        <w:pStyle w:val="Heading3"/>
      </w:pPr>
      <w:bookmarkStart w:id="5" w:name="_Toc227932168"/>
      <w:r w:rsidRPr="008C2D39">
        <w:lastRenderedPageBreak/>
        <w:t>2.2 Economic Importance</w:t>
      </w:r>
      <w:bookmarkEnd w:id="5"/>
    </w:p>
    <w:p w:rsidR="007232FD" w:rsidRPr="008C2D39" w:rsidRDefault="000B0D91">
      <w:pPr>
        <w:jc w:val="center"/>
      </w:pPr>
      <w:r w:rsidRPr="008C2D39">
        <w:rPr>
          <w:noProof/>
          <w:lang w:val="en-US" w:eastAsia="en-US"/>
        </w:rPr>
        <w:drawing>
          <wp:inline distT="114300" distB="114300" distL="114300" distR="114300">
            <wp:extent cx="5731200" cy="2895600"/>
            <wp:effectExtent l="12700" t="12700" r="12700" b="127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cstate="print"/>
                    <a:srcRect/>
                    <a:stretch>
                      <a:fillRect/>
                    </a:stretch>
                  </pic:blipFill>
                  <pic:spPr>
                    <a:xfrm>
                      <a:off x="0" y="0"/>
                      <a:ext cx="5731200" cy="2895600"/>
                    </a:xfrm>
                    <a:prstGeom prst="rect">
                      <a:avLst/>
                    </a:prstGeom>
                    <a:ln w="12700">
                      <a:solidFill>
                        <a:srgbClr val="000000"/>
                      </a:solidFill>
                      <a:prstDash val="solid"/>
                    </a:ln>
                  </pic:spPr>
                </pic:pic>
              </a:graphicData>
            </a:graphic>
          </wp:inline>
        </w:drawing>
      </w:r>
    </w:p>
    <w:p w:rsidR="007232FD" w:rsidRPr="008C2D39" w:rsidRDefault="000B0D91">
      <w:pPr>
        <w:jc w:val="center"/>
        <w:rPr>
          <w:b/>
          <w:bCs/>
        </w:rPr>
      </w:pPr>
      <w:r w:rsidRPr="008C2D39">
        <w:rPr>
          <w:b/>
          <w:bCs/>
        </w:rPr>
        <w:t>Figure 1: Growth of UK Banking Sector Assets and Revenue (2020–2025)</w:t>
      </w:r>
    </w:p>
    <w:p w:rsidR="007232FD" w:rsidRPr="008C2D39" w:rsidRDefault="000B0D91">
      <w:pPr>
        <w:jc w:val="center"/>
      </w:pPr>
      <w:r w:rsidRPr="008C2D39">
        <w:t>(Source: GVR, 2025)</w:t>
      </w:r>
    </w:p>
    <w:p w:rsidR="007232FD" w:rsidRPr="008C2D39" w:rsidRDefault="000B0D91">
      <w:r w:rsidRPr="008C2D39">
        <w:t>The UK banking industry is a critical part of economic progress, financial prosperity, and work. It has a GDP contribution rate of approximately 7%, and more than 1.1 million individuals are employed, which makes it one of the biggest in the country (Statista, 2025b). Investment is mediated through banks in a manner that brings together savings, businesses, and individuals. They also facilitate international trade by facilitating international transactions and international financial flows. The retail banking segment will exhibit a steady 4.5% CAGR between 2025 and 2033 because of the continuous demand (GVR, 2025). Nevertheless, challenges such as inflation, economic uncertainty, and Brexit remain. As Du et al. (2025) emphasise, Brexit has impacted the exports of financial services, but the industry is resilient because of robust infrastructure and flexibility.</w:t>
      </w:r>
    </w:p>
    <w:p w:rsidR="007232FD" w:rsidRPr="008C2D39" w:rsidRDefault="000B0D91">
      <w:pPr>
        <w:pStyle w:val="Heading3"/>
      </w:pPr>
      <w:bookmarkStart w:id="6" w:name="_Toc227932169"/>
      <w:r w:rsidRPr="008C2D39">
        <w:t>2.3 Key Players in the Industry</w:t>
      </w:r>
      <w:bookmarkEnd w:id="6"/>
    </w:p>
    <w:p w:rsidR="007232FD" w:rsidRPr="008C2D39" w:rsidRDefault="000B0D91">
      <w:r w:rsidRPr="008C2D39">
        <w:t xml:space="preserve">The UK banking industry can also be described as a heterogeneous blend of both local and foreign competitors. The retail banking market is dominated by the major domestic banks like Barclays, Lloyds Banking Group and NatWest because of their wide network of branches, strong brand recognition and huge customer base. The competitive environment has also been changed by the appearance of fintech firms and other digital-only banks. According to Clarke and Macartney (2025), reforms in open banking in the UK have led to a higher competition level as it allows the sharing </w:t>
      </w:r>
      <w:r w:rsidRPr="008C2D39">
        <w:lastRenderedPageBreak/>
        <w:t xml:space="preserve">of information and denotes fewer barriers to entry. Online platforms and social media are transforming the experience and marketing approaches in the banking industry (Del </w:t>
      </w:r>
      <w:proofErr w:type="spellStart"/>
      <w:r w:rsidRPr="008C2D39">
        <w:t>Sarto</w:t>
      </w:r>
      <w:proofErr w:type="spellEnd"/>
      <w:r w:rsidRPr="008C2D39">
        <w:t xml:space="preserve"> et al. 2025). This has increased the intensity of competition and pushed banks to keep on innovating in order to retain their position in the market.</w:t>
      </w:r>
    </w:p>
    <w:tbl>
      <w:tblPr>
        <w:tblStyle w:val="a"/>
        <w:tblW w:w="10260" w:type="dxa"/>
        <w:tblInd w:w="-5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485"/>
        <w:gridCol w:w="3585"/>
        <w:gridCol w:w="1860"/>
        <w:gridCol w:w="1935"/>
        <w:gridCol w:w="1395"/>
      </w:tblGrid>
      <w:tr w:rsidR="008C2D39" w:rsidRPr="008C2D39">
        <w:tc>
          <w:tcPr>
            <w:tcW w:w="1485" w:type="dxa"/>
            <w:shd w:val="clear" w:color="auto" w:fill="auto"/>
            <w:tcMar>
              <w:top w:w="100" w:type="dxa"/>
              <w:left w:w="100" w:type="dxa"/>
              <w:bottom w:w="100" w:type="dxa"/>
              <w:right w:w="100" w:type="dxa"/>
            </w:tcMar>
          </w:tcPr>
          <w:p w:rsidR="007232FD" w:rsidRPr="008C2D39" w:rsidRDefault="000B0D91">
            <w:pPr>
              <w:widowControl w:val="0"/>
              <w:jc w:val="center"/>
              <w:rPr>
                <w:b/>
                <w:bCs/>
              </w:rPr>
            </w:pPr>
            <w:r w:rsidRPr="008C2D39">
              <w:rPr>
                <w:b/>
                <w:bCs/>
              </w:rPr>
              <w:t>Company name</w:t>
            </w:r>
          </w:p>
        </w:tc>
        <w:tc>
          <w:tcPr>
            <w:tcW w:w="3585" w:type="dxa"/>
            <w:shd w:val="clear" w:color="auto" w:fill="auto"/>
            <w:tcMar>
              <w:top w:w="100" w:type="dxa"/>
              <w:left w:w="100" w:type="dxa"/>
              <w:bottom w:w="100" w:type="dxa"/>
              <w:right w:w="100" w:type="dxa"/>
            </w:tcMar>
          </w:tcPr>
          <w:p w:rsidR="007232FD" w:rsidRPr="008C2D39" w:rsidRDefault="000B0D91">
            <w:pPr>
              <w:widowControl w:val="0"/>
              <w:jc w:val="center"/>
              <w:rPr>
                <w:b/>
                <w:bCs/>
              </w:rPr>
            </w:pPr>
            <w:r w:rsidRPr="008C2D39">
              <w:rPr>
                <w:b/>
                <w:bCs/>
              </w:rPr>
              <w:t xml:space="preserve">Positioning strategy </w:t>
            </w:r>
          </w:p>
        </w:tc>
        <w:tc>
          <w:tcPr>
            <w:tcW w:w="1860" w:type="dxa"/>
            <w:shd w:val="clear" w:color="auto" w:fill="auto"/>
            <w:tcMar>
              <w:top w:w="100" w:type="dxa"/>
              <w:left w:w="100" w:type="dxa"/>
              <w:bottom w:w="100" w:type="dxa"/>
              <w:right w:w="100" w:type="dxa"/>
            </w:tcMar>
          </w:tcPr>
          <w:p w:rsidR="007232FD" w:rsidRPr="008C2D39" w:rsidRDefault="000B0D91">
            <w:pPr>
              <w:widowControl w:val="0"/>
              <w:jc w:val="center"/>
              <w:rPr>
                <w:b/>
                <w:bCs/>
              </w:rPr>
            </w:pPr>
            <w:r w:rsidRPr="008C2D39">
              <w:rPr>
                <w:b/>
                <w:bCs/>
              </w:rPr>
              <w:t xml:space="preserve">Ratio in terms of profitability </w:t>
            </w:r>
          </w:p>
        </w:tc>
        <w:tc>
          <w:tcPr>
            <w:tcW w:w="1935" w:type="dxa"/>
            <w:shd w:val="clear" w:color="auto" w:fill="auto"/>
            <w:tcMar>
              <w:top w:w="100" w:type="dxa"/>
              <w:left w:w="100" w:type="dxa"/>
              <w:bottom w:w="100" w:type="dxa"/>
              <w:right w:w="100" w:type="dxa"/>
            </w:tcMar>
          </w:tcPr>
          <w:p w:rsidR="007232FD" w:rsidRPr="008C2D39" w:rsidRDefault="000B0D91">
            <w:pPr>
              <w:widowControl w:val="0"/>
              <w:jc w:val="center"/>
              <w:rPr>
                <w:b/>
                <w:bCs/>
              </w:rPr>
            </w:pPr>
            <w:r w:rsidRPr="008C2D39">
              <w:rPr>
                <w:b/>
                <w:bCs/>
              </w:rPr>
              <w:t xml:space="preserve">Turnover (revenue) </w:t>
            </w:r>
          </w:p>
        </w:tc>
        <w:tc>
          <w:tcPr>
            <w:tcW w:w="1395" w:type="dxa"/>
            <w:shd w:val="clear" w:color="auto" w:fill="auto"/>
            <w:tcMar>
              <w:top w:w="100" w:type="dxa"/>
              <w:left w:w="100" w:type="dxa"/>
              <w:bottom w:w="100" w:type="dxa"/>
              <w:right w:w="100" w:type="dxa"/>
            </w:tcMar>
          </w:tcPr>
          <w:p w:rsidR="007232FD" w:rsidRPr="008C2D39" w:rsidRDefault="000B0D91">
            <w:pPr>
              <w:widowControl w:val="0"/>
              <w:jc w:val="left"/>
              <w:rPr>
                <w:b/>
                <w:bCs/>
              </w:rPr>
            </w:pPr>
            <w:r w:rsidRPr="008C2D39">
              <w:rPr>
                <w:b/>
                <w:bCs/>
              </w:rPr>
              <w:t>Employees</w:t>
            </w:r>
          </w:p>
        </w:tc>
      </w:tr>
      <w:tr w:rsidR="008C2D39" w:rsidRPr="008C2D39">
        <w:tc>
          <w:tcPr>
            <w:tcW w:w="1485" w:type="dxa"/>
            <w:shd w:val="clear" w:color="auto" w:fill="auto"/>
            <w:tcMar>
              <w:top w:w="100" w:type="dxa"/>
              <w:left w:w="100" w:type="dxa"/>
              <w:bottom w:w="100" w:type="dxa"/>
              <w:right w:w="100" w:type="dxa"/>
            </w:tcMar>
          </w:tcPr>
          <w:p w:rsidR="007232FD" w:rsidRPr="008C2D39" w:rsidRDefault="000B0D91">
            <w:pPr>
              <w:rPr>
                <w:b/>
                <w:bCs/>
                <w:i/>
                <w:iCs/>
              </w:rPr>
            </w:pPr>
            <w:r w:rsidRPr="008C2D39">
              <w:rPr>
                <w:b/>
                <w:bCs/>
                <w:i/>
                <w:iCs/>
              </w:rPr>
              <w:t>Banco Santander</w:t>
            </w:r>
          </w:p>
        </w:tc>
        <w:tc>
          <w:tcPr>
            <w:tcW w:w="3585" w:type="dxa"/>
            <w:shd w:val="clear" w:color="auto" w:fill="auto"/>
            <w:tcMar>
              <w:top w:w="100" w:type="dxa"/>
              <w:left w:w="100" w:type="dxa"/>
              <w:bottom w:w="100" w:type="dxa"/>
              <w:right w:w="100" w:type="dxa"/>
            </w:tcMar>
          </w:tcPr>
          <w:p w:rsidR="007232FD" w:rsidRPr="008C2D39" w:rsidRDefault="000B0D91">
            <w:pPr>
              <w:widowControl w:val="0"/>
              <w:numPr>
                <w:ilvl w:val="0"/>
                <w:numId w:val="3"/>
              </w:numPr>
              <w:pBdr>
                <w:top w:val="nil"/>
                <w:left w:val="nil"/>
                <w:bottom w:val="nil"/>
                <w:right w:val="nil"/>
                <w:between w:val="nil"/>
              </w:pBdr>
            </w:pPr>
            <w:r w:rsidRPr="008C2D39">
              <w:rPr>
                <w:highlight w:val="white"/>
              </w:rPr>
              <w:t>There are 5 major global businesses that operate across 10 core markets in Europe and USA</w:t>
            </w:r>
          </w:p>
          <w:p w:rsidR="007232FD" w:rsidRPr="008C2D39" w:rsidRDefault="000B0D91">
            <w:pPr>
              <w:widowControl w:val="0"/>
              <w:numPr>
                <w:ilvl w:val="0"/>
                <w:numId w:val="3"/>
              </w:numPr>
              <w:pBdr>
                <w:top w:val="nil"/>
                <w:left w:val="nil"/>
                <w:bottom w:val="nil"/>
                <w:right w:val="nil"/>
                <w:between w:val="nil"/>
              </w:pBdr>
            </w:pPr>
            <w:r w:rsidRPr="008C2D39">
              <w:rPr>
                <w:highlight w:val="white"/>
              </w:rPr>
              <w:t>Banking and financial products and services are offered to individuals and different enterprises in over 7,000 branches (</w:t>
            </w:r>
            <w:r w:rsidRPr="008C2D39">
              <w:t>Santander, 2025</w:t>
            </w:r>
            <w:r w:rsidRPr="008C2D39">
              <w:rPr>
                <w:highlight w:val="white"/>
              </w:rPr>
              <w:t>)</w:t>
            </w:r>
          </w:p>
          <w:p w:rsidR="001D4557" w:rsidRPr="008C2D39" w:rsidRDefault="001D4557">
            <w:pPr>
              <w:widowControl w:val="0"/>
              <w:numPr>
                <w:ilvl w:val="0"/>
                <w:numId w:val="3"/>
              </w:numPr>
              <w:pBdr>
                <w:top w:val="nil"/>
                <w:left w:val="nil"/>
                <w:bottom w:val="nil"/>
                <w:right w:val="nil"/>
                <w:between w:val="nil"/>
              </w:pBdr>
            </w:pPr>
            <w:r w:rsidRPr="008C2D39">
              <w:t>14 million+ customers and asset of £200 billion represent its robust presence in the market (Statista, 2025a)</w:t>
            </w:r>
          </w:p>
        </w:tc>
        <w:tc>
          <w:tcPr>
            <w:tcW w:w="1860" w:type="dxa"/>
            <w:shd w:val="clear" w:color="auto" w:fill="auto"/>
            <w:tcMar>
              <w:top w:w="100" w:type="dxa"/>
              <w:left w:w="100" w:type="dxa"/>
              <w:bottom w:w="100" w:type="dxa"/>
              <w:right w:w="100" w:type="dxa"/>
            </w:tcMar>
          </w:tcPr>
          <w:p w:rsidR="007232FD" w:rsidRPr="008C2D39" w:rsidRDefault="000B0D91">
            <w:pPr>
              <w:widowControl w:val="0"/>
              <w:pBdr>
                <w:top w:val="nil"/>
                <w:left w:val="nil"/>
                <w:bottom w:val="nil"/>
                <w:right w:val="nil"/>
                <w:between w:val="nil"/>
              </w:pBdr>
            </w:pPr>
            <w:r w:rsidRPr="008C2D39">
              <w:t>Profit before tax of £1,482m as of 2025 (Santander, 2026)</w:t>
            </w:r>
          </w:p>
        </w:tc>
        <w:tc>
          <w:tcPr>
            <w:tcW w:w="1935" w:type="dxa"/>
            <w:shd w:val="clear" w:color="auto" w:fill="auto"/>
            <w:tcMar>
              <w:top w:w="100" w:type="dxa"/>
              <w:left w:w="100" w:type="dxa"/>
              <w:bottom w:w="100" w:type="dxa"/>
              <w:right w:w="100" w:type="dxa"/>
            </w:tcMar>
          </w:tcPr>
          <w:p w:rsidR="007232FD" w:rsidRPr="008C2D39" w:rsidRDefault="000B0D91">
            <w:pPr>
              <w:widowControl w:val="0"/>
              <w:pBdr>
                <w:top w:val="nil"/>
                <w:left w:val="nil"/>
                <w:bottom w:val="nil"/>
                <w:right w:val="nil"/>
                <w:between w:val="nil"/>
              </w:pBdr>
            </w:pPr>
            <w:r w:rsidRPr="008C2D39">
              <w:t>Revenue of £4,729 million in 2025</w:t>
            </w:r>
          </w:p>
        </w:tc>
        <w:tc>
          <w:tcPr>
            <w:tcW w:w="1395" w:type="dxa"/>
            <w:shd w:val="clear" w:color="auto" w:fill="auto"/>
            <w:tcMar>
              <w:top w:w="100" w:type="dxa"/>
              <w:left w:w="100" w:type="dxa"/>
              <w:bottom w:w="100" w:type="dxa"/>
              <w:right w:w="100" w:type="dxa"/>
            </w:tcMar>
          </w:tcPr>
          <w:p w:rsidR="007232FD" w:rsidRPr="008C2D39" w:rsidRDefault="000B0D91">
            <w:pPr>
              <w:widowControl w:val="0"/>
              <w:pBdr>
                <w:top w:val="nil"/>
                <w:left w:val="nil"/>
                <w:bottom w:val="nil"/>
                <w:right w:val="nil"/>
                <w:between w:val="nil"/>
              </w:pBdr>
            </w:pPr>
            <w:r w:rsidRPr="008C2D39">
              <w:t>198,403 employees as of December 2025</w:t>
            </w:r>
          </w:p>
        </w:tc>
      </w:tr>
      <w:tr w:rsidR="008C2D39" w:rsidRPr="008C2D39">
        <w:tc>
          <w:tcPr>
            <w:tcW w:w="1485" w:type="dxa"/>
            <w:shd w:val="clear" w:color="auto" w:fill="auto"/>
            <w:tcMar>
              <w:top w:w="100" w:type="dxa"/>
              <w:left w:w="100" w:type="dxa"/>
              <w:bottom w:w="100" w:type="dxa"/>
              <w:right w:w="100" w:type="dxa"/>
            </w:tcMar>
          </w:tcPr>
          <w:p w:rsidR="007232FD" w:rsidRPr="008C2D39" w:rsidRDefault="000B0D91">
            <w:pPr>
              <w:rPr>
                <w:b/>
                <w:bCs/>
                <w:i/>
                <w:iCs/>
              </w:rPr>
            </w:pPr>
            <w:r w:rsidRPr="008C2D39">
              <w:rPr>
                <w:b/>
                <w:bCs/>
                <w:i/>
                <w:iCs/>
              </w:rPr>
              <w:t>Barclays</w:t>
            </w:r>
          </w:p>
        </w:tc>
        <w:tc>
          <w:tcPr>
            <w:tcW w:w="3585" w:type="dxa"/>
            <w:shd w:val="clear" w:color="auto" w:fill="auto"/>
            <w:tcMar>
              <w:top w:w="100" w:type="dxa"/>
              <w:left w:w="100" w:type="dxa"/>
              <w:bottom w:w="100" w:type="dxa"/>
              <w:right w:w="100" w:type="dxa"/>
            </w:tcMar>
          </w:tcPr>
          <w:p w:rsidR="007232FD" w:rsidRPr="008C2D39" w:rsidRDefault="000B0D91">
            <w:pPr>
              <w:widowControl w:val="0"/>
              <w:numPr>
                <w:ilvl w:val="0"/>
                <w:numId w:val="2"/>
              </w:numPr>
              <w:pBdr>
                <w:top w:val="nil"/>
                <w:left w:val="nil"/>
                <w:bottom w:val="nil"/>
                <w:right w:val="nil"/>
                <w:between w:val="nil"/>
              </w:pBdr>
            </w:pPr>
            <w:r w:rsidRPr="008C2D39">
              <w:t>It is specialised into Retail Banking and Business Banking</w:t>
            </w:r>
          </w:p>
          <w:p w:rsidR="007232FD" w:rsidRPr="008C2D39" w:rsidRDefault="000B0D91">
            <w:pPr>
              <w:widowControl w:val="0"/>
              <w:numPr>
                <w:ilvl w:val="0"/>
                <w:numId w:val="2"/>
              </w:numPr>
              <w:pBdr>
                <w:top w:val="nil"/>
                <w:left w:val="nil"/>
                <w:bottom w:val="nil"/>
                <w:right w:val="nil"/>
                <w:between w:val="nil"/>
              </w:pBdr>
            </w:pPr>
            <w:r w:rsidRPr="008C2D39">
              <w:t xml:space="preserve">Excellent banking benefits </w:t>
            </w:r>
            <w:r w:rsidR="001D4557" w:rsidRPr="008C2D39">
              <w:t>for high</w:t>
            </w:r>
            <w:r w:rsidRPr="008C2D39">
              <w:t>-growth start-ups to SMEs</w:t>
            </w:r>
          </w:p>
          <w:p w:rsidR="007232FD" w:rsidRPr="008C2D39" w:rsidRDefault="000B0D91">
            <w:pPr>
              <w:widowControl w:val="0"/>
              <w:numPr>
                <w:ilvl w:val="0"/>
                <w:numId w:val="2"/>
              </w:numPr>
              <w:pBdr>
                <w:top w:val="nil"/>
                <w:left w:val="nil"/>
                <w:bottom w:val="nil"/>
                <w:right w:val="nil"/>
                <w:between w:val="nil"/>
              </w:pBdr>
            </w:pPr>
            <w:r w:rsidRPr="008C2D39">
              <w:t>13.9 million digitally active customers</w:t>
            </w:r>
          </w:p>
        </w:tc>
        <w:tc>
          <w:tcPr>
            <w:tcW w:w="1860" w:type="dxa"/>
            <w:shd w:val="clear" w:color="auto" w:fill="auto"/>
            <w:tcMar>
              <w:top w:w="100" w:type="dxa"/>
              <w:left w:w="100" w:type="dxa"/>
              <w:bottom w:w="100" w:type="dxa"/>
              <w:right w:w="100" w:type="dxa"/>
            </w:tcMar>
          </w:tcPr>
          <w:p w:rsidR="007232FD" w:rsidRPr="008C2D39" w:rsidRDefault="000B0D91">
            <w:pPr>
              <w:widowControl w:val="0"/>
            </w:pPr>
            <w:r w:rsidRPr="008C2D39">
              <w:t>Profit before tax of £3.4bn as of 2025 (Barclays, 2026)</w:t>
            </w:r>
          </w:p>
        </w:tc>
        <w:tc>
          <w:tcPr>
            <w:tcW w:w="1935" w:type="dxa"/>
            <w:shd w:val="clear" w:color="auto" w:fill="auto"/>
            <w:tcMar>
              <w:top w:w="100" w:type="dxa"/>
              <w:left w:w="100" w:type="dxa"/>
              <w:bottom w:w="100" w:type="dxa"/>
              <w:right w:w="100" w:type="dxa"/>
            </w:tcMar>
          </w:tcPr>
          <w:p w:rsidR="007232FD" w:rsidRPr="008C2D39" w:rsidRDefault="000B0D91">
            <w:pPr>
              <w:widowControl w:val="0"/>
              <w:pBdr>
                <w:top w:val="nil"/>
                <w:left w:val="nil"/>
                <w:bottom w:val="nil"/>
                <w:right w:val="nil"/>
                <w:between w:val="nil"/>
              </w:pBdr>
            </w:pPr>
            <w:r w:rsidRPr="008C2D39">
              <w:t>£0.6bn revenues generated solely from sustainable and transition-related activity and holds 6.5% share in the Global Market</w:t>
            </w:r>
          </w:p>
        </w:tc>
        <w:tc>
          <w:tcPr>
            <w:tcW w:w="1395" w:type="dxa"/>
            <w:shd w:val="clear" w:color="auto" w:fill="auto"/>
            <w:tcMar>
              <w:top w:w="100" w:type="dxa"/>
              <w:left w:w="100" w:type="dxa"/>
              <w:bottom w:w="100" w:type="dxa"/>
              <w:right w:w="100" w:type="dxa"/>
            </w:tcMar>
          </w:tcPr>
          <w:p w:rsidR="007232FD" w:rsidRPr="008C2D39" w:rsidRDefault="000B0D91">
            <w:pPr>
              <w:widowControl w:val="0"/>
              <w:pBdr>
                <w:top w:val="nil"/>
                <w:left w:val="nil"/>
                <w:bottom w:val="nil"/>
                <w:right w:val="nil"/>
                <w:between w:val="nil"/>
              </w:pBdr>
            </w:pPr>
            <w:r w:rsidRPr="008C2D39">
              <w:t xml:space="preserve">85,000 employees </w:t>
            </w:r>
          </w:p>
        </w:tc>
      </w:tr>
      <w:tr w:rsidR="008C2D39" w:rsidRPr="008C2D39">
        <w:tc>
          <w:tcPr>
            <w:tcW w:w="1485" w:type="dxa"/>
            <w:shd w:val="clear" w:color="auto" w:fill="auto"/>
            <w:tcMar>
              <w:top w:w="100" w:type="dxa"/>
              <w:left w:w="100" w:type="dxa"/>
              <w:bottom w:w="100" w:type="dxa"/>
              <w:right w:w="100" w:type="dxa"/>
            </w:tcMar>
          </w:tcPr>
          <w:p w:rsidR="007232FD" w:rsidRPr="008C2D39" w:rsidRDefault="000B0D91">
            <w:pPr>
              <w:rPr>
                <w:b/>
                <w:bCs/>
                <w:i/>
                <w:iCs/>
              </w:rPr>
            </w:pPr>
            <w:r w:rsidRPr="008C2D39">
              <w:rPr>
                <w:b/>
                <w:bCs/>
                <w:i/>
                <w:iCs/>
              </w:rPr>
              <w:lastRenderedPageBreak/>
              <w:t>Lloyds Banking Group</w:t>
            </w:r>
          </w:p>
        </w:tc>
        <w:tc>
          <w:tcPr>
            <w:tcW w:w="3585" w:type="dxa"/>
            <w:shd w:val="clear" w:color="auto" w:fill="auto"/>
            <w:tcMar>
              <w:top w:w="100" w:type="dxa"/>
              <w:left w:w="100" w:type="dxa"/>
              <w:bottom w:w="100" w:type="dxa"/>
              <w:right w:w="100" w:type="dxa"/>
            </w:tcMar>
          </w:tcPr>
          <w:p w:rsidR="007232FD" w:rsidRPr="008C2D39" w:rsidRDefault="000B0D91">
            <w:pPr>
              <w:widowControl w:val="0"/>
              <w:pBdr>
                <w:top w:val="nil"/>
                <w:left w:val="nil"/>
                <w:bottom w:val="nil"/>
                <w:right w:val="nil"/>
                <w:between w:val="nil"/>
              </w:pBdr>
            </w:pPr>
            <w:r w:rsidRPr="008C2D39">
              <w:t xml:space="preserve">The four main pillars to success and growth are: </w:t>
            </w:r>
          </w:p>
          <w:p w:rsidR="007232FD" w:rsidRPr="008C2D39" w:rsidRDefault="000B0D91">
            <w:pPr>
              <w:widowControl w:val="0"/>
              <w:numPr>
                <w:ilvl w:val="0"/>
                <w:numId w:val="5"/>
              </w:numPr>
              <w:pBdr>
                <w:top w:val="nil"/>
                <w:left w:val="nil"/>
                <w:bottom w:val="nil"/>
                <w:right w:val="nil"/>
                <w:between w:val="nil"/>
              </w:pBdr>
            </w:pPr>
            <w:r w:rsidRPr="008C2D39">
              <w:t>“</w:t>
            </w:r>
            <w:r w:rsidRPr="008C2D39">
              <w:rPr>
                <w:i/>
                <w:iCs/>
              </w:rPr>
              <w:t xml:space="preserve">Deepen and innovate in Consumer </w:t>
            </w:r>
          </w:p>
          <w:p w:rsidR="007232FD" w:rsidRPr="008C2D39" w:rsidRDefault="000B0D91">
            <w:pPr>
              <w:widowControl w:val="0"/>
              <w:numPr>
                <w:ilvl w:val="0"/>
                <w:numId w:val="5"/>
              </w:numPr>
              <w:pBdr>
                <w:top w:val="nil"/>
                <w:left w:val="nil"/>
                <w:bottom w:val="nil"/>
                <w:right w:val="nil"/>
                <w:between w:val="nil"/>
              </w:pBdr>
              <w:rPr>
                <w:i/>
                <w:iCs/>
              </w:rPr>
            </w:pPr>
            <w:r w:rsidRPr="008C2D39">
              <w:rPr>
                <w:i/>
                <w:iCs/>
              </w:rPr>
              <w:t xml:space="preserve">Create a new Mass Affluent offering </w:t>
            </w:r>
          </w:p>
          <w:p w:rsidR="007232FD" w:rsidRPr="008C2D39" w:rsidRDefault="000B0D91">
            <w:pPr>
              <w:widowControl w:val="0"/>
              <w:numPr>
                <w:ilvl w:val="0"/>
                <w:numId w:val="5"/>
              </w:numPr>
              <w:pBdr>
                <w:top w:val="nil"/>
                <w:left w:val="nil"/>
                <w:bottom w:val="nil"/>
                <w:right w:val="nil"/>
                <w:between w:val="nil"/>
              </w:pBdr>
              <w:rPr>
                <w:i/>
                <w:iCs/>
              </w:rPr>
            </w:pPr>
            <w:r w:rsidRPr="008C2D39">
              <w:rPr>
                <w:i/>
                <w:iCs/>
              </w:rPr>
              <w:t xml:space="preserve">Digitise and diversify the BCB business </w:t>
            </w:r>
          </w:p>
          <w:p w:rsidR="007232FD" w:rsidRPr="008C2D39" w:rsidRDefault="000B0D91">
            <w:pPr>
              <w:widowControl w:val="0"/>
              <w:numPr>
                <w:ilvl w:val="0"/>
                <w:numId w:val="5"/>
              </w:numPr>
              <w:pBdr>
                <w:top w:val="nil"/>
                <w:left w:val="nil"/>
                <w:bottom w:val="nil"/>
                <w:right w:val="nil"/>
                <w:between w:val="nil"/>
              </w:pBdr>
            </w:pPr>
            <w:r w:rsidRPr="008C2D39">
              <w:rPr>
                <w:i/>
                <w:iCs/>
              </w:rPr>
              <w:t>Develop Corporate and Institutional business</w:t>
            </w:r>
            <w:r w:rsidRPr="008C2D39">
              <w:t>” (Lloyds Banking, 2026)</w:t>
            </w:r>
          </w:p>
        </w:tc>
        <w:tc>
          <w:tcPr>
            <w:tcW w:w="1860" w:type="dxa"/>
            <w:shd w:val="clear" w:color="auto" w:fill="auto"/>
            <w:tcMar>
              <w:top w:w="100" w:type="dxa"/>
              <w:left w:w="100" w:type="dxa"/>
              <w:bottom w:w="100" w:type="dxa"/>
              <w:right w:w="100" w:type="dxa"/>
            </w:tcMar>
          </w:tcPr>
          <w:p w:rsidR="007232FD" w:rsidRPr="008C2D39" w:rsidRDefault="000B0D91">
            <w:pPr>
              <w:widowControl w:val="0"/>
              <w:pBdr>
                <w:top w:val="nil"/>
                <w:left w:val="nil"/>
                <w:bottom w:val="nil"/>
                <w:right w:val="nil"/>
                <w:between w:val="nil"/>
              </w:pBdr>
            </w:pPr>
            <w:r w:rsidRPr="008C2D39">
              <w:t>Statutory profit before tax of £6,661m (Lloyds Banking, 2026)</w:t>
            </w:r>
          </w:p>
        </w:tc>
        <w:tc>
          <w:tcPr>
            <w:tcW w:w="1935" w:type="dxa"/>
            <w:shd w:val="clear" w:color="auto" w:fill="auto"/>
            <w:tcMar>
              <w:top w:w="100" w:type="dxa"/>
              <w:left w:w="100" w:type="dxa"/>
              <w:bottom w:w="100" w:type="dxa"/>
              <w:right w:w="100" w:type="dxa"/>
            </w:tcMar>
          </w:tcPr>
          <w:p w:rsidR="007232FD" w:rsidRPr="008C2D39" w:rsidRDefault="000B0D91">
            <w:pPr>
              <w:widowControl w:val="0"/>
              <w:pBdr>
                <w:top w:val="nil"/>
                <w:left w:val="nil"/>
                <w:bottom w:val="nil"/>
                <w:right w:val="nil"/>
                <w:between w:val="nil"/>
              </w:pBdr>
            </w:pPr>
            <w:r w:rsidRPr="008C2D39">
              <w:t>Net income of £10,828 million</w:t>
            </w:r>
          </w:p>
        </w:tc>
        <w:tc>
          <w:tcPr>
            <w:tcW w:w="1395" w:type="dxa"/>
            <w:shd w:val="clear" w:color="auto" w:fill="auto"/>
            <w:tcMar>
              <w:top w:w="100" w:type="dxa"/>
              <w:left w:w="100" w:type="dxa"/>
              <w:bottom w:w="100" w:type="dxa"/>
              <w:right w:w="100" w:type="dxa"/>
            </w:tcMar>
          </w:tcPr>
          <w:p w:rsidR="007232FD" w:rsidRPr="008C2D39" w:rsidRDefault="000B0D91">
            <w:pPr>
              <w:widowControl w:val="0"/>
            </w:pPr>
            <w:r w:rsidRPr="008C2D39">
              <w:t xml:space="preserve">65,000 employees </w:t>
            </w:r>
          </w:p>
        </w:tc>
      </w:tr>
      <w:tr w:rsidR="008C2D39" w:rsidRPr="008C2D39">
        <w:tc>
          <w:tcPr>
            <w:tcW w:w="1485" w:type="dxa"/>
            <w:shd w:val="clear" w:color="auto" w:fill="auto"/>
            <w:tcMar>
              <w:top w:w="100" w:type="dxa"/>
              <w:left w:w="100" w:type="dxa"/>
              <w:bottom w:w="100" w:type="dxa"/>
              <w:right w:w="100" w:type="dxa"/>
            </w:tcMar>
          </w:tcPr>
          <w:p w:rsidR="007232FD" w:rsidRPr="008C2D39" w:rsidRDefault="000B0D91">
            <w:pPr>
              <w:rPr>
                <w:b/>
                <w:bCs/>
                <w:i/>
                <w:iCs/>
              </w:rPr>
            </w:pPr>
            <w:r w:rsidRPr="008C2D39">
              <w:rPr>
                <w:b/>
                <w:bCs/>
                <w:i/>
                <w:iCs/>
              </w:rPr>
              <w:t>NatWest</w:t>
            </w:r>
          </w:p>
        </w:tc>
        <w:tc>
          <w:tcPr>
            <w:tcW w:w="3585" w:type="dxa"/>
            <w:shd w:val="clear" w:color="auto" w:fill="auto"/>
            <w:tcMar>
              <w:top w:w="100" w:type="dxa"/>
              <w:left w:w="100" w:type="dxa"/>
              <w:bottom w:w="100" w:type="dxa"/>
              <w:right w:w="100" w:type="dxa"/>
            </w:tcMar>
          </w:tcPr>
          <w:p w:rsidR="007232FD" w:rsidRPr="008C2D39" w:rsidRDefault="000B0D91">
            <w:pPr>
              <w:widowControl w:val="0"/>
              <w:numPr>
                <w:ilvl w:val="0"/>
                <w:numId w:val="4"/>
              </w:numPr>
              <w:pBdr>
                <w:top w:val="nil"/>
                <w:left w:val="nil"/>
                <w:bottom w:val="nil"/>
                <w:right w:val="nil"/>
                <w:between w:val="nil"/>
              </w:pBdr>
            </w:pPr>
            <w:r w:rsidRPr="008C2D39">
              <w:t xml:space="preserve">It prioritizes </w:t>
            </w:r>
            <w:r w:rsidRPr="008C2D39">
              <w:rPr>
                <w:i/>
                <w:iCs/>
              </w:rPr>
              <w:t xml:space="preserve">Competitive Positioning </w:t>
            </w:r>
            <w:r w:rsidRPr="008C2D39">
              <w:t xml:space="preserve">wherein security concerns are given the most emphasis </w:t>
            </w:r>
          </w:p>
          <w:p w:rsidR="007232FD" w:rsidRPr="008C2D39" w:rsidRDefault="000B0D91">
            <w:pPr>
              <w:widowControl w:val="0"/>
              <w:numPr>
                <w:ilvl w:val="0"/>
                <w:numId w:val="4"/>
              </w:numPr>
              <w:pBdr>
                <w:top w:val="nil"/>
                <w:left w:val="nil"/>
                <w:bottom w:val="nil"/>
                <w:right w:val="nil"/>
                <w:between w:val="nil"/>
              </w:pBdr>
            </w:pPr>
            <w:r w:rsidRPr="008C2D39">
              <w:t>Has dived deep into the use of Agentic AI that ensured strategic advantage (</w:t>
            </w:r>
            <w:proofErr w:type="spellStart"/>
            <w:r w:rsidRPr="008C2D39">
              <w:t>Natwest</w:t>
            </w:r>
            <w:proofErr w:type="spellEnd"/>
            <w:r w:rsidRPr="008C2D39">
              <w:t xml:space="preserve"> Group, 2026)</w:t>
            </w:r>
          </w:p>
        </w:tc>
        <w:tc>
          <w:tcPr>
            <w:tcW w:w="1860" w:type="dxa"/>
            <w:shd w:val="clear" w:color="auto" w:fill="auto"/>
            <w:tcMar>
              <w:top w:w="100" w:type="dxa"/>
              <w:left w:w="100" w:type="dxa"/>
              <w:bottom w:w="100" w:type="dxa"/>
              <w:right w:w="100" w:type="dxa"/>
            </w:tcMar>
          </w:tcPr>
          <w:p w:rsidR="007232FD" w:rsidRPr="008C2D39" w:rsidRDefault="000B0D91">
            <w:pPr>
              <w:widowControl w:val="0"/>
              <w:pBdr>
                <w:top w:val="nil"/>
                <w:left w:val="nil"/>
                <w:bottom w:val="nil"/>
                <w:right w:val="nil"/>
                <w:between w:val="nil"/>
              </w:pBdr>
            </w:pPr>
            <w:r w:rsidRPr="008C2D39">
              <w:t>Profit before tax of £7708 million as of 2025 (</w:t>
            </w:r>
            <w:proofErr w:type="spellStart"/>
            <w:r w:rsidRPr="008C2D39">
              <w:t>Natwest</w:t>
            </w:r>
            <w:proofErr w:type="spellEnd"/>
            <w:r w:rsidRPr="008C2D39">
              <w:t xml:space="preserve"> Group, 2026)</w:t>
            </w:r>
          </w:p>
        </w:tc>
        <w:tc>
          <w:tcPr>
            <w:tcW w:w="1935" w:type="dxa"/>
            <w:shd w:val="clear" w:color="auto" w:fill="auto"/>
            <w:tcMar>
              <w:top w:w="100" w:type="dxa"/>
              <w:left w:w="100" w:type="dxa"/>
              <w:bottom w:w="100" w:type="dxa"/>
              <w:right w:w="100" w:type="dxa"/>
            </w:tcMar>
          </w:tcPr>
          <w:p w:rsidR="007232FD" w:rsidRPr="008C2D39" w:rsidRDefault="000B0D91">
            <w:pPr>
              <w:widowControl w:val="0"/>
              <w:pBdr>
                <w:top w:val="nil"/>
                <w:left w:val="nil"/>
                <w:bottom w:val="nil"/>
                <w:right w:val="nil"/>
                <w:between w:val="nil"/>
              </w:pBdr>
            </w:pPr>
            <w:r w:rsidRPr="008C2D39">
              <w:t>The total income in 2025 was £16.6 billion, which increased by 13.2% from the previous year.</w:t>
            </w:r>
          </w:p>
        </w:tc>
        <w:tc>
          <w:tcPr>
            <w:tcW w:w="1395" w:type="dxa"/>
            <w:shd w:val="clear" w:color="auto" w:fill="auto"/>
            <w:tcMar>
              <w:top w:w="100" w:type="dxa"/>
              <w:left w:w="100" w:type="dxa"/>
              <w:bottom w:w="100" w:type="dxa"/>
              <w:right w:w="100" w:type="dxa"/>
            </w:tcMar>
          </w:tcPr>
          <w:p w:rsidR="007232FD" w:rsidRPr="008C2D39" w:rsidRDefault="000B0D91">
            <w:pPr>
              <w:widowControl w:val="0"/>
              <w:pBdr>
                <w:top w:val="nil"/>
                <w:left w:val="nil"/>
                <w:bottom w:val="nil"/>
                <w:right w:val="nil"/>
                <w:between w:val="nil"/>
              </w:pBdr>
            </w:pPr>
            <w:r w:rsidRPr="008C2D39">
              <w:t>62,100 employees as of 2024</w:t>
            </w:r>
          </w:p>
        </w:tc>
      </w:tr>
      <w:tr w:rsidR="008C2D39" w:rsidRPr="008C2D39">
        <w:tc>
          <w:tcPr>
            <w:tcW w:w="1485" w:type="dxa"/>
            <w:shd w:val="clear" w:color="auto" w:fill="auto"/>
            <w:tcMar>
              <w:top w:w="100" w:type="dxa"/>
              <w:left w:w="100" w:type="dxa"/>
              <w:bottom w:w="100" w:type="dxa"/>
              <w:right w:w="100" w:type="dxa"/>
            </w:tcMar>
          </w:tcPr>
          <w:p w:rsidR="007232FD" w:rsidRPr="008C2D39" w:rsidRDefault="000B0D91">
            <w:pPr>
              <w:rPr>
                <w:b/>
                <w:bCs/>
                <w:i/>
                <w:iCs/>
              </w:rPr>
            </w:pPr>
            <w:r w:rsidRPr="008C2D39">
              <w:rPr>
                <w:b/>
                <w:bCs/>
                <w:i/>
                <w:iCs/>
              </w:rPr>
              <w:t xml:space="preserve">JPMorgan </w:t>
            </w:r>
          </w:p>
        </w:tc>
        <w:tc>
          <w:tcPr>
            <w:tcW w:w="3585" w:type="dxa"/>
            <w:shd w:val="clear" w:color="auto" w:fill="auto"/>
            <w:tcMar>
              <w:top w:w="100" w:type="dxa"/>
              <w:left w:w="100" w:type="dxa"/>
              <w:bottom w:w="100" w:type="dxa"/>
              <w:right w:w="100" w:type="dxa"/>
            </w:tcMar>
          </w:tcPr>
          <w:p w:rsidR="007232FD" w:rsidRPr="008C2D39" w:rsidRDefault="000B0D91">
            <w:pPr>
              <w:widowControl w:val="0"/>
              <w:numPr>
                <w:ilvl w:val="0"/>
                <w:numId w:val="1"/>
              </w:numPr>
              <w:pBdr>
                <w:top w:val="nil"/>
                <w:left w:val="nil"/>
                <w:bottom w:val="nil"/>
                <w:right w:val="nil"/>
                <w:between w:val="nil"/>
              </w:pBdr>
            </w:pPr>
            <w:r w:rsidRPr="008C2D39">
              <w:t>Client engagement with macro solutions, especially foreign exchange is the main focus</w:t>
            </w:r>
          </w:p>
          <w:p w:rsidR="007232FD" w:rsidRPr="008C2D39" w:rsidRDefault="000B0D91">
            <w:pPr>
              <w:widowControl w:val="0"/>
              <w:numPr>
                <w:ilvl w:val="0"/>
                <w:numId w:val="1"/>
              </w:numPr>
              <w:pBdr>
                <w:top w:val="nil"/>
                <w:left w:val="nil"/>
                <w:bottom w:val="nil"/>
                <w:right w:val="nil"/>
                <w:between w:val="nil"/>
              </w:pBdr>
            </w:pPr>
            <w:r w:rsidRPr="008C2D39">
              <w:t xml:space="preserve">The annual rate of growth of assets is 14% </w:t>
            </w:r>
          </w:p>
          <w:p w:rsidR="007232FD" w:rsidRPr="008C2D39" w:rsidRDefault="000B0D91">
            <w:pPr>
              <w:widowControl w:val="0"/>
              <w:numPr>
                <w:ilvl w:val="0"/>
                <w:numId w:val="1"/>
              </w:numPr>
              <w:pBdr>
                <w:top w:val="nil"/>
                <w:left w:val="nil"/>
                <w:bottom w:val="nil"/>
                <w:right w:val="nil"/>
                <w:between w:val="nil"/>
              </w:pBdr>
            </w:pPr>
            <w:r w:rsidRPr="008C2D39">
              <w:t>It is further projected to double up from $17 trillion in 2024 to $32 trillion in 2030 (JP Morgan, 2026).</w:t>
            </w:r>
          </w:p>
        </w:tc>
        <w:tc>
          <w:tcPr>
            <w:tcW w:w="1860" w:type="dxa"/>
            <w:shd w:val="clear" w:color="auto" w:fill="auto"/>
            <w:tcMar>
              <w:top w:w="100" w:type="dxa"/>
              <w:left w:w="100" w:type="dxa"/>
              <w:bottom w:w="100" w:type="dxa"/>
              <w:right w:w="100" w:type="dxa"/>
            </w:tcMar>
          </w:tcPr>
          <w:p w:rsidR="007232FD" w:rsidRPr="008C2D39" w:rsidRDefault="000B0D91">
            <w:pPr>
              <w:widowControl w:val="0"/>
              <w:pBdr>
                <w:top w:val="nil"/>
                <w:left w:val="nil"/>
                <w:bottom w:val="nil"/>
                <w:right w:val="nil"/>
                <w:between w:val="nil"/>
              </w:pBdr>
            </w:pPr>
            <w:r w:rsidRPr="008C2D39">
              <w:t>17% Return on common equity (ROE), with a Liquidity coverage ratio of 111 and total capital ratio of 17.4 (JP Morgan, 2026)</w:t>
            </w:r>
          </w:p>
        </w:tc>
        <w:tc>
          <w:tcPr>
            <w:tcW w:w="1935" w:type="dxa"/>
            <w:shd w:val="clear" w:color="auto" w:fill="auto"/>
            <w:tcMar>
              <w:top w:w="100" w:type="dxa"/>
              <w:left w:w="100" w:type="dxa"/>
              <w:bottom w:w="100" w:type="dxa"/>
              <w:right w:w="100" w:type="dxa"/>
            </w:tcMar>
          </w:tcPr>
          <w:p w:rsidR="007232FD" w:rsidRPr="008C2D39" w:rsidRDefault="000B0D91">
            <w:pPr>
              <w:widowControl w:val="0"/>
              <w:pBdr>
                <w:top w:val="nil"/>
                <w:left w:val="nil"/>
                <w:bottom w:val="nil"/>
                <w:right w:val="nil"/>
                <w:between w:val="nil"/>
              </w:pBdr>
            </w:pPr>
            <w:r w:rsidRPr="008C2D39">
              <w:t>Total net revenue of $182,447 as in 2025</w:t>
            </w:r>
          </w:p>
        </w:tc>
        <w:tc>
          <w:tcPr>
            <w:tcW w:w="1395" w:type="dxa"/>
            <w:shd w:val="clear" w:color="auto" w:fill="auto"/>
            <w:tcMar>
              <w:top w:w="100" w:type="dxa"/>
              <w:left w:w="100" w:type="dxa"/>
              <w:bottom w:w="100" w:type="dxa"/>
              <w:right w:w="100" w:type="dxa"/>
            </w:tcMar>
          </w:tcPr>
          <w:p w:rsidR="007232FD" w:rsidRPr="008C2D39" w:rsidRDefault="000B0D91">
            <w:pPr>
              <w:widowControl w:val="0"/>
              <w:pBdr>
                <w:top w:val="nil"/>
                <w:left w:val="nil"/>
                <w:bottom w:val="nil"/>
                <w:right w:val="nil"/>
                <w:between w:val="nil"/>
              </w:pBdr>
            </w:pPr>
            <w:r w:rsidRPr="008C2D39">
              <w:t>318,512 employees globally as of 2025</w:t>
            </w:r>
          </w:p>
        </w:tc>
      </w:tr>
    </w:tbl>
    <w:p w:rsidR="007232FD" w:rsidRPr="008C2D39" w:rsidRDefault="007232FD">
      <w:pPr>
        <w:jc w:val="center"/>
        <w:rPr>
          <w:b/>
          <w:bCs/>
        </w:rPr>
      </w:pPr>
    </w:p>
    <w:p w:rsidR="007232FD" w:rsidRPr="008C2D39" w:rsidRDefault="000B0D91">
      <w:pPr>
        <w:jc w:val="center"/>
        <w:rPr>
          <w:b/>
          <w:bCs/>
        </w:rPr>
      </w:pPr>
      <w:r w:rsidRPr="008C2D39">
        <w:rPr>
          <w:b/>
          <w:bCs/>
        </w:rPr>
        <w:t>Table 1: comparative analysis of five key operating companies</w:t>
      </w:r>
    </w:p>
    <w:p w:rsidR="007232FD" w:rsidRPr="008C2D39" w:rsidRDefault="000B0D91">
      <w:pPr>
        <w:pStyle w:val="Heading3"/>
      </w:pPr>
      <w:bookmarkStart w:id="7" w:name="_Toc227932170"/>
      <w:r w:rsidRPr="008C2D39">
        <w:t>2.4 Competitive Positioning</w:t>
      </w:r>
      <w:bookmarkEnd w:id="7"/>
    </w:p>
    <w:p w:rsidR="007232FD" w:rsidRPr="008C2D39" w:rsidRDefault="000B0D91">
      <w:pPr>
        <w:jc w:val="center"/>
      </w:pPr>
      <w:r w:rsidRPr="008C2D39">
        <w:rPr>
          <w:noProof/>
          <w:lang w:val="en-US" w:eastAsia="en-US"/>
        </w:rPr>
        <w:drawing>
          <wp:inline distT="114300" distB="114300" distL="114300" distR="114300">
            <wp:extent cx="5731200" cy="3073400"/>
            <wp:effectExtent l="12700" t="12700" r="12700" b="127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cstate="print"/>
                    <a:srcRect/>
                    <a:stretch>
                      <a:fillRect/>
                    </a:stretch>
                  </pic:blipFill>
                  <pic:spPr>
                    <a:xfrm>
                      <a:off x="0" y="0"/>
                      <a:ext cx="5731200" cy="3073400"/>
                    </a:xfrm>
                    <a:prstGeom prst="rect">
                      <a:avLst/>
                    </a:prstGeom>
                    <a:ln w="12700">
                      <a:solidFill>
                        <a:srgbClr val="000000"/>
                      </a:solidFill>
                      <a:prstDash val="solid"/>
                    </a:ln>
                  </pic:spPr>
                </pic:pic>
              </a:graphicData>
            </a:graphic>
          </wp:inline>
        </w:drawing>
      </w:r>
    </w:p>
    <w:p w:rsidR="007232FD" w:rsidRPr="008C2D39" w:rsidRDefault="000B0D91">
      <w:pPr>
        <w:jc w:val="center"/>
        <w:rPr>
          <w:b/>
          <w:bCs/>
        </w:rPr>
      </w:pPr>
      <w:r w:rsidRPr="008C2D39">
        <w:rPr>
          <w:b/>
          <w:bCs/>
        </w:rPr>
        <w:t>Figure 2: United Kingdom Retail Banking Market Size and Share</w:t>
      </w:r>
    </w:p>
    <w:p w:rsidR="007232FD" w:rsidRPr="008C2D39" w:rsidRDefault="000B0D91">
      <w:pPr>
        <w:jc w:val="center"/>
      </w:pPr>
      <w:r w:rsidRPr="008C2D39">
        <w:t>(Source: Mordor Intelligence, 2025)</w:t>
      </w:r>
    </w:p>
    <w:p w:rsidR="007232FD" w:rsidRPr="008C2D39" w:rsidRDefault="000B0D91">
      <w:r w:rsidRPr="008C2D39">
        <w:t xml:space="preserve">Figure 2 demonstrates that the UK banking industry will grow between USD 8.88 billion (2026) and USD 10.65 billion (2031) with a CAGR of 4.72, which depicts increased competition (Mordor Intelligence, 2025). In this growing market, Santander has succeeded in distinguishing itself by focusing on customers, offering competitive prices, and having good digital capabilities. The bank has also invested heavily in digital banking solutions, whereby customers can easily and conveniently access services offered by the bank. </w:t>
      </w:r>
      <w:proofErr w:type="spellStart"/>
      <w:r w:rsidRPr="008C2D39">
        <w:t>Walpola</w:t>
      </w:r>
      <w:proofErr w:type="spellEnd"/>
      <w:r w:rsidRPr="008C2D39">
        <w:t xml:space="preserve"> and </w:t>
      </w:r>
      <w:proofErr w:type="spellStart"/>
      <w:r w:rsidRPr="008C2D39">
        <w:t>Gunawardana</w:t>
      </w:r>
      <w:proofErr w:type="spellEnd"/>
      <w:r w:rsidRPr="008C2D39">
        <w:t xml:space="preserve"> (2025) pointed out that positive customer experience management is one of the main factors that determine customer loyalty and retention within the banking industry. Customer satisfaction will result in high levels of trust, long-term relationships and better financial performance. On the same note, </w:t>
      </w:r>
      <w:proofErr w:type="spellStart"/>
      <w:r w:rsidRPr="008C2D39">
        <w:t>Batmunkh</w:t>
      </w:r>
      <w:proofErr w:type="spellEnd"/>
      <w:r w:rsidRPr="008C2D39">
        <w:t xml:space="preserve"> (2025) stated that customer switching behaviour depends on the quality of services, the cost of the transaction and digital convenience as well. Due to the growing competition, banks need to constantly innovate, improve the quality of services, and use progressive technologies that will satisfy the changing expectations of customers. Personalised services, security and </w:t>
      </w:r>
      <w:r w:rsidRPr="008C2D39">
        <w:lastRenderedPageBreak/>
        <w:t>competitive pricing will continue to play a key role in ensuring the competitive advantage in the UK banking industry.</w:t>
      </w:r>
    </w:p>
    <w:p w:rsidR="007232FD" w:rsidRPr="008C2D39" w:rsidRDefault="007232FD"/>
    <w:p w:rsidR="007232FD" w:rsidRPr="008C2D39" w:rsidRDefault="000B0D91">
      <w:pPr>
        <w:pStyle w:val="Heading2"/>
      </w:pPr>
      <w:bookmarkStart w:id="8" w:name="_Toc227932171"/>
      <w:r w:rsidRPr="008C2D39">
        <w:t>3. Porter’s Diamond Model Analysis</w:t>
      </w:r>
      <w:bookmarkEnd w:id="8"/>
    </w:p>
    <w:p w:rsidR="007232FD" w:rsidRPr="008C2D39" w:rsidRDefault="000B0D91">
      <w:pPr>
        <w:pStyle w:val="Heading3"/>
      </w:pPr>
      <w:bookmarkStart w:id="9" w:name="_Toc227932172"/>
      <w:r w:rsidRPr="008C2D39">
        <w:t>3.1 Factor Conditions</w:t>
      </w:r>
      <w:bookmarkEnd w:id="9"/>
    </w:p>
    <w:p w:rsidR="007232FD" w:rsidRPr="008C2D39" w:rsidRDefault="000B0D91">
      <w:r w:rsidRPr="008C2D39">
        <w:t xml:space="preserve">The banking industry in the UK enjoys a high level of factor conditions that comprise a skilled labour force, a solid financial foundation, and technological superiority. The number of people who are employed in the UK financial services is more than 1.1 million, and this shows that there is an abundance of expertise and scale in the industry (Statista, 2025b). Competitiveness is a major factor in technological development. The digital infrastructure and financial technologies have allowed banks to become more efficient and cost-effective, and have improved the delivery of service. According to </w:t>
      </w:r>
      <w:proofErr w:type="spellStart"/>
      <w:r w:rsidRPr="008C2D39">
        <w:t>Kiu</w:t>
      </w:r>
      <w:proofErr w:type="spellEnd"/>
      <w:r w:rsidRPr="008C2D39">
        <w:t xml:space="preserve"> and Yang (2025), artificial intelligence is important in improving productivity and economic growth. Implementation of AI-based systems has enabled banks to automate their processes, improve risk evaluation, and offer personalised services. </w:t>
      </w:r>
      <w:proofErr w:type="spellStart"/>
      <w:r w:rsidRPr="008C2D39">
        <w:t>Sitnicka</w:t>
      </w:r>
      <w:proofErr w:type="spellEnd"/>
      <w:r w:rsidRPr="008C2D39">
        <w:t xml:space="preserve"> et al. (2025) highlighted that digital transformation will be impossible without the readiness of AI and the framework of governance. The UK has good institutional and technological coordination, where the banks can be able to incorporate recent advanced technologies into their systems. This has, in turn, enabled efficiency in operations as the digitalisation has also lowered the transaction costs and processing time. Such positive factor conditions are a solid base for the global competitiveness of the UK banking sector.</w:t>
      </w:r>
    </w:p>
    <w:p w:rsidR="007232FD" w:rsidRPr="008C2D39" w:rsidRDefault="000B0D91">
      <w:pPr>
        <w:pStyle w:val="Heading3"/>
      </w:pPr>
      <w:bookmarkStart w:id="10" w:name="_Toc227932173"/>
      <w:r w:rsidRPr="008C2D39">
        <w:t>3.2 Demand Conditions</w:t>
      </w:r>
      <w:bookmarkEnd w:id="10"/>
    </w:p>
    <w:p w:rsidR="007232FD" w:rsidRPr="008C2D39" w:rsidRDefault="000B0D91">
      <w:r w:rsidRPr="008C2D39">
        <w:t xml:space="preserve">The banking industry of the UK is typified by consumers that are highly sophisticated and digitally oriented. The UK has a high level of digital interactions and technological preparedness as about 93% of adults in the country utilize internet banking services (Statista, 2025b). The customers are increasingly demanding personalised, fast and secure financial services and this is pushing the banks to come up with innovative methods all the time. Consumer expectations are also being changed by increased utilization of mobile banking applications and real time payments. </w:t>
      </w:r>
      <w:proofErr w:type="spellStart"/>
      <w:r w:rsidRPr="008C2D39">
        <w:t>Ghadiridehkordi</w:t>
      </w:r>
      <w:proofErr w:type="spellEnd"/>
      <w:r w:rsidRPr="008C2D39">
        <w:t xml:space="preserve"> et al. (2025) stated that data analytics and sentiment analysis are common tools that can be applied to improve customer satisfaction and forecast behaviour. Customer experience management is beneficial in creating long-</w:t>
      </w:r>
      <w:r w:rsidRPr="008C2D39">
        <w:lastRenderedPageBreak/>
        <w:t>term value (</w:t>
      </w:r>
      <w:proofErr w:type="spellStart"/>
      <w:r w:rsidRPr="008C2D39">
        <w:t>Chiguvi</w:t>
      </w:r>
      <w:proofErr w:type="spellEnd"/>
      <w:r w:rsidRPr="008C2D39">
        <w:t xml:space="preserve"> et al. 2025). Such sophistication in demand is one of the driving forces of innovation in the industry.</w:t>
      </w:r>
    </w:p>
    <w:p w:rsidR="007232FD" w:rsidRPr="008C2D39" w:rsidRDefault="000B0D91">
      <w:pPr>
        <w:pStyle w:val="Heading3"/>
      </w:pPr>
      <w:bookmarkStart w:id="11" w:name="_Toc227932174"/>
      <w:r w:rsidRPr="008C2D39">
        <w:t>3.3 Related &amp; Supporting Industries</w:t>
      </w:r>
      <w:bookmarkEnd w:id="11"/>
    </w:p>
    <w:p w:rsidR="007232FD" w:rsidRPr="008C2D39" w:rsidRDefault="000B0D91">
      <w:r w:rsidRPr="008C2D39">
        <w:t xml:space="preserve">The UK banking industry is well-backed by the strong network of other industries, especially, fintech. The UK fintech market adds more than £11 billion every year to the economy and can prove its economic importance (Statista, 2025a). London is still a global fintech innovation centre, with venture capital investment flowing into the city in large amounts annually. According to </w:t>
      </w:r>
      <w:proofErr w:type="spellStart"/>
      <w:r w:rsidRPr="008C2D39">
        <w:t>Kálmán</w:t>
      </w:r>
      <w:proofErr w:type="spellEnd"/>
      <w:r w:rsidRPr="008C2D39">
        <w:t xml:space="preserve"> (2025), regulatory sandbox enables financial institutions to explore novel solutions with a minimum level of risk. Although transparency and disclosure in fintech business enhance trust and efficiency, Amir et al. (2025) emphasize the necessity of these practices. Banks and fintech companies have been collaborating to come up with advanced services like digital wallets and automated financial platforms which have made the industry more competitive.</w:t>
      </w:r>
    </w:p>
    <w:p w:rsidR="007232FD" w:rsidRPr="008C2D39" w:rsidRDefault="000B0D91">
      <w:pPr>
        <w:pStyle w:val="Heading3"/>
      </w:pPr>
      <w:bookmarkStart w:id="12" w:name="_Toc227932175"/>
      <w:r w:rsidRPr="008C2D39">
        <w:t>3.4 Firm Strategy, Structure &amp; Rivalry</w:t>
      </w:r>
      <w:bookmarkEnd w:id="12"/>
    </w:p>
    <w:p w:rsidR="007232FD" w:rsidRPr="008C2D39" w:rsidRDefault="000B0D91">
      <w:r w:rsidRPr="008C2D39">
        <w:t xml:space="preserve">The UK banking industry is highly competitive with the financial institutions competing based on innovations, prices and quality of services. Competition among the market players has increased due to the existence of both traditional banks and fintech companies. The competitive pressure is expected to remain high in the UK retail banking market with an estimated size of more than USD 10.6 billion by 2031 (GVR, 2025). </w:t>
      </w:r>
      <w:proofErr w:type="spellStart"/>
      <w:r w:rsidRPr="008C2D39">
        <w:t>Sadraoui</w:t>
      </w:r>
      <w:proofErr w:type="spellEnd"/>
      <w:r w:rsidRPr="008C2D39">
        <w:t xml:space="preserve"> (2025) indicated that financial innovation plays a great part in improving the performance of banks in the competitive market environment. Artificial intelligence and cloud computing are some of the technologies that have been instrumental in creating transformations (</w:t>
      </w:r>
      <w:proofErr w:type="spellStart"/>
      <w:r w:rsidRPr="008C2D39">
        <w:rPr>
          <w:highlight w:val="white"/>
        </w:rPr>
        <w:t>Küçükoğlu</w:t>
      </w:r>
      <w:proofErr w:type="spellEnd"/>
      <w:r w:rsidRPr="008C2D39">
        <w:rPr>
          <w:highlight w:val="white"/>
        </w:rPr>
        <w:t xml:space="preserve"> and </w:t>
      </w:r>
      <w:proofErr w:type="spellStart"/>
      <w:r w:rsidRPr="008C2D39">
        <w:rPr>
          <w:highlight w:val="white"/>
        </w:rPr>
        <w:t>Kabakuş</w:t>
      </w:r>
      <w:proofErr w:type="spellEnd"/>
      <w:r w:rsidRPr="008C2D39">
        <w:rPr>
          <w:highlight w:val="white"/>
        </w:rPr>
        <w:t>, 2025)</w:t>
      </w:r>
      <w:r w:rsidRPr="008C2D39">
        <w:t>. Abdallah et al., (2025) also noted that intellectual capital is very important in attaining sustainable competitive advantage. Constant innovation is thus a key to staying in the market.</w:t>
      </w:r>
    </w:p>
    <w:p w:rsidR="007232FD" w:rsidRPr="008C2D39" w:rsidRDefault="000B0D91">
      <w:pPr>
        <w:pStyle w:val="Heading3"/>
      </w:pPr>
      <w:bookmarkStart w:id="13" w:name="_Toc227932176"/>
      <w:r w:rsidRPr="008C2D39">
        <w:t>3.5 Government Role</w:t>
      </w:r>
      <w:bookmarkEnd w:id="13"/>
    </w:p>
    <w:p w:rsidR="007232FD" w:rsidRPr="008C2D39" w:rsidRDefault="000B0D91">
      <w:r w:rsidRPr="008C2D39">
        <w:t xml:space="preserve">Financial Conduct Authority and the Prudential Regulation Authority are institutions that are very crucial in regulating the banking sector in the UK government. The industry comes under strict regulatory measures that are aimed to maintain financial stability and protection of consumers. The UK banks are expected to maintain liquidity cover ratio of more than 100, which would be enough to sustain their financial resiliency in the short term. </w:t>
      </w:r>
      <w:proofErr w:type="spellStart"/>
      <w:r w:rsidRPr="008C2D39">
        <w:t>Behn</w:t>
      </w:r>
      <w:proofErr w:type="spellEnd"/>
      <w:r w:rsidRPr="008C2D39">
        <w:t xml:space="preserve"> and </w:t>
      </w:r>
      <w:proofErr w:type="spellStart"/>
      <w:r w:rsidRPr="008C2D39">
        <w:t>Reghezza</w:t>
      </w:r>
      <w:proofErr w:type="spellEnd"/>
      <w:r w:rsidRPr="008C2D39">
        <w:t xml:space="preserve"> (2025) noted that this type of regulatory measures enhances stability but can affect profitability. Proper </w:t>
      </w:r>
      <w:r w:rsidRPr="008C2D39">
        <w:lastRenderedPageBreak/>
        <w:t>corporate governance systems increase accountability and transparency (Hussain et al. 2025). The UK banking sector has a stable and well operational regulatory environment.</w:t>
      </w:r>
    </w:p>
    <w:p w:rsidR="007232FD" w:rsidRPr="008C2D39" w:rsidRDefault="000B0D91">
      <w:pPr>
        <w:pStyle w:val="Heading3"/>
      </w:pPr>
      <w:bookmarkStart w:id="14" w:name="_Toc227932177"/>
      <w:r w:rsidRPr="008C2D39">
        <w:t>3.6 Chance</w:t>
      </w:r>
      <w:bookmarkEnd w:id="14"/>
    </w:p>
    <w:p w:rsidR="007232FD" w:rsidRPr="008C2D39" w:rsidRDefault="000B0D91">
      <w:r w:rsidRPr="008C2D39">
        <w:t>The UK banking sector has been greatly affected by external forces like Brexit and COVID-19 pandemic. Brexit has caused over £1 trillion financial assets to move to the EU financial centres indicating its effects on cross-border operations. Du et al. (2025) pointed to the cost of international competitiveness of the banks. Meanwhile, the proportion of payments in the UK made digitally grew more than 20% during the pandemic, driving the process of transition to cashless operations. Such external shocks have changed market dynamics and prioritised on the need to be adaptive and innovative.</w:t>
      </w:r>
    </w:p>
    <w:p w:rsidR="007232FD" w:rsidRPr="008C2D39" w:rsidRDefault="007232FD"/>
    <w:p w:rsidR="007232FD" w:rsidRPr="008C2D39" w:rsidRDefault="000B0D91">
      <w:pPr>
        <w:pStyle w:val="Heading2"/>
      </w:pPr>
      <w:bookmarkStart w:id="15" w:name="_Toc227932178"/>
      <w:r w:rsidRPr="008C2D39">
        <w:t>4. MNC Analysis: Banco Santander in the UK</w:t>
      </w:r>
      <w:bookmarkEnd w:id="15"/>
    </w:p>
    <w:p w:rsidR="007232FD" w:rsidRPr="008C2D39" w:rsidRDefault="000B0D91">
      <w:pPr>
        <w:pStyle w:val="Heading3"/>
      </w:pPr>
      <w:bookmarkStart w:id="16" w:name="_Toc227932179"/>
      <w:r w:rsidRPr="008C2D39">
        <w:t>4.1 Company Overview</w:t>
      </w:r>
      <w:bookmarkEnd w:id="16"/>
    </w:p>
    <w:p w:rsidR="007232FD" w:rsidRPr="008C2D39" w:rsidRDefault="000B0D91">
      <w:r w:rsidRPr="008C2D39">
        <w:t xml:space="preserve">Banco Santander is a multinational banking group that is one of the largest in the world, based in Spain and operating in Europe, America, and other international markets. The bank has achieved a good presence in the UK retail banking sector by a successive series of strategic acquisitions, the first being Abbey National in the year 2004, and then Alliance and Leicester, and Bradford and Bingley in the year 2008. These acquisitions have helped Santander to gain rapid market analysis and scale, making it one of the largest retail banks in the UK. As of now, Santander UK has more than 14 million active customers, with around 20,000 employees (Banco Santander, 2025). This is an indication of the high presence of operations in the country. The bank operates large financial resources and provides a whole spectrum of services, such as current accounts, savings, mortgages, personal loans, and SME financing. Santander has always been a strong player in the mortgage market and has a significant portion of the UK residential mortgages. The bank has a strategy of digital transformation and innovation that is customer-centric. Santander has been known to invest a lot in the mobile banking platforms and digital services with a high percentage of customers utilising online and application-based banking services. This retention of digitalisation and its robust retail base, as well as its brand name, has allowed Santander to remain competitive in the UK banking industry as the </w:t>
      </w:r>
      <w:r w:rsidRPr="008C2D39">
        <w:lastRenderedPageBreak/>
        <w:t>company has adjusted to the changing customer demands and technological changes.</w:t>
      </w:r>
    </w:p>
    <w:p w:rsidR="007232FD" w:rsidRPr="008C2D39" w:rsidRDefault="000B0D91">
      <w:pPr>
        <w:pStyle w:val="Heading3"/>
      </w:pPr>
      <w:bookmarkStart w:id="17" w:name="_Toc227932180"/>
      <w:r w:rsidRPr="008C2D39">
        <w:t>4.2 Market Entry &amp; Strategy</w:t>
      </w:r>
      <w:bookmarkEnd w:id="17"/>
    </w:p>
    <w:p w:rsidR="007232FD" w:rsidRPr="008C2D39" w:rsidRDefault="000B0D91">
      <w:r w:rsidRPr="008C2D39">
        <w:t>The acquisition-based strategy saw Banco Santander enter the UK banking industry within a short period of time, and this strategy helped it penetrate the market quickly as it was able to acquire existing institutions with existing customer bases and infrastructure. The purchase of Abbey National in 2004 allowed it to gain instant access to millions of customers and a national network of branches (Banco Santander, 2026). Also, the subsequent purchase of Alliance and Leicester and Bradford and Bingley in 2008 enhanced its retail banking. This method minimised entry barriers and circumvented the expensive nature of having to invest in green fields, and also facilitated economies of scale and efficiencies of operation. The cost-to-income ratio of Santander has been sustained at about 50-55%, indicating good performance in operations. The bank uses the localisation strategy in which products, pricing, and digital services are made according to the needs of the customers in the UK. Mobile and online banking investments have been brought about by the high levels of digital adoption. The significance of employee satisfaction in service quality is also mentioned by Brown (2025), whereas Siddiqui et al. (2025) paid attention to training to increase performance. These strategies combine with each other in establishing Santander as a competitive player in the UK market.</w:t>
      </w:r>
    </w:p>
    <w:p w:rsidR="007232FD" w:rsidRPr="008C2D39" w:rsidRDefault="000B0D91">
      <w:pPr>
        <w:pStyle w:val="Heading3"/>
      </w:pPr>
      <w:bookmarkStart w:id="18" w:name="_Toc227932181"/>
      <w:r w:rsidRPr="008C2D39">
        <w:t>4.3 PESTLE Analysis</w:t>
      </w:r>
      <w:bookmarkEnd w:id="18"/>
    </w:p>
    <w:tbl>
      <w:tblPr>
        <w:tblStyle w:val="a0"/>
        <w:tblW w:w="10065" w:type="dxa"/>
        <w:tblInd w:w="-436" w:type="dxa"/>
        <w:tblBorders>
          <w:top w:val="nil"/>
          <w:left w:val="nil"/>
          <w:bottom w:val="nil"/>
          <w:right w:val="nil"/>
          <w:insideH w:val="nil"/>
          <w:insideV w:val="nil"/>
        </w:tblBorders>
        <w:tblLayout w:type="fixed"/>
        <w:tblLook w:val="0600"/>
      </w:tblPr>
      <w:tblGrid>
        <w:gridCol w:w="2110"/>
        <w:gridCol w:w="2238"/>
        <w:gridCol w:w="2677"/>
        <w:gridCol w:w="3040"/>
      </w:tblGrid>
      <w:tr w:rsidR="008C2D39" w:rsidRPr="008C2D39">
        <w:trPr>
          <w:trHeight w:val="515"/>
        </w:trPr>
        <w:tc>
          <w:tcPr>
            <w:tcW w:w="2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232FD" w:rsidRPr="008C2D39" w:rsidRDefault="000B0D91">
            <w:pPr>
              <w:jc w:val="center"/>
            </w:pPr>
            <w:r w:rsidRPr="008C2D39">
              <w:rPr>
                <w:b/>
                <w:bCs/>
              </w:rPr>
              <w:t>Factor</w:t>
            </w:r>
          </w:p>
        </w:tc>
        <w:tc>
          <w:tcPr>
            <w:tcW w:w="22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232FD" w:rsidRPr="008C2D39" w:rsidRDefault="000B0D91">
            <w:pPr>
              <w:jc w:val="center"/>
            </w:pPr>
            <w:r w:rsidRPr="008C2D39">
              <w:rPr>
                <w:b/>
                <w:bCs/>
              </w:rPr>
              <w:t>Key Elements</w:t>
            </w:r>
          </w:p>
        </w:tc>
        <w:tc>
          <w:tcPr>
            <w:tcW w:w="2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232FD" w:rsidRPr="008C2D39" w:rsidRDefault="000B0D91">
            <w:pPr>
              <w:jc w:val="center"/>
            </w:pPr>
            <w:r w:rsidRPr="008C2D39">
              <w:rPr>
                <w:b/>
                <w:bCs/>
              </w:rPr>
              <w:t>Numerical Evidence</w:t>
            </w:r>
          </w:p>
        </w:tc>
        <w:tc>
          <w:tcPr>
            <w:tcW w:w="3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232FD" w:rsidRPr="008C2D39" w:rsidRDefault="000B0D91">
            <w:pPr>
              <w:jc w:val="center"/>
            </w:pPr>
            <w:r w:rsidRPr="008C2D39">
              <w:rPr>
                <w:b/>
                <w:bCs/>
              </w:rPr>
              <w:t>Impact on Santander</w:t>
            </w:r>
          </w:p>
        </w:tc>
      </w:tr>
      <w:tr w:rsidR="008C2D39" w:rsidRPr="008C2D39">
        <w:trPr>
          <w:trHeight w:val="1355"/>
        </w:trPr>
        <w:tc>
          <w:tcPr>
            <w:tcW w:w="2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232FD" w:rsidRPr="008C2D39" w:rsidRDefault="000B0D91">
            <w:r w:rsidRPr="008C2D39">
              <w:rPr>
                <w:b/>
                <w:bCs/>
              </w:rPr>
              <w:t>Political</w:t>
            </w:r>
          </w:p>
        </w:tc>
        <w:tc>
          <w:tcPr>
            <w:tcW w:w="22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232FD" w:rsidRPr="008C2D39" w:rsidRDefault="000B0D91">
            <w:r w:rsidRPr="008C2D39">
              <w:t>Brexit impact, regulatory changes, and financial stability policies</w:t>
            </w:r>
          </w:p>
        </w:tc>
        <w:tc>
          <w:tcPr>
            <w:tcW w:w="2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232FD" w:rsidRPr="008C2D39" w:rsidRDefault="000B0D91">
            <w:r w:rsidRPr="008C2D39">
              <w:t>Capital ratio of the UK banking sector is 15.4%; loss of EU passporting rights</w:t>
            </w:r>
          </w:p>
        </w:tc>
        <w:tc>
          <w:tcPr>
            <w:tcW w:w="3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232FD" w:rsidRPr="008C2D39" w:rsidRDefault="000B0D91">
            <w:r w:rsidRPr="008C2D39">
              <w:t>Increased compliance costs and operational complexity; need for regulatory adaptation</w:t>
            </w:r>
          </w:p>
        </w:tc>
      </w:tr>
      <w:tr w:rsidR="008C2D39" w:rsidRPr="008C2D39">
        <w:trPr>
          <w:trHeight w:val="1640"/>
        </w:trPr>
        <w:tc>
          <w:tcPr>
            <w:tcW w:w="2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232FD" w:rsidRPr="008C2D39" w:rsidRDefault="000B0D91">
            <w:r w:rsidRPr="008C2D39">
              <w:rPr>
                <w:b/>
                <w:bCs/>
              </w:rPr>
              <w:t>Economic</w:t>
            </w:r>
          </w:p>
        </w:tc>
        <w:tc>
          <w:tcPr>
            <w:tcW w:w="22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232FD" w:rsidRPr="008C2D39" w:rsidRDefault="000B0D91">
            <w:r w:rsidRPr="008C2D39">
              <w:t>Interest rates, inflation, market growth, and lending demand</w:t>
            </w:r>
          </w:p>
        </w:tc>
        <w:tc>
          <w:tcPr>
            <w:tcW w:w="2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232FD" w:rsidRPr="008C2D39" w:rsidRDefault="000B0D91">
            <w:r w:rsidRPr="008C2D39">
              <w:t xml:space="preserve">Revenue of the UK banking sector is £180 billion; mortgage market share </w:t>
            </w:r>
            <w:r w:rsidRPr="008C2D39">
              <w:lastRenderedPageBreak/>
              <w:t>(Santander) 10–12%; loans &gt; £160 billion</w:t>
            </w:r>
          </w:p>
        </w:tc>
        <w:tc>
          <w:tcPr>
            <w:tcW w:w="3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232FD" w:rsidRPr="008C2D39" w:rsidRDefault="000B0D91">
            <w:r w:rsidRPr="008C2D39">
              <w:lastRenderedPageBreak/>
              <w:t>Affects profitability, lending margins, and credit risk management</w:t>
            </w:r>
          </w:p>
        </w:tc>
      </w:tr>
      <w:tr w:rsidR="008C2D39" w:rsidRPr="008C2D39">
        <w:trPr>
          <w:trHeight w:val="1370"/>
        </w:trPr>
        <w:tc>
          <w:tcPr>
            <w:tcW w:w="2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232FD" w:rsidRPr="008C2D39" w:rsidRDefault="000B0D91">
            <w:r w:rsidRPr="008C2D39">
              <w:rPr>
                <w:b/>
                <w:bCs/>
              </w:rPr>
              <w:lastRenderedPageBreak/>
              <w:t>Social</w:t>
            </w:r>
          </w:p>
        </w:tc>
        <w:tc>
          <w:tcPr>
            <w:tcW w:w="22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232FD" w:rsidRPr="008C2D39" w:rsidRDefault="000B0D91">
            <w:r w:rsidRPr="008C2D39">
              <w:t>Customer behaviour, digital adoption, demographics</w:t>
            </w:r>
          </w:p>
        </w:tc>
        <w:tc>
          <w:tcPr>
            <w:tcW w:w="2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232FD" w:rsidRPr="008C2D39" w:rsidRDefault="000B0D91">
            <w:r w:rsidRPr="008C2D39">
              <w:t>95%+ adults banked; 85%+ online banking users; branch visits have reached to 30%</w:t>
            </w:r>
          </w:p>
        </w:tc>
        <w:tc>
          <w:tcPr>
            <w:tcW w:w="3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232FD" w:rsidRPr="008C2D39" w:rsidRDefault="000B0D91">
            <w:r w:rsidRPr="008C2D39">
              <w:t>Requires strong digital services, customer experience, and retention strategies</w:t>
            </w:r>
          </w:p>
        </w:tc>
      </w:tr>
      <w:tr w:rsidR="008C2D39" w:rsidRPr="008C2D39">
        <w:trPr>
          <w:trHeight w:val="1070"/>
        </w:trPr>
        <w:tc>
          <w:tcPr>
            <w:tcW w:w="2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232FD" w:rsidRPr="008C2D39" w:rsidRDefault="000B0D91">
            <w:r w:rsidRPr="008C2D39">
              <w:rPr>
                <w:b/>
                <w:bCs/>
              </w:rPr>
              <w:t>Technological</w:t>
            </w:r>
          </w:p>
        </w:tc>
        <w:tc>
          <w:tcPr>
            <w:tcW w:w="22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232FD" w:rsidRPr="008C2D39" w:rsidRDefault="000B0D91">
            <w:r w:rsidRPr="008C2D39">
              <w:t>Digital transformation, AI, fintech, cybersecurity</w:t>
            </w:r>
          </w:p>
        </w:tc>
        <w:tc>
          <w:tcPr>
            <w:tcW w:w="2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232FD" w:rsidRPr="008C2D39" w:rsidRDefault="000B0D91">
            <w:r w:rsidRPr="008C2D39">
              <w:t>More than 60% transactions are digital; billions are invested annually in cybersecurity</w:t>
            </w:r>
          </w:p>
        </w:tc>
        <w:tc>
          <w:tcPr>
            <w:tcW w:w="3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232FD" w:rsidRPr="008C2D39" w:rsidRDefault="000B0D91">
            <w:r w:rsidRPr="008C2D39">
              <w:t>Drives innovation but increases cyber risk and investment costs</w:t>
            </w:r>
          </w:p>
        </w:tc>
      </w:tr>
      <w:tr w:rsidR="008C2D39" w:rsidRPr="008C2D39">
        <w:trPr>
          <w:trHeight w:val="1355"/>
        </w:trPr>
        <w:tc>
          <w:tcPr>
            <w:tcW w:w="2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232FD" w:rsidRPr="008C2D39" w:rsidRDefault="000B0D91">
            <w:r w:rsidRPr="008C2D39">
              <w:rPr>
                <w:b/>
                <w:bCs/>
              </w:rPr>
              <w:t>Legal</w:t>
            </w:r>
          </w:p>
        </w:tc>
        <w:tc>
          <w:tcPr>
            <w:tcW w:w="22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232FD" w:rsidRPr="008C2D39" w:rsidRDefault="000B0D91">
            <w:r w:rsidRPr="008C2D39">
              <w:t>Regulatory compliance, capital requirements, and data protection</w:t>
            </w:r>
          </w:p>
        </w:tc>
        <w:tc>
          <w:tcPr>
            <w:tcW w:w="2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232FD" w:rsidRPr="008C2D39" w:rsidRDefault="000B0D91">
            <w:r w:rsidRPr="008C2D39">
              <w:t>Capital requirement 10–12%; compliance costs in billions annually</w:t>
            </w:r>
          </w:p>
        </w:tc>
        <w:tc>
          <w:tcPr>
            <w:tcW w:w="3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232FD" w:rsidRPr="008C2D39" w:rsidRDefault="000B0D91">
            <w:r w:rsidRPr="008C2D39">
              <w:t>Ensures stability but increases operational burden and cost</w:t>
            </w:r>
          </w:p>
        </w:tc>
      </w:tr>
      <w:tr w:rsidR="008C2D39" w:rsidRPr="008C2D39">
        <w:trPr>
          <w:trHeight w:val="1640"/>
        </w:trPr>
        <w:tc>
          <w:tcPr>
            <w:tcW w:w="2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232FD" w:rsidRPr="008C2D39" w:rsidRDefault="000B0D91">
            <w:r w:rsidRPr="008C2D39">
              <w:rPr>
                <w:b/>
                <w:bCs/>
              </w:rPr>
              <w:t>Environmental</w:t>
            </w:r>
          </w:p>
        </w:tc>
        <w:tc>
          <w:tcPr>
            <w:tcW w:w="22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232FD" w:rsidRPr="008C2D39" w:rsidRDefault="000B0D91">
            <w:r w:rsidRPr="008C2D39">
              <w:t>ESG policies, sustainable finance, climate risks</w:t>
            </w:r>
          </w:p>
        </w:tc>
        <w:tc>
          <w:tcPr>
            <w:tcW w:w="26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232FD" w:rsidRPr="008C2D39" w:rsidRDefault="000B0D91">
            <w:r w:rsidRPr="008C2D39">
              <w:t>Santander green finance commitment €220+ billion by 2030</w:t>
            </w:r>
          </w:p>
        </w:tc>
        <w:tc>
          <w:tcPr>
            <w:tcW w:w="30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232FD" w:rsidRPr="008C2D39" w:rsidRDefault="000B0D91">
            <w:r w:rsidRPr="008C2D39">
              <w:t>Creates growth opportunities but requires ESG compliance and investment</w:t>
            </w:r>
          </w:p>
        </w:tc>
      </w:tr>
    </w:tbl>
    <w:p w:rsidR="007232FD" w:rsidRPr="008C2D39" w:rsidRDefault="000B0D91">
      <w:pPr>
        <w:jc w:val="center"/>
        <w:rPr>
          <w:b/>
          <w:bCs/>
        </w:rPr>
      </w:pPr>
      <w:r w:rsidRPr="008C2D39">
        <w:rPr>
          <w:b/>
          <w:bCs/>
        </w:rPr>
        <w:t>Table 1: PESTLE Analysis of the UK Banking Sector</w:t>
      </w:r>
    </w:p>
    <w:p w:rsidR="007232FD" w:rsidRPr="008C2D39" w:rsidRDefault="000B0D91">
      <w:pPr>
        <w:rPr>
          <w:b/>
          <w:bCs/>
          <w:i/>
          <w:iCs/>
        </w:rPr>
      </w:pPr>
      <w:r w:rsidRPr="008C2D39">
        <w:rPr>
          <w:b/>
          <w:bCs/>
          <w:i/>
          <w:iCs/>
        </w:rPr>
        <w:t>Political</w:t>
      </w:r>
    </w:p>
    <w:p w:rsidR="007232FD" w:rsidRPr="008C2D39" w:rsidRDefault="000B0D91">
      <w:r w:rsidRPr="008C2D39">
        <w:t xml:space="preserve">Politics has played a major role in the operations of Santander in the UK, especially after Brexit. The exit of the UK from the European Union has led to the loss of the passporting rights, and banks are trying to create their own legal entities within the EU in order to maintain the cross-border operations. This has made the operations of multinational banks more complex and expensive in terms of compliance. According to Du et al. (2025), the uncertainty surrounding Brexit has caused financial services exports to decline, decreasing the UK's share of EU financial activity. The capital </w:t>
      </w:r>
      <w:r w:rsidRPr="008C2D39">
        <w:lastRenderedPageBreak/>
        <w:t>adequacy and liquidity requirements are also high at Santander since the bank is operating in a strict capital environment that is strict. The Common Equity Tier 1 capital ratio of the UK banking industry was 15.4% in 2025, which is a demonstration of a highly regulated and stable financial situation (Bank of England, 2025). Financial stability and competitiveness remain the priorities of the UK government, which has contributed to the stricter regulation and supervision. Political stability will favour long-term investment, but there are still changes in policy concerning trade agreements and financial regulation, which cause uncertainty. To keep operating effectively and be in accordance with different regulations, Santander is forced to keep up with developing political situations.</w:t>
      </w:r>
    </w:p>
    <w:p w:rsidR="007232FD" w:rsidRPr="008C2D39" w:rsidRDefault="000B0D91">
      <w:pPr>
        <w:rPr>
          <w:b/>
          <w:bCs/>
          <w:i/>
          <w:iCs/>
        </w:rPr>
      </w:pPr>
      <w:r w:rsidRPr="008C2D39">
        <w:rPr>
          <w:b/>
          <w:bCs/>
          <w:i/>
          <w:iCs/>
        </w:rPr>
        <w:t>Economic</w:t>
      </w:r>
    </w:p>
    <w:p w:rsidR="007232FD" w:rsidRPr="008C2D39" w:rsidRDefault="000B0D91">
      <w:r w:rsidRPr="008C2D39">
        <w:t xml:space="preserve">The state of the economy is paramount in determining the performance of Santander in the banking sector in the UK. The UK economy is still amongst the largest in Europe, and the banking market provides over 67 million people with its services, which means high demand for financial services. Consumer lending, mortgage demand, and digital financial services have been able to aid the continued growth in the banking sector (Statista, 2025a). Santander UK is a strong retail bank with almost 10-12% of the total UK residential mortgages, which is a strong market share in the mortgage market. The bank has offered €1,024 billion loan to a total of 180 billion customer, which indicates its high lending activity (Banco Santander, 2025b). The variables of interest rates and inflation are vital. An increase in net interest margins can help them to increase their profitability, as higher interest rates can raise net interest margins that are currently around 2.5-3% in UK banks. However, an increase in the cost of borrowing could decrease the demand for loans and create more risks of defaults. </w:t>
      </w:r>
      <w:proofErr w:type="spellStart"/>
      <w:r w:rsidRPr="008C2D39">
        <w:t>Egli</w:t>
      </w:r>
      <w:proofErr w:type="spellEnd"/>
      <w:r w:rsidRPr="008C2D39">
        <w:t xml:space="preserve"> et al. (2025) emphasised the significance of cost competitiveness in the financial market. Santander has had a good emphasis on cost efficiency with its operations improvement as part of its competitive positioning. Risks are still posed by economic uncertainty, such as variations in the growth of GDP and external shocks. However, the diversified economy and sound financial infrastructure of the UK are a source of strength and long-term growth prospects.</w:t>
      </w:r>
    </w:p>
    <w:p w:rsidR="007232FD" w:rsidRPr="008C2D39" w:rsidRDefault="000B0D91">
      <w:pPr>
        <w:rPr>
          <w:b/>
          <w:bCs/>
          <w:i/>
          <w:iCs/>
        </w:rPr>
      </w:pPr>
      <w:r w:rsidRPr="008C2D39">
        <w:rPr>
          <w:b/>
          <w:bCs/>
          <w:i/>
          <w:iCs/>
        </w:rPr>
        <w:t>Social</w:t>
      </w:r>
    </w:p>
    <w:p w:rsidR="007232FD" w:rsidRPr="008C2D39" w:rsidRDefault="000B0D91">
      <w:r w:rsidRPr="008C2D39">
        <w:t xml:space="preserve">The social aspects play a key role in the operations at </w:t>
      </w:r>
      <w:proofErr w:type="spellStart"/>
      <w:r w:rsidRPr="008C2D39">
        <w:t>Santan</w:t>
      </w:r>
      <w:proofErr w:type="spellEnd"/>
      <w:r w:rsidRPr="008C2D39">
        <w:t xml:space="preserve">, and especially the evolving customer demands and demographics. The UK boasts of a highly banked population and more than 9% of the adult population has a bank account, which </w:t>
      </w:r>
      <w:r w:rsidRPr="008C2D39">
        <w:lastRenderedPageBreak/>
        <w:t xml:space="preserve">makes it favourable in terms of retaining its customers. The growing popularity of digital banking has decreased the number of channels visited by a customer physically. Physical visits to the bank have declined by over 30% in the last 10 years (Accenture, 2023). According to </w:t>
      </w:r>
      <w:proofErr w:type="spellStart"/>
      <w:r w:rsidRPr="008C2D39">
        <w:t>Batmunkh</w:t>
      </w:r>
      <w:proofErr w:type="spellEnd"/>
      <w:r w:rsidRPr="008C2D39">
        <w:t xml:space="preserve"> (2025), quality of service, prices, and digital convenience influence the customer switching behaviour. To retain its customers, Santander will be required to improve customer experience constantly. The bank has millions of digitally active users, most of which are transacted via mobile applications. The ever-increasing power of younger, digitally native customers has expedited the need to have personalised and smooth banking services. There is also increased pressure on social expectations in the areas of transparency, ethical behaviour, and trust. The capability of Santander to meet these expectations is crucial in retaining the loyalty of the customer and brand name in a market that is very competitive.</w:t>
      </w:r>
    </w:p>
    <w:p w:rsidR="007232FD" w:rsidRPr="008C2D39" w:rsidRDefault="000B0D91">
      <w:pPr>
        <w:rPr>
          <w:b/>
          <w:bCs/>
          <w:i/>
          <w:iCs/>
        </w:rPr>
      </w:pPr>
      <w:r w:rsidRPr="008C2D39">
        <w:rPr>
          <w:b/>
          <w:bCs/>
          <w:i/>
          <w:iCs/>
        </w:rPr>
        <w:t>Technological</w:t>
      </w:r>
    </w:p>
    <w:p w:rsidR="007232FD" w:rsidRPr="008C2D39" w:rsidRDefault="000B0D91">
      <w:r w:rsidRPr="008C2D39">
        <w:t xml:space="preserve">At Santander, it is the technological factors that play a central role in determining the competitiveness of the firm in the UK banking industry. Digital transformation has helped banks enhance efficiency and cost reduction, as well as provide better customer experiences. Digital payment in the UK accounts for more than 60% of overall transactions, which implies extensive use of the technologically-driven financial services. As </w:t>
      </w:r>
      <w:proofErr w:type="spellStart"/>
      <w:r w:rsidRPr="008C2D39">
        <w:t>Gaviyau</w:t>
      </w:r>
      <w:proofErr w:type="spellEnd"/>
      <w:r w:rsidRPr="008C2D39">
        <w:t xml:space="preserve"> and </w:t>
      </w:r>
      <w:proofErr w:type="spellStart"/>
      <w:r w:rsidRPr="008C2D39">
        <w:t>Godi</w:t>
      </w:r>
      <w:proofErr w:type="spellEnd"/>
      <w:r w:rsidRPr="008C2D39">
        <w:t xml:space="preserve"> (2025) note, the banking industry is being transformed by technological disruption due to innovations like artificial intelligence, blockchain, automation, and others. Santander has made major investments in digital channels, and millions of active users expect its mobile banking application and a large part of the services are provided online. The issue of cybersecurity has increased in significance as a result of rising digitalisation. According to </w:t>
      </w:r>
      <w:proofErr w:type="spellStart"/>
      <w:r w:rsidRPr="008C2D39">
        <w:t>Saha</w:t>
      </w:r>
      <w:proofErr w:type="spellEnd"/>
      <w:r w:rsidRPr="008C2D39">
        <w:t xml:space="preserve"> et al. (2025), cyber threats are growing in numberer and thousands of financial institutions have been attacked by cyberattacks every year. The aggregate spending of banks in the UK on cybersecurity is billions of pounds annually to ensure the protection of customer data, as well as to maintain operational security. Santander's digital innovation is centred on the application of advanced analytics, automated operations, and digital infrastructure that is safe. It is necessary to explore constant investments in technology as a form of staying on the edge of things and adapting to changing customer requirements. The digital banking environment will be defined as long-term winning, depending on the skill to incorporate new technologies.</w:t>
      </w:r>
    </w:p>
    <w:p w:rsidR="007232FD" w:rsidRPr="008C2D39" w:rsidRDefault="000B0D91">
      <w:pPr>
        <w:rPr>
          <w:b/>
          <w:bCs/>
          <w:i/>
          <w:iCs/>
        </w:rPr>
      </w:pPr>
      <w:r w:rsidRPr="008C2D39">
        <w:rPr>
          <w:b/>
          <w:bCs/>
          <w:i/>
          <w:iCs/>
        </w:rPr>
        <w:lastRenderedPageBreak/>
        <w:t>Legal</w:t>
      </w:r>
    </w:p>
    <w:p w:rsidR="007232FD" w:rsidRPr="008C2D39" w:rsidRDefault="000B0D91">
      <w:r w:rsidRPr="008C2D39">
        <w:t>Banking in the UK is in a very controlled legal framework, which aims at stabilising the financial environment and consumer safeguarding. The regulatory authorities provide high levels of compliance requirements, such as capital adequacy, liquidity ratios, and risk management standards. Schmitz et al. (2025) added that proper regulation promotes economic development and at the same time safeguards financial stability. The banks in the UK are expected to have high capital buffers, where minimum capital requirements normally range from 10 to 12% of risk-weighted assets. These needs lead to resilience at the expense of operational expenses. There is a wide variety of applicable legal regulations. For instance, Santander needs to adhere to the anti-money laundering rules, data protection laws (GDPR) and consumer protection policies. The cost of compliance in large banks can amount to billions of dollars every year because of the complexity of the regulatory environment. Compliance with the law is needed to build trust and prevent fines. Santander can work within this complicated legal structure effectively and retain its competitive edge due to good governance and risk management systems.</w:t>
      </w:r>
    </w:p>
    <w:p w:rsidR="007232FD" w:rsidRPr="008C2D39" w:rsidRDefault="000B0D91">
      <w:pPr>
        <w:rPr>
          <w:b/>
          <w:bCs/>
          <w:i/>
          <w:iCs/>
        </w:rPr>
      </w:pPr>
      <w:r w:rsidRPr="008C2D39">
        <w:rPr>
          <w:b/>
          <w:bCs/>
          <w:i/>
          <w:iCs/>
        </w:rPr>
        <w:t>Environmental</w:t>
      </w:r>
    </w:p>
    <w:p w:rsidR="007232FD" w:rsidRPr="008C2D39" w:rsidRDefault="000B0D91">
      <w:r w:rsidRPr="008C2D39">
        <w:t>The importance of environmental factors in the banking sector is on the rise due to the increased awareness of climatic climate changeability. The banks are pressured to align their businesses with environmental objectives and facilitate the shift to the low-carbon economy. Bonsu et al. (2025) show that the fusion of fintech and green finance will increase sustainability performance. Santander has invested heavily in the sphere of sustainable finance, setting global goals of over €220 billion in the number of green financing engagements by 2030, which also reflects the interest in ESG activities (Banco Santander, 2025b). The bank, too, is decreasing its carbon footprint in its operations by investing in energy savings and sustainable practices. Lending decisions and investment strategies are being affected more by environmental risks, such as climate risk and financial risk. The shift to sustainable finance creates a growth potential, especially in the renewable energy and green infrastructure development. Nonetheless, it also needs to be well managed in terms of risk control and adherence to the changing environmental policies. Sustainability has emerged as a major constituent in the long-term sustainability of the banking sector.</w:t>
      </w:r>
    </w:p>
    <w:p w:rsidR="007232FD" w:rsidRPr="008C2D39" w:rsidRDefault="000B0D91">
      <w:pPr>
        <w:pStyle w:val="Heading3"/>
      </w:pPr>
      <w:bookmarkStart w:id="19" w:name="_Toc227932182"/>
      <w:r w:rsidRPr="008C2D39">
        <w:lastRenderedPageBreak/>
        <w:t>4.4 Market Attractiveness Evaluation</w:t>
      </w:r>
      <w:bookmarkEnd w:id="19"/>
    </w:p>
    <w:p w:rsidR="007232FD" w:rsidRPr="008C2D39" w:rsidRDefault="000B0D91">
      <w:r w:rsidRPr="008C2D39">
        <w:t xml:space="preserve">The UK banking sector is an industry with huge market opportunities given that it has a huge number of customers, well-established financial system, and the demand of various financial services remains stable. A robust fintech ecosystem and properly developed regulatory framework increase the appeal of the market, as these facilitate innovation and financial stability (Amir et al. 2025). All these give a possibility to banks to increase the services, enhance efficiency and use new technologies. Nonetheless, the industry is also marked by a high level of competition between national banks, multinational organisations and fintech, which puts pressure on prices, innovations, and customer experience. Moreover, there is the complex regulatory environment and the emerging requirement of compliance that increases the cost of the operation and poses the problem to the market players. Some of the issues that are also of great concern are cybersecurity risks following the augmented digitalisation. According to </w:t>
      </w:r>
      <w:proofErr w:type="spellStart"/>
      <w:r w:rsidRPr="008C2D39">
        <w:t>Attaf</w:t>
      </w:r>
      <w:proofErr w:type="spellEnd"/>
      <w:r w:rsidRPr="008C2D39">
        <w:t xml:space="preserve"> and </w:t>
      </w:r>
      <w:proofErr w:type="spellStart"/>
      <w:r w:rsidRPr="008C2D39">
        <w:t>Bensbahou</w:t>
      </w:r>
      <w:proofErr w:type="spellEnd"/>
      <w:r w:rsidRPr="008C2D39">
        <w:t xml:space="preserve"> (2025), this is a dynamic and uncertain environment that requires proper risk management in order to attain and maintain a competitive advantage.</w:t>
      </w:r>
    </w:p>
    <w:p w:rsidR="007232FD" w:rsidRPr="008C2D39" w:rsidRDefault="000B0D91">
      <w:pPr>
        <w:pStyle w:val="Heading3"/>
      </w:pPr>
      <w:bookmarkStart w:id="20" w:name="_Toc227932183"/>
      <w:r w:rsidRPr="008C2D39">
        <w:t>4.5 Critical Evaluation of Success Factors</w:t>
      </w:r>
      <w:bookmarkEnd w:id="20"/>
    </w:p>
    <w:p w:rsidR="007232FD" w:rsidRPr="008C2D39" w:rsidRDefault="000B0D91">
      <w:r w:rsidRPr="008C2D39">
        <w:t xml:space="preserve">The customer-oriented strategy, high level of digital transformation, and the existing brand image have helped Santander in achieving good performance in the UK banking industry. This has enabled the bank to increase customer satisfaction, retention, and long-term relationships through concentrating on customer needs. Its focus on digital banking solutions has also made it efficient in its operational activities and delivery of services to its customers as they can now access services in a convenient manner. The acquisition-based strategy has been important in facilitating a fast growth and penetration in the market giving Santander a substantial customer base and a national base. </w:t>
      </w:r>
      <w:proofErr w:type="spellStart"/>
      <w:r w:rsidRPr="008C2D39">
        <w:t>Ghlichlee</w:t>
      </w:r>
      <w:proofErr w:type="spellEnd"/>
      <w:r w:rsidRPr="008C2D39">
        <w:t xml:space="preserve"> et al. (2025) asserted that the organisational knowledge, skills of employees, leadership, and quality are critical in maintaining the competitive advantage in the industries that are knowledge-based, like banking. The decisions of Santander to invest in these regions help it to grow in the long-term. Nevertheless, a constant innovation process and strategic adjustment are still needed in order to effectively replicate to the changing market environment, new technologies, and growing competitive forces.</w:t>
      </w:r>
    </w:p>
    <w:p w:rsidR="007232FD" w:rsidRPr="008C2D39" w:rsidRDefault="007232FD"/>
    <w:p w:rsidR="007232FD" w:rsidRPr="008C2D39" w:rsidRDefault="000B0D91">
      <w:pPr>
        <w:pStyle w:val="Heading2"/>
      </w:pPr>
      <w:bookmarkStart w:id="21" w:name="_Toc227932184"/>
      <w:r w:rsidRPr="008C2D39">
        <w:lastRenderedPageBreak/>
        <w:t>5. Conclusion</w:t>
      </w:r>
      <w:bookmarkEnd w:id="21"/>
      <w:r w:rsidRPr="008C2D39">
        <w:t xml:space="preserve"> </w:t>
      </w:r>
    </w:p>
    <w:p w:rsidR="007232FD" w:rsidRPr="008C2D39" w:rsidRDefault="000B0D91">
      <w:bookmarkStart w:id="22" w:name="_heading=h.n0rx9emcx3h" w:colFirst="0" w:colLast="0"/>
      <w:bookmarkEnd w:id="22"/>
      <w:r w:rsidRPr="008C2D39">
        <w:t>Banking in the UK is a very competitive industry that has been facilitated by good financial infrastructure, high technological levels, and innovation. The availability of local and foreign banks, as well as the emergence of fintech companies, has heightened competition and pushed the necessity of the differentiation. To achieve an enhanced efficiency and customer experience, a strategic approach to acquisition and heavy investment in the digital transformation has helped Banco Santander to strengthen its footing in this environment. Nevertheless, the industry has its share of difficulties, such as, intricate legislative rules, fast technological fragmentation, and economic uncertainty. Irrespective of these risks, the UK is still a profitable and popular market to multinational banks. The key to the future success of Santander will be its capacity to tackle these issues effectively without losing customer satisfaction, being innovative and sustainable in growth.</w:t>
      </w:r>
      <w:r w:rsidRPr="008C2D39">
        <w:br w:type="page"/>
      </w:r>
    </w:p>
    <w:p w:rsidR="007232FD" w:rsidRPr="008C2D39" w:rsidRDefault="000B0D91">
      <w:pPr>
        <w:pStyle w:val="Heading1"/>
      </w:pPr>
      <w:bookmarkStart w:id="23" w:name="_Toc227932185"/>
      <w:r w:rsidRPr="008C2D39">
        <w:lastRenderedPageBreak/>
        <w:t>Section 2: Reflective Account</w:t>
      </w:r>
      <w:bookmarkEnd w:id="23"/>
    </w:p>
    <w:p w:rsidR="007232FD" w:rsidRPr="008C2D39" w:rsidRDefault="000B0D91">
      <w:pPr>
        <w:pStyle w:val="Heading2"/>
      </w:pPr>
      <w:bookmarkStart w:id="24" w:name="_Toc227932186"/>
      <w:r w:rsidRPr="008C2D39">
        <w:t>1. Description</w:t>
      </w:r>
      <w:bookmarkEnd w:id="24"/>
    </w:p>
    <w:p w:rsidR="007232FD" w:rsidRPr="008C2D39" w:rsidRDefault="000B0D91">
      <w:r w:rsidRPr="008C2D39">
        <w:t xml:space="preserve">It was an evaluation of the UK banking industry and an in-depth analysis of the strategic position of the bank Banco Santander in this industry. This involved the use of theoretical models like the Diamond Model of Porter and PESTLE analysis to analyse the competitiveness, the market conditions and external factors. The research stage involved an examination of scholarly books, industry-based reports, and statistics to come up with a holistic view of the field. Gibbs reflective model helped in organising the process of reviewing the learning process. As stated by </w:t>
      </w:r>
      <w:proofErr w:type="spellStart"/>
      <w:r w:rsidRPr="008C2D39">
        <w:t>Ahmadpour</w:t>
      </w:r>
      <w:proofErr w:type="spellEnd"/>
      <w:r w:rsidRPr="008C2D39">
        <w:t xml:space="preserve"> et al. (2025), the model by Gibbs allows reflective thinking by helping to analyse experiences and results in a structured way. In this assignment, I applied a step-by-step method where I engaged in the collection of data, subsequent analysis and critical evaluation. This systematic procedure helped me to relate theory and practice in an excellent way.</w:t>
      </w:r>
    </w:p>
    <w:p w:rsidR="007232FD" w:rsidRPr="008C2D39" w:rsidRDefault="000B0D91">
      <w:pPr>
        <w:pStyle w:val="Heading2"/>
      </w:pPr>
      <w:bookmarkStart w:id="25" w:name="_Toc227932187"/>
      <w:r w:rsidRPr="008C2D39">
        <w:t>2. Feelings</w:t>
      </w:r>
      <w:bookmarkEnd w:id="25"/>
    </w:p>
    <w:p w:rsidR="007232FD" w:rsidRPr="008C2D39" w:rsidRDefault="000B0D91">
      <w:r w:rsidRPr="008C2D39">
        <w:t>To begin with, I was sure to choose the banking sector in the UK because it is globally relevant and has available data. Nonetheless, as the research went on, I had difficulties in handling a lot of information and finding the most applicable sources. The uncertainty was also caused by the complexity of introducing several frameworks and making the analysis flow logical. Reflective inquiry can enable an individual to appreciate strengths as well as challenges in the process of learning (</w:t>
      </w:r>
      <w:proofErr w:type="spellStart"/>
      <w:r w:rsidRPr="008C2D39">
        <w:t>Mukhanova</w:t>
      </w:r>
      <w:proofErr w:type="spellEnd"/>
      <w:r w:rsidRPr="008C2D39">
        <w:t xml:space="preserve"> and </w:t>
      </w:r>
      <w:proofErr w:type="spellStart"/>
      <w:r w:rsidRPr="008C2D39">
        <w:t>Seitimova</w:t>
      </w:r>
      <w:proofErr w:type="spellEnd"/>
      <w:r w:rsidRPr="008C2D39">
        <w:t>, 2025). In the course of time, my confidence level increased because I understood the frameworks and their application. I also felt more involved when I started noticing how business strategies in real life could be described using theoretical models. At the end of the process, I was happy with the fact that I can now critically analyse the banking industry and make structured arguments.</w:t>
      </w:r>
    </w:p>
    <w:p w:rsidR="007232FD" w:rsidRPr="008C2D39" w:rsidRDefault="000B0D91">
      <w:pPr>
        <w:pStyle w:val="Heading2"/>
      </w:pPr>
      <w:bookmarkStart w:id="26" w:name="_Toc227932188"/>
      <w:r w:rsidRPr="008C2D39">
        <w:t>3. Evaluation</w:t>
      </w:r>
      <w:bookmarkEnd w:id="26"/>
    </w:p>
    <w:p w:rsidR="007232FD" w:rsidRPr="008C2D39" w:rsidRDefault="000B0D91">
      <w:r w:rsidRPr="008C2D39">
        <w:t xml:space="preserve">The study procedure worked well in the development of a broad perspective in the banking sector in the UK. The fact that it was possible to combine both theoretical bases and real data turned out to be one of the assets of the assignment, as it contributed to the richness of the analysis. It was based on a more evidence-based approach due to the use of numerical data and scholarly sources. </w:t>
      </w:r>
      <w:proofErr w:type="spellStart"/>
      <w:r w:rsidRPr="008C2D39">
        <w:t>Praveena</w:t>
      </w:r>
      <w:proofErr w:type="spellEnd"/>
      <w:r w:rsidRPr="008C2D39">
        <w:t xml:space="preserve"> et al. (2025) emphasised that the reflective type of learning enhances analytical skills and </w:t>
      </w:r>
      <w:r w:rsidRPr="008C2D39">
        <w:lastRenderedPageBreak/>
        <w:t>improves the capability to put theoretical knowledge into practice. This was reflected in my capability to associate things like competitiveness and market attractiveness with the operations of Santander. Nevertheless, it could be improved in other areas. It was not easy to find a balance between time and being critical throughout the report. In some instances, I paid more attention to description than evaluation, and this curtailed analysis in some parts. Besides, the synthesis of information from various sources had to be well organised in order to be coherent.</w:t>
      </w:r>
    </w:p>
    <w:p w:rsidR="007232FD" w:rsidRPr="008C2D39" w:rsidRDefault="000B0D91">
      <w:pPr>
        <w:pStyle w:val="Heading2"/>
      </w:pPr>
      <w:bookmarkStart w:id="27" w:name="_Toc227932189"/>
      <w:r w:rsidRPr="008C2D39">
        <w:t>4. Analysis</w:t>
      </w:r>
      <w:bookmarkEnd w:id="27"/>
    </w:p>
    <w:p w:rsidR="007232FD" w:rsidRPr="008C2D39" w:rsidRDefault="000B0D91">
      <w:r w:rsidRPr="008C2D39">
        <w:t xml:space="preserve">Applying the reflective cycle developed by Gibbs enabled me to analyse my learning process in a critical manner and determine ways to improve it. Reflective models help improve problem-solving ability through which one thinks more deeply and critically (Wang, 2025). In the process, I realised how necessary it is to develop arguments and justify them with evidence. Among the important lessons, one should note the importance of the combination of theory and practice. The use of the Diamond Model by Porter and PESTLE analysis allowed me to learn how the external and internal factors affect business strategy. This method enabled me to analyse business environments that are complex and make sound judgments. </w:t>
      </w:r>
    </w:p>
    <w:p w:rsidR="007232FD" w:rsidRPr="008C2D39" w:rsidRDefault="000B0D91">
      <w:proofErr w:type="spellStart"/>
      <w:r w:rsidRPr="008C2D39">
        <w:t>Beldar</w:t>
      </w:r>
      <w:proofErr w:type="spellEnd"/>
      <w:r w:rsidRPr="008C2D39">
        <w:t xml:space="preserve"> (2025) stipulates that reflective practice is an effective way of improving learning because it inspires a person to assess their performance and determine areas of improvement. I also learned that critical thinking is necessary to attain higher academic standards, especially at the postgraduate level. This involves doubting assumptions, contrasting viewpoints and giving reasonable conclusions. Moreover, Ocampo et al. (2025) emphasise that reflection makes it possible to enhance professional skills, including communication, analytical thinking, and decision-making. The assignment helped me to develop better skills in structuring the information, making the arguments clear and using the academic sources effectively. These are the skills that are necessary for academic achievement and career growth.</w:t>
      </w:r>
    </w:p>
    <w:p w:rsidR="007232FD" w:rsidRPr="008C2D39" w:rsidRDefault="000B0D91">
      <w:pPr>
        <w:pStyle w:val="Heading2"/>
      </w:pPr>
      <w:bookmarkStart w:id="28" w:name="_Toc227932190"/>
      <w:r w:rsidRPr="008C2D39">
        <w:t>5. Conclusion</w:t>
      </w:r>
      <w:bookmarkEnd w:id="28"/>
    </w:p>
    <w:p w:rsidR="007232FD" w:rsidRPr="008C2D39" w:rsidRDefault="000B0D91">
      <w:r w:rsidRPr="008C2D39">
        <w:t xml:space="preserve">This meditation has brought out the significance of systematic learning and critical thinking in academic research. The Gibbs model has helped me to assess my strengths and weaknesses and work on them. I also gained a more in-depth awareness of the banking industry in the UK and increased my skills in the application of theoretical constructs to practical scenarios. Altogether, this </w:t>
      </w:r>
      <w:r w:rsidRPr="008C2D39">
        <w:lastRenderedPageBreak/>
        <w:t>assignment has helped me to grow both academically and professionally, as it has enhanced my research as well as analytical and reflective abilities. It has also made me more confident about working with complicated issues and writing clearly developed arguments.</w:t>
      </w:r>
    </w:p>
    <w:p w:rsidR="007232FD" w:rsidRPr="008C2D39" w:rsidRDefault="000B0D91">
      <w:pPr>
        <w:pStyle w:val="Heading2"/>
      </w:pPr>
      <w:bookmarkStart w:id="29" w:name="_Toc227932191"/>
      <w:r w:rsidRPr="008C2D39">
        <w:t>6. Action Plan</w:t>
      </w:r>
      <w:bookmarkEnd w:id="29"/>
    </w:p>
    <w:p w:rsidR="007232FD" w:rsidRDefault="000B0D91">
      <w:r w:rsidRPr="008C2D39">
        <w:t>To ensure that I will become an even better performer in the future, I will train to be better at managing time and analysing. I will also spend more time going through my work and polishing it to make sure that it is consistent and thorough in the analysis. I will also keep on consulting academic literature in order to enhance my knowledge of theoretical frameworks. Reflective learning will be another practice that I will engage in frequently to enhance my performance evaluation skills and areas of improvement. This will enable me to develop better analytical and problem-solving ability, which is important not only for success in school but also in the work environme</w:t>
      </w:r>
      <w:r>
        <w:t>nt.</w:t>
      </w:r>
      <w:r>
        <w:br w:type="page"/>
      </w:r>
    </w:p>
    <w:p w:rsidR="007232FD" w:rsidRDefault="000B0D91">
      <w:pPr>
        <w:pStyle w:val="Heading1"/>
      </w:pPr>
      <w:bookmarkStart w:id="30" w:name="_Toc227932192"/>
      <w:r>
        <w:lastRenderedPageBreak/>
        <w:t>References</w:t>
      </w:r>
      <w:bookmarkEnd w:id="30"/>
    </w:p>
    <w:p w:rsidR="001D4557" w:rsidRDefault="001D4557">
      <w:pPr>
        <w:spacing w:after="240"/>
      </w:pPr>
      <w:r>
        <w:rPr>
          <w:color w:val="222222"/>
          <w:highlight w:val="white"/>
        </w:rPr>
        <w:t xml:space="preserve">Abdallah, A.S., </w:t>
      </w:r>
      <w:proofErr w:type="spellStart"/>
      <w:r>
        <w:rPr>
          <w:color w:val="222222"/>
          <w:highlight w:val="white"/>
        </w:rPr>
        <w:t>Amin</w:t>
      </w:r>
      <w:proofErr w:type="spellEnd"/>
      <w:r>
        <w:rPr>
          <w:color w:val="222222"/>
          <w:highlight w:val="white"/>
        </w:rPr>
        <w:t xml:space="preserve">, H.M., </w:t>
      </w:r>
      <w:proofErr w:type="spellStart"/>
      <w:r>
        <w:rPr>
          <w:color w:val="222222"/>
          <w:highlight w:val="white"/>
        </w:rPr>
        <w:t>Abdelghany</w:t>
      </w:r>
      <w:proofErr w:type="spellEnd"/>
      <w:r>
        <w:rPr>
          <w:color w:val="222222"/>
          <w:highlight w:val="white"/>
        </w:rPr>
        <w:t xml:space="preserve">, M. and </w:t>
      </w:r>
      <w:proofErr w:type="spellStart"/>
      <w:r>
        <w:rPr>
          <w:color w:val="222222"/>
          <w:highlight w:val="white"/>
        </w:rPr>
        <w:t>Elamer</w:t>
      </w:r>
      <w:proofErr w:type="spellEnd"/>
      <w:r>
        <w:rPr>
          <w:color w:val="222222"/>
          <w:highlight w:val="white"/>
        </w:rPr>
        <w:t>, A.A., (2025). Assessing competitiveness through intellectual capital research: a systematic literature review and agenda for future research. </w:t>
      </w:r>
      <w:r>
        <w:rPr>
          <w:i/>
          <w:iCs/>
          <w:color w:val="222222"/>
          <w:highlight w:val="white"/>
        </w:rPr>
        <w:t>Competitiveness Review: An International Business Journal</w:t>
      </w:r>
      <w:r>
        <w:rPr>
          <w:color w:val="222222"/>
          <w:highlight w:val="white"/>
        </w:rPr>
        <w:t>, </w:t>
      </w:r>
      <w:r>
        <w:rPr>
          <w:i/>
          <w:iCs/>
          <w:color w:val="222222"/>
          <w:highlight w:val="white"/>
        </w:rPr>
        <w:t>35</w:t>
      </w:r>
      <w:r>
        <w:rPr>
          <w:color w:val="222222"/>
          <w:highlight w:val="white"/>
        </w:rPr>
        <w:t xml:space="preserve">(1), pp.190-220. </w:t>
      </w:r>
      <w:hyperlink r:id="rId11">
        <w:r>
          <w:rPr>
            <w:color w:val="0000FF"/>
            <w:highlight w:val="white"/>
            <w:u w:val="single"/>
          </w:rPr>
          <w:t>https://www.emerald.com/cr/article/35/1/190/1241345</w:t>
        </w:r>
      </w:hyperlink>
    </w:p>
    <w:p w:rsidR="001D4557" w:rsidRDefault="001D4557">
      <w:pPr>
        <w:spacing w:after="240"/>
      </w:pPr>
      <w:r>
        <w:t xml:space="preserve">Accenture. (2023). </w:t>
      </w:r>
      <w:r>
        <w:rPr>
          <w:i/>
          <w:iCs/>
        </w:rPr>
        <w:t>Global Banking Consumer Study Reignite human connections to discover hidden value.</w:t>
      </w:r>
      <w:r>
        <w:t xml:space="preserve"> Available at: </w:t>
      </w:r>
      <w:hyperlink r:id="rId12">
        <w:r>
          <w:rPr>
            <w:color w:val="0000FF"/>
            <w:u w:val="single"/>
          </w:rPr>
          <w:t>https://www.accenture.com/content/dam/accenture/final/industry/banking/document/Accenture-Banking-Consumer-Study.pdf</w:t>
        </w:r>
      </w:hyperlink>
      <w:r>
        <w:t xml:space="preserve"> [Accessed on 25.03.2026].</w:t>
      </w:r>
    </w:p>
    <w:p w:rsidR="001D4557" w:rsidRDefault="001D4557">
      <w:pPr>
        <w:spacing w:after="240"/>
      </w:pPr>
      <w:proofErr w:type="spellStart"/>
      <w:r>
        <w:t>Ahmadpour</w:t>
      </w:r>
      <w:proofErr w:type="spellEnd"/>
      <w:r>
        <w:t>, N., Shariati, A. and Moghadam, M.P., (2025). Effect of narrative writing based on Gibbs’ reflective model on the empathy and communication skills of nursing students. </w:t>
      </w:r>
      <w:r>
        <w:rPr>
          <w:i/>
          <w:iCs/>
        </w:rPr>
        <w:t>BMC Medical Education</w:t>
      </w:r>
      <w:r>
        <w:t>, </w:t>
      </w:r>
      <w:r>
        <w:rPr>
          <w:i/>
          <w:iCs/>
        </w:rPr>
        <w:t>25</w:t>
      </w:r>
      <w:r>
        <w:t xml:space="preserve">(1), p.10. </w:t>
      </w:r>
      <w:hyperlink r:id="rId13">
        <w:r>
          <w:rPr>
            <w:color w:val="0000FF"/>
            <w:u w:val="single"/>
          </w:rPr>
          <w:t>https://link.springer.com/article/10.1186/s12909-024-06593-7</w:t>
        </w:r>
      </w:hyperlink>
    </w:p>
    <w:p w:rsidR="001D4557" w:rsidRDefault="001D4557">
      <w:pPr>
        <w:spacing w:after="240"/>
      </w:pPr>
      <w:r>
        <w:rPr>
          <w:color w:val="222222"/>
          <w:highlight w:val="white"/>
        </w:rPr>
        <w:t>Al-</w:t>
      </w:r>
      <w:proofErr w:type="spellStart"/>
      <w:r>
        <w:rPr>
          <w:color w:val="222222"/>
          <w:highlight w:val="white"/>
        </w:rPr>
        <w:t>Hattami</w:t>
      </w:r>
      <w:proofErr w:type="spellEnd"/>
      <w:r>
        <w:rPr>
          <w:color w:val="222222"/>
          <w:highlight w:val="white"/>
        </w:rPr>
        <w:t>, H.M., (2025). The impact of digital accounting systems on financial performance in the banking sector: Advancements in the digital era. </w:t>
      </w:r>
      <w:r>
        <w:rPr>
          <w:i/>
          <w:iCs/>
          <w:color w:val="222222"/>
          <w:highlight w:val="white"/>
        </w:rPr>
        <w:t>International Journal of Intelligent Information Technologies (IJIIT)</w:t>
      </w:r>
      <w:r>
        <w:rPr>
          <w:color w:val="222222"/>
          <w:highlight w:val="white"/>
        </w:rPr>
        <w:t>, </w:t>
      </w:r>
      <w:r>
        <w:rPr>
          <w:i/>
          <w:iCs/>
          <w:color w:val="222222"/>
          <w:highlight w:val="white"/>
        </w:rPr>
        <w:t>21</w:t>
      </w:r>
      <w:r>
        <w:rPr>
          <w:color w:val="222222"/>
          <w:highlight w:val="white"/>
        </w:rPr>
        <w:t xml:space="preserve">(1), pp.1-19. </w:t>
      </w:r>
      <w:hyperlink r:id="rId14">
        <w:r>
          <w:rPr>
            <w:color w:val="0000FF"/>
            <w:highlight w:val="white"/>
            <w:u w:val="single"/>
          </w:rPr>
          <w:t>https://www.igi-global.com/viewtitle.aspx?titleid=377599</w:t>
        </w:r>
      </w:hyperlink>
      <w:hyperlink r:id="rId15">
        <w:r>
          <w:rPr>
            <w:color w:val="0000FF"/>
            <w:u w:val="single"/>
          </w:rPr>
          <w:t>c</w:t>
        </w:r>
      </w:hyperlink>
    </w:p>
    <w:p w:rsidR="001D4557" w:rsidRDefault="001D4557">
      <w:pPr>
        <w:spacing w:after="240"/>
      </w:pPr>
      <w:r>
        <w:rPr>
          <w:color w:val="222222"/>
          <w:highlight w:val="white"/>
        </w:rPr>
        <w:t xml:space="preserve">Amir, A.S., </w:t>
      </w:r>
      <w:proofErr w:type="spellStart"/>
      <w:r>
        <w:rPr>
          <w:color w:val="222222"/>
          <w:highlight w:val="white"/>
        </w:rPr>
        <w:t>Quayyum</w:t>
      </w:r>
      <w:proofErr w:type="spellEnd"/>
      <w:r>
        <w:rPr>
          <w:color w:val="222222"/>
          <w:highlight w:val="white"/>
        </w:rPr>
        <w:t>, C.M. and Isa, E.V.M., (2025). Unlocking fintech disclosure: Exploring factors in Malaysia's banking sector. </w:t>
      </w:r>
      <w:r>
        <w:rPr>
          <w:i/>
          <w:iCs/>
          <w:color w:val="222222"/>
          <w:highlight w:val="white"/>
        </w:rPr>
        <w:t>Journal of Nusantara Studies (JONUS)</w:t>
      </w:r>
      <w:r>
        <w:rPr>
          <w:color w:val="222222"/>
          <w:highlight w:val="white"/>
        </w:rPr>
        <w:t>, </w:t>
      </w:r>
      <w:r>
        <w:rPr>
          <w:i/>
          <w:iCs/>
          <w:color w:val="222222"/>
          <w:highlight w:val="white"/>
        </w:rPr>
        <w:t>10</w:t>
      </w:r>
      <w:r>
        <w:rPr>
          <w:color w:val="222222"/>
          <w:highlight w:val="white"/>
        </w:rPr>
        <w:t xml:space="preserve">(1), pp.274-323. </w:t>
      </w:r>
      <w:hyperlink r:id="rId16">
        <w:r>
          <w:rPr>
            <w:color w:val="0000FF"/>
            <w:highlight w:val="white"/>
            <w:u w:val="single"/>
          </w:rPr>
          <w:t>http://journal.unisza.edu.my/jonus/index.php/jonus/article/view/858</w:t>
        </w:r>
      </w:hyperlink>
    </w:p>
    <w:p w:rsidR="001D4557" w:rsidRDefault="001D4557">
      <w:pPr>
        <w:spacing w:after="240"/>
      </w:pPr>
      <w:proofErr w:type="spellStart"/>
      <w:r>
        <w:rPr>
          <w:color w:val="222222"/>
          <w:highlight w:val="white"/>
        </w:rPr>
        <w:t>Attaf</w:t>
      </w:r>
      <w:proofErr w:type="spellEnd"/>
      <w:r>
        <w:rPr>
          <w:color w:val="222222"/>
          <w:highlight w:val="white"/>
        </w:rPr>
        <w:t xml:space="preserve">, W.F. and </w:t>
      </w:r>
      <w:proofErr w:type="spellStart"/>
      <w:r>
        <w:rPr>
          <w:color w:val="222222"/>
          <w:highlight w:val="white"/>
        </w:rPr>
        <w:t>Bensbahou</w:t>
      </w:r>
      <w:proofErr w:type="spellEnd"/>
      <w:r>
        <w:rPr>
          <w:color w:val="222222"/>
          <w:highlight w:val="white"/>
        </w:rPr>
        <w:t>, A., (2025). The Effect of Improving Risk Management as a Mediator Variable in the Relationship between the Modern Approach to Internal Auditing and Competitive Advantage: A Study in Yemeni Islamic Banks. </w:t>
      </w:r>
      <w:r>
        <w:rPr>
          <w:i/>
          <w:iCs/>
          <w:color w:val="222222"/>
          <w:highlight w:val="white"/>
        </w:rPr>
        <w:t>International Journal of Economics and Financial Issues</w:t>
      </w:r>
      <w:r>
        <w:rPr>
          <w:color w:val="222222"/>
          <w:highlight w:val="white"/>
        </w:rPr>
        <w:t>, </w:t>
      </w:r>
      <w:r>
        <w:rPr>
          <w:i/>
          <w:iCs/>
          <w:color w:val="222222"/>
          <w:highlight w:val="white"/>
        </w:rPr>
        <w:t>15</w:t>
      </w:r>
      <w:r>
        <w:rPr>
          <w:color w:val="222222"/>
          <w:highlight w:val="white"/>
        </w:rPr>
        <w:t xml:space="preserve">(2), p.163. </w:t>
      </w:r>
      <w:hyperlink r:id="rId17">
        <w:r>
          <w:rPr>
            <w:color w:val="0000FF"/>
            <w:highlight w:val="white"/>
            <w:u w:val="single"/>
          </w:rPr>
          <w:t>https://www.researchgate.net/profile/Wala-Attaf/publication/389056766_The_Effect_of_Improving_Risk_Management_as_a_Mediator_Variable_in_the_Relationship_between_the_Modern_Approach_to_Internal_Auditing_and_Competitive_Advantage_A_Study_in_Yemeni_Islamic_Banks/links/67b3507d8311ce680c66fe01/The-Effect-of-Improving-Risk-Management-as-a-</w:t>
        </w:r>
        <w:r>
          <w:rPr>
            <w:color w:val="0000FF"/>
            <w:highlight w:val="white"/>
            <w:u w:val="single"/>
          </w:rPr>
          <w:lastRenderedPageBreak/>
          <w:t>Mediator-Variable-in-the-Relationship-between-the-Modern-Approach-to-Internal-Auditing-and-Competitive-Advantage-A-Study-in-Yemeni-Islamic-Banks.pdf</w:t>
        </w:r>
      </w:hyperlink>
    </w:p>
    <w:p w:rsidR="001D4557" w:rsidRDefault="001D4557">
      <w:pPr>
        <w:spacing w:after="240"/>
      </w:pPr>
      <w:r>
        <w:t xml:space="preserve">Banco Santander. (2025). </w:t>
      </w:r>
      <w:r>
        <w:rPr>
          <w:i/>
          <w:iCs/>
        </w:rPr>
        <w:t>About Us.</w:t>
      </w:r>
      <w:r>
        <w:t xml:space="preserve"> Available at: </w:t>
      </w:r>
      <w:hyperlink r:id="rId18">
        <w:r>
          <w:rPr>
            <w:color w:val="0000FF"/>
            <w:u w:val="single"/>
          </w:rPr>
          <w:t>https://www.bancosantander.es/en/particulares/</w:t>
        </w:r>
      </w:hyperlink>
      <w:r>
        <w:t xml:space="preserve"> [Accessed on: 08 March 2025].</w:t>
      </w:r>
    </w:p>
    <w:p w:rsidR="001D4557" w:rsidRDefault="001D4557">
      <w:pPr>
        <w:spacing w:after="240"/>
        <w:rPr>
          <w:i/>
          <w:iCs/>
        </w:rPr>
      </w:pPr>
      <w:r>
        <w:t xml:space="preserve">Banco Santander. (2025b). </w:t>
      </w:r>
      <w:r>
        <w:rPr>
          <w:i/>
          <w:iCs/>
        </w:rPr>
        <w:t>How we help people and businesses prosper.</w:t>
      </w:r>
      <w:r>
        <w:t xml:space="preserve"> Available at: </w:t>
      </w:r>
      <w:hyperlink r:id="rId19">
        <w:r>
          <w:rPr>
            <w:color w:val="0000FF"/>
            <w:u w:val="single"/>
          </w:rPr>
          <w:t>https://www.santander.com/en/about-us/key-facts-and-figures</w:t>
        </w:r>
      </w:hyperlink>
      <w:r>
        <w:t xml:space="preserve"> [Accessed on 05.03.2026].</w:t>
      </w:r>
    </w:p>
    <w:p w:rsidR="001D4557" w:rsidRDefault="001D4557">
      <w:pPr>
        <w:spacing w:after="240"/>
      </w:pPr>
      <w:r>
        <w:t xml:space="preserve">Banco Santander. (2026). </w:t>
      </w:r>
      <w:r>
        <w:rPr>
          <w:i/>
          <w:iCs/>
        </w:rPr>
        <w:t>Our history.</w:t>
      </w:r>
      <w:r>
        <w:t xml:space="preserve"> Available at: </w:t>
      </w:r>
      <w:hyperlink r:id="rId20">
        <w:r>
          <w:rPr>
            <w:color w:val="0000FF"/>
            <w:u w:val="single"/>
          </w:rPr>
          <w:t>https://www.santander.co.uk/about-santander/our-history</w:t>
        </w:r>
      </w:hyperlink>
      <w:r>
        <w:t xml:space="preserve"> [Accessed on: 10 March 2025].</w:t>
      </w:r>
    </w:p>
    <w:p w:rsidR="001D4557" w:rsidRDefault="001D4557">
      <w:pPr>
        <w:spacing w:after="240"/>
      </w:pPr>
      <w:r>
        <w:t xml:space="preserve">Bank of England (2025). </w:t>
      </w:r>
      <w:r>
        <w:rPr>
          <w:i/>
          <w:iCs/>
        </w:rPr>
        <w:t>Banking sector regulatory capital - 2025 Q2</w:t>
      </w:r>
      <w:r>
        <w:t xml:space="preserve">. Available at: </w:t>
      </w:r>
      <w:hyperlink r:id="rId21">
        <w:r>
          <w:rPr>
            <w:color w:val="0000FF"/>
            <w:u w:val="single"/>
          </w:rPr>
          <w:t>https://www.bankofengland.co.uk/statistics/banking-sector-regulatory-capital/2025/2025-q2</w:t>
        </w:r>
      </w:hyperlink>
      <w:r>
        <w:t xml:space="preserve"> [Accessed on 05.03.2026].</w:t>
      </w:r>
    </w:p>
    <w:p w:rsidR="001D4557" w:rsidRPr="008C2D39" w:rsidRDefault="001D4557">
      <w:pPr>
        <w:spacing w:after="240"/>
      </w:pPr>
      <w:r w:rsidRPr="008C2D39">
        <w:t xml:space="preserve">Barclays. (2026). </w:t>
      </w:r>
      <w:r w:rsidRPr="008C2D39">
        <w:rPr>
          <w:i/>
          <w:iCs/>
        </w:rPr>
        <w:t>Barclays PLC | Annual Report 2025.</w:t>
      </w:r>
      <w:r w:rsidRPr="008C2D39">
        <w:t xml:space="preserve"> Available at: </w:t>
      </w:r>
      <w:hyperlink r:id="rId22" w:history="1">
        <w:r w:rsidR="008C2D39" w:rsidRPr="004105F8">
          <w:rPr>
            <w:rStyle w:val="Hyperlink"/>
          </w:rPr>
          <w:t>home.barclays/content/dam/home-barclays/documents/investor-relations/reports-and-events/annual-reports/2025/Barclays-PLC-Annual-Report-2025.pdf</w:t>
        </w:r>
      </w:hyperlink>
      <w:r w:rsidR="008C2D39">
        <w:t xml:space="preserve"> </w:t>
      </w:r>
      <w:r w:rsidRPr="008C2D39">
        <w:t>[Accessed on 22.04.2026].</w:t>
      </w:r>
    </w:p>
    <w:p w:rsidR="001D4557" w:rsidRDefault="001D4557">
      <w:pPr>
        <w:spacing w:after="240"/>
      </w:pPr>
      <w:proofErr w:type="spellStart"/>
      <w:r>
        <w:rPr>
          <w:color w:val="222222"/>
          <w:highlight w:val="white"/>
        </w:rPr>
        <w:t>Batmunkh</w:t>
      </w:r>
      <w:proofErr w:type="spellEnd"/>
      <w:r>
        <w:rPr>
          <w:color w:val="222222"/>
          <w:highlight w:val="white"/>
        </w:rPr>
        <w:t xml:space="preserve">, G., (2025). An investigation of the switching </w:t>
      </w:r>
      <w:proofErr w:type="spellStart"/>
      <w:r>
        <w:rPr>
          <w:color w:val="222222"/>
          <w:highlight w:val="white"/>
        </w:rPr>
        <w:t>behavior</w:t>
      </w:r>
      <w:proofErr w:type="spellEnd"/>
      <w:r>
        <w:rPr>
          <w:color w:val="222222"/>
          <w:highlight w:val="white"/>
        </w:rPr>
        <w:t xml:space="preserve"> and why customers switch banks in the retailing banking sector. </w:t>
      </w:r>
      <w:r>
        <w:rPr>
          <w:i/>
          <w:iCs/>
          <w:color w:val="222222"/>
          <w:highlight w:val="white"/>
        </w:rPr>
        <w:t>Frontiers in Communication</w:t>
      </w:r>
      <w:r>
        <w:rPr>
          <w:color w:val="222222"/>
          <w:highlight w:val="white"/>
        </w:rPr>
        <w:t>, </w:t>
      </w:r>
      <w:r>
        <w:rPr>
          <w:i/>
          <w:iCs/>
          <w:color w:val="222222"/>
          <w:highlight w:val="white"/>
        </w:rPr>
        <w:t>10</w:t>
      </w:r>
      <w:r>
        <w:rPr>
          <w:color w:val="222222"/>
          <w:highlight w:val="white"/>
        </w:rPr>
        <w:t xml:space="preserve">, p.1548050. </w:t>
      </w:r>
      <w:hyperlink r:id="rId23">
        <w:r>
          <w:rPr>
            <w:color w:val="0000FF"/>
            <w:highlight w:val="white"/>
            <w:u w:val="single"/>
          </w:rPr>
          <w:t>https://www.frontiersin.org/journals/communication/articles/10.3389/fcomm.2025.1548050/full</w:t>
        </w:r>
      </w:hyperlink>
    </w:p>
    <w:p w:rsidR="001D4557" w:rsidRDefault="001D4557">
      <w:pPr>
        <w:spacing w:after="240"/>
      </w:pPr>
      <w:proofErr w:type="spellStart"/>
      <w:r>
        <w:rPr>
          <w:color w:val="222222"/>
          <w:highlight w:val="white"/>
        </w:rPr>
        <w:t>Behn</w:t>
      </w:r>
      <w:proofErr w:type="spellEnd"/>
      <w:r>
        <w:rPr>
          <w:color w:val="222222"/>
          <w:highlight w:val="white"/>
        </w:rPr>
        <w:t xml:space="preserve">, M. and </w:t>
      </w:r>
      <w:proofErr w:type="spellStart"/>
      <w:r>
        <w:rPr>
          <w:color w:val="222222"/>
          <w:highlight w:val="white"/>
        </w:rPr>
        <w:t>Reghezza</w:t>
      </w:r>
      <w:proofErr w:type="spellEnd"/>
      <w:r>
        <w:rPr>
          <w:color w:val="222222"/>
          <w:highlight w:val="white"/>
        </w:rPr>
        <w:t>, A., (2025). Capital requirements: a pillar or a burden for bank competitiveness</w:t>
      </w:r>
      <w:proofErr w:type="gramStart"/>
      <w:r>
        <w:rPr>
          <w:color w:val="222222"/>
          <w:highlight w:val="white"/>
        </w:rPr>
        <w:t>?.</w:t>
      </w:r>
      <w:proofErr w:type="gramEnd"/>
      <w:r>
        <w:rPr>
          <w:color w:val="222222"/>
          <w:highlight w:val="white"/>
        </w:rPr>
        <w:t> </w:t>
      </w:r>
      <w:r>
        <w:rPr>
          <w:i/>
          <w:iCs/>
          <w:color w:val="222222"/>
          <w:highlight w:val="white"/>
        </w:rPr>
        <w:t>ECB Occasional Paper</w:t>
      </w:r>
      <w:r>
        <w:rPr>
          <w:color w:val="222222"/>
          <w:highlight w:val="white"/>
        </w:rPr>
        <w:t xml:space="preserve">, (2025/376). </w:t>
      </w:r>
      <w:hyperlink r:id="rId24">
        <w:r>
          <w:rPr>
            <w:color w:val="0000FF"/>
            <w:highlight w:val="white"/>
            <w:u w:val="single"/>
          </w:rPr>
          <w:t>https://papers.ssrn.com/sol3/papers.cfm?abstract_id=5585190</w:t>
        </w:r>
      </w:hyperlink>
    </w:p>
    <w:p w:rsidR="001D4557" w:rsidRDefault="001D4557">
      <w:pPr>
        <w:spacing w:after="240"/>
      </w:pPr>
      <w:proofErr w:type="spellStart"/>
      <w:r>
        <w:t>Beldar</w:t>
      </w:r>
      <w:proofErr w:type="spellEnd"/>
      <w:r>
        <w:t>, P.R., (2025). Case Study: Enhancing Learning in C Programming Through Gibbs Reflective Cycle. </w:t>
      </w:r>
      <w:r>
        <w:rPr>
          <w:i/>
          <w:iCs/>
        </w:rPr>
        <w:t>Journal of Engineering Education Transformations</w:t>
      </w:r>
      <w:r>
        <w:t xml:space="preserve">, pp.61-68. </w:t>
      </w:r>
      <w:hyperlink r:id="rId25">
        <w:r>
          <w:rPr>
            <w:color w:val="0000FF"/>
            <w:u w:val="single"/>
          </w:rPr>
          <w:t>https://www.journaleet.in/index.php/jeet/article/view/2013</w:t>
        </w:r>
      </w:hyperlink>
    </w:p>
    <w:p w:rsidR="001D4557" w:rsidRDefault="001D4557">
      <w:pPr>
        <w:spacing w:after="240"/>
      </w:pPr>
      <w:r>
        <w:lastRenderedPageBreak/>
        <w:t xml:space="preserve">BOE, (2025). </w:t>
      </w:r>
      <w:r>
        <w:rPr>
          <w:i/>
          <w:iCs/>
        </w:rPr>
        <w:t>Statistics</w:t>
      </w:r>
      <w:r>
        <w:t xml:space="preserve">. Available at: </w:t>
      </w:r>
      <w:hyperlink r:id="rId26">
        <w:r>
          <w:rPr>
            <w:color w:val="0000FF"/>
            <w:u w:val="single"/>
          </w:rPr>
          <w:t>https://www.bankofengland.co.uk/statistics</w:t>
        </w:r>
      </w:hyperlink>
      <w:r>
        <w:t xml:space="preserve"> [Accessed on: 18 March 2025].</w:t>
      </w:r>
    </w:p>
    <w:p w:rsidR="001D4557" w:rsidRDefault="001D4557">
      <w:pPr>
        <w:spacing w:after="240"/>
      </w:pPr>
      <w:r>
        <w:rPr>
          <w:color w:val="222222"/>
          <w:highlight w:val="white"/>
        </w:rPr>
        <w:t>Bonsu, M.O.A., Wang, Y., Nartey, P.R.D. and Amala, M.N., (2025). Does the integration of Fintech and green finance enhance sustainability performance in the banking sector? Information technology governance as moderator. </w:t>
      </w:r>
      <w:r>
        <w:rPr>
          <w:i/>
          <w:iCs/>
          <w:color w:val="222222"/>
          <w:highlight w:val="white"/>
        </w:rPr>
        <w:t>Business Strategy and the Environment</w:t>
      </w:r>
      <w:r>
        <w:rPr>
          <w:color w:val="222222"/>
          <w:highlight w:val="white"/>
        </w:rPr>
        <w:t>, </w:t>
      </w:r>
      <w:r>
        <w:rPr>
          <w:i/>
          <w:iCs/>
          <w:color w:val="222222"/>
          <w:highlight w:val="white"/>
        </w:rPr>
        <w:t>34</w:t>
      </w:r>
      <w:r>
        <w:rPr>
          <w:color w:val="222222"/>
          <w:highlight w:val="white"/>
        </w:rPr>
        <w:t xml:space="preserve">(8), pp.9954-9977. </w:t>
      </w:r>
      <w:hyperlink r:id="rId27">
        <w:r>
          <w:rPr>
            <w:color w:val="0000FF"/>
            <w:highlight w:val="white"/>
            <w:u w:val="single"/>
          </w:rPr>
          <w:t>https://onlinelibrary.wiley.com/doi/abs/10.1002/bse.70071</w:t>
        </w:r>
      </w:hyperlink>
    </w:p>
    <w:p w:rsidR="001D4557" w:rsidRDefault="001D4557">
      <w:pPr>
        <w:spacing w:after="240"/>
      </w:pPr>
      <w:r>
        <w:rPr>
          <w:color w:val="222222"/>
          <w:highlight w:val="white"/>
        </w:rPr>
        <w:t>Brown, D.M., (2025). How internal marketing can increase the satisfaction and retention of Generation Z employees in the banking sector. </w:t>
      </w:r>
      <w:r>
        <w:rPr>
          <w:i/>
          <w:iCs/>
          <w:color w:val="222222"/>
          <w:highlight w:val="white"/>
        </w:rPr>
        <w:t>International Journal of Bank Marketing</w:t>
      </w:r>
      <w:r>
        <w:rPr>
          <w:color w:val="222222"/>
          <w:highlight w:val="white"/>
        </w:rPr>
        <w:t>, </w:t>
      </w:r>
      <w:r>
        <w:rPr>
          <w:i/>
          <w:iCs/>
          <w:color w:val="222222"/>
          <w:highlight w:val="white"/>
        </w:rPr>
        <w:t>43</w:t>
      </w:r>
      <w:r>
        <w:rPr>
          <w:color w:val="222222"/>
          <w:highlight w:val="white"/>
        </w:rPr>
        <w:t xml:space="preserve">(5), pp.1122-1145. </w:t>
      </w:r>
      <w:hyperlink r:id="rId28">
        <w:r>
          <w:rPr>
            <w:color w:val="0000FF"/>
            <w:highlight w:val="white"/>
            <w:u w:val="single"/>
          </w:rPr>
          <w:t>https://www.emerald.com/ijbm/article/43/5/1122/1246455</w:t>
        </w:r>
      </w:hyperlink>
    </w:p>
    <w:p w:rsidR="001D4557" w:rsidRDefault="001D4557">
      <w:pPr>
        <w:spacing w:after="240"/>
      </w:pPr>
      <w:proofErr w:type="spellStart"/>
      <w:r>
        <w:rPr>
          <w:color w:val="222222"/>
          <w:highlight w:val="white"/>
        </w:rPr>
        <w:t>Chiguvi</w:t>
      </w:r>
      <w:proofErr w:type="spellEnd"/>
      <w:r>
        <w:rPr>
          <w:color w:val="222222"/>
          <w:highlight w:val="white"/>
        </w:rPr>
        <w:t xml:space="preserve">, D., </w:t>
      </w:r>
      <w:proofErr w:type="spellStart"/>
      <w:r>
        <w:rPr>
          <w:color w:val="222222"/>
          <w:highlight w:val="white"/>
        </w:rPr>
        <w:t>Tadu</w:t>
      </w:r>
      <w:proofErr w:type="spellEnd"/>
      <w:r>
        <w:rPr>
          <w:color w:val="222222"/>
          <w:highlight w:val="white"/>
        </w:rPr>
        <w:t xml:space="preserve">, R. and </w:t>
      </w:r>
      <w:proofErr w:type="spellStart"/>
      <w:r>
        <w:rPr>
          <w:color w:val="222222"/>
          <w:highlight w:val="white"/>
        </w:rPr>
        <w:t>Mugwati</w:t>
      </w:r>
      <w:proofErr w:type="spellEnd"/>
      <w:r>
        <w:rPr>
          <w:color w:val="222222"/>
          <w:highlight w:val="white"/>
        </w:rPr>
        <w:t>, M., (2025). Customer experience management in the banking sector and its relation to the SDGs. </w:t>
      </w:r>
      <w:r>
        <w:rPr>
          <w:i/>
          <w:iCs/>
          <w:color w:val="222222"/>
          <w:highlight w:val="white"/>
        </w:rPr>
        <w:t>Journal of Lifestyle and SDGs Review</w:t>
      </w:r>
      <w:r>
        <w:rPr>
          <w:color w:val="222222"/>
          <w:highlight w:val="white"/>
        </w:rPr>
        <w:t>, </w:t>
      </w:r>
      <w:r>
        <w:rPr>
          <w:i/>
          <w:iCs/>
          <w:color w:val="222222"/>
          <w:highlight w:val="white"/>
        </w:rPr>
        <w:t>5</w:t>
      </w:r>
      <w:r>
        <w:rPr>
          <w:color w:val="222222"/>
          <w:highlight w:val="white"/>
        </w:rPr>
        <w:t xml:space="preserve">(2), p.e03772. </w:t>
      </w:r>
      <w:hyperlink r:id="rId29">
        <w:r>
          <w:rPr>
            <w:color w:val="0000FF"/>
            <w:highlight w:val="white"/>
            <w:u w:val="single"/>
          </w:rPr>
          <w:t>https://www.researchgate.net/profile/Douglas-Chiguvi/publication/386487222_Customer_Experience_Management_in_the_Banking_Sector_and_Its_Relation_to_the_SDGs/links/6752c1a9ba2f3a1eb8b08f92/Customer-Experience-Management-in-the-Banking-Sector-and-Its-Relation-to-the-SDGs.pdf</w:t>
        </w:r>
      </w:hyperlink>
    </w:p>
    <w:p w:rsidR="001D4557" w:rsidRDefault="001D4557">
      <w:pPr>
        <w:spacing w:after="240"/>
      </w:pPr>
      <w:r>
        <w:rPr>
          <w:color w:val="222222"/>
          <w:highlight w:val="white"/>
        </w:rPr>
        <w:t>Clarke, C. and Macartney, H., (2025). The second financial services revolution? The quiet politics of open banking reform in the UK. </w:t>
      </w:r>
      <w:r>
        <w:rPr>
          <w:i/>
          <w:iCs/>
          <w:color w:val="222222"/>
          <w:highlight w:val="white"/>
        </w:rPr>
        <w:t>Competition &amp; Change</w:t>
      </w:r>
      <w:r>
        <w:rPr>
          <w:color w:val="222222"/>
          <w:highlight w:val="white"/>
        </w:rPr>
        <w:t xml:space="preserve">, p.10245294251320569. </w:t>
      </w:r>
      <w:hyperlink r:id="rId30">
        <w:r>
          <w:rPr>
            <w:color w:val="0000FF"/>
            <w:highlight w:val="white"/>
            <w:u w:val="single"/>
          </w:rPr>
          <w:t>https://journals.sagepub.com/doi/abs/10.1177/10245294251320569</w:t>
        </w:r>
      </w:hyperlink>
    </w:p>
    <w:p w:rsidR="001D4557" w:rsidRDefault="001D4557">
      <w:pPr>
        <w:spacing w:after="240"/>
      </w:pPr>
      <w:r>
        <w:rPr>
          <w:color w:val="222222"/>
          <w:highlight w:val="white"/>
        </w:rPr>
        <w:t xml:space="preserve">Del </w:t>
      </w:r>
      <w:proofErr w:type="spellStart"/>
      <w:r>
        <w:rPr>
          <w:color w:val="222222"/>
          <w:highlight w:val="white"/>
        </w:rPr>
        <w:t>Sarto</w:t>
      </w:r>
      <w:proofErr w:type="spellEnd"/>
      <w:r>
        <w:rPr>
          <w:color w:val="222222"/>
          <w:highlight w:val="white"/>
        </w:rPr>
        <w:t xml:space="preserve">, N., </w:t>
      </w:r>
      <w:proofErr w:type="spellStart"/>
      <w:r>
        <w:rPr>
          <w:color w:val="222222"/>
          <w:highlight w:val="white"/>
        </w:rPr>
        <w:t>Bocchialini</w:t>
      </w:r>
      <w:proofErr w:type="spellEnd"/>
      <w:r>
        <w:rPr>
          <w:color w:val="222222"/>
          <w:highlight w:val="white"/>
        </w:rPr>
        <w:t xml:space="preserve">, E., Gai, L. and </w:t>
      </w:r>
      <w:proofErr w:type="spellStart"/>
      <w:r>
        <w:rPr>
          <w:color w:val="222222"/>
          <w:highlight w:val="white"/>
        </w:rPr>
        <w:t>Ielasi</w:t>
      </w:r>
      <w:proofErr w:type="spellEnd"/>
      <w:r>
        <w:rPr>
          <w:color w:val="222222"/>
          <w:highlight w:val="white"/>
        </w:rPr>
        <w:t>, F., (2025). Digital banking: How social media is shaping the game. </w:t>
      </w:r>
      <w:r>
        <w:rPr>
          <w:i/>
          <w:iCs/>
          <w:color w:val="222222"/>
          <w:highlight w:val="white"/>
        </w:rPr>
        <w:t>Qualitative Research in Financial Markets</w:t>
      </w:r>
      <w:r>
        <w:rPr>
          <w:color w:val="222222"/>
          <w:highlight w:val="white"/>
        </w:rPr>
        <w:t>, </w:t>
      </w:r>
      <w:r>
        <w:rPr>
          <w:i/>
          <w:iCs/>
          <w:color w:val="222222"/>
          <w:highlight w:val="white"/>
        </w:rPr>
        <w:t>17</w:t>
      </w:r>
      <w:r>
        <w:rPr>
          <w:color w:val="222222"/>
          <w:highlight w:val="white"/>
        </w:rPr>
        <w:t xml:space="preserve">(2), pp.348-369. </w:t>
      </w:r>
      <w:hyperlink r:id="rId31">
        <w:r>
          <w:rPr>
            <w:color w:val="0000FF"/>
            <w:highlight w:val="white"/>
            <w:u w:val="single"/>
          </w:rPr>
          <w:t>https://www.emerald.com/qrfm/article/17/2/348/1241453</w:t>
        </w:r>
      </w:hyperlink>
    </w:p>
    <w:p w:rsidR="001D4557" w:rsidRDefault="001D4557">
      <w:pPr>
        <w:spacing w:after="240"/>
      </w:pPr>
      <w:r>
        <w:rPr>
          <w:color w:val="222222"/>
          <w:highlight w:val="white"/>
        </w:rPr>
        <w:t xml:space="preserve">Du, J., </w:t>
      </w:r>
      <w:proofErr w:type="spellStart"/>
      <w:r>
        <w:rPr>
          <w:color w:val="222222"/>
          <w:highlight w:val="white"/>
        </w:rPr>
        <w:t>Shepotylo</w:t>
      </w:r>
      <w:proofErr w:type="spellEnd"/>
      <w:r>
        <w:rPr>
          <w:color w:val="222222"/>
          <w:highlight w:val="white"/>
        </w:rPr>
        <w:t>, O. and Yuan, X., (2025). How did the Brexit uncertainty impact services exports of UK firms</w:t>
      </w:r>
      <w:proofErr w:type="gramStart"/>
      <w:r>
        <w:rPr>
          <w:color w:val="222222"/>
          <w:highlight w:val="white"/>
        </w:rPr>
        <w:t>?.</w:t>
      </w:r>
      <w:proofErr w:type="gramEnd"/>
      <w:r>
        <w:rPr>
          <w:color w:val="222222"/>
          <w:highlight w:val="white"/>
        </w:rPr>
        <w:t> </w:t>
      </w:r>
      <w:r>
        <w:rPr>
          <w:i/>
          <w:iCs/>
          <w:color w:val="222222"/>
          <w:highlight w:val="white"/>
        </w:rPr>
        <w:t>Journal of International Business Policy</w:t>
      </w:r>
      <w:r>
        <w:rPr>
          <w:color w:val="222222"/>
          <w:highlight w:val="white"/>
        </w:rPr>
        <w:t>, </w:t>
      </w:r>
      <w:r>
        <w:rPr>
          <w:i/>
          <w:iCs/>
          <w:color w:val="222222"/>
          <w:highlight w:val="white"/>
        </w:rPr>
        <w:t>8</w:t>
      </w:r>
      <w:r>
        <w:rPr>
          <w:color w:val="222222"/>
          <w:highlight w:val="white"/>
        </w:rPr>
        <w:t xml:space="preserve">(1), pp.80-104. </w:t>
      </w:r>
      <w:hyperlink r:id="rId32">
        <w:r>
          <w:rPr>
            <w:color w:val="0000FF"/>
            <w:highlight w:val="white"/>
            <w:u w:val="single"/>
          </w:rPr>
          <w:t>https://link.springer.com/article/10.1057/s42214-024-00202-6</w:t>
        </w:r>
      </w:hyperlink>
    </w:p>
    <w:p w:rsidR="001D4557" w:rsidRDefault="001D4557">
      <w:pPr>
        <w:spacing w:after="240"/>
      </w:pPr>
      <w:proofErr w:type="spellStart"/>
      <w:r>
        <w:rPr>
          <w:color w:val="222222"/>
          <w:highlight w:val="white"/>
        </w:rPr>
        <w:lastRenderedPageBreak/>
        <w:t>Egli</w:t>
      </w:r>
      <w:proofErr w:type="spellEnd"/>
      <w:r>
        <w:rPr>
          <w:color w:val="222222"/>
          <w:highlight w:val="white"/>
        </w:rPr>
        <w:t xml:space="preserve">, F., Schneider, F., Leonard, A., Halloran, C., Salmon, N., Schmidt, T. and </w:t>
      </w:r>
      <w:proofErr w:type="spellStart"/>
      <w:r>
        <w:rPr>
          <w:color w:val="222222"/>
          <w:highlight w:val="white"/>
        </w:rPr>
        <w:t>Hirmer</w:t>
      </w:r>
      <w:proofErr w:type="spellEnd"/>
      <w:r>
        <w:rPr>
          <w:color w:val="222222"/>
          <w:highlight w:val="white"/>
        </w:rPr>
        <w:t>, S., (2025). Mapping the cost competitiveness of African green hydrogen imports to Europe. </w:t>
      </w:r>
      <w:r>
        <w:rPr>
          <w:i/>
          <w:iCs/>
          <w:color w:val="222222"/>
          <w:highlight w:val="white"/>
        </w:rPr>
        <w:t>Nature Energy</w:t>
      </w:r>
      <w:r>
        <w:rPr>
          <w:color w:val="222222"/>
          <w:highlight w:val="white"/>
        </w:rPr>
        <w:t>, </w:t>
      </w:r>
      <w:r>
        <w:rPr>
          <w:i/>
          <w:iCs/>
          <w:color w:val="222222"/>
          <w:highlight w:val="white"/>
        </w:rPr>
        <w:t>10</w:t>
      </w:r>
      <w:r>
        <w:rPr>
          <w:color w:val="222222"/>
          <w:highlight w:val="white"/>
        </w:rPr>
        <w:t xml:space="preserve">(6), pp.750-761. </w:t>
      </w:r>
      <w:hyperlink r:id="rId33">
        <w:r>
          <w:rPr>
            <w:color w:val="0000FF"/>
            <w:highlight w:val="white"/>
            <w:u w:val="single"/>
          </w:rPr>
          <w:t>https://www.nature.com/articles/s41560-025-01768-y</w:t>
        </w:r>
      </w:hyperlink>
    </w:p>
    <w:p w:rsidR="001D4557" w:rsidRDefault="001D4557">
      <w:pPr>
        <w:spacing w:after="240"/>
      </w:pPr>
      <w:proofErr w:type="spellStart"/>
      <w:r>
        <w:rPr>
          <w:color w:val="222222"/>
          <w:highlight w:val="white"/>
        </w:rPr>
        <w:t>Gaviyau</w:t>
      </w:r>
      <w:proofErr w:type="spellEnd"/>
      <w:r>
        <w:rPr>
          <w:color w:val="222222"/>
          <w:highlight w:val="white"/>
        </w:rPr>
        <w:t xml:space="preserve">, W. and </w:t>
      </w:r>
      <w:proofErr w:type="spellStart"/>
      <w:r>
        <w:rPr>
          <w:color w:val="222222"/>
          <w:highlight w:val="white"/>
        </w:rPr>
        <w:t>Godi</w:t>
      </w:r>
      <w:proofErr w:type="spellEnd"/>
      <w:r>
        <w:rPr>
          <w:color w:val="222222"/>
          <w:highlight w:val="white"/>
        </w:rPr>
        <w:t>, J., (2025). Banking sector transformation: Disruptions, challenges and opportunities. </w:t>
      </w:r>
      <w:r>
        <w:rPr>
          <w:i/>
          <w:iCs/>
          <w:color w:val="222222"/>
          <w:highlight w:val="white"/>
        </w:rPr>
        <w:t>FinTech</w:t>
      </w:r>
      <w:r>
        <w:rPr>
          <w:color w:val="222222"/>
          <w:highlight w:val="white"/>
        </w:rPr>
        <w:t>, </w:t>
      </w:r>
      <w:r>
        <w:rPr>
          <w:i/>
          <w:iCs/>
          <w:color w:val="222222"/>
          <w:highlight w:val="white"/>
        </w:rPr>
        <w:t>4</w:t>
      </w:r>
      <w:r>
        <w:rPr>
          <w:color w:val="222222"/>
          <w:highlight w:val="white"/>
        </w:rPr>
        <w:t xml:space="preserve">(3), p.48. </w:t>
      </w:r>
      <w:hyperlink r:id="rId34">
        <w:r>
          <w:rPr>
            <w:color w:val="0000FF"/>
            <w:highlight w:val="white"/>
            <w:u w:val="single"/>
          </w:rPr>
          <w:t>https://www.mdpi.com/2674-1032/4/3/48</w:t>
        </w:r>
      </w:hyperlink>
    </w:p>
    <w:p w:rsidR="001D4557" w:rsidRDefault="001D4557">
      <w:pPr>
        <w:spacing w:after="240"/>
      </w:pPr>
      <w:proofErr w:type="spellStart"/>
      <w:r>
        <w:rPr>
          <w:color w:val="222222"/>
          <w:highlight w:val="white"/>
        </w:rPr>
        <w:t>Ghadiridehkordi</w:t>
      </w:r>
      <w:proofErr w:type="spellEnd"/>
      <w:r>
        <w:rPr>
          <w:color w:val="222222"/>
          <w:highlight w:val="white"/>
        </w:rPr>
        <w:t xml:space="preserve">, A., Shao, J., </w:t>
      </w:r>
      <w:proofErr w:type="spellStart"/>
      <w:r>
        <w:rPr>
          <w:color w:val="222222"/>
          <w:highlight w:val="white"/>
        </w:rPr>
        <w:t>Boojihawon</w:t>
      </w:r>
      <w:proofErr w:type="spellEnd"/>
      <w:r>
        <w:rPr>
          <w:color w:val="222222"/>
          <w:highlight w:val="white"/>
        </w:rPr>
        <w:t>, R., Wang, Q. and Li, H., (2025). Leveraging sentiment analysis via text mining to improve customer satisfaction in UK banks. </w:t>
      </w:r>
      <w:r>
        <w:rPr>
          <w:i/>
          <w:iCs/>
          <w:color w:val="222222"/>
          <w:highlight w:val="white"/>
        </w:rPr>
        <w:t>International Journal of Bank Marketing</w:t>
      </w:r>
      <w:r>
        <w:rPr>
          <w:color w:val="222222"/>
          <w:highlight w:val="white"/>
        </w:rPr>
        <w:t>, </w:t>
      </w:r>
      <w:r>
        <w:rPr>
          <w:i/>
          <w:iCs/>
          <w:color w:val="222222"/>
          <w:highlight w:val="white"/>
        </w:rPr>
        <w:t>43</w:t>
      </w:r>
      <w:r>
        <w:rPr>
          <w:color w:val="222222"/>
          <w:highlight w:val="white"/>
        </w:rPr>
        <w:t xml:space="preserve">(4), pp.780-802. </w:t>
      </w:r>
      <w:hyperlink r:id="rId35">
        <w:r>
          <w:rPr>
            <w:color w:val="0000FF"/>
            <w:highlight w:val="white"/>
            <w:u w:val="single"/>
          </w:rPr>
          <w:t>https://www.emerald.com/ijbm/article/43/4/780/1239403</w:t>
        </w:r>
      </w:hyperlink>
    </w:p>
    <w:p w:rsidR="001D4557" w:rsidRDefault="001D4557">
      <w:pPr>
        <w:spacing w:after="240"/>
      </w:pPr>
      <w:proofErr w:type="spellStart"/>
      <w:r>
        <w:rPr>
          <w:color w:val="222222"/>
          <w:highlight w:val="white"/>
        </w:rPr>
        <w:t>Ghlichlee</w:t>
      </w:r>
      <w:proofErr w:type="spellEnd"/>
      <w:r>
        <w:rPr>
          <w:color w:val="222222"/>
          <w:highlight w:val="white"/>
        </w:rPr>
        <w:t xml:space="preserve">, B., </w:t>
      </w:r>
      <w:proofErr w:type="spellStart"/>
      <w:r>
        <w:rPr>
          <w:color w:val="222222"/>
          <w:highlight w:val="white"/>
        </w:rPr>
        <w:t>Bayat</w:t>
      </w:r>
      <w:proofErr w:type="spellEnd"/>
      <w:r>
        <w:rPr>
          <w:color w:val="222222"/>
          <w:highlight w:val="white"/>
        </w:rPr>
        <w:t xml:space="preserve">, F. and </w:t>
      </w:r>
      <w:proofErr w:type="spellStart"/>
      <w:r>
        <w:rPr>
          <w:color w:val="222222"/>
          <w:highlight w:val="white"/>
        </w:rPr>
        <w:t>Hatami</w:t>
      </w:r>
      <w:proofErr w:type="spellEnd"/>
      <w:r>
        <w:rPr>
          <w:color w:val="222222"/>
          <w:highlight w:val="white"/>
        </w:rPr>
        <w:t>, A., (2025). Knowledge-oriented leadership and business performance: the mediating role of intellectual capital and sustainable competitive advantage in the knowledge-intensive service industry. </w:t>
      </w:r>
      <w:r>
        <w:rPr>
          <w:i/>
          <w:iCs/>
          <w:color w:val="222222"/>
          <w:highlight w:val="white"/>
        </w:rPr>
        <w:t>Journal of Intellectual Capital</w:t>
      </w:r>
      <w:r>
        <w:rPr>
          <w:color w:val="222222"/>
          <w:highlight w:val="white"/>
        </w:rPr>
        <w:t>, </w:t>
      </w:r>
      <w:r>
        <w:rPr>
          <w:i/>
          <w:iCs/>
          <w:color w:val="222222"/>
          <w:highlight w:val="white"/>
        </w:rPr>
        <w:t>26</w:t>
      </w:r>
      <w:r>
        <w:rPr>
          <w:color w:val="222222"/>
          <w:highlight w:val="white"/>
        </w:rPr>
        <w:t xml:space="preserve">(1), pp.152-173. </w:t>
      </w:r>
      <w:hyperlink r:id="rId36">
        <w:r>
          <w:rPr>
            <w:color w:val="0000FF"/>
            <w:highlight w:val="white"/>
            <w:u w:val="single"/>
          </w:rPr>
          <w:t>https://www.emerald.com/jic/article/26/1/152/1240726</w:t>
        </w:r>
      </w:hyperlink>
    </w:p>
    <w:p w:rsidR="001D4557" w:rsidRDefault="001D4557">
      <w:pPr>
        <w:spacing w:after="240"/>
      </w:pPr>
      <w:r>
        <w:t xml:space="preserve">GVR, (2025). </w:t>
      </w:r>
      <w:r>
        <w:rPr>
          <w:i/>
          <w:iCs/>
        </w:rPr>
        <w:t>UK Retail Banking Market Size &amp; Outlook, (2025)-2033</w:t>
      </w:r>
      <w:r>
        <w:t xml:space="preserve">. Available at: </w:t>
      </w:r>
      <w:hyperlink r:id="rId37">
        <w:r>
          <w:rPr>
            <w:color w:val="0000FF"/>
            <w:u w:val="single"/>
          </w:rPr>
          <w:t>https://www.grandviewresearch.com/horizon/outlook/retail-banking-market/uk</w:t>
        </w:r>
      </w:hyperlink>
      <w:r>
        <w:t xml:space="preserve"> [Accessed on: 11 March 2025].</w:t>
      </w:r>
    </w:p>
    <w:p w:rsidR="001D4557" w:rsidRDefault="001D4557">
      <w:pPr>
        <w:spacing w:after="240"/>
      </w:pPr>
      <w:r>
        <w:rPr>
          <w:color w:val="222222"/>
          <w:highlight w:val="white"/>
        </w:rPr>
        <w:t>Hussain, M., Akhtar, R. and Mushtaq, S.A., (2025). A comparative study of the implementation of corporate governance legal frameworks in the banking sector of Pakistan: Insights from emerging economies. </w:t>
      </w:r>
      <w:r>
        <w:rPr>
          <w:i/>
          <w:iCs/>
          <w:color w:val="222222"/>
          <w:highlight w:val="white"/>
        </w:rPr>
        <w:t>The Journal of Research Review</w:t>
      </w:r>
      <w:r>
        <w:rPr>
          <w:color w:val="222222"/>
          <w:highlight w:val="white"/>
        </w:rPr>
        <w:t>, </w:t>
      </w:r>
      <w:r>
        <w:rPr>
          <w:i/>
          <w:iCs/>
          <w:color w:val="222222"/>
          <w:highlight w:val="white"/>
        </w:rPr>
        <w:t>2</w:t>
      </w:r>
      <w:r>
        <w:rPr>
          <w:color w:val="222222"/>
          <w:highlight w:val="white"/>
        </w:rPr>
        <w:t xml:space="preserve">(02), pp.08-46. </w:t>
      </w:r>
      <w:hyperlink r:id="rId38">
        <w:r>
          <w:rPr>
            <w:color w:val="0000FF"/>
            <w:highlight w:val="white"/>
            <w:u w:val="single"/>
          </w:rPr>
          <w:t>https://www.researchgate.net/profile/Rehman-Akhtar-7/publication/391666754_A_Comparative_Study_Of_The_Implementation_Of_Corporate_Governance_Legal_Frameworks_In_The_Banking_Sector_Of_Pakistan_Insights_From_Emerging_Economies/links/6822d5108a76251f22e145c2/A-Comparative-Study-Of-The-Implementation-Of-Corporate-Governance-Legal-Frameworks-In-The-Banking-Sector-Of-Pakistan-Insights-From-Emerging-Economies.pdf</w:t>
        </w:r>
      </w:hyperlink>
    </w:p>
    <w:p w:rsidR="001D4557" w:rsidRPr="008C2D39" w:rsidRDefault="001D4557">
      <w:pPr>
        <w:spacing w:after="240"/>
      </w:pPr>
      <w:r w:rsidRPr="008C2D39">
        <w:lastRenderedPageBreak/>
        <w:t xml:space="preserve">JP Morgan. (2026). </w:t>
      </w:r>
      <w:r w:rsidRPr="008C2D39">
        <w:rPr>
          <w:i/>
          <w:iCs/>
        </w:rPr>
        <w:t>Life, Liberty and the Pursuit of Happiness Annual Report 2025.</w:t>
      </w:r>
      <w:r w:rsidRPr="008C2D39">
        <w:t xml:space="preserve"> Available at: </w:t>
      </w:r>
      <w:hyperlink r:id="rId39">
        <w:r w:rsidRPr="008C2D39">
          <w:rPr>
            <w:u w:val="single"/>
          </w:rPr>
          <w:t>www.jpmorganchase.com/content/dam/jpmc/jpmorgan-chase-and-co/investor-relations/documents/annualreport-2025.pdf</w:t>
        </w:r>
      </w:hyperlink>
      <w:r w:rsidRPr="008C2D39">
        <w:t xml:space="preserve"> [Accessed on 22.04.2026].</w:t>
      </w:r>
    </w:p>
    <w:p w:rsidR="001D4557" w:rsidRDefault="001D4557">
      <w:pPr>
        <w:spacing w:after="240"/>
      </w:pPr>
      <w:proofErr w:type="spellStart"/>
      <w:r>
        <w:rPr>
          <w:color w:val="222222"/>
          <w:highlight w:val="white"/>
        </w:rPr>
        <w:t>Kálmán</w:t>
      </w:r>
      <w:proofErr w:type="spellEnd"/>
      <w:r>
        <w:rPr>
          <w:color w:val="222222"/>
          <w:highlight w:val="white"/>
        </w:rPr>
        <w:t>, J., (2025). The role of regulatory sandboxes in FinTech innovation: A comparative case study of the UK, Singapore, and Hungary. </w:t>
      </w:r>
      <w:r>
        <w:rPr>
          <w:i/>
          <w:iCs/>
          <w:color w:val="222222"/>
          <w:highlight w:val="white"/>
        </w:rPr>
        <w:t>FinTech</w:t>
      </w:r>
      <w:r>
        <w:rPr>
          <w:color w:val="222222"/>
          <w:highlight w:val="white"/>
        </w:rPr>
        <w:t>, </w:t>
      </w:r>
      <w:r>
        <w:rPr>
          <w:i/>
          <w:iCs/>
          <w:color w:val="222222"/>
          <w:highlight w:val="white"/>
        </w:rPr>
        <w:t>4</w:t>
      </w:r>
      <w:r>
        <w:rPr>
          <w:color w:val="222222"/>
          <w:highlight w:val="white"/>
        </w:rPr>
        <w:t xml:space="preserve">(2), p.26. </w:t>
      </w:r>
      <w:hyperlink r:id="rId40">
        <w:r>
          <w:rPr>
            <w:color w:val="0000FF"/>
            <w:highlight w:val="white"/>
            <w:u w:val="single"/>
          </w:rPr>
          <w:t>https://www.mdpi.com/2674-1032/4/2/26</w:t>
        </w:r>
      </w:hyperlink>
    </w:p>
    <w:p w:rsidR="001D4557" w:rsidRDefault="001D4557">
      <w:pPr>
        <w:spacing w:after="240"/>
      </w:pPr>
      <w:proofErr w:type="spellStart"/>
      <w:r>
        <w:rPr>
          <w:color w:val="222222"/>
          <w:highlight w:val="white"/>
        </w:rPr>
        <w:t>Kiu</w:t>
      </w:r>
      <w:proofErr w:type="spellEnd"/>
      <w:r>
        <w:rPr>
          <w:color w:val="222222"/>
          <w:highlight w:val="white"/>
        </w:rPr>
        <w:t>, T. and Yang, J., (2025). Leveraging Artificial Intelligence for Sustainable Economic Growth: Lessons from the United States and China to Address the UK’s Economic Challenges. </w:t>
      </w:r>
      <w:r>
        <w:rPr>
          <w:i/>
          <w:iCs/>
          <w:color w:val="222222"/>
          <w:highlight w:val="white"/>
        </w:rPr>
        <w:t>Journal of Knowledge Management Practice</w:t>
      </w:r>
      <w:r>
        <w:rPr>
          <w:color w:val="222222"/>
          <w:highlight w:val="white"/>
        </w:rPr>
        <w:t>, </w:t>
      </w:r>
      <w:r>
        <w:rPr>
          <w:i/>
          <w:iCs/>
          <w:color w:val="222222"/>
          <w:highlight w:val="white"/>
        </w:rPr>
        <w:t>25</w:t>
      </w:r>
      <w:r>
        <w:rPr>
          <w:color w:val="222222"/>
          <w:highlight w:val="white"/>
        </w:rPr>
        <w:t xml:space="preserve">(3). </w:t>
      </w:r>
      <w:hyperlink r:id="rId41">
        <w:r>
          <w:rPr>
            <w:color w:val="0000FF"/>
            <w:highlight w:val="white"/>
            <w:u w:val="single"/>
          </w:rPr>
          <w:t>https://journals.klalliance.org/index.php/JKMP/article/view/521</w:t>
        </w:r>
      </w:hyperlink>
    </w:p>
    <w:p w:rsidR="001D4557" w:rsidRDefault="001D4557">
      <w:pPr>
        <w:spacing w:after="240"/>
      </w:pPr>
      <w:proofErr w:type="spellStart"/>
      <w:r>
        <w:rPr>
          <w:color w:val="222222"/>
          <w:highlight w:val="white"/>
        </w:rPr>
        <w:t>Küçükoğlu</w:t>
      </w:r>
      <w:proofErr w:type="spellEnd"/>
      <w:r>
        <w:rPr>
          <w:color w:val="222222"/>
          <w:highlight w:val="white"/>
        </w:rPr>
        <w:t xml:space="preserve">, U. and </w:t>
      </w:r>
      <w:proofErr w:type="spellStart"/>
      <w:r>
        <w:rPr>
          <w:color w:val="222222"/>
          <w:highlight w:val="white"/>
        </w:rPr>
        <w:t>Kabakuş</w:t>
      </w:r>
      <w:proofErr w:type="spellEnd"/>
      <w:r>
        <w:rPr>
          <w:color w:val="222222"/>
          <w:highlight w:val="white"/>
        </w:rPr>
        <w:t>, A.K., (2025). Revisiting the Technology–Organization–Environment Framework: Disruptive Technologies as Catalysts of Digital Transformation in the Turkish Banking Sector. </w:t>
      </w:r>
      <w:r>
        <w:rPr>
          <w:i/>
          <w:iCs/>
          <w:color w:val="222222"/>
          <w:highlight w:val="white"/>
        </w:rPr>
        <w:t>Sustainability</w:t>
      </w:r>
      <w:r>
        <w:rPr>
          <w:color w:val="222222"/>
          <w:highlight w:val="white"/>
        </w:rPr>
        <w:t>, </w:t>
      </w:r>
      <w:r>
        <w:rPr>
          <w:i/>
          <w:iCs/>
          <w:color w:val="222222"/>
          <w:highlight w:val="white"/>
        </w:rPr>
        <w:t>17</w:t>
      </w:r>
      <w:r>
        <w:rPr>
          <w:color w:val="222222"/>
          <w:highlight w:val="white"/>
        </w:rPr>
        <w:t xml:space="preserve">(23), p.10787. </w:t>
      </w:r>
      <w:hyperlink r:id="rId42">
        <w:r>
          <w:rPr>
            <w:color w:val="0000FF"/>
            <w:highlight w:val="white"/>
            <w:u w:val="single"/>
          </w:rPr>
          <w:t>https://www.mdpi.com/2071-1050/17/23/10787</w:t>
        </w:r>
      </w:hyperlink>
    </w:p>
    <w:p w:rsidR="001D4557" w:rsidRPr="008C2D39" w:rsidRDefault="001D4557">
      <w:pPr>
        <w:spacing w:after="240"/>
      </w:pPr>
      <w:r w:rsidRPr="008C2D39">
        <w:t xml:space="preserve">Lloyds Banking, (2026) </w:t>
      </w:r>
      <w:r w:rsidRPr="008C2D39">
        <w:rPr>
          <w:i/>
          <w:iCs/>
        </w:rPr>
        <w:t xml:space="preserve">Helping Britain Prosper. </w:t>
      </w:r>
      <w:proofErr w:type="gramStart"/>
      <w:r w:rsidRPr="008C2D39">
        <w:rPr>
          <w:i/>
          <w:iCs/>
        </w:rPr>
        <w:t>Lloyds Banking Group plc Annual Report and Accounts 2025.</w:t>
      </w:r>
      <w:proofErr w:type="gramEnd"/>
      <w:r w:rsidRPr="008C2D39">
        <w:t xml:space="preserve"> Available at: </w:t>
      </w:r>
      <w:hyperlink r:id="rId43">
        <w:r w:rsidRPr="008C2D39">
          <w:rPr>
            <w:u w:val="single"/>
          </w:rPr>
          <w:t>https://www.lloydsbankinggroup.com/assets/pdfs/investors/financial-performance/lloyds-banking-group-plc/2025/q4/2025-lbg-annual-report.pdf</w:t>
        </w:r>
      </w:hyperlink>
      <w:r w:rsidRPr="008C2D39">
        <w:t xml:space="preserve"> [Accessed on 22.04.2026].</w:t>
      </w:r>
    </w:p>
    <w:p w:rsidR="001D4557" w:rsidRDefault="001D4557">
      <w:pPr>
        <w:spacing w:after="240"/>
      </w:pPr>
      <w:r>
        <w:t xml:space="preserve">Mordor Intelligence, (2025). </w:t>
      </w:r>
      <w:r>
        <w:rPr>
          <w:i/>
          <w:iCs/>
        </w:rPr>
        <w:t>United Kingdom Retail Banking Market Size and Share.</w:t>
      </w:r>
      <w:r>
        <w:t xml:space="preserve">  Available at: </w:t>
      </w:r>
      <w:hyperlink r:id="rId44">
        <w:r>
          <w:rPr>
            <w:color w:val="0000FF"/>
            <w:u w:val="single"/>
          </w:rPr>
          <w:t>https://www.mordorintelligence.com/industry-reports/uk-retail-banking-market</w:t>
        </w:r>
      </w:hyperlink>
      <w:r>
        <w:t xml:space="preserve"> [Accessed on: 12 March 2025].</w:t>
      </w:r>
    </w:p>
    <w:p w:rsidR="001D4557" w:rsidRDefault="001D4557">
      <w:pPr>
        <w:spacing w:after="240"/>
      </w:pPr>
      <w:proofErr w:type="spellStart"/>
      <w:r>
        <w:t>Mukhanova</w:t>
      </w:r>
      <w:proofErr w:type="spellEnd"/>
      <w:r>
        <w:t xml:space="preserve">, A. and </w:t>
      </w:r>
      <w:proofErr w:type="spellStart"/>
      <w:r>
        <w:t>Seitimova</w:t>
      </w:r>
      <w:proofErr w:type="spellEnd"/>
      <w:r>
        <w:t xml:space="preserve">, A., (2025). Reimagining Differentiation: A Reflective Inquiry Using Gibbs’ Model. </w:t>
      </w:r>
      <w:hyperlink r:id="rId45">
        <w:r>
          <w:rPr>
            <w:color w:val="0000FF"/>
            <w:u w:val="single"/>
          </w:rPr>
          <w:t>https://library.camtree.org/entities/publication/ba66a815-270a-4cd2-86de-dad9f2d1b44c</w:t>
        </w:r>
      </w:hyperlink>
    </w:p>
    <w:p w:rsidR="001D4557" w:rsidRPr="008C2D39" w:rsidRDefault="001D4557">
      <w:pPr>
        <w:spacing w:after="240"/>
      </w:pPr>
      <w:proofErr w:type="spellStart"/>
      <w:r w:rsidRPr="008C2D39">
        <w:t>Natwest</w:t>
      </w:r>
      <w:proofErr w:type="spellEnd"/>
      <w:r w:rsidRPr="008C2D39">
        <w:t xml:space="preserve"> Group. (2026). </w:t>
      </w:r>
      <w:r w:rsidR="00DE1269" w:rsidRPr="00DE1269">
        <w:rPr>
          <w:i/>
          <w:iCs/>
        </w:rPr>
        <w:t>NatWest Group plc 2025 Annual Report and Accounts.</w:t>
      </w:r>
      <w:r w:rsidR="00DE1269">
        <w:t xml:space="preserve"> </w:t>
      </w:r>
      <w:r w:rsidRPr="008C2D39">
        <w:t xml:space="preserve">Available at: </w:t>
      </w:r>
      <w:hyperlink r:id="rId46">
        <w:r w:rsidRPr="008C2D39">
          <w:rPr>
            <w:u w:val="single"/>
          </w:rPr>
          <w:t>https://investors.natwestgroup.com/~/media/Files/R/RBS-IR-V2/results-center/13022026/nwg-annual-report-and-accounts-2025.pdf</w:t>
        </w:r>
      </w:hyperlink>
      <w:r w:rsidRPr="008C2D39">
        <w:t xml:space="preserve"> [Accessed on 22.04.2026].</w:t>
      </w:r>
    </w:p>
    <w:p w:rsidR="001D4557" w:rsidRDefault="001D4557">
      <w:pPr>
        <w:spacing w:after="240"/>
      </w:pPr>
      <w:r>
        <w:lastRenderedPageBreak/>
        <w:t>Ocampo, F.A., McIntyre, B.G., Massey, D. and Saunders, R., (2025). Nursing student reflections on a research internship: A reflective discussion following the Gibbs' reflective cycle. </w:t>
      </w:r>
      <w:r>
        <w:rPr>
          <w:i/>
          <w:iCs/>
        </w:rPr>
        <w:t>Nurse education today</w:t>
      </w:r>
      <w:r>
        <w:t>, </w:t>
      </w:r>
      <w:r>
        <w:rPr>
          <w:i/>
          <w:iCs/>
        </w:rPr>
        <w:t>145</w:t>
      </w:r>
      <w:r>
        <w:t xml:space="preserve">, p.106481. </w:t>
      </w:r>
      <w:hyperlink r:id="rId47">
        <w:r>
          <w:rPr>
            <w:color w:val="0000FF"/>
            <w:u w:val="single"/>
          </w:rPr>
          <w:t>https://www.sciencedirect.com/science/article/pii/S0260691724003915</w:t>
        </w:r>
      </w:hyperlink>
    </w:p>
    <w:p w:rsidR="001D4557" w:rsidRDefault="001D4557">
      <w:pPr>
        <w:spacing w:after="240"/>
      </w:pPr>
      <w:proofErr w:type="spellStart"/>
      <w:r>
        <w:t>Praveena</w:t>
      </w:r>
      <w:proofErr w:type="spellEnd"/>
      <w:r>
        <w:t xml:space="preserve">, K.S., </w:t>
      </w:r>
      <w:proofErr w:type="spellStart"/>
      <w:r>
        <w:t>Juslin</w:t>
      </w:r>
      <w:proofErr w:type="spellEnd"/>
      <w:r>
        <w:t xml:space="preserve">, F., Patil, C.M. and Bhargavi, K., (2025). Using </w:t>
      </w:r>
      <w:proofErr w:type="spellStart"/>
      <w:r>
        <w:t>gibb's</w:t>
      </w:r>
      <w:proofErr w:type="spellEnd"/>
      <w:r>
        <w:t xml:space="preserve"> reflective model approach for enhancing project-based learning among students through reflective assessment. </w:t>
      </w:r>
      <w:r>
        <w:rPr>
          <w:i/>
          <w:iCs/>
        </w:rPr>
        <w:t>Journal of Engineering Education Transformations</w:t>
      </w:r>
      <w:r>
        <w:t xml:space="preserve">, pp.148-155. </w:t>
      </w:r>
      <w:hyperlink r:id="rId48">
        <w:r>
          <w:rPr>
            <w:color w:val="0000FF"/>
            <w:u w:val="single"/>
          </w:rPr>
          <w:t>https://journaleet.in/index.php/jeet/article/view/2071</w:t>
        </w:r>
      </w:hyperlink>
    </w:p>
    <w:p w:rsidR="001D4557" w:rsidRDefault="001D4557">
      <w:pPr>
        <w:spacing w:after="240"/>
      </w:pPr>
      <w:proofErr w:type="spellStart"/>
      <w:r>
        <w:rPr>
          <w:color w:val="222222"/>
          <w:highlight w:val="white"/>
        </w:rPr>
        <w:t>Sadraoui</w:t>
      </w:r>
      <w:proofErr w:type="spellEnd"/>
      <w:r>
        <w:rPr>
          <w:color w:val="222222"/>
          <w:highlight w:val="white"/>
        </w:rPr>
        <w:t>, T., (2025). The dynamics of financial innovation and bank performance: Evidence from the Tunisian banking sector using a mixed-methods approach. </w:t>
      </w:r>
      <w:r>
        <w:rPr>
          <w:i/>
          <w:iCs/>
          <w:color w:val="222222"/>
          <w:highlight w:val="white"/>
        </w:rPr>
        <w:t>Journal of Risk and Financial Management</w:t>
      </w:r>
      <w:r>
        <w:rPr>
          <w:color w:val="222222"/>
          <w:highlight w:val="white"/>
        </w:rPr>
        <w:t>, </w:t>
      </w:r>
      <w:r>
        <w:rPr>
          <w:i/>
          <w:iCs/>
          <w:color w:val="222222"/>
          <w:highlight w:val="white"/>
        </w:rPr>
        <w:t>18</w:t>
      </w:r>
      <w:r>
        <w:rPr>
          <w:color w:val="222222"/>
          <w:highlight w:val="white"/>
        </w:rPr>
        <w:t xml:space="preserve">(6), p.333. </w:t>
      </w:r>
      <w:hyperlink r:id="rId49">
        <w:r>
          <w:rPr>
            <w:color w:val="0000FF"/>
            <w:highlight w:val="white"/>
            <w:u w:val="single"/>
          </w:rPr>
          <w:t>https://www.mdpi.com/1911-8074/18/6/333</w:t>
        </w:r>
      </w:hyperlink>
    </w:p>
    <w:p w:rsidR="001D4557" w:rsidRDefault="001D4557">
      <w:pPr>
        <w:spacing w:after="240"/>
      </w:pPr>
      <w:proofErr w:type="spellStart"/>
      <w:r>
        <w:rPr>
          <w:color w:val="222222"/>
          <w:highlight w:val="white"/>
        </w:rPr>
        <w:t>Saha</w:t>
      </w:r>
      <w:proofErr w:type="spellEnd"/>
      <w:r>
        <w:rPr>
          <w:color w:val="222222"/>
          <w:highlight w:val="white"/>
        </w:rPr>
        <w:t xml:space="preserve">, S., </w:t>
      </w:r>
      <w:proofErr w:type="spellStart"/>
      <w:r>
        <w:rPr>
          <w:color w:val="222222"/>
          <w:highlight w:val="white"/>
        </w:rPr>
        <w:t>Siddiki</w:t>
      </w:r>
      <w:proofErr w:type="spellEnd"/>
      <w:r>
        <w:rPr>
          <w:color w:val="222222"/>
          <w:highlight w:val="white"/>
        </w:rPr>
        <w:t xml:space="preserve">, M.S., </w:t>
      </w:r>
      <w:proofErr w:type="spellStart"/>
      <w:r>
        <w:rPr>
          <w:color w:val="222222"/>
          <w:highlight w:val="white"/>
        </w:rPr>
        <w:t>Mondal</w:t>
      </w:r>
      <w:proofErr w:type="spellEnd"/>
      <w:r>
        <w:rPr>
          <w:color w:val="222222"/>
          <w:highlight w:val="white"/>
        </w:rPr>
        <w:t xml:space="preserve">, R.S., Bhuiyan, M.N.A. and </w:t>
      </w:r>
      <w:proofErr w:type="spellStart"/>
      <w:r>
        <w:rPr>
          <w:color w:val="222222"/>
          <w:highlight w:val="white"/>
        </w:rPr>
        <w:t>Kamruzzaman</w:t>
      </w:r>
      <w:proofErr w:type="spellEnd"/>
      <w:r>
        <w:rPr>
          <w:color w:val="222222"/>
          <w:highlight w:val="white"/>
        </w:rPr>
        <w:t>, M., (2025). Risk assessment of cyber security in the banking sector. </w:t>
      </w:r>
      <w:r>
        <w:rPr>
          <w:i/>
          <w:iCs/>
          <w:color w:val="222222"/>
          <w:highlight w:val="white"/>
        </w:rPr>
        <w:t>Journal of Business and Management Studies</w:t>
      </w:r>
      <w:r>
        <w:rPr>
          <w:color w:val="222222"/>
          <w:highlight w:val="white"/>
        </w:rPr>
        <w:t>, </w:t>
      </w:r>
      <w:r>
        <w:rPr>
          <w:i/>
          <w:iCs/>
          <w:color w:val="222222"/>
          <w:highlight w:val="white"/>
        </w:rPr>
        <w:t>7</w:t>
      </w:r>
      <w:r>
        <w:rPr>
          <w:color w:val="222222"/>
          <w:highlight w:val="white"/>
        </w:rPr>
        <w:t xml:space="preserve">(4), pp.208-218. </w:t>
      </w:r>
      <w:hyperlink r:id="rId50">
        <w:r>
          <w:rPr>
            <w:color w:val="0000FF"/>
            <w:highlight w:val="white"/>
            <w:u w:val="single"/>
          </w:rPr>
          <w:t>https://al-kindipublishers.org/index.php/jbms/article/view/10425</w:t>
        </w:r>
      </w:hyperlink>
    </w:p>
    <w:p w:rsidR="001D4557" w:rsidRPr="007C4126" w:rsidRDefault="001D4557">
      <w:pPr>
        <w:spacing w:after="240"/>
        <w:rPr>
          <w:highlight w:val="white"/>
        </w:rPr>
      </w:pPr>
      <w:r w:rsidRPr="007C4126">
        <w:t>Santander. (2025).</w:t>
      </w:r>
      <w:r w:rsidRPr="007C4126">
        <w:rPr>
          <w:i/>
          <w:iCs/>
        </w:rPr>
        <w:t xml:space="preserve"> How we help people and businesses prosper. </w:t>
      </w:r>
      <w:r w:rsidRPr="007C4126">
        <w:t xml:space="preserve">Available at: </w:t>
      </w:r>
      <w:hyperlink r:id="rId51">
        <w:r w:rsidRPr="007C4126">
          <w:rPr>
            <w:highlight w:val="white"/>
            <w:u w:val="single"/>
          </w:rPr>
          <w:t>https://www.santander.com/en/about-us/key-facts-and-figures</w:t>
        </w:r>
      </w:hyperlink>
      <w:r w:rsidRPr="007C4126">
        <w:rPr>
          <w:highlight w:val="white"/>
        </w:rPr>
        <w:t xml:space="preserve"> </w:t>
      </w:r>
      <w:r w:rsidRPr="007C4126">
        <w:t>[Accessed on 18.04.2026].</w:t>
      </w:r>
    </w:p>
    <w:p w:rsidR="001D4557" w:rsidRPr="007C4126" w:rsidRDefault="001D4557">
      <w:pPr>
        <w:spacing w:after="240"/>
        <w:rPr>
          <w:highlight w:val="white"/>
        </w:rPr>
      </w:pPr>
      <w:r w:rsidRPr="007C4126">
        <w:t xml:space="preserve">Santander. (2026). </w:t>
      </w:r>
      <w:r w:rsidRPr="007C4126">
        <w:rPr>
          <w:i/>
          <w:iCs/>
        </w:rPr>
        <w:t xml:space="preserve">Santander UK plc 2025 Annual Report. </w:t>
      </w:r>
      <w:r w:rsidRPr="007C4126">
        <w:t xml:space="preserve">Available at: </w:t>
      </w:r>
      <w:hyperlink r:id="rId52">
        <w:r w:rsidRPr="007C4126">
          <w:rPr>
            <w:highlight w:val="white"/>
            <w:u w:val="single"/>
          </w:rPr>
          <w:t>https://www.santander.co.uk/assets/s3fs-public/documents/SantanderUKplc2025AnnualReport.pdf</w:t>
        </w:r>
      </w:hyperlink>
      <w:r w:rsidRPr="007C4126">
        <w:rPr>
          <w:highlight w:val="white"/>
        </w:rPr>
        <w:t xml:space="preserve"> </w:t>
      </w:r>
      <w:r w:rsidRPr="007C4126">
        <w:t xml:space="preserve"> [Accessed on 20.03.2026].</w:t>
      </w:r>
    </w:p>
    <w:p w:rsidR="001D4557" w:rsidRDefault="001D4557">
      <w:pPr>
        <w:spacing w:after="240"/>
      </w:pPr>
      <w:r>
        <w:rPr>
          <w:color w:val="222222"/>
          <w:highlight w:val="white"/>
        </w:rPr>
        <w:t xml:space="preserve">Schmitz, S.W., </w:t>
      </w:r>
      <w:proofErr w:type="spellStart"/>
      <w:r>
        <w:rPr>
          <w:color w:val="222222"/>
          <w:highlight w:val="white"/>
        </w:rPr>
        <w:t>Posch</w:t>
      </w:r>
      <w:proofErr w:type="spellEnd"/>
      <w:r>
        <w:rPr>
          <w:color w:val="222222"/>
          <w:highlight w:val="white"/>
        </w:rPr>
        <w:t>, M. and Steiner, K., (2025). Better EU banking regulation can fuel growth, but lower capital requirements do not. </w:t>
      </w:r>
      <w:r>
        <w:rPr>
          <w:i/>
          <w:iCs/>
          <w:color w:val="222222"/>
          <w:highlight w:val="white"/>
        </w:rPr>
        <w:t>Better EU banking regulation can fuel growth, but lower capital requirements do not. SUERF Policy Note</w:t>
      </w:r>
      <w:r>
        <w:rPr>
          <w:color w:val="222222"/>
          <w:highlight w:val="white"/>
        </w:rPr>
        <w:t xml:space="preserve">, (373). </w:t>
      </w:r>
      <w:hyperlink r:id="rId53">
        <w:r>
          <w:rPr>
            <w:color w:val="0000FF"/>
            <w:highlight w:val="white"/>
            <w:u w:val="single"/>
          </w:rPr>
          <w:t>https://www.suerf.org/wp-content/uploads/2025/08/SUERF-Policy-Note-373_-Schmitz_Posch_Steiner.pdf</w:t>
        </w:r>
      </w:hyperlink>
    </w:p>
    <w:p w:rsidR="001D4557" w:rsidRDefault="001D4557">
      <w:pPr>
        <w:spacing w:after="240"/>
      </w:pPr>
      <w:r>
        <w:rPr>
          <w:color w:val="222222"/>
          <w:highlight w:val="white"/>
        </w:rPr>
        <w:lastRenderedPageBreak/>
        <w:t xml:space="preserve">Siddiqui, F.A., Zafar, H. and </w:t>
      </w:r>
      <w:proofErr w:type="spellStart"/>
      <w:r>
        <w:rPr>
          <w:color w:val="222222"/>
          <w:highlight w:val="white"/>
        </w:rPr>
        <w:t>Ferdos</w:t>
      </w:r>
      <w:proofErr w:type="spellEnd"/>
      <w:r>
        <w:rPr>
          <w:color w:val="222222"/>
          <w:highlight w:val="white"/>
        </w:rPr>
        <w:t>, J.U., (2025). The role of training and satisfaction in the banking sector enhancing employee retention. </w:t>
      </w:r>
      <w:r>
        <w:rPr>
          <w:i/>
          <w:iCs/>
          <w:color w:val="222222"/>
          <w:highlight w:val="white"/>
        </w:rPr>
        <w:t>The Critical Review of Social Sciences Studies</w:t>
      </w:r>
      <w:r>
        <w:rPr>
          <w:color w:val="222222"/>
          <w:highlight w:val="white"/>
        </w:rPr>
        <w:t>, </w:t>
      </w:r>
      <w:r>
        <w:rPr>
          <w:i/>
          <w:iCs/>
          <w:color w:val="222222"/>
          <w:highlight w:val="white"/>
        </w:rPr>
        <w:t>3</w:t>
      </w:r>
      <w:r>
        <w:rPr>
          <w:color w:val="222222"/>
          <w:highlight w:val="white"/>
        </w:rPr>
        <w:t xml:space="preserve">(1), pp.1715-1737. </w:t>
      </w:r>
      <w:hyperlink r:id="rId54">
        <w:r>
          <w:rPr>
            <w:color w:val="0000FF"/>
            <w:highlight w:val="white"/>
            <w:u w:val="single"/>
          </w:rPr>
          <w:t>https://thecrsss.com/index.php/Journal/article/view/262</w:t>
        </w:r>
      </w:hyperlink>
    </w:p>
    <w:p w:rsidR="001D4557" w:rsidRDefault="001D4557">
      <w:pPr>
        <w:spacing w:after="240"/>
      </w:pPr>
      <w:proofErr w:type="spellStart"/>
      <w:r>
        <w:rPr>
          <w:color w:val="222222"/>
          <w:highlight w:val="white"/>
        </w:rPr>
        <w:t>Sitnicka</w:t>
      </w:r>
      <w:proofErr w:type="spellEnd"/>
      <w:r>
        <w:rPr>
          <w:color w:val="222222"/>
          <w:highlight w:val="white"/>
        </w:rPr>
        <w:t xml:space="preserve">, S., </w:t>
      </w:r>
      <w:proofErr w:type="spellStart"/>
      <w:r>
        <w:rPr>
          <w:color w:val="222222"/>
          <w:highlight w:val="white"/>
        </w:rPr>
        <w:t>Mursalov</w:t>
      </w:r>
      <w:proofErr w:type="spellEnd"/>
      <w:r>
        <w:rPr>
          <w:color w:val="222222"/>
          <w:highlight w:val="white"/>
        </w:rPr>
        <w:t xml:space="preserve">, M., Mammadov, H., </w:t>
      </w:r>
      <w:proofErr w:type="spellStart"/>
      <w:r>
        <w:rPr>
          <w:color w:val="222222"/>
          <w:highlight w:val="white"/>
        </w:rPr>
        <w:t>Babaiev</w:t>
      </w:r>
      <w:proofErr w:type="spellEnd"/>
      <w:r>
        <w:rPr>
          <w:color w:val="222222"/>
          <w:highlight w:val="white"/>
        </w:rPr>
        <w:t>, D. and Zhou, Y., (2025). Ethics, Institutions, Infrastructure, and Governance in AI National-Level Readiness: A Hidden Driver of Banking Transformation. </w:t>
      </w:r>
      <w:r>
        <w:rPr>
          <w:i/>
          <w:iCs/>
          <w:color w:val="222222"/>
          <w:highlight w:val="white"/>
        </w:rPr>
        <w:t>Business Ethics and Leadership</w:t>
      </w:r>
      <w:r>
        <w:rPr>
          <w:color w:val="222222"/>
          <w:highlight w:val="white"/>
        </w:rPr>
        <w:t>, </w:t>
      </w:r>
      <w:r>
        <w:rPr>
          <w:i/>
          <w:iCs/>
          <w:color w:val="222222"/>
          <w:highlight w:val="white"/>
        </w:rPr>
        <w:t>9</w:t>
      </w:r>
      <w:r>
        <w:rPr>
          <w:color w:val="222222"/>
          <w:highlight w:val="white"/>
        </w:rPr>
        <w:t xml:space="preserve">(3), pp.290-304. </w:t>
      </w:r>
      <w:hyperlink r:id="rId55">
        <w:r>
          <w:rPr>
            <w:color w:val="0000FF"/>
            <w:highlight w:val="white"/>
            <w:u w:val="single"/>
          </w:rPr>
          <w:t>https://armgpublishing.com/journals/bel/volume-9-issue-3/article-18/</w:t>
        </w:r>
      </w:hyperlink>
    </w:p>
    <w:p w:rsidR="001D4557" w:rsidRDefault="001D4557">
      <w:pPr>
        <w:spacing w:after="240"/>
      </w:pPr>
      <w:r>
        <w:t xml:space="preserve">Statista, (2025). </w:t>
      </w:r>
      <w:r>
        <w:rPr>
          <w:i/>
          <w:iCs/>
        </w:rPr>
        <w:t>Banking - United Kingdom | Statista Market Forecast</w:t>
      </w:r>
      <w:r>
        <w:t xml:space="preserve">. Available at: </w:t>
      </w:r>
      <w:hyperlink r:id="rId56">
        <w:r>
          <w:rPr>
            <w:color w:val="0000FF"/>
            <w:u w:val="single"/>
          </w:rPr>
          <w:t>https://www.statista.com/outlook/fmo/banking/united-kingdom?srsltid=AfmBOorNntMvNxpYVpctdDCRTB1SHO929CxuBuDAxfI5ne5N1skytQhA</w:t>
        </w:r>
      </w:hyperlink>
      <w:r>
        <w:t xml:space="preserve"> [Accessed on: 05 March 2025].</w:t>
      </w:r>
    </w:p>
    <w:p w:rsidR="001D4557" w:rsidRDefault="001D4557">
      <w:pPr>
        <w:spacing w:after="240"/>
      </w:pPr>
      <w:bookmarkStart w:id="31" w:name="bookmark=id.b5wm2lpn7j30" w:colFirst="0" w:colLast="0"/>
      <w:bookmarkEnd w:id="31"/>
      <w:r>
        <w:t xml:space="preserve">Statista, (2025). </w:t>
      </w:r>
      <w:r>
        <w:rPr>
          <w:i/>
          <w:iCs/>
        </w:rPr>
        <w:t>Banking in the United Kingdom (UK) - statistics &amp; facts.</w:t>
      </w:r>
      <w:r>
        <w:t xml:space="preserve"> Available at: </w:t>
      </w:r>
      <w:hyperlink r:id="rId57">
        <w:r>
          <w:rPr>
            <w:color w:val="0000FF"/>
            <w:u w:val="single"/>
          </w:rPr>
          <w:t>https://www.statista.com/topics/11974/banking-industry-in-the-uk/?srsltid=AfmBOop7WsvS9wyNqALl5Kjg5gHMN6DrPiySmJySUXbnApTYKQI6t8ab</w:t>
        </w:r>
      </w:hyperlink>
      <w:r>
        <w:t xml:space="preserve"> [Accessed on: 10 March 2025].</w:t>
      </w:r>
    </w:p>
    <w:p w:rsidR="001D4557" w:rsidRDefault="001D4557">
      <w:pPr>
        <w:spacing w:after="240"/>
      </w:pPr>
      <w:proofErr w:type="spellStart"/>
      <w:r>
        <w:rPr>
          <w:color w:val="222222"/>
          <w:highlight w:val="white"/>
        </w:rPr>
        <w:t>Walpola</w:t>
      </w:r>
      <w:proofErr w:type="spellEnd"/>
      <w:r>
        <w:rPr>
          <w:color w:val="222222"/>
          <w:highlight w:val="white"/>
        </w:rPr>
        <w:t xml:space="preserve">, U.M. and </w:t>
      </w:r>
      <w:proofErr w:type="spellStart"/>
      <w:r>
        <w:rPr>
          <w:color w:val="222222"/>
          <w:highlight w:val="white"/>
        </w:rPr>
        <w:t>Gunawardana</w:t>
      </w:r>
      <w:proofErr w:type="spellEnd"/>
      <w:r>
        <w:rPr>
          <w:color w:val="222222"/>
          <w:highlight w:val="white"/>
        </w:rPr>
        <w:t>, T.S.L.W., (2025). The Impact of Customer Experience Management on Customer Loyalty in the Banking Sector: The Mediating Role of Customer Attitude. </w:t>
      </w:r>
      <w:r>
        <w:rPr>
          <w:i/>
          <w:iCs/>
          <w:color w:val="222222"/>
          <w:highlight w:val="white"/>
        </w:rPr>
        <w:t>South Asian Journal of Business Insights</w:t>
      </w:r>
      <w:r>
        <w:rPr>
          <w:color w:val="222222"/>
          <w:highlight w:val="white"/>
        </w:rPr>
        <w:t>, </w:t>
      </w:r>
      <w:r>
        <w:rPr>
          <w:i/>
          <w:iCs/>
          <w:color w:val="222222"/>
          <w:highlight w:val="white"/>
        </w:rPr>
        <w:t>4</w:t>
      </w:r>
      <w:r>
        <w:rPr>
          <w:color w:val="222222"/>
          <w:highlight w:val="white"/>
        </w:rPr>
        <w:t xml:space="preserve">(2). </w:t>
      </w:r>
      <w:hyperlink r:id="rId58">
        <w:r>
          <w:rPr>
            <w:color w:val="0000FF"/>
            <w:highlight w:val="white"/>
            <w:u w:val="single"/>
          </w:rPr>
          <w:t>https://sajbi.sljol.info/en/articles/10.4038/sajbi.v4i2.71</w:t>
        </w:r>
      </w:hyperlink>
    </w:p>
    <w:p w:rsidR="001D4557" w:rsidRDefault="001D4557">
      <w:pPr>
        <w:spacing w:after="240"/>
      </w:pPr>
      <w:r>
        <w:t>Wang, D., (2025). Practice and Exploration of a Clinical Nursing Student Teaching Model Based on the Combination of Flipped Classroom, MOOCs, and Gibbs’ Reflective Cycle: A Case Study of The First Affiliated Hospital of Anhui Medical University. </w:t>
      </w:r>
      <w:r>
        <w:rPr>
          <w:i/>
          <w:iCs/>
        </w:rPr>
        <w:t>Pacific International Journal</w:t>
      </w:r>
      <w:r>
        <w:t>, </w:t>
      </w:r>
      <w:r>
        <w:rPr>
          <w:i/>
          <w:iCs/>
        </w:rPr>
        <w:t>8</w:t>
      </w:r>
      <w:r>
        <w:t xml:space="preserve">(4), pp.176-184. </w:t>
      </w:r>
      <w:hyperlink r:id="rId59">
        <w:r>
          <w:rPr>
            <w:color w:val="0000FF"/>
            <w:u w:val="single"/>
          </w:rPr>
          <w:t>https://www.rclss.com/pij/article/view/866</w:t>
        </w:r>
      </w:hyperlink>
    </w:p>
    <w:sectPr w:rsidR="001D4557" w:rsidSect="00E11836">
      <w:headerReference w:type="even" r:id="rId60"/>
      <w:headerReference w:type="default" r:id="rId61"/>
      <w:footerReference w:type="even" r:id="rId62"/>
      <w:footerReference w:type="default" r:id="rId63"/>
      <w:headerReference w:type="first" r:id="rId64"/>
      <w:footerReference w:type="first" r:id="rId65"/>
      <w:pgSz w:w="11906" w:h="16838"/>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1E92" w:rsidRDefault="008E1E92">
      <w:pPr>
        <w:spacing w:line="240" w:lineRule="auto"/>
      </w:pPr>
      <w:r>
        <w:separator/>
      </w:r>
    </w:p>
  </w:endnote>
  <w:endnote w:type="continuationSeparator" w:id="0">
    <w:p w:rsidR="008E1E92" w:rsidRDefault="008E1E9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CD04E60D-01E9-4AA3-ACDF-0DD7CF6B8462}"/>
  </w:font>
  <w:font w:name="Calibri">
    <w:panose1 w:val="020F0502020204030204"/>
    <w:charset w:val="00"/>
    <w:family w:val="swiss"/>
    <w:pitch w:val="variable"/>
    <w:sig w:usb0="E4002EFF" w:usb1="C200247B" w:usb2="00000009" w:usb3="00000000" w:csb0="000001FF" w:csb1="00000000"/>
    <w:embedRegular r:id="rId2" w:fontKey="{F57685A6-57DC-4C0B-94C7-534FD6FEDCBD}"/>
  </w:font>
  <w:font w:name="Cambria">
    <w:panose1 w:val="02040503050406030204"/>
    <w:charset w:val="00"/>
    <w:family w:val="roman"/>
    <w:pitch w:val="variable"/>
    <w:sig w:usb0="E00006FF" w:usb1="420024FF" w:usb2="02000000" w:usb3="00000000" w:csb0="0000019F" w:csb1="00000000"/>
    <w:embedRegular r:id="rId3" w:fontKey="{28636260-40FB-4961-9830-850B1E593A51}"/>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2FD" w:rsidRDefault="00E11836">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0B0D91">
      <w:rPr>
        <w:color w:val="000000"/>
      </w:rPr>
      <w:instrText>PAGE</w:instrText>
    </w:r>
    <w:r>
      <w:rPr>
        <w:color w:val="000000"/>
      </w:rPr>
      <w:fldChar w:fldCharType="end"/>
    </w:r>
  </w:p>
  <w:p w:rsidR="007232FD" w:rsidRDefault="007232FD">
    <w:pPr>
      <w:pBdr>
        <w:top w:val="nil"/>
        <w:left w:val="nil"/>
        <w:bottom w:val="nil"/>
        <w:right w:val="nil"/>
        <w:between w:val="nil"/>
      </w:pBdr>
      <w:tabs>
        <w:tab w:val="center" w:pos="4680"/>
        <w:tab w:val="right" w:pos="9360"/>
      </w:tabs>
      <w:spacing w:line="240" w:lineRule="auto"/>
      <w:ind w:right="360"/>
      <w:rPr>
        <w:color w:val="00000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2FD" w:rsidRDefault="00E11836">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0B0D91">
      <w:rPr>
        <w:color w:val="000000"/>
      </w:rPr>
      <w:instrText>PAGE</w:instrText>
    </w:r>
    <w:r>
      <w:rPr>
        <w:color w:val="000000"/>
      </w:rPr>
      <w:fldChar w:fldCharType="separate"/>
    </w:r>
    <w:r w:rsidR="00C20193">
      <w:rPr>
        <w:noProof/>
        <w:color w:val="000000"/>
      </w:rPr>
      <w:t>10</w:t>
    </w:r>
    <w:r>
      <w:rPr>
        <w:color w:val="000000"/>
      </w:rPr>
      <w:fldChar w:fldCharType="end"/>
    </w:r>
  </w:p>
  <w:p w:rsidR="007232FD" w:rsidRDefault="007232FD">
    <w:pPr>
      <w:pBdr>
        <w:top w:val="nil"/>
        <w:left w:val="nil"/>
        <w:bottom w:val="nil"/>
        <w:right w:val="nil"/>
        <w:between w:val="nil"/>
      </w:pBdr>
      <w:tabs>
        <w:tab w:val="center" w:pos="4680"/>
        <w:tab w:val="right" w:pos="9360"/>
      </w:tabs>
      <w:spacing w:line="240" w:lineRule="auto"/>
      <w:ind w:right="360"/>
      <w:rPr>
        <w:color w:val="00000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2FD" w:rsidRDefault="007232FD">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1E92" w:rsidRDefault="008E1E92">
      <w:pPr>
        <w:spacing w:line="240" w:lineRule="auto"/>
      </w:pPr>
      <w:r>
        <w:separator/>
      </w:r>
    </w:p>
  </w:footnote>
  <w:footnote w:type="continuationSeparator" w:id="0">
    <w:p w:rsidR="008E1E92" w:rsidRDefault="008E1E92">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2FD" w:rsidRDefault="007232FD">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2FD" w:rsidRDefault="007232FD">
    <w:pPr>
      <w:pBdr>
        <w:top w:val="nil"/>
        <w:left w:val="nil"/>
        <w:bottom w:val="nil"/>
        <w:right w:val="nil"/>
        <w:between w:val="nil"/>
      </w:pBdr>
      <w:tabs>
        <w:tab w:val="center" w:pos="4680"/>
        <w:tab w:val="right" w:pos="9360"/>
      </w:tabs>
      <w:spacing w:line="240" w:lineRule="auto"/>
      <w:rPr>
        <w:color w:val="00000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2FD" w:rsidRDefault="007232FD">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464C1D"/>
    <w:multiLevelType w:val="multilevel"/>
    <w:tmpl w:val="593E00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5C0B559E"/>
    <w:multiLevelType w:val="multilevel"/>
    <w:tmpl w:val="C62C0F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6050236E"/>
    <w:multiLevelType w:val="multilevel"/>
    <w:tmpl w:val="BDB08F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63C430C5"/>
    <w:multiLevelType w:val="multilevel"/>
    <w:tmpl w:val="542E01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69342C17"/>
    <w:multiLevelType w:val="multilevel"/>
    <w:tmpl w:val="55EE1F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rsids>
    <w:rsidRoot w:val="007232FD"/>
    <w:rsid w:val="000B0D91"/>
    <w:rsid w:val="001C00B2"/>
    <w:rsid w:val="001D4557"/>
    <w:rsid w:val="007232FD"/>
    <w:rsid w:val="007A2281"/>
    <w:rsid w:val="007C4126"/>
    <w:rsid w:val="008C2D39"/>
    <w:rsid w:val="008E1E92"/>
    <w:rsid w:val="00B034C1"/>
    <w:rsid w:val="00B926B7"/>
    <w:rsid w:val="00C20193"/>
    <w:rsid w:val="00D67CE4"/>
    <w:rsid w:val="00DE1269"/>
    <w:rsid w:val="00E11836"/>
    <w:rsid w:val="00F15D54"/>
    <w:rsid w:val="00FF59B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4"/>
        <w:szCs w:val="24"/>
        <w:lang w:val="en-GB"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1836"/>
  </w:style>
  <w:style w:type="paragraph" w:styleId="Heading1">
    <w:name w:val="heading 1"/>
    <w:basedOn w:val="Normal"/>
    <w:next w:val="Normal"/>
    <w:uiPriority w:val="9"/>
    <w:qFormat/>
    <w:rsid w:val="00E11836"/>
    <w:pPr>
      <w:keepNext/>
      <w:keepLines/>
      <w:outlineLvl w:val="0"/>
    </w:pPr>
    <w:rPr>
      <w:b/>
      <w:bCs/>
    </w:rPr>
  </w:style>
  <w:style w:type="paragraph" w:styleId="Heading2">
    <w:name w:val="heading 2"/>
    <w:basedOn w:val="Normal"/>
    <w:next w:val="Normal"/>
    <w:uiPriority w:val="9"/>
    <w:unhideWhenUsed/>
    <w:qFormat/>
    <w:rsid w:val="00E11836"/>
    <w:pPr>
      <w:keepNext/>
      <w:keepLines/>
      <w:outlineLvl w:val="1"/>
    </w:pPr>
    <w:rPr>
      <w:b/>
      <w:bCs/>
    </w:rPr>
  </w:style>
  <w:style w:type="paragraph" w:styleId="Heading3">
    <w:name w:val="heading 3"/>
    <w:basedOn w:val="Normal"/>
    <w:next w:val="Normal"/>
    <w:uiPriority w:val="9"/>
    <w:unhideWhenUsed/>
    <w:qFormat/>
    <w:rsid w:val="00E11836"/>
    <w:pPr>
      <w:keepNext/>
      <w:keepLines/>
      <w:outlineLvl w:val="2"/>
    </w:pPr>
    <w:rPr>
      <w:b/>
      <w:bCs/>
    </w:rPr>
  </w:style>
  <w:style w:type="paragraph" w:styleId="Heading4">
    <w:name w:val="heading 4"/>
    <w:basedOn w:val="Normal"/>
    <w:next w:val="Normal"/>
    <w:uiPriority w:val="9"/>
    <w:semiHidden/>
    <w:unhideWhenUsed/>
    <w:qFormat/>
    <w:rsid w:val="00E11836"/>
    <w:pPr>
      <w:keepNext/>
      <w:keepLines/>
      <w:spacing w:before="280" w:after="80"/>
      <w:outlineLvl w:val="3"/>
    </w:pPr>
    <w:rPr>
      <w:color w:val="666666"/>
    </w:rPr>
  </w:style>
  <w:style w:type="paragraph" w:styleId="Heading5">
    <w:name w:val="heading 5"/>
    <w:basedOn w:val="Normal"/>
    <w:next w:val="Normal"/>
    <w:uiPriority w:val="9"/>
    <w:semiHidden/>
    <w:unhideWhenUsed/>
    <w:qFormat/>
    <w:rsid w:val="00E11836"/>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E11836"/>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E11836"/>
    <w:tblPr>
      <w:tblCellMar>
        <w:top w:w="100" w:type="dxa"/>
        <w:left w:w="100" w:type="dxa"/>
        <w:bottom w:w="100" w:type="dxa"/>
        <w:right w:w="100" w:type="dxa"/>
      </w:tblCellMar>
    </w:tblPr>
  </w:style>
  <w:style w:type="paragraph" w:styleId="Title">
    <w:name w:val="Title"/>
    <w:basedOn w:val="Normal"/>
    <w:next w:val="Normal"/>
    <w:uiPriority w:val="10"/>
    <w:qFormat/>
    <w:rsid w:val="00E11836"/>
    <w:pPr>
      <w:keepNext/>
      <w:keepLines/>
      <w:spacing w:after="60"/>
      <w:jc w:val="center"/>
    </w:pPr>
    <w:rPr>
      <w:b/>
      <w:bCs/>
      <w:sz w:val="32"/>
      <w:szCs w:val="32"/>
    </w:rPr>
  </w:style>
  <w:style w:type="paragraph" w:styleId="Subtitle">
    <w:name w:val="Subtitle"/>
    <w:basedOn w:val="Normal"/>
    <w:next w:val="Normal"/>
    <w:uiPriority w:val="11"/>
    <w:qFormat/>
    <w:rsid w:val="00E11836"/>
    <w:pPr>
      <w:keepNext/>
      <w:keepLines/>
      <w:spacing w:after="320"/>
    </w:pPr>
    <w:rPr>
      <w:color w:val="666666"/>
      <w:sz w:val="30"/>
      <w:szCs w:val="30"/>
    </w:rPr>
  </w:style>
  <w:style w:type="table" w:customStyle="1" w:styleId="a">
    <w:basedOn w:val="TableNormal0"/>
    <w:rsid w:val="00E11836"/>
    <w:tblPr>
      <w:tblStyleRowBandSize w:val="1"/>
      <w:tblStyleColBandSize w:val="1"/>
      <w:tblCellMar>
        <w:top w:w="100" w:type="dxa"/>
        <w:left w:w="100" w:type="dxa"/>
        <w:bottom w:w="100" w:type="dxa"/>
        <w:right w:w="100" w:type="dxa"/>
      </w:tblCellMar>
    </w:tblPr>
  </w:style>
  <w:style w:type="table" w:customStyle="1" w:styleId="a0">
    <w:basedOn w:val="TableNormal0"/>
    <w:rsid w:val="00E11836"/>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D67CE4"/>
    <w:pPr>
      <w:spacing w:after="100"/>
    </w:pPr>
  </w:style>
  <w:style w:type="paragraph" w:styleId="TOC2">
    <w:name w:val="toc 2"/>
    <w:basedOn w:val="Normal"/>
    <w:next w:val="Normal"/>
    <w:autoRedefine/>
    <w:uiPriority w:val="39"/>
    <w:unhideWhenUsed/>
    <w:rsid w:val="00D67CE4"/>
    <w:pPr>
      <w:spacing w:after="100"/>
      <w:ind w:left="240"/>
    </w:pPr>
  </w:style>
  <w:style w:type="paragraph" w:styleId="TOC3">
    <w:name w:val="toc 3"/>
    <w:basedOn w:val="Normal"/>
    <w:next w:val="Normal"/>
    <w:autoRedefine/>
    <w:uiPriority w:val="39"/>
    <w:unhideWhenUsed/>
    <w:rsid w:val="00D67CE4"/>
    <w:pPr>
      <w:spacing w:after="100"/>
      <w:ind w:left="480"/>
    </w:pPr>
  </w:style>
  <w:style w:type="character" w:styleId="Hyperlink">
    <w:name w:val="Hyperlink"/>
    <w:basedOn w:val="DefaultParagraphFont"/>
    <w:uiPriority w:val="99"/>
    <w:unhideWhenUsed/>
    <w:rsid w:val="00D67CE4"/>
    <w:rPr>
      <w:color w:val="0000FF" w:themeColor="hyperlink"/>
      <w:u w:val="single"/>
    </w:rPr>
  </w:style>
  <w:style w:type="character" w:customStyle="1" w:styleId="UnresolvedMention">
    <w:name w:val="Unresolved Mention"/>
    <w:basedOn w:val="DefaultParagraphFont"/>
    <w:uiPriority w:val="99"/>
    <w:semiHidden/>
    <w:unhideWhenUsed/>
    <w:rsid w:val="008C2D39"/>
    <w:rPr>
      <w:color w:val="605E5C"/>
      <w:shd w:val="clear" w:color="auto" w:fill="E1DFDD"/>
    </w:rPr>
  </w:style>
  <w:style w:type="paragraph" w:styleId="BalloonText">
    <w:name w:val="Balloon Text"/>
    <w:basedOn w:val="Normal"/>
    <w:link w:val="BalloonTextChar"/>
    <w:uiPriority w:val="99"/>
    <w:semiHidden/>
    <w:unhideWhenUsed/>
    <w:rsid w:val="00C2019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019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13" Type="http://schemas.openxmlformats.org/officeDocument/2006/relationships/hyperlink" Target="https://link.springer.com/article/10.1186/s12909-024-06593-7" TargetMode="External"/><Relationship Id="rId18" Type="http://schemas.openxmlformats.org/officeDocument/2006/relationships/hyperlink" Target="https://www.bancosantander.es/en/particulares/" TargetMode="External"/><Relationship Id="rId26" Type="http://schemas.openxmlformats.org/officeDocument/2006/relationships/hyperlink" Target="https://www.bankofengland.co.uk/statistics" TargetMode="External"/><Relationship Id="rId39" Type="http://schemas.openxmlformats.org/officeDocument/2006/relationships/hyperlink" Target="http://www.jpmorganchase.com/content/dam/jpmc/jpmorgan-chase-and-co/investor-relations/documents/annualreport-2025.pdf" TargetMode="External"/><Relationship Id="rId21" Type="http://schemas.openxmlformats.org/officeDocument/2006/relationships/hyperlink" Target="https://www.bankofengland.co.uk/statistics/banking-sector-regulatory-capital/2025/2025-q2" TargetMode="External"/><Relationship Id="rId34" Type="http://schemas.openxmlformats.org/officeDocument/2006/relationships/hyperlink" Target="https://www.mdpi.com/2674-1032/4/3/48" TargetMode="External"/><Relationship Id="rId42" Type="http://schemas.openxmlformats.org/officeDocument/2006/relationships/hyperlink" Target="https://www.mdpi.com/2071-1050/17/23/10787" TargetMode="External"/><Relationship Id="rId47" Type="http://schemas.openxmlformats.org/officeDocument/2006/relationships/hyperlink" Target="https://www.sciencedirect.com/science/article/pii/S0260691724003915" TargetMode="External"/><Relationship Id="rId50" Type="http://schemas.openxmlformats.org/officeDocument/2006/relationships/hyperlink" Target="https://al-kindipublishers.org/index.php/jbms/article/view/10425" TargetMode="External"/><Relationship Id="rId55" Type="http://schemas.openxmlformats.org/officeDocument/2006/relationships/hyperlink" Target="https://armgpublishing.com/journals/bel/volume-9-issue-3/article-18/" TargetMode="External"/><Relationship Id="rId63"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journal.unisza.edu.my/jonus/index.php/jonus/article/view/858" TargetMode="External"/><Relationship Id="rId29" Type="http://schemas.openxmlformats.org/officeDocument/2006/relationships/hyperlink" Target="https://www.researchgate.net/profile/Douglas-Chiguvi/publication/386487222_Customer_Experience_Management_in_the_Banking_Sector_and_Its_Relation_to_the_SDGs/links/6752c1a9ba2f3a1eb8b08f92/Customer-Experience-Management-in-the-Banking-Sector-and-Its-Relation-to-the-SDG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erald.com/cr/article/35/1/190/1241345" TargetMode="External"/><Relationship Id="rId24" Type="http://schemas.openxmlformats.org/officeDocument/2006/relationships/hyperlink" Target="https://papers.ssrn.com/sol3/papers.cfm?abstract_id=5585190" TargetMode="External"/><Relationship Id="rId32" Type="http://schemas.openxmlformats.org/officeDocument/2006/relationships/hyperlink" Target="https://link.springer.com/article/10.1057/s42214-024-00202-6" TargetMode="External"/><Relationship Id="rId37" Type="http://schemas.openxmlformats.org/officeDocument/2006/relationships/hyperlink" Target="https://www.grandviewresearch.com/horizon/outlook/retail-banking-market/uk" TargetMode="External"/><Relationship Id="rId40" Type="http://schemas.openxmlformats.org/officeDocument/2006/relationships/hyperlink" Target="https://www.mdpi.com/2674-1032/4/2/26" TargetMode="External"/><Relationship Id="rId45" Type="http://schemas.openxmlformats.org/officeDocument/2006/relationships/hyperlink" Target="https://library.camtree.org/entities/publication/ba66a815-270a-4cd2-86de-dad9f2d1b44c" TargetMode="External"/><Relationship Id="rId53" Type="http://schemas.openxmlformats.org/officeDocument/2006/relationships/hyperlink" Target="https://www.suerf.org/wp-content/uploads/2025/08/SUERF-Policy-Note-373_-Schmitz_Posch_Steiner.pdf" TargetMode="External"/><Relationship Id="rId58" Type="http://schemas.openxmlformats.org/officeDocument/2006/relationships/hyperlink" Target="https://sajbi.sljol.info/en/articles/10.4038/sajbi.v4i2.71" TargetMode="External"/><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igi-global.com/viewtitle.aspx?titleid=377599c" TargetMode="External"/><Relationship Id="rId23" Type="http://schemas.openxmlformats.org/officeDocument/2006/relationships/hyperlink" Target="https://www.frontiersin.org/journals/communication/articles/10.3389/fcomm.2025.1548050/full" TargetMode="External"/><Relationship Id="rId28" Type="http://schemas.openxmlformats.org/officeDocument/2006/relationships/hyperlink" Target="https://www.emerald.com/ijbm/article/43/5/1122/1246455" TargetMode="External"/><Relationship Id="rId36" Type="http://schemas.openxmlformats.org/officeDocument/2006/relationships/hyperlink" Target="https://www.emerald.com/jic/article/26/1/152/1240726" TargetMode="External"/><Relationship Id="rId49" Type="http://schemas.openxmlformats.org/officeDocument/2006/relationships/hyperlink" Target="https://www.mdpi.com/1911-8074/18/6/333" TargetMode="External"/><Relationship Id="rId57" Type="http://schemas.openxmlformats.org/officeDocument/2006/relationships/hyperlink" Target="https://www.statista.com/topics/11974/banking-industry-in-the-uk/?srsltid=AfmBOop7WsvS9wyNqALl5Kjg5gHMN6DrPiySmJySUXbnApTYKQI6t8ab" TargetMode="External"/><Relationship Id="rId61"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hyperlink" Target="https://www.santander.com/en/about-us/key-facts-and-figures" TargetMode="External"/><Relationship Id="rId31" Type="http://schemas.openxmlformats.org/officeDocument/2006/relationships/hyperlink" Target="https://www.emerald.com/qrfm/article/17/2/348/1241453" TargetMode="External"/><Relationship Id="rId44" Type="http://schemas.openxmlformats.org/officeDocument/2006/relationships/hyperlink" Target="https://www.mordorintelligence.com/industry-reports/uk-retail-banking-market" TargetMode="External"/><Relationship Id="rId52" Type="http://schemas.openxmlformats.org/officeDocument/2006/relationships/hyperlink" Target="https://www.santander.co.uk/assets/s3fs-public/documents/SantanderUKplc2025AnnualReport.pdf" TargetMode="External"/><Relationship Id="rId60" Type="http://schemas.openxmlformats.org/officeDocument/2006/relationships/header" Target="header1.xml"/><Relationship Id="rId65"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gi-global.com/viewtitle.aspx?titleid=377599c" TargetMode="External"/><Relationship Id="rId22" Type="http://schemas.openxmlformats.org/officeDocument/2006/relationships/hyperlink" Target="http://home.barclays/content/dam/home-barclays/documents/investor-relations/reports-and-events/annual-reports/2025/Barclays-PLC-Annual-Report-2025.pdf" TargetMode="External"/><Relationship Id="rId27" Type="http://schemas.openxmlformats.org/officeDocument/2006/relationships/hyperlink" Target="https://onlinelibrary.wiley.com/doi/abs/10.1002/bse.70071" TargetMode="External"/><Relationship Id="rId30" Type="http://schemas.openxmlformats.org/officeDocument/2006/relationships/hyperlink" Target="https://journals.sagepub.com/doi/abs/10.1177/10245294251320569" TargetMode="External"/><Relationship Id="rId35" Type="http://schemas.openxmlformats.org/officeDocument/2006/relationships/hyperlink" Target="https://www.emerald.com/ijbm/article/43/4/780/1239403" TargetMode="External"/><Relationship Id="rId43" Type="http://schemas.openxmlformats.org/officeDocument/2006/relationships/hyperlink" Target="https://www.lloydsbankinggroup.com/assets/pdfs/investors/financial-performance/lloyds-banking-group-plc/2025/q4/2025-lbg-annual-report.pdf" TargetMode="External"/><Relationship Id="rId48" Type="http://schemas.openxmlformats.org/officeDocument/2006/relationships/hyperlink" Target="https://journaleet.in/index.php/jeet/article/view/2071" TargetMode="External"/><Relationship Id="rId56" Type="http://schemas.openxmlformats.org/officeDocument/2006/relationships/hyperlink" Target="https://www.statista.com/outlook/fmo/banking/united-kingdom?srsltid=AfmBOorNntMvNxpYVpctdDCRTB1SHO929CxuBuDAxfI5ne5N1skytQhA" TargetMode="External"/><Relationship Id="rId64" Type="http://schemas.openxmlformats.org/officeDocument/2006/relationships/header" Target="header3.xml"/><Relationship Id="rId8" Type="http://schemas.openxmlformats.org/officeDocument/2006/relationships/image" Target="media/image1.png"/><Relationship Id="rId51" Type="http://schemas.openxmlformats.org/officeDocument/2006/relationships/hyperlink" Target="https://www.santander.com/en/about-us/key-facts-and-figures" TargetMode="External"/><Relationship Id="rId3" Type="http://schemas.openxmlformats.org/officeDocument/2006/relationships/styles" Target="styles.xml"/><Relationship Id="rId12" Type="http://schemas.openxmlformats.org/officeDocument/2006/relationships/hyperlink" Target="https://www.accenture.com/content/dam/accenture/final/industry/banking/document/Accenture-Banking-Consumer-Study.pdf" TargetMode="External"/><Relationship Id="rId17" Type="http://schemas.openxmlformats.org/officeDocument/2006/relationships/hyperlink" Target="https://www.researchgate.net/profile/Wala-Attaf/publication/389056766_The_Effect_of_Improving_Risk_Management_as_a_Mediator_Variable_in_the_Relationship_between_the_Modern_Approach_to_Internal_Auditing_and_Competitive_Advantage_A_Study_in_Yemeni_Islamic_Banks/links/67b3507d8311ce680c66fe01/The-Effect-of-Improving-Risk-Management-as-a-Mediator-Variable-in-the-Relationship-between-the-Modern-Approach-to-Internal-Auditing-and-Competitive-Advantage-A-Study-in-Yemeni-Islamic-Banks.pdf" TargetMode="External"/><Relationship Id="rId25" Type="http://schemas.openxmlformats.org/officeDocument/2006/relationships/hyperlink" Target="https://www.journaleet.in/index.php/jeet/article/view/2013" TargetMode="External"/><Relationship Id="rId33" Type="http://schemas.openxmlformats.org/officeDocument/2006/relationships/hyperlink" Target="https://www.nature.com/articles/s41560-025-01768-y" TargetMode="External"/><Relationship Id="rId38" Type="http://schemas.openxmlformats.org/officeDocument/2006/relationships/hyperlink" Target="https://www.researchgate.net/profile/Rehman-Akhtar-7/publication/391666754_A_Comparative_Study_Of_The_Implementation_Of_Corporate_Governance_Legal_Frameworks_In_The_Banking_Sector_Of_Pakistan_Insights_From_Emerging_Economies/links/6822d5108a76251f22e145c2/A-Comparative-Study-Of-The-Implementation-Of-Corporate-Governance-Legal-Frameworks-In-The-Banking-Sector-Of-Pakistan-Insights-From-Emerging-Economies.pdf" TargetMode="External"/><Relationship Id="rId46" Type="http://schemas.openxmlformats.org/officeDocument/2006/relationships/hyperlink" Target="https://investors.natwestgroup.com/~/media/Files/R/RBS-IR-V2/results-center/13022026/nwg-annual-report-and-accounts-2025.pdf" TargetMode="External"/><Relationship Id="rId59" Type="http://schemas.openxmlformats.org/officeDocument/2006/relationships/hyperlink" Target="https://www.rclss.com/pij/article/view/866" TargetMode="External"/><Relationship Id="rId67" Type="http://schemas.openxmlformats.org/officeDocument/2006/relationships/theme" Target="theme/theme1.xml"/><Relationship Id="rId20" Type="http://schemas.openxmlformats.org/officeDocument/2006/relationships/hyperlink" Target="https://www.santander.co.uk/about-santander/our-history" TargetMode="External"/><Relationship Id="rId41" Type="http://schemas.openxmlformats.org/officeDocument/2006/relationships/hyperlink" Target="https://journals.klalliance.org/index.php/JKMP/article/view/521" TargetMode="External"/><Relationship Id="rId54" Type="http://schemas.openxmlformats.org/officeDocument/2006/relationships/hyperlink" Target="https://thecrsss.com/index.php/Journal/article/view/262" TargetMode="External"/><Relationship Id="rId62"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jKbsnsj65H9zHBmk6GmlzAMug==">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29</Pages>
  <Words>8723</Words>
  <Characters>49722</Characters>
  <Application>Microsoft Office Word</Application>
  <DocSecurity>0</DocSecurity>
  <Lines>414</Lines>
  <Paragraphs>116</Paragraphs>
  <ScaleCrop>false</ScaleCrop>
  <Company>HP</Company>
  <LinksUpToDate>false</LinksUpToDate>
  <CharactersWithSpaces>58329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dhruvin ghevariya</dc:creator>
  <cp:lastModifiedBy>91942</cp:lastModifiedBy>
  <cp:revision>2</cp:revision>
  <dcterms:created xsi:type="dcterms:W3CDTF">2026-04-27T00:18:00Z</dcterms:created>
  <dcterms:modified xsi:type="dcterms:W3CDTF">2026-04-27T00:18:00Z</dcterms:modified>
</cp:coreProperties>
</file>