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object w:dxaOrig="2736" w:dyaOrig="1075">
          <v:rect xmlns:o="urn:schemas-microsoft-com:office:office" xmlns:v="urn:schemas-microsoft-com:vml" id="rectole0000000000" style="width:136.800000pt;height:53.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Times New Roman" w:hAnsi="Times New Roman" w:cs="Times New Roman" w:eastAsia="Times New Roman"/>
          <w:b/>
          <w:color w:val="auto"/>
          <w:spacing w:val="-10"/>
          <w:position w:val="0"/>
          <w:sz w:val="52"/>
          <w:shd w:fill="auto" w:val="clear"/>
        </w:rPr>
      </w:pPr>
    </w:p>
    <w:p>
      <w:pPr>
        <w:spacing w:before="0" w:after="0" w:line="240"/>
        <w:ind w:right="0" w:left="0" w:firstLine="0"/>
        <w:jc w:val="center"/>
        <w:rPr>
          <w:rFonts w:ascii="Times New Roman" w:hAnsi="Times New Roman" w:cs="Times New Roman" w:eastAsia="Times New Roman"/>
          <w:b/>
          <w:color w:val="auto"/>
          <w:spacing w:val="-10"/>
          <w:position w:val="0"/>
          <w:sz w:val="52"/>
          <w:shd w:fill="auto" w:val="clear"/>
        </w:rPr>
      </w:pPr>
    </w:p>
    <w:p>
      <w:pPr>
        <w:spacing w:before="0" w:after="0" w:line="240"/>
        <w:ind w:right="0" w:left="0" w:firstLine="0"/>
        <w:jc w:val="both"/>
        <w:rPr>
          <w:rFonts w:ascii="Times New Roman" w:hAnsi="Times New Roman" w:cs="Times New Roman" w:eastAsia="Times New Roman"/>
          <w:b/>
          <w:color w:val="auto"/>
          <w:spacing w:val="-10"/>
          <w:position w:val="0"/>
          <w:sz w:val="5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10"/>
          <w:position w:val="0"/>
          <w:sz w:val="52"/>
          <w:shd w:fill="auto" w:val="clear"/>
        </w:rPr>
      </w:pPr>
      <w:r>
        <w:rPr>
          <w:rFonts w:ascii="Times New Roman" w:hAnsi="Times New Roman" w:cs="Times New Roman" w:eastAsia="Times New Roman"/>
          <w:b/>
          <w:color w:val="auto"/>
          <w:spacing w:val="-10"/>
          <w:position w:val="0"/>
          <w:sz w:val="52"/>
          <w:shd w:fill="auto" w:val="clear"/>
        </w:rPr>
        <w:t xml:space="preserve">Essay: Effective Study Strategies for Students in the Digital Era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Karel Gorol</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2020052</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1. 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exploring the scholarship of contemporary students, it is easy to see that students experience several challenges and opportunities for learning in the age of technology. Due to many resources and innovations, the student’s learning process looks quite different today compared to some years ago. It is important to know the study habits when working as the student will be highly productive, especially while using the available internet-based resources and technology-based platforms. In this essay, I have tried to explain efficient study techniques in the context of the digital environment and examined digital notebooks, timers, repetition intervals, the use of notes, and how to avoid distractions. Based on the advantages and limitations of each strategy, this paper helps learners understudy how to use digital tools to improve their learning activities.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2. Main Body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6"/>
          <w:shd w:fill="auto" w:val="clear"/>
        </w:rPr>
        <w:t xml:space="preserve">Digital Note-taking Tools</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Concept: Digitization of notes is also a common practice as it provides flexibility and easy organization of the received and stored information. Different apps available include Notion and OneNote where students can write and organize their notes in many different structures such as images videos and links among others which makes learning more enhanced.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Supporting Research: For example, the use of note-taking applications enhanced retention and recall rates more than efforts based on conventional approaches. This is because when using digital tools, students and faculty gain improved accessibility and students can group notes based on topics, relevance, or due dates (Alyahyan, and Dü</w:t>
      </w:r>
      <w:r>
        <w:rPr>
          <w:rFonts w:ascii="Times New Roman" w:hAnsi="Times New Roman" w:cs="Times New Roman" w:eastAsia="Times New Roman"/>
          <w:color w:val="auto"/>
          <w:spacing w:val="0"/>
          <w:position w:val="0"/>
          <w:sz w:val="24"/>
          <w:shd w:fill="auto" w:val="clear"/>
        </w:rPr>
        <w:t xml:space="preserve">şteg</w:t>
      </w:r>
      <w:r>
        <w:rPr>
          <w:rFonts w:ascii="Times New Roman" w:hAnsi="Times New Roman" w:cs="Times New Roman" w:eastAsia="Times New Roman"/>
          <w:color w:val="auto"/>
          <w:spacing w:val="0"/>
          <w:position w:val="0"/>
          <w:sz w:val="24"/>
          <w:shd w:fill="auto" w:val="clear"/>
        </w:rPr>
        <w:t xml:space="preserve">ör,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Examples: For instance, a biology student will use tags and folders to easily locate notes by topics in OneNote but also link recorded lectures and diagrams. By so doing, the following tools will help students easily find and go through the information, if there is a lot of it.</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Time Management Apps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Concept: Time management is a key element the demands of other obligations tend to make it hard for students to be punctual. Another tool that can be used for planning the study schedule and setting reminders is a Google Calendar also, can also gather all the necessary information about the academic process in the Trello board (Jacob, and Waddell,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Supporting Research: Researchers have also established that with structured time programs, stress levels are minimized, as are distractions students can sort time into study, homework, recreation, and other time sections. It substantiates that those students who do use digital calendars show higher levels of personal effectiveness and perceived time quality.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Examples: For example, thanks, to the Google Calendar, the student can plan specific study time for each subject rather than cramming before the exam. Through use of reminders and the categories of tasks contributes to students’ discipline in the sense that they will ensure the submission of the assignments within the time stipulated (Flanigan, and Titsworth,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6"/>
          <w:shd w:fill="auto" w:val="clear"/>
        </w:rPr>
        <w:t xml:space="preserve">Spaced Repetition for all digital Flashcard Applications</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Concept: Spaced repetition is a technique based on scientific data about how one can remember information in the course of time if prepared for examinations or other types of tests at increasing intervals. Active recall Otherwise known as generation involves retrieving information from memory instead of merely reviewing notes.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Supporting Research: Studying literature shows that increasing the interval between each exposure vastly enhances the level of recall compared to the frequency of the repetitions. Using apps such as Anki or Quizlet, students will be able to use it and study in a more systemized way during flashcard study sessions (Abuhassna, et al.,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Examples: Students in medicine, for example, use Anki to enhance retention of sometimes-complicated terms by developing flashcards. First, the operation of the app is described by analyzing the choice of the method for reviewing with the help of the efficiency of the algorithm that calculates the right time to review each flashcard thus, avoiding constant repetition.</w:t>
      </w:r>
    </w:p>
    <w:p>
      <w:pPr>
        <w:keepNext w:val="true"/>
        <w:keepLines w:val="true"/>
        <w:spacing w:before="4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Minimizing Digital Distractions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Concept: The different digital tools provide tremendous opportunities, but at the same time, they represent distractions. Some of them are Forest, which enables a student to block access to certain sites, including social networks, and Freedom, which has the same goal (Alenezi,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Supporting Research: eight of these indicate that fewer technology-related interferences enhance learning outcomes due to the enhanced focus students can give their work. Also valued by employees is the fact that the ability to work without interruptions plays a large role in overall employee satisfaction as well as an enhanced mental state.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Examples: For instance, while studying using the Forest app a student can cultivate a tree and whenever the student opens a prohibited app, the tree dies. This is useful in making students stay on track and struggle to open the app during focused study periods because of accountability (Pérez-Juárez, González-Ortega, and Aguiar-Pérez, 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3. 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Technology-integrated study approaches in the present generation are highly beneficial to students. There is an analysis of the best applications that target note-taking, time management of notes, spaced repetition, and distraction that enables students to achieve their maximum potential. In this regard, applying these strategies can help students manage their education better to achieve perpetual success in the digital space. More specifically, the students who constantly use these tools are better placed to cope with the current academic challenges.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24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Abuhassna, H., Al-Rahmi, W.M., Yahya, N., Zakaria, M.A.Z.M., Kosnin, A.B.M. and Darwish, M., 2020. Development of a new model on utilizing online learning platforms to improve students’ academic achievements and satisfaction. </w:t>
      </w:r>
      <w:r>
        <w:rPr>
          <w:rFonts w:ascii="Times New Roman" w:hAnsi="Times New Roman" w:cs="Times New Roman" w:eastAsia="Times New Roman"/>
          <w:i/>
          <w:color w:val="auto"/>
          <w:spacing w:val="0"/>
          <w:position w:val="0"/>
          <w:sz w:val="24"/>
          <w:shd w:fill="auto" w:val="clear"/>
        </w:rPr>
        <w:t xml:space="preserve">International Journal of Educational Technology in Higher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17</w:t>
      </w:r>
      <w:r>
        <w:rPr>
          <w:rFonts w:ascii="Times New Roman" w:hAnsi="Times New Roman" w:cs="Times New Roman" w:eastAsia="Times New Roman"/>
          <w:color w:val="auto"/>
          <w:spacing w:val="0"/>
          <w:position w:val="0"/>
          <w:sz w:val="24"/>
          <w:shd w:fill="auto" w:val="clear"/>
        </w:rPr>
        <w:t xml:space="preserve">, pp.1-23,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https://link.springer.com/content/pdf/10.1186/s41239-020-00216-z.pdf</w:t>
        </w:r>
      </w:hyperlink>
      <w:r>
        <w:rPr>
          <w:rFonts w:ascii="Times New Roman" w:hAnsi="Times New Roman" w:cs="Times New Roman" w:eastAsia="Times New Roman"/>
          <w:color w:val="auto"/>
          <w:spacing w:val="0"/>
          <w:position w:val="0"/>
          <w:sz w:val="24"/>
          <w:shd w:fill="auto" w:val="clear"/>
        </w:rPr>
        <w:t xml:space="preserve"> </w:t>
      </w:r>
    </w:p>
    <w:p>
      <w:pPr>
        <w:spacing w:before="24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Alenezi, M., 2023. Digital learning and digital institution in higher education. </w:t>
      </w:r>
      <w:r>
        <w:rPr>
          <w:rFonts w:ascii="Times New Roman" w:hAnsi="Times New Roman" w:cs="Times New Roman" w:eastAsia="Times New Roman"/>
          <w:i/>
          <w:color w:val="auto"/>
          <w:spacing w:val="0"/>
          <w:position w:val="0"/>
          <w:sz w:val="24"/>
          <w:shd w:fill="auto" w:val="clear"/>
        </w:rPr>
        <w:t xml:space="preserve">Education Sciences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(1), p.88,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https://www.mdpi.com/2227-7102/13/1/88/pdf</w:t>
        </w:r>
      </w:hyperlink>
      <w:r>
        <w:rPr>
          <w:rFonts w:ascii="Times New Roman" w:hAnsi="Times New Roman" w:cs="Times New Roman" w:eastAsia="Times New Roman"/>
          <w:color w:val="auto"/>
          <w:spacing w:val="0"/>
          <w:position w:val="0"/>
          <w:sz w:val="24"/>
          <w:shd w:fill="auto" w:val="clear"/>
        </w:rPr>
        <w:t xml:space="preserve"> </w:t>
      </w:r>
    </w:p>
    <w:p>
      <w:pPr>
        <w:spacing w:before="24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Alyahyan, E. and Dü</w:t>
      </w:r>
      <w:r>
        <w:rPr>
          <w:rFonts w:ascii="Times New Roman" w:hAnsi="Times New Roman" w:cs="Times New Roman" w:eastAsia="Times New Roman"/>
          <w:color w:val="auto"/>
          <w:spacing w:val="0"/>
          <w:position w:val="0"/>
          <w:sz w:val="24"/>
          <w:shd w:fill="auto" w:val="clear"/>
        </w:rPr>
        <w:t xml:space="preserve">şteg</w:t>
      </w:r>
      <w:r>
        <w:rPr>
          <w:rFonts w:ascii="Times New Roman" w:hAnsi="Times New Roman" w:cs="Times New Roman" w:eastAsia="Times New Roman"/>
          <w:color w:val="auto"/>
          <w:spacing w:val="0"/>
          <w:position w:val="0"/>
          <w:sz w:val="24"/>
          <w:shd w:fill="auto" w:val="clear"/>
        </w:rPr>
        <w:t xml:space="preserve">ör, D., 2020. Predicting academic success in higher education: literature review and best practices. </w:t>
      </w:r>
      <w:r>
        <w:rPr>
          <w:rFonts w:ascii="Times New Roman" w:hAnsi="Times New Roman" w:cs="Times New Roman" w:eastAsia="Times New Roman"/>
          <w:i/>
          <w:color w:val="auto"/>
          <w:spacing w:val="0"/>
          <w:position w:val="0"/>
          <w:sz w:val="24"/>
          <w:shd w:fill="auto" w:val="clear"/>
        </w:rPr>
        <w:t xml:space="preserve">International Journal of Educational Technology in Higher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17</w:t>
      </w:r>
      <w:r>
        <w:rPr>
          <w:rFonts w:ascii="Times New Roman" w:hAnsi="Times New Roman" w:cs="Times New Roman" w:eastAsia="Times New Roman"/>
          <w:color w:val="auto"/>
          <w:spacing w:val="0"/>
          <w:position w:val="0"/>
          <w:sz w:val="24"/>
          <w:shd w:fill="auto" w:val="clear"/>
        </w:rPr>
        <w:t xml:space="preserve">(1), p.3,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https://link.springer.com/content/pdf/10.1186/s41239-020-0177-7.pdf</w:t>
        </w:r>
      </w:hyperlink>
      <w:r>
        <w:rPr>
          <w:rFonts w:ascii="Times New Roman" w:hAnsi="Times New Roman" w:cs="Times New Roman" w:eastAsia="Times New Roman"/>
          <w:color w:val="auto"/>
          <w:spacing w:val="0"/>
          <w:position w:val="0"/>
          <w:sz w:val="24"/>
          <w:shd w:fill="auto" w:val="clear"/>
        </w:rPr>
        <w:t xml:space="preserve"> </w:t>
      </w:r>
    </w:p>
    <w:p>
      <w:pPr>
        <w:spacing w:before="24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Flanigan, A.E. and Titsworth, S., 2020. The impact of digital distraction on lecture note taking and student learning. </w:t>
      </w:r>
      <w:r>
        <w:rPr>
          <w:rFonts w:ascii="Times New Roman" w:hAnsi="Times New Roman" w:cs="Times New Roman" w:eastAsia="Times New Roman"/>
          <w:i/>
          <w:color w:val="auto"/>
          <w:spacing w:val="0"/>
          <w:position w:val="0"/>
          <w:sz w:val="24"/>
          <w:shd w:fill="auto" w:val="clear"/>
        </w:rPr>
        <w:t xml:space="preserve">Instructional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48</w:t>
      </w:r>
      <w:r>
        <w:rPr>
          <w:rFonts w:ascii="Times New Roman" w:hAnsi="Times New Roman" w:cs="Times New Roman" w:eastAsia="Times New Roman"/>
          <w:color w:val="auto"/>
          <w:spacing w:val="0"/>
          <w:position w:val="0"/>
          <w:sz w:val="24"/>
          <w:shd w:fill="auto" w:val="clear"/>
        </w:rPr>
        <w:t xml:space="preserve">(5), pp.495-524,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https://www.researchgate.net/profile/Abraham-Flanigan/publication/343853594_The_impact_of_digital_distraction_on_lecture_note_taking_and_student_learning/links/5fa04ece299bf1b53e5abbee/The-impact-of-digital-distraction-on-lecture-note-taking-and-student-learning.pdf</w:t>
        </w:r>
      </w:hyperlink>
      <w:r>
        <w:rPr>
          <w:rFonts w:ascii="Times New Roman" w:hAnsi="Times New Roman" w:cs="Times New Roman" w:eastAsia="Times New Roman"/>
          <w:color w:val="auto"/>
          <w:spacing w:val="0"/>
          <w:position w:val="0"/>
          <w:sz w:val="24"/>
          <w:shd w:fill="auto" w:val="clear"/>
        </w:rPr>
        <w:t xml:space="preserve"> </w:t>
      </w:r>
    </w:p>
    <w:p>
      <w:pPr>
        <w:spacing w:before="24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Jacob, P.F. and Waddell, S., 2020. Spaced training forms complementary long-term memories of opposite valence in Drosophila. </w:t>
      </w:r>
      <w:r>
        <w:rPr>
          <w:rFonts w:ascii="Times New Roman" w:hAnsi="Times New Roman" w:cs="Times New Roman" w:eastAsia="Times New Roman"/>
          <w:i/>
          <w:color w:val="auto"/>
          <w:spacing w:val="0"/>
          <w:position w:val="0"/>
          <w:sz w:val="24"/>
          <w:shd w:fill="auto" w:val="clear"/>
        </w:rPr>
        <w:t xml:space="preserve">Neuron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106</w:t>
      </w:r>
      <w:r>
        <w:rPr>
          <w:rFonts w:ascii="Times New Roman" w:hAnsi="Times New Roman" w:cs="Times New Roman" w:eastAsia="Times New Roman"/>
          <w:color w:val="auto"/>
          <w:spacing w:val="0"/>
          <w:position w:val="0"/>
          <w:sz w:val="24"/>
          <w:shd w:fill="auto" w:val="clear"/>
        </w:rPr>
        <w:t xml:space="preserve">(6), pp.977-991,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https://www.cell.com/neuron/pdfExtended/S0896-6273(20)30220-8</w:t>
        </w:r>
      </w:hyperlink>
      <w:r>
        <w:rPr>
          <w:rFonts w:ascii="Times New Roman" w:hAnsi="Times New Roman" w:cs="Times New Roman" w:eastAsia="Times New Roman"/>
          <w:color w:val="auto"/>
          <w:spacing w:val="0"/>
          <w:position w:val="0"/>
          <w:sz w:val="24"/>
          <w:shd w:fill="auto" w:val="clear"/>
        </w:rPr>
        <w:t xml:space="preserve"> </w:t>
      </w:r>
    </w:p>
    <w:p>
      <w:pPr>
        <w:spacing w:before="24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Pérez-Juárez, M.Á., González-Ortega, D. and Aguiar-Pérez, J.M., 2023. Digital distractions from the point of view of higher education students.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15</w:t>
      </w:r>
      <w:r>
        <w:rPr>
          <w:rFonts w:ascii="Times New Roman" w:hAnsi="Times New Roman" w:cs="Times New Roman" w:eastAsia="Times New Roman"/>
          <w:color w:val="auto"/>
          <w:spacing w:val="0"/>
          <w:position w:val="0"/>
          <w:sz w:val="24"/>
          <w:shd w:fill="auto" w:val="clear"/>
        </w:rPr>
        <w:t xml:space="preserve">(7), p.6044,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https://www.mdpi.com/2071-1050/15/7/6044/pdf</w:t>
        </w:r>
      </w:hyperlink>
      <w:r>
        <w:rPr>
          <w:rFonts w:ascii="Times New Roman" w:hAnsi="Times New Roman" w:cs="Times New Roman" w:eastAsia="Times New Roman"/>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dpi.com/2227-7102/13/1/88/pdf" Id="docRId3" Type="http://schemas.openxmlformats.org/officeDocument/2006/relationships/hyperlink" /><Relationship TargetMode="External" Target="https://www.mdpi.com/2071-1050/15/7/6044/pdf" Id="docRId7" Type="http://schemas.openxmlformats.org/officeDocument/2006/relationships/hyperlink" /><Relationship Target="embeddings/oleObject0.bin" Id="docRId0" Type="http://schemas.openxmlformats.org/officeDocument/2006/relationships/oleObject" /><Relationship TargetMode="External" Target="https://link.springer.com/content/pdf/10.1186/s41239-020-00216-z.pdf" Id="docRId2" Type="http://schemas.openxmlformats.org/officeDocument/2006/relationships/hyperlink" /><Relationship TargetMode="External" Target="https://link.springer.com/content/pdf/10.1186/s41239-020-0177-7.pdf" Id="docRId4" Type="http://schemas.openxmlformats.org/officeDocument/2006/relationships/hyperlink" /><Relationship TargetMode="External" Target="https://www.cell.com/neuron/pdfExtended/S0896-6273(20)30220-8"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ode="External" Target="https://www.researchgate.net/profile/Abraham-Flanigan/publication/343853594_The_impact_of_digital_distraction_on_lecture_note_taking_and_student_learning/links/5fa04ece299bf1b53e5abbee/The-impact-of-digital-distraction-on-lecture-note-taking-and-student-learning.pdf" Id="docRId5" Type="http://schemas.openxmlformats.org/officeDocument/2006/relationships/hyperlink" /><Relationship Target="styles.xml" Id="docRId9" Type="http://schemas.openxmlformats.org/officeDocument/2006/relationships/styles" /></Relationships>
</file>