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613EB" w14:textId="77777777" w:rsidR="00634231" w:rsidRDefault="00634231" w:rsidP="00DC0EDC">
      <w:pPr>
        <w:pStyle w:val="NoSpacing"/>
        <w:spacing w:line="360" w:lineRule="auto"/>
        <w:rPr>
          <w:rFonts w:ascii="Arial" w:hAnsi="Arial" w:cs="Arial"/>
          <w:sz w:val="28"/>
          <w:szCs w:val="28"/>
          <w:lang w:val="en-GB"/>
        </w:rPr>
      </w:pPr>
    </w:p>
    <w:p w14:paraId="7BCF3F6B" w14:textId="77777777" w:rsidR="00634231" w:rsidRDefault="00634231" w:rsidP="00634231">
      <w:pPr>
        <w:pStyle w:val="NoSpacing"/>
        <w:spacing w:line="360" w:lineRule="auto"/>
        <w:jc w:val="center"/>
        <w:rPr>
          <w:rFonts w:ascii="Arial" w:hAnsi="Arial" w:cs="Arial"/>
          <w:sz w:val="28"/>
          <w:szCs w:val="28"/>
          <w:lang w:val="en-GB"/>
        </w:rPr>
      </w:pPr>
    </w:p>
    <w:p w14:paraId="6563A488" w14:textId="77777777" w:rsidR="00634231" w:rsidRDefault="00634231" w:rsidP="00DC0EDC">
      <w:pPr>
        <w:pStyle w:val="NoSpacing"/>
        <w:spacing w:line="360" w:lineRule="auto"/>
        <w:rPr>
          <w:rFonts w:ascii="Arial" w:hAnsi="Arial" w:cs="Arial"/>
          <w:sz w:val="28"/>
          <w:szCs w:val="28"/>
          <w:lang w:val="en-GB"/>
        </w:rPr>
      </w:pPr>
    </w:p>
    <w:p w14:paraId="6FEC2B02" w14:textId="77777777" w:rsidR="00634231" w:rsidRDefault="00634231" w:rsidP="00634231">
      <w:pPr>
        <w:pStyle w:val="NoSpacing"/>
        <w:spacing w:line="360" w:lineRule="auto"/>
        <w:jc w:val="center"/>
        <w:rPr>
          <w:rFonts w:ascii="Arial" w:hAnsi="Arial" w:cs="Arial"/>
          <w:sz w:val="28"/>
          <w:szCs w:val="28"/>
          <w:lang w:val="en-GB"/>
        </w:rPr>
      </w:pPr>
    </w:p>
    <w:p w14:paraId="377192B1" w14:textId="77777777" w:rsidR="00634231" w:rsidRDefault="00634231" w:rsidP="00634231">
      <w:pPr>
        <w:pStyle w:val="NoSpacing"/>
        <w:spacing w:line="360" w:lineRule="auto"/>
        <w:jc w:val="center"/>
        <w:rPr>
          <w:rFonts w:ascii="Arial" w:hAnsi="Arial" w:cs="Arial"/>
          <w:sz w:val="28"/>
          <w:szCs w:val="28"/>
          <w:lang w:val="en-GB"/>
        </w:rPr>
      </w:pPr>
    </w:p>
    <w:p w14:paraId="4764F520" w14:textId="1B156246" w:rsidR="00634231" w:rsidRPr="00AF5F7B"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Managing Food &amp; Beverage Operations</w:t>
      </w:r>
    </w:p>
    <w:p w14:paraId="071CB7A0" w14:textId="77777777" w:rsidR="00634231" w:rsidRPr="00AF5F7B"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Module code: BMIH6002</w:t>
      </w:r>
    </w:p>
    <w:p w14:paraId="73BD3749" w14:textId="77777777" w:rsidR="00634231"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Assignment Title: Student Learning Log</w:t>
      </w:r>
    </w:p>
    <w:p w14:paraId="236A33EB" w14:textId="77777777" w:rsidR="00601D75" w:rsidRDefault="00601D75" w:rsidP="00634231">
      <w:pPr>
        <w:pStyle w:val="NoSpacing"/>
        <w:spacing w:line="360" w:lineRule="auto"/>
        <w:jc w:val="center"/>
        <w:rPr>
          <w:rFonts w:ascii="Arial" w:hAnsi="Arial" w:cs="Arial"/>
          <w:sz w:val="28"/>
          <w:szCs w:val="28"/>
          <w:lang w:val="en-GB"/>
        </w:rPr>
      </w:pPr>
    </w:p>
    <w:p w14:paraId="5C1DDAB5" w14:textId="77777777" w:rsidR="00601D75" w:rsidRPr="00AF5F7B" w:rsidRDefault="00601D75" w:rsidP="00634231">
      <w:pPr>
        <w:pStyle w:val="NoSpacing"/>
        <w:spacing w:line="360" w:lineRule="auto"/>
        <w:jc w:val="center"/>
        <w:rPr>
          <w:rFonts w:ascii="Arial" w:hAnsi="Arial" w:cs="Arial"/>
          <w:sz w:val="28"/>
          <w:szCs w:val="28"/>
          <w:lang w:val="en-GB"/>
        </w:rPr>
      </w:pPr>
    </w:p>
    <w:p w14:paraId="3CFED445" w14:textId="1C446602" w:rsidR="00634231" w:rsidRPr="00634231" w:rsidRDefault="00634231" w:rsidP="00634231">
      <w:pPr>
        <w:pStyle w:val="NoSpacing"/>
        <w:spacing w:line="360" w:lineRule="auto"/>
        <w:jc w:val="center"/>
        <w:rPr>
          <w:rFonts w:ascii="Arial" w:hAnsi="Arial" w:cs="Arial"/>
          <w:sz w:val="22"/>
          <w:szCs w:val="22"/>
          <w:lang w:val="en-GB"/>
        </w:rPr>
      </w:pPr>
      <w:r w:rsidRPr="00634231">
        <w:rPr>
          <w:rFonts w:ascii="Arial" w:hAnsi="Arial" w:cs="Arial"/>
          <w:sz w:val="22"/>
          <w:szCs w:val="22"/>
          <w:lang w:val="en-GB"/>
        </w:rPr>
        <w:t>Student Name: Marin Marius Enache</w:t>
      </w:r>
    </w:p>
    <w:p w14:paraId="17223283" w14:textId="2D3FDE2D" w:rsidR="00634231" w:rsidRPr="00AF5F7B" w:rsidRDefault="00634231" w:rsidP="00634231">
      <w:pPr>
        <w:pStyle w:val="NoSpacing"/>
        <w:spacing w:line="360" w:lineRule="auto"/>
        <w:jc w:val="center"/>
        <w:rPr>
          <w:rFonts w:ascii="Arial" w:hAnsi="Arial" w:cs="Arial"/>
          <w:sz w:val="28"/>
          <w:szCs w:val="28"/>
          <w:lang w:val="en-GB"/>
        </w:rPr>
      </w:pPr>
      <w:r w:rsidRPr="00634231">
        <w:rPr>
          <w:rFonts w:ascii="Arial" w:hAnsi="Arial" w:cs="Arial"/>
          <w:sz w:val="22"/>
          <w:szCs w:val="22"/>
          <w:lang w:val="en-GB"/>
        </w:rPr>
        <w:t>Student ID: 2241513</w:t>
      </w:r>
    </w:p>
    <w:p w14:paraId="15F87E18" w14:textId="77777777" w:rsidR="00634231" w:rsidRPr="00AF5F7B" w:rsidRDefault="00634231" w:rsidP="00634231">
      <w:pPr>
        <w:spacing w:line="360" w:lineRule="auto"/>
        <w:jc w:val="both"/>
        <w:rPr>
          <w:rFonts w:ascii="Arial" w:hAnsi="Arial" w:cs="Arial"/>
          <w:lang w:val="en-GB"/>
        </w:rPr>
      </w:pPr>
    </w:p>
    <w:p w14:paraId="790A2287" w14:textId="77777777" w:rsidR="00634231" w:rsidRDefault="00634231" w:rsidP="00634231">
      <w:pPr>
        <w:rPr>
          <w:rFonts w:ascii="Arial" w:hAnsi="Arial" w:cs="Arial"/>
          <w:lang w:val="en-GB"/>
        </w:rPr>
      </w:pPr>
      <w:r>
        <w:rPr>
          <w:rFonts w:ascii="Arial" w:hAnsi="Arial" w:cs="Arial"/>
          <w:lang w:val="en-GB"/>
        </w:rPr>
        <w:br w:type="page"/>
      </w:r>
    </w:p>
    <w:sdt>
      <w:sdtPr>
        <w:rPr>
          <w:rFonts w:asciiTheme="minorHAnsi" w:eastAsiaTheme="minorHAnsi" w:hAnsiTheme="minorHAnsi" w:cstheme="minorBidi"/>
          <w:color w:val="auto"/>
          <w:kern w:val="2"/>
          <w:sz w:val="24"/>
          <w:szCs w:val="24"/>
          <w14:ligatures w14:val="standardContextual"/>
        </w:rPr>
        <w:id w:val="119113517"/>
        <w:docPartObj>
          <w:docPartGallery w:val="Table of Contents"/>
          <w:docPartUnique/>
        </w:docPartObj>
      </w:sdtPr>
      <w:sdtEndPr>
        <w:rPr>
          <w:b/>
          <w:bCs/>
          <w:noProof/>
        </w:rPr>
      </w:sdtEndPr>
      <w:sdtContent>
        <w:p w14:paraId="14DB7DA5" w14:textId="77777777" w:rsidR="00634231" w:rsidRPr="00AF5F7B" w:rsidRDefault="00634231" w:rsidP="00634231">
          <w:pPr>
            <w:pStyle w:val="TOCHeading"/>
            <w:spacing w:line="360" w:lineRule="auto"/>
            <w:jc w:val="center"/>
            <w:rPr>
              <w:rFonts w:ascii="Arial" w:hAnsi="Arial" w:cs="Arial"/>
              <w:b/>
              <w:bCs/>
              <w:sz w:val="36"/>
              <w:szCs w:val="36"/>
            </w:rPr>
          </w:pPr>
          <w:r w:rsidRPr="00AF5F7B">
            <w:rPr>
              <w:rFonts w:ascii="Arial" w:hAnsi="Arial" w:cs="Arial"/>
              <w:b/>
              <w:bCs/>
              <w:sz w:val="36"/>
              <w:szCs w:val="36"/>
            </w:rPr>
            <w:t>Table of Contents</w:t>
          </w:r>
        </w:p>
        <w:p w14:paraId="436FEC4C"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r w:rsidRPr="00677279">
            <w:rPr>
              <w:rFonts w:ascii="Arial" w:hAnsi="Arial" w:cs="Arial"/>
            </w:rPr>
            <w:fldChar w:fldCharType="begin"/>
          </w:r>
          <w:r w:rsidRPr="00677279">
            <w:rPr>
              <w:rFonts w:ascii="Arial" w:hAnsi="Arial" w:cs="Arial"/>
            </w:rPr>
            <w:instrText xml:space="preserve"> TOC \o "1-3" \h \z \u </w:instrText>
          </w:r>
          <w:r w:rsidRPr="00677279">
            <w:rPr>
              <w:rFonts w:ascii="Arial" w:hAnsi="Arial" w:cs="Arial"/>
            </w:rPr>
            <w:fldChar w:fldCharType="separate"/>
          </w:r>
          <w:hyperlink w:anchor="_Toc223116473" w:history="1">
            <w:r w:rsidRPr="00677279">
              <w:rPr>
                <w:rStyle w:val="Hyperlink"/>
                <w:rFonts w:ascii="Arial" w:hAnsi="Arial" w:cs="Arial"/>
                <w:noProof/>
                <w:lang w:val="en-GB"/>
              </w:rPr>
              <w:t>Introduction</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_Toc223116473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3</w:t>
            </w:r>
            <w:r w:rsidRPr="00677279">
              <w:rPr>
                <w:rFonts w:ascii="Arial" w:hAnsi="Arial" w:cs="Arial"/>
                <w:noProof/>
                <w:webHidden/>
              </w:rPr>
              <w:fldChar w:fldCharType="end"/>
            </w:r>
          </w:hyperlink>
        </w:p>
        <w:p w14:paraId="37C8F2C8"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4" w:history="1">
            <w:r w:rsidRPr="00677279">
              <w:rPr>
                <w:rStyle w:val="Hyperlink"/>
                <w:rFonts w:ascii="Arial" w:hAnsi="Arial" w:cs="Arial"/>
                <w:noProof/>
                <w:lang w:val="en-GB"/>
              </w:rPr>
              <w:t>Applying Food and Beverage Operations Theory in Practice</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_Toc223116474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4</w:t>
            </w:r>
            <w:r w:rsidRPr="00677279">
              <w:rPr>
                <w:rFonts w:ascii="Arial" w:hAnsi="Arial" w:cs="Arial"/>
                <w:noProof/>
                <w:webHidden/>
              </w:rPr>
              <w:fldChar w:fldCharType="end"/>
            </w:r>
          </w:hyperlink>
        </w:p>
        <w:p w14:paraId="3316ADF6"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5" w:history="1">
            <w:r w:rsidRPr="00677279">
              <w:rPr>
                <w:rStyle w:val="Hyperlink"/>
                <w:rFonts w:ascii="Arial" w:hAnsi="Arial" w:cs="Arial"/>
                <w:noProof/>
                <w:lang w:val="en-GB"/>
              </w:rPr>
              <w:t>Operational Planning and Capacity Management</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_Toc223116475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5</w:t>
            </w:r>
            <w:r w:rsidRPr="00677279">
              <w:rPr>
                <w:rFonts w:ascii="Arial" w:hAnsi="Arial" w:cs="Arial"/>
                <w:noProof/>
                <w:webHidden/>
              </w:rPr>
              <w:fldChar w:fldCharType="end"/>
            </w:r>
          </w:hyperlink>
        </w:p>
        <w:p w14:paraId="081C7EE7"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6" w:history="1">
            <w:r w:rsidRPr="00677279">
              <w:rPr>
                <w:rStyle w:val="Hyperlink"/>
                <w:rFonts w:ascii="Arial" w:hAnsi="Arial" w:cs="Arial"/>
                <w:noProof/>
                <w:lang w:val="en-GB"/>
              </w:rPr>
              <w:t>Sustainability in Food and Beverage Operations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_Toc223116476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5</w:t>
            </w:r>
            <w:r w:rsidRPr="00677279">
              <w:rPr>
                <w:rFonts w:ascii="Arial" w:hAnsi="Arial" w:cs="Arial"/>
                <w:noProof/>
                <w:webHidden/>
              </w:rPr>
              <w:fldChar w:fldCharType="end"/>
            </w:r>
          </w:hyperlink>
        </w:p>
        <w:p w14:paraId="483D10CD"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7" w:history="1">
            <w:r w:rsidRPr="00677279">
              <w:rPr>
                <w:rStyle w:val="Hyperlink"/>
                <w:rFonts w:ascii="Arial" w:hAnsi="Arial" w:cs="Arial"/>
                <w:noProof/>
                <w:lang w:val="en-GB"/>
              </w:rPr>
              <w:t>Service Quality and Customer Experience</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_Toc223116477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6</w:t>
            </w:r>
            <w:r w:rsidRPr="00677279">
              <w:rPr>
                <w:rFonts w:ascii="Arial" w:hAnsi="Arial" w:cs="Arial"/>
                <w:noProof/>
                <w:webHidden/>
              </w:rPr>
              <w:fldChar w:fldCharType="end"/>
            </w:r>
          </w:hyperlink>
        </w:p>
        <w:p w14:paraId="69BA5ABE"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8" w:history="1">
            <w:r w:rsidRPr="00677279">
              <w:rPr>
                <w:rStyle w:val="Hyperlink"/>
                <w:rFonts w:ascii="Arial" w:hAnsi="Arial" w:cs="Arial"/>
                <w:noProof/>
                <w:lang w:val="en-GB"/>
              </w:rPr>
              <w:t>Leadership, Teamwork and Personal Development</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_Toc223116478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6</w:t>
            </w:r>
            <w:r w:rsidRPr="00677279">
              <w:rPr>
                <w:rFonts w:ascii="Arial" w:hAnsi="Arial" w:cs="Arial"/>
                <w:noProof/>
                <w:webHidden/>
              </w:rPr>
              <w:fldChar w:fldCharType="end"/>
            </w:r>
          </w:hyperlink>
        </w:p>
        <w:p w14:paraId="2D3815CC"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9" w:history="1">
            <w:r w:rsidRPr="00677279">
              <w:rPr>
                <w:rStyle w:val="Hyperlink"/>
                <w:rFonts w:ascii="Arial" w:hAnsi="Arial" w:cs="Arial"/>
                <w:noProof/>
                <w:lang w:val="en-GB"/>
              </w:rPr>
              <w:t>Critical Evaluation and Recommendations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_Toc223116479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7</w:t>
            </w:r>
            <w:r w:rsidRPr="00677279">
              <w:rPr>
                <w:rFonts w:ascii="Arial" w:hAnsi="Arial" w:cs="Arial"/>
                <w:noProof/>
                <w:webHidden/>
              </w:rPr>
              <w:fldChar w:fldCharType="end"/>
            </w:r>
          </w:hyperlink>
        </w:p>
        <w:p w14:paraId="5BA906BA"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80" w:history="1">
            <w:r w:rsidRPr="00677279">
              <w:rPr>
                <w:rStyle w:val="Hyperlink"/>
                <w:rFonts w:ascii="Arial" w:hAnsi="Arial" w:cs="Arial"/>
                <w:noProof/>
                <w:lang w:val="en-GB"/>
              </w:rPr>
              <w:t>Conclusion</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_Toc223116480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7</w:t>
            </w:r>
            <w:r w:rsidRPr="00677279">
              <w:rPr>
                <w:rFonts w:ascii="Arial" w:hAnsi="Arial" w:cs="Arial"/>
                <w:noProof/>
                <w:webHidden/>
              </w:rPr>
              <w:fldChar w:fldCharType="end"/>
            </w:r>
          </w:hyperlink>
        </w:p>
        <w:p w14:paraId="7E7402AE"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81" w:history="1">
            <w:r w:rsidRPr="00677279">
              <w:rPr>
                <w:rStyle w:val="Hyperlink"/>
                <w:rFonts w:ascii="Arial" w:hAnsi="Arial" w:cs="Arial"/>
                <w:noProof/>
                <w:lang w:val="en-GB"/>
              </w:rPr>
              <w:t>References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_Toc223116481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8</w:t>
            </w:r>
            <w:r w:rsidRPr="00677279">
              <w:rPr>
                <w:rFonts w:ascii="Arial" w:hAnsi="Arial" w:cs="Arial"/>
                <w:noProof/>
                <w:webHidden/>
              </w:rPr>
              <w:fldChar w:fldCharType="end"/>
            </w:r>
          </w:hyperlink>
        </w:p>
        <w:p w14:paraId="4397C9BE" w14:textId="77777777" w:rsidR="00634231" w:rsidRDefault="00634231" w:rsidP="00634231">
          <w:pPr>
            <w:spacing w:line="360" w:lineRule="auto"/>
          </w:pPr>
          <w:r w:rsidRPr="00677279">
            <w:rPr>
              <w:rFonts w:ascii="Arial" w:hAnsi="Arial" w:cs="Arial"/>
              <w:b/>
              <w:bCs/>
              <w:noProof/>
            </w:rPr>
            <w:fldChar w:fldCharType="end"/>
          </w:r>
        </w:p>
      </w:sdtContent>
    </w:sdt>
    <w:p w14:paraId="312353AB" w14:textId="77777777" w:rsidR="00634231" w:rsidRDefault="00634231" w:rsidP="00634231">
      <w:pPr>
        <w:rPr>
          <w:rFonts w:ascii="Arial" w:hAnsi="Arial" w:cs="Arial"/>
          <w:lang w:val="en-GB"/>
        </w:rPr>
      </w:pPr>
      <w:r>
        <w:rPr>
          <w:rFonts w:ascii="Arial" w:hAnsi="Arial" w:cs="Arial"/>
          <w:lang w:val="en-GB"/>
        </w:rPr>
        <w:br w:type="page"/>
      </w:r>
    </w:p>
    <w:p w14:paraId="334D9233" w14:textId="77777777" w:rsidR="00634231" w:rsidRPr="00AF5F7B" w:rsidRDefault="00634231" w:rsidP="00634231">
      <w:pPr>
        <w:pStyle w:val="Heading1"/>
      </w:pPr>
      <w:bookmarkStart w:id="0" w:name="_Toc223116473"/>
      <w:r w:rsidRPr="00AF5F7B">
        <w:lastRenderedPageBreak/>
        <w:t>Introduction</w:t>
      </w:r>
      <w:bookmarkEnd w:id="0"/>
    </w:p>
    <w:p w14:paraId="41EE8884"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This reflective learning log is grounded in my Level 6 placement at the Meetings and Events subdivision of the Food and Beverage Department of Best Western Abbots Barton Hotel, Canterbury. The hotel is a full-service, historic place of accommodation and conference centre which provides offerings of accommodation, conference and a variety of food and beverages. Its F&amp;B business entails a core dining restaurant, a lounge and bar facility where people can enjoy drinks and other light snacks, and a huge meetings and events facility where they will host conferences, weddings, personal dinners and corporate events. Being a member of the Meetings and Events team, I had the opportunity of preparing and serving buffets, plated banquets, refreshment breaks and wedding breakfasts, and also worked in cooperation with the kitchen, bar and supervisory staff. </w:t>
      </w:r>
    </w:p>
    <w:p w14:paraId="76F80F8F" w14:textId="77777777" w:rsidR="00634231" w:rsidRDefault="00634231" w:rsidP="00634231">
      <w:pPr>
        <w:rPr>
          <w:rFonts w:ascii="Arial" w:eastAsiaTheme="majorEastAsia" w:hAnsi="Arial" w:cstheme="majorBidi"/>
          <w:b/>
          <w:color w:val="0F4761" w:themeColor="accent1" w:themeShade="BF"/>
          <w:szCs w:val="40"/>
          <w:lang w:val="en-GB"/>
        </w:rPr>
      </w:pPr>
      <w:r>
        <w:rPr>
          <w:lang w:val="en-GB"/>
        </w:rPr>
        <w:br w:type="page"/>
      </w:r>
    </w:p>
    <w:p w14:paraId="2579D876" w14:textId="77777777" w:rsidR="00634231" w:rsidRPr="00AF5F7B" w:rsidRDefault="00634231" w:rsidP="00634231">
      <w:pPr>
        <w:pStyle w:val="Heading1"/>
      </w:pPr>
      <w:bookmarkStart w:id="1" w:name="_Toc223116474"/>
      <w:r w:rsidRPr="00AF5F7B">
        <w:lastRenderedPageBreak/>
        <w:t>Applying Food and Beverage Operations Theory in Practice</w:t>
      </w:r>
      <w:bookmarkEnd w:id="1"/>
    </w:p>
    <w:p w14:paraId="4E71F5EA" w14:textId="77777777" w:rsidR="00634231" w:rsidRDefault="00634231" w:rsidP="00634231">
      <w:pPr>
        <w:spacing w:line="360" w:lineRule="auto"/>
        <w:jc w:val="both"/>
        <w:rPr>
          <w:rFonts w:ascii="Arial" w:hAnsi="Arial" w:cs="Arial"/>
          <w:lang w:val="en-GB"/>
        </w:rPr>
      </w:pPr>
      <w:r w:rsidRPr="00AF5F7B">
        <w:rPr>
          <w:rFonts w:ascii="Arial" w:hAnsi="Arial" w:cs="Arial"/>
          <w:lang w:val="en-GB"/>
        </w:rPr>
        <w:t>The Food and Beverage Operations module brings out the connection in service design, operational efficiency, quality control and customer satisfaction. These principles were implemented during my placement in meetings and events, especially in a wedding and corporate setting (Boussard, 2021). The service-profit chain model was particularly applicable, showing how the preparation of employees has an impact on guest satisfaction through their performance (Ivanov and Webster, 2023). Supervisors made elaborate pre-service briefings; senior servers understood all the table plans, what to eat and when to eat at specific occasions like a 120-guest wedding breakfast; service was smooth, and junior servers were in their right positions.</w:t>
      </w:r>
    </w:p>
    <w:p w14:paraId="04F4040D" w14:textId="77777777" w:rsidR="00634231" w:rsidRPr="00677279" w:rsidRDefault="00634231" w:rsidP="00634231">
      <w:pPr>
        <w:keepNext/>
        <w:spacing w:line="360" w:lineRule="auto"/>
        <w:jc w:val="center"/>
        <w:rPr>
          <w:rFonts w:ascii="Arial" w:hAnsi="Arial" w:cs="Arial"/>
        </w:rPr>
      </w:pPr>
      <w:r w:rsidRPr="00677279">
        <w:rPr>
          <w:rFonts w:ascii="Arial" w:hAnsi="Arial" w:cs="Arial"/>
          <w:noProof/>
        </w:rPr>
        <w:drawing>
          <wp:inline distT="0" distB="0" distL="0" distR="0" wp14:anchorId="7AA26C46" wp14:editId="20FDD8DD">
            <wp:extent cx="3505200" cy="3778206"/>
            <wp:effectExtent l="0" t="0" r="0" b="0"/>
            <wp:docPr id="682532369" name="Picture 1" descr="Mastering Food and Beverage Management: Tips for Multi-Sit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ing Food and Beverage Management: Tips for Multi-Site Operation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08863" cy="3782155"/>
                    </a:xfrm>
                    <a:prstGeom prst="rect">
                      <a:avLst/>
                    </a:prstGeom>
                    <a:noFill/>
                    <a:ln>
                      <a:noFill/>
                    </a:ln>
                  </pic:spPr>
                </pic:pic>
              </a:graphicData>
            </a:graphic>
          </wp:inline>
        </w:drawing>
      </w:r>
    </w:p>
    <w:p w14:paraId="204C2BBC" w14:textId="77777777" w:rsidR="00634231" w:rsidRPr="00677279" w:rsidRDefault="00634231" w:rsidP="00634231">
      <w:pPr>
        <w:pStyle w:val="Caption"/>
        <w:jc w:val="center"/>
        <w:rPr>
          <w:rFonts w:ascii="Arial" w:hAnsi="Arial" w:cs="Arial"/>
          <w:sz w:val="24"/>
          <w:szCs w:val="24"/>
        </w:rPr>
      </w:pPr>
      <w:r w:rsidRPr="00677279">
        <w:rPr>
          <w:rFonts w:ascii="Arial" w:hAnsi="Arial" w:cs="Arial"/>
          <w:sz w:val="24"/>
          <w:szCs w:val="24"/>
        </w:rPr>
        <w:t xml:space="preserve">Figure </w:t>
      </w:r>
      <w:r w:rsidRPr="00677279">
        <w:rPr>
          <w:rFonts w:ascii="Arial" w:hAnsi="Arial" w:cs="Arial"/>
          <w:sz w:val="24"/>
          <w:szCs w:val="24"/>
        </w:rPr>
        <w:fldChar w:fldCharType="begin"/>
      </w:r>
      <w:r w:rsidRPr="00677279">
        <w:rPr>
          <w:rFonts w:ascii="Arial" w:hAnsi="Arial" w:cs="Arial"/>
          <w:sz w:val="24"/>
          <w:szCs w:val="24"/>
        </w:rPr>
        <w:instrText xml:space="preserve"> SEQ Figure \* ARABIC </w:instrText>
      </w:r>
      <w:r w:rsidRPr="00677279">
        <w:rPr>
          <w:rFonts w:ascii="Arial" w:hAnsi="Arial" w:cs="Arial"/>
          <w:sz w:val="24"/>
          <w:szCs w:val="24"/>
        </w:rPr>
        <w:fldChar w:fldCharType="separate"/>
      </w:r>
      <w:r w:rsidRPr="00677279">
        <w:rPr>
          <w:rFonts w:ascii="Arial" w:hAnsi="Arial" w:cs="Arial"/>
          <w:noProof/>
          <w:sz w:val="24"/>
          <w:szCs w:val="24"/>
        </w:rPr>
        <w:t>1</w:t>
      </w:r>
      <w:r w:rsidRPr="00677279">
        <w:rPr>
          <w:rFonts w:ascii="Arial" w:hAnsi="Arial" w:cs="Arial"/>
          <w:sz w:val="24"/>
          <w:szCs w:val="24"/>
        </w:rPr>
        <w:fldChar w:fldCharType="end"/>
      </w:r>
      <w:r w:rsidRPr="00677279">
        <w:rPr>
          <w:rFonts w:ascii="Arial" w:hAnsi="Arial" w:cs="Arial"/>
          <w:sz w:val="24"/>
          <w:szCs w:val="24"/>
        </w:rPr>
        <w:t xml:space="preserve"> Mastering Food and Beverage Management</w:t>
      </w:r>
    </w:p>
    <w:p w14:paraId="253689F0" w14:textId="77777777" w:rsidR="00634231" w:rsidRPr="00677279" w:rsidRDefault="00634231" w:rsidP="00634231">
      <w:pPr>
        <w:jc w:val="center"/>
        <w:rPr>
          <w:rFonts w:ascii="Arial" w:hAnsi="Arial" w:cs="Arial"/>
        </w:rPr>
      </w:pPr>
      <w:r w:rsidRPr="00677279">
        <w:rPr>
          <w:rFonts w:ascii="Arial" w:hAnsi="Arial" w:cs="Arial"/>
        </w:rPr>
        <w:t xml:space="preserve">Source: </w:t>
      </w:r>
      <w:r w:rsidRPr="00677279">
        <w:rPr>
          <w:rFonts w:ascii="Arial" w:hAnsi="Arial" w:cs="Arial"/>
          <w:lang w:val="en-GB"/>
        </w:rPr>
        <w:t>(Endri et al., 2020)</w:t>
      </w:r>
    </w:p>
    <w:p w14:paraId="38569055"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On the contrary, there were also the effects of ineffective communication. At one of the corporate lunches, a lack of coordination between the kitchen and the floor staff of the company caused delays and misunderstandings on special dietary meals, causing guests to be unhappy (Liestyana et al., 2024). This experience helped to support the </w:t>
      </w:r>
      <w:r w:rsidRPr="00AF5F7B">
        <w:rPr>
          <w:rFonts w:ascii="Arial" w:hAnsi="Arial" w:cs="Arial"/>
          <w:lang w:val="en-GB"/>
        </w:rPr>
        <w:lastRenderedPageBreak/>
        <w:t>significance of effective communications in the cycle of operations. It stated that though theory is an excellent framework, its success relies on its repeated use and tracking in the actual service setting.</w:t>
      </w:r>
    </w:p>
    <w:p w14:paraId="6BEBE60B" w14:textId="77777777" w:rsidR="00634231" w:rsidRPr="00AF5F7B" w:rsidRDefault="00634231" w:rsidP="00634231">
      <w:pPr>
        <w:pStyle w:val="Heading1"/>
      </w:pPr>
      <w:bookmarkStart w:id="2" w:name="_Toc223116475"/>
      <w:r w:rsidRPr="00AF5F7B">
        <w:t>Operational Planning and Capacity Management</w:t>
      </w:r>
      <w:bookmarkEnd w:id="2"/>
    </w:p>
    <w:p w14:paraId="53E513AE"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module looked at the management of activities of the capacity and matching between the demand and the resources available, and this was very important in meetings and events. The use of event sheets indicating the number of guests to be hosted, time schedules, and room arrangements represented operational blueprints, which embodied the theory of forecasting and scheduling (Endri et al., 2020). My Level 6 placement has provided more intricate logistics compared with my Level 4 placement in a smaller restaurant where the patterns are much more predictable. Weddings demanded the rapid turnaround of rooms under very rigid time limits, which exposed the realities of the time-starved scheduling models. Even though the transitions would typically be smooth, simultaneous events could push staffing limits, negatively impacting quality of service and indicating the necessity to have more precise workforce forecasting when there is a peak.</w:t>
      </w:r>
    </w:p>
    <w:p w14:paraId="1630D268" w14:textId="77777777" w:rsidR="00634231" w:rsidRPr="00AF5F7B" w:rsidRDefault="00634231" w:rsidP="00634231">
      <w:pPr>
        <w:pStyle w:val="Heading1"/>
      </w:pPr>
      <w:bookmarkStart w:id="3" w:name="_Toc223116476"/>
      <w:r w:rsidRPr="00AF5F7B">
        <w:t>Sustainability in Food and Beverage Operations</w:t>
      </w:r>
      <w:bookmarkEnd w:id="3"/>
    </w:p>
    <w:p w14:paraId="6A048B3D"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concept of sustainability, as examined in the Sustainability to Hospitality Industry module, is gaining relevance in the F&amp;B management. I assessed the social, environmental and economic practices of the hotel using the triple bottom line framework. In the environmental sphere, portion control, parallel sorting of the recyclable waste and putting smaller batches at the breakfast table were among the initiatives used to minimise the amount of waste in the food industry (Das, 2025). </w:t>
      </w:r>
    </w:p>
    <w:p w14:paraId="4B5E8A7C"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department has been socially helpful toward inclusivity, as it has catered to vegan, gluten-free, and allergen-sensitive orders, which represent current trends of ethical consumption. At the level of the economy, the managers maintained sustainability with cost management by tracking the food cost percentages and negotiating with suppliers (Golgeci et al., 2022). Sustainability was also more predominant and talked about at Level 6 as compared to Level 4, indicating organisational improvement. </w:t>
      </w:r>
    </w:p>
    <w:p w14:paraId="04F3A366" w14:textId="77777777" w:rsidR="00634231" w:rsidRPr="00AF5F7B" w:rsidRDefault="00634231" w:rsidP="00634231">
      <w:pPr>
        <w:pStyle w:val="Heading1"/>
      </w:pPr>
      <w:bookmarkStart w:id="4" w:name="_Toc223116477"/>
      <w:r w:rsidRPr="00AF5F7B">
        <w:lastRenderedPageBreak/>
        <w:t>Service Quality and Customer Experience</w:t>
      </w:r>
      <w:bookmarkEnd w:id="4"/>
    </w:p>
    <w:p w14:paraId="11D02632"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SERVQUAL model that relates to reliability, responsiveness, assurance, empathy, and tangibles has proved most applicable to my reflection (Purcidonio et al., 2020). Tangibles like table presentation, decor and staff uniforms had a strong influence on the perceptions of the guests during meetings and events. It was the proper consideration of room design and order that contributed to good initial impressions and quality reinforcement.</w:t>
      </w:r>
    </w:p>
    <w:p w14:paraId="79561118"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factor of reliability and responsiveness was especially critical in tight times. The team were able to respond quickly to complaints about the absence of a vegetarian meal; when a conference visitor requested the meal, he was contacted by the team members, but within several minutes, the meal was brought, and the person was not frustrated anymore. Although this was an indication of successful service recovery, it also indicated the area of weakness in initial checking processes.</w:t>
      </w:r>
    </w:p>
    <w:p w14:paraId="75DACA1D"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I am more confident now than before; I was mostly in my Level 4 placement, as far as I can be proactive in anticipating the needs of the guests. The experience is indicative of the experiential learning cycle by Kolb since the repetitive experience and reflective process have enhanced my capacity to recognise the emergent problems and find solutions before they become serious.</w:t>
      </w:r>
    </w:p>
    <w:p w14:paraId="6588B93D" w14:textId="77777777" w:rsidR="00634231" w:rsidRPr="00AF5F7B" w:rsidRDefault="00634231" w:rsidP="00634231">
      <w:pPr>
        <w:pStyle w:val="Heading1"/>
      </w:pPr>
      <w:bookmarkStart w:id="5" w:name="_Toc223116478"/>
      <w:r w:rsidRPr="00AF5F7B">
        <w:t>Leadership, Teamwork and Personal Development</w:t>
      </w:r>
      <w:bookmarkEnd w:id="5"/>
    </w:p>
    <w:p w14:paraId="493738FE"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Personal Resourcing and Development module focused on the type of leadership and motivation theories, and I saw them being applied very vividly in the F&amp;B department. Supervisors tended to use a situational leadership style, which fitted their style based on the experience and the complexity of an event in the team (Walker, 2021). The weddings that held large masses needed a more directive approach in order to be accurate and well-timed, whereas smaller weddings promoted a participative approach that provided more involvement of the team.</w:t>
      </w:r>
    </w:p>
    <w:p w14:paraId="66924E53"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two-factor theory introduced by Herzberg was also put into practice. The real inspiration was recognition and more responsibility, despite the importance of other hygiene factors, including payment and working conditions (Andersen et al., 2023). The higher level of accountability and interest that I experienced when I was in charge </w:t>
      </w:r>
      <w:r w:rsidRPr="00AF5F7B">
        <w:rPr>
          <w:rFonts w:ascii="Arial" w:hAnsi="Arial" w:cs="Arial"/>
          <w:lang w:val="en-GB"/>
        </w:rPr>
        <w:lastRenderedPageBreak/>
        <w:t>of managing a conference refreshment break was stronger than during my Level 4 placement, where I found myself in more repetitive tasks.</w:t>
      </w:r>
    </w:p>
    <w:p w14:paraId="15D3AF21"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But long working hours and physically hugging arrangements occasionally boosted morale, which really underscored the intensive labour nature of F&amp;B operations. Increased task rotation and an organised recognition assist the staff during the yearly rush.</w:t>
      </w:r>
    </w:p>
    <w:p w14:paraId="74F24AD2" w14:textId="77777777" w:rsidR="00634231" w:rsidRPr="00AF5F7B" w:rsidRDefault="00634231" w:rsidP="00634231">
      <w:pPr>
        <w:pStyle w:val="Heading1"/>
      </w:pPr>
      <w:bookmarkStart w:id="6" w:name="_Toc223116479"/>
      <w:r w:rsidRPr="00AF5F7B">
        <w:t>Critical Evaluation and Recommendations</w:t>
      </w:r>
      <w:bookmarkEnd w:id="6"/>
    </w:p>
    <w:p w14:paraId="0E2D3F39"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Although the hotel has good variables in operations, there are some realistic areas that can be improved to make it better. To begin with, the enabler of communication between the staff of the kitchen and service could be enhanced using digital order tracking systems as opposed to relying mainly on printed function sheets. Second, it might be more strategically integrated with sustainability through formalised measures of food waste and collaborating with redistribution charities in the region, wherever possible. </w:t>
      </w:r>
    </w:p>
    <w:p w14:paraId="78DF1497"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Placement Level 6 has enabled me to interact with theory in a more critical way than Level 4. I have now learnt that my own operational success will not be achieved by being able to abide by the procedures, as it should also be based on constant evaluation and alteration of the operational procedures based on feedback and evolving guest expectations.</w:t>
      </w:r>
    </w:p>
    <w:p w14:paraId="2125EF7A" w14:textId="77777777" w:rsidR="00634231" w:rsidRPr="00AF5F7B" w:rsidRDefault="00634231" w:rsidP="00634231">
      <w:pPr>
        <w:pStyle w:val="Heading1"/>
      </w:pPr>
      <w:bookmarkStart w:id="7" w:name="_Toc223116480"/>
      <w:r w:rsidRPr="00AF5F7B">
        <w:t>Conclusion</w:t>
      </w:r>
      <w:bookmarkEnd w:id="7"/>
    </w:p>
    <w:p w14:paraId="4760D04B"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reflective learning log has been a critical analysis of my experience in the Meetings and Events department of the Food and Beverage Department of Best Western Abbots Barton Hotel, Canterbury. Using theories related to the Food and Beverage Operations module, the concept of sustainability, and personal development, I have managed to investigate the implementation phase of theory into practice in a dynamic hospitality setup. The position has shown how crucial effective communication, good planning, and management of service and sustainable operations will be.</w:t>
      </w:r>
    </w:p>
    <w:p w14:paraId="6823B731" w14:textId="77777777" w:rsidR="00634231" w:rsidRDefault="00634231" w:rsidP="00634231">
      <w:pPr>
        <w:rPr>
          <w:rFonts w:ascii="Arial" w:hAnsi="Arial" w:cs="Arial"/>
          <w:lang w:val="en-GB"/>
        </w:rPr>
      </w:pPr>
      <w:r>
        <w:rPr>
          <w:rFonts w:ascii="Arial" w:hAnsi="Arial" w:cs="Arial"/>
          <w:lang w:val="en-GB"/>
        </w:rPr>
        <w:br w:type="page"/>
      </w:r>
    </w:p>
    <w:p w14:paraId="3D37CCDC" w14:textId="77777777" w:rsidR="00634231" w:rsidRPr="00AF5F7B" w:rsidRDefault="00634231" w:rsidP="00634231">
      <w:pPr>
        <w:pStyle w:val="Heading1"/>
      </w:pPr>
      <w:bookmarkStart w:id="8" w:name="_Toc223116481"/>
      <w:r w:rsidRPr="00AF5F7B">
        <w:lastRenderedPageBreak/>
        <w:t>References</w:t>
      </w:r>
      <w:bookmarkEnd w:id="8"/>
    </w:p>
    <w:p w14:paraId="20BAE9A4"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Andersen, V., Lelieveld, H.L.M. and Motarjemi, Y. (eds.) (2023) </w:t>
      </w:r>
      <w:r w:rsidRPr="00AF5F7B">
        <w:rPr>
          <w:rFonts w:ascii="Arial" w:hAnsi="Arial" w:cs="Arial"/>
          <w:i/>
          <w:iCs/>
        </w:rPr>
        <w:t>Food safety management: A practical guide for the food industry</w:t>
      </w:r>
      <w:r w:rsidRPr="00AF5F7B">
        <w:rPr>
          <w:rFonts w:ascii="Arial" w:hAnsi="Arial" w:cs="Arial"/>
        </w:rPr>
        <w:t>. 2nd edn.</w:t>
      </w:r>
    </w:p>
    <w:p w14:paraId="3DA20AA0"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Boussard, S. (2021) </w:t>
      </w:r>
      <w:r w:rsidRPr="00AF5F7B">
        <w:rPr>
          <w:rFonts w:ascii="Arial" w:hAnsi="Arial" w:cs="Arial"/>
          <w:i/>
          <w:iCs/>
        </w:rPr>
        <w:t>Food and beverage management in the luxury hotel industry</w:t>
      </w:r>
      <w:r w:rsidRPr="00AF5F7B">
        <w:rPr>
          <w:rFonts w:ascii="Arial" w:hAnsi="Arial" w:cs="Arial"/>
        </w:rPr>
        <w:t>. New York: Business Expert Press.</w:t>
      </w:r>
    </w:p>
    <w:p w14:paraId="0C7E71FF"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Das, D. (2025) </w:t>
      </w:r>
      <w:r w:rsidRPr="00AF5F7B">
        <w:rPr>
          <w:rFonts w:ascii="Arial" w:hAnsi="Arial" w:cs="Arial"/>
          <w:i/>
          <w:iCs/>
        </w:rPr>
        <w:t>Mastering food and beverage service: From basics to brilliance</w:t>
      </w:r>
      <w:r w:rsidRPr="00AF5F7B">
        <w:rPr>
          <w:rFonts w:ascii="Arial" w:hAnsi="Arial" w:cs="Arial"/>
        </w:rPr>
        <w:t xml:space="preserve">. </w:t>
      </w:r>
    </w:p>
    <w:p w14:paraId="69E7FD41"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Endri, E., Sumarno, A. and Saragi, H. (2020) ‘Analysis of financial performance: Evidence from food and beverage companies in Indonesia’, </w:t>
      </w:r>
      <w:r w:rsidRPr="00AF5F7B">
        <w:rPr>
          <w:rFonts w:ascii="Arial" w:hAnsi="Arial" w:cs="Arial"/>
          <w:i/>
          <w:iCs/>
        </w:rPr>
        <w:t>International Journal of Advanced Science and Technology</w:t>
      </w:r>
      <w:r w:rsidRPr="00AF5F7B">
        <w:rPr>
          <w:rFonts w:ascii="Arial" w:hAnsi="Arial" w:cs="Arial"/>
        </w:rPr>
        <w:t>, 29(5), pp. 4199–4208.</w:t>
      </w:r>
    </w:p>
    <w:p w14:paraId="03EB9A9B"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Golgeci, I., Ali, I., Bozkurt, S., Gligor, D.M. and Arslan, A. (2022) ‘The impact of corporate support programs on environmental and social innovation: Empirical insights from the food and beverage industry’, </w:t>
      </w:r>
      <w:r w:rsidRPr="00AF5F7B">
        <w:rPr>
          <w:rFonts w:ascii="Arial" w:hAnsi="Arial" w:cs="Arial"/>
          <w:i/>
          <w:iCs/>
        </w:rPr>
        <w:t>International Journal of Operations &amp; Production Management</w:t>
      </w:r>
      <w:r w:rsidRPr="00AF5F7B">
        <w:rPr>
          <w:rFonts w:ascii="Arial" w:hAnsi="Arial" w:cs="Arial"/>
        </w:rPr>
        <w:t>, 42(7), pp. 898–929.</w:t>
      </w:r>
    </w:p>
    <w:p w14:paraId="0096E6AF"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Ivanov, S. and Webster, C. (2023) ‘Restaurants and robots: Public preferences for robot food and beverage services’, </w:t>
      </w:r>
      <w:r w:rsidRPr="00AF5F7B">
        <w:rPr>
          <w:rFonts w:ascii="Arial" w:hAnsi="Arial" w:cs="Arial"/>
          <w:i/>
          <w:iCs/>
        </w:rPr>
        <w:t>Journal of Tourism Futures</w:t>
      </w:r>
      <w:r w:rsidRPr="00AF5F7B">
        <w:rPr>
          <w:rFonts w:ascii="Arial" w:hAnsi="Arial" w:cs="Arial"/>
        </w:rPr>
        <w:t>, 9(2), pp. 229–239.</w:t>
      </w:r>
    </w:p>
    <w:p w14:paraId="381C67CB"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Liestyana, Y., Wahyuningsih, T., Natasha, A., Utami, Y., Oetomo, H. and Tugiyo, T. (2024) ‘The analysis of dynamic supply chain capability and operational performance of food and beverage MSMEs in Sleman, Indonesia’, </w:t>
      </w:r>
      <w:r w:rsidRPr="00AF5F7B">
        <w:rPr>
          <w:rFonts w:ascii="Arial" w:hAnsi="Arial" w:cs="Arial"/>
          <w:i/>
          <w:iCs/>
        </w:rPr>
        <w:t>International Journal of Business Ecosystem &amp; Strategy</w:t>
      </w:r>
      <w:r w:rsidRPr="00AF5F7B">
        <w:rPr>
          <w:rFonts w:ascii="Arial" w:hAnsi="Arial" w:cs="Arial"/>
        </w:rPr>
        <w:t>, 6(2), pp. 13–24.</w:t>
      </w:r>
    </w:p>
    <w:p w14:paraId="34C6B4A2" w14:textId="77777777" w:rsidR="00634231" w:rsidRPr="00AF5F7B" w:rsidRDefault="00634231" w:rsidP="00634231">
      <w:pPr>
        <w:spacing w:line="360" w:lineRule="auto"/>
        <w:jc w:val="both"/>
        <w:rPr>
          <w:rFonts w:ascii="Arial" w:hAnsi="Arial" w:cs="Arial"/>
        </w:rPr>
      </w:pPr>
      <w:r w:rsidRPr="00AF5F7B">
        <w:rPr>
          <w:rFonts w:ascii="Arial" w:hAnsi="Arial" w:cs="Arial"/>
        </w:rPr>
        <w:t>Pandi, S., Spanaki, M.Z. and Watson, D. (2020) ‘Assessing food safety culture in the UK food and beverages sector in the hotel industry’.</w:t>
      </w:r>
    </w:p>
    <w:p w14:paraId="460C80A5"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Purcidonio, P.M., Grillo, N.M.L. and Alarcão, V.D.C.C. (2020) ‘Critical success factors in integrating sustainability with quality: The case of a food and beverage company’, </w:t>
      </w:r>
      <w:r w:rsidRPr="00AF5F7B">
        <w:rPr>
          <w:rFonts w:ascii="Arial" w:hAnsi="Arial" w:cs="Arial"/>
          <w:i/>
          <w:iCs/>
        </w:rPr>
        <w:t>Brazilian Journal of Operations &amp; Production Management</w:t>
      </w:r>
      <w:r w:rsidRPr="00AF5F7B">
        <w:rPr>
          <w:rFonts w:ascii="Arial" w:hAnsi="Arial" w:cs="Arial"/>
        </w:rPr>
        <w:t>, 17(2), pp. 1–14.</w:t>
      </w:r>
    </w:p>
    <w:p w14:paraId="68B012F4"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Walker, J.C. (2021) </w:t>
      </w:r>
      <w:r w:rsidRPr="00AF5F7B">
        <w:rPr>
          <w:rFonts w:ascii="Arial" w:hAnsi="Arial" w:cs="Arial"/>
          <w:i/>
          <w:iCs/>
        </w:rPr>
        <w:t>Introduction to hospitality</w:t>
      </w:r>
      <w:r w:rsidRPr="00AF5F7B">
        <w:rPr>
          <w:rFonts w:ascii="Arial" w:hAnsi="Arial" w:cs="Arial"/>
        </w:rPr>
        <w:t>. 8th edn. Harlow: Pearson Education Limited.</w:t>
      </w:r>
    </w:p>
    <w:p w14:paraId="45D412C0" w14:textId="77777777" w:rsidR="00634231" w:rsidRPr="00AF5F7B" w:rsidRDefault="00634231" w:rsidP="00634231">
      <w:pPr>
        <w:spacing w:line="360" w:lineRule="auto"/>
        <w:jc w:val="both"/>
        <w:rPr>
          <w:rFonts w:ascii="Arial" w:hAnsi="Arial" w:cs="Arial"/>
        </w:rPr>
      </w:pPr>
    </w:p>
    <w:p w14:paraId="73E0301B" w14:textId="77777777" w:rsidR="00634231" w:rsidRPr="00AF5F7B" w:rsidRDefault="00634231" w:rsidP="00634231">
      <w:pPr>
        <w:spacing w:line="360" w:lineRule="auto"/>
        <w:jc w:val="both"/>
        <w:rPr>
          <w:rFonts w:ascii="Arial" w:hAnsi="Arial" w:cs="Arial"/>
          <w:lang w:val="en-GB"/>
        </w:rPr>
      </w:pPr>
    </w:p>
    <w:p w14:paraId="15F6FFA2" w14:textId="77777777" w:rsidR="00634231" w:rsidRDefault="00634231"/>
    <w:sectPr w:rsidR="00634231" w:rsidSect="00634231">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14C1B" w14:textId="77777777" w:rsidR="00CE2F4E" w:rsidRDefault="00CE2F4E">
      <w:pPr>
        <w:spacing w:after="0" w:line="240" w:lineRule="auto"/>
      </w:pPr>
      <w:r>
        <w:separator/>
      </w:r>
    </w:p>
  </w:endnote>
  <w:endnote w:type="continuationSeparator" w:id="0">
    <w:p w14:paraId="6958EF4E" w14:textId="77777777" w:rsidR="00CE2F4E" w:rsidRDefault="00CE2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7225"/>
      <w:docPartObj>
        <w:docPartGallery w:val="Page Numbers (Bottom of Page)"/>
        <w:docPartUnique/>
      </w:docPartObj>
    </w:sdtPr>
    <w:sdtEndPr>
      <w:rPr>
        <w:noProof/>
      </w:rPr>
    </w:sdtEndPr>
    <w:sdtContent>
      <w:p w14:paraId="34732523" w14:textId="77777777" w:rsidR="00634231" w:rsidRDefault="006342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647ED7" w14:textId="77777777" w:rsidR="00634231" w:rsidRDefault="00634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D1992" w14:textId="77777777" w:rsidR="00CE2F4E" w:rsidRDefault="00CE2F4E">
      <w:pPr>
        <w:spacing w:after="0" w:line="240" w:lineRule="auto"/>
      </w:pPr>
      <w:r>
        <w:separator/>
      </w:r>
    </w:p>
  </w:footnote>
  <w:footnote w:type="continuationSeparator" w:id="0">
    <w:p w14:paraId="56D9BA8C" w14:textId="77777777" w:rsidR="00CE2F4E" w:rsidRDefault="00CE2F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31"/>
    <w:rsid w:val="00300C62"/>
    <w:rsid w:val="00601D75"/>
    <w:rsid w:val="00634231"/>
    <w:rsid w:val="00AF6BFA"/>
    <w:rsid w:val="00CE2F4E"/>
    <w:rsid w:val="00DC0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5DFAE"/>
  <w15:chartTrackingRefBased/>
  <w15:docId w15:val="{728FB35D-3013-4E20-A9BA-D91159260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231"/>
    <w:rPr>
      <w:lang w:val="en-US"/>
    </w:rPr>
  </w:style>
  <w:style w:type="paragraph" w:styleId="Heading1">
    <w:name w:val="heading 1"/>
    <w:basedOn w:val="Normal"/>
    <w:next w:val="Normal"/>
    <w:link w:val="Heading1Char"/>
    <w:uiPriority w:val="9"/>
    <w:qFormat/>
    <w:rsid w:val="00634231"/>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634231"/>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634231"/>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634231"/>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634231"/>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634231"/>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634231"/>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634231"/>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634231"/>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2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2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2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2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2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2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2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2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231"/>
    <w:rPr>
      <w:rFonts w:eastAsiaTheme="majorEastAsia" w:cstheme="majorBidi"/>
      <w:color w:val="272727" w:themeColor="text1" w:themeTint="D8"/>
    </w:rPr>
  </w:style>
  <w:style w:type="paragraph" w:styleId="Title">
    <w:name w:val="Title"/>
    <w:basedOn w:val="Normal"/>
    <w:next w:val="Normal"/>
    <w:link w:val="TitleChar"/>
    <w:uiPriority w:val="10"/>
    <w:qFormat/>
    <w:rsid w:val="00634231"/>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342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231"/>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6342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231"/>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634231"/>
    <w:rPr>
      <w:i/>
      <w:iCs/>
      <w:color w:val="404040" w:themeColor="text1" w:themeTint="BF"/>
    </w:rPr>
  </w:style>
  <w:style w:type="paragraph" w:styleId="ListParagraph">
    <w:name w:val="List Paragraph"/>
    <w:basedOn w:val="Normal"/>
    <w:uiPriority w:val="34"/>
    <w:qFormat/>
    <w:rsid w:val="00634231"/>
    <w:pPr>
      <w:ind w:left="720"/>
      <w:contextualSpacing/>
    </w:pPr>
    <w:rPr>
      <w:lang w:val="en-GB"/>
    </w:rPr>
  </w:style>
  <w:style w:type="character" w:styleId="IntenseEmphasis">
    <w:name w:val="Intense Emphasis"/>
    <w:basedOn w:val="DefaultParagraphFont"/>
    <w:uiPriority w:val="21"/>
    <w:qFormat/>
    <w:rsid w:val="00634231"/>
    <w:rPr>
      <w:i/>
      <w:iCs/>
      <w:color w:val="0F4761" w:themeColor="accent1" w:themeShade="BF"/>
    </w:rPr>
  </w:style>
  <w:style w:type="paragraph" w:styleId="IntenseQuote">
    <w:name w:val="Intense Quote"/>
    <w:basedOn w:val="Normal"/>
    <w:next w:val="Normal"/>
    <w:link w:val="IntenseQuoteChar"/>
    <w:uiPriority w:val="30"/>
    <w:qFormat/>
    <w:rsid w:val="006342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634231"/>
    <w:rPr>
      <w:i/>
      <w:iCs/>
      <w:color w:val="0F4761" w:themeColor="accent1" w:themeShade="BF"/>
    </w:rPr>
  </w:style>
  <w:style w:type="character" w:styleId="IntenseReference">
    <w:name w:val="Intense Reference"/>
    <w:basedOn w:val="DefaultParagraphFont"/>
    <w:uiPriority w:val="32"/>
    <w:qFormat/>
    <w:rsid w:val="00634231"/>
    <w:rPr>
      <w:b/>
      <w:bCs/>
      <w:smallCaps/>
      <w:color w:val="0F4761" w:themeColor="accent1" w:themeShade="BF"/>
      <w:spacing w:val="5"/>
    </w:rPr>
  </w:style>
  <w:style w:type="character" w:styleId="Hyperlink">
    <w:name w:val="Hyperlink"/>
    <w:basedOn w:val="DefaultParagraphFont"/>
    <w:uiPriority w:val="99"/>
    <w:unhideWhenUsed/>
    <w:rsid w:val="00634231"/>
    <w:rPr>
      <w:color w:val="467886" w:themeColor="hyperlink"/>
      <w:u w:val="single"/>
    </w:rPr>
  </w:style>
  <w:style w:type="paragraph" w:styleId="NoSpacing">
    <w:name w:val="No Spacing"/>
    <w:uiPriority w:val="1"/>
    <w:qFormat/>
    <w:rsid w:val="00634231"/>
    <w:pPr>
      <w:spacing w:after="0" w:line="240" w:lineRule="auto"/>
    </w:pPr>
    <w:rPr>
      <w:lang w:val="en-US"/>
    </w:rPr>
  </w:style>
  <w:style w:type="paragraph" w:styleId="Footer">
    <w:name w:val="footer"/>
    <w:basedOn w:val="Normal"/>
    <w:link w:val="FooterChar"/>
    <w:uiPriority w:val="99"/>
    <w:unhideWhenUsed/>
    <w:rsid w:val="006342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231"/>
    <w:rPr>
      <w:lang w:val="en-US"/>
    </w:rPr>
  </w:style>
  <w:style w:type="paragraph" w:styleId="TOCHeading">
    <w:name w:val="TOC Heading"/>
    <w:basedOn w:val="Heading1"/>
    <w:next w:val="Normal"/>
    <w:uiPriority w:val="39"/>
    <w:unhideWhenUsed/>
    <w:qFormat/>
    <w:rsid w:val="006342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4231"/>
    <w:pPr>
      <w:spacing w:after="100"/>
    </w:pPr>
  </w:style>
  <w:style w:type="paragraph" w:styleId="Caption">
    <w:name w:val="caption"/>
    <w:basedOn w:val="Normal"/>
    <w:next w:val="Normal"/>
    <w:uiPriority w:val="35"/>
    <w:unhideWhenUsed/>
    <w:qFormat/>
    <w:rsid w:val="0063423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1702</Words>
  <Characters>9702</Characters>
  <Application>Microsoft Office Word</Application>
  <DocSecurity>0</DocSecurity>
  <Lines>80</Lines>
  <Paragraphs>22</Paragraphs>
  <ScaleCrop>false</ScaleCrop>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Enache</dc:creator>
  <cp:keywords/>
  <dc:description/>
  <cp:lastModifiedBy>Marius Enache</cp:lastModifiedBy>
  <cp:revision>3</cp:revision>
  <dcterms:created xsi:type="dcterms:W3CDTF">2026-02-27T21:08:00Z</dcterms:created>
  <dcterms:modified xsi:type="dcterms:W3CDTF">2026-05-06T19:08:00Z</dcterms:modified>
</cp:coreProperties>
</file>