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5B725C" w14:textId="771D7937" w:rsidR="00960BDA" w:rsidRPr="00C73DFF" w:rsidRDefault="00960BDA" w:rsidP="00C73DFF">
      <w:pPr>
        <w:spacing w:line="480" w:lineRule="auto"/>
        <w:rPr>
          <w:rFonts w:ascii="Times New Roman" w:hAnsi="Times New Roman" w:cs="Times New Roman"/>
        </w:rPr>
      </w:pPr>
      <w:r w:rsidRPr="00C73DFF">
        <w:rPr>
          <w:rFonts w:ascii="Times New Roman" w:hAnsi="Times New Roman" w:cs="Times New Roman"/>
        </w:rPr>
        <w:t>My character’s base city</w:t>
      </w:r>
      <w:r w:rsidR="00753817" w:rsidRPr="00C73DFF">
        <w:rPr>
          <w:rFonts w:ascii="Times New Roman" w:hAnsi="Times New Roman" w:cs="Times New Roman"/>
        </w:rPr>
        <w:t xml:space="preserve"> is</w:t>
      </w:r>
      <w:r w:rsidR="009A404E" w:rsidRPr="00C73DFF">
        <w:rPr>
          <w:rFonts w:ascii="Times New Roman" w:hAnsi="Times New Roman" w:cs="Times New Roman"/>
        </w:rPr>
        <w:t xml:space="preserve"> Antioch and</w:t>
      </w:r>
      <w:r w:rsidR="00D91DE2" w:rsidRPr="00C73DFF">
        <w:rPr>
          <w:rFonts w:ascii="Times New Roman" w:hAnsi="Times New Roman" w:cs="Times New Roman"/>
        </w:rPr>
        <w:t xml:space="preserve"> so much of the meeting with members of the state, and the planning of new infrastructure, take place here</w:t>
      </w:r>
      <w:r w:rsidR="00753817" w:rsidRPr="00C73DFF">
        <w:rPr>
          <w:rFonts w:ascii="Times New Roman" w:hAnsi="Times New Roman" w:cs="Times New Roman"/>
        </w:rPr>
        <w:t>. Most of the contact discussed with</w:t>
      </w:r>
      <w:r w:rsidRPr="00C73DFF">
        <w:rPr>
          <w:rFonts w:ascii="Times New Roman" w:hAnsi="Times New Roman" w:cs="Times New Roman"/>
        </w:rPr>
        <w:t xml:space="preserve"> other members of the Seleucid royal family i</w:t>
      </w:r>
      <w:r w:rsidR="00753817" w:rsidRPr="00C73DFF">
        <w:rPr>
          <w:rFonts w:ascii="Times New Roman" w:hAnsi="Times New Roman" w:cs="Times New Roman"/>
        </w:rPr>
        <w:t>s through messengers or envoys, i.e. members of the state. At the very beginning of the role play, the communication between different provinces of the Seleucid empir</w:t>
      </w:r>
      <w:r w:rsidR="00ED664D" w:rsidRPr="00C73DFF">
        <w:rPr>
          <w:rFonts w:ascii="Times New Roman" w:hAnsi="Times New Roman" w:cs="Times New Roman"/>
        </w:rPr>
        <w:t>e was well established. In class, most</w:t>
      </w:r>
      <w:r w:rsidR="00753817" w:rsidRPr="00C73DFF">
        <w:rPr>
          <w:rFonts w:ascii="Times New Roman" w:hAnsi="Times New Roman" w:cs="Times New Roman"/>
        </w:rPr>
        <w:t xml:space="preserve"> provinces understood what they provided in terms of economic resources to the empire and used this to their advantage to trade with other regions.</w:t>
      </w:r>
      <w:r w:rsidR="00D91DE2" w:rsidRPr="00C73DFF">
        <w:rPr>
          <w:rStyle w:val="FootnoteReference"/>
          <w:rFonts w:ascii="Times New Roman" w:hAnsi="Times New Roman" w:cs="Times New Roman"/>
        </w:rPr>
        <w:footnoteReference w:id="1"/>
      </w:r>
      <w:r w:rsidR="00E26879" w:rsidRPr="00C73DFF">
        <w:rPr>
          <w:rFonts w:ascii="Times New Roman" w:hAnsi="Times New Roman" w:cs="Times New Roman"/>
        </w:rPr>
        <w:t xml:space="preserve"> </w:t>
      </w:r>
      <w:r w:rsidR="00753817" w:rsidRPr="00C73DFF">
        <w:rPr>
          <w:rFonts w:ascii="Times New Roman" w:hAnsi="Times New Roman" w:cs="Times New Roman"/>
        </w:rPr>
        <w:t>However, this all changed when the King,</w:t>
      </w:r>
      <w:r w:rsidR="002E3A0F" w:rsidRPr="00C73DFF">
        <w:rPr>
          <w:rFonts w:ascii="Times New Roman" w:hAnsi="Times New Roman" w:cs="Times New Roman"/>
        </w:rPr>
        <w:t xml:space="preserve"> Seleukos II</w:t>
      </w:r>
      <w:r w:rsidR="00753817" w:rsidRPr="00C73DFF">
        <w:rPr>
          <w:rFonts w:ascii="Times New Roman" w:hAnsi="Times New Roman" w:cs="Times New Roman"/>
        </w:rPr>
        <w:t>, died.</w:t>
      </w:r>
      <w:r w:rsidR="002A11F9" w:rsidRPr="00C73DFF">
        <w:rPr>
          <w:rStyle w:val="FootnoteReference"/>
          <w:rFonts w:ascii="Times New Roman" w:hAnsi="Times New Roman" w:cs="Times New Roman"/>
        </w:rPr>
        <w:footnoteReference w:id="2"/>
      </w:r>
      <w:r w:rsidR="00753817" w:rsidRPr="00C73DFF">
        <w:rPr>
          <w:rFonts w:ascii="Times New Roman" w:hAnsi="Times New Roman" w:cs="Times New Roman"/>
        </w:rPr>
        <w:t xml:space="preserve"> The death lead to great instability throughout the Seleucid empire, and in turn severely affected the surrounding empires also.</w:t>
      </w:r>
      <w:r w:rsidR="002A11F9" w:rsidRPr="00C73DFF">
        <w:rPr>
          <w:rStyle w:val="FootnoteReference"/>
          <w:rFonts w:ascii="Times New Roman" w:hAnsi="Times New Roman" w:cs="Times New Roman"/>
        </w:rPr>
        <w:footnoteReference w:id="3"/>
      </w:r>
      <w:r w:rsidR="00753817" w:rsidRPr="00C73DFF">
        <w:rPr>
          <w:rFonts w:ascii="Times New Roman" w:hAnsi="Times New Roman" w:cs="Times New Roman"/>
        </w:rPr>
        <w:t xml:space="preserve"> </w:t>
      </w:r>
      <w:r w:rsidR="002042C1" w:rsidRPr="00C73DFF">
        <w:rPr>
          <w:rFonts w:ascii="Times New Roman" w:hAnsi="Times New Roman" w:cs="Times New Roman"/>
        </w:rPr>
        <w:t>The main aim of my character, was to survive long enough to take the Seleucid throne.</w:t>
      </w:r>
      <w:r w:rsidR="002042C1" w:rsidRPr="00C73DFF">
        <w:rPr>
          <w:rStyle w:val="FootnoteReference"/>
          <w:rFonts w:ascii="Times New Roman" w:hAnsi="Times New Roman" w:cs="Times New Roman"/>
        </w:rPr>
        <w:footnoteReference w:id="4"/>
      </w:r>
      <w:r w:rsidR="002042C1" w:rsidRPr="00C73DFF">
        <w:rPr>
          <w:rFonts w:ascii="Times New Roman" w:hAnsi="Times New Roman" w:cs="Times New Roman"/>
        </w:rPr>
        <w:t xml:space="preserve"> However, as the only eligible heir o</w:t>
      </w:r>
      <w:r w:rsidR="003215C3">
        <w:rPr>
          <w:rFonts w:ascii="Times New Roman" w:hAnsi="Times New Roman" w:cs="Times New Roman"/>
        </w:rPr>
        <w:t xml:space="preserve">nce Antiochus III </w:t>
      </w:r>
      <w:r w:rsidR="002042C1" w:rsidRPr="00C73DFF">
        <w:rPr>
          <w:rFonts w:ascii="Times New Roman" w:hAnsi="Times New Roman" w:cs="Times New Roman"/>
        </w:rPr>
        <w:t>died,</w:t>
      </w:r>
      <w:r w:rsidR="00E26879" w:rsidRPr="00C73DFF">
        <w:rPr>
          <w:rFonts w:ascii="Times New Roman" w:hAnsi="Times New Roman" w:cs="Times New Roman"/>
        </w:rPr>
        <w:t xml:space="preserve"> </w:t>
      </w:r>
      <w:r w:rsidR="002042C1" w:rsidRPr="00C73DFF">
        <w:rPr>
          <w:rFonts w:ascii="Times New Roman" w:hAnsi="Times New Roman" w:cs="Times New Roman"/>
        </w:rPr>
        <w:t xml:space="preserve">this became increasingly difficult. </w:t>
      </w:r>
    </w:p>
    <w:p w14:paraId="6699E3F8" w14:textId="541FB26B" w:rsidR="002E3A0F" w:rsidRPr="00C73DFF" w:rsidRDefault="007F6683" w:rsidP="00C73DFF">
      <w:pPr>
        <w:spacing w:line="480" w:lineRule="auto"/>
        <w:rPr>
          <w:rFonts w:ascii="Times New Roman" w:hAnsi="Times New Roman" w:cs="Times New Roman"/>
        </w:rPr>
      </w:pPr>
      <w:r w:rsidRPr="00C73DFF">
        <w:rPr>
          <w:rFonts w:ascii="Times New Roman" w:hAnsi="Times New Roman" w:cs="Times New Roman"/>
        </w:rPr>
        <w:t>Shortly after the death of Seleukos II, Ptolemy declared war on Antioch.</w:t>
      </w:r>
      <w:r w:rsidRPr="00C73DFF">
        <w:rPr>
          <w:rStyle w:val="FootnoteReference"/>
          <w:rFonts w:ascii="Times New Roman" w:hAnsi="Times New Roman" w:cs="Times New Roman"/>
        </w:rPr>
        <w:footnoteReference w:id="5"/>
      </w:r>
      <w:r w:rsidRPr="00C73DFF">
        <w:rPr>
          <w:rFonts w:ascii="Times New Roman" w:hAnsi="Times New Roman" w:cs="Times New Roman"/>
        </w:rPr>
        <w:t xml:space="preserve"> While helping to prepare the city for war;</w:t>
      </w:r>
      <w:r w:rsidRPr="00C73DFF">
        <w:rPr>
          <w:rStyle w:val="FootnoteReference"/>
          <w:rFonts w:ascii="Times New Roman" w:hAnsi="Times New Roman" w:cs="Times New Roman"/>
        </w:rPr>
        <w:footnoteReference w:id="6"/>
      </w:r>
      <w:r w:rsidRPr="00C73DFF">
        <w:rPr>
          <w:rFonts w:ascii="Times New Roman" w:hAnsi="Times New Roman" w:cs="Times New Roman"/>
        </w:rPr>
        <w:t xml:space="preserve"> however, Ptolemy had to retreat due to a revolt in Alexandria. </w:t>
      </w:r>
      <w:r w:rsidR="00A13AF9" w:rsidRPr="00C73DFF">
        <w:rPr>
          <w:rFonts w:ascii="Times New Roman" w:hAnsi="Times New Roman" w:cs="Times New Roman"/>
        </w:rPr>
        <w:t>The invasion of Antioch coincided with the deification of Seleukos II,</w:t>
      </w:r>
      <w:r w:rsidR="002F472C" w:rsidRPr="00C73DFF">
        <w:rPr>
          <w:rStyle w:val="FootnoteReference"/>
          <w:rFonts w:ascii="Times New Roman" w:hAnsi="Times New Roman" w:cs="Times New Roman"/>
        </w:rPr>
        <w:footnoteReference w:id="7"/>
      </w:r>
      <w:r w:rsidR="00A13AF9" w:rsidRPr="00C73DFF">
        <w:rPr>
          <w:rFonts w:ascii="Times New Roman" w:hAnsi="Times New Roman" w:cs="Times New Roman"/>
        </w:rPr>
        <w:t xml:space="preserve"> and subsequently led to the people of Antioch celebrating him as the </w:t>
      </w:r>
      <w:r w:rsidR="00A13AF9" w:rsidRPr="00C73DFF">
        <w:rPr>
          <w:rFonts w:ascii="Times New Roman" w:hAnsi="Times New Roman" w:cs="Times New Roman"/>
          <w:i/>
        </w:rPr>
        <w:t>bringer of peace</w:t>
      </w:r>
      <w:r w:rsidR="00A13AF9" w:rsidRPr="00C73DFF">
        <w:rPr>
          <w:rFonts w:ascii="Times New Roman" w:hAnsi="Times New Roman" w:cs="Times New Roman"/>
        </w:rPr>
        <w:t xml:space="preserve">, due to the retreat that followed soon after the revolt of Alexandria. </w:t>
      </w:r>
      <w:proofErr w:type="gramStart"/>
      <w:r w:rsidR="006641E9" w:rsidRPr="00C73DFF">
        <w:rPr>
          <w:rFonts w:ascii="Times New Roman" w:hAnsi="Times New Roman" w:cs="Times New Roman"/>
        </w:rPr>
        <w:t>As a result of</w:t>
      </w:r>
      <w:proofErr w:type="gramEnd"/>
      <w:r w:rsidR="006641E9" w:rsidRPr="00C73DFF">
        <w:rPr>
          <w:rFonts w:ascii="Times New Roman" w:hAnsi="Times New Roman" w:cs="Times New Roman"/>
        </w:rPr>
        <w:t xml:space="preserve"> this, a meeting was held to discuss changing the homage of the temple from the Seleukid Queen to Seleukos III. During which, it was decided that a new temple would be erected in honour of the Queen’s cult in Antioch,</w:t>
      </w:r>
      <w:r w:rsidR="006641E9" w:rsidRPr="00C73DFF">
        <w:rPr>
          <w:rStyle w:val="FootnoteReference"/>
          <w:rFonts w:ascii="Times New Roman" w:hAnsi="Times New Roman" w:cs="Times New Roman"/>
        </w:rPr>
        <w:footnoteReference w:id="8"/>
      </w:r>
      <w:r w:rsidR="001D18D5" w:rsidRPr="00C73DFF">
        <w:rPr>
          <w:rFonts w:ascii="Times New Roman" w:hAnsi="Times New Roman" w:cs="Times New Roman"/>
        </w:rPr>
        <w:t xml:space="preserve"> </w:t>
      </w:r>
      <w:r w:rsidR="006641E9" w:rsidRPr="00C73DFF">
        <w:rPr>
          <w:rFonts w:ascii="Times New Roman" w:hAnsi="Times New Roman" w:cs="Times New Roman"/>
        </w:rPr>
        <w:t>which I was the leader of,</w:t>
      </w:r>
      <w:r w:rsidR="006641E9" w:rsidRPr="00C73DFF">
        <w:rPr>
          <w:rStyle w:val="FootnoteReference"/>
          <w:rFonts w:ascii="Times New Roman" w:hAnsi="Times New Roman" w:cs="Times New Roman"/>
        </w:rPr>
        <w:footnoteReference w:id="9"/>
      </w:r>
      <w:r w:rsidR="006641E9" w:rsidRPr="00C73DFF">
        <w:rPr>
          <w:rFonts w:ascii="Times New Roman" w:hAnsi="Times New Roman" w:cs="Times New Roman"/>
        </w:rPr>
        <w:t xml:space="preserve"> </w:t>
      </w:r>
      <w:r w:rsidR="001D18D5" w:rsidRPr="00C73DFF">
        <w:rPr>
          <w:rFonts w:ascii="Times New Roman" w:hAnsi="Times New Roman" w:cs="Times New Roman"/>
        </w:rPr>
        <w:t>and so it would include a shrine to me.</w:t>
      </w:r>
      <w:r w:rsidR="001D18D5" w:rsidRPr="00C73DFF">
        <w:rPr>
          <w:rStyle w:val="FootnoteReference"/>
          <w:rFonts w:ascii="Times New Roman" w:hAnsi="Times New Roman" w:cs="Times New Roman"/>
        </w:rPr>
        <w:footnoteReference w:id="10"/>
      </w:r>
      <w:r w:rsidR="001D18D5" w:rsidRPr="00C73DFF">
        <w:rPr>
          <w:rFonts w:ascii="Times New Roman" w:hAnsi="Times New Roman" w:cs="Times New Roman"/>
        </w:rPr>
        <w:t xml:space="preserve"> </w:t>
      </w:r>
      <w:r w:rsidR="00A147DB" w:rsidRPr="00C73DFF">
        <w:rPr>
          <w:rFonts w:ascii="Times New Roman" w:hAnsi="Times New Roman" w:cs="Times New Roman"/>
        </w:rPr>
        <w:t>Due to the relief of peace throughout Antioch, the public fully supported building a new temple</w:t>
      </w:r>
      <w:r w:rsidR="0001703A" w:rsidRPr="00C73DFF">
        <w:rPr>
          <w:rStyle w:val="FootnoteReference"/>
          <w:rFonts w:ascii="Times New Roman" w:hAnsi="Times New Roman" w:cs="Times New Roman"/>
        </w:rPr>
        <w:footnoteReference w:id="11"/>
      </w:r>
      <w:r w:rsidR="00A147DB" w:rsidRPr="00C73DFF">
        <w:rPr>
          <w:rFonts w:ascii="Times New Roman" w:hAnsi="Times New Roman" w:cs="Times New Roman"/>
        </w:rPr>
        <w:t xml:space="preserve"> in order to honour the cult of the Seleukid Queen and Seleukos II.</w:t>
      </w:r>
      <w:r w:rsidR="00EB5615" w:rsidRPr="00C73DFF">
        <w:rPr>
          <w:rFonts w:ascii="Times New Roman" w:hAnsi="Times New Roman" w:cs="Times New Roman"/>
        </w:rPr>
        <w:t xml:space="preserve"> A public festival was then </w:t>
      </w:r>
      <w:r w:rsidR="00EB5615" w:rsidRPr="00C73DFF">
        <w:rPr>
          <w:rFonts w:ascii="Times New Roman" w:hAnsi="Times New Roman" w:cs="Times New Roman"/>
        </w:rPr>
        <w:lastRenderedPageBreak/>
        <w:t>held to celebrate the new-found peace brought by the deification of Seleukos II,</w:t>
      </w:r>
      <w:r w:rsidR="00EB5615" w:rsidRPr="00C73DFF">
        <w:rPr>
          <w:rStyle w:val="FootnoteReference"/>
          <w:rFonts w:ascii="Times New Roman" w:hAnsi="Times New Roman" w:cs="Times New Roman"/>
        </w:rPr>
        <w:footnoteReference w:id="12"/>
      </w:r>
      <w:r w:rsidR="00EB5615" w:rsidRPr="00C73DFF">
        <w:rPr>
          <w:rFonts w:ascii="Times New Roman" w:hAnsi="Times New Roman" w:cs="Times New Roman"/>
        </w:rPr>
        <w:t xml:space="preserve"> and people pray to him at the temple for peace and end of war. Following this, I attended a meeting with the King. To stay favourable to the pu</w:t>
      </w:r>
      <w:r w:rsidR="0001703A" w:rsidRPr="00C73DFF">
        <w:rPr>
          <w:rFonts w:ascii="Times New Roman" w:hAnsi="Times New Roman" w:cs="Times New Roman"/>
        </w:rPr>
        <w:t>blic of Antioch, who now see Seleukos II as a god, the kind must approve the popular consensus of building a new and more impressive temple.</w:t>
      </w:r>
      <w:r w:rsidR="0001703A" w:rsidRPr="00C73DFF">
        <w:rPr>
          <w:rStyle w:val="FootnoteReference"/>
          <w:rFonts w:ascii="Times New Roman" w:hAnsi="Times New Roman" w:cs="Times New Roman"/>
        </w:rPr>
        <w:footnoteReference w:id="13"/>
      </w:r>
      <w:r w:rsidR="0001703A" w:rsidRPr="00C73DFF">
        <w:rPr>
          <w:rFonts w:ascii="Times New Roman" w:hAnsi="Times New Roman" w:cs="Times New Roman"/>
        </w:rPr>
        <w:t xml:space="preserve"> The result of which allowed</w:t>
      </w:r>
      <w:r w:rsidR="00560AF8" w:rsidRPr="00C73DFF">
        <w:rPr>
          <w:rFonts w:ascii="Times New Roman" w:hAnsi="Times New Roman" w:cs="Times New Roman"/>
        </w:rPr>
        <w:t xml:space="preserve"> my character </w:t>
      </w:r>
      <w:r w:rsidR="0001703A" w:rsidRPr="00C73DFF">
        <w:rPr>
          <w:rFonts w:ascii="Times New Roman" w:hAnsi="Times New Roman" w:cs="Times New Roman"/>
        </w:rPr>
        <w:t>to demand a 50% decrease in taxa</w:t>
      </w:r>
      <w:r w:rsidR="00560AF8" w:rsidRPr="00C73DFF">
        <w:rPr>
          <w:rFonts w:ascii="Times New Roman" w:hAnsi="Times New Roman" w:cs="Times New Roman"/>
        </w:rPr>
        <w:t>tion for Antioch in order to fund the new infrastructure.</w:t>
      </w:r>
      <w:r w:rsidR="00560AF8" w:rsidRPr="00C73DFF">
        <w:rPr>
          <w:rStyle w:val="FootnoteReference"/>
          <w:rFonts w:ascii="Times New Roman" w:hAnsi="Times New Roman" w:cs="Times New Roman"/>
        </w:rPr>
        <w:footnoteReference w:id="14"/>
      </w:r>
      <w:r w:rsidR="00560AF8" w:rsidRPr="00C73DFF">
        <w:rPr>
          <w:rFonts w:ascii="Times New Roman" w:hAnsi="Times New Roman" w:cs="Times New Roman"/>
        </w:rPr>
        <w:t xml:space="preserve"> The annual revenue of Antioch averaged at around</w:t>
      </w:r>
      <w:r w:rsidR="0001703A" w:rsidRPr="00C73DFF">
        <w:rPr>
          <w:rFonts w:ascii="Times New Roman" w:hAnsi="Times New Roman" w:cs="Times New Roman"/>
        </w:rPr>
        <w:t xml:space="preserve"> 15,000 talents</w:t>
      </w:r>
      <w:r w:rsidR="00560AF8" w:rsidRPr="00C73DFF">
        <w:rPr>
          <w:rFonts w:ascii="Times New Roman" w:hAnsi="Times New Roman" w:cs="Times New Roman"/>
        </w:rPr>
        <w:t>,</w:t>
      </w:r>
      <w:r w:rsidR="00560AF8" w:rsidRPr="00C73DFF">
        <w:rPr>
          <w:rStyle w:val="FootnoteReference"/>
          <w:rFonts w:ascii="Times New Roman" w:hAnsi="Times New Roman" w:cs="Times New Roman"/>
        </w:rPr>
        <w:footnoteReference w:id="15"/>
      </w:r>
      <w:r w:rsidR="00560AF8" w:rsidRPr="00C73DFF">
        <w:rPr>
          <w:rFonts w:ascii="Times New Roman" w:hAnsi="Times New Roman" w:cs="Times New Roman"/>
        </w:rPr>
        <w:t xml:space="preserve"> and so the tax break would allow an extra 7,500 talents per annum dedicated to the festivals and new temple. The taxation break was agreed for each year of planning leading to the construction of the temple, the year of construction, and a further 6 months following its construction. </w:t>
      </w:r>
    </w:p>
    <w:p w14:paraId="4FD803EA" w14:textId="5F0FB323" w:rsidR="00316D5F" w:rsidRPr="00C73DFF" w:rsidRDefault="00560AF8" w:rsidP="00C73DFF">
      <w:pPr>
        <w:spacing w:line="480" w:lineRule="auto"/>
        <w:rPr>
          <w:rFonts w:ascii="Times New Roman" w:hAnsi="Times New Roman" w:cs="Times New Roman"/>
        </w:rPr>
      </w:pPr>
      <w:r w:rsidRPr="00C73DFF">
        <w:rPr>
          <w:rFonts w:ascii="Times New Roman" w:hAnsi="Times New Roman" w:cs="Times New Roman"/>
        </w:rPr>
        <w:t>Shortly after the construction of the Temple of Seleukos, the Seleukid Queen announced her impending marriage to the Satrap of Babylon.</w:t>
      </w:r>
      <w:r w:rsidRPr="00C73DFF">
        <w:rPr>
          <w:rStyle w:val="FootnoteReference"/>
          <w:rFonts w:ascii="Times New Roman" w:hAnsi="Times New Roman" w:cs="Times New Roman"/>
        </w:rPr>
        <w:footnoteReference w:id="16"/>
      </w:r>
      <w:r w:rsidR="009117D5" w:rsidRPr="00C73DFF">
        <w:rPr>
          <w:rFonts w:ascii="Times New Roman" w:hAnsi="Times New Roman" w:cs="Times New Roman"/>
        </w:rPr>
        <w:t xml:space="preserve"> It was rumoured to be taking place in the newly built temple, however plans were suspended until the Satrap returned from war, where he was assisting the Seleukid king. With official notice from the Queen, the wedding planning </w:t>
      </w:r>
      <w:r w:rsidR="00037741" w:rsidRPr="00C73DFF">
        <w:rPr>
          <w:rFonts w:ascii="Times New Roman" w:hAnsi="Times New Roman" w:cs="Times New Roman"/>
        </w:rPr>
        <w:t>resumed,</w:t>
      </w:r>
      <w:r w:rsidR="009117D5" w:rsidRPr="00C73DFF">
        <w:rPr>
          <w:rFonts w:ascii="Times New Roman" w:hAnsi="Times New Roman" w:cs="Times New Roman"/>
        </w:rPr>
        <w:t xml:space="preserve"> and a festival arranged by the Queen’s cult to celebrate her engagement.</w:t>
      </w:r>
      <w:r w:rsidR="009117D5" w:rsidRPr="00C73DFF">
        <w:rPr>
          <w:rStyle w:val="FootnoteReference"/>
          <w:rFonts w:ascii="Times New Roman" w:hAnsi="Times New Roman" w:cs="Times New Roman"/>
        </w:rPr>
        <w:footnoteReference w:id="17"/>
      </w:r>
      <w:r w:rsidR="00037741" w:rsidRPr="00C73DFF">
        <w:rPr>
          <w:rFonts w:ascii="Times New Roman" w:hAnsi="Times New Roman" w:cs="Times New Roman"/>
        </w:rPr>
        <w:t xml:space="preserve"> Discussing the arrangem</w:t>
      </w:r>
      <w:r w:rsidR="002C1313" w:rsidRPr="00C73DFF">
        <w:rPr>
          <w:rFonts w:ascii="Times New Roman" w:hAnsi="Times New Roman" w:cs="Times New Roman"/>
        </w:rPr>
        <w:t xml:space="preserve">ents with the Queen, my character explained that the current king has done little to affirm the faith of the Seleukid empire other than the </w:t>
      </w:r>
      <w:proofErr w:type="gramStart"/>
      <w:r w:rsidR="002C1313" w:rsidRPr="00C73DFF">
        <w:rPr>
          <w:rFonts w:ascii="Times New Roman" w:hAnsi="Times New Roman" w:cs="Times New Roman"/>
        </w:rPr>
        <w:t>aforementioned building</w:t>
      </w:r>
      <w:proofErr w:type="gramEnd"/>
      <w:r w:rsidR="002C1313" w:rsidRPr="00C73DFF">
        <w:rPr>
          <w:rFonts w:ascii="Times New Roman" w:hAnsi="Times New Roman" w:cs="Times New Roman"/>
        </w:rPr>
        <w:t xml:space="preserve"> of a temple. </w:t>
      </w:r>
      <w:r w:rsidR="00343ED1" w:rsidRPr="00C73DFF">
        <w:rPr>
          <w:rFonts w:ascii="Times New Roman" w:hAnsi="Times New Roman" w:cs="Times New Roman"/>
        </w:rPr>
        <w:t xml:space="preserve">Soon after this </w:t>
      </w:r>
      <w:r w:rsidR="00423C46" w:rsidRPr="00C73DFF">
        <w:rPr>
          <w:rFonts w:ascii="Times New Roman" w:hAnsi="Times New Roman" w:cs="Times New Roman"/>
        </w:rPr>
        <w:t xml:space="preserve">meeting took place, the Seleukid empire lost Sardis to the Ptolemaic empire in class. This confirmed my earlier suspicions, and as such, representatives began to plan their own claims to the Seleukid empire, impending the </w:t>
      </w:r>
      <w:r w:rsidR="003B34D1" w:rsidRPr="00C73DFF">
        <w:rPr>
          <w:rFonts w:ascii="Times New Roman" w:hAnsi="Times New Roman" w:cs="Times New Roman"/>
        </w:rPr>
        <w:t xml:space="preserve">inevitable </w:t>
      </w:r>
      <w:r w:rsidR="00423C46" w:rsidRPr="00C73DFF">
        <w:rPr>
          <w:rFonts w:ascii="Times New Roman" w:hAnsi="Times New Roman" w:cs="Times New Roman"/>
        </w:rPr>
        <w:t xml:space="preserve">death of the then current king. </w:t>
      </w:r>
      <w:r w:rsidR="007940A7" w:rsidRPr="00C73DFF">
        <w:rPr>
          <w:rFonts w:ascii="Times New Roman" w:hAnsi="Times New Roman" w:cs="Times New Roman"/>
        </w:rPr>
        <w:t>This loss causes the people to lose faith in the then current king, as such, the Queen and I are both supportive of a plot to assassinate him.</w:t>
      </w:r>
      <w:r w:rsidR="00EA0ECC" w:rsidRPr="00C73DFF">
        <w:rPr>
          <w:rStyle w:val="FootnoteReference"/>
          <w:rFonts w:ascii="Times New Roman" w:hAnsi="Times New Roman" w:cs="Times New Roman"/>
        </w:rPr>
        <w:footnoteReference w:id="18"/>
      </w:r>
      <w:r w:rsidR="007940A7" w:rsidRPr="00C73DFF">
        <w:rPr>
          <w:rFonts w:ascii="Times New Roman" w:hAnsi="Times New Roman" w:cs="Times New Roman"/>
        </w:rPr>
        <w:t xml:space="preserve"> The basis of the plot was that the Satrap of Babylon, husband of the Seleukid Queen, would administer poison to the king while on campaign with him in Syria. </w:t>
      </w:r>
      <w:r w:rsidR="00DB4F09" w:rsidRPr="00C73DFF">
        <w:rPr>
          <w:rFonts w:ascii="Times New Roman" w:hAnsi="Times New Roman" w:cs="Times New Roman"/>
        </w:rPr>
        <w:t xml:space="preserve">The satrap of Babylon agreed to allow the Queen and I to continue running the socio-religious needs of the empire on his behalf once he succeeds the king and </w:t>
      </w:r>
      <w:r w:rsidR="00DB4F09" w:rsidRPr="00C73DFF">
        <w:rPr>
          <w:rFonts w:ascii="Times New Roman" w:hAnsi="Times New Roman" w:cs="Times New Roman"/>
        </w:rPr>
        <w:lastRenderedPageBreak/>
        <w:t>agreed to honour the tax break in Antioch on the same terms and condition</w:t>
      </w:r>
      <w:r w:rsidR="00FD57B4" w:rsidRPr="00C73DFF">
        <w:rPr>
          <w:rFonts w:ascii="Times New Roman" w:hAnsi="Times New Roman" w:cs="Times New Roman"/>
        </w:rPr>
        <w:t xml:space="preserve">s that the previous king </w:t>
      </w:r>
      <w:r w:rsidR="00DB4F09" w:rsidRPr="00C73DFF">
        <w:rPr>
          <w:rFonts w:ascii="Times New Roman" w:hAnsi="Times New Roman" w:cs="Times New Roman"/>
        </w:rPr>
        <w:t xml:space="preserve">had agreed. </w:t>
      </w:r>
      <w:r w:rsidR="00FD57B4" w:rsidRPr="00C73DFF">
        <w:rPr>
          <w:rFonts w:ascii="Times New Roman" w:hAnsi="Times New Roman" w:cs="Times New Roman"/>
        </w:rPr>
        <w:t>Due to heavy war, and a stressful political climate, the plan of assassination was placed on hold.</w:t>
      </w:r>
    </w:p>
    <w:p w14:paraId="29885D98" w14:textId="375DCCDB" w:rsidR="009B519D" w:rsidRPr="00C73DFF" w:rsidRDefault="00FD57B4" w:rsidP="00C73DFF">
      <w:pPr>
        <w:spacing w:line="480" w:lineRule="auto"/>
        <w:rPr>
          <w:rFonts w:ascii="Times New Roman" w:hAnsi="Times New Roman" w:cs="Times New Roman"/>
        </w:rPr>
      </w:pPr>
      <w:r w:rsidRPr="00C73DFF">
        <w:rPr>
          <w:rFonts w:ascii="Times New Roman" w:hAnsi="Times New Roman" w:cs="Times New Roman"/>
        </w:rPr>
        <w:t>An invitation to the Ptolemaic royal wedding</w:t>
      </w:r>
      <w:r w:rsidRPr="00C73DFF">
        <w:rPr>
          <w:rStyle w:val="FootnoteReference"/>
          <w:rFonts w:ascii="Times New Roman" w:hAnsi="Times New Roman" w:cs="Times New Roman"/>
        </w:rPr>
        <w:footnoteReference w:id="19"/>
      </w:r>
      <w:r w:rsidRPr="00C73DFF">
        <w:rPr>
          <w:rFonts w:ascii="Times New Roman" w:hAnsi="Times New Roman" w:cs="Times New Roman"/>
        </w:rPr>
        <w:t xml:space="preserve"> was received by all important members of the Seleukid court, of which of course, I am part of. </w:t>
      </w:r>
      <w:r w:rsidR="00321764" w:rsidRPr="00C73DFF">
        <w:rPr>
          <w:rFonts w:ascii="Times New Roman" w:hAnsi="Times New Roman" w:cs="Times New Roman"/>
        </w:rPr>
        <w:t>Later in class, my character was informed that failure to reply to the invitation would be a declaration of war (hardening already tense diplomatic relations) on Ptolemy from Antioch; considering this, the decision to send a representative from Antioch to attend the ro</w:t>
      </w:r>
      <w:r w:rsidR="00452EC9" w:rsidRPr="00C73DFF">
        <w:rPr>
          <w:rFonts w:ascii="Times New Roman" w:hAnsi="Times New Roman" w:cs="Times New Roman"/>
        </w:rPr>
        <w:t xml:space="preserve">yal wedding in place of myself was made. The Epistate of Antioch accepted the invitation and sent the Satrap of Apamea. Following the wedding, the Seleukid King announces that he lost the siege of Perea after 40 days. After learning this, the queen moves the date of her wedding closer </w:t>
      </w:r>
      <w:proofErr w:type="gramStart"/>
      <w:r w:rsidR="00452EC9" w:rsidRPr="00C73DFF">
        <w:rPr>
          <w:rFonts w:ascii="Times New Roman" w:hAnsi="Times New Roman" w:cs="Times New Roman"/>
        </w:rPr>
        <w:t>in order to</w:t>
      </w:r>
      <w:proofErr w:type="gramEnd"/>
      <w:r w:rsidR="00452EC9" w:rsidRPr="00C73DFF">
        <w:rPr>
          <w:rFonts w:ascii="Times New Roman" w:hAnsi="Times New Roman" w:cs="Times New Roman"/>
        </w:rPr>
        <w:t xml:space="preserve"> resume the plans of assassination. Since the wedding has been moved, the queen requests a new year’s festival to coincide with her new wedding date. The king agrees, and further lowers the taxation on the city of Antioch </w:t>
      </w:r>
      <w:proofErr w:type="gramStart"/>
      <w:r w:rsidR="00452EC9" w:rsidRPr="00C73DFF">
        <w:rPr>
          <w:rFonts w:ascii="Times New Roman" w:hAnsi="Times New Roman" w:cs="Times New Roman"/>
        </w:rPr>
        <w:t>in an attempt to</w:t>
      </w:r>
      <w:proofErr w:type="gramEnd"/>
      <w:r w:rsidR="00452EC9" w:rsidRPr="00C73DFF">
        <w:rPr>
          <w:rFonts w:ascii="Times New Roman" w:hAnsi="Times New Roman" w:cs="Times New Roman"/>
        </w:rPr>
        <w:t xml:space="preserve"> win the favour of the people back from the loss of Perea. Unfortunately, due to the designation of taxes toward the royal wedding and the new year’s festival, only one te</w:t>
      </w:r>
      <w:r w:rsidR="00C805AD" w:rsidRPr="00C73DFF">
        <w:rPr>
          <w:rFonts w:ascii="Times New Roman" w:hAnsi="Times New Roman" w:cs="Times New Roman"/>
        </w:rPr>
        <w:t>mple can be built. This new temple would commemorate my character as the priestess, who has recently won the following of the Queens’ cult.</w:t>
      </w:r>
      <w:r w:rsidR="00C805AD" w:rsidRPr="00C73DFF">
        <w:rPr>
          <w:rStyle w:val="FootnoteReference"/>
          <w:rFonts w:ascii="Times New Roman" w:hAnsi="Times New Roman" w:cs="Times New Roman"/>
        </w:rPr>
        <w:footnoteReference w:id="20"/>
      </w:r>
      <w:r w:rsidR="00C805AD" w:rsidRPr="00C73DFF">
        <w:rPr>
          <w:rFonts w:ascii="Times New Roman" w:hAnsi="Times New Roman" w:cs="Times New Roman"/>
        </w:rPr>
        <w:t xml:space="preserve"> It is to be a modest temple, and therefore is still able to be built despite the other grand events happening in the city. </w:t>
      </w:r>
    </w:p>
    <w:p w14:paraId="5C24BD7E" w14:textId="77777777" w:rsidR="007C0F9B" w:rsidRPr="00C73DFF" w:rsidRDefault="00C34EDE" w:rsidP="00C73DFF">
      <w:pPr>
        <w:spacing w:line="480" w:lineRule="auto"/>
        <w:rPr>
          <w:rFonts w:ascii="Times New Roman" w:hAnsi="Times New Roman" w:cs="Times New Roman"/>
        </w:rPr>
      </w:pPr>
      <w:r w:rsidRPr="00C73DFF">
        <w:rPr>
          <w:rFonts w:ascii="Times New Roman" w:hAnsi="Times New Roman" w:cs="Times New Roman"/>
        </w:rPr>
        <w:t>War between the Seleucid empire and the Ptolemaic breaks out as dur</w:t>
      </w:r>
      <w:r w:rsidR="000F1192" w:rsidRPr="00C73DFF">
        <w:rPr>
          <w:rFonts w:ascii="Times New Roman" w:hAnsi="Times New Roman" w:cs="Times New Roman"/>
        </w:rPr>
        <w:t>ing a</w:t>
      </w:r>
      <w:r w:rsidRPr="00C73DFF">
        <w:rPr>
          <w:rFonts w:ascii="Times New Roman" w:hAnsi="Times New Roman" w:cs="Times New Roman"/>
        </w:rPr>
        <w:t xml:space="preserve"> peace summit</w:t>
      </w:r>
      <w:r w:rsidR="000F1192" w:rsidRPr="00C73DFF">
        <w:rPr>
          <w:rFonts w:ascii="Times New Roman" w:hAnsi="Times New Roman" w:cs="Times New Roman"/>
        </w:rPr>
        <w:t xml:space="preserve"> held by Pergamum as </w:t>
      </w:r>
      <w:r w:rsidRPr="00C73DFF">
        <w:rPr>
          <w:rFonts w:ascii="Times New Roman" w:hAnsi="Times New Roman" w:cs="Times New Roman"/>
        </w:rPr>
        <w:t xml:space="preserve">the Seleucid king invaded </w:t>
      </w:r>
      <w:proofErr w:type="spellStart"/>
      <w:r w:rsidRPr="00C73DFF">
        <w:rPr>
          <w:rFonts w:ascii="Times New Roman" w:hAnsi="Times New Roman" w:cs="Times New Roman"/>
        </w:rPr>
        <w:t>Triplee</w:t>
      </w:r>
      <w:proofErr w:type="spellEnd"/>
      <w:r w:rsidRPr="00C73DFF">
        <w:rPr>
          <w:rFonts w:ascii="Times New Roman" w:hAnsi="Times New Roman" w:cs="Times New Roman"/>
        </w:rPr>
        <w:t xml:space="preserve"> and Sidon. Disregarding the Peace summit treaty, and the offer of peace between all empires to coexist has led to the collapse of the peace treaty between </w:t>
      </w:r>
      <w:r w:rsidR="000F1192" w:rsidRPr="00C73DFF">
        <w:rPr>
          <w:rFonts w:ascii="Times New Roman" w:hAnsi="Times New Roman" w:cs="Times New Roman"/>
        </w:rPr>
        <w:t xml:space="preserve">most empires. </w:t>
      </w:r>
      <w:r w:rsidR="007F5B4E" w:rsidRPr="00C73DFF">
        <w:rPr>
          <w:rFonts w:ascii="Times New Roman" w:hAnsi="Times New Roman" w:cs="Times New Roman"/>
        </w:rPr>
        <w:t>By doing</w:t>
      </w:r>
      <w:r w:rsidR="000F1192" w:rsidRPr="00C73DFF">
        <w:rPr>
          <w:rFonts w:ascii="Times New Roman" w:hAnsi="Times New Roman" w:cs="Times New Roman"/>
        </w:rPr>
        <w:t xml:space="preserve"> this, the King</w:t>
      </w:r>
      <w:r w:rsidR="007F5B4E" w:rsidRPr="00C73DFF">
        <w:rPr>
          <w:rFonts w:ascii="Times New Roman" w:hAnsi="Times New Roman" w:cs="Times New Roman"/>
        </w:rPr>
        <w:t>, loses support even further and so the plot to assassinate him has been placed in motion with more support than before. The idea is that, should the Satra</w:t>
      </w:r>
      <w:r w:rsidR="00D5296C" w:rsidRPr="00C73DFF">
        <w:rPr>
          <w:rFonts w:ascii="Times New Roman" w:hAnsi="Times New Roman" w:cs="Times New Roman"/>
        </w:rPr>
        <w:t>p of Babylon not succeed in the assassination attempt</w:t>
      </w:r>
      <w:r w:rsidR="007F5B4E" w:rsidRPr="00C73DFF">
        <w:rPr>
          <w:rFonts w:ascii="Times New Roman" w:hAnsi="Times New Roman" w:cs="Times New Roman"/>
        </w:rPr>
        <w:t>, the people who support the assassination will revolt against the king</w:t>
      </w:r>
      <w:r w:rsidR="00431257" w:rsidRPr="00C73DFF">
        <w:rPr>
          <w:rFonts w:ascii="Times New Roman" w:hAnsi="Times New Roman" w:cs="Times New Roman"/>
        </w:rPr>
        <w:t xml:space="preserve"> in their respective areas</w:t>
      </w:r>
      <w:r w:rsidR="000F1192" w:rsidRPr="00C73DFF">
        <w:rPr>
          <w:rFonts w:ascii="Times New Roman" w:hAnsi="Times New Roman" w:cs="Times New Roman"/>
        </w:rPr>
        <w:t>.</w:t>
      </w:r>
      <w:r w:rsidR="000F1192" w:rsidRPr="00C73DFF">
        <w:rPr>
          <w:rStyle w:val="FootnoteReference"/>
          <w:rFonts w:ascii="Times New Roman" w:hAnsi="Times New Roman" w:cs="Times New Roman"/>
        </w:rPr>
        <w:footnoteReference w:id="21"/>
      </w:r>
      <w:r w:rsidR="000F1192" w:rsidRPr="00C73DFF">
        <w:rPr>
          <w:rFonts w:ascii="Times New Roman" w:hAnsi="Times New Roman" w:cs="Times New Roman"/>
        </w:rPr>
        <w:t xml:space="preserve"> After this had been confirmed, my character sent out</w:t>
      </w:r>
      <w:r w:rsidR="00431257" w:rsidRPr="00C73DFF">
        <w:rPr>
          <w:rFonts w:ascii="Times New Roman" w:hAnsi="Times New Roman" w:cs="Times New Roman"/>
        </w:rPr>
        <w:t xml:space="preserve"> </w:t>
      </w:r>
      <w:r w:rsidR="00431257" w:rsidRPr="00C73DFF">
        <w:rPr>
          <w:rFonts w:ascii="Times New Roman" w:hAnsi="Times New Roman" w:cs="Times New Roman"/>
        </w:rPr>
        <w:lastRenderedPageBreak/>
        <w:t xml:space="preserve">official invites for all empires to </w:t>
      </w:r>
      <w:r w:rsidR="000F1192" w:rsidRPr="00C73DFF">
        <w:rPr>
          <w:rFonts w:ascii="Times New Roman" w:hAnsi="Times New Roman" w:cs="Times New Roman"/>
        </w:rPr>
        <w:t xml:space="preserve">attend the wedding of </w:t>
      </w:r>
      <w:proofErr w:type="spellStart"/>
      <w:r w:rsidR="000F1192" w:rsidRPr="00C73DFF">
        <w:rPr>
          <w:rFonts w:ascii="Times New Roman" w:hAnsi="Times New Roman" w:cs="Times New Roman"/>
        </w:rPr>
        <w:t>Kelopatra</w:t>
      </w:r>
      <w:proofErr w:type="spellEnd"/>
      <w:r w:rsidR="000F1192" w:rsidRPr="00C73DFF">
        <w:rPr>
          <w:rFonts w:ascii="Times New Roman" w:hAnsi="Times New Roman" w:cs="Times New Roman"/>
        </w:rPr>
        <w:t xml:space="preserve">, Queen </w:t>
      </w:r>
      <w:r w:rsidR="00431257" w:rsidRPr="00C73DFF">
        <w:rPr>
          <w:rFonts w:ascii="Times New Roman" w:hAnsi="Times New Roman" w:cs="Times New Roman"/>
        </w:rPr>
        <w:t>of the Sel</w:t>
      </w:r>
      <w:r w:rsidR="000F1192" w:rsidRPr="00C73DFF">
        <w:rPr>
          <w:rFonts w:ascii="Times New Roman" w:hAnsi="Times New Roman" w:cs="Times New Roman"/>
        </w:rPr>
        <w:t>eucid Kingdom to Alexander</w:t>
      </w:r>
      <w:r w:rsidR="00431257" w:rsidRPr="00C73DFF">
        <w:rPr>
          <w:rFonts w:ascii="Times New Roman" w:hAnsi="Times New Roman" w:cs="Times New Roman"/>
        </w:rPr>
        <w:t xml:space="preserve"> the Satrap of Babylon. The marriage is a purely political a</w:t>
      </w:r>
      <w:r w:rsidR="000F1192" w:rsidRPr="00C73DFF">
        <w:rPr>
          <w:rFonts w:ascii="Times New Roman" w:hAnsi="Times New Roman" w:cs="Times New Roman"/>
        </w:rPr>
        <w:t>lliance.</w:t>
      </w:r>
      <w:r w:rsidR="000F1192" w:rsidRPr="00C73DFF">
        <w:rPr>
          <w:rStyle w:val="FootnoteReference"/>
          <w:rFonts w:ascii="Times New Roman" w:hAnsi="Times New Roman" w:cs="Times New Roman"/>
        </w:rPr>
        <w:footnoteReference w:id="22"/>
      </w:r>
      <w:r w:rsidR="000F1192" w:rsidRPr="00C73DFF">
        <w:rPr>
          <w:rFonts w:ascii="Times New Roman" w:hAnsi="Times New Roman" w:cs="Times New Roman"/>
        </w:rPr>
        <w:t xml:space="preserve"> </w:t>
      </w:r>
      <w:r w:rsidR="00080CC4" w:rsidRPr="00C73DFF">
        <w:rPr>
          <w:rFonts w:ascii="Times New Roman" w:hAnsi="Times New Roman" w:cs="Times New Roman"/>
        </w:rPr>
        <w:t>The mix of celebrations in the city of Antioch won the favour of the peop</w:t>
      </w:r>
      <w:r w:rsidR="00C26E10" w:rsidRPr="00C73DFF">
        <w:rPr>
          <w:rFonts w:ascii="Times New Roman" w:hAnsi="Times New Roman" w:cs="Times New Roman"/>
        </w:rPr>
        <w:t>le for myself and the Queen. This support means my character is more likely to succeed in any attempt made to take the Seleukid royal throne,</w:t>
      </w:r>
      <w:r w:rsidR="00C26E10" w:rsidRPr="00C73DFF">
        <w:rPr>
          <w:rStyle w:val="FootnoteReference"/>
          <w:rFonts w:ascii="Times New Roman" w:hAnsi="Times New Roman" w:cs="Times New Roman"/>
        </w:rPr>
        <w:footnoteReference w:id="23"/>
      </w:r>
      <w:r w:rsidR="00C26E10" w:rsidRPr="00C73DFF">
        <w:rPr>
          <w:rFonts w:ascii="Times New Roman" w:hAnsi="Times New Roman" w:cs="Times New Roman"/>
        </w:rPr>
        <w:t xml:space="preserve"> as she is the priestess of a cult and highly regarded in society for her socio-religious capabilities.</w:t>
      </w:r>
      <w:r w:rsidR="007C0F9B" w:rsidRPr="00C73DFF">
        <w:rPr>
          <w:rFonts w:ascii="Times New Roman" w:hAnsi="Times New Roman" w:cs="Times New Roman"/>
        </w:rPr>
        <w:t xml:space="preserve"> </w:t>
      </w:r>
    </w:p>
    <w:p w14:paraId="249130C1" w14:textId="77777777" w:rsidR="002A78C5" w:rsidRPr="00C73DFF" w:rsidRDefault="00EB2BB8" w:rsidP="00C73DFF">
      <w:pPr>
        <w:spacing w:line="480" w:lineRule="auto"/>
        <w:rPr>
          <w:rFonts w:ascii="Times New Roman" w:hAnsi="Times New Roman" w:cs="Times New Roman"/>
        </w:rPr>
      </w:pPr>
      <w:r w:rsidRPr="00C73DFF">
        <w:rPr>
          <w:rFonts w:ascii="Times New Roman" w:hAnsi="Times New Roman" w:cs="Times New Roman"/>
        </w:rPr>
        <w:t>While on campaign, the Satrap of Antioch and newly wedded husband to the Queen, bribed t</w:t>
      </w:r>
      <w:r w:rsidR="007C0F9B" w:rsidRPr="00C73DFF">
        <w:rPr>
          <w:rFonts w:ascii="Times New Roman" w:hAnsi="Times New Roman" w:cs="Times New Roman"/>
        </w:rPr>
        <w:t xml:space="preserve">he king’s </w:t>
      </w:r>
      <w:r w:rsidRPr="00C73DFF">
        <w:rPr>
          <w:rFonts w:ascii="Times New Roman" w:hAnsi="Times New Roman" w:cs="Times New Roman"/>
        </w:rPr>
        <w:t>body guard into assassinat</w:t>
      </w:r>
      <w:r w:rsidR="007C0F9B" w:rsidRPr="00C73DFF">
        <w:rPr>
          <w:rFonts w:ascii="Times New Roman" w:hAnsi="Times New Roman" w:cs="Times New Roman"/>
        </w:rPr>
        <w:t>ing the king;</w:t>
      </w:r>
      <w:r w:rsidRPr="00C73DFF">
        <w:rPr>
          <w:rFonts w:ascii="Times New Roman" w:hAnsi="Times New Roman" w:cs="Times New Roman"/>
        </w:rPr>
        <w:t xml:space="preserve"> the same body guard that the satrap chose for him in negotiations with Pergamum. </w:t>
      </w:r>
      <w:r w:rsidR="007C0F9B" w:rsidRPr="00C73DFF">
        <w:rPr>
          <w:rFonts w:ascii="Times New Roman" w:hAnsi="Times New Roman" w:cs="Times New Roman"/>
        </w:rPr>
        <w:t xml:space="preserve">After this assassination, the Satrap ensued power of the Seleukid army. Of which, 45% of </w:t>
      </w:r>
      <w:r w:rsidRPr="00C73DFF">
        <w:rPr>
          <w:rFonts w:ascii="Times New Roman" w:hAnsi="Times New Roman" w:cs="Times New Roman"/>
        </w:rPr>
        <w:t>stayed wit</w:t>
      </w:r>
      <w:r w:rsidR="0077313E" w:rsidRPr="00C73DFF">
        <w:rPr>
          <w:rFonts w:ascii="Times New Roman" w:hAnsi="Times New Roman" w:cs="Times New Roman"/>
        </w:rPr>
        <w:t>h the Satrap of Babylon</w:t>
      </w:r>
      <w:r w:rsidRPr="00C73DFF">
        <w:rPr>
          <w:rFonts w:ascii="Times New Roman" w:hAnsi="Times New Roman" w:cs="Times New Roman"/>
        </w:rPr>
        <w:t>,</w:t>
      </w:r>
      <w:r w:rsidR="007C0F9B" w:rsidRPr="00C73DFF">
        <w:rPr>
          <w:rFonts w:ascii="Times New Roman" w:hAnsi="Times New Roman" w:cs="Times New Roman"/>
        </w:rPr>
        <w:t xml:space="preserve"> who had no opposition to the Seleukid throne. This accession was relatively easy, with the support of the army. As a gesture of good </w:t>
      </w:r>
      <w:proofErr w:type="spellStart"/>
      <w:r w:rsidR="007C0F9B" w:rsidRPr="00C73DFF">
        <w:rPr>
          <w:rFonts w:ascii="Times New Roman" w:hAnsi="Times New Roman" w:cs="Times New Roman"/>
        </w:rPr>
        <w:t>wiil</w:t>
      </w:r>
      <w:proofErr w:type="spellEnd"/>
      <w:r w:rsidR="007C0F9B" w:rsidRPr="00C73DFF">
        <w:rPr>
          <w:rFonts w:ascii="Times New Roman" w:hAnsi="Times New Roman" w:cs="Times New Roman"/>
        </w:rPr>
        <w:t>, and to continue the friendly support of the people of Antioch and myself, the new king (former Satrap of Babylon)</w:t>
      </w:r>
      <w:r w:rsidR="0077313E" w:rsidRPr="00C73DFF">
        <w:rPr>
          <w:rFonts w:ascii="Times New Roman" w:hAnsi="Times New Roman" w:cs="Times New Roman"/>
        </w:rPr>
        <w:t xml:space="preserve"> donated treasure claimed from Asia Minor</w:t>
      </w:r>
      <w:r w:rsidR="007C0F9B" w:rsidRPr="00C73DFF">
        <w:rPr>
          <w:rFonts w:ascii="Times New Roman" w:hAnsi="Times New Roman" w:cs="Times New Roman"/>
        </w:rPr>
        <w:t xml:space="preserve"> to my temple; attempting to prevent a civil war.</w:t>
      </w:r>
      <w:r w:rsidR="007C0F9B" w:rsidRPr="00C73DFF">
        <w:rPr>
          <w:rStyle w:val="FootnoteReference"/>
          <w:rFonts w:ascii="Times New Roman" w:hAnsi="Times New Roman" w:cs="Times New Roman"/>
        </w:rPr>
        <w:footnoteReference w:id="24"/>
      </w:r>
      <w:r w:rsidR="007C0F9B" w:rsidRPr="00C73DFF">
        <w:rPr>
          <w:rFonts w:ascii="Times New Roman" w:hAnsi="Times New Roman" w:cs="Times New Roman"/>
        </w:rPr>
        <w:t xml:space="preserve"> Should my character wish to revolt, claiming Antioch an independent part of the kingdom, it would cause endless issues for the new king. </w:t>
      </w:r>
      <w:r w:rsidR="0090791D" w:rsidRPr="00C73DFF">
        <w:rPr>
          <w:rFonts w:ascii="Times New Roman" w:hAnsi="Times New Roman" w:cs="Times New Roman"/>
        </w:rPr>
        <w:t>While I supported his claim to the throne, the conditions of the support were as follows:</w:t>
      </w:r>
    </w:p>
    <w:p w14:paraId="7D53F42E" w14:textId="2AD03CA6" w:rsidR="0090791D" w:rsidRPr="00C73DFF" w:rsidRDefault="0034775D" w:rsidP="00C73DFF">
      <w:pPr>
        <w:pStyle w:val="ListParagraph"/>
        <w:numPr>
          <w:ilvl w:val="1"/>
          <w:numId w:val="1"/>
        </w:numPr>
        <w:spacing w:line="480" w:lineRule="auto"/>
        <w:rPr>
          <w:rFonts w:ascii="Times New Roman" w:hAnsi="Times New Roman" w:cs="Times New Roman"/>
        </w:rPr>
      </w:pPr>
      <w:r w:rsidRPr="00C73DFF">
        <w:rPr>
          <w:rFonts w:ascii="Times New Roman" w:hAnsi="Times New Roman" w:cs="Times New Roman"/>
        </w:rPr>
        <w:t xml:space="preserve">The king would not interfere with social or religious issues within this part of the empire, it would be left to the Queen and myself. </w:t>
      </w:r>
    </w:p>
    <w:p w14:paraId="224BB327" w14:textId="07DE1C3D" w:rsidR="004B0E7B" w:rsidRPr="00C73DFF" w:rsidRDefault="00C6328D" w:rsidP="00C73DFF">
      <w:pPr>
        <w:pStyle w:val="ListParagraph"/>
        <w:numPr>
          <w:ilvl w:val="1"/>
          <w:numId w:val="1"/>
        </w:numPr>
        <w:spacing w:line="480" w:lineRule="auto"/>
        <w:rPr>
          <w:rFonts w:ascii="Times New Roman" w:hAnsi="Times New Roman" w:cs="Times New Roman"/>
        </w:rPr>
      </w:pPr>
      <w:r w:rsidRPr="00C73DFF">
        <w:rPr>
          <w:rFonts w:ascii="Times New Roman" w:hAnsi="Times New Roman" w:cs="Times New Roman"/>
        </w:rPr>
        <w:t>The king woul</w:t>
      </w:r>
      <w:r w:rsidR="004B0E7B" w:rsidRPr="00C73DFF">
        <w:rPr>
          <w:rFonts w:ascii="Times New Roman" w:hAnsi="Times New Roman" w:cs="Times New Roman"/>
        </w:rPr>
        <w:t xml:space="preserve">d leave the Queen and I to continue in our activities without threat of assassination. </w:t>
      </w:r>
    </w:p>
    <w:p w14:paraId="3F0BC81C" w14:textId="05452878" w:rsidR="00CB3E66" w:rsidRPr="00C73DFF" w:rsidRDefault="002A78C5" w:rsidP="00C73DFF">
      <w:pPr>
        <w:spacing w:line="480" w:lineRule="auto"/>
        <w:rPr>
          <w:rFonts w:ascii="Times New Roman" w:hAnsi="Times New Roman" w:cs="Times New Roman"/>
        </w:rPr>
      </w:pPr>
      <w:r w:rsidRPr="00C73DFF">
        <w:rPr>
          <w:rFonts w:ascii="Times New Roman" w:hAnsi="Times New Roman" w:cs="Times New Roman"/>
        </w:rPr>
        <w:t xml:space="preserve">However, after supporting his claim, </w:t>
      </w:r>
      <w:proofErr w:type="gramStart"/>
      <w:r w:rsidRPr="00C73DFF">
        <w:rPr>
          <w:rFonts w:ascii="Times New Roman" w:hAnsi="Times New Roman" w:cs="Times New Roman"/>
        </w:rPr>
        <w:t>a number of</w:t>
      </w:r>
      <w:proofErr w:type="gramEnd"/>
      <w:r w:rsidRPr="00C73DFF">
        <w:rPr>
          <w:rFonts w:ascii="Times New Roman" w:hAnsi="Times New Roman" w:cs="Times New Roman"/>
        </w:rPr>
        <w:t xml:space="preserve"> different political officials approached my character proposing different forms of political alliances that all inevitably involved my character marrying a male; allowing them to make a claim to the Seleukid throne.</w:t>
      </w:r>
      <w:r w:rsidRPr="00C73DFF">
        <w:rPr>
          <w:rStyle w:val="FootnoteReference"/>
          <w:rFonts w:ascii="Times New Roman" w:hAnsi="Times New Roman" w:cs="Times New Roman"/>
        </w:rPr>
        <w:footnoteReference w:id="25"/>
      </w:r>
      <w:r w:rsidRPr="00C73DFF">
        <w:rPr>
          <w:rFonts w:ascii="Times New Roman" w:hAnsi="Times New Roman" w:cs="Times New Roman"/>
        </w:rPr>
        <w:t xml:space="preserve"> In the midst of this, the Ptolemaic princess has requested I marry her not yet born son, with the simple terms that he receives the </w:t>
      </w:r>
      <w:r w:rsidRPr="00C73DFF">
        <w:rPr>
          <w:rFonts w:ascii="Times New Roman" w:hAnsi="Times New Roman" w:cs="Times New Roman"/>
        </w:rPr>
        <w:lastRenderedPageBreak/>
        <w:t>Seleukid kingship. King Alexander of the Seleukid empire then requested my character marry the Ptolemaic king, to join the two empires in a political alliance.</w:t>
      </w:r>
      <w:r w:rsidRPr="00C73DFF">
        <w:rPr>
          <w:rStyle w:val="FootnoteReference"/>
          <w:rFonts w:ascii="Times New Roman" w:hAnsi="Times New Roman" w:cs="Times New Roman"/>
        </w:rPr>
        <w:footnoteReference w:id="26"/>
      </w:r>
      <w:r w:rsidRPr="00C73DFF">
        <w:rPr>
          <w:rFonts w:ascii="Times New Roman" w:hAnsi="Times New Roman" w:cs="Times New Roman"/>
        </w:rPr>
        <w:t xml:space="preserve"> Due to the tensions between both empires, it seems a reasonable request for my character. However, it would not allow my character to claim the throne, as the automatic succession would fall to her husband, and so she would be in the same position as before: waiting for someone to assassinate the king. Therefore, with the support of the Queen, Satrap of Antioch, Satrap of Apamea, the Macedonians and the Galatians, my character makes her own claim to the Seleukid royal throne.</w:t>
      </w:r>
      <w:r w:rsidRPr="00C73DFF">
        <w:rPr>
          <w:rStyle w:val="FootnoteReference"/>
          <w:rFonts w:ascii="Times New Roman" w:hAnsi="Times New Roman" w:cs="Times New Roman"/>
        </w:rPr>
        <w:footnoteReference w:id="27"/>
      </w:r>
      <w:r w:rsidR="00E548F0" w:rsidRPr="00C73DFF">
        <w:rPr>
          <w:rFonts w:ascii="Times New Roman" w:hAnsi="Times New Roman" w:cs="Times New Roman"/>
        </w:rPr>
        <w:t xml:space="preserve"> While the king began keen to make negotiations rather than allowing me to inherit the empire, he quickly demanded that I marry on the condition I remain in Antioch and continue my life relatively unaffected by the marriage. However, my character wanted the empire.</w:t>
      </w:r>
      <w:r w:rsidR="00E548F0" w:rsidRPr="00C73DFF">
        <w:rPr>
          <w:rStyle w:val="FootnoteReference"/>
          <w:rFonts w:ascii="Times New Roman" w:hAnsi="Times New Roman" w:cs="Times New Roman"/>
        </w:rPr>
        <w:footnoteReference w:id="28"/>
      </w:r>
      <w:r w:rsidR="002E1ED6" w:rsidRPr="00C73DFF">
        <w:rPr>
          <w:rFonts w:ascii="Times New Roman" w:hAnsi="Times New Roman" w:cs="Times New Roman"/>
        </w:rPr>
        <w:t xml:space="preserve"> Again, the requests for political alliances from the Ptolemaic empire continue, in return for support to assassinate the king. While the alliances are necessary to claim the throne in the cleanest manner possible, the prospect of marrying would still result in the loss of the throne. </w:t>
      </w:r>
      <w:r w:rsidR="00D84124" w:rsidRPr="00C73DFF">
        <w:rPr>
          <w:rFonts w:ascii="Times New Roman" w:hAnsi="Times New Roman" w:cs="Times New Roman"/>
        </w:rPr>
        <w:t>Ref</w:t>
      </w:r>
      <w:r w:rsidR="002E1ED6" w:rsidRPr="00C73DFF">
        <w:rPr>
          <w:rFonts w:ascii="Times New Roman" w:hAnsi="Times New Roman" w:cs="Times New Roman"/>
        </w:rPr>
        <w:t>using</w:t>
      </w:r>
      <w:r w:rsidR="00D84124" w:rsidRPr="00C73DFF">
        <w:rPr>
          <w:rFonts w:ascii="Times New Roman" w:hAnsi="Times New Roman" w:cs="Times New Roman"/>
        </w:rPr>
        <w:t xml:space="preserve"> the marriage </w:t>
      </w:r>
      <w:r w:rsidR="002E1ED6" w:rsidRPr="00C73DFF">
        <w:rPr>
          <w:rFonts w:ascii="Times New Roman" w:hAnsi="Times New Roman" w:cs="Times New Roman"/>
        </w:rPr>
        <w:t>requests, my character asks</w:t>
      </w:r>
      <w:r w:rsidR="00D84124" w:rsidRPr="00C73DFF">
        <w:rPr>
          <w:rFonts w:ascii="Times New Roman" w:hAnsi="Times New Roman" w:cs="Times New Roman"/>
        </w:rPr>
        <w:t xml:space="preserve"> alternative measures they would expect in return for their loya</w:t>
      </w:r>
      <w:r w:rsidR="00BF57E5" w:rsidRPr="00C73DFF">
        <w:rPr>
          <w:rFonts w:ascii="Times New Roman" w:hAnsi="Times New Roman" w:cs="Times New Roman"/>
        </w:rPr>
        <w:t>lty.</w:t>
      </w:r>
      <w:r w:rsidR="00CB3E66" w:rsidRPr="00C73DFF">
        <w:rPr>
          <w:rStyle w:val="FootnoteReference"/>
          <w:rFonts w:ascii="Times New Roman" w:hAnsi="Times New Roman" w:cs="Times New Roman"/>
        </w:rPr>
        <w:footnoteReference w:id="29"/>
      </w:r>
      <w:r w:rsidR="00BF57E5" w:rsidRPr="00C73DFF">
        <w:rPr>
          <w:rFonts w:ascii="Times New Roman" w:hAnsi="Times New Roman" w:cs="Times New Roman"/>
        </w:rPr>
        <w:t xml:space="preserve"> The answers were all variably similar, and revolved around taxation and money for the provinces, armies and empires. </w:t>
      </w:r>
      <w:r w:rsidR="00CB3E66" w:rsidRPr="00C73DFF">
        <w:rPr>
          <w:rFonts w:ascii="Times New Roman" w:hAnsi="Times New Roman" w:cs="Times New Roman"/>
        </w:rPr>
        <w:t xml:space="preserve">Before negotiations were set, the gates of Antioch were closed. During this time of political turmoil, and </w:t>
      </w:r>
      <w:proofErr w:type="gramStart"/>
      <w:r w:rsidR="00CB3E66" w:rsidRPr="00C73DFF">
        <w:rPr>
          <w:rFonts w:ascii="Times New Roman" w:hAnsi="Times New Roman" w:cs="Times New Roman"/>
        </w:rPr>
        <w:t>in an attempt to</w:t>
      </w:r>
      <w:proofErr w:type="gramEnd"/>
      <w:r w:rsidR="00CB3E66" w:rsidRPr="00C73DFF">
        <w:rPr>
          <w:rFonts w:ascii="Times New Roman" w:hAnsi="Times New Roman" w:cs="Times New Roman"/>
        </w:rPr>
        <w:t xml:space="preserve"> prevent a civil war or revolt, the king attempted to reach mutual agreement by asking the demands of Antioch. The requests were as follows:</w:t>
      </w:r>
    </w:p>
    <w:p w14:paraId="6BE557FA" w14:textId="5DBA1C68" w:rsidR="00CB3E66" w:rsidRDefault="00D84124" w:rsidP="00C73DFF">
      <w:pPr>
        <w:pStyle w:val="ListParagraph"/>
        <w:numPr>
          <w:ilvl w:val="0"/>
          <w:numId w:val="2"/>
        </w:numPr>
        <w:spacing w:line="480" w:lineRule="auto"/>
        <w:rPr>
          <w:rFonts w:ascii="Times New Roman" w:hAnsi="Times New Roman" w:cs="Times New Roman"/>
        </w:rPr>
      </w:pPr>
      <w:r w:rsidRPr="00C73DFF">
        <w:rPr>
          <w:rFonts w:ascii="Times New Roman" w:hAnsi="Times New Roman" w:cs="Times New Roman"/>
        </w:rPr>
        <w:t xml:space="preserve">Autonomy from </w:t>
      </w:r>
      <w:r w:rsidR="00C73DFF">
        <w:rPr>
          <w:rFonts w:ascii="Times New Roman" w:hAnsi="Times New Roman" w:cs="Times New Roman"/>
        </w:rPr>
        <w:t>trying to claim</w:t>
      </w:r>
      <w:r w:rsidRPr="00C73DFF">
        <w:rPr>
          <w:rFonts w:ascii="Times New Roman" w:hAnsi="Times New Roman" w:cs="Times New Roman"/>
        </w:rPr>
        <w:t xml:space="preserve"> the throne. </w:t>
      </w:r>
    </w:p>
    <w:p w14:paraId="47E097CC" w14:textId="0F902BE8" w:rsidR="00C73DFF" w:rsidRPr="00C73DFF" w:rsidRDefault="00C73DFF" w:rsidP="00C73DFF">
      <w:pPr>
        <w:pStyle w:val="ListParagraph"/>
        <w:numPr>
          <w:ilvl w:val="0"/>
          <w:numId w:val="2"/>
        </w:numPr>
        <w:spacing w:line="480" w:lineRule="auto"/>
        <w:rPr>
          <w:rFonts w:ascii="Times New Roman" w:hAnsi="Times New Roman" w:cs="Times New Roman"/>
        </w:rPr>
      </w:pPr>
      <w:r>
        <w:rPr>
          <w:rFonts w:ascii="Times New Roman" w:hAnsi="Times New Roman" w:cs="Times New Roman"/>
        </w:rPr>
        <w:t>Autonomy for those who supported the claim.</w:t>
      </w:r>
    </w:p>
    <w:p w14:paraId="6D8396FC" w14:textId="6C879A78" w:rsidR="00D84124" w:rsidRPr="00C73DFF" w:rsidRDefault="00CB3E66" w:rsidP="00C73DFF">
      <w:pPr>
        <w:pStyle w:val="ListParagraph"/>
        <w:numPr>
          <w:ilvl w:val="0"/>
          <w:numId w:val="2"/>
        </w:numPr>
        <w:spacing w:line="480" w:lineRule="auto"/>
        <w:rPr>
          <w:rFonts w:ascii="Times New Roman" w:hAnsi="Times New Roman" w:cs="Times New Roman"/>
        </w:rPr>
      </w:pPr>
      <w:r w:rsidRPr="00C73DFF">
        <w:rPr>
          <w:rFonts w:ascii="Times New Roman" w:hAnsi="Times New Roman" w:cs="Times New Roman"/>
        </w:rPr>
        <w:t xml:space="preserve">Part of our army returned for protection. </w:t>
      </w:r>
    </w:p>
    <w:p w14:paraId="50DD96E0" w14:textId="3A2AD239" w:rsidR="00A23D18" w:rsidRPr="00C73DFF" w:rsidRDefault="00CB3E66" w:rsidP="00C73DFF">
      <w:pPr>
        <w:spacing w:line="480" w:lineRule="auto"/>
        <w:rPr>
          <w:rFonts w:ascii="Times New Roman" w:hAnsi="Times New Roman" w:cs="Times New Roman"/>
        </w:rPr>
      </w:pPr>
      <w:r w:rsidRPr="00C73DFF">
        <w:rPr>
          <w:rFonts w:ascii="Times New Roman" w:hAnsi="Times New Roman" w:cs="Times New Roman"/>
        </w:rPr>
        <w:t xml:space="preserve">The gates remained closed and 1,000 troops were returned to help barricade Antioch from threat of invasion. Once the agreement has been settled, all attempts to assassinate the king had been delayed </w:t>
      </w:r>
      <w:r w:rsidRPr="00C73DFF">
        <w:rPr>
          <w:rFonts w:ascii="Times New Roman" w:hAnsi="Times New Roman" w:cs="Times New Roman"/>
        </w:rPr>
        <w:lastRenderedPageBreak/>
        <w:t>again until the tense political climate dissipated. During which, the Seleukid king bribed my guards to assassinate my character. Thus, concluded her claim to the Seleukid throne.</w:t>
      </w:r>
      <w:r w:rsidR="00A23D18">
        <w:rPr>
          <w:rFonts w:ascii="Times New Roman" w:hAnsi="Times New Roman" w:cs="Times New Roman"/>
        </w:rPr>
        <w:t xml:space="preserve"> </w:t>
      </w:r>
      <w:bookmarkStart w:id="0" w:name="_GoBack"/>
      <w:bookmarkEnd w:id="0"/>
    </w:p>
    <w:p w14:paraId="0ADB5AE3" w14:textId="131AD838" w:rsidR="00A23D18" w:rsidRDefault="00A23D18">
      <w:r>
        <w:br w:type="page"/>
      </w:r>
    </w:p>
    <w:p w14:paraId="32D56D69" w14:textId="77777777" w:rsidR="00345844" w:rsidRDefault="00345844"/>
    <w:p w14:paraId="7F5BC681" w14:textId="356F0D41" w:rsidR="00C73DFF" w:rsidRPr="009E5F74" w:rsidRDefault="00345844" w:rsidP="00CB3E66">
      <w:pPr>
        <w:rPr>
          <w:rFonts w:ascii="Times New Roman" w:hAnsi="Times New Roman" w:cs="Times New Roman"/>
        </w:rPr>
      </w:pPr>
      <w:r w:rsidRPr="009E5F74">
        <w:rPr>
          <w:rFonts w:ascii="Times New Roman" w:hAnsi="Times New Roman" w:cs="Times New Roman"/>
        </w:rPr>
        <w:t>Bibliography</w:t>
      </w:r>
    </w:p>
    <w:p w14:paraId="1BBA21FE" w14:textId="11692F30" w:rsidR="009E5F74" w:rsidRPr="009E5F74" w:rsidRDefault="00052CC9" w:rsidP="00052CC9">
      <w:pPr>
        <w:spacing w:line="480" w:lineRule="auto"/>
        <w:rPr>
          <w:rFonts w:ascii="Times New Roman" w:hAnsi="Times New Roman" w:cs="Times New Roman"/>
          <w:u w:val="single"/>
        </w:rPr>
      </w:pPr>
      <w:r w:rsidRPr="009E5F74">
        <w:rPr>
          <w:rFonts w:ascii="Times New Roman" w:hAnsi="Times New Roman" w:cs="Times New Roman"/>
          <w:u w:val="single"/>
        </w:rPr>
        <w:t>Modern Scholarship</w:t>
      </w:r>
    </w:p>
    <w:p w14:paraId="6E6433C1" w14:textId="77777777" w:rsidR="00B12599" w:rsidRPr="009E5F74" w:rsidRDefault="00B12599" w:rsidP="00052CC9">
      <w:pPr>
        <w:spacing w:line="480" w:lineRule="auto"/>
        <w:rPr>
          <w:rFonts w:ascii="Times New Roman" w:hAnsi="Times New Roman" w:cs="Times New Roman"/>
        </w:rPr>
      </w:pPr>
      <w:r>
        <w:rPr>
          <w:rFonts w:ascii="Times New Roman" w:hAnsi="Times New Roman" w:cs="Times New Roman"/>
        </w:rPr>
        <w:t xml:space="preserve">Bellinger, A. R. </w:t>
      </w:r>
      <w:r>
        <w:rPr>
          <w:rFonts w:ascii="Times New Roman" w:hAnsi="Times New Roman" w:cs="Times New Roman"/>
          <w:i/>
        </w:rPr>
        <w:t>The End of the Seleucids.</w:t>
      </w:r>
      <w:r>
        <w:rPr>
          <w:rFonts w:ascii="Times New Roman" w:hAnsi="Times New Roman" w:cs="Times New Roman"/>
        </w:rPr>
        <w:t xml:space="preserve"> TCAAS: </w:t>
      </w:r>
      <w:proofErr w:type="spellStart"/>
      <w:r>
        <w:rPr>
          <w:rFonts w:ascii="Times New Roman" w:hAnsi="Times New Roman" w:cs="Times New Roman"/>
        </w:rPr>
        <w:t>Conneticut</w:t>
      </w:r>
      <w:proofErr w:type="spellEnd"/>
      <w:r>
        <w:rPr>
          <w:rFonts w:ascii="Times New Roman" w:hAnsi="Times New Roman" w:cs="Times New Roman"/>
        </w:rPr>
        <w:t xml:space="preserve">. 1949. </w:t>
      </w:r>
    </w:p>
    <w:p w14:paraId="15226C6D" w14:textId="77777777" w:rsidR="00B12599" w:rsidRDefault="00B12599" w:rsidP="00052CC9">
      <w:pPr>
        <w:spacing w:line="480" w:lineRule="auto"/>
        <w:rPr>
          <w:rFonts w:ascii="Times New Roman" w:hAnsi="Times New Roman" w:cs="Times New Roman"/>
        </w:rPr>
      </w:pPr>
      <w:proofErr w:type="spellStart"/>
      <w:r w:rsidRPr="009E5F74">
        <w:rPr>
          <w:rFonts w:ascii="Times New Roman" w:hAnsi="Times New Roman" w:cs="Times New Roman"/>
        </w:rPr>
        <w:t>Coskun</w:t>
      </w:r>
      <w:proofErr w:type="spellEnd"/>
      <w:r w:rsidRPr="009E5F74">
        <w:rPr>
          <w:rFonts w:ascii="Times New Roman" w:hAnsi="Times New Roman" w:cs="Times New Roman"/>
        </w:rPr>
        <w:t xml:space="preserve">, A and </w:t>
      </w:r>
      <w:proofErr w:type="spellStart"/>
      <w:r w:rsidRPr="009E5F74">
        <w:rPr>
          <w:rFonts w:ascii="Times New Roman" w:hAnsi="Times New Roman" w:cs="Times New Roman"/>
        </w:rPr>
        <w:t>McAuley</w:t>
      </w:r>
      <w:proofErr w:type="spellEnd"/>
      <w:r w:rsidRPr="009E5F74">
        <w:rPr>
          <w:rFonts w:ascii="Times New Roman" w:hAnsi="Times New Roman" w:cs="Times New Roman"/>
        </w:rPr>
        <w:t xml:space="preserve">, A. </w:t>
      </w:r>
      <w:r w:rsidRPr="009E5F74">
        <w:rPr>
          <w:rFonts w:ascii="Times New Roman" w:hAnsi="Times New Roman" w:cs="Times New Roman"/>
          <w:i/>
        </w:rPr>
        <w:t>Seleukid Royal Women: Creation, Representation and Distortion of Hellenistic Queenship in the Seleukid Empire.</w:t>
      </w:r>
      <w:r w:rsidRPr="009E5F74">
        <w:rPr>
          <w:rFonts w:ascii="Times New Roman" w:hAnsi="Times New Roman" w:cs="Times New Roman"/>
        </w:rPr>
        <w:t xml:space="preserve"> Franz Steiner Verlag Wiesbaden: 2017. </w:t>
      </w:r>
    </w:p>
    <w:p w14:paraId="64A64812" w14:textId="77777777" w:rsidR="00B12599" w:rsidRPr="009E5F74" w:rsidRDefault="00B12599" w:rsidP="00052CC9">
      <w:pPr>
        <w:spacing w:line="480" w:lineRule="auto"/>
        <w:rPr>
          <w:rFonts w:ascii="Times New Roman" w:hAnsi="Times New Roman" w:cs="Times New Roman"/>
        </w:rPr>
      </w:pPr>
      <w:r>
        <w:rPr>
          <w:rFonts w:ascii="Times New Roman" w:hAnsi="Times New Roman" w:cs="Times New Roman"/>
        </w:rPr>
        <w:t xml:space="preserve">Downey, G. </w:t>
      </w:r>
      <w:r>
        <w:rPr>
          <w:rFonts w:ascii="Times New Roman" w:hAnsi="Times New Roman" w:cs="Times New Roman"/>
          <w:i/>
        </w:rPr>
        <w:t>A History of Antioch in Syria.</w:t>
      </w:r>
      <w:r>
        <w:rPr>
          <w:rFonts w:ascii="Times New Roman" w:hAnsi="Times New Roman" w:cs="Times New Roman"/>
        </w:rPr>
        <w:t xml:space="preserve"> Princeton University Press: New Jersey. 1961.</w:t>
      </w:r>
    </w:p>
    <w:p w14:paraId="5A27B666" w14:textId="77777777" w:rsidR="00B12599" w:rsidRDefault="00B12599" w:rsidP="00052CC9">
      <w:pPr>
        <w:spacing w:line="480" w:lineRule="auto"/>
        <w:rPr>
          <w:rFonts w:ascii="Times New Roman" w:hAnsi="Times New Roman" w:cs="Times New Roman"/>
        </w:rPr>
      </w:pPr>
      <w:r w:rsidRPr="009E5F74">
        <w:rPr>
          <w:rFonts w:ascii="Times New Roman" w:hAnsi="Times New Roman" w:cs="Times New Roman"/>
        </w:rPr>
        <w:t xml:space="preserve">Grainger, D. John. </w:t>
      </w:r>
      <w:r w:rsidRPr="009E5F74">
        <w:rPr>
          <w:rFonts w:ascii="Times New Roman" w:hAnsi="Times New Roman" w:cs="Times New Roman"/>
          <w:i/>
        </w:rPr>
        <w:t>A Seleukid Prosopography and Gazetteer.</w:t>
      </w:r>
      <w:r w:rsidRPr="009E5F74">
        <w:rPr>
          <w:rFonts w:ascii="Times New Roman" w:hAnsi="Times New Roman" w:cs="Times New Roman"/>
        </w:rPr>
        <w:t xml:space="preserve"> Brill: 1997. </w:t>
      </w:r>
    </w:p>
    <w:p w14:paraId="408D5B6B" w14:textId="77777777" w:rsidR="00B12599" w:rsidRDefault="00B12599" w:rsidP="00052CC9">
      <w:pPr>
        <w:spacing w:line="480" w:lineRule="auto"/>
        <w:rPr>
          <w:rFonts w:ascii="Times New Roman" w:hAnsi="Times New Roman" w:cs="Times New Roman"/>
        </w:rPr>
      </w:pPr>
      <w:r>
        <w:rPr>
          <w:rFonts w:ascii="Times New Roman" w:hAnsi="Times New Roman" w:cs="Times New Roman"/>
        </w:rPr>
        <w:t xml:space="preserve">Grainger, D. John. </w:t>
      </w:r>
      <w:r>
        <w:rPr>
          <w:rFonts w:ascii="Times New Roman" w:hAnsi="Times New Roman" w:cs="Times New Roman"/>
          <w:i/>
        </w:rPr>
        <w:t>The Seleukid Empire of Antiochus.</w:t>
      </w:r>
      <w:r>
        <w:rPr>
          <w:rFonts w:ascii="Times New Roman" w:hAnsi="Times New Roman" w:cs="Times New Roman"/>
        </w:rPr>
        <w:t xml:space="preserve"> Pen and Sword: Great Britain. 2015. </w:t>
      </w:r>
    </w:p>
    <w:p w14:paraId="09F8F516" w14:textId="77777777" w:rsidR="00B12599" w:rsidRPr="009E5F74" w:rsidRDefault="00B12599" w:rsidP="00052CC9">
      <w:pPr>
        <w:spacing w:line="480" w:lineRule="auto"/>
        <w:rPr>
          <w:rFonts w:ascii="Times New Roman" w:hAnsi="Times New Roman" w:cs="Times New Roman"/>
        </w:rPr>
      </w:pPr>
      <w:r>
        <w:rPr>
          <w:rFonts w:ascii="Times New Roman" w:hAnsi="Times New Roman" w:cs="Times New Roman"/>
        </w:rPr>
        <w:t xml:space="preserve">Lenski, N. </w:t>
      </w:r>
      <w:r>
        <w:rPr>
          <w:rFonts w:ascii="Times New Roman" w:hAnsi="Times New Roman" w:cs="Times New Roman"/>
          <w:i/>
        </w:rPr>
        <w:t xml:space="preserve">Failure of Empire. </w:t>
      </w:r>
      <w:r>
        <w:rPr>
          <w:rFonts w:ascii="Times New Roman" w:hAnsi="Times New Roman" w:cs="Times New Roman"/>
        </w:rPr>
        <w:t>University of California Press: London. 1965.</w:t>
      </w:r>
    </w:p>
    <w:p w14:paraId="2EDEFEF9" w14:textId="77777777" w:rsidR="00B12599" w:rsidRPr="009E5F74" w:rsidRDefault="00B12599" w:rsidP="00052CC9">
      <w:pPr>
        <w:spacing w:line="480" w:lineRule="auto"/>
        <w:rPr>
          <w:rFonts w:ascii="Times New Roman" w:hAnsi="Times New Roman" w:cs="Times New Roman"/>
        </w:rPr>
      </w:pPr>
      <w:r w:rsidRPr="009E5F74">
        <w:rPr>
          <w:rFonts w:ascii="Times New Roman" w:hAnsi="Times New Roman" w:cs="Times New Roman"/>
        </w:rPr>
        <w:t xml:space="preserve">Ogden, D. </w:t>
      </w:r>
      <w:r w:rsidRPr="009E5F74">
        <w:rPr>
          <w:rFonts w:ascii="Times New Roman" w:hAnsi="Times New Roman" w:cs="Times New Roman"/>
          <w:i/>
        </w:rPr>
        <w:t>Polygamy, Prostitutes and Death: The Hellenistic Dynasties.</w:t>
      </w:r>
      <w:r w:rsidRPr="009E5F74">
        <w:rPr>
          <w:rFonts w:ascii="Times New Roman" w:hAnsi="Times New Roman" w:cs="Times New Roman"/>
        </w:rPr>
        <w:t xml:space="preserve"> Duckworth w. The Classical Press of Wales: 1999. </w:t>
      </w:r>
    </w:p>
    <w:p w14:paraId="3BE84FDA" w14:textId="77777777" w:rsidR="00B12599" w:rsidRPr="009E5F74" w:rsidRDefault="00B12599" w:rsidP="00052CC9">
      <w:pPr>
        <w:spacing w:line="480" w:lineRule="auto"/>
        <w:rPr>
          <w:rFonts w:ascii="Times New Roman" w:hAnsi="Times New Roman" w:cs="Times New Roman"/>
        </w:rPr>
      </w:pPr>
      <w:r w:rsidRPr="009E5F74">
        <w:rPr>
          <w:rFonts w:ascii="Times New Roman" w:hAnsi="Times New Roman" w:cs="Times New Roman"/>
        </w:rPr>
        <w:t xml:space="preserve">Strootman, R. </w:t>
      </w:r>
      <w:r w:rsidRPr="009E5F74">
        <w:rPr>
          <w:rFonts w:ascii="Times New Roman" w:hAnsi="Times New Roman" w:cs="Times New Roman"/>
          <w:i/>
        </w:rPr>
        <w:t xml:space="preserve">Hellenistic Court and Society: The Seleukid Imperial Court Under </w:t>
      </w:r>
      <w:proofErr w:type="spellStart"/>
      <w:r w:rsidRPr="009E5F74">
        <w:rPr>
          <w:rFonts w:ascii="Times New Roman" w:hAnsi="Times New Roman" w:cs="Times New Roman"/>
          <w:i/>
        </w:rPr>
        <w:t>Antiochos</w:t>
      </w:r>
      <w:proofErr w:type="spellEnd"/>
      <w:r w:rsidRPr="009E5F74">
        <w:rPr>
          <w:rFonts w:ascii="Times New Roman" w:hAnsi="Times New Roman" w:cs="Times New Roman"/>
          <w:i/>
        </w:rPr>
        <w:t xml:space="preserve"> The Great, 223-187 BCE. </w:t>
      </w:r>
      <w:r w:rsidRPr="009E5F74">
        <w:rPr>
          <w:rFonts w:ascii="Times New Roman" w:hAnsi="Times New Roman" w:cs="Times New Roman"/>
        </w:rPr>
        <w:t xml:space="preserve">In. </w:t>
      </w:r>
      <w:r w:rsidRPr="009E5F74">
        <w:rPr>
          <w:rFonts w:ascii="Times New Roman" w:hAnsi="Times New Roman" w:cs="Times New Roman"/>
          <w:i/>
        </w:rPr>
        <w:t>Royal Courts in Dynastic States and Empires: A Global Perspective.</w:t>
      </w:r>
      <w:r w:rsidRPr="009E5F74">
        <w:rPr>
          <w:rFonts w:ascii="Times New Roman" w:hAnsi="Times New Roman" w:cs="Times New Roman"/>
        </w:rPr>
        <w:t xml:space="preserve"> Ed. </w:t>
      </w:r>
      <w:proofErr w:type="spellStart"/>
      <w:r w:rsidRPr="009E5F74">
        <w:rPr>
          <w:rFonts w:ascii="Times New Roman" w:hAnsi="Times New Roman" w:cs="Times New Roman"/>
        </w:rPr>
        <w:t>Duindam</w:t>
      </w:r>
      <w:proofErr w:type="spellEnd"/>
      <w:r w:rsidRPr="009E5F74">
        <w:rPr>
          <w:rFonts w:ascii="Times New Roman" w:hAnsi="Times New Roman" w:cs="Times New Roman"/>
        </w:rPr>
        <w:t xml:space="preserve">, J. </w:t>
      </w:r>
      <w:proofErr w:type="spellStart"/>
      <w:r w:rsidRPr="009E5F74">
        <w:rPr>
          <w:rFonts w:ascii="Times New Roman" w:hAnsi="Times New Roman" w:cs="Times New Roman"/>
        </w:rPr>
        <w:t>Tulay</w:t>
      </w:r>
      <w:proofErr w:type="spellEnd"/>
      <w:r w:rsidRPr="009E5F74">
        <w:rPr>
          <w:rFonts w:ascii="Times New Roman" w:hAnsi="Times New Roman" w:cs="Times New Roman"/>
        </w:rPr>
        <w:t xml:space="preserve">, A. </w:t>
      </w:r>
      <w:proofErr w:type="spellStart"/>
      <w:r w:rsidRPr="009E5F74">
        <w:rPr>
          <w:rFonts w:ascii="Times New Roman" w:hAnsi="Times New Roman" w:cs="Times New Roman"/>
        </w:rPr>
        <w:t>Metin</w:t>
      </w:r>
      <w:proofErr w:type="spellEnd"/>
      <w:r w:rsidRPr="009E5F74">
        <w:rPr>
          <w:rFonts w:ascii="Times New Roman" w:hAnsi="Times New Roman" w:cs="Times New Roman"/>
        </w:rPr>
        <w:t xml:space="preserve">, K. Brill: 2011. </w:t>
      </w:r>
    </w:p>
    <w:p w14:paraId="60153812" w14:textId="77777777" w:rsidR="00052CC9" w:rsidRPr="009E5F74" w:rsidRDefault="00052CC9" w:rsidP="00052CC9">
      <w:pPr>
        <w:spacing w:line="480" w:lineRule="auto"/>
        <w:rPr>
          <w:rFonts w:ascii="Times New Roman" w:hAnsi="Times New Roman" w:cs="Times New Roman"/>
          <w:u w:val="single"/>
        </w:rPr>
      </w:pPr>
      <w:r w:rsidRPr="009E5F74">
        <w:rPr>
          <w:rFonts w:ascii="Times New Roman" w:hAnsi="Times New Roman" w:cs="Times New Roman"/>
          <w:u w:val="single"/>
        </w:rPr>
        <w:t>Ancient Sources</w:t>
      </w:r>
    </w:p>
    <w:p w14:paraId="645789BD" w14:textId="77777777" w:rsidR="009E5F74" w:rsidRPr="009E5F74" w:rsidRDefault="009E5F74" w:rsidP="00CB3E66">
      <w:pPr>
        <w:rPr>
          <w:rFonts w:ascii="Times New Roman" w:hAnsi="Times New Roman" w:cs="Times New Roman"/>
        </w:rPr>
      </w:pPr>
      <w:r w:rsidRPr="009E5F74">
        <w:rPr>
          <w:rFonts w:ascii="Times New Roman" w:hAnsi="Times New Roman" w:cs="Times New Roman"/>
        </w:rPr>
        <w:t xml:space="preserve">Appian. </w:t>
      </w:r>
      <w:r w:rsidRPr="009E5F74">
        <w:rPr>
          <w:rFonts w:ascii="Times New Roman" w:hAnsi="Times New Roman" w:cs="Times New Roman"/>
          <w:i/>
        </w:rPr>
        <w:t>Roman History.</w:t>
      </w:r>
      <w:r w:rsidRPr="009E5F74">
        <w:rPr>
          <w:rFonts w:ascii="Times New Roman" w:hAnsi="Times New Roman" w:cs="Times New Roman"/>
        </w:rPr>
        <w:t xml:space="preserve"> </w:t>
      </w:r>
      <w:proofErr w:type="spellStart"/>
      <w:r w:rsidRPr="009E5F74">
        <w:rPr>
          <w:rFonts w:ascii="Times New Roman" w:hAnsi="Times New Roman" w:cs="Times New Roman"/>
        </w:rPr>
        <w:t>Horrace</w:t>
      </w:r>
      <w:proofErr w:type="spellEnd"/>
      <w:r w:rsidRPr="009E5F74">
        <w:rPr>
          <w:rFonts w:ascii="Times New Roman" w:hAnsi="Times New Roman" w:cs="Times New Roman"/>
        </w:rPr>
        <w:t xml:space="preserve"> White. Harvard University Press: London. 2005. </w:t>
      </w:r>
    </w:p>
    <w:p w14:paraId="0D4C0CDA" w14:textId="3995BDF8" w:rsidR="009E5F74" w:rsidRDefault="009E5F74" w:rsidP="00052CC9">
      <w:pPr>
        <w:spacing w:line="480" w:lineRule="auto"/>
        <w:rPr>
          <w:rFonts w:ascii="Times New Roman" w:hAnsi="Times New Roman" w:cs="Times New Roman"/>
        </w:rPr>
      </w:pPr>
      <w:r w:rsidRPr="009E5F74">
        <w:rPr>
          <w:rFonts w:ascii="Times New Roman" w:hAnsi="Times New Roman" w:cs="Times New Roman"/>
        </w:rPr>
        <w:t>Polybius.</w:t>
      </w:r>
      <w:r w:rsidRPr="009E5F74">
        <w:rPr>
          <w:rFonts w:ascii="Times New Roman" w:hAnsi="Times New Roman" w:cs="Times New Roman"/>
          <w:i/>
        </w:rPr>
        <w:t xml:space="preserve"> The Histories.</w:t>
      </w:r>
      <w:r w:rsidRPr="009E5F74">
        <w:rPr>
          <w:rFonts w:ascii="Times New Roman" w:hAnsi="Times New Roman" w:cs="Times New Roman"/>
        </w:rPr>
        <w:t xml:space="preserve"> </w:t>
      </w:r>
      <w:proofErr w:type="spellStart"/>
      <w:r w:rsidRPr="009E5F74">
        <w:rPr>
          <w:rFonts w:ascii="Times New Roman" w:hAnsi="Times New Roman" w:cs="Times New Roman"/>
        </w:rPr>
        <w:t>Hultsch</w:t>
      </w:r>
      <w:proofErr w:type="spellEnd"/>
      <w:r w:rsidRPr="009E5F74">
        <w:rPr>
          <w:rFonts w:ascii="Times New Roman" w:hAnsi="Times New Roman" w:cs="Times New Roman"/>
        </w:rPr>
        <w:t xml:space="preserve">, F. </w:t>
      </w:r>
      <w:proofErr w:type="spellStart"/>
      <w:r w:rsidRPr="009E5F74">
        <w:rPr>
          <w:rFonts w:ascii="Times New Roman" w:hAnsi="Times New Roman" w:cs="Times New Roman"/>
        </w:rPr>
        <w:t>Schuckburgh</w:t>
      </w:r>
      <w:proofErr w:type="spellEnd"/>
      <w:r w:rsidRPr="009E5F74">
        <w:rPr>
          <w:rFonts w:ascii="Times New Roman" w:hAnsi="Times New Roman" w:cs="Times New Roman"/>
        </w:rPr>
        <w:t>, E. S. London: Macmillan 1889</w:t>
      </w:r>
    </w:p>
    <w:p w14:paraId="40A5A477" w14:textId="77777777" w:rsidR="009E5F74" w:rsidRPr="009E5F74" w:rsidRDefault="009E5F74" w:rsidP="00052CC9">
      <w:pPr>
        <w:spacing w:line="480" w:lineRule="auto"/>
        <w:rPr>
          <w:rFonts w:ascii="Times New Roman" w:hAnsi="Times New Roman" w:cs="Times New Roman"/>
        </w:rPr>
      </w:pPr>
    </w:p>
    <w:sectPr w:rsidR="009E5F74" w:rsidRPr="009E5F74">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4E422D" w14:textId="77777777" w:rsidR="00753817" w:rsidRDefault="00753817" w:rsidP="00753817">
      <w:pPr>
        <w:spacing w:after="0" w:line="240" w:lineRule="auto"/>
      </w:pPr>
      <w:r>
        <w:separator/>
      </w:r>
    </w:p>
  </w:endnote>
  <w:endnote w:type="continuationSeparator" w:id="0">
    <w:p w14:paraId="45D73764" w14:textId="77777777" w:rsidR="00753817" w:rsidRDefault="00753817" w:rsidP="007538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5970484"/>
      <w:docPartObj>
        <w:docPartGallery w:val="Page Numbers (Bottom of Page)"/>
        <w:docPartUnique/>
      </w:docPartObj>
    </w:sdtPr>
    <w:sdtEndPr>
      <w:rPr>
        <w:noProof/>
      </w:rPr>
    </w:sdtEndPr>
    <w:sdtContent>
      <w:p w14:paraId="5593AEC7" w14:textId="5D4138F5" w:rsidR="00B12599" w:rsidRDefault="00B1259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26397E" w14:textId="77777777" w:rsidR="00B12599" w:rsidRDefault="00B125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8BB528" w14:textId="77777777" w:rsidR="00753817" w:rsidRDefault="00753817" w:rsidP="00753817">
      <w:pPr>
        <w:spacing w:after="0" w:line="240" w:lineRule="auto"/>
      </w:pPr>
      <w:r>
        <w:separator/>
      </w:r>
    </w:p>
  </w:footnote>
  <w:footnote w:type="continuationSeparator" w:id="0">
    <w:p w14:paraId="4043B92A" w14:textId="77777777" w:rsidR="00753817" w:rsidRDefault="00753817" w:rsidP="00753817">
      <w:pPr>
        <w:spacing w:after="0" w:line="240" w:lineRule="auto"/>
      </w:pPr>
      <w:r>
        <w:continuationSeparator/>
      </w:r>
    </w:p>
  </w:footnote>
  <w:footnote w:id="1">
    <w:p w14:paraId="0334C37C" w14:textId="521210F5" w:rsidR="00D91DE2" w:rsidRPr="003215C3" w:rsidRDefault="00D91DE2">
      <w:pPr>
        <w:pStyle w:val="FootnoteText"/>
        <w:rPr>
          <w:rFonts w:ascii="Times New Roman" w:hAnsi="Times New Roman" w:cs="Times New Roman"/>
        </w:rPr>
      </w:pPr>
      <w:r>
        <w:rPr>
          <w:rStyle w:val="FootnoteReference"/>
        </w:rPr>
        <w:footnoteRef/>
      </w:r>
      <w:r>
        <w:t xml:space="preserve"> </w:t>
      </w:r>
      <w:r w:rsidR="007F6683">
        <w:t>Ap</w:t>
      </w:r>
      <w:r w:rsidR="007F6683" w:rsidRPr="003215C3">
        <w:rPr>
          <w:rFonts w:ascii="Times New Roman" w:hAnsi="Times New Roman" w:cs="Times New Roman"/>
        </w:rPr>
        <w:t>hergis</w:t>
      </w:r>
      <w:r w:rsidR="00E26879" w:rsidRPr="003215C3">
        <w:rPr>
          <w:rFonts w:ascii="Times New Roman" w:hAnsi="Times New Roman" w:cs="Times New Roman"/>
        </w:rPr>
        <w:t xml:space="preserve"> 2015. </w:t>
      </w:r>
    </w:p>
  </w:footnote>
  <w:footnote w:id="2">
    <w:p w14:paraId="4F571B0A" w14:textId="0DB54AC1" w:rsidR="002A11F9" w:rsidRPr="003215C3" w:rsidRDefault="002A11F9">
      <w:pPr>
        <w:pStyle w:val="FootnoteText"/>
        <w:rPr>
          <w:rFonts w:ascii="Times New Roman" w:hAnsi="Times New Roman" w:cs="Times New Roman"/>
        </w:rPr>
      </w:pPr>
      <w:r w:rsidRPr="003215C3">
        <w:rPr>
          <w:rStyle w:val="FootnoteReference"/>
          <w:rFonts w:ascii="Times New Roman" w:hAnsi="Times New Roman" w:cs="Times New Roman"/>
        </w:rPr>
        <w:footnoteRef/>
      </w:r>
      <w:r w:rsidRPr="003215C3">
        <w:rPr>
          <w:rFonts w:ascii="Times New Roman" w:hAnsi="Times New Roman" w:cs="Times New Roman"/>
        </w:rPr>
        <w:t xml:space="preserve"> </w:t>
      </w:r>
      <w:r w:rsidR="007F6683" w:rsidRPr="003215C3">
        <w:rPr>
          <w:rFonts w:ascii="Times New Roman" w:hAnsi="Times New Roman" w:cs="Times New Roman"/>
        </w:rPr>
        <w:t>Grainger</w:t>
      </w:r>
      <w:r w:rsidR="002E3A0F" w:rsidRPr="003215C3">
        <w:rPr>
          <w:rFonts w:ascii="Times New Roman" w:hAnsi="Times New Roman" w:cs="Times New Roman"/>
        </w:rPr>
        <w:t xml:space="preserve"> 2015: 1.</w:t>
      </w:r>
    </w:p>
  </w:footnote>
  <w:footnote w:id="3">
    <w:p w14:paraId="1C46ACC0" w14:textId="583D4E77" w:rsidR="002A11F9" w:rsidRPr="003215C3" w:rsidRDefault="002A11F9">
      <w:pPr>
        <w:pStyle w:val="FootnoteText"/>
        <w:rPr>
          <w:rFonts w:ascii="Times New Roman" w:hAnsi="Times New Roman" w:cs="Times New Roman"/>
        </w:rPr>
      </w:pPr>
      <w:r w:rsidRPr="003215C3">
        <w:rPr>
          <w:rStyle w:val="FootnoteReference"/>
          <w:rFonts w:ascii="Times New Roman" w:hAnsi="Times New Roman" w:cs="Times New Roman"/>
        </w:rPr>
        <w:footnoteRef/>
      </w:r>
      <w:r w:rsidRPr="003215C3">
        <w:rPr>
          <w:rFonts w:ascii="Times New Roman" w:hAnsi="Times New Roman" w:cs="Times New Roman"/>
        </w:rPr>
        <w:t xml:space="preserve"> Trade links and routes would have been affected by the financial and economic instability of the Seleucid empire, thus causing issues for surrounding empires also. </w:t>
      </w:r>
    </w:p>
  </w:footnote>
  <w:footnote w:id="4">
    <w:p w14:paraId="502C6E2C" w14:textId="17EDE86C" w:rsidR="002042C1" w:rsidRPr="003215C3" w:rsidRDefault="002042C1">
      <w:pPr>
        <w:pStyle w:val="FootnoteText"/>
        <w:rPr>
          <w:rFonts w:ascii="Times New Roman" w:hAnsi="Times New Roman" w:cs="Times New Roman"/>
        </w:rPr>
      </w:pPr>
      <w:r w:rsidRPr="003215C3">
        <w:rPr>
          <w:rStyle w:val="FootnoteReference"/>
          <w:rFonts w:ascii="Times New Roman" w:hAnsi="Times New Roman" w:cs="Times New Roman"/>
        </w:rPr>
        <w:footnoteRef/>
      </w:r>
      <w:r w:rsidRPr="003215C3">
        <w:rPr>
          <w:rFonts w:ascii="Times New Roman" w:hAnsi="Times New Roman" w:cs="Times New Roman"/>
        </w:rPr>
        <w:t xml:space="preserve"> Og</w:t>
      </w:r>
      <w:r w:rsidR="007F6683" w:rsidRPr="003215C3">
        <w:rPr>
          <w:rFonts w:ascii="Times New Roman" w:hAnsi="Times New Roman" w:cs="Times New Roman"/>
        </w:rPr>
        <w:t>den</w:t>
      </w:r>
      <w:r w:rsidRPr="003215C3">
        <w:rPr>
          <w:rFonts w:ascii="Times New Roman" w:hAnsi="Times New Roman" w:cs="Times New Roman"/>
        </w:rPr>
        <w:t xml:space="preserve"> 1999: 117</w:t>
      </w:r>
      <w:r w:rsidR="002E3A0F" w:rsidRPr="003215C3">
        <w:rPr>
          <w:rFonts w:ascii="Times New Roman" w:hAnsi="Times New Roman" w:cs="Times New Roman"/>
        </w:rPr>
        <w:t>.</w:t>
      </w:r>
    </w:p>
  </w:footnote>
  <w:footnote w:id="5">
    <w:p w14:paraId="49E9CB6C" w14:textId="4719B933" w:rsidR="007F6683" w:rsidRPr="003215C3" w:rsidRDefault="007F6683">
      <w:pPr>
        <w:pStyle w:val="FootnoteText"/>
        <w:rPr>
          <w:rFonts w:ascii="Times New Roman" w:hAnsi="Times New Roman" w:cs="Times New Roman"/>
        </w:rPr>
      </w:pPr>
      <w:r w:rsidRPr="003215C3">
        <w:rPr>
          <w:rStyle w:val="FootnoteReference"/>
          <w:rFonts w:ascii="Times New Roman" w:hAnsi="Times New Roman" w:cs="Times New Roman"/>
        </w:rPr>
        <w:footnoteRef/>
      </w:r>
      <w:r w:rsidRPr="003215C3">
        <w:rPr>
          <w:rFonts w:ascii="Times New Roman" w:hAnsi="Times New Roman" w:cs="Times New Roman"/>
        </w:rPr>
        <w:t xml:space="preserve"> Grainger 2015: 23. </w:t>
      </w:r>
    </w:p>
  </w:footnote>
  <w:footnote w:id="6">
    <w:p w14:paraId="702A1D1A" w14:textId="6AB103EB" w:rsidR="007F6683" w:rsidRPr="003215C3" w:rsidRDefault="007F6683">
      <w:pPr>
        <w:pStyle w:val="FootnoteText"/>
        <w:rPr>
          <w:rFonts w:ascii="Times New Roman" w:hAnsi="Times New Roman" w:cs="Times New Roman"/>
        </w:rPr>
      </w:pPr>
      <w:r w:rsidRPr="003215C3">
        <w:rPr>
          <w:rStyle w:val="FootnoteReference"/>
          <w:rFonts w:ascii="Times New Roman" w:hAnsi="Times New Roman" w:cs="Times New Roman"/>
        </w:rPr>
        <w:footnoteRef/>
      </w:r>
      <w:r w:rsidRPr="003215C3">
        <w:rPr>
          <w:rFonts w:ascii="Times New Roman" w:hAnsi="Times New Roman" w:cs="Times New Roman"/>
        </w:rPr>
        <w:t xml:space="preserve"> Strootman 2011: 75. </w:t>
      </w:r>
    </w:p>
  </w:footnote>
  <w:footnote w:id="7">
    <w:p w14:paraId="4797D84F" w14:textId="6C7C280D" w:rsidR="002F472C" w:rsidRPr="003215C3" w:rsidRDefault="002F472C">
      <w:pPr>
        <w:pStyle w:val="FootnoteText"/>
        <w:rPr>
          <w:rFonts w:ascii="Times New Roman" w:hAnsi="Times New Roman" w:cs="Times New Roman"/>
          <w:i/>
        </w:rPr>
      </w:pPr>
      <w:r w:rsidRPr="003215C3">
        <w:rPr>
          <w:rStyle w:val="FootnoteReference"/>
          <w:rFonts w:ascii="Times New Roman" w:hAnsi="Times New Roman" w:cs="Times New Roman"/>
        </w:rPr>
        <w:footnoteRef/>
      </w:r>
      <w:r w:rsidRPr="003215C3">
        <w:rPr>
          <w:rFonts w:ascii="Times New Roman" w:hAnsi="Times New Roman" w:cs="Times New Roman"/>
        </w:rPr>
        <w:t xml:space="preserve"> </w:t>
      </w:r>
      <w:r w:rsidR="006641E9" w:rsidRPr="003215C3">
        <w:rPr>
          <w:rFonts w:ascii="Times New Roman" w:hAnsi="Times New Roman" w:cs="Times New Roman"/>
        </w:rPr>
        <w:t>Grainger 1997: 33. “</w:t>
      </w:r>
      <w:r w:rsidR="006641E9" w:rsidRPr="003215C3">
        <w:rPr>
          <w:rFonts w:ascii="Times New Roman" w:hAnsi="Times New Roman" w:cs="Times New Roman"/>
          <w:i/>
        </w:rPr>
        <w:t>… coins often showed his own head and occasionally Pallas, Eros or Apollo, backed by the usual Seleukid types… Zeus, Athene…”</w:t>
      </w:r>
    </w:p>
  </w:footnote>
  <w:footnote w:id="8">
    <w:p w14:paraId="5ACF7EB6" w14:textId="12B88714" w:rsidR="006641E9" w:rsidRPr="003215C3" w:rsidRDefault="006641E9">
      <w:pPr>
        <w:pStyle w:val="FootnoteText"/>
        <w:rPr>
          <w:rFonts w:ascii="Times New Roman" w:hAnsi="Times New Roman" w:cs="Times New Roman"/>
        </w:rPr>
      </w:pPr>
      <w:r w:rsidRPr="003215C3">
        <w:rPr>
          <w:rStyle w:val="FootnoteReference"/>
          <w:rFonts w:ascii="Times New Roman" w:hAnsi="Times New Roman" w:cs="Times New Roman"/>
        </w:rPr>
        <w:footnoteRef/>
      </w:r>
      <w:r w:rsidRPr="003215C3">
        <w:rPr>
          <w:rFonts w:ascii="Times New Roman" w:hAnsi="Times New Roman" w:cs="Times New Roman"/>
        </w:rPr>
        <w:t xml:space="preserve"> </w:t>
      </w:r>
      <w:proofErr w:type="spellStart"/>
      <w:r w:rsidRPr="003215C3">
        <w:rPr>
          <w:rFonts w:ascii="Times New Roman" w:hAnsi="Times New Roman" w:cs="Times New Roman"/>
        </w:rPr>
        <w:t>Coskun</w:t>
      </w:r>
      <w:proofErr w:type="spellEnd"/>
      <w:r w:rsidRPr="003215C3">
        <w:rPr>
          <w:rFonts w:ascii="Times New Roman" w:hAnsi="Times New Roman" w:cs="Times New Roman"/>
        </w:rPr>
        <w:t xml:space="preserve"> and Macauley 2016: 27.</w:t>
      </w:r>
    </w:p>
  </w:footnote>
  <w:footnote w:id="9">
    <w:p w14:paraId="4FEE3471" w14:textId="676F504A" w:rsidR="006641E9" w:rsidRPr="003215C3" w:rsidRDefault="006641E9">
      <w:pPr>
        <w:pStyle w:val="FootnoteText"/>
        <w:rPr>
          <w:rFonts w:ascii="Times New Roman" w:hAnsi="Times New Roman" w:cs="Times New Roman"/>
        </w:rPr>
      </w:pPr>
      <w:r w:rsidRPr="003215C3">
        <w:rPr>
          <w:rStyle w:val="FootnoteReference"/>
          <w:rFonts w:ascii="Times New Roman" w:hAnsi="Times New Roman" w:cs="Times New Roman"/>
        </w:rPr>
        <w:footnoteRef/>
      </w:r>
      <w:r w:rsidRPr="003215C3">
        <w:rPr>
          <w:rFonts w:ascii="Times New Roman" w:hAnsi="Times New Roman" w:cs="Times New Roman"/>
        </w:rPr>
        <w:t xml:space="preserve"> Grainger 1997: </w:t>
      </w:r>
      <w:r w:rsidR="001D18D5" w:rsidRPr="003215C3">
        <w:rPr>
          <w:rFonts w:ascii="Times New Roman" w:hAnsi="Times New Roman" w:cs="Times New Roman"/>
        </w:rPr>
        <w:t>48.</w:t>
      </w:r>
    </w:p>
  </w:footnote>
  <w:footnote w:id="10">
    <w:p w14:paraId="54454760" w14:textId="530A4694" w:rsidR="001D18D5" w:rsidRPr="003215C3" w:rsidRDefault="001D18D5">
      <w:pPr>
        <w:pStyle w:val="FootnoteText"/>
        <w:rPr>
          <w:rFonts w:ascii="Times New Roman" w:hAnsi="Times New Roman" w:cs="Times New Roman"/>
        </w:rPr>
      </w:pPr>
      <w:r w:rsidRPr="003215C3">
        <w:rPr>
          <w:rStyle w:val="FootnoteReference"/>
          <w:rFonts w:ascii="Times New Roman" w:hAnsi="Times New Roman" w:cs="Times New Roman"/>
        </w:rPr>
        <w:footnoteRef/>
      </w:r>
      <w:r w:rsidRPr="003215C3">
        <w:rPr>
          <w:rFonts w:ascii="Times New Roman" w:hAnsi="Times New Roman" w:cs="Times New Roman"/>
        </w:rPr>
        <w:t xml:space="preserve"> Grainger 1997: 48. As the daughter of the cult’s goddess, it is only sensible that a newly built temple would include a shrine to me as the head of the cult and daughter of a goddess. </w:t>
      </w:r>
    </w:p>
  </w:footnote>
  <w:footnote w:id="11">
    <w:p w14:paraId="25BAB586" w14:textId="228DAF81" w:rsidR="0001703A" w:rsidRPr="003215C3" w:rsidRDefault="0001703A">
      <w:pPr>
        <w:pStyle w:val="FootnoteText"/>
        <w:rPr>
          <w:rFonts w:ascii="Times New Roman" w:hAnsi="Times New Roman" w:cs="Times New Roman"/>
        </w:rPr>
      </w:pPr>
      <w:r w:rsidRPr="003215C3">
        <w:rPr>
          <w:rStyle w:val="FootnoteReference"/>
          <w:rFonts w:ascii="Times New Roman" w:hAnsi="Times New Roman" w:cs="Times New Roman"/>
        </w:rPr>
        <w:footnoteRef/>
      </w:r>
      <w:r w:rsidRPr="003215C3">
        <w:rPr>
          <w:rFonts w:ascii="Times New Roman" w:hAnsi="Times New Roman" w:cs="Times New Roman"/>
        </w:rPr>
        <w:t xml:space="preserve"> Downey 1963: 23. “…</w:t>
      </w:r>
      <w:r w:rsidRPr="003215C3">
        <w:rPr>
          <w:rFonts w:ascii="Times New Roman" w:hAnsi="Times New Roman" w:cs="Times New Roman"/>
          <w:i/>
        </w:rPr>
        <w:t xml:space="preserve">The Queen found that the temple was ruinous, and she persuaded the king to restore it and increase its height, and she herself presented it with treasure.” </w:t>
      </w:r>
    </w:p>
  </w:footnote>
  <w:footnote w:id="12">
    <w:p w14:paraId="6CB6E462" w14:textId="51F539B0" w:rsidR="00EB5615" w:rsidRPr="003215C3" w:rsidRDefault="00EB5615">
      <w:pPr>
        <w:pStyle w:val="FootnoteText"/>
        <w:rPr>
          <w:rFonts w:ascii="Times New Roman" w:hAnsi="Times New Roman" w:cs="Times New Roman"/>
        </w:rPr>
      </w:pPr>
      <w:r w:rsidRPr="003215C3">
        <w:rPr>
          <w:rStyle w:val="FootnoteReference"/>
          <w:rFonts w:ascii="Times New Roman" w:hAnsi="Times New Roman" w:cs="Times New Roman"/>
        </w:rPr>
        <w:footnoteRef/>
      </w:r>
      <w:r w:rsidRPr="003215C3">
        <w:rPr>
          <w:rFonts w:ascii="Times New Roman" w:hAnsi="Times New Roman" w:cs="Times New Roman"/>
        </w:rPr>
        <w:t xml:space="preserve"> </w:t>
      </w:r>
      <w:proofErr w:type="spellStart"/>
      <w:r w:rsidRPr="003215C3">
        <w:rPr>
          <w:rFonts w:ascii="Times New Roman" w:hAnsi="Times New Roman" w:cs="Times New Roman"/>
        </w:rPr>
        <w:t>Athen</w:t>
      </w:r>
      <w:proofErr w:type="spellEnd"/>
      <w:r w:rsidRPr="003215C3">
        <w:rPr>
          <w:rFonts w:ascii="Times New Roman" w:hAnsi="Times New Roman" w:cs="Times New Roman"/>
        </w:rPr>
        <w:t xml:space="preserve">. </w:t>
      </w:r>
      <w:r w:rsidRPr="003215C3">
        <w:rPr>
          <w:rFonts w:ascii="Times New Roman" w:hAnsi="Times New Roman" w:cs="Times New Roman"/>
          <w:i/>
        </w:rPr>
        <w:t>Dei.</w:t>
      </w:r>
      <w:r w:rsidRPr="003215C3">
        <w:rPr>
          <w:rFonts w:ascii="Times New Roman" w:hAnsi="Times New Roman" w:cs="Times New Roman"/>
        </w:rPr>
        <w:t xml:space="preserve"> 5. 38-39.</w:t>
      </w:r>
    </w:p>
  </w:footnote>
  <w:footnote w:id="13">
    <w:p w14:paraId="524A8189" w14:textId="33DBB083" w:rsidR="0001703A" w:rsidRPr="003215C3" w:rsidRDefault="0001703A">
      <w:pPr>
        <w:pStyle w:val="FootnoteText"/>
        <w:rPr>
          <w:rFonts w:ascii="Times New Roman" w:hAnsi="Times New Roman" w:cs="Times New Roman"/>
        </w:rPr>
      </w:pPr>
      <w:r w:rsidRPr="003215C3">
        <w:rPr>
          <w:rStyle w:val="FootnoteReference"/>
          <w:rFonts w:ascii="Times New Roman" w:hAnsi="Times New Roman" w:cs="Times New Roman"/>
        </w:rPr>
        <w:footnoteRef/>
      </w:r>
      <w:r w:rsidRPr="003215C3">
        <w:rPr>
          <w:rFonts w:ascii="Times New Roman" w:hAnsi="Times New Roman" w:cs="Times New Roman"/>
        </w:rPr>
        <w:t xml:space="preserve"> Downey 1963: 23.</w:t>
      </w:r>
    </w:p>
  </w:footnote>
  <w:footnote w:id="14">
    <w:p w14:paraId="3B5CD3E0" w14:textId="1E0616F7" w:rsidR="00560AF8" w:rsidRPr="003215C3" w:rsidRDefault="00560AF8">
      <w:pPr>
        <w:pStyle w:val="FootnoteText"/>
        <w:rPr>
          <w:rFonts w:ascii="Times New Roman" w:hAnsi="Times New Roman" w:cs="Times New Roman"/>
        </w:rPr>
      </w:pPr>
      <w:r w:rsidRPr="003215C3">
        <w:rPr>
          <w:rStyle w:val="FootnoteReference"/>
          <w:rFonts w:ascii="Times New Roman" w:hAnsi="Times New Roman" w:cs="Times New Roman"/>
        </w:rPr>
        <w:footnoteRef/>
      </w:r>
      <w:r w:rsidRPr="003215C3">
        <w:rPr>
          <w:rFonts w:ascii="Times New Roman" w:hAnsi="Times New Roman" w:cs="Times New Roman"/>
        </w:rPr>
        <w:t xml:space="preserve"> Aphergis 2015. </w:t>
      </w:r>
    </w:p>
  </w:footnote>
  <w:footnote w:id="15">
    <w:p w14:paraId="1C76F845" w14:textId="478E6701" w:rsidR="00560AF8" w:rsidRPr="003215C3" w:rsidRDefault="00560AF8">
      <w:pPr>
        <w:pStyle w:val="FootnoteText"/>
        <w:rPr>
          <w:rFonts w:ascii="Times New Roman" w:hAnsi="Times New Roman" w:cs="Times New Roman"/>
        </w:rPr>
      </w:pPr>
      <w:r w:rsidRPr="003215C3">
        <w:rPr>
          <w:rStyle w:val="FootnoteReference"/>
          <w:rFonts w:ascii="Times New Roman" w:hAnsi="Times New Roman" w:cs="Times New Roman"/>
        </w:rPr>
        <w:footnoteRef/>
      </w:r>
      <w:r w:rsidRPr="003215C3">
        <w:rPr>
          <w:rFonts w:ascii="Times New Roman" w:hAnsi="Times New Roman" w:cs="Times New Roman"/>
        </w:rPr>
        <w:t xml:space="preserve"> Aphergis 2004: 258.</w:t>
      </w:r>
    </w:p>
  </w:footnote>
  <w:footnote w:id="16">
    <w:p w14:paraId="1FF0E427" w14:textId="170669C7" w:rsidR="00560AF8" w:rsidRPr="003215C3" w:rsidRDefault="00560AF8">
      <w:pPr>
        <w:pStyle w:val="FootnoteText"/>
        <w:rPr>
          <w:rFonts w:ascii="Times New Roman" w:hAnsi="Times New Roman" w:cs="Times New Roman"/>
        </w:rPr>
      </w:pPr>
      <w:r w:rsidRPr="003215C3">
        <w:rPr>
          <w:rStyle w:val="FootnoteReference"/>
          <w:rFonts w:ascii="Times New Roman" w:hAnsi="Times New Roman" w:cs="Times New Roman"/>
        </w:rPr>
        <w:footnoteRef/>
      </w:r>
      <w:r w:rsidRPr="003215C3">
        <w:rPr>
          <w:rFonts w:ascii="Times New Roman" w:hAnsi="Times New Roman" w:cs="Times New Roman"/>
        </w:rPr>
        <w:t xml:space="preserve"> </w:t>
      </w:r>
      <w:r w:rsidR="009117D5" w:rsidRPr="003215C3">
        <w:rPr>
          <w:rFonts w:ascii="Times New Roman" w:hAnsi="Times New Roman" w:cs="Times New Roman"/>
        </w:rPr>
        <w:t>Grainger 1997: 67. “[She was married]</w:t>
      </w:r>
      <w:r w:rsidR="009117D5" w:rsidRPr="003215C3">
        <w:rPr>
          <w:rFonts w:ascii="Times New Roman" w:hAnsi="Times New Roman" w:cs="Times New Roman"/>
          <w:i/>
        </w:rPr>
        <w:t xml:space="preserve"> by the usual diplomatic process, but when her husband became king…”</w:t>
      </w:r>
      <w:r w:rsidR="009117D5" w:rsidRPr="003215C3">
        <w:rPr>
          <w:rFonts w:ascii="Times New Roman" w:hAnsi="Times New Roman" w:cs="Times New Roman"/>
        </w:rPr>
        <w:t xml:space="preserve"> Queens and princesses could marry below their status, thus a marriage to a Satrap was not uncommon. </w:t>
      </w:r>
    </w:p>
  </w:footnote>
  <w:footnote w:id="17">
    <w:p w14:paraId="042EF696" w14:textId="791CD02A" w:rsidR="009117D5" w:rsidRPr="003215C3" w:rsidRDefault="009117D5">
      <w:pPr>
        <w:pStyle w:val="FootnoteText"/>
        <w:rPr>
          <w:rFonts w:ascii="Times New Roman" w:hAnsi="Times New Roman" w:cs="Times New Roman"/>
        </w:rPr>
      </w:pPr>
      <w:r w:rsidRPr="003215C3">
        <w:rPr>
          <w:rStyle w:val="FootnoteReference"/>
          <w:rFonts w:ascii="Times New Roman" w:hAnsi="Times New Roman" w:cs="Times New Roman"/>
        </w:rPr>
        <w:footnoteRef/>
      </w:r>
      <w:r w:rsidRPr="003215C3">
        <w:rPr>
          <w:rFonts w:ascii="Times New Roman" w:hAnsi="Times New Roman" w:cs="Times New Roman"/>
        </w:rPr>
        <w:t xml:space="preserve"> Grainger 1997: 48. </w:t>
      </w:r>
    </w:p>
  </w:footnote>
  <w:footnote w:id="18">
    <w:p w14:paraId="0326902D" w14:textId="46A422B0" w:rsidR="00EA0ECC" w:rsidRPr="003215C3" w:rsidRDefault="00EA0ECC">
      <w:pPr>
        <w:pStyle w:val="FootnoteText"/>
        <w:rPr>
          <w:rFonts w:ascii="Times New Roman" w:hAnsi="Times New Roman" w:cs="Times New Roman"/>
        </w:rPr>
      </w:pPr>
      <w:r w:rsidRPr="003215C3">
        <w:rPr>
          <w:rStyle w:val="FootnoteReference"/>
          <w:rFonts w:ascii="Times New Roman" w:hAnsi="Times New Roman" w:cs="Times New Roman"/>
        </w:rPr>
        <w:footnoteRef/>
      </w:r>
      <w:r w:rsidRPr="003215C3">
        <w:rPr>
          <w:rFonts w:ascii="Times New Roman" w:hAnsi="Times New Roman" w:cs="Times New Roman"/>
        </w:rPr>
        <w:t xml:space="preserve"> </w:t>
      </w:r>
      <w:proofErr w:type="spellStart"/>
      <w:r w:rsidRPr="003215C3">
        <w:rPr>
          <w:rFonts w:ascii="Times New Roman" w:hAnsi="Times New Roman" w:cs="Times New Roman"/>
        </w:rPr>
        <w:t>Coskun</w:t>
      </w:r>
      <w:proofErr w:type="spellEnd"/>
      <w:r w:rsidRPr="003215C3">
        <w:rPr>
          <w:rFonts w:ascii="Times New Roman" w:hAnsi="Times New Roman" w:cs="Times New Roman"/>
        </w:rPr>
        <w:t xml:space="preserve"> 2016: 109. </w:t>
      </w:r>
      <w:r w:rsidRPr="003215C3">
        <w:rPr>
          <w:rFonts w:ascii="Times New Roman" w:hAnsi="Times New Roman" w:cs="Times New Roman"/>
          <w:i/>
        </w:rPr>
        <w:t>“</w:t>
      </w:r>
      <w:proofErr w:type="spellStart"/>
      <w:r w:rsidRPr="003215C3">
        <w:rPr>
          <w:rFonts w:ascii="Times New Roman" w:hAnsi="Times New Roman" w:cs="Times New Roman"/>
          <w:i/>
        </w:rPr>
        <w:t>Laodike</w:t>
      </w:r>
      <w:proofErr w:type="spellEnd"/>
      <w:r w:rsidRPr="003215C3">
        <w:rPr>
          <w:rFonts w:ascii="Times New Roman" w:hAnsi="Times New Roman" w:cs="Times New Roman"/>
          <w:i/>
        </w:rPr>
        <w:t xml:space="preserve"> I, appears as the prototype of the evil queen </w:t>
      </w:r>
      <w:r w:rsidRPr="003215C3">
        <w:rPr>
          <w:rFonts w:ascii="Times New Roman" w:hAnsi="Times New Roman" w:cs="Times New Roman"/>
        </w:rPr>
        <w:t xml:space="preserve">[for murdering </w:t>
      </w:r>
      <w:proofErr w:type="spellStart"/>
      <w:r w:rsidRPr="003215C3">
        <w:rPr>
          <w:rFonts w:ascii="Times New Roman" w:hAnsi="Times New Roman" w:cs="Times New Roman"/>
        </w:rPr>
        <w:t>Antiochos</w:t>
      </w:r>
      <w:proofErr w:type="spellEnd"/>
      <w:r w:rsidRPr="003215C3">
        <w:rPr>
          <w:rFonts w:ascii="Times New Roman" w:hAnsi="Times New Roman" w:cs="Times New Roman"/>
        </w:rPr>
        <w:t xml:space="preserve"> II</w:t>
      </w:r>
      <w:r w:rsidR="00FD57B4" w:rsidRPr="003215C3">
        <w:rPr>
          <w:rFonts w:ascii="Times New Roman" w:hAnsi="Times New Roman" w:cs="Times New Roman"/>
        </w:rPr>
        <w:t>]</w:t>
      </w:r>
      <w:r w:rsidR="00FD57B4" w:rsidRPr="003215C3">
        <w:rPr>
          <w:rFonts w:ascii="Times New Roman" w:hAnsi="Times New Roman" w:cs="Times New Roman"/>
          <w:i/>
        </w:rPr>
        <w:t>”</w:t>
      </w:r>
    </w:p>
  </w:footnote>
  <w:footnote w:id="19">
    <w:p w14:paraId="2683ECCB" w14:textId="32878581" w:rsidR="00321764" w:rsidRPr="003215C3" w:rsidRDefault="00FD57B4">
      <w:pPr>
        <w:pStyle w:val="FootnoteText"/>
        <w:rPr>
          <w:rFonts w:ascii="Times New Roman" w:hAnsi="Times New Roman" w:cs="Times New Roman"/>
        </w:rPr>
      </w:pPr>
      <w:r w:rsidRPr="003215C3">
        <w:rPr>
          <w:rStyle w:val="FootnoteReference"/>
          <w:rFonts w:ascii="Times New Roman" w:hAnsi="Times New Roman" w:cs="Times New Roman"/>
        </w:rPr>
        <w:footnoteRef/>
      </w:r>
      <w:r w:rsidRPr="003215C3">
        <w:rPr>
          <w:rFonts w:ascii="Times New Roman" w:hAnsi="Times New Roman" w:cs="Times New Roman"/>
        </w:rPr>
        <w:t xml:space="preserve"> Grainger </w:t>
      </w:r>
      <w:r w:rsidR="003A04A7" w:rsidRPr="003215C3">
        <w:rPr>
          <w:rFonts w:ascii="Times New Roman" w:hAnsi="Times New Roman" w:cs="Times New Roman"/>
        </w:rPr>
        <w:t xml:space="preserve">1997: 45. Marriages between the Seleukid and Ptolemaic empire were common and are referenced throughout Grainger’s </w:t>
      </w:r>
      <w:r w:rsidR="003A04A7" w:rsidRPr="003215C3">
        <w:rPr>
          <w:rFonts w:ascii="Times New Roman" w:hAnsi="Times New Roman" w:cs="Times New Roman"/>
          <w:i/>
        </w:rPr>
        <w:t xml:space="preserve">A Seleukid Prosopography and Gazetteer, </w:t>
      </w:r>
      <w:r w:rsidR="003A04A7" w:rsidRPr="003215C3">
        <w:rPr>
          <w:rFonts w:ascii="Times New Roman" w:hAnsi="Times New Roman" w:cs="Times New Roman"/>
        </w:rPr>
        <w:t xml:space="preserve">and so an invitation to a Ptolemaic wedding would be expected. </w:t>
      </w:r>
      <w:r w:rsidR="00321764" w:rsidRPr="003215C3">
        <w:rPr>
          <w:rFonts w:ascii="Times New Roman" w:hAnsi="Times New Roman" w:cs="Times New Roman"/>
          <w:i/>
        </w:rPr>
        <w:t xml:space="preserve">See also </w:t>
      </w:r>
      <w:r w:rsidR="00321764" w:rsidRPr="003215C3">
        <w:rPr>
          <w:rFonts w:ascii="Times New Roman" w:hAnsi="Times New Roman" w:cs="Times New Roman"/>
        </w:rPr>
        <w:t>Justin 39.42.</w:t>
      </w:r>
    </w:p>
  </w:footnote>
  <w:footnote w:id="20">
    <w:p w14:paraId="4389D44C" w14:textId="636ADD48" w:rsidR="00C805AD" w:rsidRPr="003215C3" w:rsidRDefault="00C805AD">
      <w:pPr>
        <w:pStyle w:val="FootnoteText"/>
        <w:rPr>
          <w:rFonts w:ascii="Times New Roman" w:hAnsi="Times New Roman" w:cs="Times New Roman"/>
        </w:rPr>
      </w:pPr>
      <w:r w:rsidRPr="003215C3">
        <w:rPr>
          <w:rStyle w:val="FootnoteReference"/>
          <w:rFonts w:ascii="Times New Roman" w:hAnsi="Times New Roman" w:cs="Times New Roman"/>
        </w:rPr>
        <w:footnoteRef/>
      </w:r>
      <w:r w:rsidRPr="003215C3">
        <w:rPr>
          <w:rFonts w:ascii="Times New Roman" w:hAnsi="Times New Roman" w:cs="Times New Roman"/>
        </w:rPr>
        <w:t xml:space="preserve"> Grainger 1997: 48.</w:t>
      </w:r>
    </w:p>
  </w:footnote>
  <w:footnote w:id="21">
    <w:p w14:paraId="3F78DE43" w14:textId="40ABB65F" w:rsidR="000F1192" w:rsidRPr="003215C3" w:rsidRDefault="000F1192">
      <w:pPr>
        <w:pStyle w:val="FootnoteText"/>
        <w:rPr>
          <w:rFonts w:ascii="Times New Roman" w:hAnsi="Times New Roman" w:cs="Times New Roman"/>
        </w:rPr>
      </w:pPr>
      <w:r w:rsidRPr="003215C3">
        <w:rPr>
          <w:rStyle w:val="FootnoteReference"/>
          <w:rFonts w:ascii="Times New Roman" w:hAnsi="Times New Roman" w:cs="Times New Roman"/>
        </w:rPr>
        <w:footnoteRef/>
      </w:r>
      <w:r w:rsidRPr="003215C3">
        <w:rPr>
          <w:rFonts w:ascii="Times New Roman" w:hAnsi="Times New Roman" w:cs="Times New Roman"/>
        </w:rPr>
        <w:t xml:space="preserve"> Grainger 2015: 6.</w:t>
      </w:r>
    </w:p>
  </w:footnote>
  <w:footnote w:id="22">
    <w:p w14:paraId="572D5FEE" w14:textId="7C31A3FB" w:rsidR="000F1192" w:rsidRPr="003215C3" w:rsidRDefault="000F1192">
      <w:pPr>
        <w:pStyle w:val="FootnoteText"/>
        <w:rPr>
          <w:rFonts w:ascii="Times New Roman" w:hAnsi="Times New Roman" w:cs="Times New Roman"/>
        </w:rPr>
      </w:pPr>
      <w:r w:rsidRPr="003215C3">
        <w:rPr>
          <w:rStyle w:val="FootnoteReference"/>
          <w:rFonts w:ascii="Times New Roman" w:hAnsi="Times New Roman" w:cs="Times New Roman"/>
        </w:rPr>
        <w:footnoteRef/>
      </w:r>
      <w:r w:rsidRPr="003215C3">
        <w:rPr>
          <w:rFonts w:ascii="Times New Roman" w:hAnsi="Times New Roman" w:cs="Times New Roman"/>
        </w:rPr>
        <w:t xml:space="preserve"> Grainger 1997: 49. </w:t>
      </w:r>
      <w:r w:rsidRPr="003215C3">
        <w:rPr>
          <w:rFonts w:ascii="Times New Roman" w:hAnsi="Times New Roman" w:cs="Times New Roman"/>
          <w:i/>
        </w:rPr>
        <w:t xml:space="preserve">See also </w:t>
      </w:r>
      <w:r w:rsidRPr="003215C3">
        <w:rPr>
          <w:rFonts w:ascii="Times New Roman" w:hAnsi="Times New Roman" w:cs="Times New Roman"/>
        </w:rPr>
        <w:t xml:space="preserve">Pol. </w:t>
      </w:r>
      <w:r w:rsidRPr="003215C3">
        <w:rPr>
          <w:rFonts w:ascii="Times New Roman" w:hAnsi="Times New Roman" w:cs="Times New Roman"/>
          <w:i/>
        </w:rPr>
        <w:t xml:space="preserve">His. </w:t>
      </w:r>
      <w:r w:rsidRPr="003215C3">
        <w:rPr>
          <w:rFonts w:ascii="Times New Roman" w:hAnsi="Times New Roman" w:cs="Times New Roman"/>
        </w:rPr>
        <w:t>5.74.3</w:t>
      </w:r>
    </w:p>
  </w:footnote>
  <w:footnote w:id="23">
    <w:p w14:paraId="665AF33C" w14:textId="30210F31" w:rsidR="00C26E10" w:rsidRPr="003215C3" w:rsidRDefault="00C26E10">
      <w:pPr>
        <w:pStyle w:val="FootnoteText"/>
        <w:rPr>
          <w:rFonts w:ascii="Times New Roman" w:hAnsi="Times New Roman" w:cs="Times New Roman"/>
        </w:rPr>
      </w:pPr>
      <w:r w:rsidRPr="003215C3">
        <w:rPr>
          <w:rStyle w:val="FootnoteReference"/>
          <w:rFonts w:ascii="Times New Roman" w:hAnsi="Times New Roman" w:cs="Times New Roman"/>
        </w:rPr>
        <w:footnoteRef/>
      </w:r>
      <w:r w:rsidRPr="003215C3">
        <w:rPr>
          <w:rFonts w:ascii="Times New Roman" w:hAnsi="Times New Roman" w:cs="Times New Roman"/>
        </w:rPr>
        <w:t xml:space="preserve"> </w:t>
      </w:r>
      <w:proofErr w:type="spellStart"/>
      <w:r w:rsidRPr="003215C3">
        <w:rPr>
          <w:rFonts w:ascii="Times New Roman" w:hAnsi="Times New Roman" w:cs="Times New Roman"/>
        </w:rPr>
        <w:t>Coskun</w:t>
      </w:r>
      <w:proofErr w:type="spellEnd"/>
      <w:r w:rsidRPr="003215C3">
        <w:rPr>
          <w:rFonts w:ascii="Times New Roman" w:hAnsi="Times New Roman" w:cs="Times New Roman"/>
        </w:rPr>
        <w:t xml:space="preserve"> 2016: 109. </w:t>
      </w:r>
    </w:p>
  </w:footnote>
  <w:footnote w:id="24">
    <w:p w14:paraId="13E31880" w14:textId="1F8DF71D" w:rsidR="007C0F9B" w:rsidRPr="003215C3" w:rsidRDefault="007C0F9B">
      <w:pPr>
        <w:pStyle w:val="FootnoteText"/>
        <w:rPr>
          <w:rFonts w:ascii="Times New Roman" w:hAnsi="Times New Roman" w:cs="Times New Roman"/>
          <w:i/>
        </w:rPr>
      </w:pPr>
      <w:r w:rsidRPr="003215C3">
        <w:rPr>
          <w:rStyle w:val="FootnoteReference"/>
          <w:rFonts w:ascii="Times New Roman" w:hAnsi="Times New Roman" w:cs="Times New Roman"/>
        </w:rPr>
        <w:footnoteRef/>
      </w:r>
      <w:r w:rsidRPr="003215C3">
        <w:rPr>
          <w:rFonts w:ascii="Times New Roman" w:hAnsi="Times New Roman" w:cs="Times New Roman"/>
        </w:rPr>
        <w:t xml:space="preserve"> Grainger 1997: 32. </w:t>
      </w:r>
      <w:r w:rsidRPr="003215C3">
        <w:rPr>
          <w:rFonts w:ascii="Times New Roman" w:hAnsi="Times New Roman" w:cs="Times New Roman"/>
          <w:i/>
        </w:rPr>
        <w:t>“…civil war was a disaster. External enemies invaded, cities detached themselves into independence…”</w:t>
      </w:r>
    </w:p>
  </w:footnote>
  <w:footnote w:id="25">
    <w:p w14:paraId="7776C8D8" w14:textId="0398B98B" w:rsidR="002A78C5" w:rsidRPr="003215C3" w:rsidRDefault="002A78C5">
      <w:pPr>
        <w:pStyle w:val="FootnoteText"/>
        <w:rPr>
          <w:rFonts w:ascii="Times New Roman" w:hAnsi="Times New Roman" w:cs="Times New Roman"/>
        </w:rPr>
      </w:pPr>
      <w:r w:rsidRPr="003215C3">
        <w:rPr>
          <w:rStyle w:val="FootnoteReference"/>
          <w:rFonts w:ascii="Times New Roman" w:hAnsi="Times New Roman" w:cs="Times New Roman"/>
        </w:rPr>
        <w:footnoteRef/>
      </w:r>
      <w:r w:rsidRPr="003215C3">
        <w:rPr>
          <w:rFonts w:ascii="Times New Roman" w:hAnsi="Times New Roman" w:cs="Times New Roman"/>
        </w:rPr>
        <w:t xml:space="preserve"> Bellinger 1949: 56.</w:t>
      </w:r>
    </w:p>
  </w:footnote>
  <w:footnote w:id="26">
    <w:p w14:paraId="7D0FA1E3" w14:textId="304C5001" w:rsidR="002A78C5" w:rsidRPr="003215C3" w:rsidRDefault="002A78C5">
      <w:pPr>
        <w:pStyle w:val="FootnoteText"/>
        <w:rPr>
          <w:rFonts w:ascii="Times New Roman" w:hAnsi="Times New Roman" w:cs="Times New Roman"/>
        </w:rPr>
      </w:pPr>
      <w:r w:rsidRPr="003215C3">
        <w:rPr>
          <w:rStyle w:val="FootnoteReference"/>
          <w:rFonts w:ascii="Times New Roman" w:hAnsi="Times New Roman" w:cs="Times New Roman"/>
        </w:rPr>
        <w:footnoteRef/>
      </w:r>
      <w:r w:rsidRPr="003215C3">
        <w:rPr>
          <w:rFonts w:ascii="Times New Roman" w:hAnsi="Times New Roman" w:cs="Times New Roman"/>
        </w:rPr>
        <w:t xml:space="preserve"> Bellinger 1949: 56. </w:t>
      </w:r>
    </w:p>
  </w:footnote>
  <w:footnote w:id="27">
    <w:p w14:paraId="735ED667" w14:textId="31F4075A" w:rsidR="002A78C5" w:rsidRPr="003215C3" w:rsidRDefault="002A78C5">
      <w:pPr>
        <w:pStyle w:val="FootnoteText"/>
        <w:rPr>
          <w:rFonts w:ascii="Times New Roman" w:hAnsi="Times New Roman" w:cs="Times New Roman"/>
        </w:rPr>
      </w:pPr>
      <w:r w:rsidRPr="003215C3">
        <w:rPr>
          <w:rStyle w:val="FootnoteReference"/>
          <w:rFonts w:ascii="Times New Roman" w:hAnsi="Times New Roman" w:cs="Times New Roman"/>
        </w:rPr>
        <w:footnoteRef/>
      </w:r>
      <w:r w:rsidRPr="003215C3">
        <w:rPr>
          <w:rFonts w:ascii="Times New Roman" w:hAnsi="Times New Roman" w:cs="Times New Roman"/>
        </w:rPr>
        <w:t xml:space="preserve"> </w:t>
      </w:r>
      <w:r w:rsidR="008A1523" w:rsidRPr="003215C3">
        <w:rPr>
          <w:rFonts w:ascii="Times New Roman" w:hAnsi="Times New Roman" w:cs="Times New Roman"/>
        </w:rPr>
        <w:t>Grainger 1997: 46.</w:t>
      </w:r>
    </w:p>
  </w:footnote>
  <w:footnote w:id="28">
    <w:p w14:paraId="78254FB6" w14:textId="3C19DCFA" w:rsidR="00E548F0" w:rsidRPr="003215C3" w:rsidRDefault="00E548F0">
      <w:pPr>
        <w:pStyle w:val="FootnoteText"/>
        <w:rPr>
          <w:rFonts w:ascii="Times New Roman" w:hAnsi="Times New Roman" w:cs="Times New Roman"/>
        </w:rPr>
      </w:pPr>
      <w:r w:rsidRPr="003215C3">
        <w:rPr>
          <w:rStyle w:val="FootnoteReference"/>
          <w:rFonts w:ascii="Times New Roman" w:hAnsi="Times New Roman" w:cs="Times New Roman"/>
        </w:rPr>
        <w:footnoteRef/>
      </w:r>
      <w:r w:rsidRPr="003215C3">
        <w:rPr>
          <w:rFonts w:ascii="Times New Roman" w:hAnsi="Times New Roman" w:cs="Times New Roman"/>
        </w:rPr>
        <w:t xml:space="preserve"> Grainger 1997:46. </w:t>
      </w:r>
      <w:r w:rsidRPr="003215C3">
        <w:rPr>
          <w:rFonts w:ascii="Times New Roman" w:hAnsi="Times New Roman" w:cs="Times New Roman"/>
          <w:i/>
        </w:rPr>
        <w:t>Also see</w:t>
      </w:r>
      <w:r w:rsidRPr="003215C3">
        <w:rPr>
          <w:rFonts w:ascii="Times New Roman" w:hAnsi="Times New Roman" w:cs="Times New Roman"/>
        </w:rPr>
        <w:t xml:space="preserve"> App. </w:t>
      </w:r>
      <w:r w:rsidRPr="003215C3">
        <w:rPr>
          <w:rFonts w:ascii="Times New Roman" w:hAnsi="Times New Roman" w:cs="Times New Roman"/>
          <w:i/>
        </w:rPr>
        <w:t>Syr.</w:t>
      </w:r>
      <w:r w:rsidRPr="003215C3">
        <w:rPr>
          <w:rFonts w:ascii="Times New Roman" w:hAnsi="Times New Roman" w:cs="Times New Roman"/>
        </w:rPr>
        <w:t xml:space="preserve"> 68-69.</w:t>
      </w:r>
    </w:p>
  </w:footnote>
  <w:footnote w:id="29">
    <w:p w14:paraId="492E2948" w14:textId="34C45F4E" w:rsidR="00CB3E66" w:rsidRDefault="00CB3E66">
      <w:pPr>
        <w:pStyle w:val="FootnoteText"/>
      </w:pPr>
      <w:r w:rsidRPr="003215C3">
        <w:rPr>
          <w:rStyle w:val="FootnoteReference"/>
          <w:rFonts w:ascii="Times New Roman" w:hAnsi="Times New Roman" w:cs="Times New Roman"/>
        </w:rPr>
        <w:footnoteRef/>
      </w:r>
      <w:r w:rsidRPr="003215C3">
        <w:rPr>
          <w:rFonts w:ascii="Times New Roman" w:hAnsi="Times New Roman" w:cs="Times New Roman"/>
        </w:rPr>
        <w:t xml:space="preserve"> Grainger 1997: 54.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484A27" w14:textId="4DEDDE64" w:rsidR="00C73DFF" w:rsidRDefault="00C73DFF">
    <w:pPr>
      <w:pStyle w:val="Header"/>
    </w:pPr>
    <w:r>
      <w:t>1501271: Katie Goldstone-Carroll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A27EBA"/>
    <w:multiLevelType w:val="hybridMultilevel"/>
    <w:tmpl w:val="CEB224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C12D10"/>
    <w:multiLevelType w:val="hybridMultilevel"/>
    <w:tmpl w:val="23665C60"/>
    <w:lvl w:ilvl="0" w:tplc="D46814B2">
      <w:start w:val="221"/>
      <w:numFmt w:val="bullet"/>
      <w:lvlText w:val="-"/>
      <w:lvlJc w:val="left"/>
      <w:pPr>
        <w:ind w:left="720" w:hanging="360"/>
      </w:pPr>
      <w:rPr>
        <w:rFonts w:ascii="Calibri" w:eastAsiaTheme="minorHAnsi" w:hAnsi="Calibri" w:cs="Calibri" w:hint="default"/>
      </w:rPr>
    </w:lvl>
    <w:lvl w:ilvl="1" w:tplc="5870337C">
      <w:start w:val="1"/>
      <w:numFmt w:val="decimal"/>
      <w:lvlText w:val="%2."/>
      <w:lvlJc w:val="left"/>
      <w:pPr>
        <w:ind w:left="1440" w:hanging="360"/>
      </w:pPr>
      <w:rPr>
        <w:rFonts w:asciiTheme="minorHAnsi" w:eastAsiaTheme="minorHAnsi" w:hAnsiTheme="minorHAnsi" w:cstheme="minorBidi"/>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E19"/>
    <w:rsid w:val="0001703A"/>
    <w:rsid w:val="0002264D"/>
    <w:rsid w:val="00037741"/>
    <w:rsid w:val="00050A1F"/>
    <w:rsid w:val="00052CC9"/>
    <w:rsid w:val="00080CC4"/>
    <w:rsid w:val="000F1192"/>
    <w:rsid w:val="001D18D5"/>
    <w:rsid w:val="002042C1"/>
    <w:rsid w:val="002A11F9"/>
    <w:rsid w:val="002A78C5"/>
    <w:rsid w:val="002C1313"/>
    <w:rsid w:val="002E1ED6"/>
    <w:rsid w:val="002E3A0F"/>
    <w:rsid w:val="002F472C"/>
    <w:rsid w:val="00316D5F"/>
    <w:rsid w:val="003215C3"/>
    <w:rsid w:val="00321764"/>
    <w:rsid w:val="00343ED1"/>
    <w:rsid w:val="00345844"/>
    <w:rsid w:val="0034775D"/>
    <w:rsid w:val="003A04A7"/>
    <w:rsid w:val="003B34D1"/>
    <w:rsid w:val="004001F1"/>
    <w:rsid w:val="00423C46"/>
    <w:rsid w:val="00431257"/>
    <w:rsid w:val="00452EC9"/>
    <w:rsid w:val="004B0E7B"/>
    <w:rsid w:val="00560AF8"/>
    <w:rsid w:val="006641E9"/>
    <w:rsid w:val="00753817"/>
    <w:rsid w:val="0077313E"/>
    <w:rsid w:val="007940A7"/>
    <w:rsid w:val="007C0F9B"/>
    <w:rsid w:val="007F5B4E"/>
    <w:rsid w:val="007F6683"/>
    <w:rsid w:val="0087307B"/>
    <w:rsid w:val="00883AE4"/>
    <w:rsid w:val="008A1523"/>
    <w:rsid w:val="0090791D"/>
    <w:rsid w:val="009117D5"/>
    <w:rsid w:val="00960BDA"/>
    <w:rsid w:val="009A404E"/>
    <w:rsid w:val="009B519D"/>
    <w:rsid w:val="009E5F74"/>
    <w:rsid w:val="00A13AF9"/>
    <w:rsid w:val="00A147DB"/>
    <w:rsid w:val="00A23D18"/>
    <w:rsid w:val="00A732B2"/>
    <w:rsid w:val="00A77E19"/>
    <w:rsid w:val="00B12599"/>
    <w:rsid w:val="00BF57E5"/>
    <w:rsid w:val="00C26E10"/>
    <w:rsid w:val="00C34EDE"/>
    <w:rsid w:val="00C6328D"/>
    <w:rsid w:val="00C73DFF"/>
    <w:rsid w:val="00C805AD"/>
    <w:rsid w:val="00CB3E66"/>
    <w:rsid w:val="00D5296C"/>
    <w:rsid w:val="00D84124"/>
    <w:rsid w:val="00D91DE2"/>
    <w:rsid w:val="00DB4F09"/>
    <w:rsid w:val="00E26879"/>
    <w:rsid w:val="00E548F0"/>
    <w:rsid w:val="00EA0ECC"/>
    <w:rsid w:val="00EB2BB8"/>
    <w:rsid w:val="00EB5615"/>
    <w:rsid w:val="00ED664D"/>
    <w:rsid w:val="00F46CBE"/>
    <w:rsid w:val="00F63045"/>
    <w:rsid w:val="00FD57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4B7E7"/>
  <w15:chartTrackingRefBased/>
  <w15:docId w15:val="{FE42B21E-E9DB-4645-86EB-E360E263A4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7E19"/>
    <w:pPr>
      <w:ind w:left="720"/>
      <w:contextualSpacing/>
    </w:pPr>
  </w:style>
  <w:style w:type="paragraph" w:styleId="FootnoteText">
    <w:name w:val="footnote text"/>
    <w:basedOn w:val="Normal"/>
    <w:link w:val="FootnoteTextChar"/>
    <w:uiPriority w:val="99"/>
    <w:semiHidden/>
    <w:unhideWhenUsed/>
    <w:rsid w:val="0075381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53817"/>
    <w:rPr>
      <w:sz w:val="20"/>
      <w:szCs w:val="20"/>
    </w:rPr>
  </w:style>
  <w:style w:type="character" w:styleId="FootnoteReference">
    <w:name w:val="footnote reference"/>
    <w:basedOn w:val="DefaultParagraphFont"/>
    <w:uiPriority w:val="99"/>
    <w:semiHidden/>
    <w:unhideWhenUsed/>
    <w:rsid w:val="00753817"/>
    <w:rPr>
      <w:vertAlign w:val="superscript"/>
    </w:rPr>
  </w:style>
  <w:style w:type="paragraph" w:styleId="Header">
    <w:name w:val="header"/>
    <w:basedOn w:val="Normal"/>
    <w:link w:val="HeaderChar"/>
    <w:uiPriority w:val="99"/>
    <w:unhideWhenUsed/>
    <w:rsid w:val="00C73D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3DFF"/>
  </w:style>
  <w:style w:type="paragraph" w:styleId="Footer">
    <w:name w:val="footer"/>
    <w:basedOn w:val="Normal"/>
    <w:link w:val="FooterChar"/>
    <w:uiPriority w:val="99"/>
    <w:unhideWhenUsed/>
    <w:rsid w:val="00C73D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3D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32699D-E925-45D3-9250-55D254A2A7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368</TotalTime>
  <Pages>7</Pages>
  <Words>1756</Words>
  <Characters>10012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Carroll</dc:creator>
  <cp:keywords/>
  <dc:description/>
  <cp:lastModifiedBy>Katie Carroll</cp:lastModifiedBy>
  <cp:revision>40</cp:revision>
  <dcterms:created xsi:type="dcterms:W3CDTF">2018-05-01T12:13:00Z</dcterms:created>
  <dcterms:modified xsi:type="dcterms:W3CDTF">2018-05-01T22:54:00Z</dcterms:modified>
</cp:coreProperties>
</file>