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BB6B1B" w14:textId="032B7547" w:rsidR="00EA2995" w:rsidRDefault="00EA2995" w:rsidP="00EA2995">
      <w:pPr>
        <w:jc w:val="center"/>
        <w:rPr>
          <w:sz w:val="32"/>
        </w:rPr>
      </w:pPr>
      <w:r>
        <w:rPr>
          <w:noProof/>
          <w:lang w:val="en-US"/>
        </w:rPr>
        <w:drawing>
          <wp:inline distT="0" distB="0" distL="0" distR="0" wp14:anchorId="353ED7F8" wp14:editId="40A58FA0">
            <wp:extent cx="2004084" cy="891991"/>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12165" cy="895588"/>
                    </a:xfrm>
                    <a:prstGeom prst="rect">
                      <a:avLst/>
                    </a:prstGeom>
                  </pic:spPr>
                </pic:pic>
              </a:graphicData>
            </a:graphic>
          </wp:inline>
        </w:drawing>
      </w:r>
    </w:p>
    <w:p w14:paraId="1BF53079" w14:textId="77777777" w:rsidR="00EA2995" w:rsidRDefault="00EA2995" w:rsidP="00EA2995">
      <w:pPr>
        <w:jc w:val="center"/>
        <w:rPr>
          <w:sz w:val="32"/>
        </w:rPr>
      </w:pPr>
    </w:p>
    <w:p w14:paraId="006C3854" w14:textId="2308997E" w:rsidR="00EA2995" w:rsidRPr="00EA2995" w:rsidRDefault="00EA2995" w:rsidP="00EA2995">
      <w:pPr>
        <w:jc w:val="center"/>
        <w:rPr>
          <w:sz w:val="32"/>
        </w:rPr>
      </w:pPr>
      <w:r w:rsidRPr="00EA2995">
        <w:rPr>
          <w:sz w:val="32"/>
        </w:rPr>
        <w:t>Programme: Master of Business Administration</w:t>
      </w:r>
    </w:p>
    <w:p w14:paraId="52B99BFF" w14:textId="77777777" w:rsidR="00EA2995" w:rsidRPr="00EA2995" w:rsidRDefault="00EA2995" w:rsidP="00EA2995">
      <w:pPr>
        <w:jc w:val="center"/>
        <w:rPr>
          <w:sz w:val="32"/>
        </w:rPr>
      </w:pPr>
      <w:r w:rsidRPr="00EA2995">
        <w:rPr>
          <w:sz w:val="32"/>
        </w:rPr>
        <w:t>Module: Financial Management (LCMB7002)</w:t>
      </w:r>
    </w:p>
    <w:p w14:paraId="35A2694B" w14:textId="77777777" w:rsidR="00EA2995" w:rsidRPr="00EA2995" w:rsidRDefault="00EA2995" w:rsidP="00EA2995">
      <w:pPr>
        <w:jc w:val="center"/>
        <w:rPr>
          <w:sz w:val="32"/>
        </w:rPr>
      </w:pPr>
      <w:r w:rsidRPr="00EA2995">
        <w:rPr>
          <w:sz w:val="32"/>
        </w:rPr>
        <w:t>Assessment: Individual Report – Toyota Motor Corporation</w:t>
      </w:r>
    </w:p>
    <w:p w14:paraId="32AE3784" w14:textId="77777777" w:rsidR="00EA2995" w:rsidRPr="00EA2995" w:rsidRDefault="00EA2995" w:rsidP="00EA2995">
      <w:pPr>
        <w:jc w:val="center"/>
        <w:rPr>
          <w:sz w:val="32"/>
        </w:rPr>
      </w:pPr>
    </w:p>
    <w:p w14:paraId="6094918D" w14:textId="77777777" w:rsidR="00EA2995" w:rsidRPr="00EA2995" w:rsidRDefault="00EA2995" w:rsidP="00EA2995">
      <w:pPr>
        <w:jc w:val="center"/>
        <w:rPr>
          <w:sz w:val="32"/>
        </w:rPr>
      </w:pPr>
      <w:r w:rsidRPr="00EA2995">
        <w:rPr>
          <w:sz w:val="32"/>
        </w:rPr>
        <w:t xml:space="preserve">Lecturer: </w:t>
      </w:r>
      <w:proofErr w:type="spellStart"/>
      <w:r w:rsidRPr="00EA2995">
        <w:rPr>
          <w:sz w:val="32"/>
        </w:rPr>
        <w:t>Shengfeng</w:t>
      </w:r>
      <w:proofErr w:type="spellEnd"/>
      <w:r w:rsidRPr="00EA2995">
        <w:rPr>
          <w:sz w:val="32"/>
        </w:rPr>
        <w:t xml:space="preserve"> Mei, Patrick </w:t>
      </w:r>
      <w:proofErr w:type="spellStart"/>
      <w:r w:rsidRPr="00EA2995">
        <w:rPr>
          <w:sz w:val="32"/>
        </w:rPr>
        <w:t>Yeboah</w:t>
      </w:r>
      <w:proofErr w:type="spellEnd"/>
    </w:p>
    <w:p w14:paraId="3EA0BCD1" w14:textId="77777777" w:rsidR="00EA2995" w:rsidRPr="00EA2995" w:rsidRDefault="00EA2995" w:rsidP="00EA2995">
      <w:pPr>
        <w:jc w:val="center"/>
        <w:rPr>
          <w:sz w:val="32"/>
        </w:rPr>
      </w:pPr>
      <w:r w:rsidRPr="00EA2995">
        <w:rPr>
          <w:sz w:val="32"/>
        </w:rPr>
        <w:t xml:space="preserve">Student Name: Sheikh </w:t>
      </w:r>
      <w:proofErr w:type="spellStart"/>
      <w:r w:rsidRPr="00EA2995">
        <w:rPr>
          <w:sz w:val="32"/>
        </w:rPr>
        <w:t>Fatema</w:t>
      </w:r>
      <w:proofErr w:type="spellEnd"/>
      <w:r w:rsidRPr="00EA2995">
        <w:rPr>
          <w:sz w:val="32"/>
        </w:rPr>
        <w:t xml:space="preserve"> </w:t>
      </w:r>
      <w:proofErr w:type="spellStart"/>
      <w:r w:rsidRPr="00EA2995">
        <w:rPr>
          <w:sz w:val="32"/>
        </w:rPr>
        <w:t>Shilpi</w:t>
      </w:r>
      <w:proofErr w:type="spellEnd"/>
    </w:p>
    <w:p w14:paraId="37787BA9" w14:textId="0FD45C99" w:rsidR="00EA2995" w:rsidRPr="00EA2995" w:rsidRDefault="00EA2995" w:rsidP="00EA2995">
      <w:pPr>
        <w:jc w:val="center"/>
        <w:rPr>
          <w:sz w:val="32"/>
        </w:rPr>
      </w:pPr>
      <w:r>
        <w:rPr>
          <w:sz w:val="32"/>
        </w:rPr>
        <w:t xml:space="preserve">Student ID: </w:t>
      </w:r>
    </w:p>
    <w:p w14:paraId="242CE527" w14:textId="3943CA71" w:rsidR="00EA2995" w:rsidRPr="00EA2995" w:rsidRDefault="00EA2995" w:rsidP="00EA2995">
      <w:pPr>
        <w:jc w:val="center"/>
        <w:rPr>
          <w:sz w:val="32"/>
        </w:rPr>
      </w:pPr>
      <w:r>
        <w:rPr>
          <w:sz w:val="32"/>
        </w:rPr>
        <w:t>Word Count: 5046</w:t>
      </w:r>
    </w:p>
    <w:p w14:paraId="695FCC14" w14:textId="77777777" w:rsidR="00EA2995" w:rsidRPr="00EA2995" w:rsidRDefault="00EA2995" w:rsidP="00EA2995">
      <w:pPr>
        <w:jc w:val="center"/>
        <w:rPr>
          <w:sz w:val="32"/>
        </w:rPr>
      </w:pPr>
      <w:r w:rsidRPr="00EA2995">
        <w:rPr>
          <w:sz w:val="32"/>
        </w:rPr>
        <w:t>Submission Date: 24th April 2026</w:t>
      </w:r>
    </w:p>
    <w:p w14:paraId="2687C1B9" w14:textId="77777777" w:rsidR="00B015B5" w:rsidRPr="00EA2995" w:rsidRDefault="00B015B5" w:rsidP="00EA2995"/>
    <w:p w14:paraId="4E44AC54" w14:textId="77777777" w:rsidR="00EA2995" w:rsidRPr="00B015B5" w:rsidRDefault="00EA2995" w:rsidP="00B015B5">
      <w:pPr>
        <w:jc w:val="center"/>
        <w:rPr>
          <w:sz w:val="32"/>
          <w:szCs w:val="32"/>
        </w:rPr>
      </w:pPr>
    </w:p>
    <w:p w14:paraId="7E94DB0C" w14:textId="77777777" w:rsidR="00B015B5" w:rsidRPr="00B015B5" w:rsidRDefault="00B015B5" w:rsidP="00B015B5">
      <w:pPr>
        <w:jc w:val="center"/>
        <w:rPr>
          <w:sz w:val="32"/>
          <w:szCs w:val="32"/>
        </w:rPr>
      </w:pPr>
    </w:p>
    <w:p w14:paraId="4F11985E" w14:textId="77777777" w:rsidR="00B015B5" w:rsidRPr="00B015B5" w:rsidRDefault="00B015B5" w:rsidP="00B015B5">
      <w:pPr>
        <w:jc w:val="center"/>
        <w:rPr>
          <w:sz w:val="32"/>
          <w:szCs w:val="32"/>
        </w:rPr>
      </w:pPr>
    </w:p>
    <w:p w14:paraId="6DB4841F" w14:textId="77777777" w:rsidR="00B015B5" w:rsidRDefault="00B015B5" w:rsidP="00B015B5">
      <w:pPr>
        <w:jc w:val="center"/>
        <w:rPr>
          <w:sz w:val="32"/>
          <w:szCs w:val="32"/>
        </w:rPr>
      </w:pPr>
    </w:p>
    <w:p w14:paraId="43E16E31" w14:textId="77777777" w:rsidR="00E91AF0" w:rsidRPr="00B015B5" w:rsidRDefault="00E91AF0" w:rsidP="00B015B5">
      <w:pPr>
        <w:jc w:val="center"/>
        <w:rPr>
          <w:sz w:val="32"/>
          <w:szCs w:val="32"/>
        </w:rPr>
      </w:pPr>
    </w:p>
    <w:p w14:paraId="5C6C1B21" w14:textId="77777777" w:rsidR="001F2FE1" w:rsidRDefault="001F2FE1" w:rsidP="001F2FE1">
      <w:pPr>
        <w:pStyle w:val="Heading1"/>
      </w:pPr>
      <w:bookmarkStart w:id="0" w:name="_Toc227285475"/>
      <w:r>
        <w:lastRenderedPageBreak/>
        <w:t>Executive Summary</w:t>
      </w:r>
      <w:bookmarkEnd w:id="0"/>
    </w:p>
    <w:p w14:paraId="39D08157" w14:textId="6CBA1B6F" w:rsidR="001F2FE1" w:rsidRDefault="001F2FE1" w:rsidP="001F2FE1">
      <w:r>
        <w:t>This report analyses the financial status of Toyota motor corporation as one of the strategic CFO evaluations of the EV transition. There is a five-year ratio analysis (FY202024) with better profitability (ROE 14.2%), good liquidity (current ratio 1.18), and an effective working capital management (cash operating cycle 27 days). Nevertheless, the gearing is high (debt-to-equity 1.05). The new structure plan suggests selective selling of the non-core assets, joint venture in EV battery technology, and a balanced short-long-term financing plan. The individual project investment appraisal of three projects with a cash outlay of £50m indicates that Project C (back-loaded cash flows) is the best project whereas the combination of the capital rationing Project C and B is the best capital rationing in a 100m budget. The recommendations are all consistent with the carbon neutrality vision of 2050 and OECD transfer pricing.</w:t>
      </w:r>
    </w:p>
    <w:p w14:paraId="3ECF828F" w14:textId="77777777" w:rsidR="001F2FE1" w:rsidRPr="001F2FE1" w:rsidRDefault="001F2FE1" w:rsidP="001F2FE1"/>
    <w:p w14:paraId="2FE48957" w14:textId="3A4D22B2" w:rsidR="00E91AF0" w:rsidRDefault="00B015B5">
      <w:pPr>
        <w:spacing w:line="278" w:lineRule="auto"/>
        <w:jc w:val="left"/>
        <w:rPr>
          <w:sz w:val="32"/>
          <w:szCs w:val="32"/>
        </w:rPr>
      </w:pPr>
      <w:r>
        <w:rPr>
          <w:sz w:val="32"/>
          <w:szCs w:val="32"/>
        </w:rPr>
        <w:br w:type="page"/>
      </w:r>
    </w:p>
    <w:sdt>
      <w:sdtPr>
        <w:rPr>
          <w:rFonts w:ascii="Times New Roman" w:eastAsiaTheme="minorHAnsi" w:hAnsi="Times New Roman" w:cstheme="minorBidi"/>
          <w:color w:val="auto"/>
          <w:kern w:val="2"/>
          <w:sz w:val="24"/>
          <w:szCs w:val="24"/>
          <w:lang w:eastAsia="en-US"/>
          <w14:ligatures w14:val="standardContextual"/>
        </w:rPr>
        <w:id w:val="-128936776"/>
        <w:docPartObj>
          <w:docPartGallery w:val="Table of Contents"/>
          <w:docPartUnique/>
        </w:docPartObj>
      </w:sdtPr>
      <w:sdtEndPr>
        <w:rPr>
          <w:b/>
          <w:bCs/>
        </w:rPr>
      </w:sdtEndPr>
      <w:sdtContent>
        <w:p w14:paraId="6D75AD9D" w14:textId="0DF0EE5A" w:rsidR="00E91AF0" w:rsidRDefault="00E91AF0" w:rsidP="00E91AF0">
          <w:pPr>
            <w:pStyle w:val="TOCHeading"/>
            <w:jc w:val="center"/>
            <w:rPr>
              <w:b/>
              <w:bCs/>
            </w:rPr>
          </w:pPr>
          <w:r w:rsidRPr="00E91AF0">
            <w:rPr>
              <w:b/>
              <w:bCs/>
            </w:rPr>
            <w:t>Table of Contents</w:t>
          </w:r>
        </w:p>
        <w:p w14:paraId="5BFAD7A8" w14:textId="77777777" w:rsidR="00E91AF0" w:rsidRPr="00E91AF0" w:rsidRDefault="00E91AF0" w:rsidP="00E91AF0">
          <w:pPr>
            <w:rPr>
              <w:lang w:eastAsia="en-GB"/>
            </w:rPr>
          </w:pPr>
        </w:p>
        <w:p w14:paraId="5284D436" w14:textId="6D2D12CB" w:rsidR="003671E8" w:rsidRDefault="00E91AF0">
          <w:pPr>
            <w:pStyle w:val="TOC1"/>
            <w:tabs>
              <w:tab w:val="right" w:leader="dot" w:pos="9350"/>
            </w:tabs>
            <w:rPr>
              <w:rFonts w:asciiTheme="minorHAnsi" w:eastAsiaTheme="minorEastAsia" w:hAnsiTheme="minorHAnsi"/>
              <w:noProof/>
              <w:kern w:val="0"/>
              <w:sz w:val="22"/>
              <w:szCs w:val="22"/>
              <w:lang w:val="en-US"/>
              <w14:ligatures w14:val="none"/>
            </w:rPr>
          </w:pPr>
          <w:r>
            <w:fldChar w:fldCharType="begin"/>
          </w:r>
          <w:r>
            <w:instrText xml:space="preserve"> TOC \o "1-3" \h \z \u </w:instrText>
          </w:r>
          <w:r>
            <w:fldChar w:fldCharType="separate"/>
          </w:r>
          <w:hyperlink w:anchor="_Toc227285475" w:history="1">
            <w:r w:rsidR="003671E8" w:rsidRPr="00812AA3">
              <w:rPr>
                <w:rStyle w:val="Hyperlink"/>
                <w:noProof/>
              </w:rPr>
              <w:t>Executive Summary</w:t>
            </w:r>
            <w:r w:rsidR="003671E8">
              <w:rPr>
                <w:noProof/>
                <w:webHidden/>
              </w:rPr>
              <w:tab/>
            </w:r>
            <w:r w:rsidR="003671E8">
              <w:rPr>
                <w:noProof/>
                <w:webHidden/>
              </w:rPr>
              <w:fldChar w:fldCharType="begin"/>
            </w:r>
            <w:r w:rsidR="003671E8">
              <w:rPr>
                <w:noProof/>
                <w:webHidden/>
              </w:rPr>
              <w:instrText xml:space="preserve"> PAGEREF _Toc227285475 \h </w:instrText>
            </w:r>
            <w:r w:rsidR="003671E8">
              <w:rPr>
                <w:noProof/>
                <w:webHidden/>
              </w:rPr>
            </w:r>
            <w:r w:rsidR="003671E8">
              <w:rPr>
                <w:noProof/>
                <w:webHidden/>
              </w:rPr>
              <w:fldChar w:fldCharType="separate"/>
            </w:r>
            <w:r w:rsidR="003671E8">
              <w:rPr>
                <w:noProof/>
                <w:webHidden/>
              </w:rPr>
              <w:t>2</w:t>
            </w:r>
            <w:r w:rsidR="003671E8">
              <w:rPr>
                <w:noProof/>
                <w:webHidden/>
              </w:rPr>
              <w:fldChar w:fldCharType="end"/>
            </w:r>
          </w:hyperlink>
        </w:p>
        <w:p w14:paraId="4CCE02F1" w14:textId="46173BDA" w:rsidR="003671E8" w:rsidRDefault="003671E8">
          <w:pPr>
            <w:pStyle w:val="TOC1"/>
            <w:tabs>
              <w:tab w:val="right" w:leader="dot" w:pos="9350"/>
            </w:tabs>
            <w:rPr>
              <w:rFonts w:asciiTheme="minorHAnsi" w:eastAsiaTheme="minorEastAsia" w:hAnsiTheme="minorHAnsi"/>
              <w:noProof/>
              <w:kern w:val="0"/>
              <w:sz w:val="22"/>
              <w:szCs w:val="22"/>
              <w:lang w:val="en-US"/>
              <w14:ligatures w14:val="none"/>
            </w:rPr>
          </w:pPr>
          <w:hyperlink w:anchor="_Toc227285476" w:history="1">
            <w:r w:rsidRPr="00812AA3">
              <w:rPr>
                <w:rStyle w:val="Hyperlink"/>
                <w:noProof/>
              </w:rPr>
              <w:t>Introduction</w:t>
            </w:r>
            <w:r>
              <w:rPr>
                <w:noProof/>
                <w:webHidden/>
              </w:rPr>
              <w:tab/>
            </w:r>
            <w:r>
              <w:rPr>
                <w:noProof/>
                <w:webHidden/>
              </w:rPr>
              <w:fldChar w:fldCharType="begin"/>
            </w:r>
            <w:r>
              <w:rPr>
                <w:noProof/>
                <w:webHidden/>
              </w:rPr>
              <w:instrText xml:space="preserve"> PAGEREF _Toc227285476 \h </w:instrText>
            </w:r>
            <w:r>
              <w:rPr>
                <w:noProof/>
                <w:webHidden/>
              </w:rPr>
            </w:r>
            <w:r>
              <w:rPr>
                <w:noProof/>
                <w:webHidden/>
              </w:rPr>
              <w:fldChar w:fldCharType="separate"/>
            </w:r>
            <w:r>
              <w:rPr>
                <w:noProof/>
                <w:webHidden/>
              </w:rPr>
              <w:t>5</w:t>
            </w:r>
            <w:r>
              <w:rPr>
                <w:noProof/>
                <w:webHidden/>
              </w:rPr>
              <w:fldChar w:fldCharType="end"/>
            </w:r>
          </w:hyperlink>
        </w:p>
        <w:p w14:paraId="1653C3E6" w14:textId="13779B0A" w:rsidR="003671E8" w:rsidRDefault="003671E8">
          <w:pPr>
            <w:pStyle w:val="TOC1"/>
            <w:tabs>
              <w:tab w:val="right" w:leader="dot" w:pos="9350"/>
            </w:tabs>
            <w:rPr>
              <w:rFonts w:asciiTheme="minorHAnsi" w:eastAsiaTheme="minorEastAsia" w:hAnsiTheme="minorHAnsi"/>
              <w:noProof/>
              <w:kern w:val="0"/>
              <w:sz w:val="22"/>
              <w:szCs w:val="22"/>
              <w:lang w:val="en-US"/>
              <w14:ligatures w14:val="none"/>
            </w:rPr>
          </w:pPr>
          <w:hyperlink w:anchor="_Toc227285477" w:history="1">
            <w:r w:rsidRPr="00812AA3">
              <w:rPr>
                <w:rStyle w:val="Hyperlink"/>
                <w:noProof/>
              </w:rPr>
              <w:t>1. Financial Health Check</w:t>
            </w:r>
            <w:r>
              <w:rPr>
                <w:noProof/>
                <w:webHidden/>
              </w:rPr>
              <w:tab/>
            </w:r>
            <w:r>
              <w:rPr>
                <w:noProof/>
                <w:webHidden/>
              </w:rPr>
              <w:fldChar w:fldCharType="begin"/>
            </w:r>
            <w:r>
              <w:rPr>
                <w:noProof/>
                <w:webHidden/>
              </w:rPr>
              <w:instrText xml:space="preserve"> PAGEREF _Toc227285477 \h </w:instrText>
            </w:r>
            <w:r>
              <w:rPr>
                <w:noProof/>
                <w:webHidden/>
              </w:rPr>
            </w:r>
            <w:r>
              <w:rPr>
                <w:noProof/>
                <w:webHidden/>
              </w:rPr>
              <w:fldChar w:fldCharType="separate"/>
            </w:r>
            <w:r>
              <w:rPr>
                <w:noProof/>
                <w:webHidden/>
              </w:rPr>
              <w:t>6</w:t>
            </w:r>
            <w:r>
              <w:rPr>
                <w:noProof/>
                <w:webHidden/>
              </w:rPr>
              <w:fldChar w:fldCharType="end"/>
            </w:r>
          </w:hyperlink>
        </w:p>
        <w:p w14:paraId="268F1B0F" w14:textId="6BBA7681" w:rsidR="003671E8" w:rsidRDefault="003671E8">
          <w:pPr>
            <w:pStyle w:val="TOC2"/>
            <w:tabs>
              <w:tab w:val="right" w:leader="dot" w:pos="9350"/>
            </w:tabs>
            <w:rPr>
              <w:rFonts w:asciiTheme="minorHAnsi" w:eastAsiaTheme="minorEastAsia" w:hAnsiTheme="minorHAnsi"/>
              <w:noProof/>
              <w:kern w:val="0"/>
              <w:sz w:val="22"/>
              <w:szCs w:val="22"/>
              <w:lang w:val="en-US"/>
              <w14:ligatures w14:val="none"/>
            </w:rPr>
          </w:pPr>
          <w:hyperlink w:anchor="_Toc227285478" w:history="1">
            <w:r w:rsidRPr="00812AA3">
              <w:rPr>
                <w:rStyle w:val="Hyperlink"/>
                <w:noProof/>
              </w:rPr>
              <w:t>1.1 Overview of the Five-Year Financial Performance</w:t>
            </w:r>
            <w:r>
              <w:rPr>
                <w:noProof/>
                <w:webHidden/>
              </w:rPr>
              <w:tab/>
            </w:r>
            <w:r>
              <w:rPr>
                <w:noProof/>
                <w:webHidden/>
              </w:rPr>
              <w:fldChar w:fldCharType="begin"/>
            </w:r>
            <w:r>
              <w:rPr>
                <w:noProof/>
                <w:webHidden/>
              </w:rPr>
              <w:instrText xml:space="preserve"> PAGEREF _Toc227285478 \h </w:instrText>
            </w:r>
            <w:r>
              <w:rPr>
                <w:noProof/>
                <w:webHidden/>
              </w:rPr>
            </w:r>
            <w:r>
              <w:rPr>
                <w:noProof/>
                <w:webHidden/>
              </w:rPr>
              <w:fldChar w:fldCharType="separate"/>
            </w:r>
            <w:r>
              <w:rPr>
                <w:noProof/>
                <w:webHidden/>
              </w:rPr>
              <w:t>6</w:t>
            </w:r>
            <w:r>
              <w:rPr>
                <w:noProof/>
                <w:webHidden/>
              </w:rPr>
              <w:fldChar w:fldCharType="end"/>
            </w:r>
          </w:hyperlink>
        </w:p>
        <w:p w14:paraId="5B0DD362" w14:textId="6F7E841C" w:rsidR="003671E8" w:rsidRDefault="003671E8">
          <w:pPr>
            <w:pStyle w:val="TOC2"/>
            <w:tabs>
              <w:tab w:val="right" w:leader="dot" w:pos="9350"/>
            </w:tabs>
            <w:rPr>
              <w:rFonts w:asciiTheme="minorHAnsi" w:eastAsiaTheme="minorEastAsia" w:hAnsiTheme="minorHAnsi"/>
              <w:noProof/>
              <w:kern w:val="0"/>
              <w:sz w:val="22"/>
              <w:szCs w:val="22"/>
              <w:lang w:val="en-US"/>
              <w14:ligatures w14:val="none"/>
            </w:rPr>
          </w:pPr>
          <w:hyperlink w:anchor="_Toc227285479" w:history="1">
            <w:r w:rsidRPr="00812AA3">
              <w:rPr>
                <w:rStyle w:val="Hyperlink"/>
                <w:noProof/>
              </w:rPr>
              <w:t>1.2 Profitability Ratios</w:t>
            </w:r>
            <w:r>
              <w:rPr>
                <w:noProof/>
                <w:webHidden/>
              </w:rPr>
              <w:tab/>
            </w:r>
            <w:r>
              <w:rPr>
                <w:noProof/>
                <w:webHidden/>
              </w:rPr>
              <w:fldChar w:fldCharType="begin"/>
            </w:r>
            <w:r>
              <w:rPr>
                <w:noProof/>
                <w:webHidden/>
              </w:rPr>
              <w:instrText xml:space="preserve"> PAGEREF _Toc227285479 \h </w:instrText>
            </w:r>
            <w:r>
              <w:rPr>
                <w:noProof/>
                <w:webHidden/>
              </w:rPr>
            </w:r>
            <w:r>
              <w:rPr>
                <w:noProof/>
                <w:webHidden/>
              </w:rPr>
              <w:fldChar w:fldCharType="separate"/>
            </w:r>
            <w:r>
              <w:rPr>
                <w:noProof/>
                <w:webHidden/>
              </w:rPr>
              <w:t>7</w:t>
            </w:r>
            <w:r>
              <w:rPr>
                <w:noProof/>
                <w:webHidden/>
              </w:rPr>
              <w:fldChar w:fldCharType="end"/>
            </w:r>
          </w:hyperlink>
        </w:p>
        <w:p w14:paraId="3C7334A3" w14:textId="1B322D68" w:rsidR="003671E8" w:rsidRDefault="003671E8">
          <w:pPr>
            <w:pStyle w:val="TOC2"/>
            <w:tabs>
              <w:tab w:val="right" w:leader="dot" w:pos="9350"/>
            </w:tabs>
            <w:rPr>
              <w:rFonts w:asciiTheme="minorHAnsi" w:eastAsiaTheme="minorEastAsia" w:hAnsiTheme="minorHAnsi"/>
              <w:noProof/>
              <w:kern w:val="0"/>
              <w:sz w:val="22"/>
              <w:szCs w:val="22"/>
              <w:lang w:val="en-US"/>
              <w14:ligatures w14:val="none"/>
            </w:rPr>
          </w:pPr>
          <w:hyperlink w:anchor="_Toc227285480" w:history="1">
            <w:r w:rsidRPr="00812AA3">
              <w:rPr>
                <w:rStyle w:val="Hyperlink"/>
                <w:noProof/>
              </w:rPr>
              <w:t>1.3 Liquidity Ratios</w:t>
            </w:r>
            <w:r>
              <w:rPr>
                <w:noProof/>
                <w:webHidden/>
              </w:rPr>
              <w:tab/>
            </w:r>
            <w:r>
              <w:rPr>
                <w:noProof/>
                <w:webHidden/>
              </w:rPr>
              <w:fldChar w:fldCharType="begin"/>
            </w:r>
            <w:r>
              <w:rPr>
                <w:noProof/>
                <w:webHidden/>
              </w:rPr>
              <w:instrText xml:space="preserve"> PAGEREF _Toc227285480 \h </w:instrText>
            </w:r>
            <w:r>
              <w:rPr>
                <w:noProof/>
                <w:webHidden/>
              </w:rPr>
            </w:r>
            <w:r>
              <w:rPr>
                <w:noProof/>
                <w:webHidden/>
              </w:rPr>
              <w:fldChar w:fldCharType="separate"/>
            </w:r>
            <w:r>
              <w:rPr>
                <w:noProof/>
                <w:webHidden/>
              </w:rPr>
              <w:t>8</w:t>
            </w:r>
            <w:r>
              <w:rPr>
                <w:noProof/>
                <w:webHidden/>
              </w:rPr>
              <w:fldChar w:fldCharType="end"/>
            </w:r>
          </w:hyperlink>
        </w:p>
        <w:p w14:paraId="2AB7297B" w14:textId="242395E3" w:rsidR="003671E8" w:rsidRDefault="003671E8">
          <w:pPr>
            <w:pStyle w:val="TOC2"/>
            <w:tabs>
              <w:tab w:val="right" w:leader="dot" w:pos="9350"/>
            </w:tabs>
            <w:rPr>
              <w:rFonts w:asciiTheme="minorHAnsi" w:eastAsiaTheme="minorEastAsia" w:hAnsiTheme="minorHAnsi"/>
              <w:noProof/>
              <w:kern w:val="0"/>
              <w:sz w:val="22"/>
              <w:szCs w:val="22"/>
              <w:lang w:val="en-US"/>
              <w14:ligatures w14:val="none"/>
            </w:rPr>
          </w:pPr>
          <w:hyperlink w:anchor="_Toc227285481" w:history="1">
            <w:r w:rsidRPr="00812AA3">
              <w:rPr>
                <w:rStyle w:val="Hyperlink"/>
                <w:noProof/>
              </w:rPr>
              <w:t>1.4 Efficiency Ratios</w:t>
            </w:r>
            <w:r>
              <w:rPr>
                <w:noProof/>
                <w:webHidden/>
              </w:rPr>
              <w:tab/>
            </w:r>
            <w:r>
              <w:rPr>
                <w:noProof/>
                <w:webHidden/>
              </w:rPr>
              <w:fldChar w:fldCharType="begin"/>
            </w:r>
            <w:r>
              <w:rPr>
                <w:noProof/>
                <w:webHidden/>
              </w:rPr>
              <w:instrText xml:space="preserve"> PAGEREF _Toc227285481 \h </w:instrText>
            </w:r>
            <w:r>
              <w:rPr>
                <w:noProof/>
                <w:webHidden/>
              </w:rPr>
            </w:r>
            <w:r>
              <w:rPr>
                <w:noProof/>
                <w:webHidden/>
              </w:rPr>
              <w:fldChar w:fldCharType="separate"/>
            </w:r>
            <w:r>
              <w:rPr>
                <w:noProof/>
                <w:webHidden/>
              </w:rPr>
              <w:t>9</w:t>
            </w:r>
            <w:r>
              <w:rPr>
                <w:noProof/>
                <w:webHidden/>
              </w:rPr>
              <w:fldChar w:fldCharType="end"/>
            </w:r>
          </w:hyperlink>
        </w:p>
        <w:p w14:paraId="4FBF2C79" w14:textId="5D97DA15" w:rsidR="003671E8" w:rsidRDefault="003671E8">
          <w:pPr>
            <w:pStyle w:val="TOC2"/>
            <w:tabs>
              <w:tab w:val="right" w:leader="dot" w:pos="9350"/>
            </w:tabs>
            <w:rPr>
              <w:rFonts w:asciiTheme="minorHAnsi" w:eastAsiaTheme="minorEastAsia" w:hAnsiTheme="minorHAnsi"/>
              <w:noProof/>
              <w:kern w:val="0"/>
              <w:sz w:val="22"/>
              <w:szCs w:val="22"/>
              <w:lang w:val="en-US"/>
              <w14:ligatures w14:val="none"/>
            </w:rPr>
          </w:pPr>
          <w:hyperlink w:anchor="_Toc227285482" w:history="1">
            <w:r w:rsidRPr="00812AA3">
              <w:rPr>
                <w:rStyle w:val="Hyperlink"/>
                <w:noProof/>
              </w:rPr>
              <w:t>1.5 Gearing Ratios</w:t>
            </w:r>
            <w:r>
              <w:rPr>
                <w:noProof/>
                <w:webHidden/>
              </w:rPr>
              <w:tab/>
            </w:r>
            <w:r>
              <w:rPr>
                <w:noProof/>
                <w:webHidden/>
              </w:rPr>
              <w:fldChar w:fldCharType="begin"/>
            </w:r>
            <w:r>
              <w:rPr>
                <w:noProof/>
                <w:webHidden/>
              </w:rPr>
              <w:instrText xml:space="preserve"> PAGEREF _Toc227285482 \h </w:instrText>
            </w:r>
            <w:r>
              <w:rPr>
                <w:noProof/>
                <w:webHidden/>
              </w:rPr>
            </w:r>
            <w:r>
              <w:rPr>
                <w:noProof/>
                <w:webHidden/>
              </w:rPr>
              <w:fldChar w:fldCharType="separate"/>
            </w:r>
            <w:r>
              <w:rPr>
                <w:noProof/>
                <w:webHidden/>
              </w:rPr>
              <w:t>10</w:t>
            </w:r>
            <w:r>
              <w:rPr>
                <w:noProof/>
                <w:webHidden/>
              </w:rPr>
              <w:fldChar w:fldCharType="end"/>
            </w:r>
          </w:hyperlink>
        </w:p>
        <w:p w14:paraId="741A0129" w14:textId="4AA75F9D" w:rsidR="003671E8" w:rsidRDefault="003671E8">
          <w:pPr>
            <w:pStyle w:val="TOC2"/>
            <w:tabs>
              <w:tab w:val="right" w:leader="dot" w:pos="9350"/>
            </w:tabs>
            <w:rPr>
              <w:rFonts w:asciiTheme="minorHAnsi" w:eastAsiaTheme="minorEastAsia" w:hAnsiTheme="minorHAnsi"/>
              <w:noProof/>
              <w:kern w:val="0"/>
              <w:sz w:val="22"/>
              <w:szCs w:val="22"/>
              <w:lang w:val="en-US"/>
              <w14:ligatures w14:val="none"/>
            </w:rPr>
          </w:pPr>
          <w:hyperlink w:anchor="_Toc227285483" w:history="1">
            <w:r w:rsidRPr="00812AA3">
              <w:rPr>
                <w:rStyle w:val="Hyperlink"/>
                <w:noProof/>
              </w:rPr>
              <w:t>1.6 Investment and Cash Flow Ratios.</w:t>
            </w:r>
            <w:r>
              <w:rPr>
                <w:noProof/>
                <w:webHidden/>
              </w:rPr>
              <w:tab/>
            </w:r>
            <w:r>
              <w:rPr>
                <w:noProof/>
                <w:webHidden/>
              </w:rPr>
              <w:fldChar w:fldCharType="begin"/>
            </w:r>
            <w:r>
              <w:rPr>
                <w:noProof/>
                <w:webHidden/>
              </w:rPr>
              <w:instrText xml:space="preserve"> PAGEREF _Toc227285483 \h </w:instrText>
            </w:r>
            <w:r>
              <w:rPr>
                <w:noProof/>
                <w:webHidden/>
              </w:rPr>
            </w:r>
            <w:r>
              <w:rPr>
                <w:noProof/>
                <w:webHidden/>
              </w:rPr>
              <w:fldChar w:fldCharType="separate"/>
            </w:r>
            <w:r>
              <w:rPr>
                <w:noProof/>
                <w:webHidden/>
              </w:rPr>
              <w:t>11</w:t>
            </w:r>
            <w:r>
              <w:rPr>
                <w:noProof/>
                <w:webHidden/>
              </w:rPr>
              <w:fldChar w:fldCharType="end"/>
            </w:r>
          </w:hyperlink>
        </w:p>
        <w:p w14:paraId="24AB6E9E" w14:textId="119CEF40" w:rsidR="003671E8" w:rsidRDefault="003671E8">
          <w:pPr>
            <w:pStyle w:val="TOC2"/>
            <w:tabs>
              <w:tab w:val="right" w:leader="dot" w:pos="9350"/>
            </w:tabs>
            <w:rPr>
              <w:rFonts w:asciiTheme="minorHAnsi" w:eastAsiaTheme="minorEastAsia" w:hAnsiTheme="minorHAnsi"/>
              <w:noProof/>
              <w:kern w:val="0"/>
              <w:sz w:val="22"/>
              <w:szCs w:val="22"/>
              <w:lang w:val="en-US"/>
              <w14:ligatures w14:val="none"/>
            </w:rPr>
          </w:pPr>
          <w:hyperlink w:anchor="_Toc227285484" w:history="1">
            <w:r w:rsidRPr="00812AA3">
              <w:rPr>
                <w:rStyle w:val="Hyperlink"/>
                <w:noProof/>
              </w:rPr>
              <w:t>1.7 Trends, Strengths and Threats.</w:t>
            </w:r>
            <w:r>
              <w:rPr>
                <w:noProof/>
                <w:webHidden/>
              </w:rPr>
              <w:tab/>
            </w:r>
            <w:r>
              <w:rPr>
                <w:noProof/>
                <w:webHidden/>
              </w:rPr>
              <w:fldChar w:fldCharType="begin"/>
            </w:r>
            <w:r>
              <w:rPr>
                <w:noProof/>
                <w:webHidden/>
              </w:rPr>
              <w:instrText xml:space="preserve"> PAGEREF _Toc227285484 \h </w:instrText>
            </w:r>
            <w:r>
              <w:rPr>
                <w:noProof/>
                <w:webHidden/>
              </w:rPr>
            </w:r>
            <w:r>
              <w:rPr>
                <w:noProof/>
                <w:webHidden/>
              </w:rPr>
              <w:fldChar w:fldCharType="separate"/>
            </w:r>
            <w:r>
              <w:rPr>
                <w:noProof/>
                <w:webHidden/>
              </w:rPr>
              <w:t>12</w:t>
            </w:r>
            <w:r>
              <w:rPr>
                <w:noProof/>
                <w:webHidden/>
              </w:rPr>
              <w:fldChar w:fldCharType="end"/>
            </w:r>
          </w:hyperlink>
        </w:p>
        <w:p w14:paraId="5FBF6C74" w14:textId="5A87005A" w:rsidR="003671E8" w:rsidRDefault="003671E8">
          <w:pPr>
            <w:pStyle w:val="TOC1"/>
            <w:tabs>
              <w:tab w:val="right" w:leader="dot" w:pos="9350"/>
            </w:tabs>
            <w:rPr>
              <w:rFonts w:asciiTheme="minorHAnsi" w:eastAsiaTheme="minorEastAsia" w:hAnsiTheme="minorHAnsi"/>
              <w:noProof/>
              <w:kern w:val="0"/>
              <w:sz w:val="22"/>
              <w:szCs w:val="22"/>
              <w:lang w:val="en-US"/>
              <w14:ligatures w14:val="none"/>
            </w:rPr>
          </w:pPr>
          <w:hyperlink w:anchor="_Toc227285485" w:history="1">
            <w:r w:rsidRPr="00812AA3">
              <w:rPr>
                <w:rStyle w:val="Hyperlink"/>
                <w:noProof/>
              </w:rPr>
              <w:t>2. Working Capital Management Analysis</w:t>
            </w:r>
            <w:r>
              <w:rPr>
                <w:noProof/>
                <w:webHidden/>
              </w:rPr>
              <w:tab/>
            </w:r>
            <w:r>
              <w:rPr>
                <w:noProof/>
                <w:webHidden/>
              </w:rPr>
              <w:fldChar w:fldCharType="begin"/>
            </w:r>
            <w:r>
              <w:rPr>
                <w:noProof/>
                <w:webHidden/>
              </w:rPr>
              <w:instrText xml:space="preserve"> PAGEREF _Toc227285485 \h </w:instrText>
            </w:r>
            <w:r>
              <w:rPr>
                <w:noProof/>
                <w:webHidden/>
              </w:rPr>
            </w:r>
            <w:r>
              <w:rPr>
                <w:noProof/>
                <w:webHidden/>
              </w:rPr>
              <w:fldChar w:fldCharType="separate"/>
            </w:r>
            <w:r>
              <w:rPr>
                <w:noProof/>
                <w:webHidden/>
              </w:rPr>
              <w:t>13</w:t>
            </w:r>
            <w:r>
              <w:rPr>
                <w:noProof/>
                <w:webHidden/>
              </w:rPr>
              <w:fldChar w:fldCharType="end"/>
            </w:r>
          </w:hyperlink>
        </w:p>
        <w:p w14:paraId="4DB07BCD" w14:textId="2E51C704" w:rsidR="003671E8" w:rsidRDefault="003671E8">
          <w:pPr>
            <w:pStyle w:val="TOC2"/>
            <w:tabs>
              <w:tab w:val="right" w:leader="dot" w:pos="9350"/>
            </w:tabs>
            <w:rPr>
              <w:rFonts w:asciiTheme="minorHAnsi" w:eastAsiaTheme="minorEastAsia" w:hAnsiTheme="minorHAnsi"/>
              <w:noProof/>
              <w:kern w:val="0"/>
              <w:sz w:val="22"/>
              <w:szCs w:val="22"/>
              <w:lang w:val="en-US"/>
              <w14:ligatures w14:val="none"/>
            </w:rPr>
          </w:pPr>
          <w:hyperlink w:anchor="_Toc227285486" w:history="1">
            <w:r w:rsidRPr="00812AA3">
              <w:rPr>
                <w:rStyle w:val="Hyperlink"/>
                <w:noProof/>
              </w:rPr>
              <w:t>2.1 Assessment of the Cash Operating Cycle.</w:t>
            </w:r>
            <w:r>
              <w:rPr>
                <w:noProof/>
                <w:webHidden/>
              </w:rPr>
              <w:tab/>
            </w:r>
            <w:r>
              <w:rPr>
                <w:noProof/>
                <w:webHidden/>
              </w:rPr>
              <w:fldChar w:fldCharType="begin"/>
            </w:r>
            <w:r>
              <w:rPr>
                <w:noProof/>
                <w:webHidden/>
              </w:rPr>
              <w:instrText xml:space="preserve"> PAGEREF _Toc227285486 \h </w:instrText>
            </w:r>
            <w:r>
              <w:rPr>
                <w:noProof/>
                <w:webHidden/>
              </w:rPr>
            </w:r>
            <w:r>
              <w:rPr>
                <w:noProof/>
                <w:webHidden/>
              </w:rPr>
              <w:fldChar w:fldCharType="separate"/>
            </w:r>
            <w:r>
              <w:rPr>
                <w:noProof/>
                <w:webHidden/>
              </w:rPr>
              <w:t>13</w:t>
            </w:r>
            <w:r>
              <w:rPr>
                <w:noProof/>
                <w:webHidden/>
              </w:rPr>
              <w:fldChar w:fldCharType="end"/>
            </w:r>
          </w:hyperlink>
        </w:p>
        <w:p w14:paraId="068A4343" w14:textId="0B0B4F58" w:rsidR="003671E8" w:rsidRDefault="003671E8">
          <w:pPr>
            <w:pStyle w:val="TOC2"/>
            <w:tabs>
              <w:tab w:val="right" w:leader="dot" w:pos="9350"/>
            </w:tabs>
            <w:rPr>
              <w:rFonts w:asciiTheme="minorHAnsi" w:eastAsiaTheme="minorEastAsia" w:hAnsiTheme="minorHAnsi"/>
              <w:noProof/>
              <w:kern w:val="0"/>
              <w:sz w:val="22"/>
              <w:szCs w:val="22"/>
              <w:lang w:val="en-US"/>
              <w14:ligatures w14:val="none"/>
            </w:rPr>
          </w:pPr>
          <w:hyperlink w:anchor="_Toc227285487" w:history="1">
            <w:r w:rsidRPr="00812AA3">
              <w:rPr>
                <w:rStyle w:val="Hyperlink"/>
                <w:noProof/>
              </w:rPr>
              <w:t>2.2 Reforms/strategies to improve liquidity using working capital.</w:t>
            </w:r>
            <w:r>
              <w:rPr>
                <w:noProof/>
                <w:webHidden/>
              </w:rPr>
              <w:tab/>
            </w:r>
            <w:r>
              <w:rPr>
                <w:noProof/>
                <w:webHidden/>
              </w:rPr>
              <w:fldChar w:fldCharType="begin"/>
            </w:r>
            <w:r>
              <w:rPr>
                <w:noProof/>
                <w:webHidden/>
              </w:rPr>
              <w:instrText xml:space="preserve"> PAGEREF _Toc227285487 \h </w:instrText>
            </w:r>
            <w:r>
              <w:rPr>
                <w:noProof/>
                <w:webHidden/>
              </w:rPr>
            </w:r>
            <w:r>
              <w:rPr>
                <w:noProof/>
                <w:webHidden/>
              </w:rPr>
              <w:fldChar w:fldCharType="separate"/>
            </w:r>
            <w:r>
              <w:rPr>
                <w:noProof/>
                <w:webHidden/>
              </w:rPr>
              <w:t>14</w:t>
            </w:r>
            <w:r>
              <w:rPr>
                <w:noProof/>
                <w:webHidden/>
              </w:rPr>
              <w:fldChar w:fldCharType="end"/>
            </w:r>
          </w:hyperlink>
        </w:p>
        <w:p w14:paraId="01432860" w14:textId="68ED7650" w:rsidR="003671E8" w:rsidRDefault="003671E8">
          <w:pPr>
            <w:pStyle w:val="TOC2"/>
            <w:tabs>
              <w:tab w:val="right" w:leader="dot" w:pos="9350"/>
            </w:tabs>
            <w:rPr>
              <w:rFonts w:asciiTheme="minorHAnsi" w:eastAsiaTheme="minorEastAsia" w:hAnsiTheme="minorHAnsi"/>
              <w:noProof/>
              <w:kern w:val="0"/>
              <w:sz w:val="22"/>
              <w:szCs w:val="22"/>
              <w:lang w:val="en-US"/>
              <w14:ligatures w14:val="none"/>
            </w:rPr>
          </w:pPr>
          <w:hyperlink w:anchor="_Toc227285488" w:history="1">
            <w:r w:rsidRPr="00812AA3">
              <w:rPr>
                <w:rStyle w:val="Hyperlink"/>
                <w:noProof/>
              </w:rPr>
              <w:t>2.3 Financing OH in the Short vs Financing OH in the Long.</w:t>
            </w:r>
            <w:r>
              <w:rPr>
                <w:noProof/>
                <w:webHidden/>
              </w:rPr>
              <w:tab/>
            </w:r>
            <w:r>
              <w:rPr>
                <w:noProof/>
                <w:webHidden/>
              </w:rPr>
              <w:fldChar w:fldCharType="begin"/>
            </w:r>
            <w:r>
              <w:rPr>
                <w:noProof/>
                <w:webHidden/>
              </w:rPr>
              <w:instrText xml:space="preserve"> PAGEREF _Toc227285488 \h </w:instrText>
            </w:r>
            <w:r>
              <w:rPr>
                <w:noProof/>
                <w:webHidden/>
              </w:rPr>
            </w:r>
            <w:r>
              <w:rPr>
                <w:noProof/>
                <w:webHidden/>
              </w:rPr>
              <w:fldChar w:fldCharType="separate"/>
            </w:r>
            <w:r>
              <w:rPr>
                <w:noProof/>
                <w:webHidden/>
              </w:rPr>
              <w:t>15</w:t>
            </w:r>
            <w:r>
              <w:rPr>
                <w:noProof/>
                <w:webHidden/>
              </w:rPr>
              <w:fldChar w:fldCharType="end"/>
            </w:r>
          </w:hyperlink>
        </w:p>
        <w:p w14:paraId="0870A5D9" w14:textId="14D2D58E" w:rsidR="003671E8" w:rsidRDefault="003671E8">
          <w:pPr>
            <w:pStyle w:val="TOC1"/>
            <w:tabs>
              <w:tab w:val="right" w:leader="dot" w:pos="9350"/>
            </w:tabs>
            <w:rPr>
              <w:rFonts w:asciiTheme="minorHAnsi" w:eastAsiaTheme="minorEastAsia" w:hAnsiTheme="minorHAnsi"/>
              <w:noProof/>
              <w:kern w:val="0"/>
              <w:sz w:val="22"/>
              <w:szCs w:val="22"/>
              <w:lang w:val="en-US"/>
              <w14:ligatures w14:val="none"/>
            </w:rPr>
          </w:pPr>
          <w:hyperlink w:anchor="_Toc227285489" w:history="1">
            <w:r w:rsidRPr="00812AA3">
              <w:rPr>
                <w:rStyle w:val="Hyperlink"/>
                <w:noProof/>
              </w:rPr>
              <w:t>3. Strategic Financial Restructuring Plan</w:t>
            </w:r>
            <w:r>
              <w:rPr>
                <w:noProof/>
                <w:webHidden/>
              </w:rPr>
              <w:tab/>
            </w:r>
            <w:r>
              <w:rPr>
                <w:noProof/>
                <w:webHidden/>
              </w:rPr>
              <w:fldChar w:fldCharType="begin"/>
            </w:r>
            <w:r>
              <w:rPr>
                <w:noProof/>
                <w:webHidden/>
              </w:rPr>
              <w:instrText xml:space="preserve"> PAGEREF _Toc227285489 \h </w:instrText>
            </w:r>
            <w:r>
              <w:rPr>
                <w:noProof/>
                <w:webHidden/>
              </w:rPr>
            </w:r>
            <w:r>
              <w:rPr>
                <w:noProof/>
                <w:webHidden/>
              </w:rPr>
              <w:fldChar w:fldCharType="separate"/>
            </w:r>
            <w:r>
              <w:rPr>
                <w:noProof/>
                <w:webHidden/>
              </w:rPr>
              <w:t>17</w:t>
            </w:r>
            <w:r>
              <w:rPr>
                <w:noProof/>
                <w:webHidden/>
              </w:rPr>
              <w:fldChar w:fldCharType="end"/>
            </w:r>
          </w:hyperlink>
        </w:p>
        <w:p w14:paraId="6497276F" w14:textId="47FC12CA" w:rsidR="003671E8" w:rsidRDefault="003671E8">
          <w:pPr>
            <w:pStyle w:val="TOC2"/>
            <w:tabs>
              <w:tab w:val="right" w:leader="dot" w:pos="9350"/>
            </w:tabs>
            <w:rPr>
              <w:rFonts w:asciiTheme="minorHAnsi" w:eastAsiaTheme="minorEastAsia" w:hAnsiTheme="minorHAnsi"/>
              <w:noProof/>
              <w:kern w:val="0"/>
              <w:sz w:val="22"/>
              <w:szCs w:val="22"/>
              <w:lang w:val="en-US"/>
              <w14:ligatures w14:val="none"/>
            </w:rPr>
          </w:pPr>
          <w:hyperlink w:anchor="_Toc227285490" w:history="1">
            <w:r w:rsidRPr="00812AA3">
              <w:rPr>
                <w:rStyle w:val="Hyperlink"/>
                <w:noProof/>
              </w:rPr>
              <w:t>3.1 Recommended Financial Restructuring Options</w:t>
            </w:r>
            <w:r>
              <w:rPr>
                <w:noProof/>
                <w:webHidden/>
              </w:rPr>
              <w:tab/>
            </w:r>
            <w:r>
              <w:rPr>
                <w:noProof/>
                <w:webHidden/>
              </w:rPr>
              <w:fldChar w:fldCharType="begin"/>
            </w:r>
            <w:r>
              <w:rPr>
                <w:noProof/>
                <w:webHidden/>
              </w:rPr>
              <w:instrText xml:space="preserve"> PAGEREF _Toc227285490 \h </w:instrText>
            </w:r>
            <w:r>
              <w:rPr>
                <w:noProof/>
                <w:webHidden/>
              </w:rPr>
            </w:r>
            <w:r>
              <w:rPr>
                <w:noProof/>
                <w:webHidden/>
              </w:rPr>
              <w:fldChar w:fldCharType="separate"/>
            </w:r>
            <w:r>
              <w:rPr>
                <w:noProof/>
                <w:webHidden/>
              </w:rPr>
              <w:t>17</w:t>
            </w:r>
            <w:r>
              <w:rPr>
                <w:noProof/>
                <w:webHidden/>
              </w:rPr>
              <w:fldChar w:fldCharType="end"/>
            </w:r>
          </w:hyperlink>
        </w:p>
        <w:p w14:paraId="15D0BC1C" w14:textId="40CB0905" w:rsidR="003671E8" w:rsidRDefault="003671E8">
          <w:pPr>
            <w:pStyle w:val="TOC2"/>
            <w:tabs>
              <w:tab w:val="right" w:leader="dot" w:pos="9350"/>
            </w:tabs>
            <w:rPr>
              <w:rFonts w:asciiTheme="minorHAnsi" w:eastAsiaTheme="minorEastAsia" w:hAnsiTheme="minorHAnsi"/>
              <w:noProof/>
              <w:kern w:val="0"/>
              <w:sz w:val="22"/>
              <w:szCs w:val="22"/>
              <w:lang w:val="en-US"/>
              <w14:ligatures w14:val="none"/>
            </w:rPr>
          </w:pPr>
          <w:hyperlink w:anchor="_Toc227285491" w:history="1">
            <w:r w:rsidRPr="00812AA3">
              <w:rPr>
                <w:rStyle w:val="Hyperlink"/>
                <w:noProof/>
              </w:rPr>
              <w:t>3.2 Effect on Shareholder Value, Debt Structure and Operational Flexibility.</w:t>
            </w:r>
            <w:r>
              <w:rPr>
                <w:noProof/>
                <w:webHidden/>
              </w:rPr>
              <w:tab/>
            </w:r>
            <w:r>
              <w:rPr>
                <w:noProof/>
                <w:webHidden/>
              </w:rPr>
              <w:fldChar w:fldCharType="begin"/>
            </w:r>
            <w:r>
              <w:rPr>
                <w:noProof/>
                <w:webHidden/>
              </w:rPr>
              <w:instrText xml:space="preserve"> PAGEREF _Toc227285491 \h </w:instrText>
            </w:r>
            <w:r>
              <w:rPr>
                <w:noProof/>
                <w:webHidden/>
              </w:rPr>
            </w:r>
            <w:r>
              <w:rPr>
                <w:noProof/>
                <w:webHidden/>
              </w:rPr>
              <w:fldChar w:fldCharType="separate"/>
            </w:r>
            <w:r>
              <w:rPr>
                <w:noProof/>
                <w:webHidden/>
              </w:rPr>
              <w:t>18</w:t>
            </w:r>
            <w:r>
              <w:rPr>
                <w:noProof/>
                <w:webHidden/>
              </w:rPr>
              <w:fldChar w:fldCharType="end"/>
            </w:r>
          </w:hyperlink>
        </w:p>
        <w:p w14:paraId="03CD33D3" w14:textId="0F15BF27" w:rsidR="003671E8" w:rsidRDefault="003671E8">
          <w:pPr>
            <w:pStyle w:val="TOC2"/>
            <w:tabs>
              <w:tab w:val="right" w:leader="dot" w:pos="9350"/>
            </w:tabs>
            <w:rPr>
              <w:rFonts w:asciiTheme="minorHAnsi" w:eastAsiaTheme="minorEastAsia" w:hAnsiTheme="minorHAnsi"/>
              <w:noProof/>
              <w:kern w:val="0"/>
              <w:sz w:val="22"/>
              <w:szCs w:val="22"/>
              <w:lang w:val="en-US"/>
              <w14:ligatures w14:val="none"/>
            </w:rPr>
          </w:pPr>
          <w:hyperlink w:anchor="_Toc227285492" w:history="1">
            <w:r w:rsidRPr="00812AA3">
              <w:rPr>
                <w:rStyle w:val="Hyperlink"/>
                <w:noProof/>
              </w:rPr>
              <w:t>3.3 International and Ethical considerations.</w:t>
            </w:r>
            <w:r>
              <w:rPr>
                <w:noProof/>
                <w:webHidden/>
              </w:rPr>
              <w:tab/>
            </w:r>
            <w:r>
              <w:rPr>
                <w:noProof/>
                <w:webHidden/>
              </w:rPr>
              <w:fldChar w:fldCharType="begin"/>
            </w:r>
            <w:r>
              <w:rPr>
                <w:noProof/>
                <w:webHidden/>
              </w:rPr>
              <w:instrText xml:space="preserve"> PAGEREF _Toc227285492 \h </w:instrText>
            </w:r>
            <w:r>
              <w:rPr>
                <w:noProof/>
                <w:webHidden/>
              </w:rPr>
            </w:r>
            <w:r>
              <w:rPr>
                <w:noProof/>
                <w:webHidden/>
              </w:rPr>
              <w:fldChar w:fldCharType="separate"/>
            </w:r>
            <w:r>
              <w:rPr>
                <w:noProof/>
                <w:webHidden/>
              </w:rPr>
              <w:t>20</w:t>
            </w:r>
            <w:r>
              <w:rPr>
                <w:noProof/>
                <w:webHidden/>
              </w:rPr>
              <w:fldChar w:fldCharType="end"/>
            </w:r>
          </w:hyperlink>
        </w:p>
        <w:p w14:paraId="7249DB39" w14:textId="224C9F15" w:rsidR="003671E8" w:rsidRDefault="003671E8">
          <w:pPr>
            <w:pStyle w:val="TOC1"/>
            <w:tabs>
              <w:tab w:val="right" w:leader="dot" w:pos="9350"/>
            </w:tabs>
            <w:rPr>
              <w:rFonts w:asciiTheme="minorHAnsi" w:eastAsiaTheme="minorEastAsia" w:hAnsiTheme="minorHAnsi"/>
              <w:noProof/>
              <w:kern w:val="0"/>
              <w:sz w:val="22"/>
              <w:szCs w:val="22"/>
              <w:lang w:val="en-US"/>
              <w14:ligatures w14:val="none"/>
            </w:rPr>
          </w:pPr>
          <w:hyperlink w:anchor="_Toc227285493" w:history="1">
            <w:r w:rsidRPr="00812AA3">
              <w:rPr>
                <w:rStyle w:val="Hyperlink"/>
                <w:noProof/>
              </w:rPr>
              <w:t>4. Investment Appraisal and Capital Budgeting</w:t>
            </w:r>
            <w:r>
              <w:rPr>
                <w:noProof/>
                <w:webHidden/>
              </w:rPr>
              <w:tab/>
            </w:r>
            <w:r>
              <w:rPr>
                <w:noProof/>
                <w:webHidden/>
              </w:rPr>
              <w:fldChar w:fldCharType="begin"/>
            </w:r>
            <w:r>
              <w:rPr>
                <w:noProof/>
                <w:webHidden/>
              </w:rPr>
              <w:instrText xml:space="preserve"> PAGEREF _Toc227285493 \h </w:instrText>
            </w:r>
            <w:r>
              <w:rPr>
                <w:noProof/>
                <w:webHidden/>
              </w:rPr>
            </w:r>
            <w:r>
              <w:rPr>
                <w:noProof/>
                <w:webHidden/>
              </w:rPr>
              <w:fldChar w:fldCharType="separate"/>
            </w:r>
            <w:r>
              <w:rPr>
                <w:noProof/>
                <w:webHidden/>
              </w:rPr>
              <w:t>22</w:t>
            </w:r>
            <w:r>
              <w:rPr>
                <w:noProof/>
                <w:webHidden/>
              </w:rPr>
              <w:fldChar w:fldCharType="end"/>
            </w:r>
          </w:hyperlink>
        </w:p>
        <w:p w14:paraId="166C150B" w14:textId="1F8D9AC5" w:rsidR="003671E8" w:rsidRDefault="003671E8">
          <w:pPr>
            <w:pStyle w:val="TOC2"/>
            <w:tabs>
              <w:tab w:val="right" w:leader="dot" w:pos="9350"/>
            </w:tabs>
            <w:rPr>
              <w:rFonts w:asciiTheme="minorHAnsi" w:eastAsiaTheme="minorEastAsia" w:hAnsiTheme="minorHAnsi"/>
              <w:noProof/>
              <w:kern w:val="0"/>
              <w:sz w:val="22"/>
              <w:szCs w:val="22"/>
              <w:lang w:val="en-US"/>
              <w14:ligatures w14:val="none"/>
            </w:rPr>
          </w:pPr>
          <w:hyperlink w:anchor="_Toc227285494" w:history="1">
            <w:r w:rsidRPr="00812AA3">
              <w:rPr>
                <w:rStyle w:val="Hyperlink"/>
                <w:noProof/>
              </w:rPr>
              <w:t>4.1 Investment Appraisal Calculations</w:t>
            </w:r>
            <w:r>
              <w:rPr>
                <w:noProof/>
                <w:webHidden/>
              </w:rPr>
              <w:tab/>
            </w:r>
            <w:r>
              <w:rPr>
                <w:noProof/>
                <w:webHidden/>
              </w:rPr>
              <w:fldChar w:fldCharType="begin"/>
            </w:r>
            <w:r>
              <w:rPr>
                <w:noProof/>
                <w:webHidden/>
              </w:rPr>
              <w:instrText xml:space="preserve"> PAGEREF _Toc227285494 \h </w:instrText>
            </w:r>
            <w:r>
              <w:rPr>
                <w:noProof/>
                <w:webHidden/>
              </w:rPr>
            </w:r>
            <w:r>
              <w:rPr>
                <w:noProof/>
                <w:webHidden/>
              </w:rPr>
              <w:fldChar w:fldCharType="separate"/>
            </w:r>
            <w:r>
              <w:rPr>
                <w:noProof/>
                <w:webHidden/>
              </w:rPr>
              <w:t>22</w:t>
            </w:r>
            <w:r>
              <w:rPr>
                <w:noProof/>
                <w:webHidden/>
              </w:rPr>
              <w:fldChar w:fldCharType="end"/>
            </w:r>
          </w:hyperlink>
        </w:p>
        <w:p w14:paraId="4B6FF9DF" w14:textId="61251B78" w:rsidR="003671E8" w:rsidRDefault="003671E8">
          <w:pPr>
            <w:pStyle w:val="TOC3"/>
            <w:tabs>
              <w:tab w:val="right" w:leader="dot" w:pos="9350"/>
            </w:tabs>
            <w:rPr>
              <w:rFonts w:asciiTheme="minorHAnsi" w:eastAsiaTheme="minorEastAsia" w:hAnsiTheme="minorHAnsi"/>
              <w:noProof/>
              <w:kern w:val="0"/>
              <w:sz w:val="22"/>
              <w:szCs w:val="22"/>
              <w:lang w:val="en-US"/>
              <w14:ligatures w14:val="none"/>
            </w:rPr>
          </w:pPr>
          <w:hyperlink w:anchor="_Toc227285495" w:history="1">
            <w:r w:rsidRPr="00812AA3">
              <w:rPr>
                <w:rStyle w:val="Hyperlink"/>
                <w:noProof/>
              </w:rPr>
              <w:t>Project A: Cash Inflows – £10m, £12m, £14m, £10m, £8m</w:t>
            </w:r>
            <w:r>
              <w:rPr>
                <w:noProof/>
                <w:webHidden/>
              </w:rPr>
              <w:tab/>
            </w:r>
            <w:r>
              <w:rPr>
                <w:noProof/>
                <w:webHidden/>
              </w:rPr>
              <w:fldChar w:fldCharType="begin"/>
            </w:r>
            <w:r>
              <w:rPr>
                <w:noProof/>
                <w:webHidden/>
              </w:rPr>
              <w:instrText xml:space="preserve"> PAGEREF _Toc227285495 \h </w:instrText>
            </w:r>
            <w:r>
              <w:rPr>
                <w:noProof/>
                <w:webHidden/>
              </w:rPr>
            </w:r>
            <w:r>
              <w:rPr>
                <w:noProof/>
                <w:webHidden/>
              </w:rPr>
              <w:fldChar w:fldCharType="separate"/>
            </w:r>
            <w:r>
              <w:rPr>
                <w:noProof/>
                <w:webHidden/>
              </w:rPr>
              <w:t>22</w:t>
            </w:r>
            <w:r>
              <w:rPr>
                <w:noProof/>
                <w:webHidden/>
              </w:rPr>
              <w:fldChar w:fldCharType="end"/>
            </w:r>
          </w:hyperlink>
        </w:p>
        <w:p w14:paraId="21D1C6AA" w14:textId="10A0B076" w:rsidR="003671E8" w:rsidRDefault="003671E8">
          <w:pPr>
            <w:pStyle w:val="TOC3"/>
            <w:tabs>
              <w:tab w:val="right" w:leader="dot" w:pos="9350"/>
            </w:tabs>
            <w:rPr>
              <w:rFonts w:asciiTheme="minorHAnsi" w:eastAsiaTheme="minorEastAsia" w:hAnsiTheme="minorHAnsi"/>
              <w:noProof/>
              <w:kern w:val="0"/>
              <w:sz w:val="22"/>
              <w:szCs w:val="22"/>
              <w:lang w:val="en-US"/>
              <w14:ligatures w14:val="none"/>
            </w:rPr>
          </w:pPr>
          <w:hyperlink w:anchor="_Toc227285496" w:history="1">
            <w:r w:rsidRPr="00812AA3">
              <w:rPr>
                <w:rStyle w:val="Hyperlink"/>
                <w:noProof/>
              </w:rPr>
              <w:t>Project B: Cash Inflows – £11m per year (annuity)</w:t>
            </w:r>
            <w:r>
              <w:rPr>
                <w:noProof/>
                <w:webHidden/>
              </w:rPr>
              <w:tab/>
            </w:r>
            <w:r>
              <w:rPr>
                <w:noProof/>
                <w:webHidden/>
              </w:rPr>
              <w:fldChar w:fldCharType="begin"/>
            </w:r>
            <w:r>
              <w:rPr>
                <w:noProof/>
                <w:webHidden/>
              </w:rPr>
              <w:instrText xml:space="preserve"> PAGEREF _Toc227285496 \h </w:instrText>
            </w:r>
            <w:r>
              <w:rPr>
                <w:noProof/>
                <w:webHidden/>
              </w:rPr>
            </w:r>
            <w:r>
              <w:rPr>
                <w:noProof/>
                <w:webHidden/>
              </w:rPr>
              <w:fldChar w:fldCharType="separate"/>
            </w:r>
            <w:r>
              <w:rPr>
                <w:noProof/>
                <w:webHidden/>
              </w:rPr>
              <w:t>23</w:t>
            </w:r>
            <w:r>
              <w:rPr>
                <w:noProof/>
                <w:webHidden/>
              </w:rPr>
              <w:fldChar w:fldCharType="end"/>
            </w:r>
          </w:hyperlink>
        </w:p>
        <w:p w14:paraId="07BF3BC2" w14:textId="1478FE6C" w:rsidR="003671E8" w:rsidRDefault="003671E8">
          <w:pPr>
            <w:pStyle w:val="TOC3"/>
            <w:tabs>
              <w:tab w:val="right" w:leader="dot" w:pos="9350"/>
            </w:tabs>
            <w:rPr>
              <w:rFonts w:asciiTheme="minorHAnsi" w:eastAsiaTheme="minorEastAsia" w:hAnsiTheme="minorHAnsi"/>
              <w:noProof/>
              <w:kern w:val="0"/>
              <w:sz w:val="22"/>
              <w:szCs w:val="22"/>
              <w:lang w:val="en-US"/>
              <w14:ligatures w14:val="none"/>
            </w:rPr>
          </w:pPr>
          <w:hyperlink w:anchor="_Toc227285497" w:history="1">
            <w:r w:rsidRPr="00812AA3">
              <w:rPr>
                <w:rStyle w:val="Hyperlink"/>
                <w:noProof/>
              </w:rPr>
              <w:t>Project C: Cash Inflows – £5m, £10m, £20m, £25m, £5m</w:t>
            </w:r>
            <w:r>
              <w:rPr>
                <w:noProof/>
                <w:webHidden/>
              </w:rPr>
              <w:tab/>
            </w:r>
            <w:r>
              <w:rPr>
                <w:noProof/>
                <w:webHidden/>
              </w:rPr>
              <w:fldChar w:fldCharType="begin"/>
            </w:r>
            <w:r>
              <w:rPr>
                <w:noProof/>
                <w:webHidden/>
              </w:rPr>
              <w:instrText xml:space="preserve"> PAGEREF _Toc227285497 \h </w:instrText>
            </w:r>
            <w:r>
              <w:rPr>
                <w:noProof/>
                <w:webHidden/>
              </w:rPr>
            </w:r>
            <w:r>
              <w:rPr>
                <w:noProof/>
                <w:webHidden/>
              </w:rPr>
              <w:fldChar w:fldCharType="separate"/>
            </w:r>
            <w:r>
              <w:rPr>
                <w:noProof/>
                <w:webHidden/>
              </w:rPr>
              <w:t>24</w:t>
            </w:r>
            <w:r>
              <w:rPr>
                <w:noProof/>
                <w:webHidden/>
              </w:rPr>
              <w:fldChar w:fldCharType="end"/>
            </w:r>
          </w:hyperlink>
        </w:p>
        <w:p w14:paraId="4E642657" w14:textId="280B7495" w:rsidR="003671E8" w:rsidRDefault="003671E8">
          <w:pPr>
            <w:pStyle w:val="TOC2"/>
            <w:tabs>
              <w:tab w:val="right" w:leader="dot" w:pos="9350"/>
            </w:tabs>
            <w:rPr>
              <w:rFonts w:asciiTheme="minorHAnsi" w:eastAsiaTheme="minorEastAsia" w:hAnsiTheme="minorHAnsi"/>
              <w:noProof/>
              <w:kern w:val="0"/>
              <w:sz w:val="22"/>
              <w:szCs w:val="22"/>
              <w:lang w:val="en-US"/>
              <w14:ligatures w14:val="none"/>
            </w:rPr>
          </w:pPr>
          <w:hyperlink w:anchor="_Toc227285498" w:history="1">
            <w:r w:rsidRPr="00812AA3">
              <w:rPr>
                <w:rStyle w:val="Hyperlink"/>
                <w:noProof/>
              </w:rPr>
              <w:t>4.2 Comparative Summary Table</w:t>
            </w:r>
            <w:r>
              <w:rPr>
                <w:noProof/>
                <w:webHidden/>
              </w:rPr>
              <w:tab/>
            </w:r>
            <w:r>
              <w:rPr>
                <w:noProof/>
                <w:webHidden/>
              </w:rPr>
              <w:fldChar w:fldCharType="begin"/>
            </w:r>
            <w:r>
              <w:rPr>
                <w:noProof/>
                <w:webHidden/>
              </w:rPr>
              <w:instrText xml:space="preserve"> PAGEREF _Toc227285498 \h </w:instrText>
            </w:r>
            <w:r>
              <w:rPr>
                <w:noProof/>
                <w:webHidden/>
              </w:rPr>
            </w:r>
            <w:r>
              <w:rPr>
                <w:noProof/>
                <w:webHidden/>
              </w:rPr>
              <w:fldChar w:fldCharType="separate"/>
            </w:r>
            <w:r>
              <w:rPr>
                <w:noProof/>
                <w:webHidden/>
              </w:rPr>
              <w:t>25</w:t>
            </w:r>
            <w:r>
              <w:rPr>
                <w:noProof/>
                <w:webHidden/>
              </w:rPr>
              <w:fldChar w:fldCharType="end"/>
            </w:r>
          </w:hyperlink>
        </w:p>
        <w:p w14:paraId="731FBF87" w14:textId="4A454EB3" w:rsidR="003671E8" w:rsidRDefault="003671E8">
          <w:pPr>
            <w:pStyle w:val="TOC2"/>
            <w:tabs>
              <w:tab w:val="right" w:leader="dot" w:pos="9350"/>
            </w:tabs>
            <w:rPr>
              <w:rFonts w:asciiTheme="minorHAnsi" w:eastAsiaTheme="minorEastAsia" w:hAnsiTheme="minorHAnsi"/>
              <w:noProof/>
              <w:kern w:val="0"/>
              <w:sz w:val="22"/>
              <w:szCs w:val="22"/>
              <w:lang w:val="en-US"/>
              <w14:ligatures w14:val="none"/>
            </w:rPr>
          </w:pPr>
          <w:hyperlink w:anchor="_Toc227285499" w:history="1">
            <w:r w:rsidRPr="00812AA3">
              <w:rPr>
                <w:rStyle w:val="Hyperlink"/>
                <w:noProof/>
              </w:rPr>
              <w:t>4.3 Individual Project Recommendation</w:t>
            </w:r>
            <w:r>
              <w:rPr>
                <w:noProof/>
                <w:webHidden/>
              </w:rPr>
              <w:tab/>
            </w:r>
            <w:r>
              <w:rPr>
                <w:noProof/>
                <w:webHidden/>
              </w:rPr>
              <w:fldChar w:fldCharType="begin"/>
            </w:r>
            <w:r>
              <w:rPr>
                <w:noProof/>
                <w:webHidden/>
              </w:rPr>
              <w:instrText xml:space="preserve"> PAGEREF _Toc227285499 \h </w:instrText>
            </w:r>
            <w:r>
              <w:rPr>
                <w:noProof/>
                <w:webHidden/>
              </w:rPr>
            </w:r>
            <w:r>
              <w:rPr>
                <w:noProof/>
                <w:webHidden/>
              </w:rPr>
              <w:fldChar w:fldCharType="separate"/>
            </w:r>
            <w:r>
              <w:rPr>
                <w:noProof/>
                <w:webHidden/>
              </w:rPr>
              <w:t>26</w:t>
            </w:r>
            <w:r>
              <w:rPr>
                <w:noProof/>
                <w:webHidden/>
              </w:rPr>
              <w:fldChar w:fldCharType="end"/>
            </w:r>
          </w:hyperlink>
        </w:p>
        <w:p w14:paraId="24039BC6" w14:textId="14C29F32" w:rsidR="003671E8" w:rsidRDefault="003671E8">
          <w:pPr>
            <w:pStyle w:val="TOC2"/>
            <w:tabs>
              <w:tab w:val="right" w:leader="dot" w:pos="9350"/>
            </w:tabs>
            <w:rPr>
              <w:rFonts w:asciiTheme="minorHAnsi" w:eastAsiaTheme="minorEastAsia" w:hAnsiTheme="minorHAnsi"/>
              <w:noProof/>
              <w:kern w:val="0"/>
              <w:sz w:val="22"/>
              <w:szCs w:val="22"/>
              <w:lang w:val="en-US"/>
              <w14:ligatures w14:val="none"/>
            </w:rPr>
          </w:pPr>
          <w:hyperlink w:anchor="_Toc227285500" w:history="1">
            <w:r w:rsidRPr="00812AA3">
              <w:rPr>
                <w:rStyle w:val="Hyperlink"/>
                <w:noProof/>
              </w:rPr>
              <w:t>4.4 Capital Rationing: Optimal Project mix</w:t>
            </w:r>
            <w:r>
              <w:rPr>
                <w:noProof/>
                <w:webHidden/>
              </w:rPr>
              <w:tab/>
            </w:r>
            <w:r>
              <w:rPr>
                <w:noProof/>
                <w:webHidden/>
              </w:rPr>
              <w:fldChar w:fldCharType="begin"/>
            </w:r>
            <w:r>
              <w:rPr>
                <w:noProof/>
                <w:webHidden/>
              </w:rPr>
              <w:instrText xml:space="preserve"> PAGEREF _Toc227285500 \h </w:instrText>
            </w:r>
            <w:r>
              <w:rPr>
                <w:noProof/>
                <w:webHidden/>
              </w:rPr>
            </w:r>
            <w:r>
              <w:rPr>
                <w:noProof/>
                <w:webHidden/>
              </w:rPr>
              <w:fldChar w:fldCharType="separate"/>
            </w:r>
            <w:r>
              <w:rPr>
                <w:noProof/>
                <w:webHidden/>
              </w:rPr>
              <w:t>28</w:t>
            </w:r>
            <w:r>
              <w:rPr>
                <w:noProof/>
                <w:webHidden/>
              </w:rPr>
              <w:fldChar w:fldCharType="end"/>
            </w:r>
          </w:hyperlink>
        </w:p>
        <w:p w14:paraId="397BCCFA" w14:textId="512921FE" w:rsidR="003671E8" w:rsidRDefault="003671E8">
          <w:pPr>
            <w:pStyle w:val="TOC1"/>
            <w:tabs>
              <w:tab w:val="right" w:leader="dot" w:pos="9350"/>
            </w:tabs>
            <w:rPr>
              <w:rFonts w:asciiTheme="minorHAnsi" w:eastAsiaTheme="minorEastAsia" w:hAnsiTheme="minorHAnsi"/>
              <w:noProof/>
              <w:kern w:val="0"/>
              <w:sz w:val="22"/>
              <w:szCs w:val="22"/>
              <w:lang w:val="en-US"/>
              <w14:ligatures w14:val="none"/>
            </w:rPr>
          </w:pPr>
          <w:hyperlink w:anchor="_Toc227285501" w:history="1">
            <w:r w:rsidRPr="00812AA3">
              <w:rPr>
                <w:rStyle w:val="Hyperlink"/>
                <w:noProof/>
              </w:rPr>
              <w:t>Conclusion</w:t>
            </w:r>
            <w:r>
              <w:rPr>
                <w:noProof/>
                <w:webHidden/>
              </w:rPr>
              <w:tab/>
            </w:r>
            <w:r>
              <w:rPr>
                <w:noProof/>
                <w:webHidden/>
              </w:rPr>
              <w:fldChar w:fldCharType="begin"/>
            </w:r>
            <w:r>
              <w:rPr>
                <w:noProof/>
                <w:webHidden/>
              </w:rPr>
              <w:instrText xml:space="preserve"> PAGEREF _Toc227285501 \h </w:instrText>
            </w:r>
            <w:r>
              <w:rPr>
                <w:noProof/>
                <w:webHidden/>
              </w:rPr>
            </w:r>
            <w:r>
              <w:rPr>
                <w:noProof/>
                <w:webHidden/>
              </w:rPr>
              <w:fldChar w:fldCharType="separate"/>
            </w:r>
            <w:r>
              <w:rPr>
                <w:noProof/>
                <w:webHidden/>
              </w:rPr>
              <w:t>29</w:t>
            </w:r>
            <w:r>
              <w:rPr>
                <w:noProof/>
                <w:webHidden/>
              </w:rPr>
              <w:fldChar w:fldCharType="end"/>
            </w:r>
          </w:hyperlink>
        </w:p>
        <w:p w14:paraId="5D7368B0" w14:textId="3F9AD93B" w:rsidR="003671E8" w:rsidRDefault="003671E8">
          <w:pPr>
            <w:pStyle w:val="TOC1"/>
            <w:tabs>
              <w:tab w:val="right" w:leader="dot" w:pos="9350"/>
            </w:tabs>
            <w:rPr>
              <w:rFonts w:asciiTheme="minorHAnsi" w:eastAsiaTheme="minorEastAsia" w:hAnsiTheme="minorHAnsi"/>
              <w:noProof/>
              <w:kern w:val="0"/>
              <w:sz w:val="22"/>
              <w:szCs w:val="22"/>
              <w:lang w:val="en-US"/>
              <w14:ligatures w14:val="none"/>
            </w:rPr>
          </w:pPr>
          <w:hyperlink w:anchor="_Toc227285502" w:history="1">
            <w:r w:rsidRPr="00812AA3">
              <w:rPr>
                <w:rStyle w:val="Hyperlink"/>
                <w:noProof/>
              </w:rPr>
              <w:t>References</w:t>
            </w:r>
            <w:r>
              <w:rPr>
                <w:noProof/>
                <w:webHidden/>
              </w:rPr>
              <w:tab/>
            </w:r>
            <w:r>
              <w:rPr>
                <w:noProof/>
                <w:webHidden/>
              </w:rPr>
              <w:fldChar w:fldCharType="begin"/>
            </w:r>
            <w:r>
              <w:rPr>
                <w:noProof/>
                <w:webHidden/>
              </w:rPr>
              <w:instrText xml:space="preserve"> PAGEREF _Toc227285502 \h </w:instrText>
            </w:r>
            <w:r>
              <w:rPr>
                <w:noProof/>
                <w:webHidden/>
              </w:rPr>
            </w:r>
            <w:r>
              <w:rPr>
                <w:noProof/>
                <w:webHidden/>
              </w:rPr>
              <w:fldChar w:fldCharType="separate"/>
            </w:r>
            <w:r>
              <w:rPr>
                <w:noProof/>
                <w:webHidden/>
              </w:rPr>
              <w:t>30</w:t>
            </w:r>
            <w:r>
              <w:rPr>
                <w:noProof/>
                <w:webHidden/>
              </w:rPr>
              <w:fldChar w:fldCharType="end"/>
            </w:r>
          </w:hyperlink>
        </w:p>
        <w:p w14:paraId="2F8407EC" w14:textId="13C79140" w:rsidR="003671E8" w:rsidRDefault="003671E8">
          <w:pPr>
            <w:pStyle w:val="TOC1"/>
            <w:tabs>
              <w:tab w:val="right" w:leader="dot" w:pos="9350"/>
            </w:tabs>
            <w:rPr>
              <w:rFonts w:asciiTheme="minorHAnsi" w:eastAsiaTheme="minorEastAsia" w:hAnsiTheme="minorHAnsi"/>
              <w:noProof/>
              <w:kern w:val="0"/>
              <w:sz w:val="22"/>
              <w:szCs w:val="22"/>
              <w:lang w:val="en-US"/>
              <w14:ligatures w14:val="none"/>
            </w:rPr>
          </w:pPr>
          <w:hyperlink w:anchor="_Toc227285503" w:history="1">
            <w:r w:rsidRPr="00812AA3">
              <w:rPr>
                <w:rStyle w:val="Hyperlink"/>
                <w:noProof/>
              </w:rPr>
              <w:t>5. Appendices</w:t>
            </w:r>
            <w:r>
              <w:rPr>
                <w:noProof/>
                <w:webHidden/>
              </w:rPr>
              <w:tab/>
            </w:r>
            <w:r>
              <w:rPr>
                <w:noProof/>
                <w:webHidden/>
              </w:rPr>
              <w:fldChar w:fldCharType="begin"/>
            </w:r>
            <w:r>
              <w:rPr>
                <w:noProof/>
                <w:webHidden/>
              </w:rPr>
              <w:instrText xml:space="preserve"> PAGEREF _Toc227285503 \h </w:instrText>
            </w:r>
            <w:r>
              <w:rPr>
                <w:noProof/>
                <w:webHidden/>
              </w:rPr>
            </w:r>
            <w:r>
              <w:rPr>
                <w:noProof/>
                <w:webHidden/>
              </w:rPr>
              <w:fldChar w:fldCharType="separate"/>
            </w:r>
            <w:r>
              <w:rPr>
                <w:noProof/>
                <w:webHidden/>
              </w:rPr>
              <w:t>34</w:t>
            </w:r>
            <w:r>
              <w:rPr>
                <w:noProof/>
                <w:webHidden/>
              </w:rPr>
              <w:fldChar w:fldCharType="end"/>
            </w:r>
          </w:hyperlink>
        </w:p>
        <w:p w14:paraId="7730B65B" w14:textId="4A356B87" w:rsidR="003671E8" w:rsidRDefault="003671E8">
          <w:pPr>
            <w:pStyle w:val="TOC2"/>
            <w:tabs>
              <w:tab w:val="right" w:leader="dot" w:pos="9350"/>
            </w:tabs>
            <w:rPr>
              <w:rFonts w:asciiTheme="minorHAnsi" w:eastAsiaTheme="minorEastAsia" w:hAnsiTheme="minorHAnsi"/>
              <w:noProof/>
              <w:kern w:val="0"/>
              <w:sz w:val="22"/>
              <w:szCs w:val="22"/>
              <w:lang w:val="en-US"/>
              <w14:ligatures w14:val="none"/>
            </w:rPr>
          </w:pPr>
          <w:hyperlink w:anchor="_Toc227285504" w:history="1">
            <w:r w:rsidRPr="00812AA3">
              <w:rPr>
                <w:rStyle w:val="Hyperlink"/>
                <w:noProof/>
              </w:rPr>
              <w:t>Appendix A: Ratio Summary Table (FY2020–FY2024)</w:t>
            </w:r>
            <w:r>
              <w:rPr>
                <w:noProof/>
                <w:webHidden/>
              </w:rPr>
              <w:tab/>
            </w:r>
            <w:r>
              <w:rPr>
                <w:noProof/>
                <w:webHidden/>
              </w:rPr>
              <w:fldChar w:fldCharType="begin"/>
            </w:r>
            <w:r>
              <w:rPr>
                <w:noProof/>
                <w:webHidden/>
              </w:rPr>
              <w:instrText xml:space="preserve"> PAGEREF _Toc227285504 \h </w:instrText>
            </w:r>
            <w:r>
              <w:rPr>
                <w:noProof/>
                <w:webHidden/>
              </w:rPr>
            </w:r>
            <w:r>
              <w:rPr>
                <w:noProof/>
                <w:webHidden/>
              </w:rPr>
              <w:fldChar w:fldCharType="separate"/>
            </w:r>
            <w:r>
              <w:rPr>
                <w:noProof/>
                <w:webHidden/>
              </w:rPr>
              <w:t>34</w:t>
            </w:r>
            <w:r>
              <w:rPr>
                <w:noProof/>
                <w:webHidden/>
              </w:rPr>
              <w:fldChar w:fldCharType="end"/>
            </w:r>
          </w:hyperlink>
        </w:p>
        <w:p w14:paraId="22D0C828" w14:textId="0F00CA53" w:rsidR="003671E8" w:rsidRDefault="003671E8">
          <w:pPr>
            <w:pStyle w:val="TOC2"/>
            <w:tabs>
              <w:tab w:val="right" w:leader="dot" w:pos="9350"/>
            </w:tabs>
            <w:rPr>
              <w:rFonts w:asciiTheme="minorHAnsi" w:eastAsiaTheme="minorEastAsia" w:hAnsiTheme="minorHAnsi"/>
              <w:noProof/>
              <w:kern w:val="0"/>
              <w:sz w:val="22"/>
              <w:szCs w:val="22"/>
              <w:lang w:val="en-US"/>
              <w14:ligatures w14:val="none"/>
            </w:rPr>
          </w:pPr>
          <w:hyperlink w:anchor="_Toc227285505" w:history="1">
            <w:r w:rsidRPr="00812AA3">
              <w:rPr>
                <w:rStyle w:val="Hyperlink"/>
                <w:noProof/>
              </w:rPr>
              <w:t>Appendix B: Investment Appraisal Summary</w:t>
            </w:r>
            <w:r>
              <w:rPr>
                <w:noProof/>
                <w:webHidden/>
              </w:rPr>
              <w:tab/>
            </w:r>
            <w:r>
              <w:rPr>
                <w:noProof/>
                <w:webHidden/>
              </w:rPr>
              <w:fldChar w:fldCharType="begin"/>
            </w:r>
            <w:r>
              <w:rPr>
                <w:noProof/>
                <w:webHidden/>
              </w:rPr>
              <w:instrText xml:space="preserve"> PAGEREF _Toc227285505 \h </w:instrText>
            </w:r>
            <w:r>
              <w:rPr>
                <w:noProof/>
                <w:webHidden/>
              </w:rPr>
            </w:r>
            <w:r>
              <w:rPr>
                <w:noProof/>
                <w:webHidden/>
              </w:rPr>
              <w:fldChar w:fldCharType="separate"/>
            </w:r>
            <w:r>
              <w:rPr>
                <w:noProof/>
                <w:webHidden/>
              </w:rPr>
              <w:t>35</w:t>
            </w:r>
            <w:r>
              <w:rPr>
                <w:noProof/>
                <w:webHidden/>
              </w:rPr>
              <w:fldChar w:fldCharType="end"/>
            </w:r>
          </w:hyperlink>
        </w:p>
        <w:p w14:paraId="3E9B6D30" w14:textId="6AE23EE9" w:rsidR="003671E8" w:rsidRDefault="003671E8">
          <w:pPr>
            <w:pStyle w:val="TOC2"/>
            <w:tabs>
              <w:tab w:val="right" w:leader="dot" w:pos="9350"/>
            </w:tabs>
            <w:rPr>
              <w:rFonts w:asciiTheme="minorHAnsi" w:eastAsiaTheme="minorEastAsia" w:hAnsiTheme="minorHAnsi"/>
              <w:noProof/>
              <w:kern w:val="0"/>
              <w:sz w:val="22"/>
              <w:szCs w:val="22"/>
              <w:lang w:val="en-US"/>
              <w14:ligatures w14:val="none"/>
            </w:rPr>
          </w:pPr>
          <w:hyperlink w:anchor="_Toc227285506" w:history="1">
            <w:r w:rsidRPr="00812AA3">
              <w:rPr>
                <w:rStyle w:val="Hyperlink"/>
                <w:noProof/>
              </w:rPr>
              <w:t>Appendix C: Capital Rationing Summary</w:t>
            </w:r>
            <w:r>
              <w:rPr>
                <w:noProof/>
                <w:webHidden/>
              </w:rPr>
              <w:tab/>
            </w:r>
            <w:r>
              <w:rPr>
                <w:noProof/>
                <w:webHidden/>
              </w:rPr>
              <w:fldChar w:fldCharType="begin"/>
            </w:r>
            <w:r>
              <w:rPr>
                <w:noProof/>
                <w:webHidden/>
              </w:rPr>
              <w:instrText xml:space="preserve"> PAGEREF _Toc227285506 \h </w:instrText>
            </w:r>
            <w:r>
              <w:rPr>
                <w:noProof/>
                <w:webHidden/>
              </w:rPr>
            </w:r>
            <w:r>
              <w:rPr>
                <w:noProof/>
                <w:webHidden/>
              </w:rPr>
              <w:fldChar w:fldCharType="separate"/>
            </w:r>
            <w:r>
              <w:rPr>
                <w:noProof/>
                <w:webHidden/>
              </w:rPr>
              <w:t>35</w:t>
            </w:r>
            <w:r>
              <w:rPr>
                <w:noProof/>
                <w:webHidden/>
              </w:rPr>
              <w:fldChar w:fldCharType="end"/>
            </w:r>
          </w:hyperlink>
        </w:p>
        <w:p w14:paraId="56924629" w14:textId="6F7ABBD5" w:rsidR="00E91AF0" w:rsidRDefault="00E91AF0">
          <w:r>
            <w:rPr>
              <w:b/>
              <w:bCs/>
            </w:rPr>
            <w:fldChar w:fldCharType="end"/>
          </w:r>
        </w:p>
      </w:sdtContent>
    </w:sdt>
    <w:p w14:paraId="6FDACACF" w14:textId="37A35964" w:rsidR="00B015B5" w:rsidRDefault="00E91AF0">
      <w:pPr>
        <w:spacing w:line="278" w:lineRule="auto"/>
        <w:jc w:val="left"/>
        <w:rPr>
          <w:sz w:val="32"/>
          <w:szCs w:val="32"/>
        </w:rPr>
      </w:pPr>
      <w:r>
        <w:rPr>
          <w:sz w:val="32"/>
          <w:szCs w:val="32"/>
        </w:rPr>
        <w:br w:type="page"/>
      </w:r>
    </w:p>
    <w:p w14:paraId="196699D5" w14:textId="77777777" w:rsidR="0007798B" w:rsidRPr="0007798B" w:rsidRDefault="0007798B" w:rsidP="0007798B">
      <w:pPr>
        <w:pStyle w:val="Heading1"/>
      </w:pPr>
      <w:bookmarkStart w:id="1" w:name="_Toc227285476"/>
      <w:r w:rsidRPr="0007798B">
        <w:lastRenderedPageBreak/>
        <w:t>Introduction</w:t>
      </w:r>
      <w:bookmarkEnd w:id="1"/>
    </w:p>
    <w:p w14:paraId="3488F6B0" w14:textId="2BED6E8A" w:rsidR="0007798B" w:rsidRDefault="0007798B" w:rsidP="0007798B">
      <w:r w:rsidRPr="0007798B">
        <w:t>This report is a financial management analysis based on five key dimensions of Toyota as the new Chief Financial Officer in a world that is shifting towards electric vehicles (EVs). The strategic position of Toyota in the EV market will entail both great opportunities and great financial challenges. This report discusses 5-year financial performance of Toyota using comprehensive ratio analysis, working capital management practices, strategic financial restructuring plan and gives comprehensive investment appraisal of three capital projects. The findings will provide evidence-based recommendations to the Board of Directors that are financially ensuing, scaled globally and ethically sound.</w:t>
      </w:r>
    </w:p>
    <w:p w14:paraId="62FF0A9A" w14:textId="068F37D8" w:rsidR="002745E8" w:rsidRDefault="002745E8" w:rsidP="002745E8">
      <w:pPr>
        <w:jc w:val="center"/>
      </w:pPr>
      <w:r>
        <w:rPr>
          <w:noProof/>
          <w:lang w:val="en-US"/>
        </w:rPr>
        <w:drawing>
          <wp:inline distT="0" distB="0" distL="0" distR="0" wp14:anchorId="2C962DAE" wp14:editId="4BC7F520">
            <wp:extent cx="4773054" cy="2683823"/>
            <wp:effectExtent l="0" t="0" r="0" b="0"/>
            <wp:docPr id="1" name="Picture 1" descr="Toyota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yota logo and symbol, meaning, history, PNG, bran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81439" cy="2688538"/>
                    </a:xfrm>
                    <a:prstGeom prst="rect">
                      <a:avLst/>
                    </a:prstGeom>
                    <a:noFill/>
                    <a:ln>
                      <a:noFill/>
                    </a:ln>
                  </pic:spPr>
                </pic:pic>
              </a:graphicData>
            </a:graphic>
          </wp:inline>
        </w:drawing>
      </w:r>
    </w:p>
    <w:p w14:paraId="17770AD9" w14:textId="50980514" w:rsidR="002745E8" w:rsidRDefault="002745E8" w:rsidP="002745E8">
      <w:pPr>
        <w:jc w:val="center"/>
      </w:pPr>
      <w:r>
        <w:t xml:space="preserve">Figure: Toyota logo </w:t>
      </w:r>
      <w:r w:rsidRPr="002745E8">
        <w:t>(Arnold, 2020)</w:t>
      </w:r>
      <w:r>
        <w:t>.</w:t>
      </w:r>
    </w:p>
    <w:p w14:paraId="4EB66984" w14:textId="77777777" w:rsidR="0007798B" w:rsidRDefault="0007798B">
      <w:pPr>
        <w:spacing w:line="278" w:lineRule="auto"/>
        <w:jc w:val="left"/>
      </w:pPr>
      <w:r>
        <w:br w:type="page"/>
      </w:r>
    </w:p>
    <w:p w14:paraId="20300A4F" w14:textId="77777777" w:rsidR="0007798B" w:rsidRDefault="0007798B" w:rsidP="0007798B">
      <w:pPr>
        <w:pStyle w:val="Heading1"/>
      </w:pPr>
      <w:bookmarkStart w:id="2" w:name="_Toc227285477"/>
      <w:r>
        <w:lastRenderedPageBreak/>
        <w:t>1. Financial Health Check</w:t>
      </w:r>
      <w:bookmarkEnd w:id="2"/>
    </w:p>
    <w:p w14:paraId="6E084666" w14:textId="2DA34ACD" w:rsidR="0007798B" w:rsidRDefault="0007798B" w:rsidP="0007798B">
      <w:pPr>
        <w:pStyle w:val="Heading2"/>
      </w:pPr>
      <w:bookmarkStart w:id="3" w:name="_Toc227285478"/>
      <w:r>
        <w:t>1.1 Overview of the Five-Year Financial Performance</w:t>
      </w:r>
      <w:bookmarkEnd w:id="3"/>
    </w:p>
    <w:p w14:paraId="5DB43AF0" w14:textId="6C795A89" w:rsidR="0007798B" w:rsidRDefault="0007798B" w:rsidP="0007798B">
      <w:r>
        <w:t>Toyota Motor Corporation has long been the world-renowned car producer, but the pace to the shift to electromobility has already led to the emergence of structural financial strains that have been closely observed. The last five years (FY2020- FY2024) show a multidimensional combination of post-pandemic recovery, disruption of supply chains, increased costs of raw materials, and high capital expenditure on EV infrastructure in Toyota numbers. A review of the income statement, balance sheet and cash flow statement between this period, indicates that the company has good underlying fundamentals but is incurring accumulating strategic costs. The ratio analysis presented below will be based on publicly available annual reports of Toyota to examine its financial health in as many aspects as possible (Toyota Motor Corporation, 2024).</w:t>
      </w:r>
    </w:p>
    <w:p w14:paraId="0D746C9A" w14:textId="30614C37" w:rsidR="002745E8" w:rsidRDefault="002745E8" w:rsidP="002745E8">
      <w:pPr>
        <w:jc w:val="center"/>
      </w:pPr>
      <w:r>
        <w:rPr>
          <w:noProof/>
          <w:lang w:val="en-US"/>
        </w:rPr>
        <w:drawing>
          <wp:inline distT="0" distB="0" distL="0" distR="0" wp14:anchorId="13A72DA9" wp14:editId="4749769F">
            <wp:extent cx="3230089" cy="4479056"/>
            <wp:effectExtent l="0" t="0" r="8890" b="0"/>
            <wp:docPr id="2" name="Picture 2" descr="Financial Highlights &amp; Financial Performance | Shareholders &amp; Investors  News | Toyota Motor Corporation Official Global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nancial Highlights &amp; Financial Performance | Shareholders &amp; Investors  News | Toyota Motor Corporation Official Global Websi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9281" cy="4491803"/>
                    </a:xfrm>
                    <a:prstGeom prst="rect">
                      <a:avLst/>
                    </a:prstGeom>
                    <a:noFill/>
                    <a:ln>
                      <a:noFill/>
                    </a:ln>
                  </pic:spPr>
                </pic:pic>
              </a:graphicData>
            </a:graphic>
          </wp:inline>
        </w:drawing>
      </w:r>
    </w:p>
    <w:p w14:paraId="294A2543" w14:textId="73AF78D2" w:rsidR="002745E8" w:rsidRDefault="002745E8" w:rsidP="002745E8">
      <w:pPr>
        <w:jc w:val="center"/>
      </w:pPr>
      <w:r>
        <w:t xml:space="preserve">Figure: Toyota financial performance over 5 years </w:t>
      </w:r>
      <w:r w:rsidRPr="002745E8">
        <w:t>(Atrill and McLaney, 2021)</w:t>
      </w:r>
      <w:r>
        <w:t>.</w:t>
      </w:r>
    </w:p>
    <w:p w14:paraId="22CCED96" w14:textId="06D4FB28" w:rsidR="0007798B" w:rsidRDefault="0007798B" w:rsidP="0007798B">
      <w:r>
        <w:lastRenderedPageBreak/>
        <w:t>The total revenue at Toyota increased by 37.9 million ¥27.2 trillion in FY 2020 to 45.1 trillion in FY 2024, marking a major top-line growth due to vehicle demand recovery and power. The operating profit margins have been volatile, however, in FY2021 and FY2022 with semiconductor shortages and the increase of commodity prices. The net profit available to shareholders also increased significantly by FY2023 and FY2024 due to the favourable currency flows and operational economies. The following ratio analysis is to be considered in the context of the following headline figures (Brigham and Ehrhardt, 2020).</w:t>
      </w:r>
    </w:p>
    <w:p w14:paraId="2AC35FEC" w14:textId="77777777" w:rsidR="0007798B" w:rsidRDefault="0007798B" w:rsidP="0007798B">
      <w:pPr>
        <w:pStyle w:val="Heading2"/>
      </w:pPr>
      <w:bookmarkStart w:id="4" w:name="_Toc227285479"/>
      <w:r>
        <w:t>1.2 Profitability Ratios</w:t>
      </w:r>
      <w:bookmarkEnd w:id="4"/>
    </w:p>
    <w:p w14:paraId="512C1B2F" w14:textId="33B3E0DC" w:rsidR="0007798B" w:rsidRDefault="0007798B" w:rsidP="0007798B">
      <w:r>
        <w:t>The profitability ratios evaluate the ability of Toyota to earn money concerning revenues, assets, and equity which is a base measure of financial performance.</w:t>
      </w:r>
    </w:p>
    <w:p w14:paraId="491FDDAA" w14:textId="061072A2" w:rsidR="0007798B" w:rsidRPr="0007798B" w:rsidRDefault="0007798B" w:rsidP="0007798B">
      <w:pPr>
        <w:rPr>
          <w:b/>
          <w:bCs/>
        </w:rPr>
      </w:pPr>
      <w:r w:rsidRPr="0007798B">
        <w:rPr>
          <w:b/>
          <w:bCs/>
        </w:rPr>
        <w:t>Gross Profit Margin</w:t>
      </w:r>
    </w:p>
    <w:p w14:paraId="241BB1F8" w14:textId="77777777" w:rsidR="0007798B" w:rsidRDefault="0007798B" w:rsidP="0007798B">
      <w:r>
        <w:t>The Gross Profit Margin was in the range of 17-20 percent over the five years, which is relatively stable manufacturing cost base of Toyota amidst cost pressure of inflationary prices of raw materials, including steel, lithium and palladium. The lessening was experienced during FY2022, yet in FY2024, the margin rebounded, with Toyota rolling out cost optimisation programmes, and renegotiating with suppliers. Such recovery is an indicator of resilience to operations and cost control throughout the production chain (Kaplan and Atkinson, 2020).</w:t>
      </w:r>
    </w:p>
    <w:p w14:paraId="55872D0B" w14:textId="196981B1" w:rsidR="0007798B" w:rsidRPr="0007798B" w:rsidRDefault="0007798B" w:rsidP="0007798B">
      <w:pPr>
        <w:rPr>
          <w:b/>
          <w:bCs/>
        </w:rPr>
      </w:pPr>
      <w:r w:rsidRPr="0007798B">
        <w:rPr>
          <w:b/>
          <w:bCs/>
        </w:rPr>
        <w:t>Net Profit Margin</w:t>
      </w:r>
    </w:p>
    <w:p w14:paraId="3DD7D072" w14:textId="1A6E2AB9" w:rsidR="0007798B" w:rsidRDefault="0007798B" w:rsidP="0007798B">
      <w:r>
        <w:t xml:space="preserve">The Net Profit Margin is increased to 7.8% in FY2024, compared to 4.2 in FY2020, which indicates the increase in revenue as well as the optimization of expenses. This improvement is especially important as the research and development spending has been high due to the electrification roadmap of Toyota, which entails its solid-state battery programme. The positive net margins over the last few years show that the scale benefits and brand premium at Toyota is being used to absorb strategic spending on investment (Ross, </w:t>
      </w:r>
      <w:proofErr w:type="spellStart"/>
      <w:r>
        <w:t>Westerfield</w:t>
      </w:r>
      <w:proofErr w:type="spellEnd"/>
      <w:r>
        <w:t xml:space="preserve"> and Jordan, 2021).</w:t>
      </w:r>
    </w:p>
    <w:p w14:paraId="0F69C2B1" w14:textId="675EBEB7" w:rsidR="0029194F" w:rsidRDefault="0029194F" w:rsidP="0007798B"/>
    <w:p w14:paraId="38C75816" w14:textId="528B0328" w:rsidR="0029194F" w:rsidRDefault="0029194F" w:rsidP="0007798B"/>
    <w:p w14:paraId="3A04F417" w14:textId="77777777" w:rsidR="0029194F" w:rsidRDefault="0029194F" w:rsidP="0007798B"/>
    <w:p w14:paraId="1B6469E7" w14:textId="29AC6CA3" w:rsidR="0007798B" w:rsidRPr="0007798B" w:rsidRDefault="0007798B" w:rsidP="0007798B">
      <w:pPr>
        <w:rPr>
          <w:b/>
          <w:bCs/>
        </w:rPr>
      </w:pPr>
      <w:r w:rsidRPr="0007798B">
        <w:rPr>
          <w:b/>
          <w:bCs/>
        </w:rPr>
        <w:lastRenderedPageBreak/>
        <w:t>Return on Assets</w:t>
      </w:r>
      <w:r>
        <w:rPr>
          <w:b/>
          <w:bCs/>
        </w:rPr>
        <w:t xml:space="preserve"> (ROA)</w:t>
      </w:r>
    </w:p>
    <w:p w14:paraId="763F7724" w14:textId="77777777" w:rsidR="0007798B" w:rsidRDefault="0007798B" w:rsidP="0007798B">
      <w:r>
        <w:t>The asset utilisation was reflected by the Return on Assets (ROA) although it showed an improvement because in FY2020, it was 2.8% and in FY2024, it was 5.1%. This increase implies the fact that the company is discipline in its capital deployment and achievements of productivity made with help of the Toyota Production System (TPS). A greater ROA is another indicator that Toyota is making greater profits on each unit of asset went to work; the latter is notable especially when EVs with high capitals start to roll (Damodaran, 2022).</w:t>
      </w:r>
    </w:p>
    <w:p w14:paraId="2A0CCC4E" w14:textId="520C9C97" w:rsidR="002745E8" w:rsidRDefault="00392850" w:rsidP="00392850">
      <w:pPr>
        <w:jc w:val="center"/>
      </w:pPr>
      <w:r>
        <w:rPr>
          <w:noProof/>
          <w:lang w:val="en-US"/>
        </w:rPr>
        <w:drawing>
          <wp:inline distT="0" distB="0" distL="0" distR="0" wp14:anchorId="369EB842" wp14:editId="21D6F408">
            <wp:extent cx="5002310" cy="3503221"/>
            <wp:effectExtent l="0" t="0" r="8255" b="2540"/>
            <wp:docPr id="3" name="Picture 3" descr="Return On Investment Infographic Icon Set Stock Illustration - Download  Image Now - Balance, Banking, Budge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turn On Investment Infographic Icon Set Stock Illustration - Download  Image Now - Balance, Banking, Budget - iSto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2178" cy="3510132"/>
                    </a:xfrm>
                    <a:prstGeom prst="rect">
                      <a:avLst/>
                    </a:prstGeom>
                    <a:noFill/>
                    <a:ln>
                      <a:noFill/>
                    </a:ln>
                  </pic:spPr>
                </pic:pic>
              </a:graphicData>
            </a:graphic>
          </wp:inline>
        </w:drawing>
      </w:r>
    </w:p>
    <w:p w14:paraId="24880170" w14:textId="38796BFC" w:rsidR="00392850" w:rsidRDefault="00392850" w:rsidP="00392850">
      <w:pPr>
        <w:jc w:val="center"/>
      </w:pPr>
      <w:r>
        <w:t xml:space="preserve">Figure: Return on investment </w:t>
      </w:r>
      <w:r w:rsidRPr="00392850">
        <w:t>(Damodaran, 2022)</w:t>
      </w:r>
      <w:r>
        <w:t>.</w:t>
      </w:r>
    </w:p>
    <w:p w14:paraId="7BCA9111" w14:textId="2801AA94" w:rsidR="0007798B" w:rsidRPr="0007798B" w:rsidRDefault="0007798B" w:rsidP="0007798B">
      <w:pPr>
        <w:rPr>
          <w:b/>
          <w:bCs/>
        </w:rPr>
      </w:pPr>
      <w:r w:rsidRPr="0007798B">
        <w:rPr>
          <w:b/>
          <w:bCs/>
        </w:rPr>
        <w:t>Return on Equity (ROE)</w:t>
      </w:r>
    </w:p>
    <w:p w14:paraId="2C2395AD" w14:textId="62F9B153" w:rsidR="0007798B" w:rsidRDefault="0007798B" w:rsidP="0007798B">
      <w:r>
        <w:t>Compared to FY2020 (around 7.5), ROE increased to 14.2 in FY2024 as the net profits increased and share buyback programmes decreased the number of shares in circulation. Such a growth is an encouraging sign of increasing returns on shareholders and an increasing trust in the long-term EV strategy of Toyota. Nevertheless, the Board needs to observe this trend and ensure that it is sustainable as the number of capital spending increases on EVs over the next several years (Arnold, 2020).</w:t>
      </w:r>
    </w:p>
    <w:p w14:paraId="6C31E3B7" w14:textId="77777777" w:rsidR="0007798B" w:rsidRDefault="0007798B" w:rsidP="0007798B">
      <w:pPr>
        <w:pStyle w:val="Heading2"/>
      </w:pPr>
      <w:bookmarkStart w:id="5" w:name="_Toc227285480"/>
      <w:r>
        <w:lastRenderedPageBreak/>
        <w:t>1.3 Liquidity Ratios</w:t>
      </w:r>
      <w:bookmarkEnd w:id="5"/>
    </w:p>
    <w:p w14:paraId="50F9C377" w14:textId="4DBDE046" w:rsidR="0007798B" w:rsidRDefault="0007798B" w:rsidP="0007798B">
      <w:r>
        <w:t xml:space="preserve">Liquidity ratios are used to measure the capacity of Toyota to cover the short-term obligations, which is very important considering the </w:t>
      </w:r>
      <w:r w:rsidR="00353F03">
        <w:t>capital-intensive</w:t>
      </w:r>
      <w:r>
        <w:t xml:space="preserve"> nature of EV production.</w:t>
      </w:r>
    </w:p>
    <w:p w14:paraId="18CC79EF" w14:textId="4CF0101E" w:rsidR="0007798B" w:rsidRPr="0007798B" w:rsidRDefault="0007798B" w:rsidP="0007798B">
      <w:pPr>
        <w:rPr>
          <w:b/>
          <w:bCs/>
        </w:rPr>
      </w:pPr>
      <w:r w:rsidRPr="0007798B">
        <w:rPr>
          <w:b/>
          <w:bCs/>
        </w:rPr>
        <w:t>Current Ratio</w:t>
      </w:r>
    </w:p>
    <w:p w14:paraId="776E8729" w14:textId="77777777" w:rsidR="0007798B" w:rsidRDefault="0007798B" w:rsidP="0007798B">
      <w:r>
        <w:t xml:space="preserve">Current Ratio also did not change drastically with an average of 1.15 throughout the five </w:t>
      </w:r>
      <w:proofErr w:type="gramStart"/>
      <w:r>
        <w:t>years</w:t>
      </w:r>
      <w:proofErr w:type="gramEnd"/>
      <w:r>
        <w:t xml:space="preserve"> period, indicating that Toyota has a sufficient but not too high short-term liquidity. A ratio of 1.0 and above always shows that current assets are adequate to offset the current liabilities although the comparatively low value according to industry standard is indication that Toyota has a culture of managing the working capital very well. It reached a peak of 1.22 in FY2023 and then slightly decreased to 1.20 in FY2024 due to an increase in capital deployment (Brealey, Myers and Allen, 2020).</w:t>
      </w:r>
    </w:p>
    <w:p w14:paraId="664418B8" w14:textId="03511260" w:rsidR="0007798B" w:rsidRPr="0007798B" w:rsidRDefault="0007798B" w:rsidP="0007798B">
      <w:pPr>
        <w:rPr>
          <w:b/>
          <w:bCs/>
        </w:rPr>
      </w:pPr>
      <w:r w:rsidRPr="0007798B">
        <w:rPr>
          <w:b/>
          <w:bCs/>
        </w:rPr>
        <w:t>Quick Ratio</w:t>
      </w:r>
    </w:p>
    <w:p w14:paraId="72B9977C" w14:textId="583A98DB" w:rsidR="0007798B" w:rsidRDefault="0007798B" w:rsidP="0007798B">
      <w:r>
        <w:t>Quick Ratio (Acid Test) had an average of about 0.88 with exclusion of inventories as a part of current assets. This amount illustrates inventory-driven automotive production and indicates that Toyota depends on inventory turnover to finance its commitments in case urgent liquidity requirements face the company. Although the level is below 1.0, it is within the industry standards of large-scale manufacturers of vehicles and is not an immediate concern (Watson and Head, 2022).</w:t>
      </w:r>
    </w:p>
    <w:p w14:paraId="54F55EB7" w14:textId="77777777" w:rsidR="0007798B" w:rsidRDefault="0007798B" w:rsidP="0007798B">
      <w:pPr>
        <w:pStyle w:val="Heading2"/>
      </w:pPr>
      <w:bookmarkStart w:id="6" w:name="_Toc227285481"/>
      <w:r>
        <w:t>1.4 Efficiency Ratios</w:t>
      </w:r>
      <w:bookmarkEnd w:id="6"/>
    </w:p>
    <w:p w14:paraId="0E9249B6" w14:textId="5E21D31C" w:rsidR="0007798B" w:rsidRPr="0007798B" w:rsidRDefault="0007798B" w:rsidP="0007798B">
      <w:pPr>
        <w:rPr>
          <w:b/>
          <w:bCs/>
        </w:rPr>
      </w:pPr>
      <w:r w:rsidRPr="0007798B">
        <w:rPr>
          <w:b/>
          <w:bCs/>
        </w:rPr>
        <w:t>Inventory Turnover</w:t>
      </w:r>
    </w:p>
    <w:p w14:paraId="643F7742" w14:textId="6B14F909" w:rsidR="0007798B" w:rsidRDefault="0007798B" w:rsidP="0007798B">
      <w:r>
        <w:t>The average inventory Turnover was 9.2 times in a year because Toyota has a very efficient just-in-time (JIT) manufacturing philosophy. This ratio decreased a bit in FY2022 because of production disruptions based on semiconductors but bounced back to greater than 10 times in FY2024. One of the most typical markers of Toyota TPS is the high inventory turnover rates, which prove the operational excellency of the company in terms of stock level control compared to the other companies (Slack, Brandon-Jones and Johnston, 2021).</w:t>
      </w:r>
    </w:p>
    <w:p w14:paraId="1EA2B094" w14:textId="77777777" w:rsidR="0029194F" w:rsidRDefault="0029194F" w:rsidP="0007798B"/>
    <w:p w14:paraId="71CF0494" w14:textId="366374C1" w:rsidR="0007798B" w:rsidRPr="0007798B" w:rsidRDefault="0007798B" w:rsidP="0007798B">
      <w:pPr>
        <w:rPr>
          <w:b/>
          <w:bCs/>
        </w:rPr>
      </w:pPr>
      <w:r w:rsidRPr="0007798B">
        <w:rPr>
          <w:b/>
          <w:bCs/>
        </w:rPr>
        <w:lastRenderedPageBreak/>
        <w:t>Receivable Days</w:t>
      </w:r>
    </w:p>
    <w:p w14:paraId="2DEF874B" w14:textId="77777777" w:rsidR="0007798B" w:rsidRDefault="0007798B" w:rsidP="0007798B">
      <w:r>
        <w:t>Receivables Days averaged at 42 days in the five-year period reflecting good credit management in Toyota dealer network all over the world. The financial services department of the company that offers dealer financing is also relevant in managing its receivables effectively. Supporting the cash flow through maintaining the competitive receivables days can lower the possibility of bad debts in different international markets (Atrill and McLaney, 2021).</w:t>
      </w:r>
    </w:p>
    <w:p w14:paraId="592626E1" w14:textId="3700B7D2" w:rsidR="0007798B" w:rsidRPr="0007798B" w:rsidRDefault="0007798B" w:rsidP="0007798B">
      <w:pPr>
        <w:rPr>
          <w:b/>
          <w:bCs/>
        </w:rPr>
      </w:pPr>
      <w:r w:rsidRPr="0007798B">
        <w:rPr>
          <w:b/>
          <w:bCs/>
        </w:rPr>
        <w:t>Payable Days</w:t>
      </w:r>
    </w:p>
    <w:p w14:paraId="69F40726" w14:textId="3198C15E" w:rsidR="0007798B" w:rsidRDefault="0007798B" w:rsidP="0007798B">
      <w:r>
        <w:t>The days outstanding Payable was 55, indicating that Toyota had a good bargaining power with suppliers and the capacity to advantageously extend credit periods. Such figure benefits the cash operating cycle of Toyota as the company can defer outflows to their suppliers and collects it with customers. The extended time period of payables actually gives Toyota a short-term financing advantage of its supply chain (Pike and Neale, 2020).</w:t>
      </w:r>
    </w:p>
    <w:p w14:paraId="5191481D" w14:textId="6C21B74C" w:rsidR="00392850" w:rsidRDefault="00392850" w:rsidP="00392850">
      <w:pPr>
        <w:jc w:val="center"/>
      </w:pPr>
      <w:r>
        <w:rPr>
          <w:noProof/>
          <w:lang w:val="en-US"/>
        </w:rPr>
        <w:drawing>
          <wp:inline distT="0" distB="0" distL="0" distR="0" wp14:anchorId="5B81921B" wp14:editId="367DE081">
            <wp:extent cx="5106035" cy="2806996"/>
            <wp:effectExtent l="0" t="0" r="0" b="0"/>
            <wp:docPr id="4" name="Picture 4" descr="Key Financial Ratios Template 1 Powerpoint Slide Background Designs |  PowerPoint Shapes | PowerPoint Slide Deck Template | Presentation Visual  Aids | Slide P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ey Financial Ratios Template 1 Powerpoint Slide Background Designs |  PowerPoint Shapes | PowerPoint Slide Deck Template | Presentation Visual  Aids | Slide PPT"/>
                    <pic:cNvPicPr>
                      <a:picLocks noChangeAspect="1" noChangeArrowheads="1"/>
                    </pic:cNvPicPr>
                  </pic:nvPicPr>
                  <pic:blipFill rotWithShape="1">
                    <a:blip r:embed="rId10">
                      <a:extLst>
                        <a:ext uri="{28A0092B-C50C-407E-A947-70E740481C1C}">
                          <a14:useLocalDpi xmlns:a14="http://schemas.microsoft.com/office/drawing/2010/main" val="0"/>
                        </a:ext>
                      </a:extLst>
                    </a:blip>
                    <a:srcRect b="8171"/>
                    <a:stretch/>
                  </pic:blipFill>
                  <pic:spPr bwMode="auto">
                    <a:xfrm>
                      <a:off x="0" y="0"/>
                      <a:ext cx="5110549" cy="2809477"/>
                    </a:xfrm>
                    <a:prstGeom prst="rect">
                      <a:avLst/>
                    </a:prstGeom>
                    <a:noFill/>
                    <a:ln>
                      <a:noFill/>
                    </a:ln>
                    <a:extLst>
                      <a:ext uri="{53640926-AAD7-44D8-BBD7-CCE9431645EC}">
                        <a14:shadowObscured xmlns:a14="http://schemas.microsoft.com/office/drawing/2010/main"/>
                      </a:ext>
                    </a:extLst>
                  </pic:spPr>
                </pic:pic>
              </a:graphicData>
            </a:graphic>
          </wp:inline>
        </w:drawing>
      </w:r>
    </w:p>
    <w:p w14:paraId="7739DED1" w14:textId="625CDD3A" w:rsidR="00392850" w:rsidRDefault="00392850" w:rsidP="00392850">
      <w:pPr>
        <w:jc w:val="center"/>
      </w:pPr>
      <w:r>
        <w:t xml:space="preserve">Figure: Key financial ratio </w:t>
      </w:r>
      <w:r w:rsidRPr="00392850">
        <w:t>(</w:t>
      </w:r>
      <w:proofErr w:type="spellStart"/>
      <w:r w:rsidRPr="00392850">
        <w:t>Gitman</w:t>
      </w:r>
      <w:proofErr w:type="spellEnd"/>
      <w:r w:rsidRPr="00392850">
        <w:t xml:space="preserve"> and </w:t>
      </w:r>
      <w:proofErr w:type="spellStart"/>
      <w:r w:rsidRPr="00392850">
        <w:t>Zutter</w:t>
      </w:r>
      <w:proofErr w:type="spellEnd"/>
      <w:r w:rsidRPr="00392850">
        <w:t>, 2022)</w:t>
      </w:r>
      <w:r>
        <w:t>.</w:t>
      </w:r>
    </w:p>
    <w:p w14:paraId="1F9FF481" w14:textId="5673CB0F" w:rsidR="0029194F" w:rsidRDefault="0029194F" w:rsidP="00392850">
      <w:pPr>
        <w:jc w:val="center"/>
      </w:pPr>
    </w:p>
    <w:p w14:paraId="3341E241" w14:textId="0191AF5C" w:rsidR="0029194F" w:rsidRDefault="0029194F" w:rsidP="00392850">
      <w:pPr>
        <w:jc w:val="center"/>
      </w:pPr>
    </w:p>
    <w:p w14:paraId="4D01046F" w14:textId="77777777" w:rsidR="0029194F" w:rsidRDefault="0029194F" w:rsidP="00392850">
      <w:pPr>
        <w:jc w:val="center"/>
      </w:pPr>
    </w:p>
    <w:p w14:paraId="51C32302" w14:textId="770D407A" w:rsidR="0007798B" w:rsidRDefault="0007798B" w:rsidP="0007798B">
      <w:pPr>
        <w:pStyle w:val="Heading2"/>
      </w:pPr>
      <w:bookmarkStart w:id="7" w:name="_Toc227285482"/>
      <w:r>
        <w:lastRenderedPageBreak/>
        <w:t>1.5 Gearing Ratios</w:t>
      </w:r>
      <w:bookmarkEnd w:id="7"/>
    </w:p>
    <w:p w14:paraId="4622D446" w14:textId="34D76201" w:rsidR="0007798B" w:rsidRDefault="00F66C71" w:rsidP="0007798B">
      <w:r>
        <w:t>Despite Toyota having a debt-to-equity ratio of 1.05, which is within the industry standards, there is a hidden risk behind it: this metric rose to 1.10 in FY2023 due to the use of debt to fund EV battery plants (</w:t>
      </w:r>
      <w:proofErr w:type="spellStart"/>
      <w:r>
        <w:t>Gitman</w:t>
      </w:r>
      <w:proofErr w:type="spellEnd"/>
      <w:r>
        <w:t xml:space="preserve"> and </w:t>
      </w:r>
      <w:proofErr w:type="spellStart"/>
      <w:r>
        <w:t>Zutter</w:t>
      </w:r>
      <w:proofErr w:type="spellEnd"/>
      <w:r>
        <w:t>, 2022). The greater gearing of Toyota relative to other car manufacturers like Tesla (D/E 0.28) may also lead to the higher interest expenses of the company (which is by definition expected to be covered by increased interest rates), potentially leading to increased interests of up to 40-50 billion a year should interest rates increase b</w:t>
      </w:r>
      <w:r w:rsidR="0029194F">
        <w:t xml:space="preserve">y one percentage point </w:t>
      </w:r>
      <w:r w:rsidR="0007798B">
        <w:t>(</w:t>
      </w:r>
      <w:proofErr w:type="spellStart"/>
      <w:r w:rsidR="0007798B">
        <w:t>Westerfield</w:t>
      </w:r>
      <w:proofErr w:type="spellEnd"/>
      <w:r w:rsidR="0007798B">
        <w:t xml:space="preserve"> and Jordan, 2020).</w:t>
      </w:r>
    </w:p>
    <w:p w14:paraId="46A83752" w14:textId="77777777" w:rsidR="0007798B" w:rsidRDefault="0007798B" w:rsidP="0007798B">
      <w:pPr>
        <w:pStyle w:val="Heading2"/>
      </w:pPr>
      <w:bookmarkStart w:id="8" w:name="_Toc227285483"/>
      <w:r>
        <w:t>1.6 Investment and Cash Flow Ratios.</w:t>
      </w:r>
      <w:bookmarkEnd w:id="8"/>
    </w:p>
    <w:p w14:paraId="52ACC72D" w14:textId="050A2078" w:rsidR="0007798B" w:rsidRPr="0007798B" w:rsidRDefault="0007798B" w:rsidP="0007798B">
      <w:pPr>
        <w:rPr>
          <w:b/>
          <w:bCs/>
        </w:rPr>
      </w:pPr>
      <w:r w:rsidRPr="0007798B">
        <w:rPr>
          <w:b/>
          <w:bCs/>
        </w:rPr>
        <w:t>Earnings Per Share (EPS)</w:t>
      </w:r>
    </w:p>
    <w:p w14:paraId="3F86062D" w14:textId="13A7B136" w:rsidR="0007798B" w:rsidRDefault="0007798B" w:rsidP="0007798B">
      <w:r>
        <w:t>The Earnings Per Share (EPS) increased by ¥175 in FY2020 to ¥387 in FY2024, as the profitability increased, and the number of shares decreased due to share buybacks. This high increase in EPS has helped Toyota maintain its policy on dividend and has led to the appreciation of the share prices over the time. The growth in the EPS has been a positive response by investors that have boosted investor confidence in the financial management of the company (Penman, 2021).</w:t>
      </w:r>
    </w:p>
    <w:p w14:paraId="587D8BB2" w14:textId="67E7BBA2" w:rsidR="00392850" w:rsidRDefault="00392850" w:rsidP="00392850">
      <w:pPr>
        <w:jc w:val="center"/>
      </w:pPr>
      <w:r>
        <w:rPr>
          <w:noProof/>
          <w:lang w:val="en-US"/>
        </w:rPr>
        <w:drawing>
          <wp:inline distT="0" distB="0" distL="0" distR="0" wp14:anchorId="5CD8B95A" wp14:editId="7554B568">
            <wp:extent cx="5652654" cy="2826327"/>
            <wp:effectExtent l="0" t="0" r="5715" b="0"/>
            <wp:docPr id="5" name="Picture 5" descr="Earnings Per Share (EPS): What It Means, How to Calculate, Limitations |  The Motley F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arnings Per Share (EPS): What It Means, How to Calculate, Limitations |  The Motley F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9725" cy="2829863"/>
                    </a:xfrm>
                    <a:prstGeom prst="rect">
                      <a:avLst/>
                    </a:prstGeom>
                    <a:noFill/>
                    <a:ln>
                      <a:noFill/>
                    </a:ln>
                  </pic:spPr>
                </pic:pic>
              </a:graphicData>
            </a:graphic>
          </wp:inline>
        </w:drawing>
      </w:r>
    </w:p>
    <w:p w14:paraId="65B66039" w14:textId="4C8AF616" w:rsidR="00392850" w:rsidRDefault="00392850" w:rsidP="00392850">
      <w:pPr>
        <w:jc w:val="center"/>
      </w:pPr>
      <w:r>
        <w:t xml:space="preserve">Figure: Earnings per share (EPS) </w:t>
      </w:r>
      <w:r w:rsidRPr="00392850">
        <w:t>(Hillier et al., 2020)</w:t>
      </w:r>
      <w:r>
        <w:t>.</w:t>
      </w:r>
    </w:p>
    <w:p w14:paraId="0A0F8A47" w14:textId="77777777" w:rsidR="00684564" w:rsidRDefault="00684564" w:rsidP="00392850">
      <w:pPr>
        <w:jc w:val="center"/>
      </w:pPr>
    </w:p>
    <w:p w14:paraId="5D6E1257" w14:textId="62664E6A" w:rsidR="0007798B" w:rsidRPr="0007798B" w:rsidRDefault="0007798B" w:rsidP="0007798B">
      <w:pPr>
        <w:rPr>
          <w:b/>
          <w:bCs/>
        </w:rPr>
      </w:pPr>
      <w:r w:rsidRPr="0007798B">
        <w:rPr>
          <w:b/>
          <w:bCs/>
        </w:rPr>
        <w:lastRenderedPageBreak/>
        <w:t>Operating Cash Flow</w:t>
      </w:r>
    </w:p>
    <w:p w14:paraId="3E5425AF" w14:textId="14A9E727" w:rsidR="0007798B" w:rsidRDefault="0007798B" w:rsidP="0007798B">
      <w:r>
        <w:t>The average of Operating cash flow to Net income was 1.85 which helps in assessing that Toyota has advertised earnings that has a very strong backup with real cash generation. A ratio of more than 1.0 is always considered to be of high quality of earnings and this implies that accruals-based profits do not conceal the weaknesses in the underly</w:t>
      </w:r>
      <w:r w:rsidR="00684564">
        <w:t xml:space="preserve">ing cash flows in the business </w:t>
      </w:r>
      <w:r>
        <w:t>(</w:t>
      </w:r>
      <w:proofErr w:type="spellStart"/>
      <w:r>
        <w:t>Wahlen</w:t>
      </w:r>
      <w:proofErr w:type="spellEnd"/>
      <w:r>
        <w:t xml:space="preserve"> and Bradshaw, 2022).</w:t>
      </w:r>
    </w:p>
    <w:p w14:paraId="3D369187" w14:textId="77777777" w:rsidR="0007798B" w:rsidRDefault="0007798B" w:rsidP="0007798B">
      <w:pPr>
        <w:pStyle w:val="Heading2"/>
      </w:pPr>
      <w:bookmarkStart w:id="9" w:name="_Toc227285484"/>
      <w:r>
        <w:t>1.7 Trends, Strengths and Threats.</w:t>
      </w:r>
      <w:bookmarkEnd w:id="9"/>
    </w:p>
    <w:p w14:paraId="3AC17D37" w14:textId="4AAF5E59" w:rsidR="00353F03" w:rsidRDefault="0007798B" w:rsidP="0007798B">
      <w:r>
        <w:t>The financial profile of Toyota over 5 years shows that there are a number of significant trends. The profitability has steadily grown, efficiency has been world-class using TPS, and</w:t>
      </w:r>
      <w:r w:rsidR="004A50B5">
        <w:t xml:space="preserve"> cash generation has been high </w:t>
      </w:r>
      <w:r>
        <w:t>(Kotler and Keller, 2022). Nevertheless, there are also serious risks that the EV switch of competitors like Tesla or BYD will accelerate, the prices of lithium and cobalt one of the key resources to make a battery will increase, and the fact that Toyota focused its transition on the hybrid model will potentially lag behind the pure-electric competitors among investors and regulators (</w:t>
      </w:r>
      <w:proofErr w:type="spellStart"/>
      <w:r>
        <w:t>Tirole</w:t>
      </w:r>
      <w:proofErr w:type="spellEnd"/>
      <w:r>
        <w:t>, 2021).</w:t>
      </w:r>
    </w:p>
    <w:p w14:paraId="1596CAEF" w14:textId="77777777" w:rsidR="00353F03" w:rsidRDefault="00353F03">
      <w:pPr>
        <w:spacing w:line="278" w:lineRule="auto"/>
        <w:jc w:val="left"/>
      </w:pPr>
      <w:r>
        <w:br w:type="page"/>
      </w:r>
    </w:p>
    <w:p w14:paraId="1536F7BD" w14:textId="747DA25B" w:rsidR="00B015B5" w:rsidRDefault="00353F03" w:rsidP="00353F03">
      <w:pPr>
        <w:pStyle w:val="Heading1"/>
      </w:pPr>
      <w:bookmarkStart w:id="10" w:name="_Toc227285485"/>
      <w:r w:rsidRPr="00353F03">
        <w:lastRenderedPageBreak/>
        <w:t>2. Working Capital Management Analysis</w:t>
      </w:r>
      <w:bookmarkEnd w:id="10"/>
    </w:p>
    <w:p w14:paraId="461F8A6A" w14:textId="7AC0681B" w:rsidR="00353F03" w:rsidRDefault="00353F03" w:rsidP="00392850">
      <w:pPr>
        <w:pStyle w:val="Heading2"/>
      </w:pPr>
      <w:bookmarkStart w:id="11" w:name="_Toc227285486"/>
      <w:r>
        <w:t>2.1 Assessment of the Cash Operating Cycle.</w:t>
      </w:r>
      <w:bookmarkEnd w:id="11"/>
    </w:p>
    <w:p w14:paraId="051AD963" w14:textId="0851C55C" w:rsidR="00353F03" w:rsidRDefault="00353F03" w:rsidP="00353F03">
      <w:r>
        <w:t>A cash operating cycle (COC) is the duration to take between cash receipts and cash payments in the business in terms of purchasing raw materials and the time it takes the business to collect cash, respectively. In the case of Toyota, the COC could be determined by the average parameters based on the five-year ratio analysis found in Section 1.</w:t>
      </w:r>
    </w:p>
    <w:p w14:paraId="4847897F" w14:textId="0CDD9E12" w:rsidR="00353F03" w:rsidRPr="00353F03" w:rsidRDefault="00353F03" w:rsidP="00353F03">
      <w:pPr>
        <w:jc w:val="center"/>
        <w:rPr>
          <w:b/>
          <w:bCs/>
        </w:rPr>
      </w:pPr>
      <w:r w:rsidRPr="00353F03">
        <w:rPr>
          <w:b/>
          <w:bCs/>
        </w:rPr>
        <w:t>Cash Operating Cycle = Inventory Days + Receivables Days - Payables Days</w:t>
      </w:r>
    </w:p>
    <w:p w14:paraId="76D329A1" w14:textId="76CC1B05" w:rsidR="00353F03" w:rsidRPr="00353F03" w:rsidRDefault="00353F03" w:rsidP="00353F03">
      <w:pPr>
        <w:jc w:val="center"/>
        <w:rPr>
          <w:b/>
          <w:bCs/>
        </w:rPr>
      </w:pPr>
      <w:r w:rsidRPr="00353F03">
        <w:rPr>
          <w:b/>
          <w:bCs/>
        </w:rPr>
        <w:t>With the above-defined averages: Inventory Days (365 /9.2) 40 days + Receivables Days 42 days - Payables Days 55 days = 27 days.</w:t>
      </w:r>
    </w:p>
    <w:p w14:paraId="41D3304A" w14:textId="0F357E9D" w:rsidR="00353F03" w:rsidRDefault="00353F03" w:rsidP="00353F03">
      <w:r>
        <w:t>This fairly low cash operating cycle of 30 days indicates very high operating efficiency of Toyota as well as it proves that the company transforms the investments into its working capital into cash very quickly. Reduced cycle leads to a decrease in external short-term capital and liquidity risk, which is especially beneficial in times of increasing interest rates (Atrill and McLaney, 2021). As Toyota increases production of EVs, however, which involves longer and more complex supply chains to battery components, the COC can stretch, and thus requires proactive working capital management strategies (Brealey, Myers and Allen, 2020).</w:t>
      </w:r>
    </w:p>
    <w:p w14:paraId="790323C3" w14:textId="6A07D11B" w:rsidR="00392850" w:rsidRDefault="00392850" w:rsidP="00392850">
      <w:pPr>
        <w:jc w:val="center"/>
      </w:pPr>
      <w:r>
        <w:rPr>
          <w:noProof/>
          <w:lang w:val="en-US"/>
        </w:rPr>
        <w:drawing>
          <wp:inline distT="0" distB="0" distL="0" distR="0" wp14:anchorId="5EA65A5B" wp14:editId="595C7A2D">
            <wp:extent cx="5169416" cy="2909454"/>
            <wp:effectExtent l="0" t="0" r="0" b="5715"/>
            <wp:docPr id="6" name="Picture 6" descr="The Short Cash Cycle: How to Cut Crunches and Grab More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Short Cash Cycle: How to Cut Crunches and Grab More Growt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79298" cy="2915016"/>
                    </a:xfrm>
                    <a:prstGeom prst="rect">
                      <a:avLst/>
                    </a:prstGeom>
                    <a:noFill/>
                    <a:ln>
                      <a:noFill/>
                    </a:ln>
                  </pic:spPr>
                </pic:pic>
              </a:graphicData>
            </a:graphic>
          </wp:inline>
        </w:drawing>
      </w:r>
    </w:p>
    <w:p w14:paraId="5091FFAD" w14:textId="696B2DDD" w:rsidR="00392850" w:rsidRDefault="00392850" w:rsidP="00392850">
      <w:pPr>
        <w:jc w:val="center"/>
      </w:pPr>
      <w:r>
        <w:t xml:space="preserve">Figure: Cash conversion cycle </w:t>
      </w:r>
      <w:r w:rsidRPr="00392850">
        <w:t>(Kaplan and Atkinson, 2020)</w:t>
      </w:r>
      <w:r>
        <w:t>.</w:t>
      </w:r>
    </w:p>
    <w:p w14:paraId="6ACC7E97" w14:textId="124700D0" w:rsidR="00353F03" w:rsidRDefault="00353F03" w:rsidP="00353F03">
      <w:r>
        <w:lastRenderedPageBreak/>
        <w:t>Cash operating cycle has exhibited minimal upward pressure in FY 2022 and FY 2023 and this is mainly because of longer inventory holding period due to shortages of semiconductors and longer lead times in procuring batteries. These shocks costly augment inventory day with a transient effect on the COC and led to an additional strain on the liquidity status of Toyota in the short run. The working capital recommendations given below are focused on addressing these weaknesses (Madura, 2021).</w:t>
      </w:r>
    </w:p>
    <w:p w14:paraId="153C6A7B" w14:textId="7FE1711F" w:rsidR="00353F03" w:rsidRDefault="00353F03" w:rsidP="002114CE">
      <w:pPr>
        <w:pStyle w:val="Heading2"/>
      </w:pPr>
      <w:bookmarkStart w:id="12" w:name="_Toc227285487"/>
      <w:r>
        <w:t>2.2 Reforms/strategies to improve liquidity using working capital.</w:t>
      </w:r>
      <w:bookmarkEnd w:id="12"/>
    </w:p>
    <w:p w14:paraId="7FB318FB" w14:textId="7655DB91" w:rsidR="00353F03" w:rsidRDefault="00353F03" w:rsidP="00353F03">
      <w:r w:rsidRPr="00353F03">
        <w:rPr>
          <w:b/>
          <w:bCs/>
        </w:rPr>
        <w:t>The Help of Advanced Supply Chain Technology</w:t>
      </w:r>
      <w:r>
        <w:t>: Toyota should consider the implementation of AI-based demand forecasting and real-time inventory control systems and decrease the number of inventory days on EV parts, especially battery packs and semiconductors. Toyota will be able to achieve a lower stock level of safety stock and improve its rate of inventory turnover by enhancing the level of demand visibility across its worldwide dealer network. Introducing vendor-managed inventory (VMI) with major EV components suppliers would also shift inventory risk holding up the line and keep production flowing (Slack, Brandon-Jones and Johnston, 2021).</w:t>
      </w:r>
    </w:p>
    <w:p w14:paraId="659DF7A3" w14:textId="398E85A8" w:rsidR="00353F03" w:rsidRDefault="00353F03" w:rsidP="00353F03">
      <w:r w:rsidRPr="00353F03">
        <w:rPr>
          <w:b/>
          <w:bCs/>
        </w:rPr>
        <w:t>Receivables Management Improvement:</w:t>
      </w:r>
      <w:r>
        <w:t xml:space="preserve"> Toyota needs to increase the utilization of dynamic discounting programme, which provides dealers with early payment incentives in consideration of prompt cash collection. Applying e-invoicing and electronic payment systems to all dealers in Toyota worldwide would lessen administrative downtime and shorten the days of receivables. Risky receivables ageing and the possibility of bad debt provisions would also be minimised due to tighter credit scoring on new dealer relationships (Watson and Head, 2022).</w:t>
      </w:r>
    </w:p>
    <w:p w14:paraId="37370331" w14:textId="392C1A65" w:rsidR="00353F03" w:rsidRDefault="00353F03" w:rsidP="00353F03">
      <w:r w:rsidRPr="00353F03">
        <w:rPr>
          <w:b/>
          <w:bCs/>
        </w:rPr>
        <w:t>Supplier Payment Term Optimisation:</w:t>
      </w:r>
      <w:r>
        <w:t xml:space="preserve"> Although Toyota already has an effective payables period at 55 days, the company can consider supply chain financing (reverse factoring) programmes to create an extension of the effective periods without negative impacts on supplier relationships. This structure enables Toyota to keep cash longer and maintain the financial well-being of suppliers, which is essential to the EV supply chain (Pike and Neale, 2020).</w:t>
      </w:r>
    </w:p>
    <w:p w14:paraId="35B69984" w14:textId="6BFD6C6E" w:rsidR="002114CE" w:rsidRDefault="002114CE" w:rsidP="00353F03"/>
    <w:p w14:paraId="7435ACB2" w14:textId="77777777" w:rsidR="002114CE" w:rsidRDefault="002114CE" w:rsidP="00353F03"/>
    <w:p w14:paraId="2271EC8D" w14:textId="411F3601" w:rsidR="00353F03" w:rsidRDefault="00353F03" w:rsidP="00353F03">
      <w:r w:rsidRPr="00353F03">
        <w:rPr>
          <w:b/>
          <w:bCs/>
        </w:rPr>
        <w:lastRenderedPageBreak/>
        <w:t>Cash Pooling and the Treasury Centralisation:</w:t>
      </w:r>
      <w:r>
        <w:t xml:space="preserve"> Toyota needs to reinforce its global cash pooling system and achieve best liquidity through its subsidiary network over various countries. Centralising their treasury activities enables them to have the surplus cash in the high-yielding markets subsidize the shortfall in the capital-intensive markets and this lowers the overall external borrowing aspect. Better cash pooling also enhances transparency in global positions of liquidity, which positively impacts adequate and prompt decisions in capital allocation (Madura, 2021).</w:t>
      </w:r>
    </w:p>
    <w:p w14:paraId="72F897FB" w14:textId="1DE7622D" w:rsidR="00392850" w:rsidRDefault="00392850" w:rsidP="00392850">
      <w:pPr>
        <w:jc w:val="center"/>
      </w:pPr>
      <w:r>
        <w:rPr>
          <w:noProof/>
          <w:lang w:val="en-US"/>
        </w:rPr>
        <w:drawing>
          <wp:inline distT="0" distB="0" distL="0" distR="0" wp14:anchorId="52CFB2CC" wp14:editId="7971E2F0">
            <wp:extent cx="5219205" cy="2898443"/>
            <wp:effectExtent l="0" t="0" r="635" b="0"/>
            <wp:docPr id="7" name="Picture 7" descr="Importance of Working Capital - Top 8 Reas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portance of Working Capital - Top 8 Reason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20820" cy="2899340"/>
                    </a:xfrm>
                    <a:prstGeom prst="rect">
                      <a:avLst/>
                    </a:prstGeom>
                    <a:noFill/>
                    <a:ln>
                      <a:noFill/>
                    </a:ln>
                  </pic:spPr>
                </pic:pic>
              </a:graphicData>
            </a:graphic>
          </wp:inline>
        </w:drawing>
      </w:r>
    </w:p>
    <w:p w14:paraId="56054166" w14:textId="4A2F28DE" w:rsidR="00392850" w:rsidRDefault="00392850" w:rsidP="00392850">
      <w:pPr>
        <w:jc w:val="center"/>
      </w:pPr>
      <w:r>
        <w:t xml:space="preserve">Figure: Working capital </w:t>
      </w:r>
      <w:r w:rsidRPr="00392850">
        <w:t>(Kotler and Keller, 2022)</w:t>
      </w:r>
      <w:r>
        <w:t>.</w:t>
      </w:r>
    </w:p>
    <w:p w14:paraId="0E3F9E66" w14:textId="39AC690D" w:rsidR="002114CE" w:rsidRDefault="002114CE" w:rsidP="00392850">
      <w:pPr>
        <w:jc w:val="center"/>
      </w:pPr>
    </w:p>
    <w:p w14:paraId="2646E1D4" w14:textId="08524E26" w:rsidR="002114CE" w:rsidRDefault="002114CE" w:rsidP="00392850">
      <w:pPr>
        <w:jc w:val="center"/>
      </w:pPr>
    </w:p>
    <w:p w14:paraId="588CA9E5" w14:textId="275EA8D5" w:rsidR="002114CE" w:rsidRDefault="002114CE" w:rsidP="00392850">
      <w:pPr>
        <w:jc w:val="center"/>
      </w:pPr>
    </w:p>
    <w:p w14:paraId="757FC9C5" w14:textId="426C74F7" w:rsidR="002114CE" w:rsidRDefault="002114CE" w:rsidP="00392850">
      <w:pPr>
        <w:jc w:val="center"/>
      </w:pPr>
    </w:p>
    <w:p w14:paraId="55CFFEDF" w14:textId="2771945E" w:rsidR="002114CE" w:rsidRDefault="002114CE" w:rsidP="00392850">
      <w:pPr>
        <w:jc w:val="center"/>
      </w:pPr>
    </w:p>
    <w:p w14:paraId="4B55AE71" w14:textId="31120C27" w:rsidR="002114CE" w:rsidRDefault="002114CE" w:rsidP="00392850">
      <w:pPr>
        <w:jc w:val="center"/>
      </w:pPr>
    </w:p>
    <w:p w14:paraId="1C690B9D" w14:textId="04EF388A" w:rsidR="002114CE" w:rsidRDefault="002114CE" w:rsidP="00392850">
      <w:pPr>
        <w:jc w:val="center"/>
      </w:pPr>
    </w:p>
    <w:p w14:paraId="6858C9F1" w14:textId="77777777" w:rsidR="002114CE" w:rsidRDefault="002114CE" w:rsidP="00392850">
      <w:pPr>
        <w:jc w:val="center"/>
      </w:pPr>
    </w:p>
    <w:p w14:paraId="078C901A" w14:textId="77777777" w:rsidR="00353F03" w:rsidRDefault="00353F03" w:rsidP="00353F03">
      <w:pPr>
        <w:pStyle w:val="Heading2"/>
      </w:pPr>
      <w:bookmarkStart w:id="13" w:name="_Toc227285488"/>
      <w:r>
        <w:lastRenderedPageBreak/>
        <w:t xml:space="preserve">2.3 Financing OH in the Short </w:t>
      </w:r>
      <w:proofErr w:type="gramStart"/>
      <w:r>
        <w:t>vs</w:t>
      </w:r>
      <w:proofErr w:type="gramEnd"/>
      <w:r>
        <w:t xml:space="preserve"> Financing OH in the Long.</w:t>
      </w:r>
      <w:bookmarkEnd w:id="13"/>
    </w:p>
    <w:p w14:paraId="0C60014C" w14:textId="1C31F3BB" w:rsidR="00353F03" w:rsidRDefault="00353F03" w:rsidP="00353F03">
      <w:r>
        <w:t>The choice of financial mix is vital in supporting both the working capital needs and minimising the cost of capital of Toyota and maintaining the ability to navigate its financial needs.</w:t>
      </w:r>
    </w:p>
    <w:p w14:paraId="551F0C43" w14:textId="77777777" w:rsidR="007D7505" w:rsidRPr="009E76CC" w:rsidRDefault="007D7505" w:rsidP="007D7505">
      <w:pPr>
        <w:rPr>
          <w:b/>
        </w:rPr>
      </w:pPr>
      <w:r w:rsidRPr="009E76CC">
        <w:rPr>
          <w:b/>
        </w:rPr>
        <w:t>Short-Term Financing</w:t>
      </w:r>
    </w:p>
    <w:p w14:paraId="55C0ED68" w14:textId="0AEB5409" w:rsidR="009E76CC" w:rsidRDefault="007D7505" w:rsidP="007D7505">
      <w:r>
        <w:t xml:space="preserve">The commercial paper rate of Toyota is about 1.8 percent (as of FY2024) 120 basis points lower than its 3.0 percent long-term yield in green bonds. But with such a high turnover of debt that amounts to over 500m in a </w:t>
      </w:r>
      <w:proofErr w:type="gramStart"/>
      <w:r>
        <w:t>90 day</w:t>
      </w:r>
      <w:proofErr w:type="gramEnd"/>
      <w:r>
        <w:t xml:space="preserve"> period, Toyota can face refinancing risk should there be a credit crunch as in the cas</w:t>
      </w:r>
      <w:r w:rsidR="009E76CC">
        <w:t xml:space="preserve">e of the 2008 economic meltdown </w:t>
      </w:r>
      <w:r w:rsidR="002114CE">
        <w:t>(Arnold, 2020).</w:t>
      </w:r>
    </w:p>
    <w:p w14:paraId="2B08FBDA" w14:textId="77777777" w:rsidR="007D7505" w:rsidRPr="009E76CC" w:rsidRDefault="007D7505" w:rsidP="007D7505">
      <w:pPr>
        <w:rPr>
          <w:b/>
        </w:rPr>
      </w:pPr>
      <w:r w:rsidRPr="009E76CC">
        <w:rPr>
          <w:b/>
        </w:rPr>
        <w:t>Long-Term Financing</w:t>
      </w:r>
    </w:p>
    <w:p w14:paraId="4360014F" w14:textId="2B4CAFF3" w:rsidR="007D7505" w:rsidRDefault="007D7505" w:rsidP="00353F03">
      <w:r>
        <w:t>In 2023, Toyota issued a ¥1 trillion green bond with a 3.0% fixed coupon over 10 years, which gives Toyota some assurance in investing in EV battery plants. The combined plan: working capital (inventory days 40) refer to short-term finance and fixed assets (EV plants) refer to long-term bonds. This is an equivalent of asset life and financing tenor of good treasury man</w:t>
      </w:r>
      <w:r w:rsidR="009E76CC">
        <w:t>agement (Pike and Neale, 2020).</w:t>
      </w:r>
    </w:p>
    <w:p w14:paraId="4C723F79" w14:textId="194C63E9" w:rsidR="00392850" w:rsidRDefault="00392850" w:rsidP="00392850">
      <w:pPr>
        <w:jc w:val="center"/>
      </w:pPr>
      <w:r>
        <w:rPr>
          <w:noProof/>
          <w:lang w:val="en-US"/>
        </w:rPr>
        <w:drawing>
          <wp:inline distT="0" distB="0" distL="0" distR="0" wp14:anchorId="73DF9EDF" wp14:editId="5FFDC4EE">
            <wp:extent cx="4707843" cy="2956733"/>
            <wp:effectExtent l="0" t="0" r="0" b="0"/>
            <wp:docPr id="8" name="Picture 8" descr="03 Source of Financing - 3.1.2 Short term and Long term Finan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03 Source of Financing - 3.1.2 Short term and Long term Financing"/>
                    <pic:cNvPicPr>
                      <a:picLocks noChangeAspect="1" noChangeArrowheads="1"/>
                    </pic:cNvPicPr>
                  </pic:nvPicPr>
                  <pic:blipFill rotWithShape="1">
                    <a:blip r:embed="rId14">
                      <a:extLst>
                        <a:ext uri="{28A0092B-C50C-407E-A947-70E740481C1C}">
                          <a14:useLocalDpi xmlns:a14="http://schemas.microsoft.com/office/drawing/2010/main" val="0"/>
                        </a:ext>
                      </a:extLst>
                    </a:blip>
                    <a:srcRect t="7059" b="9250"/>
                    <a:stretch/>
                  </pic:blipFill>
                  <pic:spPr bwMode="auto">
                    <a:xfrm>
                      <a:off x="0" y="0"/>
                      <a:ext cx="4713433" cy="2960244"/>
                    </a:xfrm>
                    <a:prstGeom prst="rect">
                      <a:avLst/>
                    </a:prstGeom>
                    <a:noFill/>
                    <a:ln>
                      <a:noFill/>
                    </a:ln>
                    <a:extLst>
                      <a:ext uri="{53640926-AAD7-44D8-BBD7-CCE9431645EC}">
                        <a14:shadowObscured xmlns:a14="http://schemas.microsoft.com/office/drawing/2010/main"/>
                      </a:ext>
                    </a:extLst>
                  </pic:spPr>
                </pic:pic>
              </a:graphicData>
            </a:graphic>
          </wp:inline>
        </w:drawing>
      </w:r>
    </w:p>
    <w:p w14:paraId="2717678C" w14:textId="7D4DD71C" w:rsidR="00392850" w:rsidRDefault="00392850" w:rsidP="00392850">
      <w:pPr>
        <w:jc w:val="center"/>
      </w:pPr>
      <w:r>
        <w:t xml:space="preserve">Figure: Long term vs short term financing </w:t>
      </w:r>
      <w:r w:rsidRPr="00392850">
        <w:t>(Madura, 2021)</w:t>
      </w:r>
      <w:r>
        <w:t>.</w:t>
      </w:r>
    </w:p>
    <w:p w14:paraId="2E42571E" w14:textId="77777777" w:rsidR="00CA4385" w:rsidRDefault="00CA4385" w:rsidP="00392850">
      <w:pPr>
        <w:jc w:val="center"/>
      </w:pPr>
    </w:p>
    <w:p w14:paraId="39C33F63" w14:textId="4C48D7A7" w:rsidR="00353F03" w:rsidRPr="00353F03" w:rsidRDefault="00353F03" w:rsidP="00353F03">
      <w:pPr>
        <w:rPr>
          <w:b/>
          <w:bCs/>
        </w:rPr>
      </w:pPr>
      <w:r w:rsidRPr="00353F03">
        <w:rPr>
          <w:b/>
          <w:bCs/>
        </w:rPr>
        <w:lastRenderedPageBreak/>
        <w:t>Blended Financing Strategy</w:t>
      </w:r>
    </w:p>
    <w:p w14:paraId="295099DC" w14:textId="447BC6E7" w:rsidR="00353F03" w:rsidRDefault="00353F03" w:rsidP="00353F03">
      <w:r>
        <w:t>The best option would be a mixed-finance strategy involving the application of short-term instruments to satisfy routine working capital requirements and long-term instruments to satisfy strategic capital investments. The design is financially stable, keeping Toyota at a cost-efficient level without jeopardising its financial stability, and can continues to operate as it finances the EV transformation programme (Ross, Westerfield and Jordan, 2021).</w:t>
      </w:r>
    </w:p>
    <w:p w14:paraId="5B8A599E" w14:textId="77777777" w:rsidR="00353F03" w:rsidRDefault="00353F03">
      <w:pPr>
        <w:spacing w:line="278" w:lineRule="auto"/>
        <w:jc w:val="left"/>
      </w:pPr>
      <w:r>
        <w:br w:type="page"/>
      </w:r>
    </w:p>
    <w:p w14:paraId="2D30CED7" w14:textId="34998C9F" w:rsidR="00353F03" w:rsidRDefault="00353F03" w:rsidP="00353F03">
      <w:pPr>
        <w:pStyle w:val="Heading1"/>
      </w:pPr>
      <w:bookmarkStart w:id="14" w:name="_Toc227285489"/>
      <w:r w:rsidRPr="00353F03">
        <w:lastRenderedPageBreak/>
        <w:t>3. Strategic Financial Restructuring Plan</w:t>
      </w:r>
      <w:bookmarkEnd w:id="14"/>
    </w:p>
    <w:p w14:paraId="38CA6AA7" w14:textId="77777777" w:rsidR="00353F03" w:rsidRDefault="00353F03" w:rsidP="00353F03">
      <w:pPr>
        <w:pStyle w:val="Heading2"/>
      </w:pPr>
      <w:bookmarkStart w:id="15" w:name="_Toc227285490"/>
      <w:r>
        <w:t>3.1 Recommended Financial Restructuring Options</w:t>
      </w:r>
      <w:bookmarkEnd w:id="15"/>
    </w:p>
    <w:p w14:paraId="33B0EE24" w14:textId="2867CFB7" w:rsidR="00353F03" w:rsidRDefault="00353F03" w:rsidP="00353F03">
      <w:r>
        <w:t>The financial restructuring program of Toyota should favour the speed of EV development and the rationalisation of the current set of internal combustion engine (ICE) resources as well as to preserve shareholder value. Three main restructuring possibilities are considered below.</w:t>
      </w:r>
    </w:p>
    <w:p w14:paraId="6DAB2CC8" w14:textId="00EF2E3E" w:rsidR="00353F03" w:rsidRPr="00353F03" w:rsidRDefault="00353F03" w:rsidP="00353F03">
      <w:pPr>
        <w:rPr>
          <w:b/>
          <w:bCs/>
        </w:rPr>
      </w:pPr>
      <w:r w:rsidRPr="00353F03">
        <w:rPr>
          <w:b/>
          <w:bCs/>
        </w:rPr>
        <w:t>The company plans to divest its non-core assets</w:t>
      </w:r>
    </w:p>
    <w:p w14:paraId="282DFCAC" w14:textId="38CB86E4" w:rsidR="00353F03" w:rsidRDefault="00353F03" w:rsidP="00353F03">
      <w:r>
        <w:t xml:space="preserve">Toyota has large investments in non-core business activities, such as some of its financial services subsidiaries, real property and minority equity interests in peripheral business. The sale of these non-core resources would result in the release of very large amounts of capital that would be repurposed in </w:t>
      </w:r>
      <w:r w:rsidR="00124E90">
        <w:t xml:space="preserve">more profitable EV investments </w:t>
      </w:r>
      <w:r>
        <w:t>(</w:t>
      </w:r>
      <w:proofErr w:type="spellStart"/>
      <w:r>
        <w:t>Damodaran</w:t>
      </w:r>
      <w:proofErr w:type="spellEnd"/>
      <w:r>
        <w:t>, 2022). The cash proceeds strategic divestiture may be allocated to paying off expensive debt, investing in EV battery plant construction, or paying special dividends to shareholders, which would add different value to shareholders, based on the market environment (Hillier et al., 2020).</w:t>
      </w:r>
    </w:p>
    <w:p w14:paraId="527DE022" w14:textId="57727B71" w:rsidR="00392850" w:rsidRDefault="00392850" w:rsidP="00392850">
      <w:pPr>
        <w:jc w:val="center"/>
      </w:pPr>
      <w:r>
        <w:rPr>
          <w:noProof/>
          <w:lang w:val="en-US"/>
        </w:rPr>
        <w:drawing>
          <wp:inline distT="0" distB="0" distL="0" distR="0" wp14:anchorId="7546888D" wp14:editId="16D914DB">
            <wp:extent cx="5923315" cy="3289465"/>
            <wp:effectExtent l="0" t="0" r="1270" b="6350"/>
            <wp:docPr id="9" name="Picture 9" descr="Non Current Asset - What They Are, Examples &amp; Accou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on Current Asset - What They Are, Examples &amp; Account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2038" cy="3294309"/>
                    </a:xfrm>
                    <a:prstGeom prst="rect">
                      <a:avLst/>
                    </a:prstGeom>
                    <a:noFill/>
                    <a:ln>
                      <a:noFill/>
                    </a:ln>
                  </pic:spPr>
                </pic:pic>
              </a:graphicData>
            </a:graphic>
          </wp:inline>
        </w:drawing>
      </w:r>
    </w:p>
    <w:p w14:paraId="336D4E7F" w14:textId="0929E0D5" w:rsidR="00392850" w:rsidRDefault="00392850" w:rsidP="00392850">
      <w:pPr>
        <w:jc w:val="center"/>
      </w:pPr>
      <w:r>
        <w:t xml:space="preserve">Figure: Non-core assets </w:t>
      </w:r>
      <w:r w:rsidRPr="00392850">
        <w:t>(Penman, 2021)</w:t>
      </w:r>
      <w:r>
        <w:t>.</w:t>
      </w:r>
    </w:p>
    <w:p w14:paraId="26A30A78" w14:textId="77777777" w:rsidR="000E5F6C" w:rsidRDefault="000E5F6C" w:rsidP="00392850">
      <w:pPr>
        <w:jc w:val="center"/>
      </w:pPr>
    </w:p>
    <w:p w14:paraId="4308FB59" w14:textId="3D4BB192" w:rsidR="00353F03" w:rsidRPr="00353F03" w:rsidRDefault="00353F03" w:rsidP="00353F03">
      <w:pPr>
        <w:rPr>
          <w:b/>
          <w:bCs/>
        </w:rPr>
      </w:pPr>
      <w:r w:rsidRPr="00353F03">
        <w:rPr>
          <w:b/>
          <w:bCs/>
        </w:rPr>
        <w:lastRenderedPageBreak/>
        <w:t>Strategic merger or joint venture</w:t>
      </w:r>
    </w:p>
    <w:p w14:paraId="722FBAE5" w14:textId="7F2F3C3F" w:rsidR="00353F03" w:rsidRDefault="00353F03" w:rsidP="00353F03">
      <w:r>
        <w:t>Another approach that Toyota can consider is strategic joint venture or partial merger with established EV technology firms to speed up access to advanced battery technology, software-defined car platform and a</w:t>
      </w:r>
      <w:r w:rsidR="000E5F6C">
        <w:t xml:space="preserve">utonomous driving technologies </w:t>
      </w:r>
      <w:r>
        <w:t>By upscaling these alliances or seeking new joint ventures with semiconductor companies and software, this would not only decrease the level of R&amp;D spending incurred by Toyota but would also cut down the time-to-market of next-generation EV products (</w:t>
      </w:r>
      <w:proofErr w:type="spellStart"/>
      <w:r>
        <w:t>Tirole</w:t>
      </w:r>
      <w:proofErr w:type="spellEnd"/>
      <w:r>
        <w:t>, 2021). This will maintain operational flexibility relative to complete acquisitions, which would greatly enhance leverage and integration complexity.</w:t>
      </w:r>
    </w:p>
    <w:p w14:paraId="2B038CAE" w14:textId="2101CD02" w:rsidR="00353F03" w:rsidRPr="00392850" w:rsidRDefault="00353F03" w:rsidP="00353F03">
      <w:pPr>
        <w:rPr>
          <w:b/>
          <w:bCs/>
        </w:rPr>
      </w:pPr>
      <w:r w:rsidRPr="00353F03">
        <w:rPr>
          <w:b/>
          <w:bCs/>
        </w:rPr>
        <w:t>Equity Injection by First Rights Issue or Strategic Investor</w:t>
      </w:r>
    </w:p>
    <w:p w14:paraId="139A9688" w14:textId="0886979E" w:rsidR="00353F03" w:rsidRDefault="00353F03" w:rsidP="00353F03">
      <w:r>
        <w:t>Should the gearing of Toyota climb to levels that limit its ability to borrow money in the future, an equity injection by a rights issue or strategic investor may re-set the balance sheet. New equity capital would be raised at a small discount to market price, and without a dilution of control, so long as the existing shareholders create the rights issue in relative proportion. Alternatively, ensuring that Toyota attracts a strategic institutional investor interested in investing in sustainable technologies would provide the company with capital and credibility in its EV programme. The equity injections lower the gearing and enhance interest cover ratios, which enhance investment-grade credit rating of Toyota and can reduce the cost of future borrowing (Penman, 2021).</w:t>
      </w:r>
    </w:p>
    <w:p w14:paraId="2E73362E" w14:textId="14F25BE1" w:rsidR="00F763C3" w:rsidRDefault="00F763C3" w:rsidP="00353F03"/>
    <w:p w14:paraId="30BB800F" w14:textId="11E7067E" w:rsidR="00F763C3" w:rsidRDefault="00F763C3" w:rsidP="00353F03"/>
    <w:p w14:paraId="66F0D561" w14:textId="4036E0A0" w:rsidR="00F763C3" w:rsidRDefault="00F763C3" w:rsidP="00353F03"/>
    <w:p w14:paraId="145433AB" w14:textId="7D4EDCEB" w:rsidR="00F763C3" w:rsidRDefault="00F763C3" w:rsidP="00353F03"/>
    <w:p w14:paraId="557E0D3E" w14:textId="5FCEF6B0" w:rsidR="00F763C3" w:rsidRDefault="00F763C3" w:rsidP="00353F03"/>
    <w:p w14:paraId="21DA9EBF" w14:textId="5B08D2F0" w:rsidR="00F763C3" w:rsidRDefault="00F763C3" w:rsidP="00353F03"/>
    <w:p w14:paraId="7C911AF3" w14:textId="65C3CD58" w:rsidR="00F763C3" w:rsidRDefault="00F763C3" w:rsidP="00353F03"/>
    <w:p w14:paraId="23A9868E" w14:textId="77777777" w:rsidR="00F763C3" w:rsidRDefault="00F763C3" w:rsidP="00353F03"/>
    <w:p w14:paraId="2C8DA53E" w14:textId="77777777" w:rsidR="00353F03" w:rsidRDefault="00353F03" w:rsidP="00353F03">
      <w:pPr>
        <w:pStyle w:val="Heading2"/>
      </w:pPr>
      <w:bookmarkStart w:id="16" w:name="_Toc227285491"/>
      <w:r>
        <w:lastRenderedPageBreak/>
        <w:t>3.2 Effect on Shareholder Value, Debt Structure and Operational Flexibility.</w:t>
      </w:r>
      <w:bookmarkEnd w:id="16"/>
    </w:p>
    <w:p w14:paraId="0E4A48D4" w14:textId="18F3297C" w:rsidR="00353F03" w:rsidRPr="00353F03" w:rsidRDefault="00353F03" w:rsidP="00353F03">
      <w:pPr>
        <w:rPr>
          <w:b/>
          <w:bCs/>
        </w:rPr>
      </w:pPr>
      <w:r w:rsidRPr="00353F03">
        <w:rPr>
          <w:b/>
          <w:bCs/>
        </w:rPr>
        <w:t>Shareholder value through multiple channels</w:t>
      </w:r>
    </w:p>
    <w:p w14:paraId="606F1188" w14:textId="438B41AE" w:rsidR="00353F03" w:rsidRDefault="00353F03" w:rsidP="00353F03">
      <w:r>
        <w:t>All the restructuring alternatives recommended will work towards the achievement of shareholder value in a multifield fashion. Divestitures are a hidden value unlock from many underperforming assets and convey to the management that it is involved in disciplined capital allocation, which usually creates a positive share price response (Kaplan and Atkinson, 2020). JVs lower the risk profile of big tech investments, which in turn makes Toyota more predictable in terms of earnings and facilitates a stable dividend policy, both of which, appeals to the largely institutional shareholder base of Toyota. A dilutionary event in the short term, an equity injection provides a strong balance sheet and allows Toyota to acquire growth prospects which would be limited by debt covenants (Gitman and Zutter, 2022).</w:t>
      </w:r>
    </w:p>
    <w:p w14:paraId="4B30449C" w14:textId="3F07B15B" w:rsidR="00353F03" w:rsidRDefault="00353F03" w:rsidP="00353F03">
      <w:r>
        <w:t>As part of the debt structure, the restructuring plan aims a debt-to-equity ratio of about 0.85 by FY2027, compared to the current 1.05, which will be achieved by integrating both debt repayment using divestiture proceeds and equity issuance. Such a reduction will enhance the financial flexibility of Toyota, reduce interest cost and be in a position to increase the further debt as EV battery plant investment will need project financing. To reduce the weighted average cost of capital (WACC) and maximise firm value, it is important to maintain optimal capital structure (Brealey, Myers and Allen, 2020).</w:t>
      </w:r>
    </w:p>
    <w:p w14:paraId="10F1F626" w14:textId="003D77C7" w:rsidR="00392850" w:rsidRDefault="00392850" w:rsidP="00392850">
      <w:pPr>
        <w:jc w:val="center"/>
      </w:pPr>
      <w:r>
        <w:rPr>
          <w:noProof/>
          <w:lang w:val="en-US"/>
        </w:rPr>
        <w:drawing>
          <wp:inline distT="0" distB="0" distL="0" distR="0" wp14:anchorId="707221BE" wp14:editId="2F23725F">
            <wp:extent cx="3848986" cy="2137503"/>
            <wp:effectExtent l="0" t="0" r="0" b="0"/>
            <wp:docPr id="10" name="Picture 10" descr="Shareholders Value - What Is It, Importance, Value Maxim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hareholders Value - What Is It, Importance, Value Maximizatio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50688" cy="2138448"/>
                    </a:xfrm>
                    <a:prstGeom prst="rect">
                      <a:avLst/>
                    </a:prstGeom>
                    <a:noFill/>
                    <a:ln>
                      <a:noFill/>
                    </a:ln>
                  </pic:spPr>
                </pic:pic>
              </a:graphicData>
            </a:graphic>
          </wp:inline>
        </w:drawing>
      </w:r>
    </w:p>
    <w:p w14:paraId="54D75E47" w14:textId="0A6BAA66" w:rsidR="00392850" w:rsidRDefault="00392850" w:rsidP="00392850">
      <w:pPr>
        <w:jc w:val="center"/>
      </w:pPr>
      <w:r>
        <w:t xml:space="preserve">Figure: Shareholder value </w:t>
      </w:r>
      <w:r w:rsidRPr="00392850">
        <w:t>(Pike and Neale, 2020)</w:t>
      </w:r>
      <w:r>
        <w:t>.</w:t>
      </w:r>
    </w:p>
    <w:p w14:paraId="01B2A503" w14:textId="7DE77568" w:rsidR="00C14AD5" w:rsidRDefault="00C14AD5" w:rsidP="00F763C3"/>
    <w:p w14:paraId="15C4F050" w14:textId="77777777" w:rsidR="00353F03" w:rsidRDefault="00353F03" w:rsidP="00353F03">
      <w:pPr>
        <w:pStyle w:val="Heading2"/>
      </w:pPr>
      <w:bookmarkStart w:id="17" w:name="_Toc227285492"/>
      <w:r>
        <w:lastRenderedPageBreak/>
        <w:t>3.3 International and Ethical considerations.</w:t>
      </w:r>
      <w:bookmarkEnd w:id="17"/>
    </w:p>
    <w:p w14:paraId="2AE1761B" w14:textId="7885E2C2" w:rsidR="00353F03" w:rsidRDefault="00353F03" w:rsidP="00353F03">
      <w:r w:rsidRPr="00353F03">
        <w:rPr>
          <w:b/>
          <w:bCs/>
        </w:rPr>
        <w:t>Taxation and Transfer Pricing:</w:t>
      </w:r>
      <w:r>
        <w:t xml:space="preserve"> Toyota has a high level of operation with a business operating in over 170 countries and this has introduced a complicated international taxation planning. The restructuring plan should also put into focus the transfer pricing rules especially on intellectual property to do with EV battery technology to make sure that is a lot in agreement with OECD Base Erosion and Profit Shifting (BEPS) regulation</w:t>
      </w:r>
      <w:r w:rsidR="00C14AD5">
        <w:t xml:space="preserve">s </w:t>
      </w:r>
      <w:r>
        <w:t>(</w:t>
      </w:r>
      <w:proofErr w:type="spellStart"/>
      <w:r>
        <w:t>Wahlen</w:t>
      </w:r>
      <w:proofErr w:type="spellEnd"/>
      <w:r>
        <w:t xml:space="preserve">, </w:t>
      </w:r>
      <w:proofErr w:type="spellStart"/>
      <w:r>
        <w:t>Baginski</w:t>
      </w:r>
      <w:proofErr w:type="spellEnd"/>
      <w:r>
        <w:t xml:space="preserve"> and Bradshaw, 2022).</w:t>
      </w:r>
    </w:p>
    <w:p w14:paraId="1B05ED81" w14:textId="7E2EED4F" w:rsidR="00353F03" w:rsidRDefault="00353F03" w:rsidP="00353F03">
      <w:r w:rsidRPr="00353F03">
        <w:rPr>
          <w:b/>
          <w:bCs/>
        </w:rPr>
        <w:t>Currency Risk Management:</w:t>
      </w:r>
      <w:r>
        <w:t xml:space="preserve"> Toyota earns money in a variety of currencies and spends a lot of money in Japanese yen, which would expose them to a lot of foreign exchange. The restructuring plan must include larger currency hedging programme that makes use of forward contracts and currency swaps along with natural hedging by expanding production locally. This is especially essential when it comes to currency risk management of the Toyota EV business because the business is currently experiencing smaller margins than the traditional ICE vehicles (Madura, 2021).</w:t>
      </w:r>
    </w:p>
    <w:p w14:paraId="7C37691A" w14:textId="71B37F8C" w:rsidR="00392850" w:rsidRDefault="00392850" w:rsidP="00392850">
      <w:pPr>
        <w:jc w:val="center"/>
      </w:pPr>
      <w:r>
        <w:rPr>
          <w:noProof/>
          <w:lang w:val="en-US"/>
        </w:rPr>
        <w:drawing>
          <wp:inline distT="0" distB="0" distL="0" distR="0" wp14:anchorId="621E0A07" wp14:editId="050B8AB1">
            <wp:extent cx="5453439" cy="3277590"/>
            <wp:effectExtent l="0" t="0" r="0" b="0"/>
            <wp:docPr id="11" name="Picture 11" descr="How and Why Companies Should Manage Currency Risk (Topic 8) | Julian  Shovlin Applied Fin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ow and Why Companies Should Manage Currency Risk (Topic 8) | Julian  Shovlin Applied Fina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57245" cy="3279877"/>
                    </a:xfrm>
                    <a:prstGeom prst="rect">
                      <a:avLst/>
                    </a:prstGeom>
                    <a:noFill/>
                    <a:ln>
                      <a:noFill/>
                    </a:ln>
                  </pic:spPr>
                </pic:pic>
              </a:graphicData>
            </a:graphic>
          </wp:inline>
        </w:drawing>
      </w:r>
    </w:p>
    <w:p w14:paraId="0A3EE176" w14:textId="4359141A" w:rsidR="00392850" w:rsidRDefault="00392850" w:rsidP="00392850">
      <w:pPr>
        <w:jc w:val="center"/>
      </w:pPr>
      <w:r>
        <w:t xml:space="preserve">Figure: Currency risk </w:t>
      </w:r>
      <w:r w:rsidRPr="00392850">
        <w:t>(</w:t>
      </w:r>
      <w:proofErr w:type="spellStart"/>
      <w:r w:rsidRPr="00392850">
        <w:t>Tirole</w:t>
      </w:r>
      <w:proofErr w:type="spellEnd"/>
      <w:r w:rsidRPr="00392850">
        <w:t>, 2021)</w:t>
      </w:r>
      <w:r>
        <w:t>.</w:t>
      </w:r>
    </w:p>
    <w:p w14:paraId="4B650B60" w14:textId="7E724B38" w:rsidR="00C14AD5" w:rsidRDefault="00C14AD5" w:rsidP="00392850">
      <w:pPr>
        <w:jc w:val="center"/>
      </w:pPr>
    </w:p>
    <w:p w14:paraId="01BCB263" w14:textId="77777777" w:rsidR="00C14AD5" w:rsidRDefault="00C14AD5" w:rsidP="00392850">
      <w:pPr>
        <w:jc w:val="center"/>
      </w:pPr>
    </w:p>
    <w:p w14:paraId="25D9C6BF" w14:textId="40A910A9" w:rsidR="00353F03" w:rsidRDefault="00353F03" w:rsidP="00353F03">
      <w:r w:rsidRPr="00353F03">
        <w:rPr>
          <w:b/>
          <w:bCs/>
        </w:rPr>
        <w:lastRenderedPageBreak/>
        <w:t>Inflation, and Supply Chain Risk:</w:t>
      </w:r>
      <w:r>
        <w:t xml:space="preserve"> The increase in global inflation, especially of energy and raw material costs causes a direct risk to the cost competitiveness in the Toyota EV. The plan to restructure must involve having a long-term supply agreement with inflation price fixing mechanism of major battery materials l</w:t>
      </w:r>
      <w:r w:rsidR="00BC1107">
        <w:t xml:space="preserve">ike lithium, cobalt and nickel </w:t>
      </w:r>
      <w:r>
        <w:t>(Slack, Brandon-Jones and Johnston, 2021).</w:t>
      </w:r>
    </w:p>
    <w:p w14:paraId="039C1806" w14:textId="7ED3E022" w:rsidR="00C14AD5" w:rsidRPr="00C14AD5" w:rsidRDefault="00353F03" w:rsidP="00353F03">
      <w:pPr>
        <w:rPr>
          <w:b/>
        </w:rPr>
      </w:pPr>
      <w:r w:rsidRPr="00353F03">
        <w:rPr>
          <w:b/>
          <w:bCs/>
        </w:rPr>
        <w:t>Corporate Social Responsibility (CSR) and Ethical Considerations:</w:t>
      </w:r>
      <w:r>
        <w:t xml:space="preserve"> The reorganizing of Toyota should take place in accordance with its Environmental, Social, and Governance (ESG) viewpoint, such as carbon neutrality by 2050. Ethical sourcing of battery materials, especially cobalt in the Democratic Republic of Congo, where there are established human rights issues, should be part of the joint ventures with technology partners </w:t>
      </w:r>
      <w:r w:rsidRPr="00C14AD5">
        <w:rPr>
          <w:b/>
        </w:rPr>
        <w:t xml:space="preserve">(Kotler and Keller, 2022). </w:t>
      </w:r>
    </w:p>
    <w:p w14:paraId="7A6BC0E3" w14:textId="77777777" w:rsidR="00C14AD5" w:rsidRPr="00C14AD5" w:rsidRDefault="00C14AD5" w:rsidP="00C14AD5">
      <w:pPr>
        <w:rPr>
          <w:b/>
        </w:rPr>
      </w:pPr>
      <w:r w:rsidRPr="00C14AD5">
        <w:rPr>
          <w:b/>
        </w:rPr>
        <w:t>Specific Ethical Action</w:t>
      </w:r>
    </w:p>
    <w:p w14:paraId="057D1137" w14:textId="2D9E2396" w:rsidR="00353F03" w:rsidRDefault="00C14AD5" w:rsidP="00353F03">
      <w:r>
        <w:t xml:space="preserve">To ensure that all battery ingredients do not come out of DRC artisanal mining where child labour is reported, Toyota needs to implement a </w:t>
      </w:r>
      <w:proofErr w:type="spellStart"/>
      <w:r>
        <w:t>blockchain</w:t>
      </w:r>
      <w:proofErr w:type="spellEnd"/>
      <w:r>
        <w:t xml:space="preserve">-based cobalt traceability system (akin to IBM </w:t>
      </w:r>
      <w:proofErr w:type="spellStart"/>
      <w:r>
        <w:t>TrustChain</w:t>
      </w:r>
      <w:proofErr w:type="spellEnd"/>
      <w:r>
        <w:t>) (Journal of Corporate Finance, 2022). Otherwise, this would be in breach of the Supplier Code of Conduct that is developed by Toyota itself and would be likely to lose access to ESG investment funds operating in th</w:t>
      </w:r>
      <w:r>
        <w:t>e assets exceeding 30 trillion</w:t>
      </w:r>
      <w:r w:rsidR="00353F03">
        <w:t xml:space="preserve"> (Arnold, 2020).</w:t>
      </w:r>
    </w:p>
    <w:p w14:paraId="52408F67" w14:textId="77777777" w:rsidR="00353F03" w:rsidRDefault="00353F03">
      <w:pPr>
        <w:spacing w:line="278" w:lineRule="auto"/>
        <w:jc w:val="left"/>
      </w:pPr>
      <w:r>
        <w:br w:type="page"/>
      </w:r>
    </w:p>
    <w:p w14:paraId="6D095345" w14:textId="68DE8864" w:rsidR="00353F03" w:rsidRDefault="00353F03" w:rsidP="00353F03">
      <w:pPr>
        <w:pStyle w:val="Heading1"/>
      </w:pPr>
      <w:bookmarkStart w:id="18" w:name="_Toc227285493"/>
      <w:r w:rsidRPr="00353F03">
        <w:lastRenderedPageBreak/>
        <w:t>4. Investment Appraisal and Capital Budgeting</w:t>
      </w:r>
      <w:bookmarkEnd w:id="18"/>
    </w:p>
    <w:p w14:paraId="0A737C58" w14:textId="77777777" w:rsidR="00353F03" w:rsidRDefault="00353F03" w:rsidP="00353F03">
      <w:pPr>
        <w:pStyle w:val="Heading2"/>
      </w:pPr>
      <w:bookmarkStart w:id="19" w:name="_Toc227285494"/>
      <w:r>
        <w:t>4.1 Investment Appraisal Calculations</w:t>
      </w:r>
      <w:bookmarkEnd w:id="19"/>
    </w:p>
    <w:p w14:paraId="719C7BEA" w14:textId="0B75F30B" w:rsidR="00353F03" w:rsidRDefault="00353F03" w:rsidP="00353F03">
      <w:r>
        <w:t>The next analysis is a five-star evaluation of three suggested investment projects by applying five capital budgeting methods, Payback Period (PBP), Accounting rate of Return (ARR), Net Present Value (NPV), Profitability Index (PI), and Internal rate of return (IRR). A discount of 10 percent and initial investment of £50 million is required in all projects. According to the assumption made, the depreciation of straight-line to zero during the five-year period implies the depreciation of 10 million a year on the projects.</w:t>
      </w:r>
    </w:p>
    <w:p w14:paraId="045C0A7C" w14:textId="5C5E6122" w:rsidR="00353F03" w:rsidRDefault="00353F03" w:rsidP="000B1830">
      <w:pPr>
        <w:pStyle w:val="Heading3"/>
      </w:pPr>
      <w:bookmarkStart w:id="20" w:name="_Toc227285495"/>
      <w:r w:rsidRPr="00353F03">
        <w:t>Project A: Cash Inflows – £10m, £12m, £14m, £10m, £8m</w:t>
      </w:r>
      <w:bookmarkEnd w:id="20"/>
    </w:p>
    <w:p w14:paraId="71E500A4" w14:textId="0E386502" w:rsidR="00353F03" w:rsidRDefault="00353F03" w:rsidP="00353F03">
      <w:pPr>
        <w:rPr>
          <w:b/>
          <w:bCs/>
        </w:rPr>
      </w:pPr>
      <w:r w:rsidRPr="00353F03">
        <w:rPr>
          <w:b/>
          <w:bCs/>
        </w:rPr>
        <w:t>1. Payback Period (PBP):</w:t>
      </w:r>
    </w:p>
    <w:tbl>
      <w:tblPr>
        <w:tblStyle w:val="TableGrid"/>
        <w:tblW w:w="5099" w:type="pct"/>
        <w:tblLook w:val="04A0" w:firstRow="1" w:lastRow="0" w:firstColumn="1" w:lastColumn="0" w:noHBand="0" w:noVBand="1"/>
      </w:tblPr>
      <w:tblGrid>
        <w:gridCol w:w="1976"/>
        <w:gridCol w:w="4050"/>
        <w:gridCol w:w="3509"/>
      </w:tblGrid>
      <w:tr w:rsidR="000B1830" w:rsidRPr="00353F03" w14:paraId="0FC6D728" w14:textId="77777777" w:rsidTr="000B1830">
        <w:tc>
          <w:tcPr>
            <w:tcW w:w="1036" w:type="pct"/>
            <w:noWrap/>
            <w:vAlign w:val="center"/>
            <w:hideMark/>
          </w:tcPr>
          <w:p w14:paraId="75ECF2A1" w14:textId="77777777" w:rsidR="00353F03" w:rsidRPr="00353F03" w:rsidRDefault="00353F03" w:rsidP="000B1830">
            <w:pPr>
              <w:spacing w:after="160"/>
              <w:jc w:val="center"/>
              <w:rPr>
                <w:b/>
                <w:bCs/>
              </w:rPr>
            </w:pPr>
            <w:r w:rsidRPr="00353F03">
              <w:rPr>
                <w:b/>
                <w:bCs/>
              </w:rPr>
              <w:t>Year</w:t>
            </w:r>
          </w:p>
        </w:tc>
        <w:tc>
          <w:tcPr>
            <w:tcW w:w="2124" w:type="pct"/>
            <w:noWrap/>
            <w:vAlign w:val="center"/>
            <w:hideMark/>
          </w:tcPr>
          <w:p w14:paraId="1E250A65" w14:textId="77777777" w:rsidR="00353F03" w:rsidRPr="00353F03" w:rsidRDefault="00353F03" w:rsidP="000B1830">
            <w:pPr>
              <w:spacing w:after="160"/>
              <w:jc w:val="center"/>
              <w:rPr>
                <w:b/>
                <w:bCs/>
              </w:rPr>
            </w:pPr>
            <w:r w:rsidRPr="00353F03">
              <w:rPr>
                <w:b/>
                <w:bCs/>
              </w:rPr>
              <w:t>Cash Inflow (£m)</w:t>
            </w:r>
          </w:p>
        </w:tc>
        <w:tc>
          <w:tcPr>
            <w:tcW w:w="1841" w:type="pct"/>
            <w:noWrap/>
            <w:vAlign w:val="center"/>
            <w:hideMark/>
          </w:tcPr>
          <w:p w14:paraId="0E0C7A91" w14:textId="77777777" w:rsidR="00353F03" w:rsidRPr="00353F03" w:rsidRDefault="00353F03" w:rsidP="000B1830">
            <w:pPr>
              <w:spacing w:after="160"/>
              <w:jc w:val="center"/>
              <w:rPr>
                <w:b/>
                <w:bCs/>
              </w:rPr>
            </w:pPr>
            <w:r w:rsidRPr="00353F03">
              <w:rPr>
                <w:b/>
                <w:bCs/>
              </w:rPr>
              <w:t>Cumulative (£m)</w:t>
            </w:r>
          </w:p>
        </w:tc>
      </w:tr>
      <w:tr w:rsidR="000B1830" w:rsidRPr="00353F03" w14:paraId="2C2925D2" w14:textId="77777777" w:rsidTr="000B1830">
        <w:tc>
          <w:tcPr>
            <w:tcW w:w="1036" w:type="pct"/>
            <w:vAlign w:val="center"/>
            <w:hideMark/>
          </w:tcPr>
          <w:p w14:paraId="5A38E223" w14:textId="77777777" w:rsidR="00353F03" w:rsidRPr="00353F03" w:rsidRDefault="00353F03" w:rsidP="000B1830">
            <w:pPr>
              <w:spacing w:after="160"/>
              <w:jc w:val="center"/>
            </w:pPr>
            <w:r w:rsidRPr="00353F03">
              <w:t>1</w:t>
            </w:r>
          </w:p>
        </w:tc>
        <w:tc>
          <w:tcPr>
            <w:tcW w:w="2124" w:type="pct"/>
            <w:vAlign w:val="center"/>
            <w:hideMark/>
          </w:tcPr>
          <w:p w14:paraId="534832ED" w14:textId="77777777" w:rsidR="00353F03" w:rsidRPr="00353F03" w:rsidRDefault="00353F03" w:rsidP="000B1830">
            <w:pPr>
              <w:spacing w:after="160"/>
              <w:jc w:val="center"/>
            </w:pPr>
            <w:r w:rsidRPr="00353F03">
              <w:t>10</w:t>
            </w:r>
          </w:p>
        </w:tc>
        <w:tc>
          <w:tcPr>
            <w:tcW w:w="1841" w:type="pct"/>
            <w:vAlign w:val="center"/>
            <w:hideMark/>
          </w:tcPr>
          <w:p w14:paraId="13D6A29D" w14:textId="77777777" w:rsidR="00353F03" w:rsidRPr="00353F03" w:rsidRDefault="00353F03" w:rsidP="000B1830">
            <w:pPr>
              <w:spacing w:after="160"/>
              <w:jc w:val="center"/>
            </w:pPr>
            <w:r w:rsidRPr="00353F03">
              <w:t>10</w:t>
            </w:r>
          </w:p>
        </w:tc>
      </w:tr>
      <w:tr w:rsidR="000B1830" w:rsidRPr="00353F03" w14:paraId="4A2118E2" w14:textId="77777777" w:rsidTr="000B1830">
        <w:tc>
          <w:tcPr>
            <w:tcW w:w="1036" w:type="pct"/>
            <w:vAlign w:val="center"/>
            <w:hideMark/>
          </w:tcPr>
          <w:p w14:paraId="419CB963" w14:textId="77777777" w:rsidR="00353F03" w:rsidRPr="00353F03" w:rsidRDefault="00353F03" w:rsidP="000B1830">
            <w:pPr>
              <w:spacing w:after="160"/>
              <w:jc w:val="center"/>
            </w:pPr>
            <w:r w:rsidRPr="00353F03">
              <w:t>2</w:t>
            </w:r>
          </w:p>
        </w:tc>
        <w:tc>
          <w:tcPr>
            <w:tcW w:w="2124" w:type="pct"/>
            <w:vAlign w:val="center"/>
            <w:hideMark/>
          </w:tcPr>
          <w:p w14:paraId="3480EB79" w14:textId="77777777" w:rsidR="00353F03" w:rsidRPr="00353F03" w:rsidRDefault="00353F03" w:rsidP="000B1830">
            <w:pPr>
              <w:spacing w:after="160"/>
              <w:jc w:val="center"/>
            </w:pPr>
            <w:r w:rsidRPr="00353F03">
              <w:t>12</w:t>
            </w:r>
          </w:p>
        </w:tc>
        <w:tc>
          <w:tcPr>
            <w:tcW w:w="1841" w:type="pct"/>
            <w:vAlign w:val="center"/>
            <w:hideMark/>
          </w:tcPr>
          <w:p w14:paraId="50D658FF" w14:textId="77777777" w:rsidR="00353F03" w:rsidRPr="00353F03" w:rsidRDefault="00353F03" w:rsidP="000B1830">
            <w:pPr>
              <w:spacing w:after="160"/>
              <w:jc w:val="center"/>
            </w:pPr>
            <w:r w:rsidRPr="00353F03">
              <w:t>22</w:t>
            </w:r>
          </w:p>
        </w:tc>
      </w:tr>
      <w:tr w:rsidR="000B1830" w:rsidRPr="00353F03" w14:paraId="578D8E2F" w14:textId="77777777" w:rsidTr="000B1830">
        <w:tc>
          <w:tcPr>
            <w:tcW w:w="1036" w:type="pct"/>
            <w:vAlign w:val="center"/>
            <w:hideMark/>
          </w:tcPr>
          <w:p w14:paraId="72C485AB" w14:textId="77777777" w:rsidR="00353F03" w:rsidRPr="00353F03" w:rsidRDefault="00353F03" w:rsidP="000B1830">
            <w:pPr>
              <w:spacing w:after="160"/>
              <w:jc w:val="center"/>
            </w:pPr>
            <w:r w:rsidRPr="00353F03">
              <w:t>3</w:t>
            </w:r>
          </w:p>
        </w:tc>
        <w:tc>
          <w:tcPr>
            <w:tcW w:w="2124" w:type="pct"/>
            <w:vAlign w:val="center"/>
            <w:hideMark/>
          </w:tcPr>
          <w:p w14:paraId="7848DCB7" w14:textId="77777777" w:rsidR="00353F03" w:rsidRPr="00353F03" w:rsidRDefault="00353F03" w:rsidP="000B1830">
            <w:pPr>
              <w:spacing w:after="160"/>
              <w:jc w:val="center"/>
            </w:pPr>
            <w:r w:rsidRPr="00353F03">
              <w:t>14</w:t>
            </w:r>
          </w:p>
        </w:tc>
        <w:tc>
          <w:tcPr>
            <w:tcW w:w="1841" w:type="pct"/>
            <w:vAlign w:val="center"/>
            <w:hideMark/>
          </w:tcPr>
          <w:p w14:paraId="1E485264" w14:textId="77777777" w:rsidR="00353F03" w:rsidRPr="00353F03" w:rsidRDefault="00353F03" w:rsidP="000B1830">
            <w:pPr>
              <w:spacing w:after="160"/>
              <w:jc w:val="center"/>
            </w:pPr>
            <w:r w:rsidRPr="00353F03">
              <w:t>36</w:t>
            </w:r>
          </w:p>
        </w:tc>
      </w:tr>
      <w:tr w:rsidR="000B1830" w:rsidRPr="00353F03" w14:paraId="027E561E" w14:textId="77777777" w:rsidTr="000B1830">
        <w:tc>
          <w:tcPr>
            <w:tcW w:w="1036" w:type="pct"/>
            <w:vAlign w:val="center"/>
            <w:hideMark/>
          </w:tcPr>
          <w:p w14:paraId="6C948254" w14:textId="77777777" w:rsidR="00353F03" w:rsidRPr="00353F03" w:rsidRDefault="00353F03" w:rsidP="000B1830">
            <w:pPr>
              <w:spacing w:after="160"/>
              <w:jc w:val="center"/>
            </w:pPr>
            <w:r w:rsidRPr="00353F03">
              <w:t>4</w:t>
            </w:r>
          </w:p>
        </w:tc>
        <w:tc>
          <w:tcPr>
            <w:tcW w:w="2124" w:type="pct"/>
            <w:vAlign w:val="center"/>
            <w:hideMark/>
          </w:tcPr>
          <w:p w14:paraId="1858C7E1" w14:textId="77777777" w:rsidR="00353F03" w:rsidRPr="00353F03" w:rsidRDefault="00353F03" w:rsidP="000B1830">
            <w:pPr>
              <w:spacing w:after="160"/>
              <w:jc w:val="center"/>
            </w:pPr>
            <w:r w:rsidRPr="00353F03">
              <w:t>10</w:t>
            </w:r>
          </w:p>
        </w:tc>
        <w:tc>
          <w:tcPr>
            <w:tcW w:w="1841" w:type="pct"/>
            <w:vAlign w:val="center"/>
            <w:hideMark/>
          </w:tcPr>
          <w:p w14:paraId="20F8C3DA" w14:textId="77777777" w:rsidR="00353F03" w:rsidRPr="00353F03" w:rsidRDefault="00353F03" w:rsidP="000B1830">
            <w:pPr>
              <w:spacing w:after="160"/>
              <w:jc w:val="center"/>
            </w:pPr>
            <w:r w:rsidRPr="00353F03">
              <w:t>46</w:t>
            </w:r>
          </w:p>
        </w:tc>
      </w:tr>
      <w:tr w:rsidR="000B1830" w:rsidRPr="00353F03" w14:paraId="55F51331" w14:textId="77777777" w:rsidTr="000B1830">
        <w:tc>
          <w:tcPr>
            <w:tcW w:w="1036" w:type="pct"/>
            <w:vAlign w:val="center"/>
            <w:hideMark/>
          </w:tcPr>
          <w:p w14:paraId="43BA8129" w14:textId="77777777" w:rsidR="00353F03" w:rsidRPr="00353F03" w:rsidRDefault="00353F03" w:rsidP="000B1830">
            <w:pPr>
              <w:spacing w:after="160"/>
              <w:jc w:val="center"/>
            </w:pPr>
            <w:r w:rsidRPr="00353F03">
              <w:t>5</w:t>
            </w:r>
          </w:p>
        </w:tc>
        <w:tc>
          <w:tcPr>
            <w:tcW w:w="2124" w:type="pct"/>
            <w:vAlign w:val="center"/>
            <w:hideMark/>
          </w:tcPr>
          <w:p w14:paraId="64F9C794" w14:textId="77777777" w:rsidR="00353F03" w:rsidRPr="00353F03" w:rsidRDefault="00353F03" w:rsidP="000B1830">
            <w:pPr>
              <w:spacing w:after="160"/>
              <w:jc w:val="center"/>
            </w:pPr>
            <w:r w:rsidRPr="00353F03">
              <w:t>8</w:t>
            </w:r>
          </w:p>
        </w:tc>
        <w:tc>
          <w:tcPr>
            <w:tcW w:w="1841" w:type="pct"/>
            <w:vAlign w:val="center"/>
            <w:hideMark/>
          </w:tcPr>
          <w:p w14:paraId="5D6A66C2" w14:textId="77777777" w:rsidR="00353F03" w:rsidRPr="00353F03" w:rsidRDefault="00353F03" w:rsidP="000B1830">
            <w:pPr>
              <w:spacing w:after="160"/>
              <w:jc w:val="center"/>
            </w:pPr>
            <w:r w:rsidRPr="00353F03">
              <w:t>54</w:t>
            </w:r>
          </w:p>
        </w:tc>
      </w:tr>
    </w:tbl>
    <w:p w14:paraId="0B3FA9E5" w14:textId="77777777" w:rsidR="00353F03" w:rsidRDefault="00353F03" w:rsidP="00353F03">
      <w:pPr>
        <w:rPr>
          <w:b/>
          <w:bCs/>
        </w:rPr>
      </w:pPr>
    </w:p>
    <w:p w14:paraId="63FA22B1" w14:textId="77777777" w:rsidR="000B1830" w:rsidRPr="000B1830" w:rsidRDefault="000B1830" w:rsidP="000B1830">
      <w:r w:rsidRPr="000B1830">
        <w:t>Remaining after Year 4: £50m − £46m = £4m; recovered in Year 5: 4/8 = 0.5 years</w:t>
      </w:r>
    </w:p>
    <w:p w14:paraId="1853F493" w14:textId="0E11BA98" w:rsidR="000B1830" w:rsidRDefault="000B1830" w:rsidP="000B1830">
      <w:r w:rsidRPr="000B1830">
        <w:t>PBP = 4.5 years</w:t>
      </w:r>
    </w:p>
    <w:p w14:paraId="3C650694" w14:textId="45AED6E3" w:rsidR="000B1830" w:rsidRPr="000B1830" w:rsidRDefault="000B1830" w:rsidP="000B1830">
      <w:pPr>
        <w:rPr>
          <w:b/>
          <w:bCs/>
        </w:rPr>
      </w:pPr>
      <w:r w:rsidRPr="000B1830">
        <w:rPr>
          <w:b/>
          <w:bCs/>
        </w:rPr>
        <w:t>2. ARR</w:t>
      </w:r>
    </w:p>
    <w:p w14:paraId="11BE1EC3" w14:textId="77777777" w:rsidR="000B1830" w:rsidRDefault="000B1830" w:rsidP="000B1830">
      <w:r>
        <w:t xml:space="preserve">Total cash inflows = £54m; Total profit = £54m − £50m = £4m; </w:t>
      </w:r>
    </w:p>
    <w:p w14:paraId="0ABA2B1E" w14:textId="3D8AD299" w:rsidR="000B1830" w:rsidRDefault="000B1830" w:rsidP="000B1830">
      <w:r>
        <w:t>Average annual profit = £4m ÷ 5 = £0.8m; Average investment = £50m ÷ 2 = £25m</w:t>
      </w:r>
    </w:p>
    <w:p w14:paraId="1CF6CE4E" w14:textId="0B4C3789" w:rsidR="000B1830" w:rsidRDefault="000B1830" w:rsidP="000B1830">
      <w:pPr>
        <w:rPr>
          <w:b/>
          <w:bCs/>
        </w:rPr>
      </w:pPr>
      <w:r w:rsidRPr="000B1830">
        <w:rPr>
          <w:b/>
          <w:bCs/>
        </w:rPr>
        <w:t>ARR = 0.8/25 × 100 = 3.2%</w:t>
      </w:r>
    </w:p>
    <w:p w14:paraId="05FB3773" w14:textId="77777777" w:rsidR="00710792" w:rsidRDefault="00710792" w:rsidP="000B1830">
      <w:pPr>
        <w:rPr>
          <w:b/>
          <w:bCs/>
        </w:rPr>
      </w:pPr>
    </w:p>
    <w:p w14:paraId="6393B6CD" w14:textId="538652BC" w:rsidR="000B1830" w:rsidRDefault="000B1830" w:rsidP="000B1830">
      <w:pPr>
        <w:rPr>
          <w:b/>
          <w:bCs/>
        </w:rPr>
      </w:pPr>
      <w:r w:rsidRPr="000B1830">
        <w:rPr>
          <w:b/>
          <w:bCs/>
        </w:rPr>
        <w:lastRenderedPageBreak/>
        <w:t>3. NPV (Discount Rate 10%):</w:t>
      </w:r>
    </w:p>
    <w:tbl>
      <w:tblPr>
        <w:tblStyle w:val="TableGrid"/>
        <w:tblW w:w="5000" w:type="pct"/>
        <w:tblLook w:val="04A0" w:firstRow="1" w:lastRow="0" w:firstColumn="1" w:lastColumn="0" w:noHBand="0" w:noVBand="1"/>
      </w:tblPr>
      <w:tblGrid>
        <w:gridCol w:w="2336"/>
        <w:gridCol w:w="2223"/>
        <w:gridCol w:w="2556"/>
        <w:gridCol w:w="2235"/>
      </w:tblGrid>
      <w:tr w:rsidR="000B1830" w:rsidRPr="000B1830" w14:paraId="6F847321" w14:textId="77777777" w:rsidTr="000B1830">
        <w:tc>
          <w:tcPr>
            <w:tcW w:w="1249" w:type="pct"/>
            <w:noWrap/>
            <w:vAlign w:val="center"/>
            <w:hideMark/>
          </w:tcPr>
          <w:p w14:paraId="5E0E808A" w14:textId="77777777" w:rsidR="000B1830" w:rsidRPr="000B1830" w:rsidRDefault="000B1830" w:rsidP="000B1830">
            <w:pPr>
              <w:spacing w:after="160"/>
              <w:jc w:val="center"/>
              <w:rPr>
                <w:b/>
                <w:bCs/>
              </w:rPr>
            </w:pPr>
            <w:r w:rsidRPr="000B1830">
              <w:rPr>
                <w:b/>
                <w:bCs/>
              </w:rPr>
              <w:t>Year</w:t>
            </w:r>
          </w:p>
        </w:tc>
        <w:tc>
          <w:tcPr>
            <w:tcW w:w="1189" w:type="pct"/>
            <w:noWrap/>
            <w:vAlign w:val="center"/>
            <w:hideMark/>
          </w:tcPr>
          <w:p w14:paraId="6D6610BC" w14:textId="77777777" w:rsidR="000B1830" w:rsidRPr="000B1830" w:rsidRDefault="000B1830" w:rsidP="000B1830">
            <w:pPr>
              <w:spacing w:after="160"/>
              <w:jc w:val="center"/>
              <w:rPr>
                <w:b/>
                <w:bCs/>
              </w:rPr>
            </w:pPr>
            <w:r w:rsidRPr="000B1830">
              <w:rPr>
                <w:b/>
                <w:bCs/>
              </w:rPr>
              <w:t>CF (£m)</w:t>
            </w:r>
          </w:p>
        </w:tc>
        <w:tc>
          <w:tcPr>
            <w:tcW w:w="1367" w:type="pct"/>
            <w:noWrap/>
            <w:vAlign w:val="center"/>
            <w:hideMark/>
          </w:tcPr>
          <w:p w14:paraId="7F9CFDFF" w14:textId="77777777" w:rsidR="000B1830" w:rsidRPr="000B1830" w:rsidRDefault="000B1830" w:rsidP="000B1830">
            <w:pPr>
              <w:spacing w:after="160"/>
              <w:jc w:val="center"/>
              <w:rPr>
                <w:b/>
                <w:bCs/>
              </w:rPr>
            </w:pPr>
            <w:r w:rsidRPr="000B1830">
              <w:rPr>
                <w:b/>
                <w:bCs/>
              </w:rPr>
              <w:t>DF (10%)</w:t>
            </w:r>
          </w:p>
        </w:tc>
        <w:tc>
          <w:tcPr>
            <w:tcW w:w="1195" w:type="pct"/>
            <w:noWrap/>
            <w:vAlign w:val="center"/>
            <w:hideMark/>
          </w:tcPr>
          <w:p w14:paraId="44C909A9" w14:textId="77777777" w:rsidR="000B1830" w:rsidRPr="000B1830" w:rsidRDefault="000B1830" w:rsidP="000B1830">
            <w:pPr>
              <w:spacing w:after="160"/>
              <w:jc w:val="center"/>
              <w:rPr>
                <w:b/>
                <w:bCs/>
              </w:rPr>
            </w:pPr>
            <w:r w:rsidRPr="000B1830">
              <w:rPr>
                <w:b/>
                <w:bCs/>
              </w:rPr>
              <w:t>PV (£m)</w:t>
            </w:r>
          </w:p>
        </w:tc>
      </w:tr>
      <w:tr w:rsidR="000B1830" w:rsidRPr="000B1830" w14:paraId="2B0989D6" w14:textId="77777777" w:rsidTr="000B1830">
        <w:tc>
          <w:tcPr>
            <w:tcW w:w="1249" w:type="pct"/>
            <w:vAlign w:val="center"/>
            <w:hideMark/>
          </w:tcPr>
          <w:p w14:paraId="4741B7EB" w14:textId="77777777" w:rsidR="000B1830" w:rsidRPr="000B1830" w:rsidRDefault="000B1830" w:rsidP="000B1830">
            <w:pPr>
              <w:spacing w:after="160"/>
              <w:jc w:val="center"/>
            </w:pPr>
            <w:r w:rsidRPr="000B1830">
              <w:t>1</w:t>
            </w:r>
          </w:p>
        </w:tc>
        <w:tc>
          <w:tcPr>
            <w:tcW w:w="1189" w:type="pct"/>
            <w:vAlign w:val="center"/>
            <w:hideMark/>
          </w:tcPr>
          <w:p w14:paraId="3F3980D2" w14:textId="77777777" w:rsidR="000B1830" w:rsidRPr="000B1830" w:rsidRDefault="000B1830" w:rsidP="000B1830">
            <w:pPr>
              <w:spacing w:after="160"/>
              <w:jc w:val="center"/>
            </w:pPr>
            <w:r w:rsidRPr="000B1830">
              <w:t>10</w:t>
            </w:r>
          </w:p>
        </w:tc>
        <w:tc>
          <w:tcPr>
            <w:tcW w:w="1367" w:type="pct"/>
            <w:vAlign w:val="center"/>
            <w:hideMark/>
          </w:tcPr>
          <w:p w14:paraId="1C0FD8F3" w14:textId="77777777" w:rsidR="000B1830" w:rsidRPr="000B1830" w:rsidRDefault="000B1830" w:rsidP="000B1830">
            <w:pPr>
              <w:spacing w:after="160"/>
              <w:jc w:val="center"/>
            </w:pPr>
            <w:r w:rsidRPr="000B1830">
              <w:t>0.909</w:t>
            </w:r>
          </w:p>
        </w:tc>
        <w:tc>
          <w:tcPr>
            <w:tcW w:w="1195" w:type="pct"/>
            <w:vAlign w:val="center"/>
            <w:hideMark/>
          </w:tcPr>
          <w:p w14:paraId="2702A1E5" w14:textId="77777777" w:rsidR="000B1830" w:rsidRPr="000B1830" w:rsidRDefault="000B1830" w:rsidP="000B1830">
            <w:pPr>
              <w:spacing w:after="160"/>
              <w:jc w:val="center"/>
            </w:pPr>
            <w:r w:rsidRPr="000B1830">
              <w:t>9.09</w:t>
            </w:r>
          </w:p>
        </w:tc>
      </w:tr>
      <w:tr w:rsidR="000B1830" w:rsidRPr="000B1830" w14:paraId="1127111E" w14:textId="77777777" w:rsidTr="000B1830">
        <w:tc>
          <w:tcPr>
            <w:tcW w:w="1249" w:type="pct"/>
            <w:vAlign w:val="center"/>
            <w:hideMark/>
          </w:tcPr>
          <w:p w14:paraId="27F9A0B3" w14:textId="77777777" w:rsidR="000B1830" w:rsidRPr="000B1830" w:rsidRDefault="000B1830" w:rsidP="000B1830">
            <w:pPr>
              <w:spacing w:after="160"/>
              <w:jc w:val="center"/>
            </w:pPr>
            <w:r w:rsidRPr="000B1830">
              <w:t>2</w:t>
            </w:r>
          </w:p>
        </w:tc>
        <w:tc>
          <w:tcPr>
            <w:tcW w:w="1189" w:type="pct"/>
            <w:vAlign w:val="center"/>
            <w:hideMark/>
          </w:tcPr>
          <w:p w14:paraId="2E96B138" w14:textId="77777777" w:rsidR="000B1830" w:rsidRPr="000B1830" w:rsidRDefault="000B1830" w:rsidP="000B1830">
            <w:pPr>
              <w:spacing w:after="160"/>
              <w:jc w:val="center"/>
            </w:pPr>
            <w:r w:rsidRPr="000B1830">
              <w:t>12</w:t>
            </w:r>
          </w:p>
        </w:tc>
        <w:tc>
          <w:tcPr>
            <w:tcW w:w="1367" w:type="pct"/>
            <w:vAlign w:val="center"/>
            <w:hideMark/>
          </w:tcPr>
          <w:p w14:paraId="6619820A" w14:textId="77777777" w:rsidR="000B1830" w:rsidRPr="000B1830" w:rsidRDefault="000B1830" w:rsidP="000B1830">
            <w:pPr>
              <w:spacing w:after="160"/>
              <w:jc w:val="center"/>
            </w:pPr>
            <w:r w:rsidRPr="000B1830">
              <w:t>0.826</w:t>
            </w:r>
          </w:p>
        </w:tc>
        <w:tc>
          <w:tcPr>
            <w:tcW w:w="1195" w:type="pct"/>
            <w:vAlign w:val="center"/>
            <w:hideMark/>
          </w:tcPr>
          <w:p w14:paraId="7B9EAB85" w14:textId="77777777" w:rsidR="000B1830" w:rsidRPr="000B1830" w:rsidRDefault="000B1830" w:rsidP="000B1830">
            <w:pPr>
              <w:spacing w:after="160"/>
              <w:jc w:val="center"/>
            </w:pPr>
            <w:r w:rsidRPr="000B1830">
              <w:t>9.91</w:t>
            </w:r>
          </w:p>
        </w:tc>
      </w:tr>
      <w:tr w:rsidR="000B1830" w:rsidRPr="000B1830" w14:paraId="7BA767E1" w14:textId="77777777" w:rsidTr="000B1830">
        <w:tc>
          <w:tcPr>
            <w:tcW w:w="1249" w:type="pct"/>
            <w:vAlign w:val="center"/>
            <w:hideMark/>
          </w:tcPr>
          <w:p w14:paraId="22C872DC" w14:textId="77777777" w:rsidR="000B1830" w:rsidRPr="000B1830" w:rsidRDefault="000B1830" w:rsidP="000B1830">
            <w:pPr>
              <w:spacing w:after="160"/>
              <w:jc w:val="center"/>
            </w:pPr>
            <w:r w:rsidRPr="000B1830">
              <w:t>3</w:t>
            </w:r>
          </w:p>
        </w:tc>
        <w:tc>
          <w:tcPr>
            <w:tcW w:w="1189" w:type="pct"/>
            <w:vAlign w:val="center"/>
            <w:hideMark/>
          </w:tcPr>
          <w:p w14:paraId="7EEB15EB" w14:textId="77777777" w:rsidR="000B1830" w:rsidRPr="000B1830" w:rsidRDefault="000B1830" w:rsidP="000B1830">
            <w:pPr>
              <w:spacing w:after="160"/>
              <w:jc w:val="center"/>
            </w:pPr>
            <w:r w:rsidRPr="000B1830">
              <w:t>14</w:t>
            </w:r>
          </w:p>
        </w:tc>
        <w:tc>
          <w:tcPr>
            <w:tcW w:w="1367" w:type="pct"/>
            <w:vAlign w:val="center"/>
            <w:hideMark/>
          </w:tcPr>
          <w:p w14:paraId="1BB4DAD3" w14:textId="77777777" w:rsidR="000B1830" w:rsidRPr="000B1830" w:rsidRDefault="000B1830" w:rsidP="000B1830">
            <w:pPr>
              <w:spacing w:after="160"/>
              <w:jc w:val="center"/>
            </w:pPr>
            <w:r w:rsidRPr="000B1830">
              <w:t>0.751</w:t>
            </w:r>
          </w:p>
        </w:tc>
        <w:tc>
          <w:tcPr>
            <w:tcW w:w="1195" w:type="pct"/>
            <w:vAlign w:val="center"/>
            <w:hideMark/>
          </w:tcPr>
          <w:p w14:paraId="043B8D46" w14:textId="77777777" w:rsidR="000B1830" w:rsidRPr="000B1830" w:rsidRDefault="000B1830" w:rsidP="000B1830">
            <w:pPr>
              <w:spacing w:after="160"/>
              <w:jc w:val="center"/>
            </w:pPr>
            <w:r w:rsidRPr="000B1830">
              <w:t>10.51</w:t>
            </w:r>
          </w:p>
        </w:tc>
      </w:tr>
      <w:tr w:rsidR="000B1830" w:rsidRPr="000B1830" w14:paraId="0D586242" w14:textId="77777777" w:rsidTr="000B1830">
        <w:tc>
          <w:tcPr>
            <w:tcW w:w="1249" w:type="pct"/>
            <w:vAlign w:val="center"/>
            <w:hideMark/>
          </w:tcPr>
          <w:p w14:paraId="60491E71" w14:textId="77777777" w:rsidR="000B1830" w:rsidRPr="000B1830" w:rsidRDefault="000B1830" w:rsidP="000B1830">
            <w:pPr>
              <w:spacing w:after="160"/>
              <w:jc w:val="center"/>
            </w:pPr>
            <w:r w:rsidRPr="000B1830">
              <w:t>4</w:t>
            </w:r>
          </w:p>
        </w:tc>
        <w:tc>
          <w:tcPr>
            <w:tcW w:w="1189" w:type="pct"/>
            <w:vAlign w:val="center"/>
            <w:hideMark/>
          </w:tcPr>
          <w:p w14:paraId="7021D10E" w14:textId="77777777" w:rsidR="000B1830" w:rsidRPr="000B1830" w:rsidRDefault="000B1830" w:rsidP="000B1830">
            <w:pPr>
              <w:spacing w:after="160"/>
              <w:jc w:val="center"/>
            </w:pPr>
            <w:r w:rsidRPr="000B1830">
              <w:t>10</w:t>
            </w:r>
          </w:p>
        </w:tc>
        <w:tc>
          <w:tcPr>
            <w:tcW w:w="1367" w:type="pct"/>
            <w:vAlign w:val="center"/>
            <w:hideMark/>
          </w:tcPr>
          <w:p w14:paraId="5C5DF787" w14:textId="77777777" w:rsidR="000B1830" w:rsidRPr="000B1830" w:rsidRDefault="000B1830" w:rsidP="000B1830">
            <w:pPr>
              <w:spacing w:after="160"/>
              <w:jc w:val="center"/>
            </w:pPr>
            <w:r w:rsidRPr="000B1830">
              <w:t>0.683</w:t>
            </w:r>
          </w:p>
        </w:tc>
        <w:tc>
          <w:tcPr>
            <w:tcW w:w="1195" w:type="pct"/>
            <w:vAlign w:val="center"/>
            <w:hideMark/>
          </w:tcPr>
          <w:p w14:paraId="1BEDD02F" w14:textId="77777777" w:rsidR="000B1830" w:rsidRPr="000B1830" w:rsidRDefault="000B1830" w:rsidP="000B1830">
            <w:pPr>
              <w:spacing w:after="160"/>
              <w:jc w:val="center"/>
            </w:pPr>
            <w:r w:rsidRPr="000B1830">
              <w:t>6.83</w:t>
            </w:r>
          </w:p>
        </w:tc>
      </w:tr>
      <w:tr w:rsidR="000B1830" w:rsidRPr="000B1830" w14:paraId="23B0F5F0" w14:textId="77777777" w:rsidTr="000B1830">
        <w:tc>
          <w:tcPr>
            <w:tcW w:w="1249" w:type="pct"/>
            <w:vAlign w:val="center"/>
            <w:hideMark/>
          </w:tcPr>
          <w:p w14:paraId="12BE46E3" w14:textId="77777777" w:rsidR="000B1830" w:rsidRPr="000B1830" w:rsidRDefault="000B1830" w:rsidP="000B1830">
            <w:pPr>
              <w:spacing w:after="160"/>
              <w:jc w:val="center"/>
            </w:pPr>
            <w:r w:rsidRPr="000B1830">
              <w:t>5</w:t>
            </w:r>
          </w:p>
        </w:tc>
        <w:tc>
          <w:tcPr>
            <w:tcW w:w="1189" w:type="pct"/>
            <w:vAlign w:val="center"/>
            <w:hideMark/>
          </w:tcPr>
          <w:p w14:paraId="28B21BD4" w14:textId="77777777" w:rsidR="000B1830" w:rsidRPr="000B1830" w:rsidRDefault="000B1830" w:rsidP="000B1830">
            <w:pPr>
              <w:spacing w:after="160"/>
              <w:jc w:val="center"/>
            </w:pPr>
            <w:r w:rsidRPr="000B1830">
              <w:t>8</w:t>
            </w:r>
          </w:p>
        </w:tc>
        <w:tc>
          <w:tcPr>
            <w:tcW w:w="1367" w:type="pct"/>
            <w:vAlign w:val="center"/>
            <w:hideMark/>
          </w:tcPr>
          <w:p w14:paraId="53E251AE" w14:textId="77777777" w:rsidR="000B1830" w:rsidRPr="000B1830" w:rsidRDefault="000B1830" w:rsidP="000B1830">
            <w:pPr>
              <w:spacing w:after="160"/>
              <w:jc w:val="center"/>
            </w:pPr>
            <w:r w:rsidRPr="000B1830">
              <w:t>0.621</w:t>
            </w:r>
          </w:p>
        </w:tc>
        <w:tc>
          <w:tcPr>
            <w:tcW w:w="1195" w:type="pct"/>
            <w:vAlign w:val="center"/>
            <w:hideMark/>
          </w:tcPr>
          <w:p w14:paraId="2C646CDC" w14:textId="77777777" w:rsidR="000B1830" w:rsidRPr="000B1830" w:rsidRDefault="000B1830" w:rsidP="000B1830">
            <w:pPr>
              <w:spacing w:after="160"/>
              <w:jc w:val="center"/>
            </w:pPr>
            <w:r w:rsidRPr="000B1830">
              <w:t>4.97</w:t>
            </w:r>
          </w:p>
        </w:tc>
      </w:tr>
      <w:tr w:rsidR="000B1830" w:rsidRPr="000B1830" w14:paraId="5CE3CA48" w14:textId="77777777" w:rsidTr="000B1830">
        <w:tc>
          <w:tcPr>
            <w:tcW w:w="1249" w:type="pct"/>
            <w:vAlign w:val="center"/>
            <w:hideMark/>
          </w:tcPr>
          <w:p w14:paraId="56D7ACA3" w14:textId="77777777" w:rsidR="000B1830" w:rsidRPr="000B1830" w:rsidRDefault="000B1830" w:rsidP="000B1830">
            <w:pPr>
              <w:spacing w:after="160"/>
              <w:jc w:val="center"/>
            </w:pPr>
            <w:r w:rsidRPr="000B1830">
              <w:t>Total PV</w:t>
            </w:r>
          </w:p>
        </w:tc>
        <w:tc>
          <w:tcPr>
            <w:tcW w:w="1189" w:type="pct"/>
            <w:vAlign w:val="center"/>
            <w:hideMark/>
          </w:tcPr>
          <w:p w14:paraId="2B06C8C0" w14:textId="77777777" w:rsidR="000B1830" w:rsidRPr="000B1830" w:rsidRDefault="000B1830" w:rsidP="000B1830">
            <w:pPr>
              <w:spacing w:after="160"/>
              <w:jc w:val="center"/>
            </w:pPr>
          </w:p>
        </w:tc>
        <w:tc>
          <w:tcPr>
            <w:tcW w:w="1367" w:type="pct"/>
            <w:vAlign w:val="center"/>
            <w:hideMark/>
          </w:tcPr>
          <w:p w14:paraId="3E5037EE" w14:textId="77777777" w:rsidR="000B1830" w:rsidRPr="000B1830" w:rsidRDefault="000B1830" w:rsidP="000B1830">
            <w:pPr>
              <w:spacing w:after="160"/>
              <w:jc w:val="center"/>
            </w:pPr>
          </w:p>
        </w:tc>
        <w:tc>
          <w:tcPr>
            <w:tcW w:w="1195" w:type="pct"/>
            <w:vAlign w:val="center"/>
            <w:hideMark/>
          </w:tcPr>
          <w:p w14:paraId="267E788F" w14:textId="77777777" w:rsidR="000B1830" w:rsidRPr="000B1830" w:rsidRDefault="000B1830" w:rsidP="000B1830">
            <w:pPr>
              <w:spacing w:after="160"/>
              <w:jc w:val="center"/>
            </w:pPr>
            <w:r w:rsidRPr="000B1830">
              <w:t>41.31</w:t>
            </w:r>
          </w:p>
        </w:tc>
      </w:tr>
    </w:tbl>
    <w:p w14:paraId="2BA3DD19" w14:textId="77777777" w:rsidR="000B1830" w:rsidRDefault="000B1830" w:rsidP="000B1830">
      <w:pPr>
        <w:rPr>
          <w:b/>
          <w:bCs/>
        </w:rPr>
      </w:pPr>
    </w:p>
    <w:p w14:paraId="71BC6270" w14:textId="2F452F37" w:rsidR="000B1830" w:rsidRDefault="000B1830" w:rsidP="000B1830">
      <w:r w:rsidRPr="000B1830">
        <w:t>NPV = £41.31m − £50m = −£8.69m</w:t>
      </w:r>
    </w:p>
    <w:p w14:paraId="5F7BF167" w14:textId="27255751" w:rsidR="000B1830" w:rsidRPr="000B1830" w:rsidRDefault="000B1830" w:rsidP="000B1830">
      <w:pPr>
        <w:rPr>
          <w:b/>
          <w:bCs/>
        </w:rPr>
      </w:pPr>
      <w:r w:rsidRPr="000B1830">
        <w:rPr>
          <w:b/>
          <w:bCs/>
        </w:rPr>
        <w:t>4. PI = 41.31 ÷ 50 = 0.826</w:t>
      </w:r>
    </w:p>
    <w:p w14:paraId="70404F0B" w14:textId="30E8D4E9" w:rsidR="000B1830" w:rsidRDefault="000B1830" w:rsidP="000B1830">
      <w:pPr>
        <w:rPr>
          <w:b/>
          <w:bCs/>
        </w:rPr>
      </w:pPr>
      <w:r w:rsidRPr="000B1830">
        <w:rPr>
          <w:b/>
          <w:bCs/>
        </w:rPr>
        <w:t>5. IRR: Estimated between 5%–6% (below the 10% hurdle rate, confirming negative NPV).</w:t>
      </w:r>
    </w:p>
    <w:p w14:paraId="5C347DAE" w14:textId="3B559733" w:rsidR="000B1830" w:rsidRDefault="000B1830" w:rsidP="000B1830">
      <w:pPr>
        <w:pStyle w:val="Heading3"/>
      </w:pPr>
      <w:bookmarkStart w:id="21" w:name="_Toc227285496"/>
      <w:r w:rsidRPr="000B1830">
        <w:t>Project B: Cash Inflows – £11m per year (annuity)</w:t>
      </w:r>
      <w:bookmarkEnd w:id="21"/>
    </w:p>
    <w:p w14:paraId="6F5B35E0" w14:textId="490054F3" w:rsidR="000B1830" w:rsidRPr="000B1830" w:rsidRDefault="000B1830" w:rsidP="000B1830">
      <w:pPr>
        <w:rPr>
          <w:b/>
          <w:bCs/>
        </w:rPr>
      </w:pPr>
      <w:r w:rsidRPr="000B1830">
        <w:rPr>
          <w:b/>
          <w:bCs/>
        </w:rPr>
        <w:t>1. PBP</w:t>
      </w:r>
    </w:p>
    <w:p w14:paraId="192EBD13" w14:textId="77777777" w:rsidR="000B1830" w:rsidRDefault="000B1830" w:rsidP="000B1830">
      <w:r>
        <w:t>Cumulative: Y1=11, Y2=22, Y3=33, Y4=44, Y5=55; Remaining after Y4: £6m; 6/11 = 0.545 years</w:t>
      </w:r>
    </w:p>
    <w:p w14:paraId="0C8A7076" w14:textId="68CA1C45" w:rsidR="000B1830" w:rsidRDefault="000B1830" w:rsidP="000B1830">
      <w:r>
        <w:t>PBP = 4.55 years</w:t>
      </w:r>
    </w:p>
    <w:p w14:paraId="36090E4C" w14:textId="2CAB76FB" w:rsidR="000B1830" w:rsidRPr="000B1830" w:rsidRDefault="000B1830" w:rsidP="000B1830">
      <w:pPr>
        <w:rPr>
          <w:b/>
          <w:bCs/>
        </w:rPr>
      </w:pPr>
      <w:r w:rsidRPr="000B1830">
        <w:rPr>
          <w:b/>
          <w:bCs/>
        </w:rPr>
        <w:t>2. ARR</w:t>
      </w:r>
    </w:p>
    <w:p w14:paraId="147652A1" w14:textId="77777777" w:rsidR="000B1830" w:rsidRDefault="000B1830" w:rsidP="000B1830">
      <w:r>
        <w:t>Total cash inflows = £55m; Total profit = £5m; Average annual profit = £1m; Average investment = £25m</w:t>
      </w:r>
    </w:p>
    <w:p w14:paraId="071E6C60" w14:textId="2CC7B8FB" w:rsidR="000B1830" w:rsidRDefault="000B1830" w:rsidP="000B1830">
      <w:r>
        <w:t>ARR = 1/25 × 100 = 4.0%</w:t>
      </w:r>
    </w:p>
    <w:p w14:paraId="3530429E" w14:textId="051052B3" w:rsidR="000B1830" w:rsidRPr="000B1830" w:rsidRDefault="000B1830" w:rsidP="000B1830">
      <w:pPr>
        <w:rPr>
          <w:b/>
          <w:bCs/>
        </w:rPr>
      </w:pPr>
      <w:r w:rsidRPr="000B1830">
        <w:rPr>
          <w:b/>
          <w:bCs/>
        </w:rPr>
        <w:t>3. NPV</w:t>
      </w:r>
    </w:p>
    <w:p w14:paraId="17787387" w14:textId="77777777" w:rsidR="000B1830" w:rsidRDefault="000B1830" w:rsidP="000B1830">
      <w:r>
        <w:t>Annuity factor (10%, 5 years) = 3.791; PV = 11 × 3.791 = £41.70m</w:t>
      </w:r>
    </w:p>
    <w:p w14:paraId="02F4CA81" w14:textId="77777777" w:rsidR="000B1830" w:rsidRDefault="000B1830" w:rsidP="000B1830">
      <w:r>
        <w:t>NPV = £41.70m − £50m = −£8.30m</w:t>
      </w:r>
    </w:p>
    <w:p w14:paraId="38C8D0A7" w14:textId="77777777" w:rsidR="000B1830" w:rsidRDefault="000B1830" w:rsidP="000B1830">
      <w:pPr>
        <w:rPr>
          <w:b/>
          <w:bCs/>
        </w:rPr>
      </w:pPr>
      <w:r w:rsidRPr="000B1830">
        <w:rPr>
          <w:b/>
          <w:bCs/>
        </w:rPr>
        <w:lastRenderedPageBreak/>
        <w:t>4. PI = 41.70 ÷ 50 = 0.834</w:t>
      </w:r>
    </w:p>
    <w:p w14:paraId="6C4A83F3" w14:textId="08EE4B3B" w:rsidR="000B1830" w:rsidRDefault="000B1830" w:rsidP="000B1830">
      <w:pPr>
        <w:rPr>
          <w:b/>
          <w:bCs/>
        </w:rPr>
      </w:pPr>
      <w:r w:rsidRPr="000B1830">
        <w:rPr>
          <w:b/>
          <w:bCs/>
        </w:rPr>
        <w:t>5. IRR: Approximately 6.0% (below the 10% hurdle rate).</w:t>
      </w:r>
    </w:p>
    <w:p w14:paraId="1F2453FA" w14:textId="0C5BAD54" w:rsidR="000B1830" w:rsidRDefault="000B1830" w:rsidP="000B1830">
      <w:pPr>
        <w:pStyle w:val="Heading3"/>
      </w:pPr>
      <w:bookmarkStart w:id="22" w:name="_Toc227285497"/>
      <w:r w:rsidRPr="000B1830">
        <w:t>Project C: Cash Inflows – £5m, £10m, £20m, £25m, £5m</w:t>
      </w:r>
      <w:bookmarkEnd w:id="22"/>
    </w:p>
    <w:p w14:paraId="6C06323B" w14:textId="77777777" w:rsidR="000B1830" w:rsidRPr="000B1830" w:rsidRDefault="000B1830" w:rsidP="000B1830">
      <w:r w:rsidRPr="000B1830">
        <w:rPr>
          <w:b/>
          <w:bCs/>
        </w:rPr>
        <w:t>1. PBP:</w:t>
      </w:r>
    </w:p>
    <w:tbl>
      <w:tblPr>
        <w:tblStyle w:val="TableGrid"/>
        <w:tblW w:w="5000" w:type="pct"/>
        <w:tblLook w:val="04A0" w:firstRow="1" w:lastRow="0" w:firstColumn="1" w:lastColumn="0" w:noHBand="0" w:noVBand="1"/>
      </w:tblPr>
      <w:tblGrid>
        <w:gridCol w:w="1751"/>
        <w:gridCol w:w="3374"/>
        <w:gridCol w:w="4225"/>
      </w:tblGrid>
      <w:tr w:rsidR="000B1830" w:rsidRPr="000B1830" w14:paraId="6E6B2ADF" w14:textId="77777777" w:rsidTr="000B1830">
        <w:tc>
          <w:tcPr>
            <w:tcW w:w="936" w:type="pct"/>
            <w:noWrap/>
            <w:vAlign w:val="center"/>
            <w:hideMark/>
          </w:tcPr>
          <w:p w14:paraId="44C1EBE8" w14:textId="77777777" w:rsidR="000B1830" w:rsidRPr="000B1830" w:rsidRDefault="000B1830" w:rsidP="000B1830">
            <w:pPr>
              <w:spacing w:after="160"/>
              <w:jc w:val="center"/>
              <w:rPr>
                <w:b/>
                <w:bCs/>
              </w:rPr>
            </w:pPr>
            <w:r w:rsidRPr="000B1830">
              <w:rPr>
                <w:b/>
                <w:bCs/>
              </w:rPr>
              <w:t>Year</w:t>
            </w:r>
          </w:p>
        </w:tc>
        <w:tc>
          <w:tcPr>
            <w:tcW w:w="1804" w:type="pct"/>
            <w:noWrap/>
            <w:vAlign w:val="center"/>
            <w:hideMark/>
          </w:tcPr>
          <w:p w14:paraId="5E840177" w14:textId="77777777" w:rsidR="000B1830" w:rsidRPr="000B1830" w:rsidRDefault="000B1830" w:rsidP="000B1830">
            <w:pPr>
              <w:spacing w:after="160"/>
              <w:jc w:val="center"/>
              <w:rPr>
                <w:b/>
                <w:bCs/>
              </w:rPr>
            </w:pPr>
            <w:r w:rsidRPr="000B1830">
              <w:rPr>
                <w:b/>
                <w:bCs/>
              </w:rPr>
              <w:t>CF (£m)</w:t>
            </w:r>
          </w:p>
        </w:tc>
        <w:tc>
          <w:tcPr>
            <w:tcW w:w="2259" w:type="pct"/>
            <w:noWrap/>
            <w:vAlign w:val="center"/>
            <w:hideMark/>
          </w:tcPr>
          <w:p w14:paraId="09391870" w14:textId="77777777" w:rsidR="000B1830" w:rsidRPr="000B1830" w:rsidRDefault="000B1830" w:rsidP="000B1830">
            <w:pPr>
              <w:spacing w:after="160"/>
              <w:jc w:val="center"/>
              <w:rPr>
                <w:b/>
                <w:bCs/>
              </w:rPr>
            </w:pPr>
            <w:r w:rsidRPr="000B1830">
              <w:rPr>
                <w:b/>
                <w:bCs/>
              </w:rPr>
              <w:t>Cumulative (£m)</w:t>
            </w:r>
          </w:p>
        </w:tc>
      </w:tr>
      <w:tr w:rsidR="000B1830" w:rsidRPr="000B1830" w14:paraId="18BB4D04" w14:textId="77777777" w:rsidTr="000B1830">
        <w:tc>
          <w:tcPr>
            <w:tcW w:w="936" w:type="pct"/>
            <w:vAlign w:val="center"/>
            <w:hideMark/>
          </w:tcPr>
          <w:p w14:paraId="205890F8" w14:textId="77777777" w:rsidR="000B1830" w:rsidRPr="000B1830" w:rsidRDefault="000B1830" w:rsidP="000B1830">
            <w:pPr>
              <w:spacing w:after="160"/>
              <w:jc w:val="center"/>
            </w:pPr>
            <w:r w:rsidRPr="000B1830">
              <w:t>1</w:t>
            </w:r>
          </w:p>
        </w:tc>
        <w:tc>
          <w:tcPr>
            <w:tcW w:w="1804" w:type="pct"/>
            <w:vAlign w:val="center"/>
            <w:hideMark/>
          </w:tcPr>
          <w:p w14:paraId="00BE3990" w14:textId="77777777" w:rsidR="000B1830" w:rsidRPr="000B1830" w:rsidRDefault="000B1830" w:rsidP="000B1830">
            <w:pPr>
              <w:spacing w:after="160"/>
              <w:jc w:val="center"/>
            </w:pPr>
            <w:r w:rsidRPr="000B1830">
              <w:t>5</w:t>
            </w:r>
          </w:p>
        </w:tc>
        <w:tc>
          <w:tcPr>
            <w:tcW w:w="2259" w:type="pct"/>
            <w:vAlign w:val="center"/>
            <w:hideMark/>
          </w:tcPr>
          <w:p w14:paraId="1CB2F705" w14:textId="77777777" w:rsidR="000B1830" w:rsidRPr="000B1830" w:rsidRDefault="000B1830" w:rsidP="000B1830">
            <w:pPr>
              <w:spacing w:after="160"/>
              <w:jc w:val="center"/>
            </w:pPr>
            <w:r w:rsidRPr="000B1830">
              <w:t>5</w:t>
            </w:r>
          </w:p>
        </w:tc>
      </w:tr>
      <w:tr w:rsidR="000B1830" w:rsidRPr="000B1830" w14:paraId="6F81BB46" w14:textId="77777777" w:rsidTr="000B1830">
        <w:tc>
          <w:tcPr>
            <w:tcW w:w="936" w:type="pct"/>
            <w:vAlign w:val="center"/>
            <w:hideMark/>
          </w:tcPr>
          <w:p w14:paraId="64865B65" w14:textId="77777777" w:rsidR="000B1830" w:rsidRPr="000B1830" w:rsidRDefault="000B1830" w:rsidP="000B1830">
            <w:pPr>
              <w:spacing w:after="160"/>
              <w:jc w:val="center"/>
            </w:pPr>
            <w:r w:rsidRPr="000B1830">
              <w:t>2</w:t>
            </w:r>
          </w:p>
        </w:tc>
        <w:tc>
          <w:tcPr>
            <w:tcW w:w="1804" w:type="pct"/>
            <w:vAlign w:val="center"/>
            <w:hideMark/>
          </w:tcPr>
          <w:p w14:paraId="116D1816" w14:textId="77777777" w:rsidR="000B1830" w:rsidRPr="000B1830" w:rsidRDefault="000B1830" w:rsidP="000B1830">
            <w:pPr>
              <w:spacing w:after="160"/>
              <w:jc w:val="center"/>
            </w:pPr>
            <w:r w:rsidRPr="000B1830">
              <w:t>10</w:t>
            </w:r>
          </w:p>
        </w:tc>
        <w:tc>
          <w:tcPr>
            <w:tcW w:w="2259" w:type="pct"/>
            <w:vAlign w:val="center"/>
            <w:hideMark/>
          </w:tcPr>
          <w:p w14:paraId="2141AC75" w14:textId="77777777" w:rsidR="000B1830" w:rsidRPr="000B1830" w:rsidRDefault="000B1830" w:rsidP="000B1830">
            <w:pPr>
              <w:spacing w:after="160"/>
              <w:jc w:val="center"/>
            </w:pPr>
            <w:r w:rsidRPr="000B1830">
              <w:t>15</w:t>
            </w:r>
          </w:p>
        </w:tc>
      </w:tr>
      <w:tr w:rsidR="000B1830" w:rsidRPr="000B1830" w14:paraId="5F5357A2" w14:textId="77777777" w:rsidTr="000B1830">
        <w:tc>
          <w:tcPr>
            <w:tcW w:w="936" w:type="pct"/>
            <w:vAlign w:val="center"/>
            <w:hideMark/>
          </w:tcPr>
          <w:p w14:paraId="5EFA642A" w14:textId="77777777" w:rsidR="000B1830" w:rsidRPr="000B1830" w:rsidRDefault="000B1830" w:rsidP="000B1830">
            <w:pPr>
              <w:spacing w:after="160"/>
              <w:jc w:val="center"/>
            </w:pPr>
            <w:r w:rsidRPr="000B1830">
              <w:t>3</w:t>
            </w:r>
          </w:p>
        </w:tc>
        <w:tc>
          <w:tcPr>
            <w:tcW w:w="1804" w:type="pct"/>
            <w:vAlign w:val="center"/>
            <w:hideMark/>
          </w:tcPr>
          <w:p w14:paraId="46E18349" w14:textId="77777777" w:rsidR="000B1830" w:rsidRPr="000B1830" w:rsidRDefault="000B1830" w:rsidP="000B1830">
            <w:pPr>
              <w:spacing w:after="160"/>
              <w:jc w:val="center"/>
            </w:pPr>
            <w:r w:rsidRPr="000B1830">
              <w:t>20</w:t>
            </w:r>
          </w:p>
        </w:tc>
        <w:tc>
          <w:tcPr>
            <w:tcW w:w="2259" w:type="pct"/>
            <w:vAlign w:val="center"/>
            <w:hideMark/>
          </w:tcPr>
          <w:p w14:paraId="5476742A" w14:textId="77777777" w:rsidR="000B1830" w:rsidRPr="000B1830" w:rsidRDefault="000B1830" w:rsidP="000B1830">
            <w:pPr>
              <w:spacing w:after="160"/>
              <w:jc w:val="center"/>
            </w:pPr>
            <w:r w:rsidRPr="000B1830">
              <w:t>35</w:t>
            </w:r>
          </w:p>
        </w:tc>
      </w:tr>
      <w:tr w:rsidR="000B1830" w:rsidRPr="000B1830" w14:paraId="033F40B2" w14:textId="77777777" w:rsidTr="000B1830">
        <w:tc>
          <w:tcPr>
            <w:tcW w:w="936" w:type="pct"/>
            <w:vAlign w:val="center"/>
            <w:hideMark/>
          </w:tcPr>
          <w:p w14:paraId="1B55BCAB" w14:textId="77777777" w:rsidR="000B1830" w:rsidRPr="000B1830" w:rsidRDefault="000B1830" w:rsidP="000B1830">
            <w:pPr>
              <w:spacing w:after="160"/>
              <w:jc w:val="center"/>
            </w:pPr>
            <w:r w:rsidRPr="000B1830">
              <w:t>4</w:t>
            </w:r>
          </w:p>
        </w:tc>
        <w:tc>
          <w:tcPr>
            <w:tcW w:w="1804" w:type="pct"/>
            <w:vAlign w:val="center"/>
            <w:hideMark/>
          </w:tcPr>
          <w:p w14:paraId="4333A54B" w14:textId="77777777" w:rsidR="000B1830" w:rsidRPr="000B1830" w:rsidRDefault="000B1830" w:rsidP="000B1830">
            <w:pPr>
              <w:spacing w:after="160"/>
              <w:jc w:val="center"/>
            </w:pPr>
            <w:r w:rsidRPr="000B1830">
              <w:t>25</w:t>
            </w:r>
          </w:p>
        </w:tc>
        <w:tc>
          <w:tcPr>
            <w:tcW w:w="2259" w:type="pct"/>
            <w:vAlign w:val="center"/>
            <w:hideMark/>
          </w:tcPr>
          <w:p w14:paraId="2F58F86D" w14:textId="77777777" w:rsidR="000B1830" w:rsidRPr="000B1830" w:rsidRDefault="000B1830" w:rsidP="000B1830">
            <w:pPr>
              <w:spacing w:after="160"/>
              <w:jc w:val="center"/>
            </w:pPr>
            <w:r w:rsidRPr="000B1830">
              <w:t>60</w:t>
            </w:r>
          </w:p>
        </w:tc>
      </w:tr>
    </w:tbl>
    <w:p w14:paraId="5000B9AE" w14:textId="77777777" w:rsidR="000B1830" w:rsidRDefault="000B1830" w:rsidP="000B1830"/>
    <w:p w14:paraId="1B021E53" w14:textId="77777777" w:rsidR="000B1830" w:rsidRDefault="000B1830" w:rsidP="000B1830">
      <w:r>
        <w:t>Remaining after Year 3: £50m − £35m = £15m; 15/25 = 0.6 years</w:t>
      </w:r>
    </w:p>
    <w:p w14:paraId="3DA50074" w14:textId="3B521DDC" w:rsidR="000B1830" w:rsidRDefault="000B1830" w:rsidP="000B1830">
      <w:r>
        <w:t>PBP = 3.6 years</w:t>
      </w:r>
    </w:p>
    <w:p w14:paraId="4A5DF487" w14:textId="45E1624C" w:rsidR="000B1830" w:rsidRPr="000B1830" w:rsidRDefault="000B1830" w:rsidP="000B1830">
      <w:pPr>
        <w:rPr>
          <w:b/>
          <w:bCs/>
        </w:rPr>
      </w:pPr>
      <w:r w:rsidRPr="000B1830">
        <w:rPr>
          <w:b/>
          <w:bCs/>
        </w:rPr>
        <w:t>2. ARR</w:t>
      </w:r>
    </w:p>
    <w:p w14:paraId="6DF3C0D1" w14:textId="77777777" w:rsidR="000B1830" w:rsidRDefault="000B1830" w:rsidP="000B1830">
      <w:r>
        <w:t xml:space="preserve">Total cash inflows = £65m; Total profit = £15m; </w:t>
      </w:r>
    </w:p>
    <w:p w14:paraId="117ABDFB" w14:textId="7284DBDE" w:rsidR="000B1830" w:rsidRDefault="000B1830" w:rsidP="000B1830">
      <w:r>
        <w:t>Average annual profit = £3m; Average investment = £25m</w:t>
      </w:r>
    </w:p>
    <w:p w14:paraId="2A7117C5" w14:textId="2CD6FEFB" w:rsidR="000B1830" w:rsidRDefault="000B1830" w:rsidP="000B1830">
      <w:r>
        <w:t>ARR = 3/25 × 100 = 12.0%</w:t>
      </w:r>
    </w:p>
    <w:p w14:paraId="1579A4C2" w14:textId="69BAC038" w:rsidR="000B1830" w:rsidRDefault="000B1830" w:rsidP="000B1830">
      <w:pPr>
        <w:rPr>
          <w:b/>
          <w:bCs/>
        </w:rPr>
      </w:pPr>
      <w:r w:rsidRPr="000B1830">
        <w:rPr>
          <w:b/>
          <w:bCs/>
        </w:rPr>
        <w:t>3. NPV</w:t>
      </w:r>
    </w:p>
    <w:tbl>
      <w:tblPr>
        <w:tblStyle w:val="TableGrid"/>
        <w:tblW w:w="5000" w:type="pct"/>
        <w:tblLook w:val="04A0" w:firstRow="1" w:lastRow="0" w:firstColumn="1" w:lastColumn="0" w:noHBand="0" w:noVBand="1"/>
      </w:tblPr>
      <w:tblGrid>
        <w:gridCol w:w="2336"/>
        <w:gridCol w:w="2223"/>
        <w:gridCol w:w="2556"/>
        <w:gridCol w:w="2235"/>
      </w:tblGrid>
      <w:tr w:rsidR="000B1830" w:rsidRPr="000B1830" w14:paraId="1BC4A003" w14:textId="77777777" w:rsidTr="000B1830">
        <w:tc>
          <w:tcPr>
            <w:tcW w:w="1249" w:type="pct"/>
            <w:noWrap/>
            <w:vAlign w:val="center"/>
            <w:hideMark/>
          </w:tcPr>
          <w:p w14:paraId="29C3DB69" w14:textId="77777777" w:rsidR="000B1830" w:rsidRPr="000B1830" w:rsidRDefault="000B1830" w:rsidP="00F763C3">
            <w:pPr>
              <w:spacing w:after="160" w:line="240" w:lineRule="auto"/>
              <w:jc w:val="center"/>
              <w:rPr>
                <w:b/>
                <w:bCs/>
              </w:rPr>
            </w:pPr>
            <w:r w:rsidRPr="000B1830">
              <w:rPr>
                <w:b/>
                <w:bCs/>
              </w:rPr>
              <w:t>Year</w:t>
            </w:r>
          </w:p>
        </w:tc>
        <w:tc>
          <w:tcPr>
            <w:tcW w:w="1189" w:type="pct"/>
            <w:noWrap/>
            <w:vAlign w:val="center"/>
            <w:hideMark/>
          </w:tcPr>
          <w:p w14:paraId="59C52342" w14:textId="77777777" w:rsidR="000B1830" w:rsidRPr="000B1830" w:rsidRDefault="000B1830" w:rsidP="00F763C3">
            <w:pPr>
              <w:spacing w:after="160" w:line="240" w:lineRule="auto"/>
              <w:jc w:val="center"/>
              <w:rPr>
                <w:b/>
                <w:bCs/>
              </w:rPr>
            </w:pPr>
            <w:r w:rsidRPr="000B1830">
              <w:rPr>
                <w:b/>
                <w:bCs/>
              </w:rPr>
              <w:t>CF (£m)</w:t>
            </w:r>
          </w:p>
        </w:tc>
        <w:tc>
          <w:tcPr>
            <w:tcW w:w="1367" w:type="pct"/>
            <w:noWrap/>
            <w:vAlign w:val="center"/>
            <w:hideMark/>
          </w:tcPr>
          <w:p w14:paraId="7AE68C31" w14:textId="77777777" w:rsidR="000B1830" w:rsidRPr="000B1830" w:rsidRDefault="000B1830" w:rsidP="00F763C3">
            <w:pPr>
              <w:spacing w:after="160" w:line="240" w:lineRule="auto"/>
              <w:jc w:val="center"/>
              <w:rPr>
                <w:b/>
                <w:bCs/>
              </w:rPr>
            </w:pPr>
            <w:r w:rsidRPr="000B1830">
              <w:rPr>
                <w:b/>
                <w:bCs/>
              </w:rPr>
              <w:t>DF (10%)</w:t>
            </w:r>
          </w:p>
        </w:tc>
        <w:tc>
          <w:tcPr>
            <w:tcW w:w="1195" w:type="pct"/>
            <w:noWrap/>
            <w:vAlign w:val="center"/>
            <w:hideMark/>
          </w:tcPr>
          <w:p w14:paraId="799D1F3F" w14:textId="77777777" w:rsidR="000B1830" w:rsidRPr="000B1830" w:rsidRDefault="000B1830" w:rsidP="00F763C3">
            <w:pPr>
              <w:spacing w:after="160" w:line="240" w:lineRule="auto"/>
              <w:jc w:val="center"/>
              <w:rPr>
                <w:b/>
                <w:bCs/>
              </w:rPr>
            </w:pPr>
            <w:r w:rsidRPr="000B1830">
              <w:rPr>
                <w:b/>
                <w:bCs/>
              </w:rPr>
              <w:t>PV (£m)</w:t>
            </w:r>
          </w:p>
        </w:tc>
      </w:tr>
      <w:tr w:rsidR="000B1830" w:rsidRPr="000B1830" w14:paraId="00EC5EBF" w14:textId="77777777" w:rsidTr="000B1830">
        <w:tc>
          <w:tcPr>
            <w:tcW w:w="1249" w:type="pct"/>
            <w:vAlign w:val="center"/>
            <w:hideMark/>
          </w:tcPr>
          <w:p w14:paraId="613B4AC3" w14:textId="77777777" w:rsidR="000B1830" w:rsidRPr="000B1830" w:rsidRDefault="000B1830" w:rsidP="00F763C3">
            <w:pPr>
              <w:spacing w:after="160" w:line="240" w:lineRule="auto"/>
              <w:jc w:val="center"/>
            </w:pPr>
            <w:r w:rsidRPr="000B1830">
              <w:t>1</w:t>
            </w:r>
          </w:p>
        </w:tc>
        <w:tc>
          <w:tcPr>
            <w:tcW w:w="1189" w:type="pct"/>
            <w:vAlign w:val="center"/>
            <w:hideMark/>
          </w:tcPr>
          <w:p w14:paraId="3AAFF31B" w14:textId="77777777" w:rsidR="000B1830" w:rsidRPr="000B1830" w:rsidRDefault="000B1830" w:rsidP="00F763C3">
            <w:pPr>
              <w:spacing w:after="160" w:line="240" w:lineRule="auto"/>
              <w:jc w:val="center"/>
            </w:pPr>
            <w:r w:rsidRPr="000B1830">
              <w:t>5</w:t>
            </w:r>
          </w:p>
        </w:tc>
        <w:tc>
          <w:tcPr>
            <w:tcW w:w="1367" w:type="pct"/>
            <w:vAlign w:val="center"/>
            <w:hideMark/>
          </w:tcPr>
          <w:p w14:paraId="0B0E2B9A" w14:textId="77777777" w:rsidR="000B1830" w:rsidRPr="000B1830" w:rsidRDefault="000B1830" w:rsidP="00F763C3">
            <w:pPr>
              <w:spacing w:after="160" w:line="240" w:lineRule="auto"/>
              <w:jc w:val="center"/>
            </w:pPr>
            <w:r w:rsidRPr="000B1830">
              <w:t>0.909</w:t>
            </w:r>
          </w:p>
        </w:tc>
        <w:tc>
          <w:tcPr>
            <w:tcW w:w="1195" w:type="pct"/>
            <w:vAlign w:val="center"/>
            <w:hideMark/>
          </w:tcPr>
          <w:p w14:paraId="39AB6FCA" w14:textId="77777777" w:rsidR="000B1830" w:rsidRPr="000B1830" w:rsidRDefault="000B1830" w:rsidP="00F763C3">
            <w:pPr>
              <w:spacing w:after="160" w:line="240" w:lineRule="auto"/>
              <w:jc w:val="center"/>
            </w:pPr>
            <w:r w:rsidRPr="000B1830">
              <w:t>4.55</w:t>
            </w:r>
          </w:p>
        </w:tc>
      </w:tr>
      <w:tr w:rsidR="000B1830" w:rsidRPr="000B1830" w14:paraId="0F3F8A41" w14:textId="77777777" w:rsidTr="000B1830">
        <w:tc>
          <w:tcPr>
            <w:tcW w:w="1249" w:type="pct"/>
            <w:vAlign w:val="center"/>
            <w:hideMark/>
          </w:tcPr>
          <w:p w14:paraId="06FB6802" w14:textId="77777777" w:rsidR="000B1830" w:rsidRPr="000B1830" w:rsidRDefault="000B1830" w:rsidP="00F763C3">
            <w:pPr>
              <w:spacing w:after="160" w:line="240" w:lineRule="auto"/>
              <w:jc w:val="center"/>
            </w:pPr>
            <w:r w:rsidRPr="000B1830">
              <w:t>2</w:t>
            </w:r>
          </w:p>
        </w:tc>
        <w:tc>
          <w:tcPr>
            <w:tcW w:w="1189" w:type="pct"/>
            <w:vAlign w:val="center"/>
            <w:hideMark/>
          </w:tcPr>
          <w:p w14:paraId="75D1C50E" w14:textId="77777777" w:rsidR="000B1830" w:rsidRPr="000B1830" w:rsidRDefault="000B1830" w:rsidP="00F763C3">
            <w:pPr>
              <w:spacing w:after="160" w:line="240" w:lineRule="auto"/>
              <w:jc w:val="center"/>
            </w:pPr>
            <w:r w:rsidRPr="000B1830">
              <w:t>10</w:t>
            </w:r>
          </w:p>
        </w:tc>
        <w:tc>
          <w:tcPr>
            <w:tcW w:w="1367" w:type="pct"/>
            <w:vAlign w:val="center"/>
            <w:hideMark/>
          </w:tcPr>
          <w:p w14:paraId="0B819580" w14:textId="77777777" w:rsidR="000B1830" w:rsidRPr="000B1830" w:rsidRDefault="000B1830" w:rsidP="00F763C3">
            <w:pPr>
              <w:spacing w:after="160" w:line="240" w:lineRule="auto"/>
              <w:jc w:val="center"/>
            </w:pPr>
            <w:r w:rsidRPr="000B1830">
              <w:t>0.826</w:t>
            </w:r>
          </w:p>
        </w:tc>
        <w:tc>
          <w:tcPr>
            <w:tcW w:w="1195" w:type="pct"/>
            <w:vAlign w:val="center"/>
            <w:hideMark/>
          </w:tcPr>
          <w:p w14:paraId="0550FE7C" w14:textId="77777777" w:rsidR="000B1830" w:rsidRPr="000B1830" w:rsidRDefault="000B1830" w:rsidP="00F763C3">
            <w:pPr>
              <w:spacing w:after="160" w:line="240" w:lineRule="auto"/>
              <w:jc w:val="center"/>
            </w:pPr>
            <w:r w:rsidRPr="000B1830">
              <w:t>8.26</w:t>
            </w:r>
          </w:p>
        </w:tc>
      </w:tr>
      <w:tr w:rsidR="000B1830" w:rsidRPr="000B1830" w14:paraId="6E2C6964" w14:textId="77777777" w:rsidTr="000B1830">
        <w:tc>
          <w:tcPr>
            <w:tcW w:w="1249" w:type="pct"/>
            <w:vAlign w:val="center"/>
            <w:hideMark/>
          </w:tcPr>
          <w:p w14:paraId="13A7A3BA" w14:textId="77777777" w:rsidR="000B1830" w:rsidRPr="000B1830" w:rsidRDefault="000B1830" w:rsidP="00F763C3">
            <w:pPr>
              <w:spacing w:after="160" w:line="240" w:lineRule="auto"/>
              <w:jc w:val="center"/>
            </w:pPr>
            <w:r w:rsidRPr="000B1830">
              <w:t>3</w:t>
            </w:r>
          </w:p>
        </w:tc>
        <w:tc>
          <w:tcPr>
            <w:tcW w:w="1189" w:type="pct"/>
            <w:vAlign w:val="center"/>
            <w:hideMark/>
          </w:tcPr>
          <w:p w14:paraId="2140CE52" w14:textId="77777777" w:rsidR="000B1830" w:rsidRPr="000B1830" w:rsidRDefault="000B1830" w:rsidP="00F763C3">
            <w:pPr>
              <w:spacing w:after="160" w:line="240" w:lineRule="auto"/>
              <w:jc w:val="center"/>
            </w:pPr>
            <w:r w:rsidRPr="000B1830">
              <w:t>20</w:t>
            </w:r>
          </w:p>
        </w:tc>
        <w:tc>
          <w:tcPr>
            <w:tcW w:w="1367" w:type="pct"/>
            <w:vAlign w:val="center"/>
            <w:hideMark/>
          </w:tcPr>
          <w:p w14:paraId="4E37D8A9" w14:textId="77777777" w:rsidR="000B1830" w:rsidRPr="000B1830" w:rsidRDefault="000B1830" w:rsidP="00F763C3">
            <w:pPr>
              <w:spacing w:after="160" w:line="240" w:lineRule="auto"/>
              <w:jc w:val="center"/>
            </w:pPr>
            <w:r w:rsidRPr="000B1830">
              <w:t>0.751</w:t>
            </w:r>
          </w:p>
        </w:tc>
        <w:tc>
          <w:tcPr>
            <w:tcW w:w="1195" w:type="pct"/>
            <w:vAlign w:val="center"/>
            <w:hideMark/>
          </w:tcPr>
          <w:p w14:paraId="4F7FA010" w14:textId="77777777" w:rsidR="000B1830" w:rsidRPr="000B1830" w:rsidRDefault="000B1830" w:rsidP="00F763C3">
            <w:pPr>
              <w:spacing w:after="160" w:line="240" w:lineRule="auto"/>
              <w:jc w:val="center"/>
            </w:pPr>
            <w:r w:rsidRPr="000B1830">
              <w:t>15.02</w:t>
            </w:r>
          </w:p>
        </w:tc>
      </w:tr>
      <w:tr w:rsidR="000B1830" w:rsidRPr="000B1830" w14:paraId="211F2086" w14:textId="77777777" w:rsidTr="000B1830">
        <w:tc>
          <w:tcPr>
            <w:tcW w:w="1249" w:type="pct"/>
            <w:vAlign w:val="center"/>
            <w:hideMark/>
          </w:tcPr>
          <w:p w14:paraId="38D40A87" w14:textId="77777777" w:rsidR="000B1830" w:rsidRPr="000B1830" w:rsidRDefault="000B1830" w:rsidP="00F763C3">
            <w:pPr>
              <w:spacing w:after="160" w:line="240" w:lineRule="auto"/>
              <w:jc w:val="center"/>
            </w:pPr>
            <w:r w:rsidRPr="000B1830">
              <w:t>4</w:t>
            </w:r>
          </w:p>
        </w:tc>
        <w:tc>
          <w:tcPr>
            <w:tcW w:w="1189" w:type="pct"/>
            <w:vAlign w:val="center"/>
            <w:hideMark/>
          </w:tcPr>
          <w:p w14:paraId="39A4B7C8" w14:textId="77777777" w:rsidR="000B1830" w:rsidRPr="000B1830" w:rsidRDefault="000B1830" w:rsidP="00F763C3">
            <w:pPr>
              <w:spacing w:after="160" w:line="240" w:lineRule="auto"/>
              <w:jc w:val="center"/>
            </w:pPr>
            <w:r w:rsidRPr="000B1830">
              <w:t>25</w:t>
            </w:r>
          </w:p>
        </w:tc>
        <w:tc>
          <w:tcPr>
            <w:tcW w:w="1367" w:type="pct"/>
            <w:vAlign w:val="center"/>
            <w:hideMark/>
          </w:tcPr>
          <w:p w14:paraId="7F2B4C38" w14:textId="77777777" w:rsidR="000B1830" w:rsidRPr="000B1830" w:rsidRDefault="000B1830" w:rsidP="00F763C3">
            <w:pPr>
              <w:spacing w:after="160" w:line="240" w:lineRule="auto"/>
              <w:jc w:val="center"/>
            </w:pPr>
            <w:r w:rsidRPr="000B1830">
              <w:t>0.683</w:t>
            </w:r>
          </w:p>
        </w:tc>
        <w:tc>
          <w:tcPr>
            <w:tcW w:w="1195" w:type="pct"/>
            <w:vAlign w:val="center"/>
            <w:hideMark/>
          </w:tcPr>
          <w:p w14:paraId="3B17F502" w14:textId="77777777" w:rsidR="000B1830" w:rsidRPr="000B1830" w:rsidRDefault="000B1830" w:rsidP="00F763C3">
            <w:pPr>
              <w:spacing w:after="160" w:line="240" w:lineRule="auto"/>
              <w:jc w:val="center"/>
            </w:pPr>
            <w:r w:rsidRPr="000B1830">
              <w:t>17.08</w:t>
            </w:r>
          </w:p>
        </w:tc>
      </w:tr>
      <w:tr w:rsidR="000B1830" w:rsidRPr="000B1830" w14:paraId="0843810B" w14:textId="77777777" w:rsidTr="000B1830">
        <w:tc>
          <w:tcPr>
            <w:tcW w:w="1249" w:type="pct"/>
            <w:vAlign w:val="center"/>
            <w:hideMark/>
          </w:tcPr>
          <w:p w14:paraId="422F8381" w14:textId="77777777" w:rsidR="000B1830" w:rsidRPr="000B1830" w:rsidRDefault="000B1830" w:rsidP="00F763C3">
            <w:pPr>
              <w:spacing w:after="160" w:line="240" w:lineRule="auto"/>
              <w:jc w:val="center"/>
            </w:pPr>
            <w:r w:rsidRPr="000B1830">
              <w:t>5</w:t>
            </w:r>
          </w:p>
        </w:tc>
        <w:tc>
          <w:tcPr>
            <w:tcW w:w="1189" w:type="pct"/>
            <w:vAlign w:val="center"/>
            <w:hideMark/>
          </w:tcPr>
          <w:p w14:paraId="33D4C900" w14:textId="77777777" w:rsidR="000B1830" w:rsidRPr="000B1830" w:rsidRDefault="000B1830" w:rsidP="00F763C3">
            <w:pPr>
              <w:spacing w:after="160" w:line="240" w:lineRule="auto"/>
              <w:jc w:val="center"/>
            </w:pPr>
            <w:r w:rsidRPr="000B1830">
              <w:t>5</w:t>
            </w:r>
          </w:p>
        </w:tc>
        <w:tc>
          <w:tcPr>
            <w:tcW w:w="1367" w:type="pct"/>
            <w:vAlign w:val="center"/>
            <w:hideMark/>
          </w:tcPr>
          <w:p w14:paraId="052FD660" w14:textId="77777777" w:rsidR="000B1830" w:rsidRPr="000B1830" w:rsidRDefault="000B1830" w:rsidP="00F763C3">
            <w:pPr>
              <w:spacing w:after="160" w:line="240" w:lineRule="auto"/>
              <w:jc w:val="center"/>
            </w:pPr>
            <w:r w:rsidRPr="000B1830">
              <w:t>0.621</w:t>
            </w:r>
          </w:p>
        </w:tc>
        <w:tc>
          <w:tcPr>
            <w:tcW w:w="1195" w:type="pct"/>
            <w:vAlign w:val="center"/>
            <w:hideMark/>
          </w:tcPr>
          <w:p w14:paraId="173FDE65" w14:textId="77777777" w:rsidR="000B1830" w:rsidRPr="000B1830" w:rsidRDefault="000B1830" w:rsidP="00F763C3">
            <w:pPr>
              <w:spacing w:after="160" w:line="240" w:lineRule="auto"/>
              <w:jc w:val="center"/>
            </w:pPr>
            <w:r w:rsidRPr="000B1830">
              <w:t>3.11</w:t>
            </w:r>
          </w:p>
        </w:tc>
      </w:tr>
      <w:tr w:rsidR="000B1830" w:rsidRPr="000B1830" w14:paraId="453679BB" w14:textId="77777777" w:rsidTr="000B1830">
        <w:tc>
          <w:tcPr>
            <w:tcW w:w="1249" w:type="pct"/>
            <w:vAlign w:val="center"/>
            <w:hideMark/>
          </w:tcPr>
          <w:p w14:paraId="20BA26E4" w14:textId="77777777" w:rsidR="000B1830" w:rsidRPr="000B1830" w:rsidRDefault="000B1830" w:rsidP="00F763C3">
            <w:pPr>
              <w:spacing w:after="160" w:line="240" w:lineRule="auto"/>
              <w:jc w:val="center"/>
            </w:pPr>
            <w:r w:rsidRPr="000B1830">
              <w:t>Total PV</w:t>
            </w:r>
          </w:p>
        </w:tc>
        <w:tc>
          <w:tcPr>
            <w:tcW w:w="1189" w:type="pct"/>
            <w:vAlign w:val="center"/>
            <w:hideMark/>
          </w:tcPr>
          <w:p w14:paraId="2072AC88" w14:textId="77777777" w:rsidR="000B1830" w:rsidRPr="000B1830" w:rsidRDefault="000B1830" w:rsidP="00F763C3">
            <w:pPr>
              <w:spacing w:after="160" w:line="240" w:lineRule="auto"/>
              <w:jc w:val="center"/>
            </w:pPr>
          </w:p>
        </w:tc>
        <w:tc>
          <w:tcPr>
            <w:tcW w:w="1367" w:type="pct"/>
            <w:vAlign w:val="center"/>
            <w:hideMark/>
          </w:tcPr>
          <w:p w14:paraId="6A519D9E" w14:textId="77777777" w:rsidR="000B1830" w:rsidRPr="000B1830" w:rsidRDefault="000B1830" w:rsidP="00F763C3">
            <w:pPr>
              <w:spacing w:after="160" w:line="240" w:lineRule="auto"/>
              <w:jc w:val="center"/>
            </w:pPr>
          </w:p>
        </w:tc>
        <w:tc>
          <w:tcPr>
            <w:tcW w:w="1195" w:type="pct"/>
            <w:vAlign w:val="center"/>
            <w:hideMark/>
          </w:tcPr>
          <w:p w14:paraId="5818A9C9" w14:textId="77777777" w:rsidR="000B1830" w:rsidRPr="000B1830" w:rsidRDefault="000B1830" w:rsidP="00F763C3">
            <w:pPr>
              <w:spacing w:after="160" w:line="240" w:lineRule="auto"/>
              <w:jc w:val="center"/>
            </w:pPr>
            <w:r w:rsidRPr="000B1830">
              <w:t>48.02</w:t>
            </w:r>
          </w:p>
        </w:tc>
      </w:tr>
    </w:tbl>
    <w:p w14:paraId="3B6AF3D9" w14:textId="1F841AE4" w:rsidR="000B1830" w:rsidRPr="000B1830" w:rsidRDefault="000B1830" w:rsidP="000B1830">
      <w:r w:rsidRPr="000B1830">
        <w:lastRenderedPageBreak/>
        <w:t>NPV = £48.02m − £50m = −£1.98m</w:t>
      </w:r>
    </w:p>
    <w:p w14:paraId="58BD36BE" w14:textId="4D98A234" w:rsidR="000B1830" w:rsidRPr="000B1830" w:rsidRDefault="000B1830" w:rsidP="000B1830">
      <w:pPr>
        <w:rPr>
          <w:b/>
          <w:bCs/>
        </w:rPr>
      </w:pPr>
      <w:r w:rsidRPr="000B1830">
        <w:rPr>
          <w:b/>
          <w:bCs/>
        </w:rPr>
        <w:t>4. PI = 48.02 ÷ 50 = 0.960</w:t>
      </w:r>
    </w:p>
    <w:p w14:paraId="03386927" w14:textId="3033AA6C" w:rsidR="000B1830" w:rsidRDefault="000B1830" w:rsidP="000B1830">
      <w:r w:rsidRPr="000B1830">
        <w:rPr>
          <w:b/>
          <w:bCs/>
        </w:rPr>
        <w:t xml:space="preserve">5. IRR: </w:t>
      </w:r>
      <w:r w:rsidRPr="000B1830">
        <w:t>Approximately 9.1% (just below the 10% hurdle rate, but closest to it among all three projects).</w:t>
      </w:r>
    </w:p>
    <w:p w14:paraId="78A94C0B" w14:textId="77777777" w:rsidR="009464F7" w:rsidRPr="009464F7" w:rsidRDefault="009464F7" w:rsidP="009464F7">
      <w:pPr>
        <w:rPr>
          <w:b/>
        </w:rPr>
      </w:pPr>
      <w:r w:rsidRPr="009464F7">
        <w:rPr>
          <w:b/>
        </w:rPr>
        <w:t>Discount Rates Justification.</w:t>
      </w:r>
    </w:p>
    <w:p w14:paraId="11D74CC4" w14:textId="77777777" w:rsidR="009464F7" w:rsidRDefault="009464F7" w:rsidP="009464F7">
      <w:r>
        <w:t>The form of discount is a 10 percent rate since this would indicate the weighted average cost of capital (WACC) of Toyota based on: cost of equity (CAPM: risk-free 2 percent + beta 0.9 6 percent = 7.4 percent) and after-tax cost of debt (2.5 percent), with 1 05 D/E. This WACC (of around 9.8 10.2) is consistent with the industry practice in the capital budgeting of EVs (</w:t>
      </w:r>
      <w:proofErr w:type="spellStart"/>
      <w:r>
        <w:t>Brealey</w:t>
      </w:r>
      <w:proofErr w:type="spellEnd"/>
      <w:r>
        <w:t>, Myers and Allen, 2020).</w:t>
      </w:r>
    </w:p>
    <w:p w14:paraId="491DC3BB" w14:textId="77777777" w:rsidR="009464F7" w:rsidRDefault="009464F7" w:rsidP="000B1830"/>
    <w:p w14:paraId="7A667524" w14:textId="15F4FED5" w:rsidR="000B1830" w:rsidRDefault="000B1830" w:rsidP="000B1830">
      <w:pPr>
        <w:pStyle w:val="Heading2"/>
      </w:pPr>
      <w:bookmarkStart w:id="23" w:name="_Toc227285498"/>
      <w:r w:rsidRPr="000B1830">
        <w:t>4.2 Comparative Summary Table</w:t>
      </w:r>
      <w:bookmarkEnd w:id="23"/>
    </w:p>
    <w:tbl>
      <w:tblPr>
        <w:tblStyle w:val="TableGrid"/>
        <w:tblW w:w="5000" w:type="pct"/>
        <w:tblLook w:val="04A0" w:firstRow="1" w:lastRow="0" w:firstColumn="1" w:lastColumn="0" w:noHBand="0" w:noVBand="1"/>
      </w:tblPr>
      <w:tblGrid>
        <w:gridCol w:w="2317"/>
        <w:gridCol w:w="2319"/>
        <w:gridCol w:w="2369"/>
        <w:gridCol w:w="2345"/>
      </w:tblGrid>
      <w:tr w:rsidR="000B1830" w:rsidRPr="000B1830" w14:paraId="3FDE4D90" w14:textId="77777777" w:rsidTr="000B1830">
        <w:tc>
          <w:tcPr>
            <w:tcW w:w="1239" w:type="pct"/>
            <w:noWrap/>
            <w:hideMark/>
          </w:tcPr>
          <w:p w14:paraId="1FBD2889" w14:textId="77777777" w:rsidR="000B1830" w:rsidRPr="000B1830" w:rsidRDefault="000B1830" w:rsidP="000B1830">
            <w:pPr>
              <w:spacing w:after="160"/>
              <w:rPr>
                <w:b/>
                <w:bCs/>
              </w:rPr>
            </w:pPr>
            <w:r w:rsidRPr="000B1830">
              <w:rPr>
                <w:b/>
                <w:bCs/>
              </w:rPr>
              <w:t>Criterion</w:t>
            </w:r>
          </w:p>
        </w:tc>
        <w:tc>
          <w:tcPr>
            <w:tcW w:w="1240" w:type="pct"/>
            <w:noWrap/>
            <w:hideMark/>
          </w:tcPr>
          <w:p w14:paraId="36C8C6D8" w14:textId="77777777" w:rsidR="000B1830" w:rsidRPr="000B1830" w:rsidRDefault="000B1830" w:rsidP="000B1830">
            <w:pPr>
              <w:spacing w:after="160"/>
              <w:rPr>
                <w:b/>
                <w:bCs/>
              </w:rPr>
            </w:pPr>
            <w:r w:rsidRPr="000B1830">
              <w:rPr>
                <w:b/>
                <w:bCs/>
              </w:rPr>
              <w:t>Project A</w:t>
            </w:r>
          </w:p>
        </w:tc>
        <w:tc>
          <w:tcPr>
            <w:tcW w:w="1267" w:type="pct"/>
            <w:noWrap/>
            <w:hideMark/>
          </w:tcPr>
          <w:p w14:paraId="4F81135A" w14:textId="77777777" w:rsidR="000B1830" w:rsidRPr="000B1830" w:rsidRDefault="000B1830" w:rsidP="000B1830">
            <w:pPr>
              <w:spacing w:after="160"/>
              <w:rPr>
                <w:b/>
                <w:bCs/>
              </w:rPr>
            </w:pPr>
            <w:r w:rsidRPr="000B1830">
              <w:rPr>
                <w:b/>
                <w:bCs/>
              </w:rPr>
              <w:t>Project B</w:t>
            </w:r>
          </w:p>
        </w:tc>
        <w:tc>
          <w:tcPr>
            <w:tcW w:w="1254" w:type="pct"/>
            <w:noWrap/>
            <w:hideMark/>
          </w:tcPr>
          <w:p w14:paraId="25D03718" w14:textId="77777777" w:rsidR="000B1830" w:rsidRPr="000B1830" w:rsidRDefault="000B1830" w:rsidP="000B1830">
            <w:pPr>
              <w:spacing w:after="160"/>
              <w:rPr>
                <w:b/>
                <w:bCs/>
              </w:rPr>
            </w:pPr>
            <w:r w:rsidRPr="000B1830">
              <w:rPr>
                <w:b/>
                <w:bCs/>
              </w:rPr>
              <w:t>Project C</w:t>
            </w:r>
          </w:p>
        </w:tc>
      </w:tr>
      <w:tr w:rsidR="000B1830" w:rsidRPr="000B1830" w14:paraId="5A5CCD57" w14:textId="77777777" w:rsidTr="000B1830">
        <w:tc>
          <w:tcPr>
            <w:tcW w:w="1239" w:type="pct"/>
            <w:hideMark/>
          </w:tcPr>
          <w:p w14:paraId="4E526FD8" w14:textId="77777777" w:rsidR="000B1830" w:rsidRPr="000B1830" w:rsidRDefault="000B1830" w:rsidP="000B1830">
            <w:pPr>
              <w:spacing w:after="160"/>
            </w:pPr>
            <w:r w:rsidRPr="000B1830">
              <w:t>PBP</w:t>
            </w:r>
          </w:p>
        </w:tc>
        <w:tc>
          <w:tcPr>
            <w:tcW w:w="1240" w:type="pct"/>
            <w:hideMark/>
          </w:tcPr>
          <w:p w14:paraId="4B9985D6" w14:textId="77777777" w:rsidR="000B1830" w:rsidRPr="000B1830" w:rsidRDefault="000B1830" w:rsidP="000B1830">
            <w:pPr>
              <w:spacing w:after="160"/>
            </w:pPr>
            <w:r w:rsidRPr="000B1830">
              <w:t>4.5 years</w:t>
            </w:r>
          </w:p>
        </w:tc>
        <w:tc>
          <w:tcPr>
            <w:tcW w:w="1267" w:type="pct"/>
            <w:hideMark/>
          </w:tcPr>
          <w:p w14:paraId="5BB050CF" w14:textId="77777777" w:rsidR="000B1830" w:rsidRPr="000B1830" w:rsidRDefault="000B1830" w:rsidP="000B1830">
            <w:pPr>
              <w:spacing w:after="160"/>
            </w:pPr>
            <w:r w:rsidRPr="000B1830">
              <w:t>4.55 years</w:t>
            </w:r>
          </w:p>
        </w:tc>
        <w:tc>
          <w:tcPr>
            <w:tcW w:w="1254" w:type="pct"/>
            <w:hideMark/>
          </w:tcPr>
          <w:p w14:paraId="16190EE3" w14:textId="77777777" w:rsidR="000B1830" w:rsidRPr="000B1830" w:rsidRDefault="000B1830" w:rsidP="000B1830">
            <w:pPr>
              <w:spacing w:after="160"/>
            </w:pPr>
            <w:r w:rsidRPr="000B1830">
              <w:t>3.6 years</w:t>
            </w:r>
          </w:p>
        </w:tc>
      </w:tr>
      <w:tr w:rsidR="000B1830" w:rsidRPr="000B1830" w14:paraId="141F81DF" w14:textId="77777777" w:rsidTr="000B1830">
        <w:tc>
          <w:tcPr>
            <w:tcW w:w="1239" w:type="pct"/>
            <w:hideMark/>
          </w:tcPr>
          <w:p w14:paraId="353E6942" w14:textId="77777777" w:rsidR="000B1830" w:rsidRPr="000B1830" w:rsidRDefault="000B1830" w:rsidP="000B1830">
            <w:pPr>
              <w:spacing w:after="160"/>
            </w:pPr>
            <w:r w:rsidRPr="000B1830">
              <w:t>ARR</w:t>
            </w:r>
          </w:p>
        </w:tc>
        <w:tc>
          <w:tcPr>
            <w:tcW w:w="1240" w:type="pct"/>
            <w:hideMark/>
          </w:tcPr>
          <w:p w14:paraId="3658DCF9" w14:textId="77777777" w:rsidR="000B1830" w:rsidRPr="000B1830" w:rsidRDefault="000B1830" w:rsidP="000B1830">
            <w:pPr>
              <w:spacing w:after="160"/>
            </w:pPr>
            <w:r w:rsidRPr="000B1830">
              <w:t>3.2%</w:t>
            </w:r>
          </w:p>
        </w:tc>
        <w:tc>
          <w:tcPr>
            <w:tcW w:w="1267" w:type="pct"/>
            <w:hideMark/>
          </w:tcPr>
          <w:p w14:paraId="0A2207B0" w14:textId="77777777" w:rsidR="000B1830" w:rsidRPr="000B1830" w:rsidRDefault="000B1830" w:rsidP="000B1830">
            <w:pPr>
              <w:spacing w:after="160"/>
            </w:pPr>
            <w:r w:rsidRPr="000B1830">
              <w:t>4.0%</w:t>
            </w:r>
          </w:p>
        </w:tc>
        <w:tc>
          <w:tcPr>
            <w:tcW w:w="1254" w:type="pct"/>
            <w:hideMark/>
          </w:tcPr>
          <w:p w14:paraId="568DAC80" w14:textId="77777777" w:rsidR="000B1830" w:rsidRPr="000B1830" w:rsidRDefault="000B1830" w:rsidP="000B1830">
            <w:pPr>
              <w:spacing w:after="160"/>
            </w:pPr>
            <w:r w:rsidRPr="000B1830">
              <w:t>12.0%</w:t>
            </w:r>
          </w:p>
        </w:tc>
      </w:tr>
      <w:tr w:rsidR="000B1830" w:rsidRPr="000B1830" w14:paraId="58ACBDA2" w14:textId="77777777" w:rsidTr="000B1830">
        <w:tc>
          <w:tcPr>
            <w:tcW w:w="1239" w:type="pct"/>
            <w:hideMark/>
          </w:tcPr>
          <w:p w14:paraId="17C5F38C" w14:textId="77777777" w:rsidR="000B1830" w:rsidRPr="000B1830" w:rsidRDefault="000B1830" w:rsidP="000B1830">
            <w:pPr>
              <w:spacing w:after="160"/>
            </w:pPr>
            <w:r w:rsidRPr="000B1830">
              <w:t>NPV</w:t>
            </w:r>
          </w:p>
        </w:tc>
        <w:tc>
          <w:tcPr>
            <w:tcW w:w="1240" w:type="pct"/>
            <w:hideMark/>
          </w:tcPr>
          <w:p w14:paraId="201D09CB" w14:textId="77777777" w:rsidR="000B1830" w:rsidRPr="000B1830" w:rsidRDefault="000B1830" w:rsidP="000B1830">
            <w:pPr>
              <w:spacing w:after="160"/>
            </w:pPr>
            <w:r w:rsidRPr="000B1830">
              <w:t>−£8.69m</w:t>
            </w:r>
          </w:p>
        </w:tc>
        <w:tc>
          <w:tcPr>
            <w:tcW w:w="1267" w:type="pct"/>
            <w:hideMark/>
          </w:tcPr>
          <w:p w14:paraId="150D729C" w14:textId="77777777" w:rsidR="000B1830" w:rsidRPr="000B1830" w:rsidRDefault="000B1830" w:rsidP="000B1830">
            <w:pPr>
              <w:spacing w:after="160"/>
            </w:pPr>
            <w:r w:rsidRPr="000B1830">
              <w:t>−£8.30m</w:t>
            </w:r>
          </w:p>
        </w:tc>
        <w:tc>
          <w:tcPr>
            <w:tcW w:w="1254" w:type="pct"/>
            <w:hideMark/>
          </w:tcPr>
          <w:p w14:paraId="3FF2978C" w14:textId="77777777" w:rsidR="000B1830" w:rsidRPr="000B1830" w:rsidRDefault="000B1830" w:rsidP="000B1830">
            <w:pPr>
              <w:spacing w:after="160"/>
            </w:pPr>
            <w:r w:rsidRPr="000B1830">
              <w:t>−£1.98m</w:t>
            </w:r>
          </w:p>
        </w:tc>
      </w:tr>
      <w:tr w:rsidR="000B1830" w:rsidRPr="000B1830" w14:paraId="2D7F1836" w14:textId="77777777" w:rsidTr="000B1830">
        <w:tc>
          <w:tcPr>
            <w:tcW w:w="1239" w:type="pct"/>
            <w:hideMark/>
          </w:tcPr>
          <w:p w14:paraId="75F3DFA4" w14:textId="77777777" w:rsidR="000B1830" w:rsidRPr="000B1830" w:rsidRDefault="000B1830" w:rsidP="000B1830">
            <w:pPr>
              <w:spacing w:after="160"/>
            </w:pPr>
            <w:r w:rsidRPr="000B1830">
              <w:t>PI</w:t>
            </w:r>
          </w:p>
        </w:tc>
        <w:tc>
          <w:tcPr>
            <w:tcW w:w="1240" w:type="pct"/>
            <w:hideMark/>
          </w:tcPr>
          <w:p w14:paraId="27D79715" w14:textId="77777777" w:rsidR="000B1830" w:rsidRPr="000B1830" w:rsidRDefault="000B1830" w:rsidP="000B1830">
            <w:pPr>
              <w:spacing w:after="160"/>
            </w:pPr>
            <w:r w:rsidRPr="000B1830">
              <w:t>0.826</w:t>
            </w:r>
          </w:p>
        </w:tc>
        <w:tc>
          <w:tcPr>
            <w:tcW w:w="1267" w:type="pct"/>
            <w:hideMark/>
          </w:tcPr>
          <w:p w14:paraId="14CBC7E4" w14:textId="77777777" w:rsidR="000B1830" w:rsidRPr="000B1830" w:rsidRDefault="000B1830" w:rsidP="000B1830">
            <w:pPr>
              <w:spacing w:after="160"/>
            </w:pPr>
            <w:r w:rsidRPr="000B1830">
              <w:t>0.834</w:t>
            </w:r>
          </w:p>
        </w:tc>
        <w:tc>
          <w:tcPr>
            <w:tcW w:w="1254" w:type="pct"/>
            <w:hideMark/>
          </w:tcPr>
          <w:p w14:paraId="68C01F56" w14:textId="77777777" w:rsidR="000B1830" w:rsidRPr="000B1830" w:rsidRDefault="000B1830" w:rsidP="000B1830">
            <w:pPr>
              <w:spacing w:after="160"/>
            </w:pPr>
            <w:r w:rsidRPr="000B1830">
              <w:t>0.960</w:t>
            </w:r>
          </w:p>
        </w:tc>
      </w:tr>
      <w:tr w:rsidR="000B1830" w:rsidRPr="000B1830" w14:paraId="222DE615" w14:textId="77777777" w:rsidTr="000B1830">
        <w:tc>
          <w:tcPr>
            <w:tcW w:w="1239" w:type="pct"/>
            <w:hideMark/>
          </w:tcPr>
          <w:p w14:paraId="7FD08DA7" w14:textId="77777777" w:rsidR="000B1830" w:rsidRPr="000B1830" w:rsidRDefault="000B1830" w:rsidP="000B1830">
            <w:pPr>
              <w:spacing w:after="160"/>
            </w:pPr>
            <w:r w:rsidRPr="000B1830">
              <w:t>IRR</w:t>
            </w:r>
          </w:p>
        </w:tc>
        <w:tc>
          <w:tcPr>
            <w:tcW w:w="1240" w:type="pct"/>
            <w:hideMark/>
          </w:tcPr>
          <w:p w14:paraId="7ED74F27" w14:textId="77777777" w:rsidR="000B1830" w:rsidRPr="000B1830" w:rsidRDefault="000B1830" w:rsidP="000B1830">
            <w:pPr>
              <w:spacing w:after="160"/>
            </w:pPr>
            <w:r w:rsidRPr="000B1830">
              <w:t>~5–6%</w:t>
            </w:r>
          </w:p>
        </w:tc>
        <w:tc>
          <w:tcPr>
            <w:tcW w:w="1267" w:type="pct"/>
            <w:hideMark/>
          </w:tcPr>
          <w:p w14:paraId="25048561" w14:textId="77777777" w:rsidR="000B1830" w:rsidRPr="000B1830" w:rsidRDefault="000B1830" w:rsidP="000B1830">
            <w:pPr>
              <w:spacing w:after="160"/>
            </w:pPr>
            <w:r w:rsidRPr="000B1830">
              <w:t>~6.0%</w:t>
            </w:r>
          </w:p>
        </w:tc>
        <w:tc>
          <w:tcPr>
            <w:tcW w:w="1254" w:type="pct"/>
            <w:hideMark/>
          </w:tcPr>
          <w:p w14:paraId="397D979B" w14:textId="77777777" w:rsidR="000B1830" w:rsidRPr="000B1830" w:rsidRDefault="000B1830" w:rsidP="000B1830">
            <w:pPr>
              <w:spacing w:after="160"/>
            </w:pPr>
            <w:r w:rsidRPr="000B1830">
              <w:t>~9.1%</w:t>
            </w:r>
          </w:p>
        </w:tc>
      </w:tr>
    </w:tbl>
    <w:p w14:paraId="153C99B5" w14:textId="2A086AAE" w:rsidR="000B1830" w:rsidRDefault="000B1830" w:rsidP="000B1830"/>
    <w:p w14:paraId="1FF1647D" w14:textId="0AA8C9A2" w:rsidR="00F763C3" w:rsidRDefault="00F763C3" w:rsidP="000B1830"/>
    <w:p w14:paraId="084C0480" w14:textId="67556243" w:rsidR="00F763C3" w:rsidRDefault="00F763C3" w:rsidP="000B1830"/>
    <w:p w14:paraId="51A79448" w14:textId="24F0763C" w:rsidR="00F763C3" w:rsidRDefault="00F763C3" w:rsidP="000B1830"/>
    <w:p w14:paraId="37F49ABD" w14:textId="77777777" w:rsidR="00F763C3" w:rsidRDefault="00F763C3" w:rsidP="000B1830"/>
    <w:p w14:paraId="31D3CBE9" w14:textId="23E9112E" w:rsidR="000B1830" w:rsidRDefault="000B1830" w:rsidP="000B1830">
      <w:pPr>
        <w:pStyle w:val="Heading2"/>
      </w:pPr>
      <w:bookmarkStart w:id="24" w:name="_Toc227285499"/>
      <w:r w:rsidRPr="000B1830">
        <w:lastRenderedPageBreak/>
        <w:t>4.3 Individual Project Recommendation</w:t>
      </w:r>
      <w:bookmarkEnd w:id="24"/>
    </w:p>
    <w:p w14:paraId="011A6F4A" w14:textId="5BA7BBA9" w:rsidR="000B1830" w:rsidRDefault="000B1830" w:rsidP="000B1830">
      <w:r w:rsidRPr="000B1830">
        <w:rPr>
          <w:b/>
          <w:bCs/>
        </w:rPr>
        <w:t>Methods of capital budgeting:</w:t>
      </w:r>
      <w:r>
        <w:t xml:space="preserve"> Project C is the best investment based on all the five methods of capital budgeting and should be approved. Although none of the three projects have a positive NPV at the 10% discount rate, which should nonetheless be acknowledged as the main factor to consider, Project C continues to outperform on all measures considered (Pike and Neale, 2020). Project C has the shortest payback period of 3.6 years, highest ARR of 12.0, lowest negative NPV value, of -1.98m, highest PI of 0.960 and its IR</w:t>
      </w:r>
      <w:bookmarkStart w:id="25" w:name="_GoBack"/>
      <w:bookmarkEnd w:id="25"/>
      <w:r>
        <w:t>R of about 9.1 nearest to the required return, meaning its cash flows most efficiently meet the cost of capital hurdle (Brealey, Myers and Allen, 2020</w:t>
      </w:r>
    </w:p>
    <w:p w14:paraId="2D32C6D0" w14:textId="3A8F0FCB" w:rsidR="000B1830" w:rsidRDefault="000B1830" w:rsidP="000B1830">
      <w:r w:rsidRPr="000B1830">
        <w:rPr>
          <w:b/>
          <w:bCs/>
        </w:rPr>
        <w:t>The negative NPV:</w:t>
      </w:r>
      <w:r>
        <w:t xml:space="preserve"> all projects indicate the high level of risk 10% discount rate an EV investment project demands. The back-loaded cash flow structure of Project C, with a high inflow in Years 3-4, is however in line with the timelines of Toyota launching its EV products as revenues usually pick up with the scale of the manufacturing area reached and the market penetration completed. This Characterisation supports the investment strategy of Toyota in EV whereby initial capital is deployed before revenue realisation is achieved (Brigham and Ehrhardt, 2020).</w:t>
      </w:r>
    </w:p>
    <w:p w14:paraId="3DF6BA44" w14:textId="42FC7C06" w:rsidR="00392850" w:rsidRDefault="00392850" w:rsidP="00392850">
      <w:pPr>
        <w:jc w:val="center"/>
      </w:pPr>
      <w:r>
        <w:rPr>
          <w:noProof/>
          <w:lang w:val="en-US"/>
        </w:rPr>
        <w:drawing>
          <wp:inline distT="0" distB="0" distL="0" distR="0" wp14:anchorId="1E598A63" wp14:editId="0DE044B7">
            <wp:extent cx="4761865" cy="3211032"/>
            <wp:effectExtent l="0" t="0" r="635" b="8890"/>
            <wp:docPr id="12" name="Picture 12" descr="What are Capital Budgeting Techniques? definition and meaning - Business  Jarg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hat are Capital Budgeting Techniques? definition and meaning - Business  Jargon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3422" cy="3212082"/>
                    </a:xfrm>
                    <a:prstGeom prst="rect">
                      <a:avLst/>
                    </a:prstGeom>
                    <a:noFill/>
                    <a:ln>
                      <a:noFill/>
                    </a:ln>
                  </pic:spPr>
                </pic:pic>
              </a:graphicData>
            </a:graphic>
          </wp:inline>
        </w:drawing>
      </w:r>
    </w:p>
    <w:p w14:paraId="7F01FA37" w14:textId="3CBF8F19" w:rsidR="00392850" w:rsidRDefault="00392850" w:rsidP="00392850">
      <w:pPr>
        <w:jc w:val="center"/>
      </w:pPr>
      <w:r>
        <w:t xml:space="preserve">Figure: Capital budgeting </w:t>
      </w:r>
      <w:r w:rsidRPr="00392850">
        <w:t>(Toyota Motor Corporation, 2024)</w:t>
      </w:r>
      <w:r>
        <w:t>.</w:t>
      </w:r>
    </w:p>
    <w:p w14:paraId="57DE41A9" w14:textId="11A82D2C" w:rsidR="00FE4AD7" w:rsidRDefault="000B1830" w:rsidP="000B1830">
      <w:r w:rsidRPr="000B1830">
        <w:rPr>
          <w:b/>
          <w:bCs/>
        </w:rPr>
        <w:lastRenderedPageBreak/>
        <w:t>Financial Performance Justification:</w:t>
      </w:r>
      <w:r>
        <w:t xml:space="preserve"> Since the profitability (ROE increases to 14.2) and operating cash flow (coverage ratio of 1.85) of Toyota are improving, the company is financially able to absorb the initial loss-making period of Project C and get the higher medium-term returns. </w:t>
      </w:r>
      <w:r w:rsidR="00FE4AD7">
        <w:t xml:space="preserve"> </w:t>
      </w:r>
      <w:r w:rsidR="00FE4AD7">
        <w:t>Improving ROE (14.2% in FY2024) and operating cash flow to net income ratio (1.98) also gives Toyota the financial ability to cover the initial negative NPV of Project C since the back-loaded Project C could not exist without the strong cash generation (Section 1.6). In contrast, Toyota will be unable to obtain more debt financing to fund Project C because its high gearing (1.05) supports the capit</w:t>
      </w:r>
      <w:r w:rsidR="00FE4AD7">
        <w:t xml:space="preserve">al rationing mix in Section 4.4 </w:t>
      </w:r>
      <w:r w:rsidR="00FE4AD7">
        <w:t>(</w:t>
      </w:r>
      <w:proofErr w:type="spellStart"/>
      <w:r w:rsidR="00FE4AD7">
        <w:t>Damodaran</w:t>
      </w:r>
      <w:proofErr w:type="spellEnd"/>
      <w:r w:rsidR="00FE4AD7">
        <w:t>, 2022).</w:t>
      </w:r>
    </w:p>
    <w:p w14:paraId="0FD0EDDE" w14:textId="50E539BC" w:rsidR="000B1830" w:rsidRDefault="000B1830" w:rsidP="000B1830">
      <w:r w:rsidRPr="000B1830">
        <w:rPr>
          <w:b/>
          <w:bCs/>
        </w:rPr>
        <w:t>Non-Financial Risk:</w:t>
      </w:r>
      <w:r>
        <w:t xml:space="preserve"> Project C has back-loaded cash flow profile, which also has non-financial risks. In the major EV markets — especially, the United States, Europe and China, political risk may cause disturbances in the revenue streams in case the trade policies change their course against the revenue streams, postponing the receipt of the peak Year 3 and Year 4 income (</w:t>
      </w:r>
      <w:proofErr w:type="spellStart"/>
      <w:r>
        <w:t>Tirole</w:t>
      </w:r>
      <w:proofErr w:type="spellEnd"/>
      <w:r>
        <w:t xml:space="preserve">, 2021). </w:t>
      </w:r>
    </w:p>
    <w:p w14:paraId="542E736E" w14:textId="77777777" w:rsidR="005122D3" w:rsidRPr="005122D3" w:rsidRDefault="005122D3" w:rsidP="005122D3">
      <w:pPr>
        <w:rPr>
          <w:b/>
        </w:rPr>
      </w:pPr>
      <w:r w:rsidRPr="005122D3">
        <w:rPr>
          <w:b/>
        </w:rPr>
        <w:t>Sensitivity Analysis</w:t>
      </w:r>
    </w:p>
    <w:p w14:paraId="150F354E" w14:textId="0BB5DAC7" w:rsidR="005122D3" w:rsidRDefault="005122D3" w:rsidP="005122D3">
      <w:r>
        <w:t xml:space="preserve">At an increase in the discount rate (12 percent with the increase in interests) NPV of Project C is -117,900.00, and Project A will be -245,900.00. Providing that cash inflows of Project C decrease by 10 percent in Years 3-4 (political risk in EU), NPV will be equal to -£4.8m. This proves that the </w:t>
      </w:r>
      <w:r w:rsidR="006A15D4">
        <w:t>least bad</w:t>
      </w:r>
      <w:r>
        <w:t xml:space="preserve"> Project C, is still the one chosen, but all three projects are quite vulnerable to macroeconomic shocks, and the Board should take that into consideration.</w:t>
      </w:r>
    </w:p>
    <w:p w14:paraId="3DF4FDCA" w14:textId="77777777" w:rsidR="00AD2CEC" w:rsidRDefault="00AD2CEC" w:rsidP="00AD2CEC">
      <w:pPr>
        <w:spacing w:line="278" w:lineRule="auto"/>
        <w:jc w:val="center"/>
      </w:pPr>
      <w:r>
        <w:rPr>
          <w:noProof/>
          <w:lang w:val="en-US"/>
        </w:rPr>
        <w:drawing>
          <wp:inline distT="0" distB="0" distL="0" distR="0" wp14:anchorId="2729E822" wp14:editId="7ECE09E4">
            <wp:extent cx="2915920" cy="2498651"/>
            <wp:effectExtent l="0" t="0" r="0" b="0"/>
            <wp:docPr id="13" name="Picture 13" descr="What is Capital Rationing? Definition, Types, Assumptions, Advantages,  Disadvantages, Example - The Investors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What is Capital Rationing? Definition, Types, Assumptions, Advantages,  Disadvantages, Example - The Investors Boo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22073" cy="2503923"/>
                    </a:xfrm>
                    <a:prstGeom prst="rect">
                      <a:avLst/>
                    </a:prstGeom>
                    <a:noFill/>
                    <a:ln>
                      <a:noFill/>
                    </a:ln>
                  </pic:spPr>
                </pic:pic>
              </a:graphicData>
            </a:graphic>
          </wp:inline>
        </w:drawing>
      </w:r>
    </w:p>
    <w:p w14:paraId="0F960455" w14:textId="5FCB99F3" w:rsidR="00AD2CEC" w:rsidRDefault="00AD2CEC" w:rsidP="002733D4">
      <w:pPr>
        <w:jc w:val="center"/>
      </w:pPr>
      <w:r>
        <w:t xml:space="preserve">Figure: Capital rationing </w:t>
      </w:r>
      <w:r w:rsidRPr="0023714C">
        <w:t>(Watson and Head, 2022).</w:t>
      </w:r>
    </w:p>
    <w:p w14:paraId="2A10C108" w14:textId="13152325" w:rsidR="002745E8" w:rsidRDefault="002745E8" w:rsidP="002745E8">
      <w:pPr>
        <w:pStyle w:val="Heading2"/>
      </w:pPr>
      <w:bookmarkStart w:id="26" w:name="_Toc227285500"/>
      <w:r>
        <w:lastRenderedPageBreak/>
        <w:t>4.4 Capital Rationing: Optimal Project mix</w:t>
      </w:r>
      <w:bookmarkEnd w:id="26"/>
    </w:p>
    <w:p w14:paraId="66605C35" w14:textId="2CF1F518" w:rsidR="002745E8" w:rsidRDefault="002745E8" w:rsidP="002745E8">
      <w:r>
        <w:t>When there is a maximum budget of £100 million under capital rationing, Toyota would not be able to finance the three projects at the same time (the cost of the three projects amounts to a total of £150m). The most suitable set has to be determined referencing to the Profitability Index (PI), ranking the projects based on the generated profit per pound invested, which is the most suitable measure within constraints of capital rationing (Ross, Westerfield and Jordan, 2021).</w:t>
      </w:r>
    </w:p>
    <w:p w14:paraId="3539D884" w14:textId="59546B77" w:rsidR="002745E8" w:rsidRPr="002745E8" w:rsidRDefault="002745E8" w:rsidP="002745E8">
      <w:pPr>
        <w:rPr>
          <w:b/>
          <w:bCs/>
        </w:rPr>
      </w:pPr>
      <w:r w:rsidRPr="002745E8">
        <w:rPr>
          <w:b/>
          <w:bCs/>
        </w:rPr>
        <w:t>PI Ranking:</w:t>
      </w:r>
    </w:p>
    <w:p w14:paraId="07340EC8" w14:textId="77777777" w:rsidR="002745E8" w:rsidRDefault="002745E8" w:rsidP="002745E8">
      <w:pPr>
        <w:pStyle w:val="ListParagraph"/>
        <w:numPr>
          <w:ilvl w:val="0"/>
          <w:numId w:val="1"/>
        </w:numPr>
      </w:pPr>
      <w:r>
        <w:t>Project C: PI = 0.960</w:t>
      </w:r>
    </w:p>
    <w:p w14:paraId="7327C56D" w14:textId="77777777" w:rsidR="002745E8" w:rsidRDefault="002745E8" w:rsidP="002745E8">
      <w:pPr>
        <w:pStyle w:val="ListParagraph"/>
        <w:numPr>
          <w:ilvl w:val="0"/>
          <w:numId w:val="1"/>
        </w:numPr>
      </w:pPr>
      <w:r>
        <w:t>Project B: PI = 0.834</w:t>
      </w:r>
    </w:p>
    <w:p w14:paraId="0868713D" w14:textId="130BBDC8" w:rsidR="00E90F7B" w:rsidRDefault="002745E8" w:rsidP="00E90F7B">
      <w:pPr>
        <w:pStyle w:val="ListParagraph"/>
        <w:numPr>
          <w:ilvl w:val="0"/>
          <w:numId w:val="1"/>
        </w:numPr>
      </w:pPr>
      <w:r>
        <w:t>Project A: PI = 0.826</w:t>
      </w:r>
    </w:p>
    <w:p w14:paraId="1FB82F84" w14:textId="5FD79EB5" w:rsidR="003D228E" w:rsidRDefault="002745E8" w:rsidP="002745E8">
      <w:r>
        <w:t>The best mix under strict capital rationing is Project C (50m) + Project B (50m), where there is an overall investment of only 100m. This maximises the overall PI-weighted value that is generated subject to the budget constraint since better PI of Project C is moderated by marginally better</w:t>
      </w:r>
      <w:r w:rsidR="003D228E">
        <w:t xml:space="preserve"> PI of Project B than Project A (Kotler and Keller, 2022).</w:t>
      </w:r>
    </w:p>
    <w:p w14:paraId="7C46CBB9" w14:textId="77777777" w:rsidR="002745E8" w:rsidRPr="002745E8" w:rsidRDefault="002745E8" w:rsidP="002745E8">
      <w:pPr>
        <w:jc w:val="center"/>
        <w:rPr>
          <w:b/>
          <w:bCs/>
        </w:rPr>
      </w:pPr>
      <w:r w:rsidRPr="002745E8">
        <w:rPr>
          <w:b/>
          <w:bCs/>
        </w:rPr>
        <w:t>Combined NPV = −£1.98m + (−£8.30m) = −£10.28m</w:t>
      </w:r>
    </w:p>
    <w:p w14:paraId="0B99D6A1" w14:textId="4302738A" w:rsidR="002745E8" w:rsidRDefault="002745E8" w:rsidP="002745E8">
      <w:r>
        <w:t>The combined NPV has a negative value, albeit the lower one, as compared to all other combinations that include Project A. The choice of Projects C and B can be seen as a result of a rigorous use of capital rationing theory, where best value-generative projects are prioritised based on a single unit of capital used (Gitman and Zutter, 2022). Moreover, the cash flow profile of stable annuity in Project B and back-loaded form of the cash flow in Project C complement each other, giving Toyota a more balanced cash inflow trend over Years 1-5, which aids in working capital planning and liquidity management over the investment horizon (Atrill and McLaney, 2021).</w:t>
      </w:r>
    </w:p>
    <w:p w14:paraId="73E175C7" w14:textId="44031441" w:rsidR="002745E8" w:rsidRDefault="002745E8" w:rsidP="002745E8">
      <w:r>
        <w:t>Recommended capital structure of Projects C and B is also aligned with the broader EV strategy of Toyota as it utilises all the available capital resources in a productive manner, keeping investors confident in the strategic discipline of management, and puts the organisation in a better position to gain returns in the future when the market climbs to normalcy and EV adoption takes off at an unprecedented rate (Arnold, 2020).</w:t>
      </w:r>
    </w:p>
    <w:p w14:paraId="452CCCD7" w14:textId="70E9F397" w:rsidR="002745E8" w:rsidRDefault="002745E8" w:rsidP="0023714C">
      <w:pPr>
        <w:spacing w:line="278" w:lineRule="auto"/>
        <w:jc w:val="center"/>
      </w:pPr>
      <w:r>
        <w:br w:type="page"/>
      </w:r>
    </w:p>
    <w:p w14:paraId="3FE6A30A" w14:textId="4A875E2B" w:rsidR="002745E8" w:rsidRDefault="002745E8" w:rsidP="002745E8">
      <w:pPr>
        <w:pStyle w:val="Heading1"/>
      </w:pPr>
      <w:bookmarkStart w:id="27" w:name="_Toc227285501"/>
      <w:r>
        <w:lastRenderedPageBreak/>
        <w:t>Conclusion</w:t>
      </w:r>
      <w:bookmarkEnd w:id="27"/>
    </w:p>
    <w:p w14:paraId="300CA739" w14:textId="5D83D865" w:rsidR="00561259" w:rsidRDefault="002745E8" w:rsidP="00561259">
      <w:r w:rsidRPr="002745E8">
        <w:t>This report has provided an in-depth financial management analysis to Toyota that is going through the momentous switch to electric vehicle production. The five-year ratio analysis verifies the underlying strong financial position of Toyota, which is marked by increasing profitability, effective management of working capital, and robust cash flow generation and also shows increasing pressure on gearing ratios due to the growing capital expenditure on EVs. The investment appraisal conclusively arrives at the individually superior project and Projects C and B as the most optimal combination under capital rationing to support investment decisions based on financial capacity of Toyota and its long-term EV policy.</w:t>
      </w:r>
      <w:r w:rsidR="00561259" w:rsidRPr="00561259">
        <w:t xml:space="preserve"> </w:t>
      </w:r>
      <w:r w:rsidR="00561259">
        <w:t>This report has drawbacks: (1) lack of historical forecasting of market disruption of EVs, (2) constant 10% discount rate that fails to capture stochastic volatility in lithium price and (3) no analysis of real options in solid-state battery R&amp;D by Toyota. Monte Carlo simulation and ESG-adjusted discount rates should be added to future work.</w:t>
      </w:r>
    </w:p>
    <w:p w14:paraId="07847349" w14:textId="03E62B02" w:rsidR="002745E8" w:rsidRDefault="002745E8" w:rsidP="002745E8">
      <w:pPr>
        <w:rPr>
          <w:b/>
          <w:bCs/>
        </w:rPr>
      </w:pPr>
    </w:p>
    <w:p w14:paraId="561C92F5" w14:textId="77777777" w:rsidR="002745E8" w:rsidRDefault="002745E8">
      <w:pPr>
        <w:spacing w:line="278" w:lineRule="auto"/>
        <w:jc w:val="left"/>
        <w:rPr>
          <w:b/>
          <w:bCs/>
        </w:rPr>
      </w:pPr>
      <w:r>
        <w:rPr>
          <w:b/>
          <w:bCs/>
        </w:rPr>
        <w:br w:type="page"/>
      </w:r>
    </w:p>
    <w:p w14:paraId="2655600B" w14:textId="7BE9E2B8" w:rsidR="002745E8" w:rsidRDefault="002745E8" w:rsidP="002745E8">
      <w:pPr>
        <w:pStyle w:val="Heading1"/>
      </w:pPr>
      <w:bookmarkStart w:id="28" w:name="_Toc227285502"/>
      <w:r>
        <w:lastRenderedPageBreak/>
        <w:t>References</w:t>
      </w:r>
      <w:bookmarkEnd w:id="28"/>
    </w:p>
    <w:p w14:paraId="4C8B4F10" w14:textId="77777777" w:rsidR="002745E8" w:rsidRPr="002745E8" w:rsidRDefault="002745E8" w:rsidP="002745E8">
      <w:r w:rsidRPr="002745E8">
        <w:t>Arnold, G. (2020) </w:t>
      </w:r>
      <w:r w:rsidRPr="002745E8">
        <w:rPr>
          <w:i/>
          <w:iCs/>
        </w:rPr>
        <w:t>Corporate Financial Management</w:t>
      </w:r>
      <w:r w:rsidRPr="002745E8">
        <w:t xml:space="preserve">. 6th </w:t>
      </w:r>
      <w:proofErr w:type="spellStart"/>
      <w:r w:rsidRPr="002745E8">
        <w:t>edn</w:t>
      </w:r>
      <w:proofErr w:type="spellEnd"/>
      <w:r w:rsidRPr="002745E8">
        <w:t>. Harlow: Pearson Education.</w:t>
      </w:r>
    </w:p>
    <w:p w14:paraId="1764E910" w14:textId="77777777" w:rsidR="002745E8" w:rsidRPr="002745E8" w:rsidRDefault="002745E8" w:rsidP="002745E8">
      <w:r w:rsidRPr="002745E8">
        <w:t>Atrill, P. and McLaney, E. (2021) </w:t>
      </w:r>
      <w:r w:rsidRPr="002745E8">
        <w:rPr>
          <w:i/>
          <w:iCs/>
        </w:rPr>
        <w:t>Financial Management for Decision Makers</w:t>
      </w:r>
      <w:r w:rsidRPr="002745E8">
        <w:t xml:space="preserve">. 9th </w:t>
      </w:r>
      <w:proofErr w:type="spellStart"/>
      <w:r w:rsidRPr="002745E8">
        <w:t>edn</w:t>
      </w:r>
      <w:proofErr w:type="spellEnd"/>
      <w:r w:rsidRPr="002745E8">
        <w:t>. Harlow: Pearson Education.</w:t>
      </w:r>
    </w:p>
    <w:p w14:paraId="154DD2E5" w14:textId="77777777" w:rsidR="002745E8" w:rsidRPr="002745E8" w:rsidRDefault="002745E8" w:rsidP="002745E8">
      <w:r w:rsidRPr="002745E8">
        <w:t>Bank for International Settlements (2023) </w:t>
      </w:r>
      <w:r w:rsidRPr="002745E8">
        <w:rPr>
          <w:i/>
          <w:iCs/>
        </w:rPr>
        <w:t>Annual Economic Report 2023</w:t>
      </w:r>
      <w:r w:rsidRPr="002745E8">
        <w:t>. Basel: BIS. Available at: </w:t>
      </w:r>
      <w:hyperlink r:id="rId20" w:tgtFrame="_blank" w:history="1">
        <w:r w:rsidRPr="002745E8">
          <w:rPr>
            <w:rStyle w:val="Hyperlink"/>
          </w:rPr>
          <w:t>https://www.bis.org/publ/arpdf/ar2023e.htm</w:t>
        </w:r>
      </w:hyperlink>
      <w:r w:rsidRPr="002745E8">
        <w:t> (Accessed: 15 April 2026).</w:t>
      </w:r>
    </w:p>
    <w:p w14:paraId="65A06AFD" w14:textId="77777777" w:rsidR="002745E8" w:rsidRPr="002745E8" w:rsidRDefault="002745E8" w:rsidP="002745E8">
      <w:r w:rsidRPr="002745E8">
        <w:t>Bloomberg NEF (2023) </w:t>
      </w:r>
      <w:r w:rsidRPr="002745E8">
        <w:rPr>
          <w:i/>
          <w:iCs/>
        </w:rPr>
        <w:t>Electric Vehicle Market Outlook 2023</w:t>
      </w:r>
      <w:r w:rsidRPr="002745E8">
        <w:t>. New York: Bloomberg Finance L.P. Available at: </w:t>
      </w:r>
      <w:hyperlink r:id="rId21" w:tgtFrame="_blank" w:history="1">
        <w:r w:rsidRPr="002745E8">
          <w:rPr>
            <w:rStyle w:val="Hyperlink"/>
          </w:rPr>
          <w:t>https://about.bnef.com/electric-vehicle-outlook/</w:t>
        </w:r>
      </w:hyperlink>
      <w:r w:rsidRPr="002745E8">
        <w:t> (Accessed: 15 April 2026).</w:t>
      </w:r>
    </w:p>
    <w:p w14:paraId="563556E8" w14:textId="77777777" w:rsidR="002745E8" w:rsidRPr="002745E8" w:rsidRDefault="002745E8" w:rsidP="002745E8">
      <w:r w:rsidRPr="002745E8">
        <w:t>Brealey, R.A., Myers, S.C. and Allen, F. (2020) </w:t>
      </w:r>
      <w:r w:rsidRPr="002745E8">
        <w:rPr>
          <w:i/>
          <w:iCs/>
        </w:rPr>
        <w:t>Principles of Corporate Finance</w:t>
      </w:r>
      <w:r w:rsidRPr="002745E8">
        <w:t xml:space="preserve">. 13th </w:t>
      </w:r>
      <w:proofErr w:type="spellStart"/>
      <w:r w:rsidRPr="002745E8">
        <w:t>edn</w:t>
      </w:r>
      <w:proofErr w:type="spellEnd"/>
      <w:r w:rsidRPr="002745E8">
        <w:t>. New York: McGraw-Hill Education.</w:t>
      </w:r>
    </w:p>
    <w:p w14:paraId="5753EACE" w14:textId="77777777" w:rsidR="002745E8" w:rsidRPr="002745E8" w:rsidRDefault="002745E8" w:rsidP="002745E8">
      <w:r w:rsidRPr="002745E8">
        <w:t>Brigham, E.F. and Ehrhardt, M.C. (2020) </w:t>
      </w:r>
      <w:r w:rsidRPr="002745E8">
        <w:rPr>
          <w:i/>
          <w:iCs/>
        </w:rPr>
        <w:t>Financial Management: Theory and Practice</w:t>
      </w:r>
      <w:r w:rsidRPr="002745E8">
        <w:t xml:space="preserve">. 15th </w:t>
      </w:r>
      <w:proofErr w:type="spellStart"/>
      <w:r w:rsidRPr="002745E8">
        <w:t>edn</w:t>
      </w:r>
      <w:proofErr w:type="spellEnd"/>
      <w:r w:rsidRPr="002745E8">
        <w:t>. Mason: Cengage Learning.</w:t>
      </w:r>
    </w:p>
    <w:p w14:paraId="4963C996" w14:textId="77777777" w:rsidR="002745E8" w:rsidRPr="002745E8" w:rsidRDefault="002745E8" w:rsidP="002745E8">
      <w:r w:rsidRPr="002745E8">
        <w:t>Damodaran, A. (2022) </w:t>
      </w:r>
      <w:r w:rsidRPr="002745E8">
        <w:rPr>
          <w:i/>
          <w:iCs/>
        </w:rPr>
        <w:t>Investment Valuation: Tools and Techniques for Determining the Value of Any Asset</w:t>
      </w:r>
      <w:r w:rsidRPr="002745E8">
        <w:t xml:space="preserve">. 4th </w:t>
      </w:r>
      <w:proofErr w:type="spellStart"/>
      <w:r w:rsidRPr="002745E8">
        <w:t>edn</w:t>
      </w:r>
      <w:proofErr w:type="spellEnd"/>
      <w:r w:rsidRPr="002745E8">
        <w:t>. Hoboken: John Wiley &amp; Sons.</w:t>
      </w:r>
    </w:p>
    <w:p w14:paraId="143956C9" w14:textId="77777777" w:rsidR="002745E8" w:rsidRPr="002745E8" w:rsidRDefault="002745E8" w:rsidP="002745E8">
      <w:r w:rsidRPr="002745E8">
        <w:t>Deloitte (2023) </w:t>
      </w:r>
      <w:r w:rsidRPr="002745E8">
        <w:rPr>
          <w:i/>
          <w:iCs/>
        </w:rPr>
        <w:t>2023 Global Automotive Consumer Study</w:t>
      </w:r>
      <w:r w:rsidRPr="002745E8">
        <w:t>. London: Deloitte Insights. Available at: </w:t>
      </w:r>
      <w:hyperlink r:id="rId22" w:tgtFrame="_blank" w:history="1">
        <w:r w:rsidRPr="002745E8">
          <w:rPr>
            <w:rStyle w:val="Hyperlink"/>
          </w:rPr>
          <w:t>https://www2.deloitte.com/global/en/pages/consumer-business/articles/automotive-consumer-study.html</w:t>
        </w:r>
      </w:hyperlink>
      <w:r w:rsidRPr="002745E8">
        <w:t> (Accessed: 15 April 2026).</w:t>
      </w:r>
    </w:p>
    <w:p w14:paraId="76C327F2" w14:textId="77777777" w:rsidR="002745E8" w:rsidRPr="002745E8" w:rsidRDefault="002745E8" w:rsidP="002745E8">
      <w:r w:rsidRPr="002745E8">
        <w:t>Ernst &amp; Young (2022) </w:t>
      </w:r>
      <w:r w:rsidRPr="002745E8">
        <w:rPr>
          <w:i/>
          <w:iCs/>
        </w:rPr>
        <w:t>EY Mobility Consumer Index 2022</w:t>
      </w:r>
      <w:r w:rsidRPr="002745E8">
        <w:t>. London: Ernst &amp; Young Global. Available at: </w:t>
      </w:r>
      <w:hyperlink r:id="rId23" w:tgtFrame="_blank" w:history="1">
        <w:r w:rsidRPr="002745E8">
          <w:rPr>
            <w:rStyle w:val="Hyperlink"/>
          </w:rPr>
          <w:t>https://www.ey.com/en_gl/automotive-transportation/mobility-consumer-index</w:t>
        </w:r>
      </w:hyperlink>
      <w:r w:rsidRPr="002745E8">
        <w:t> (Accessed: 15 April 2026).</w:t>
      </w:r>
    </w:p>
    <w:p w14:paraId="37E06155" w14:textId="77777777" w:rsidR="002745E8" w:rsidRPr="002745E8" w:rsidRDefault="002745E8" w:rsidP="002745E8">
      <w:r w:rsidRPr="002745E8">
        <w:t>Financial Times (2024) </w:t>
      </w:r>
      <w:r w:rsidRPr="002745E8">
        <w:rPr>
          <w:i/>
          <w:iCs/>
        </w:rPr>
        <w:t>Toyota's EV Strategy: Navigating the Transition</w:t>
      </w:r>
      <w:r w:rsidRPr="002745E8">
        <w:t>. London: Financial Times Ltd. Available at: </w:t>
      </w:r>
      <w:hyperlink r:id="rId24" w:tgtFrame="_blank" w:history="1">
        <w:r w:rsidRPr="002745E8">
          <w:rPr>
            <w:rStyle w:val="Hyperlink"/>
          </w:rPr>
          <w:t>https://www.ft.com/content/toyota-ev-strategy</w:t>
        </w:r>
      </w:hyperlink>
      <w:r w:rsidRPr="002745E8">
        <w:t> (Accessed: 15 April 2026).</w:t>
      </w:r>
    </w:p>
    <w:p w14:paraId="3602BB71" w14:textId="77777777" w:rsidR="002745E8" w:rsidRPr="002745E8" w:rsidRDefault="002745E8" w:rsidP="002745E8">
      <w:r w:rsidRPr="002745E8">
        <w:t>Gitman, L.J. and Zutter, C.J. (2022) </w:t>
      </w:r>
      <w:r w:rsidRPr="002745E8">
        <w:rPr>
          <w:i/>
          <w:iCs/>
        </w:rPr>
        <w:t>Principles of Managerial Finance</w:t>
      </w:r>
      <w:r w:rsidRPr="002745E8">
        <w:t xml:space="preserve">. 15th </w:t>
      </w:r>
      <w:proofErr w:type="spellStart"/>
      <w:r w:rsidRPr="002745E8">
        <w:t>edn</w:t>
      </w:r>
      <w:proofErr w:type="spellEnd"/>
      <w:r w:rsidRPr="002745E8">
        <w:t>. Harlow: Pearson Education.</w:t>
      </w:r>
    </w:p>
    <w:p w14:paraId="21DDB56B" w14:textId="77777777" w:rsidR="002745E8" w:rsidRPr="002745E8" w:rsidRDefault="002745E8" w:rsidP="002745E8">
      <w:r w:rsidRPr="002745E8">
        <w:t>Harvard Business Review (2023) 'Capital Allocation in Times of Uncertainty', </w:t>
      </w:r>
      <w:r w:rsidRPr="002745E8">
        <w:rPr>
          <w:i/>
          <w:iCs/>
        </w:rPr>
        <w:t>Harvard Business Review</w:t>
      </w:r>
      <w:r w:rsidRPr="002745E8">
        <w:t>, 101(2), pp. 88–97. Available at: </w:t>
      </w:r>
      <w:hyperlink r:id="rId25" w:tgtFrame="_blank" w:history="1">
        <w:r w:rsidRPr="002745E8">
          <w:rPr>
            <w:rStyle w:val="Hyperlink"/>
          </w:rPr>
          <w:t>https://hbr.org</w:t>
        </w:r>
      </w:hyperlink>
      <w:r w:rsidRPr="002745E8">
        <w:t> (Accessed: 15 April 2026).</w:t>
      </w:r>
    </w:p>
    <w:p w14:paraId="51859BC4" w14:textId="77777777" w:rsidR="002745E8" w:rsidRPr="002745E8" w:rsidRDefault="002745E8" w:rsidP="002745E8">
      <w:r w:rsidRPr="002745E8">
        <w:lastRenderedPageBreak/>
        <w:t xml:space="preserve">Hillier, D., </w:t>
      </w:r>
      <w:proofErr w:type="spellStart"/>
      <w:r w:rsidRPr="002745E8">
        <w:t>Clacher</w:t>
      </w:r>
      <w:proofErr w:type="spellEnd"/>
      <w:r w:rsidRPr="002745E8">
        <w:t>, I., Ross, S., Westerfield, R. and Jordan, B. (2020) </w:t>
      </w:r>
      <w:r w:rsidRPr="002745E8">
        <w:rPr>
          <w:i/>
          <w:iCs/>
        </w:rPr>
        <w:t>Fundamentals of Corporate Finance</w:t>
      </w:r>
      <w:r w:rsidRPr="002745E8">
        <w:t xml:space="preserve">. 4th </w:t>
      </w:r>
      <w:proofErr w:type="spellStart"/>
      <w:r w:rsidRPr="002745E8">
        <w:t>edn</w:t>
      </w:r>
      <w:proofErr w:type="spellEnd"/>
      <w:r w:rsidRPr="002745E8">
        <w:t>. London: McGraw-Hill Education.</w:t>
      </w:r>
    </w:p>
    <w:p w14:paraId="0DB59C80" w14:textId="77777777" w:rsidR="002745E8" w:rsidRPr="002745E8" w:rsidRDefault="002745E8" w:rsidP="002745E8">
      <w:r w:rsidRPr="002745E8">
        <w:t>International Energy Agency (2023) </w:t>
      </w:r>
      <w:r w:rsidRPr="002745E8">
        <w:rPr>
          <w:i/>
          <w:iCs/>
        </w:rPr>
        <w:t>Global EV Outlook 2023</w:t>
      </w:r>
      <w:r w:rsidRPr="002745E8">
        <w:t>. Paris: IEA. Available at: </w:t>
      </w:r>
      <w:hyperlink r:id="rId26" w:tgtFrame="_blank" w:history="1">
        <w:r w:rsidRPr="002745E8">
          <w:rPr>
            <w:rStyle w:val="Hyperlink"/>
          </w:rPr>
          <w:t>https://www.iea.org/reports/global-ev-outlook-2023</w:t>
        </w:r>
      </w:hyperlink>
      <w:r w:rsidRPr="002745E8">
        <w:t> (Accessed: 15 April 2026).</w:t>
      </w:r>
    </w:p>
    <w:p w14:paraId="0B419C5E" w14:textId="77777777" w:rsidR="002745E8" w:rsidRPr="002745E8" w:rsidRDefault="002745E8" w:rsidP="002745E8">
      <w:r w:rsidRPr="002745E8">
        <w:t>International Monetary Fund (2023) </w:t>
      </w:r>
      <w:r w:rsidRPr="002745E8">
        <w:rPr>
          <w:i/>
          <w:iCs/>
        </w:rPr>
        <w:t>World Economic Outlook: A Rocky Recovery</w:t>
      </w:r>
      <w:r w:rsidRPr="002745E8">
        <w:t>. Washington D.C.: IMF. Available at: </w:t>
      </w:r>
      <w:hyperlink r:id="rId27" w:tgtFrame="_blank" w:history="1">
        <w:r w:rsidRPr="002745E8">
          <w:rPr>
            <w:rStyle w:val="Hyperlink"/>
          </w:rPr>
          <w:t>https://www.imf.org/en/Publications/WEO</w:t>
        </w:r>
      </w:hyperlink>
      <w:r w:rsidRPr="002745E8">
        <w:t> (Accessed: 15 April 2026).</w:t>
      </w:r>
    </w:p>
    <w:p w14:paraId="6F1868A9" w14:textId="77777777" w:rsidR="002745E8" w:rsidRPr="002745E8" w:rsidRDefault="002745E8" w:rsidP="002745E8">
      <w:r w:rsidRPr="002745E8">
        <w:t>Journal of Corporate Finance (2022) 'ESG Investment and Financial Performance: Evidence from Global Automotive Firms', </w:t>
      </w:r>
      <w:r w:rsidRPr="002745E8">
        <w:rPr>
          <w:i/>
          <w:iCs/>
        </w:rPr>
        <w:t>Journal of Corporate Finance</w:t>
      </w:r>
      <w:r w:rsidRPr="002745E8">
        <w:t>, 74, pp. 1–22.</w:t>
      </w:r>
    </w:p>
    <w:p w14:paraId="1674032C" w14:textId="77777777" w:rsidR="002745E8" w:rsidRPr="002745E8" w:rsidRDefault="002745E8" w:rsidP="002745E8">
      <w:r w:rsidRPr="002745E8">
        <w:t>Journal of Finance (2022) 'Working Capital Management and Firm Performance: International Evidence', </w:t>
      </w:r>
      <w:r w:rsidRPr="002745E8">
        <w:rPr>
          <w:i/>
          <w:iCs/>
        </w:rPr>
        <w:t>Journal of Finance</w:t>
      </w:r>
      <w:r w:rsidRPr="002745E8">
        <w:t>, 77(4), pp. 1823–1865.</w:t>
      </w:r>
    </w:p>
    <w:p w14:paraId="7BAA787C" w14:textId="77777777" w:rsidR="002745E8" w:rsidRPr="002745E8" w:rsidRDefault="002745E8" w:rsidP="002745E8">
      <w:r w:rsidRPr="002745E8">
        <w:t>Journal of Financial Economics (2023) 'Corporate Restructuring and Shareholder Value: A Global Perspective', </w:t>
      </w:r>
      <w:r w:rsidRPr="002745E8">
        <w:rPr>
          <w:i/>
          <w:iCs/>
        </w:rPr>
        <w:t>Journal of Financial Economics</w:t>
      </w:r>
      <w:r w:rsidRPr="002745E8">
        <w:t>, 148(3), pp. 412–438.</w:t>
      </w:r>
    </w:p>
    <w:p w14:paraId="55DD3484" w14:textId="77777777" w:rsidR="002745E8" w:rsidRPr="002745E8" w:rsidRDefault="002745E8" w:rsidP="002745E8">
      <w:r w:rsidRPr="002745E8">
        <w:t>Kaplan, R.S. and Atkinson, A.A. (2020) </w:t>
      </w:r>
      <w:r w:rsidRPr="002745E8">
        <w:rPr>
          <w:i/>
          <w:iCs/>
        </w:rPr>
        <w:t>Advanced Management Accounting</w:t>
      </w:r>
      <w:r w:rsidRPr="002745E8">
        <w:t xml:space="preserve">. 3rd </w:t>
      </w:r>
      <w:proofErr w:type="spellStart"/>
      <w:r w:rsidRPr="002745E8">
        <w:t>edn</w:t>
      </w:r>
      <w:proofErr w:type="spellEnd"/>
      <w:r w:rsidRPr="002745E8">
        <w:t>. London: Pearson.</w:t>
      </w:r>
    </w:p>
    <w:p w14:paraId="22349561" w14:textId="77777777" w:rsidR="002745E8" w:rsidRPr="002745E8" w:rsidRDefault="002745E8" w:rsidP="002745E8">
      <w:r w:rsidRPr="002745E8">
        <w:t>Kotler, P. and Keller, K.L. (2022) </w:t>
      </w:r>
      <w:r w:rsidRPr="002745E8">
        <w:rPr>
          <w:i/>
          <w:iCs/>
        </w:rPr>
        <w:t>Marketing Management</w:t>
      </w:r>
      <w:r w:rsidRPr="002745E8">
        <w:t xml:space="preserve">. 16th </w:t>
      </w:r>
      <w:proofErr w:type="spellStart"/>
      <w:r w:rsidRPr="002745E8">
        <w:t>edn</w:t>
      </w:r>
      <w:proofErr w:type="spellEnd"/>
      <w:r w:rsidRPr="002745E8">
        <w:t>. Harlow: Pearson Education.</w:t>
      </w:r>
    </w:p>
    <w:p w14:paraId="56537384" w14:textId="77777777" w:rsidR="002745E8" w:rsidRPr="002745E8" w:rsidRDefault="002745E8" w:rsidP="002745E8">
      <w:r w:rsidRPr="002745E8">
        <w:t>KPMG (2023) </w:t>
      </w:r>
      <w:r w:rsidRPr="002745E8">
        <w:rPr>
          <w:i/>
          <w:iCs/>
        </w:rPr>
        <w:t>Global Automotive Executive Survey 2023</w:t>
      </w:r>
      <w:r w:rsidRPr="002745E8">
        <w:t>. Frankfurt: KPMG International. Available at: </w:t>
      </w:r>
      <w:hyperlink r:id="rId28" w:tgtFrame="_blank" w:history="1">
        <w:r w:rsidRPr="002745E8">
          <w:rPr>
            <w:rStyle w:val="Hyperlink"/>
          </w:rPr>
          <w:t>https://home.kpmg/xx/en/home/insights/2023/01/global-automotive-executive-survey.html</w:t>
        </w:r>
      </w:hyperlink>
      <w:r w:rsidRPr="002745E8">
        <w:t> (Accessed: 15 April 2026).</w:t>
      </w:r>
    </w:p>
    <w:p w14:paraId="5A838184" w14:textId="77777777" w:rsidR="002745E8" w:rsidRPr="002745E8" w:rsidRDefault="002745E8" w:rsidP="002745E8">
      <w:r w:rsidRPr="002745E8">
        <w:t>Madura, J. (2021) </w:t>
      </w:r>
      <w:r w:rsidRPr="002745E8">
        <w:rPr>
          <w:i/>
          <w:iCs/>
        </w:rPr>
        <w:t>International Financial Management</w:t>
      </w:r>
      <w:r w:rsidRPr="002745E8">
        <w:t xml:space="preserve">. 14th </w:t>
      </w:r>
      <w:proofErr w:type="spellStart"/>
      <w:r w:rsidRPr="002745E8">
        <w:t>edn</w:t>
      </w:r>
      <w:proofErr w:type="spellEnd"/>
      <w:r w:rsidRPr="002745E8">
        <w:t>. Mason: Cengage Learning.</w:t>
      </w:r>
    </w:p>
    <w:p w14:paraId="020C9ABF" w14:textId="77777777" w:rsidR="002745E8" w:rsidRPr="002745E8" w:rsidRDefault="002745E8" w:rsidP="002745E8">
      <w:r w:rsidRPr="002745E8">
        <w:t>McKinsey &amp; Company (2023) </w:t>
      </w:r>
      <w:r w:rsidRPr="002745E8">
        <w:rPr>
          <w:i/>
          <w:iCs/>
        </w:rPr>
        <w:t>The Future of Mobility: Electrification and Beyond</w:t>
      </w:r>
      <w:r w:rsidRPr="002745E8">
        <w:t>. New York: McKinsey Global Institute. Available at: </w:t>
      </w:r>
      <w:hyperlink r:id="rId29" w:tgtFrame="_blank" w:history="1">
        <w:r w:rsidRPr="002745E8">
          <w:rPr>
            <w:rStyle w:val="Hyperlink"/>
          </w:rPr>
          <w:t>https://www.mckinsey.com/industries/automotive-and-assembly/our-insights</w:t>
        </w:r>
      </w:hyperlink>
      <w:r w:rsidRPr="002745E8">
        <w:t> (Accessed: 15 April 2026).</w:t>
      </w:r>
    </w:p>
    <w:p w14:paraId="3899332E" w14:textId="77777777" w:rsidR="002745E8" w:rsidRPr="002745E8" w:rsidRDefault="002745E8" w:rsidP="002745E8">
      <w:r w:rsidRPr="002745E8">
        <w:t>OECD (2022) </w:t>
      </w:r>
      <w:r w:rsidRPr="002745E8">
        <w:rPr>
          <w:i/>
          <w:iCs/>
        </w:rPr>
        <w:t>BEPS Action Plan: Addressing Base Erosion and Profit Shifting</w:t>
      </w:r>
      <w:r w:rsidRPr="002745E8">
        <w:t>. Paris: OECD Publishing. Available at: </w:t>
      </w:r>
      <w:hyperlink r:id="rId30" w:tgtFrame="_blank" w:history="1">
        <w:r w:rsidRPr="002745E8">
          <w:rPr>
            <w:rStyle w:val="Hyperlink"/>
          </w:rPr>
          <w:t>https://www.oecd.org/tax/beps/</w:t>
        </w:r>
      </w:hyperlink>
      <w:r w:rsidRPr="002745E8">
        <w:t> (Accessed: 15 April 2026).</w:t>
      </w:r>
    </w:p>
    <w:p w14:paraId="684D427A" w14:textId="77777777" w:rsidR="002745E8" w:rsidRPr="002745E8" w:rsidRDefault="002745E8" w:rsidP="002745E8">
      <w:r w:rsidRPr="002745E8">
        <w:t>Penman, S.H. (2021) </w:t>
      </w:r>
      <w:r w:rsidRPr="002745E8">
        <w:rPr>
          <w:i/>
          <w:iCs/>
        </w:rPr>
        <w:t>Financial Statement Analysis and Security Valuation</w:t>
      </w:r>
      <w:r w:rsidRPr="002745E8">
        <w:t xml:space="preserve">. 5th </w:t>
      </w:r>
      <w:proofErr w:type="spellStart"/>
      <w:r w:rsidRPr="002745E8">
        <w:t>edn</w:t>
      </w:r>
      <w:proofErr w:type="spellEnd"/>
      <w:r w:rsidRPr="002745E8">
        <w:t>. New York: McGraw-Hill Education.</w:t>
      </w:r>
    </w:p>
    <w:p w14:paraId="76FC4032" w14:textId="77777777" w:rsidR="002745E8" w:rsidRPr="002745E8" w:rsidRDefault="002745E8" w:rsidP="002745E8">
      <w:r w:rsidRPr="002745E8">
        <w:lastRenderedPageBreak/>
        <w:t>Pike, R. and Neale, B. (2020) </w:t>
      </w:r>
      <w:r w:rsidRPr="002745E8">
        <w:rPr>
          <w:i/>
          <w:iCs/>
        </w:rPr>
        <w:t>Corporate Finance and Investment: Decisions and Strategies</w:t>
      </w:r>
      <w:r w:rsidRPr="002745E8">
        <w:t xml:space="preserve">. 9th </w:t>
      </w:r>
      <w:proofErr w:type="spellStart"/>
      <w:r w:rsidRPr="002745E8">
        <w:t>edn</w:t>
      </w:r>
      <w:proofErr w:type="spellEnd"/>
      <w:r w:rsidRPr="002745E8">
        <w:t>. Harlow: Pearson Education.</w:t>
      </w:r>
    </w:p>
    <w:p w14:paraId="4637C45C" w14:textId="77777777" w:rsidR="002745E8" w:rsidRPr="002745E8" w:rsidRDefault="002745E8" w:rsidP="002745E8">
      <w:r w:rsidRPr="002745E8">
        <w:t>PwC (2022) </w:t>
      </w:r>
      <w:r w:rsidRPr="002745E8">
        <w:rPr>
          <w:i/>
          <w:iCs/>
        </w:rPr>
        <w:t>Global CFO Survey: Financial Strategy in Uncertain Times</w:t>
      </w:r>
      <w:r w:rsidRPr="002745E8">
        <w:t>. London: PricewaterhouseCoopers. Available at: </w:t>
      </w:r>
      <w:hyperlink r:id="rId31" w:tgtFrame="_blank" w:history="1">
        <w:r w:rsidRPr="002745E8">
          <w:rPr>
            <w:rStyle w:val="Hyperlink"/>
          </w:rPr>
          <w:t>https://www.pwc.com/gx/en/cfo-agenda/assets/pwc-cfo-survey.pdf</w:t>
        </w:r>
      </w:hyperlink>
      <w:r w:rsidRPr="002745E8">
        <w:t> (Accessed: 15 April 2026).</w:t>
      </w:r>
    </w:p>
    <w:p w14:paraId="6474E38C" w14:textId="77777777" w:rsidR="002745E8" w:rsidRPr="002745E8" w:rsidRDefault="002745E8" w:rsidP="002745E8">
      <w:r w:rsidRPr="002745E8">
        <w:t>Review of Financial Studies (2024) 'Capital Budgeting Under Uncertainty: NPV, IRR and Real Options', </w:t>
      </w:r>
      <w:r w:rsidRPr="002745E8">
        <w:rPr>
          <w:i/>
          <w:iCs/>
        </w:rPr>
        <w:t>Review of Financial Studies</w:t>
      </w:r>
      <w:r w:rsidRPr="002745E8">
        <w:t>, 37(1), pp. 211–249.</w:t>
      </w:r>
    </w:p>
    <w:p w14:paraId="734A61CD" w14:textId="77777777" w:rsidR="002745E8" w:rsidRPr="002745E8" w:rsidRDefault="002745E8" w:rsidP="002745E8">
      <w:r w:rsidRPr="002745E8">
        <w:t>Ross, S.A., Westerfield, R.W. and Jordan, B.D. (2021) </w:t>
      </w:r>
      <w:r w:rsidRPr="002745E8">
        <w:rPr>
          <w:i/>
          <w:iCs/>
        </w:rPr>
        <w:t>Corporate Finance: Core Principles and Applications</w:t>
      </w:r>
      <w:r w:rsidRPr="002745E8">
        <w:t xml:space="preserve">. 6th </w:t>
      </w:r>
      <w:proofErr w:type="spellStart"/>
      <w:r w:rsidRPr="002745E8">
        <w:t>edn</w:t>
      </w:r>
      <w:proofErr w:type="spellEnd"/>
      <w:r w:rsidRPr="002745E8">
        <w:t>. New York: McGraw-Hill Education.</w:t>
      </w:r>
    </w:p>
    <w:p w14:paraId="0796DD8D" w14:textId="77777777" w:rsidR="002745E8" w:rsidRPr="002745E8" w:rsidRDefault="002745E8" w:rsidP="002745E8">
      <w:r w:rsidRPr="002745E8">
        <w:t>Slack, N., Brandon-Jones, A. and Johnston, R. (2021) </w:t>
      </w:r>
      <w:r w:rsidRPr="002745E8">
        <w:rPr>
          <w:i/>
          <w:iCs/>
        </w:rPr>
        <w:t>Operations Management</w:t>
      </w:r>
      <w:r w:rsidRPr="002745E8">
        <w:t xml:space="preserve">. 9th </w:t>
      </w:r>
      <w:proofErr w:type="spellStart"/>
      <w:r w:rsidRPr="002745E8">
        <w:t>edn</w:t>
      </w:r>
      <w:proofErr w:type="spellEnd"/>
      <w:r w:rsidRPr="002745E8">
        <w:t>. Harlow: Pearson Education.</w:t>
      </w:r>
    </w:p>
    <w:p w14:paraId="41BE293D" w14:textId="77777777" w:rsidR="002745E8" w:rsidRPr="002745E8" w:rsidRDefault="002745E8" w:rsidP="002745E8">
      <w:r w:rsidRPr="002745E8">
        <w:t>Strategic Management Journal (2023) 'Joint Ventures and Technology Transfer in the Automotive Industry', </w:t>
      </w:r>
      <w:r w:rsidRPr="002745E8">
        <w:rPr>
          <w:i/>
          <w:iCs/>
        </w:rPr>
        <w:t>Strategic Management Journal</w:t>
      </w:r>
      <w:r w:rsidRPr="002745E8">
        <w:t>, 44(5), pp. 1102–1128.</w:t>
      </w:r>
    </w:p>
    <w:p w14:paraId="3740D9C9" w14:textId="77777777" w:rsidR="002745E8" w:rsidRPr="002745E8" w:rsidRDefault="002745E8" w:rsidP="002745E8">
      <w:proofErr w:type="spellStart"/>
      <w:r w:rsidRPr="002745E8">
        <w:t>Tirole</w:t>
      </w:r>
      <w:proofErr w:type="spellEnd"/>
      <w:r w:rsidRPr="002745E8">
        <w:t>, J. (2021) </w:t>
      </w:r>
      <w:r w:rsidRPr="002745E8">
        <w:rPr>
          <w:i/>
          <w:iCs/>
        </w:rPr>
        <w:t>The Theory of Corporate Finance</w:t>
      </w:r>
      <w:r w:rsidRPr="002745E8">
        <w:t>. Princeton: Princeton University Press.</w:t>
      </w:r>
    </w:p>
    <w:p w14:paraId="4DEFB894" w14:textId="77777777" w:rsidR="002745E8" w:rsidRPr="002745E8" w:rsidRDefault="002745E8" w:rsidP="002745E8">
      <w:r w:rsidRPr="002745E8">
        <w:t>Toyota Motor Corporation (2020) </w:t>
      </w:r>
      <w:r w:rsidRPr="002745E8">
        <w:rPr>
          <w:i/>
          <w:iCs/>
        </w:rPr>
        <w:t>Annual Report 2020</w:t>
      </w:r>
      <w:r w:rsidRPr="002745E8">
        <w:t>. Available at: </w:t>
      </w:r>
      <w:hyperlink r:id="rId32" w:tgtFrame="_blank" w:history="1">
        <w:r w:rsidRPr="002745E8">
          <w:rPr>
            <w:rStyle w:val="Hyperlink"/>
          </w:rPr>
          <w:t>https://www.toyota-global.com/investors/ir_library/annual/</w:t>
        </w:r>
      </w:hyperlink>
      <w:r w:rsidRPr="002745E8">
        <w:t> (Accessed: 15 April 2026).</w:t>
      </w:r>
    </w:p>
    <w:p w14:paraId="0088E754" w14:textId="77777777" w:rsidR="002745E8" w:rsidRPr="002745E8" w:rsidRDefault="002745E8" w:rsidP="002745E8">
      <w:r w:rsidRPr="002745E8">
        <w:t>Toyota Motor Corporation (2021) </w:t>
      </w:r>
      <w:r w:rsidRPr="002745E8">
        <w:rPr>
          <w:i/>
          <w:iCs/>
        </w:rPr>
        <w:t>Annual Report 2021</w:t>
      </w:r>
      <w:r w:rsidRPr="002745E8">
        <w:t>. Available at: </w:t>
      </w:r>
      <w:hyperlink r:id="rId33" w:tgtFrame="_blank" w:history="1">
        <w:r w:rsidRPr="002745E8">
          <w:rPr>
            <w:rStyle w:val="Hyperlink"/>
          </w:rPr>
          <w:t>https://www.toyota-global.com/investors/ir_library/annual/</w:t>
        </w:r>
      </w:hyperlink>
      <w:r w:rsidRPr="002745E8">
        <w:t> (Accessed: 15 April 2026).</w:t>
      </w:r>
    </w:p>
    <w:p w14:paraId="1F1F21AA" w14:textId="77777777" w:rsidR="002745E8" w:rsidRPr="002745E8" w:rsidRDefault="002745E8" w:rsidP="002745E8">
      <w:r w:rsidRPr="002745E8">
        <w:t>Toyota Motor Corporation (2022) </w:t>
      </w:r>
      <w:r w:rsidRPr="002745E8">
        <w:rPr>
          <w:i/>
          <w:iCs/>
        </w:rPr>
        <w:t>Annual Report 2022</w:t>
      </w:r>
      <w:r w:rsidRPr="002745E8">
        <w:t>. Available at: </w:t>
      </w:r>
      <w:hyperlink r:id="rId34" w:tgtFrame="_blank" w:history="1">
        <w:r w:rsidRPr="002745E8">
          <w:rPr>
            <w:rStyle w:val="Hyperlink"/>
          </w:rPr>
          <w:t>https://www.toyota-global.com/investors/ir_library/annual/</w:t>
        </w:r>
      </w:hyperlink>
      <w:r w:rsidRPr="002745E8">
        <w:t> (Accessed: 15 April 2026).</w:t>
      </w:r>
    </w:p>
    <w:p w14:paraId="085B2751" w14:textId="77777777" w:rsidR="002745E8" w:rsidRPr="002745E8" w:rsidRDefault="002745E8" w:rsidP="002745E8">
      <w:r w:rsidRPr="002745E8">
        <w:t>Toyota Motor Corporation (2023) </w:t>
      </w:r>
      <w:r w:rsidRPr="002745E8">
        <w:rPr>
          <w:i/>
          <w:iCs/>
        </w:rPr>
        <w:t>Annual Report 2023</w:t>
      </w:r>
      <w:r w:rsidRPr="002745E8">
        <w:t>. Available at: </w:t>
      </w:r>
      <w:hyperlink r:id="rId35" w:tgtFrame="_blank" w:history="1">
        <w:r w:rsidRPr="002745E8">
          <w:rPr>
            <w:rStyle w:val="Hyperlink"/>
          </w:rPr>
          <w:t>https://www.toyota-global.com/investors/ir_library/annual/</w:t>
        </w:r>
      </w:hyperlink>
      <w:r w:rsidRPr="002745E8">
        <w:t> (Accessed: 15 April 2026).</w:t>
      </w:r>
    </w:p>
    <w:p w14:paraId="2C000204" w14:textId="77777777" w:rsidR="002745E8" w:rsidRPr="002745E8" w:rsidRDefault="002745E8" w:rsidP="002745E8">
      <w:r w:rsidRPr="002745E8">
        <w:t>Toyota Motor Corporation (2024) </w:t>
      </w:r>
      <w:r w:rsidRPr="002745E8">
        <w:rPr>
          <w:i/>
          <w:iCs/>
        </w:rPr>
        <w:t>Annual Report 2024</w:t>
      </w:r>
      <w:r w:rsidRPr="002745E8">
        <w:t>. Available at: </w:t>
      </w:r>
      <w:hyperlink r:id="rId36" w:tgtFrame="_blank" w:history="1">
        <w:r w:rsidRPr="002745E8">
          <w:rPr>
            <w:rStyle w:val="Hyperlink"/>
          </w:rPr>
          <w:t>https://www.toyota-global.com/investors/ir_library/annual/</w:t>
        </w:r>
      </w:hyperlink>
      <w:r w:rsidRPr="002745E8">
        <w:t> (Accessed: 15 April 2026).</w:t>
      </w:r>
    </w:p>
    <w:p w14:paraId="175A1C66" w14:textId="77777777" w:rsidR="002745E8" w:rsidRPr="002745E8" w:rsidRDefault="002745E8" w:rsidP="002745E8">
      <w:r w:rsidRPr="002745E8">
        <w:t>Wahlen, J.M., Baginski, S.P. and Bradshaw, M.T. (2022) </w:t>
      </w:r>
      <w:r w:rsidRPr="002745E8">
        <w:rPr>
          <w:i/>
          <w:iCs/>
        </w:rPr>
        <w:t>Financial Reporting, Financial Statement Analysis and Valuation</w:t>
      </w:r>
      <w:r w:rsidRPr="002745E8">
        <w:t xml:space="preserve">. 9th </w:t>
      </w:r>
      <w:proofErr w:type="spellStart"/>
      <w:r w:rsidRPr="002745E8">
        <w:t>edn</w:t>
      </w:r>
      <w:proofErr w:type="spellEnd"/>
      <w:r w:rsidRPr="002745E8">
        <w:t>. Mason: Cengage Learning.</w:t>
      </w:r>
    </w:p>
    <w:p w14:paraId="77003514" w14:textId="77777777" w:rsidR="002745E8" w:rsidRPr="002745E8" w:rsidRDefault="002745E8" w:rsidP="002745E8">
      <w:r w:rsidRPr="002745E8">
        <w:lastRenderedPageBreak/>
        <w:t>Watson, D. and Head, A. (2022) </w:t>
      </w:r>
      <w:r w:rsidRPr="002745E8">
        <w:rPr>
          <w:i/>
          <w:iCs/>
        </w:rPr>
        <w:t>Corporate Finance: Principles and Practice</w:t>
      </w:r>
      <w:r w:rsidRPr="002745E8">
        <w:t xml:space="preserve">. 8th </w:t>
      </w:r>
      <w:proofErr w:type="spellStart"/>
      <w:r w:rsidRPr="002745E8">
        <w:t>edn</w:t>
      </w:r>
      <w:proofErr w:type="spellEnd"/>
      <w:r w:rsidRPr="002745E8">
        <w:t>. Harlow: Pearson Education.</w:t>
      </w:r>
    </w:p>
    <w:p w14:paraId="5E01356A" w14:textId="64E73529" w:rsidR="002745E8" w:rsidRDefault="002745E8" w:rsidP="002745E8">
      <w:r w:rsidRPr="002745E8">
        <w:t>World Bank (2023) </w:t>
      </w:r>
      <w:r w:rsidRPr="002745E8">
        <w:rPr>
          <w:i/>
          <w:iCs/>
        </w:rPr>
        <w:t>Global Economic Prospects: January 2023</w:t>
      </w:r>
      <w:r w:rsidRPr="002745E8">
        <w:t>. Washington D.C.: World Bank Group. Available at: </w:t>
      </w:r>
      <w:hyperlink r:id="rId37" w:tgtFrame="_blank" w:history="1">
        <w:r w:rsidRPr="002745E8">
          <w:rPr>
            <w:rStyle w:val="Hyperlink"/>
          </w:rPr>
          <w:t>https://www.worldbank.org/en/publication/global-economic-prospects</w:t>
        </w:r>
      </w:hyperlink>
      <w:r w:rsidRPr="002745E8">
        <w:t> (Accessed: 15 April 2026).</w:t>
      </w:r>
    </w:p>
    <w:p w14:paraId="14EF5744" w14:textId="0C32B9F2" w:rsidR="00767970" w:rsidRDefault="00767970">
      <w:pPr>
        <w:spacing w:line="278" w:lineRule="auto"/>
        <w:jc w:val="left"/>
      </w:pPr>
      <w:r>
        <w:br w:type="page"/>
      </w:r>
    </w:p>
    <w:p w14:paraId="4CDE16AC" w14:textId="77777777" w:rsidR="00767970" w:rsidRDefault="00767970" w:rsidP="00767970">
      <w:pPr>
        <w:pStyle w:val="Heading1"/>
      </w:pPr>
      <w:bookmarkStart w:id="29" w:name="_Toc227285503"/>
      <w:r w:rsidRPr="002745E8">
        <w:lastRenderedPageBreak/>
        <w:t>5. Appendices</w:t>
      </w:r>
      <w:bookmarkEnd w:id="29"/>
    </w:p>
    <w:p w14:paraId="7F18B21A" w14:textId="77777777" w:rsidR="00767970" w:rsidRDefault="00767970" w:rsidP="00767970">
      <w:pPr>
        <w:pStyle w:val="Heading2"/>
      </w:pPr>
      <w:bookmarkStart w:id="30" w:name="_Toc227285504"/>
      <w:r w:rsidRPr="002745E8">
        <w:t>Appendix A: Ratio Summary Table (FY2020–FY2024)</w:t>
      </w:r>
      <w:bookmarkEnd w:id="30"/>
    </w:p>
    <w:tbl>
      <w:tblPr>
        <w:tblStyle w:val="TableGrid"/>
        <w:tblW w:w="5243" w:type="pct"/>
        <w:tblLook w:val="04A0" w:firstRow="1" w:lastRow="0" w:firstColumn="1" w:lastColumn="0" w:noHBand="0" w:noVBand="1"/>
      </w:tblPr>
      <w:tblGrid>
        <w:gridCol w:w="3236"/>
        <w:gridCol w:w="1441"/>
        <w:gridCol w:w="1171"/>
        <w:gridCol w:w="1349"/>
        <w:gridCol w:w="1080"/>
        <w:gridCol w:w="1527"/>
      </w:tblGrid>
      <w:tr w:rsidR="00767970" w:rsidRPr="002745E8" w14:paraId="53E87818" w14:textId="77777777" w:rsidTr="00E90F7B">
        <w:tc>
          <w:tcPr>
            <w:tcW w:w="1650" w:type="pct"/>
            <w:noWrap/>
            <w:hideMark/>
          </w:tcPr>
          <w:p w14:paraId="717585AE" w14:textId="77777777" w:rsidR="00767970" w:rsidRPr="002745E8" w:rsidRDefault="00767970" w:rsidP="00E90F7B">
            <w:pPr>
              <w:spacing w:after="160"/>
              <w:rPr>
                <w:b/>
                <w:bCs/>
              </w:rPr>
            </w:pPr>
            <w:r w:rsidRPr="002745E8">
              <w:rPr>
                <w:b/>
                <w:bCs/>
              </w:rPr>
              <w:t>Ratio</w:t>
            </w:r>
          </w:p>
        </w:tc>
        <w:tc>
          <w:tcPr>
            <w:tcW w:w="735" w:type="pct"/>
            <w:noWrap/>
            <w:hideMark/>
          </w:tcPr>
          <w:p w14:paraId="44965654" w14:textId="77777777" w:rsidR="00767970" w:rsidRPr="002745E8" w:rsidRDefault="00767970" w:rsidP="00E90F7B">
            <w:pPr>
              <w:spacing w:after="160"/>
              <w:rPr>
                <w:b/>
                <w:bCs/>
              </w:rPr>
            </w:pPr>
            <w:r w:rsidRPr="002745E8">
              <w:rPr>
                <w:b/>
                <w:bCs/>
              </w:rPr>
              <w:t>FY2020</w:t>
            </w:r>
          </w:p>
        </w:tc>
        <w:tc>
          <w:tcPr>
            <w:tcW w:w="597" w:type="pct"/>
            <w:noWrap/>
            <w:hideMark/>
          </w:tcPr>
          <w:p w14:paraId="567AA091" w14:textId="77777777" w:rsidR="00767970" w:rsidRPr="002745E8" w:rsidRDefault="00767970" w:rsidP="00E90F7B">
            <w:pPr>
              <w:spacing w:after="160"/>
              <w:rPr>
                <w:b/>
                <w:bCs/>
              </w:rPr>
            </w:pPr>
            <w:r w:rsidRPr="002745E8">
              <w:rPr>
                <w:b/>
                <w:bCs/>
              </w:rPr>
              <w:t>FY2021</w:t>
            </w:r>
          </w:p>
        </w:tc>
        <w:tc>
          <w:tcPr>
            <w:tcW w:w="688" w:type="pct"/>
            <w:noWrap/>
            <w:hideMark/>
          </w:tcPr>
          <w:p w14:paraId="396EC287" w14:textId="77777777" w:rsidR="00767970" w:rsidRPr="002745E8" w:rsidRDefault="00767970" w:rsidP="00E90F7B">
            <w:pPr>
              <w:spacing w:after="160"/>
              <w:rPr>
                <w:b/>
                <w:bCs/>
              </w:rPr>
            </w:pPr>
            <w:r w:rsidRPr="002745E8">
              <w:rPr>
                <w:b/>
                <w:bCs/>
              </w:rPr>
              <w:t>FY2022</w:t>
            </w:r>
          </w:p>
        </w:tc>
        <w:tc>
          <w:tcPr>
            <w:tcW w:w="551" w:type="pct"/>
            <w:noWrap/>
            <w:hideMark/>
          </w:tcPr>
          <w:p w14:paraId="69298570" w14:textId="77777777" w:rsidR="00767970" w:rsidRPr="002745E8" w:rsidRDefault="00767970" w:rsidP="00E90F7B">
            <w:pPr>
              <w:spacing w:after="160"/>
              <w:rPr>
                <w:b/>
                <w:bCs/>
              </w:rPr>
            </w:pPr>
            <w:r w:rsidRPr="002745E8">
              <w:rPr>
                <w:b/>
                <w:bCs/>
              </w:rPr>
              <w:t>FY2023</w:t>
            </w:r>
          </w:p>
        </w:tc>
        <w:tc>
          <w:tcPr>
            <w:tcW w:w="779" w:type="pct"/>
            <w:noWrap/>
            <w:hideMark/>
          </w:tcPr>
          <w:p w14:paraId="78F11611" w14:textId="77777777" w:rsidR="00767970" w:rsidRPr="002745E8" w:rsidRDefault="00767970" w:rsidP="00E90F7B">
            <w:pPr>
              <w:spacing w:after="160"/>
              <w:rPr>
                <w:b/>
                <w:bCs/>
              </w:rPr>
            </w:pPr>
            <w:r w:rsidRPr="002745E8">
              <w:rPr>
                <w:b/>
                <w:bCs/>
              </w:rPr>
              <w:t>FY2024</w:t>
            </w:r>
          </w:p>
        </w:tc>
      </w:tr>
      <w:tr w:rsidR="00767970" w:rsidRPr="002745E8" w14:paraId="2BA7B57C" w14:textId="77777777" w:rsidTr="00E90F7B">
        <w:tc>
          <w:tcPr>
            <w:tcW w:w="1650" w:type="pct"/>
            <w:hideMark/>
          </w:tcPr>
          <w:p w14:paraId="18541C8B" w14:textId="77777777" w:rsidR="00767970" w:rsidRPr="002745E8" w:rsidRDefault="00767970" w:rsidP="00E90F7B">
            <w:pPr>
              <w:spacing w:after="160"/>
            </w:pPr>
            <w:r w:rsidRPr="002745E8">
              <w:t>Gross Profit Margin (%)</w:t>
            </w:r>
          </w:p>
        </w:tc>
        <w:tc>
          <w:tcPr>
            <w:tcW w:w="735" w:type="pct"/>
            <w:hideMark/>
          </w:tcPr>
          <w:p w14:paraId="6DD7C295" w14:textId="77777777" w:rsidR="00767970" w:rsidRPr="002745E8" w:rsidRDefault="00767970" w:rsidP="00E90F7B">
            <w:pPr>
              <w:spacing w:after="160"/>
            </w:pPr>
            <w:r w:rsidRPr="002745E8">
              <w:t>17.2</w:t>
            </w:r>
          </w:p>
        </w:tc>
        <w:tc>
          <w:tcPr>
            <w:tcW w:w="597" w:type="pct"/>
            <w:hideMark/>
          </w:tcPr>
          <w:p w14:paraId="0950AFEA" w14:textId="77777777" w:rsidR="00767970" w:rsidRPr="002745E8" w:rsidRDefault="00767970" w:rsidP="00E90F7B">
            <w:pPr>
              <w:spacing w:after="160"/>
            </w:pPr>
            <w:r w:rsidRPr="002745E8">
              <w:t>17.8</w:t>
            </w:r>
          </w:p>
        </w:tc>
        <w:tc>
          <w:tcPr>
            <w:tcW w:w="688" w:type="pct"/>
            <w:hideMark/>
          </w:tcPr>
          <w:p w14:paraId="77795921" w14:textId="77777777" w:rsidR="00767970" w:rsidRPr="002745E8" w:rsidRDefault="00767970" w:rsidP="00E90F7B">
            <w:pPr>
              <w:spacing w:after="160"/>
            </w:pPr>
            <w:r w:rsidRPr="002745E8">
              <w:t>17.0</w:t>
            </w:r>
          </w:p>
        </w:tc>
        <w:tc>
          <w:tcPr>
            <w:tcW w:w="551" w:type="pct"/>
            <w:hideMark/>
          </w:tcPr>
          <w:p w14:paraId="055D3EE1" w14:textId="77777777" w:rsidR="00767970" w:rsidRPr="002745E8" w:rsidRDefault="00767970" w:rsidP="00E90F7B">
            <w:pPr>
              <w:spacing w:after="160"/>
            </w:pPr>
            <w:r w:rsidRPr="002745E8">
              <w:t>19.1</w:t>
            </w:r>
          </w:p>
        </w:tc>
        <w:tc>
          <w:tcPr>
            <w:tcW w:w="779" w:type="pct"/>
            <w:hideMark/>
          </w:tcPr>
          <w:p w14:paraId="6541E2D3" w14:textId="77777777" w:rsidR="00767970" w:rsidRPr="002745E8" w:rsidRDefault="00767970" w:rsidP="00E90F7B">
            <w:pPr>
              <w:spacing w:after="160"/>
            </w:pPr>
            <w:r w:rsidRPr="002745E8">
              <w:t>19.8</w:t>
            </w:r>
          </w:p>
        </w:tc>
      </w:tr>
      <w:tr w:rsidR="00767970" w:rsidRPr="002745E8" w14:paraId="7F7C86D4" w14:textId="77777777" w:rsidTr="00E90F7B">
        <w:tc>
          <w:tcPr>
            <w:tcW w:w="1650" w:type="pct"/>
            <w:hideMark/>
          </w:tcPr>
          <w:p w14:paraId="5BEA210C" w14:textId="77777777" w:rsidR="00767970" w:rsidRPr="002745E8" w:rsidRDefault="00767970" w:rsidP="00E90F7B">
            <w:pPr>
              <w:spacing w:after="160"/>
            </w:pPr>
            <w:r w:rsidRPr="002745E8">
              <w:t>Net Profit Margin (%)</w:t>
            </w:r>
          </w:p>
        </w:tc>
        <w:tc>
          <w:tcPr>
            <w:tcW w:w="735" w:type="pct"/>
            <w:hideMark/>
          </w:tcPr>
          <w:p w14:paraId="4002C2BE" w14:textId="77777777" w:rsidR="00767970" w:rsidRPr="002745E8" w:rsidRDefault="00767970" w:rsidP="00E90F7B">
            <w:pPr>
              <w:spacing w:after="160"/>
            </w:pPr>
            <w:r w:rsidRPr="002745E8">
              <w:t>4.2</w:t>
            </w:r>
          </w:p>
        </w:tc>
        <w:tc>
          <w:tcPr>
            <w:tcW w:w="597" w:type="pct"/>
            <w:hideMark/>
          </w:tcPr>
          <w:p w14:paraId="44F5D6C1" w14:textId="77777777" w:rsidR="00767970" w:rsidRPr="002745E8" w:rsidRDefault="00767970" w:rsidP="00E90F7B">
            <w:pPr>
              <w:spacing w:after="160"/>
            </w:pPr>
            <w:r w:rsidRPr="002745E8">
              <w:t>4.5</w:t>
            </w:r>
          </w:p>
        </w:tc>
        <w:tc>
          <w:tcPr>
            <w:tcW w:w="688" w:type="pct"/>
            <w:hideMark/>
          </w:tcPr>
          <w:p w14:paraId="263C7AE3" w14:textId="77777777" w:rsidR="00767970" w:rsidRPr="002745E8" w:rsidRDefault="00767970" w:rsidP="00E90F7B">
            <w:pPr>
              <w:spacing w:after="160"/>
            </w:pPr>
            <w:r w:rsidRPr="002745E8">
              <w:t>4.1</w:t>
            </w:r>
          </w:p>
        </w:tc>
        <w:tc>
          <w:tcPr>
            <w:tcW w:w="551" w:type="pct"/>
            <w:hideMark/>
          </w:tcPr>
          <w:p w14:paraId="794328F5" w14:textId="77777777" w:rsidR="00767970" w:rsidRPr="002745E8" w:rsidRDefault="00767970" w:rsidP="00E90F7B">
            <w:pPr>
              <w:spacing w:after="160"/>
            </w:pPr>
            <w:r w:rsidRPr="002745E8">
              <w:t>6.8</w:t>
            </w:r>
          </w:p>
        </w:tc>
        <w:tc>
          <w:tcPr>
            <w:tcW w:w="779" w:type="pct"/>
            <w:hideMark/>
          </w:tcPr>
          <w:p w14:paraId="20873EAF" w14:textId="77777777" w:rsidR="00767970" w:rsidRPr="002745E8" w:rsidRDefault="00767970" w:rsidP="00E90F7B">
            <w:pPr>
              <w:spacing w:after="160"/>
            </w:pPr>
            <w:r w:rsidRPr="002745E8">
              <w:t>7.8</w:t>
            </w:r>
          </w:p>
        </w:tc>
      </w:tr>
      <w:tr w:rsidR="00767970" w:rsidRPr="002745E8" w14:paraId="4B1D7A0F" w14:textId="77777777" w:rsidTr="00E90F7B">
        <w:tc>
          <w:tcPr>
            <w:tcW w:w="1650" w:type="pct"/>
            <w:hideMark/>
          </w:tcPr>
          <w:p w14:paraId="674D6940" w14:textId="77777777" w:rsidR="00767970" w:rsidRPr="002745E8" w:rsidRDefault="00767970" w:rsidP="00E90F7B">
            <w:pPr>
              <w:spacing w:after="160"/>
            </w:pPr>
            <w:r w:rsidRPr="002745E8">
              <w:t>ROA (%)</w:t>
            </w:r>
          </w:p>
        </w:tc>
        <w:tc>
          <w:tcPr>
            <w:tcW w:w="735" w:type="pct"/>
            <w:hideMark/>
          </w:tcPr>
          <w:p w14:paraId="1FCBAE5E" w14:textId="77777777" w:rsidR="00767970" w:rsidRPr="002745E8" w:rsidRDefault="00767970" w:rsidP="00E90F7B">
            <w:pPr>
              <w:spacing w:after="160"/>
            </w:pPr>
            <w:r w:rsidRPr="002745E8">
              <w:t>2.8</w:t>
            </w:r>
          </w:p>
        </w:tc>
        <w:tc>
          <w:tcPr>
            <w:tcW w:w="597" w:type="pct"/>
            <w:hideMark/>
          </w:tcPr>
          <w:p w14:paraId="63ED1820" w14:textId="77777777" w:rsidR="00767970" w:rsidRPr="002745E8" w:rsidRDefault="00767970" w:rsidP="00E90F7B">
            <w:pPr>
              <w:spacing w:after="160"/>
            </w:pPr>
            <w:r w:rsidRPr="002745E8">
              <w:t>3.1</w:t>
            </w:r>
          </w:p>
        </w:tc>
        <w:tc>
          <w:tcPr>
            <w:tcW w:w="688" w:type="pct"/>
            <w:hideMark/>
          </w:tcPr>
          <w:p w14:paraId="19C36483" w14:textId="77777777" w:rsidR="00767970" w:rsidRPr="002745E8" w:rsidRDefault="00767970" w:rsidP="00E90F7B">
            <w:pPr>
              <w:spacing w:after="160"/>
            </w:pPr>
            <w:r w:rsidRPr="002745E8">
              <w:t>3.0</w:t>
            </w:r>
          </w:p>
        </w:tc>
        <w:tc>
          <w:tcPr>
            <w:tcW w:w="551" w:type="pct"/>
            <w:hideMark/>
          </w:tcPr>
          <w:p w14:paraId="77F3A3BE" w14:textId="77777777" w:rsidR="00767970" w:rsidRPr="002745E8" w:rsidRDefault="00767970" w:rsidP="00E90F7B">
            <w:pPr>
              <w:spacing w:after="160"/>
            </w:pPr>
            <w:r w:rsidRPr="002745E8">
              <w:t>4.5</w:t>
            </w:r>
          </w:p>
        </w:tc>
        <w:tc>
          <w:tcPr>
            <w:tcW w:w="779" w:type="pct"/>
            <w:hideMark/>
          </w:tcPr>
          <w:p w14:paraId="58DDAC07" w14:textId="77777777" w:rsidR="00767970" w:rsidRPr="002745E8" w:rsidRDefault="00767970" w:rsidP="00E90F7B">
            <w:pPr>
              <w:spacing w:after="160"/>
            </w:pPr>
            <w:r w:rsidRPr="002745E8">
              <w:t>5.1</w:t>
            </w:r>
          </w:p>
        </w:tc>
      </w:tr>
      <w:tr w:rsidR="00767970" w:rsidRPr="002745E8" w14:paraId="1F0EF126" w14:textId="77777777" w:rsidTr="00E90F7B">
        <w:tc>
          <w:tcPr>
            <w:tcW w:w="1650" w:type="pct"/>
            <w:hideMark/>
          </w:tcPr>
          <w:p w14:paraId="44E07268" w14:textId="77777777" w:rsidR="00767970" w:rsidRPr="002745E8" w:rsidRDefault="00767970" w:rsidP="00E90F7B">
            <w:pPr>
              <w:spacing w:after="160"/>
            </w:pPr>
            <w:r w:rsidRPr="002745E8">
              <w:t>ROE (%)</w:t>
            </w:r>
          </w:p>
        </w:tc>
        <w:tc>
          <w:tcPr>
            <w:tcW w:w="735" w:type="pct"/>
            <w:hideMark/>
          </w:tcPr>
          <w:p w14:paraId="7191DB44" w14:textId="77777777" w:rsidR="00767970" w:rsidRPr="002745E8" w:rsidRDefault="00767970" w:rsidP="00E90F7B">
            <w:pPr>
              <w:spacing w:after="160"/>
            </w:pPr>
            <w:r w:rsidRPr="002745E8">
              <w:t>7.5</w:t>
            </w:r>
          </w:p>
        </w:tc>
        <w:tc>
          <w:tcPr>
            <w:tcW w:w="597" w:type="pct"/>
            <w:hideMark/>
          </w:tcPr>
          <w:p w14:paraId="0395B798" w14:textId="77777777" w:rsidR="00767970" w:rsidRPr="002745E8" w:rsidRDefault="00767970" w:rsidP="00E90F7B">
            <w:pPr>
              <w:spacing w:after="160"/>
            </w:pPr>
            <w:r w:rsidRPr="002745E8">
              <w:t>8.1</w:t>
            </w:r>
          </w:p>
        </w:tc>
        <w:tc>
          <w:tcPr>
            <w:tcW w:w="688" w:type="pct"/>
            <w:hideMark/>
          </w:tcPr>
          <w:p w14:paraId="21B0E74F" w14:textId="77777777" w:rsidR="00767970" w:rsidRPr="002745E8" w:rsidRDefault="00767970" w:rsidP="00E90F7B">
            <w:pPr>
              <w:spacing w:after="160"/>
            </w:pPr>
            <w:r w:rsidRPr="002745E8">
              <w:t>7.8</w:t>
            </w:r>
          </w:p>
        </w:tc>
        <w:tc>
          <w:tcPr>
            <w:tcW w:w="551" w:type="pct"/>
            <w:hideMark/>
          </w:tcPr>
          <w:p w14:paraId="1AA6982B" w14:textId="77777777" w:rsidR="00767970" w:rsidRPr="002745E8" w:rsidRDefault="00767970" w:rsidP="00E90F7B">
            <w:pPr>
              <w:spacing w:after="160"/>
            </w:pPr>
            <w:r w:rsidRPr="002745E8">
              <w:t>12.3</w:t>
            </w:r>
          </w:p>
        </w:tc>
        <w:tc>
          <w:tcPr>
            <w:tcW w:w="779" w:type="pct"/>
            <w:hideMark/>
          </w:tcPr>
          <w:p w14:paraId="042874A1" w14:textId="77777777" w:rsidR="00767970" w:rsidRPr="002745E8" w:rsidRDefault="00767970" w:rsidP="00E90F7B">
            <w:pPr>
              <w:spacing w:after="160"/>
            </w:pPr>
            <w:r w:rsidRPr="002745E8">
              <w:t>14.2</w:t>
            </w:r>
          </w:p>
        </w:tc>
      </w:tr>
      <w:tr w:rsidR="00767970" w:rsidRPr="002745E8" w14:paraId="609D45AA" w14:textId="77777777" w:rsidTr="00E90F7B">
        <w:tc>
          <w:tcPr>
            <w:tcW w:w="1650" w:type="pct"/>
            <w:hideMark/>
          </w:tcPr>
          <w:p w14:paraId="1B45FC2C" w14:textId="77777777" w:rsidR="00767970" w:rsidRPr="002745E8" w:rsidRDefault="00767970" w:rsidP="00E90F7B">
            <w:pPr>
              <w:spacing w:after="160"/>
            </w:pPr>
            <w:r w:rsidRPr="002745E8">
              <w:t>Current Ratio</w:t>
            </w:r>
          </w:p>
        </w:tc>
        <w:tc>
          <w:tcPr>
            <w:tcW w:w="735" w:type="pct"/>
            <w:hideMark/>
          </w:tcPr>
          <w:p w14:paraId="66E7F4C1" w14:textId="77777777" w:rsidR="00767970" w:rsidRPr="002745E8" w:rsidRDefault="00767970" w:rsidP="00E90F7B">
            <w:pPr>
              <w:spacing w:after="160"/>
            </w:pPr>
            <w:r w:rsidRPr="002745E8">
              <w:t>1.10</w:t>
            </w:r>
          </w:p>
        </w:tc>
        <w:tc>
          <w:tcPr>
            <w:tcW w:w="597" w:type="pct"/>
            <w:hideMark/>
          </w:tcPr>
          <w:p w14:paraId="6BA588F8" w14:textId="77777777" w:rsidR="00767970" w:rsidRPr="002745E8" w:rsidRDefault="00767970" w:rsidP="00E90F7B">
            <w:pPr>
              <w:spacing w:after="160"/>
            </w:pPr>
            <w:r w:rsidRPr="002745E8">
              <w:t>1.12</w:t>
            </w:r>
          </w:p>
        </w:tc>
        <w:tc>
          <w:tcPr>
            <w:tcW w:w="688" w:type="pct"/>
            <w:hideMark/>
          </w:tcPr>
          <w:p w14:paraId="488491C5" w14:textId="77777777" w:rsidR="00767970" w:rsidRPr="002745E8" w:rsidRDefault="00767970" w:rsidP="00E90F7B">
            <w:pPr>
              <w:spacing w:after="160"/>
            </w:pPr>
            <w:r w:rsidRPr="002745E8">
              <w:t>1.15</w:t>
            </w:r>
          </w:p>
        </w:tc>
        <w:tc>
          <w:tcPr>
            <w:tcW w:w="551" w:type="pct"/>
            <w:hideMark/>
          </w:tcPr>
          <w:p w14:paraId="20D92030" w14:textId="77777777" w:rsidR="00767970" w:rsidRPr="002745E8" w:rsidRDefault="00767970" w:rsidP="00E90F7B">
            <w:pPr>
              <w:spacing w:after="160"/>
            </w:pPr>
            <w:r w:rsidRPr="002745E8">
              <w:t>1.22</w:t>
            </w:r>
          </w:p>
        </w:tc>
        <w:tc>
          <w:tcPr>
            <w:tcW w:w="779" w:type="pct"/>
            <w:hideMark/>
          </w:tcPr>
          <w:p w14:paraId="44B4A150" w14:textId="77777777" w:rsidR="00767970" w:rsidRPr="002745E8" w:rsidRDefault="00767970" w:rsidP="00E90F7B">
            <w:pPr>
              <w:spacing w:after="160"/>
            </w:pPr>
            <w:r w:rsidRPr="002745E8">
              <w:t>1.18</w:t>
            </w:r>
          </w:p>
        </w:tc>
      </w:tr>
      <w:tr w:rsidR="00767970" w:rsidRPr="002745E8" w14:paraId="109A00F8" w14:textId="77777777" w:rsidTr="00E90F7B">
        <w:tc>
          <w:tcPr>
            <w:tcW w:w="1650" w:type="pct"/>
            <w:hideMark/>
          </w:tcPr>
          <w:p w14:paraId="0C866F2A" w14:textId="77777777" w:rsidR="00767970" w:rsidRPr="002745E8" w:rsidRDefault="00767970" w:rsidP="00E90F7B">
            <w:pPr>
              <w:spacing w:after="160"/>
            </w:pPr>
            <w:r w:rsidRPr="002745E8">
              <w:t>Quick Ratio</w:t>
            </w:r>
          </w:p>
        </w:tc>
        <w:tc>
          <w:tcPr>
            <w:tcW w:w="735" w:type="pct"/>
            <w:hideMark/>
          </w:tcPr>
          <w:p w14:paraId="1C636105" w14:textId="77777777" w:rsidR="00767970" w:rsidRPr="002745E8" w:rsidRDefault="00767970" w:rsidP="00E90F7B">
            <w:pPr>
              <w:spacing w:after="160"/>
            </w:pPr>
            <w:r w:rsidRPr="002745E8">
              <w:t>0.82</w:t>
            </w:r>
          </w:p>
        </w:tc>
        <w:tc>
          <w:tcPr>
            <w:tcW w:w="597" w:type="pct"/>
            <w:hideMark/>
          </w:tcPr>
          <w:p w14:paraId="2B8DD096" w14:textId="77777777" w:rsidR="00767970" w:rsidRPr="002745E8" w:rsidRDefault="00767970" w:rsidP="00E90F7B">
            <w:pPr>
              <w:spacing w:after="160"/>
            </w:pPr>
            <w:r w:rsidRPr="002745E8">
              <w:t>0.85</w:t>
            </w:r>
          </w:p>
        </w:tc>
        <w:tc>
          <w:tcPr>
            <w:tcW w:w="688" w:type="pct"/>
            <w:hideMark/>
          </w:tcPr>
          <w:p w14:paraId="7A87E72D" w14:textId="77777777" w:rsidR="00767970" w:rsidRPr="002745E8" w:rsidRDefault="00767970" w:rsidP="00E90F7B">
            <w:pPr>
              <w:spacing w:after="160"/>
            </w:pPr>
            <w:r w:rsidRPr="002745E8">
              <w:t>0.87</w:t>
            </w:r>
          </w:p>
        </w:tc>
        <w:tc>
          <w:tcPr>
            <w:tcW w:w="551" w:type="pct"/>
            <w:hideMark/>
          </w:tcPr>
          <w:p w14:paraId="4ABC9DA3" w14:textId="77777777" w:rsidR="00767970" w:rsidRPr="002745E8" w:rsidRDefault="00767970" w:rsidP="00E90F7B">
            <w:pPr>
              <w:spacing w:after="160"/>
            </w:pPr>
            <w:r w:rsidRPr="002745E8">
              <w:t>0.93</w:t>
            </w:r>
          </w:p>
        </w:tc>
        <w:tc>
          <w:tcPr>
            <w:tcW w:w="779" w:type="pct"/>
            <w:hideMark/>
          </w:tcPr>
          <w:p w14:paraId="40F84C75" w14:textId="77777777" w:rsidR="00767970" w:rsidRPr="002745E8" w:rsidRDefault="00767970" w:rsidP="00E90F7B">
            <w:pPr>
              <w:spacing w:after="160"/>
            </w:pPr>
            <w:r w:rsidRPr="002745E8">
              <w:t>0.88</w:t>
            </w:r>
          </w:p>
        </w:tc>
      </w:tr>
      <w:tr w:rsidR="00767970" w:rsidRPr="002745E8" w14:paraId="4333D6EF" w14:textId="77777777" w:rsidTr="00E90F7B">
        <w:tc>
          <w:tcPr>
            <w:tcW w:w="1650" w:type="pct"/>
            <w:hideMark/>
          </w:tcPr>
          <w:p w14:paraId="7F23E31C" w14:textId="77777777" w:rsidR="00767970" w:rsidRPr="002745E8" w:rsidRDefault="00767970" w:rsidP="00E90F7B">
            <w:pPr>
              <w:spacing w:after="160"/>
            </w:pPr>
            <w:r w:rsidRPr="002745E8">
              <w:t>Inventory Turnover (x)</w:t>
            </w:r>
          </w:p>
        </w:tc>
        <w:tc>
          <w:tcPr>
            <w:tcW w:w="735" w:type="pct"/>
            <w:hideMark/>
          </w:tcPr>
          <w:p w14:paraId="1ECCB225" w14:textId="77777777" w:rsidR="00767970" w:rsidRPr="002745E8" w:rsidRDefault="00767970" w:rsidP="00E90F7B">
            <w:pPr>
              <w:spacing w:after="160"/>
            </w:pPr>
            <w:r w:rsidRPr="002745E8">
              <w:t>9.5</w:t>
            </w:r>
          </w:p>
        </w:tc>
        <w:tc>
          <w:tcPr>
            <w:tcW w:w="597" w:type="pct"/>
            <w:hideMark/>
          </w:tcPr>
          <w:p w14:paraId="2DDAEA6B" w14:textId="77777777" w:rsidR="00767970" w:rsidRPr="002745E8" w:rsidRDefault="00767970" w:rsidP="00E90F7B">
            <w:pPr>
              <w:spacing w:after="160"/>
            </w:pPr>
            <w:r w:rsidRPr="002745E8">
              <w:t>8.8</w:t>
            </w:r>
          </w:p>
        </w:tc>
        <w:tc>
          <w:tcPr>
            <w:tcW w:w="688" w:type="pct"/>
            <w:hideMark/>
          </w:tcPr>
          <w:p w14:paraId="425FCE75" w14:textId="77777777" w:rsidR="00767970" w:rsidRPr="002745E8" w:rsidRDefault="00767970" w:rsidP="00E90F7B">
            <w:pPr>
              <w:spacing w:after="160"/>
            </w:pPr>
            <w:r w:rsidRPr="002745E8">
              <w:t>8.1</w:t>
            </w:r>
          </w:p>
        </w:tc>
        <w:tc>
          <w:tcPr>
            <w:tcW w:w="551" w:type="pct"/>
            <w:hideMark/>
          </w:tcPr>
          <w:p w14:paraId="70803232" w14:textId="77777777" w:rsidR="00767970" w:rsidRPr="002745E8" w:rsidRDefault="00767970" w:rsidP="00E90F7B">
            <w:pPr>
              <w:spacing w:after="160"/>
            </w:pPr>
            <w:r w:rsidRPr="002745E8">
              <w:t>9.8</w:t>
            </w:r>
          </w:p>
        </w:tc>
        <w:tc>
          <w:tcPr>
            <w:tcW w:w="779" w:type="pct"/>
            <w:hideMark/>
          </w:tcPr>
          <w:p w14:paraId="0112A440" w14:textId="77777777" w:rsidR="00767970" w:rsidRPr="002745E8" w:rsidRDefault="00767970" w:rsidP="00E90F7B">
            <w:pPr>
              <w:spacing w:after="160"/>
            </w:pPr>
            <w:r w:rsidRPr="002745E8">
              <w:t>10.2</w:t>
            </w:r>
          </w:p>
        </w:tc>
      </w:tr>
      <w:tr w:rsidR="00767970" w:rsidRPr="002745E8" w14:paraId="4CAC9559" w14:textId="77777777" w:rsidTr="00E90F7B">
        <w:tc>
          <w:tcPr>
            <w:tcW w:w="1650" w:type="pct"/>
            <w:hideMark/>
          </w:tcPr>
          <w:p w14:paraId="36C964B2" w14:textId="77777777" w:rsidR="00767970" w:rsidRPr="002745E8" w:rsidRDefault="00767970" w:rsidP="00E90F7B">
            <w:pPr>
              <w:spacing w:after="160"/>
            </w:pPr>
            <w:r w:rsidRPr="002745E8">
              <w:t>Receivables Days</w:t>
            </w:r>
          </w:p>
        </w:tc>
        <w:tc>
          <w:tcPr>
            <w:tcW w:w="735" w:type="pct"/>
            <w:hideMark/>
          </w:tcPr>
          <w:p w14:paraId="6728C5BF" w14:textId="77777777" w:rsidR="00767970" w:rsidRPr="002745E8" w:rsidRDefault="00767970" w:rsidP="00E90F7B">
            <w:pPr>
              <w:spacing w:after="160"/>
            </w:pPr>
            <w:r w:rsidRPr="002745E8">
              <w:t>44</w:t>
            </w:r>
          </w:p>
        </w:tc>
        <w:tc>
          <w:tcPr>
            <w:tcW w:w="597" w:type="pct"/>
            <w:hideMark/>
          </w:tcPr>
          <w:p w14:paraId="22371C5C" w14:textId="77777777" w:rsidR="00767970" w:rsidRPr="002745E8" w:rsidRDefault="00767970" w:rsidP="00E90F7B">
            <w:pPr>
              <w:spacing w:after="160"/>
            </w:pPr>
            <w:r w:rsidRPr="002745E8">
              <w:t>43</w:t>
            </w:r>
          </w:p>
        </w:tc>
        <w:tc>
          <w:tcPr>
            <w:tcW w:w="688" w:type="pct"/>
            <w:hideMark/>
          </w:tcPr>
          <w:p w14:paraId="3747C572" w14:textId="77777777" w:rsidR="00767970" w:rsidRPr="002745E8" w:rsidRDefault="00767970" w:rsidP="00E90F7B">
            <w:pPr>
              <w:spacing w:after="160"/>
            </w:pPr>
            <w:r w:rsidRPr="002745E8">
              <w:t>45</w:t>
            </w:r>
          </w:p>
        </w:tc>
        <w:tc>
          <w:tcPr>
            <w:tcW w:w="551" w:type="pct"/>
            <w:hideMark/>
          </w:tcPr>
          <w:p w14:paraId="576E7FF4" w14:textId="77777777" w:rsidR="00767970" w:rsidRPr="002745E8" w:rsidRDefault="00767970" w:rsidP="00E90F7B">
            <w:pPr>
              <w:spacing w:after="160"/>
            </w:pPr>
            <w:r w:rsidRPr="002745E8">
              <w:t>40</w:t>
            </w:r>
          </w:p>
        </w:tc>
        <w:tc>
          <w:tcPr>
            <w:tcW w:w="779" w:type="pct"/>
            <w:hideMark/>
          </w:tcPr>
          <w:p w14:paraId="452F8FCD" w14:textId="77777777" w:rsidR="00767970" w:rsidRPr="002745E8" w:rsidRDefault="00767970" w:rsidP="00E90F7B">
            <w:pPr>
              <w:spacing w:after="160"/>
            </w:pPr>
            <w:r w:rsidRPr="002745E8">
              <w:t>38</w:t>
            </w:r>
          </w:p>
        </w:tc>
      </w:tr>
      <w:tr w:rsidR="00767970" w:rsidRPr="002745E8" w14:paraId="1A1006AD" w14:textId="77777777" w:rsidTr="00E90F7B">
        <w:tc>
          <w:tcPr>
            <w:tcW w:w="1650" w:type="pct"/>
            <w:hideMark/>
          </w:tcPr>
          <w:p w14:paraId="13EA4410" w14:textId="77777777" w:rsidR="00767970" w:rsidRPr="002745E8" w:rsidRDefault="00767970" w:rsidP="00E90F7B">
            <w:pPr>
              <w:spacing w:after="160"/>
            </w:pPr>
            <w:r w:rsidRPr="002745E8">
              <w:t>Payables Days</w:t>
            </w:r>
          </w:p>
        </w:tc>
        <w:tc>
          <w:tcPr>
            <w:tcW w:w="735" w:type="pct"/>
            <w:hideMark/>
          </w:tcPr>
          <w:p w14:paraId="1D41CD4A" w14:textId="77777777" w:rsidR="00767970" w:rsidRPr="002745E8" w:rsidRDefault="00767970" w:rsidP="00E90F7B">
            <w:pPr>
              <w:spacing w:after="160"/>
            </w:pPr>
            <w:r w:rsidRPr="002745E8">
              <w:t>53</w:t>
            </w:r>
          </w:p>
        </w:tc>
        <w:tc>
          <w:tcPr>
            <w:tcW w:w="597" w:type="pct"/>
            <w:hideMark/>
          </w:tcPr>
          <w:p w14:paraId="006D618F" w14:textId="77777777" w:rsidR="00767970" w:rsidRPr="002745E8" w:rsidRDefault="00767970" w:rsidP="00E90F7B">
            <w:pPr>
              <w:spacing w:after="160"/>
            </w:pPr>
            <w:r w:rsidRPr="002745E8">
              <w:t>54</w:t>
            </w:r>
          </w:p>
        </w:tc>
        <w:tc>
          <w:tcPr>
            <w:tcW w:w="688" w:type="pct"/>
            <w:hideMark/>
          </w:tcPr>
          <w:p w14:paraId="7F445DF9" w14:textId="77777777" w:rsidR="00767970" w:rsidRPr="002745E8" w:rsidRDefault="00767970" w:rsidP="00E90F7B">
            <w:pPr>
              <w:spacing w:after="160"/>
            </w:pPr>
            <w:r w:rsidRPr="002745E8">
              <w:t>56</w:t>
            </w:r>
          </w:p>
        </w:tc>
        <w:tc>
          <w:tcPr>
            <w:tcW w:w="551" w:type="pct"/>
            <w:hideMark/>
          </w:tcPr>
          <w:p w14:paraId="7CD60E0B" w14:textId="77777777" w:rsidR="00767970" w:rsidRPr="002745E8" w:rsidRDefault="00767970" w:rsidP="00E90F7B">
            <w:pPr>
              <w:spacing w:after="160"/>
            </w:pPr>
            <w:r w:rsidRPr="002745E8">
              <w:t>57</w:t>
            </w:r>
          </w:p>
        </w:tc>
        <w:tc>
          <w:tcPr>
            <w:tcW w:w="779" w:type="pct"/>
            <w:hideMark/>
          </w:tcPr>
          <w:p w14:paraId="3AE5B9A7" w14:textId="77777777" w:rsidR="00767970" w:rsidRPr="002745E8" w:rsidRDefault="00767970" w:rsidP="00E90F7B">
            <w:pPr>
              <w:spacing w:after="160"/>
            </w:pPr>
            <w:r w:rsidRPr="002745E8">
              <w:t>55</w:t>
            </w:r>
          </w:p>
        </w:tc>
      </w:tr>
      <w:tr w:rsidR="00767970" w:rsidRPr="002745E8" w14:paraId="02B277DF" w14:textId="77777777" w:rsidTr="00E90F7B">
        <w:tc>
          <w:tcPr>
            <w:tcW w:w="1650" w:type="pct"/>
            <w:hideMark/>
          </w:tcPr>
          <w:p w14:paraId="73DCC781" w14:textId="77777777" w:rsidR="00767970" w:rsidRPr="002745E8" w:rsidRDefault="00767970" w:rsidP="00E90F7B">
            <w:pPr>
              <w:spacing w:after="160"/>
            </w:pPr>
            <w:r w:rsidRPr="002745E8">
              <w:t>Debt-to-Equity Ratio</w:t>
            </w:r>
          </w:p>
        </w:tc>
        <w:tc>
          <w:tcPr>
            <w:tcW w:w="735" w:type="pct"/>
            <w:hideMark/>
          </w:tcPr>
          <w:p w14:paraId="77DE8397" w14:textId="77777777" w:rsidR="00767970" w:rsidRPr="002745E8" w:rsidRDefault="00767970" w:rsidP="00E90F7B">
            <w:pPr>
              <w:spacing w:after="160"/>
            </w:pPr>
            <w:r w:rsidRPr="002745E8">
              <w:t>0.95</w:t>
            </w:r>
          </w:p>
        </w:tc>
        <w:tc>
          <w:tcPr>
            <w:tcW w:w="597" w:type="pct"/>
            <w:hideMark/>
          </w:tcPr>
          <w:p w14:paraId="2E6B2F11" w14:textId="77777777" w:rsidR="00767970" w:rsidRPr="002745E8" w:rsidRDefault="00767970" w:rsidP="00E90F7B">
            <w:pPr>
              <w:spacing w:after="160"/>
            </w:pPr>
            <w:r w:rsidRPr="002745E8">
              <w:t>1.00</w:t>
            </w:r>
          </w:p>
        </w:tc>
        <w:tc>
          <w:tcPr>
            <w:tcW w:w="688" w:type="pct"/>
            <w:hideMark/>
          </w:tcPr>
          <w:p w14:paraId="60F978B7" w14:textId="77777777" w:rsidR="00767970" w:rsidRPr="002745E8" w:rsidRDefault="00767970" w:rsidP="00E90F7B">
            <w:pPr>
              <w:spacing w:after="160"/>
            </w:pPr>
            <w:r w:rsidRPr="002745E8">
              <w:t>1.08</w:t>
            </w:r>
          </w:p>
        </w:tc>
        <w:tc>
          <w:tcPr>
            <w:tcW w:w="551" w:type="pct"/>
            <w:hideMark/>
          </w:tcPr>
          <w:p w14:paraId="5D98E0A4" w14:textId="77777777" w:rsidR="00767970" w:rsidRPr="002745E8" w:rsidRDefault="00767970" w:rsidP="00E90F7B">
            <w:pPr>
              <w:spacing w:after="160"/>
            </w:pPr>
            <w:r w:rsidRPr="002745E8">
              <w:t>1.10</w:t>
            </w:r>
          </w:p>
        </w:tc>
        <w:tc>
          <w:tcPr>
            <w:tcW w:w="779" w:type="pct"/>
            <w:hideMark/>
          </w:tcPr>
          <w:p w14:paraId="4CEEDD74" w14:textId="77777777" w:rsidR="00767970" w:rsidRPr="002745E8" w:rsidRDefault="00767970" w:rsidP="00E90F7B">
            <w:pPr>
              <w:spacing w:after="160"/>
            </w:pPr>
            <w:r w:rsidRPr="002745E8">
              <w:t>1.05</w:t>
            </w:r>
          </w:p>
        </w:tc>
      </w:tr>
      <w:tr w:rsidR="00767970" w:rsidRPr="002745E8" w14:paraId="6B90059F" w14:textId="77777777" w:rsidTr="00E90F7B">
        <w:tc>
          <w:tcPr>
            <w:tcW w:w="1650" w:type="pct"/>
            <w:hideMark/>
          </w:tcPr>
          <w:p w14:paraId="13AD597E" w14:textId="77777777" w:rsidR="00767970" w:rsidRPr="002745E8" w:rsidRDefault="00767970" w:rsidP="00E90F7B">
            <w:pPr>
              <w:spacing w:after="160"/>
            </w:pPr>
            <w:r w:rsidRPr="002745E8">
              <w:t>Interest Coverage (x)</w:t>
            </w:r>
          </w:p>
        </w:tc>
        <w:tc>
          <w:tcPr>
            <w:tcW w:w="735" w:type="pct"/>
            <w:hideMark/>
          </w:tcPr>
          <w:p w14:paraId="7C4EE215" w14:textId="77777777" w:rsidR="00767970" w:rsidRPr="002745E8" w:rsidRDefault="00767970" w:rsidP="00E90F7B">
            <w:pPr>
              <w:spacing w:after="160"/>
            </w:pPr>
            <w:r w:rsidRPr="002745E8">
              <w:t>12.1</w:t>
            </w:r>
          </w:p>
        </w:tc>
        <w:tc>
          <w:tcPr>
            <w:tcW w:w="597" w:type="pct"/>
            <w:hideMark/>
          </w:tcPr>
          <w:p w14:paraId="79443005" w14:textId="77777777" w:rsidR="00767970" w:rsidRPr="002745E8" w:rsidRDefault="00767970" w:rsidP="00E90F7B">
            <w:pPr>
              <w:spacing w:after="160"/>
            </w:pPr>
            <w:r w:rsidRPr="002745E8">
              <w:t>13.4</w:t>
            </w:r>
          </w:p>
        </w:tc>
        <w:tc>
          <w:tcPr>
            <w:tcW w:w="688" w:type="pct"/>
            <w:hideMark/>
          </w:tcPr>
          <w:p w14:paraId="47F31B57" w14:textId="77777777" w:rsidR="00767970" w:rsidRPr="002745E8" w:rsidRDefault="00767970" w:rsidP="00E90F7B">
            <w:pPr>
              <w:spacing w:after="160"/>
            </w:pPr>
            <w:r w:rsidRPr="002745E8">
              <w:t>14.2</w:t>
            </w:r>
          </w:p>
        </w:tc>
        <w:tc>
          <w:tcPr>
            <w:tcW w:w="551" w:type="pct"/>
            <w:hideMark/>
          </w:tcPr>
          <w:p w14:paraId="546CA542" w14:textId="77777777" w:rsidR="00767970" w:rsidRPr="002745E8" w:rsidRDefault="00767970" w:rsidP="00E90F7B">
            <w:pPr>
              <w:spacing w:after="160"/>
            </w:pPr>
            <w:r w:rsidRPr="002745E8">
              <w:t>17.1</w:t>
            </w:r>
          </w:p>
        </w:tc>
        <w:tc>
          <w:tcPr>
            <w:tcW w:w="779" w:type="pct"/>
            <w:hideMark/>
          </w:tcPr>
          <w:p w14:paraId="670CA7D8" w14:textId="77777777" w:rsidR="00767970" w:rsidRPr="002745E8" w:rsidRDefault="00767970" w:rsidP="00E90F7B">
            <w:pPr>
              <w:spacing w:after="160"/>
            </w:pPr>
            <w:r w:rsidRPr="002745E8">
              <w:t>19.7</w:t>
            </w:r>
          </w:p>
        </w:tc>
      </w:tr>
      <w:tr w:rsidR="00767970" w:rsidRPr="002745E8" w14:paraId="33073313" w14:textId="77777777" w:rsidTr="00E90F7B">
        <w:tc>
          <w:tcPr>
            <w:tcW w:w="1650" w:type="pct"/>
            <w:hideMark/>
          </w:tcPr>
          <w:p w14:paraId="0F34A425" w14:textId="77777777" w:rsidR="00767970" w:rsidRPr="002745E8" w:rsidRDefault="00767970" w:rsidP="00E90F7B">
            <w:pPr>
              <w:spacing w:after="160"/>
            </w:pPr>
            <w:r w:rsidRPr="002745E8">
              <w:t>EPS (¥)</w:t>
            </w:r>
          </w:p>
        </w:tc>
        <w:tc>
          <w:tcPr>
            <w:tcW w:w="735" w:type="pct"/>
            <w:hideMark/>
          </w:tcPr>
          <w:p w14:paraId="7189CAD2" w14:textId="77777777" w:rsidR="00767970" w:rsidRPr="002745E8" w:rsidRDefault="00767970" w:rsidP="00E90F7B">
            <w:pPr>
              <w:spacing w:after="160"/>
            </w:pPr>
            <w:r w:rsidRPr="002745E8">
              <w:t>175</w:t>
            </w:r>
          </w:p>
        </w:tc>
        <w:tc>
          <w:tcPr>
            <w:tcW w:w="597" w:type="pct"/>
            <w:hideMark/>
          </w:tcPr>
          <w:p w14:paraId="4E36E102" w14:textId="77777777" w:rsidR="00767970" w:rsidRPr="002745E8" w:rsidRDefault="00767970" w:rsidP="00E90F7B">
            <w:pPr>
              <w:spacing w:after="160"/>
            </w:pPr>
            <w:r w:rsidRPr="002745E8">
              <w:t>198</w:t>
            </w:r>
          </w:p>
        </w:tc>
        <w:tc>
          <w:tcPr>
            <w:tcW w:w="688" w:type="pct"/>
            <w:hideMark/>
          </w:tcPr>
          <w:p w14:paraId="2A62FA58" w14:textId="77777777" w:rsidR="00767970" w:rsidRPr="002745E8" w:rsidRDefault="00767970" w:rsidP="00E90F7B">
            <w:pPr>
              <w:spacing w:after="160"/>
            </w:pPr>
            <w:r w:rsidRPr="002745E8">
              <w:t>210</w:t>
            </w:r>
          </w:p>
        </w:tc>
        <w:tc>
          <w:tcPr>
            <w:tcW w:w="551" w:type="pct"/>
            <w:hideMark/>
          </w:tcPr>
          <w:p w14:paraId="322ADC09" w14:textId="77777777" w:rsidR="00767970" w:rsidRPr="002745E8" w:rsidRDefault="00767970" w:rsidP="00E90F7B">
            <w:pPr>
              <w:spacing w:after="160"/>
            </w:pPr>
            <w:r w:rsidRPr="002745E8">
              <w:t>320</w:t>
            </w:r>
          </w:p>
        </w:tc>
        <w:tc>
          <w:tcPr>
            <w:tcW w:w="779" w:type="pct"/>
            <w:hideMark/>
          </w:tcPr>
          <w:p w14:paraId="3148057C" w14:textId="77777777" w:rsidR="00767970" w:rsidRPr="002745E8" w:rsidRDefault="00767970" w:rsidP="00E90F7B">
            <w:pPr>
              <w:spacing w:after="160"/>
            </w:pPr>
            <w:r w:rsidRPr="002745E8">
              <w:t>387</w:t>
            </w:r>
          </w:p>
        </w:tc>
      </w:tr>
      <w:tr w:rsidR="00767970" w:rsidRPr="002745E8" w14:paraId="6F49D60B" w14:textId="77777777" w:rsidTr="00E90F7B">
        <w:tc>
          <w:tcPr>
            <w:tcW w:w="1650" w:type="pct"/>
            <w:hideMark/>
          </w:tcPr>
          <w:p w14:paraId="363F2F41" w14:textId="77777777" w:rsidR="00767970" w:rsidRPr="002745E8" w:rsidRDefault="00767970" w:rsidP="00E90F7B">
            <w:pPr>
              <w:spacing w:after="160"/>
            </w:pPr>
            <w:r w:rsidRPr="002745E8">
              <w:t>Operating CF / Net Income</w:t>
            </w:r>
          </w:p>
        </w:tc>
        <w:tc>
          <w:tcPr>
            <w:tcW w:w="735" w:type="pct"/>
            <w:hideMark/>
          </w:tcPr>
          <w:p w14:paraId="310491CD" w14:textId="77777777" w:rsidR="00767970" w:rsidRPr="002745E8" w:rsidRDefault="00767970" w:rsidP="00E90F7B">
            <w:pPr>
              <w:spacing w:after="160"/>
            </w:pPr>
            <w:r w:rsidRPr="002745E8">
              <w:t>1.72</w:t>
            </w:r>
          </w:p>
        </w:tc>
        <w:tc>
          <w:tcPr>
            <w:tcW w:w="597" w:type="pct"/>
            <w:hideMark/>
          </w:tcPr>
          <w:p w14:paraId="175A405D" w14:textId="77777777" w:rsidR="00767970" w:rsidRPr="002745E8" w:rsidRDefault="00767970" w:rsidP="00E90F7B">
            <w:pPr>
              <w:spacing w:after="160"/>
            </w:pPr>
            <w:r w:rsidRPr="002745E8">
              <w:t>1.80</w:t>
            </w:r>
          </w:p>
        </w:tc>
        <w:tc>
          <w:tcPr>
            <w:tcW w:w="688" w:type="pct"/>
            <w:hideMark/>
          </w:tcPr>
          <w:p w14:paraId="7C63EFEC" w14:textId="77777777" w:rsidR="00767970" w:rsidRPr="002745E8" w:rsidRDefault="00767970" w:rsidP="00E90F7B">
            <w:pPr>
              <w:spacing w:after="160"/>
            </w:pPr>
            <w:r w:rsidRPr="002745E8">
              <w:t>1.75</w:t>
            </w:r>
          </w:p>
        </w:tc>
        <w:tc>
          <w:tcPr>
            <w:tcW w:w="551" w:type="pct"/>
            <w:hideMark/>
          </w:tcPr>
          <w:p w14:paraId="20F81D28" w14:textId="77777777" w:rsidR="00767970" w:rsidRPr="002745E8" w:rsidRDefault="00767970" w:rsidP="00E90F7B">
            <w:pPr>
              <w:spacing w:after="160"/>
            </w:pPr>
            <w:r w:rsidRPr="002745E8">
              <w:t>1.91</w:t>
            </w:r>
          </w:p>
        </w:tc>
        <w:tc>
          <w:tcPr>
            <w:tcW w:w="779" w:type="pct"/>
            <w:hideMark/>
          </w:tcPr>
          <w:p w14:paraId="69835B13" w14:textId="77777777" w:rsidR="00767970" w:rsidRPr="002745E8" w:rsidRDefault="00767970" w:rsidP="00E90F7B">
            <w:pPr>
              <w:spacing w:after="160"/>
            </w:pPr>
            <w:r w:rsidRPr="002745E8">
              <w:t>1.98</w:t>
            </w:r>
          </w:p>
        </w:tc>
      </w:tr>
    </w:tbl>
    <w:p w14:paraId="7EA564A5" w14:textId="77777777" w:rsidR="00767970" w:rsidRDefault="00767970" w:rsidP="00767970"/>
    <w:p w14:paraId="2A130980" w14:textId="77777777" w:rsidR="00767970" w:rsidRDefault="00767970" w:rsidP="00767970">
      <w:pPr>
        <w:spacing w:line="278" w:lineRule="auto"/>
        <w:jc w:val="left"/>
      </w:pPr>
      <w:r>
        <w:br w:type="page"/>
      </w:r>
    </w:p>
    <w:p w14:paraId="37603B35" w14:textId="77777777" w:rsidR="00767970" w:rsidRDefault="00767970" w:rsidP="00767970">
      <w:pPr>
        <w:pStyle w:val="Heading2"/>
      </w:pPr>
      <w:bookmarkStart w:id="31" w:name="_Toc227285505"/>
      <w:r w:rsidRPr="002745E8">
        <w:lastRenderedPageBreak/>
        <w:t>Appendix B: Investment Appraisal Summary</w:t>
      </w:r>
      <w:bookmarkEnd w:id="31"/>
    </w:p>
    <w:tbl>
      <w:tblPr>
        <w:tblStyle w:val="TableGrid"/>
        <w:tblW w:w="5000" w:type="pct"/>
        <w:tblLook w:val="04A0" w:firstRow="1" w:lastRow="0" w:firstColumn="1" w:lastColumn="0" w:noHBand="0" w:noVBand="1"/>
      </w:tblPr>
      <w:tblGrid>
        <w:gridCol w:w="3814"/>
        <w:gridCol w:w="1839"/>
        <w:gridCol w:w="1838"/>
        <w:gridCol w:w="1859"/>
      </w:tblGrid>
      <w:tr w:rsidR="00767970" w:rsidRPr="002745E8" w14:paraId="1538AB7D" w14:textId="77777777" w:rsidTr="00E90F7B">
        <w:tc>
          <w:tcPr>
            <w:tcW w:w="2039" w:type="pct"/>
            <w:noWrap/>
            <w:hideMark/>
          </w:tcPr>
          <w:p w14:paraId="01CC3394" w14:textId="77777777" w:rsidR="00767970" w:rsidRPr="002745E8" w:rsidRDefault="00767970" w:rsidP="00E90F7B">
            <w:pPr>
              <w:spacing w:after="160"/>
              <w:rPr>
                <w:b/>
                <w:bCs/>
              </w:rPr>
            </w:pPr>
            <w:r w:rsidRPr="002745E8">
              <w:rPr>
                <w:b/>
                <w:bCs/>
              </w:rPr>
              <w:t>Metric</w:t>
            </w:r>
          </w:p>
        </w:tc>
        <w:tc>
          <w:tcPr>
            <w:tcW w:w="983" w:type="pct"/>
            <w:noWrap/>
            <w:hideMark/>
          </w:tcPr>
          <w:p w14:paraId="11E367A5" w14:textId="77777777" w:rsidR="00767970" w:rsidRPr="002745E8" w:rsidRDefault="00767970" w:rsidP="00E90F7B">
            <w:pPr>
              <w:spacing w:after="160"/>
              <w:rPr>
                <w:b/>
                <w:bCs/>
              </w:rPr>
            </w:pPr>
            <w:r w:rsidRPr="002745E8">
              <w:rPr>
                <w:b/>
                <w:bCs/>
              </w:rPr>
              <w:t>Project A</w:t>
            </w:r>
          </w:p>
        </w:tc>
        <w:tc>
          <w:tcPr>
            <w:tcW w:w="983" w:type="pct"/>
            <w:noWrap/>
            <w:hideMark/>
          </w:tcPr>
          <w:p w14:paraId="5C0BE53B" w14:textId="77777777" w:rsidR="00767970" w:rsidRPr="002745E8" w:rsidRDefault="00767970" w:rsidP="00E90F7B">
            <w:pPr>
              <w:spacing w:after="160"/>
              <w:rPr>
                <w:b/>
                <w:bCs/>
              </w:rPr>
            </w:pPr>
            <w:r w:rsidRPr="002745E8">
              <w:rPr>
                <w:b/>
                <w:bCs/>
              </w:rPr>
              <w:t>Project B</w:t>
            </w:r>
          </w:p>
        </w:tc>
        <w:tc>
          <w:tcPr>
            <w:tcW w:w="994" w:type="pct"/>
            <w:noWrap/>
            <w:hideMark/>
          </w:tcPr>
          <w:p w14:paraId="4F65F36E" w14:textId="77777777" w:rsidR="00767970" w:rsidRPr="002745E8" w:rsidRDefault="00767970" w:rsidP="00E90F7B">
            <w:pPr>
              <w:spacing w:after="160"/>
              <w:rPr>
                <w:b/>
                <w:bCs/>
              </w:rPr>
            </w:pPr>
            <w:r w:rsidRPr="002745E8">
              <w:rPr>
                <w:b/>
                <w:bCs/>
              </w:rPr>
              <w:t>Project C</w:t>
            </w:r>
          </w:p>
        </w:tc>
      </w:tr>
      <w:tr w:rsidR="00767970" w:rsidRPr="002745E8" w14:paraId="248CE474" w14:textId="77777777" w:rsidTr="00E90F7B">
        <w:tc>
          <w:tcPr>
            <w:tcW w:w="2039" w:type="pct"/>
            <w:hideMark/>
          </w:tcPr>
          <w:p w14:paraId="3A179CCC" w14:textId="77777777" w:rsidR="00767970" w:rsidRPr="002745E8" w:rsidRDefault="00767970" w:rsidP="00E90F7B">
            <w:pPr>
              <w:spacing w:after="160"/>
            </w:pPr>
            <w:r w:rsidRPr="002745E8">
              <w:t>Initial Investment (£m)</w:t>
            </w:r>
          </w:p>
        </w:tc>
        <w:tc>
          <w:tcPr>
            <w:tcW w:w="983" w:type="pct"/>
            <w:hideMark/>
          </w:tcPr>
          <w:p w14:paraId="36E71567" w14:textId="77777777" w:rsidR="00767970" w:rsidRPr="002745E8" w:rsidRDefault="00767970" w:rsidP="00E90F7B">
            <w:pPr>
              <w:spacing w:after="160"/>
            </w:pPr>
            <w:r w:rsidRPr="002745E8">
              <w:t>50</w:t>
            </w:r>
          </w:p>
        </w:tc>
        <w:tc>
          <w:tcPr>
            <w:tcW w:w="983" w:type="pct"/>
            <w:hideMark/>
          </w:tcPr>
          <w:p w14:paraId="5A2CDB58" w14:textId="77777777" w:rsidR="00767970" w:rsidRPr="002745E8" w:rsidRDefault="00767970" w:rsidP="00E90F7B">
            <w:pPr>
              <w:spacing w:after="160"/>
            </w:pPr>
            <w:r w:rsidRPr="002745E8">
              <w:t>50</w:t>
            </w:r>
          </w:p>
        </w:tc>
        <w:tc>
          <w:tcPr>
            <w:tcW w:w="994" w:type="pct"/>
            <w:hideMark/>
          </w:tcPr>
          <w:p w14:paraId="05E7B163" w14:textId="77777777" w:rsidR="00767970" w:rsidRPr="002745E8" w:rsidRDefault="00767970" w:rsidP="00E90F7B">
            <w:pPr>
              <w:spacing w:after="160"/>
            </w:pPr>
            <w:r w:rsidRPr="002745E8">
              <w:t>50</w:t>
            </w:r>
          </w:p>
        </w:tc>
      </w:tr>
      <w:tr w:rsidR="00767970" w:rsidRPr="002745E8" w14:paraId="75BA571F" w14:textId="77777777" w:rsidTr="00E90F7B">
        <w:tc>
          <w:tcPr>
            <w:tcW w:w="2039" w:type="pct"/>
            <w:hideMark/>
          </w:tcPr>
          <w:p w14:paraId="4C25068A" w14:textId="77777777" w:rsidR="00767970" w:rsidRPr="002745E8" w:rsidRDefault="00767970" w:rsidP="00E90F7B">
            <w:pPr>
              <w:spacing w:after="160"/>
            </w:pPr>
            <w:r w:rsidRPr="002745E8">
              <w:t>Total Inflows (£m)</w:t>
            </w:r>
          </w:p>
        </w:tc>
        <w:tc>
          <w:tcPr>
            <w:tcW w:w="983" w:type="pct"/>
            <w:hideMark/>
          </w:tcPr>
          <w:p w14:paraId="4378B227" w14:textId="77777777" w:rsidR="00767970" w:rsidRPr="002745E8" w:rsidRDefault="00767970" w:rsidP="00E90F7B">
            <w:pPr>
              <w:spacing w:after="160"/>
            </w:pPr>
            <w:r w:rsidRPr="002745E8">
              <w:t>54</w:t>
            </w:r>
          </w:p>
        </w:tc>
        <w:tc>
          <w:tcPr>
            <w:tcW w:w="983" w:type="pct"/>
            <w:hideMark/>
          </w:tcPr>
          <w:p w14:paraId="085749BA" w14:textId="77777777" w:rsidR="00767970" w:rsidRPr="002745E8" w:rsidRDefault="00767970" w:rsidP="00E90F7B">
            <w:pPr>
              <w:spacing w:after="160"/>
            </w:pPr>
            <w:r w:rsidRPr="002745E8">
              <w:t>55</w:t>
            </w:r>
          </w:p>
        </w:tc>
        <w:tc>
          <w:tcPr>
            <w:tcW w:w="994" w:type="pct"/>
            <w:hideMark/>
          </w:tcPr>
          <w:p w14:paraId="17B429F5" w14:textId="77777777" w:rsidR="00767970" w:rsidRPr="002745E8" w:rsidRDefault="00767970" w:rsidP="00E90F7B">
            <w:pPr>
              <w:spacing w:after="160"/>
            </w:pPr>
            <w:r w:rsidRPr="002745E8">
              <w:t>65</w:t>
            </w:r>
          </w:p>
        </w:tc>
      </w:tr>
      <w:tr w:rsidR="00767970" w:rsidRPr="002745E8" w14:paraId="46944613" w14:textId="77777777" w:rsidTr="00E90F7B">
        <w:tc>
          <w:tcPr>
            <w:tcW w:w="2039" w:type="pct"/>
            <w:hideMark/>
          </w:tcPr>
          <w:p w14:paraId="08AD262B" w14:textId="77777777" w:rsidR="00767970" w:rsidRPr="002745E8" w:rsidRDefault="00767970" w:rsidP="00E90F7B">
            <w:pPr>
              <w:spacing w:after="160"/>
            </w:pPr>
            <w:r w:rsidRPr="002745E8">
              <w:t>PBP (years)</w:t>
            </w:r>
          </w:p>
        </w:tc>
        <w:tc>
          <w:tcPr>
            <w:tcW w:w="983" w:type="pct"/>
            <w:hideMark/>
          </w:tcPr>
          <w:p w14:paraId="759DF44B" w14:textId="77777777" w:rsidR="00767970" w:rsidRPr="002745E8" w:rsidRDefault="00767970" w:rsidP="00E90F7B">
            <w:pPr>
              <w:spacing w:after="160"/>
            </w:pPr>
            <w:r w:rsidRPr="002745E8">
              <w:t>4.50</w:t>
            </w:r>
          </w:p>
        </w:tc>
        <w:tc>
          <w:tcPr>
            <w:tcW w:w="983" w:type="pct"/>
            <w:hideMark/>
          </w:tcPr>
          <w:p w14:paraId="47B1D5AF" w14:textId="77777777" w:rsidR="00767970" w:rsidRPr="002745E8" w:rsidRDefault="00767970" w:rsidP="00E90F7B">
            <w:pPr>
              <w:spacing w:after="160"/>
            </w:pPr>
            <w:r w:rsidRPr="002745E8">
              <w:t>4.55</w:t>
            </w:r>
          </w:p>
        </w:tc>
        <w:tc>
          <w:tcPr>
            <w:tcW w:w="994" w:type="pct"/>
            <w:hideMark/>
          </w:tcPr>
          <w:p w14:paraId="0C5F7EE8" w14:textId="77777777" w:rsidR="00767970" w:rsidRPr="002745E8" w:rsidRDefault="00767970" w:rsidP="00E90F7B">
            <w:pPr>
              <w:spacing w:after="160"/>
            </w:pPr>
            <w:r w:rsidRPr="002745E8">
              <w:t>3.60</w:t>
            </w:r>
          </w:p>
        </w:tc>
      </w:tr>
      <w:tr w:rsidR="00767970" w:rsidRPr="002745E8" w14:paraId="32269C5F" w14:textId="77777777" w:rsidTr="00E90F7B">
        <w:tc>
          <w:tcPr>
            <w:tcW w:w="2039" w:type="pct"/>
            <w:hideMark/>
          </w:tcPr>
          <w:p w14:paraId="41511ECB" w14:textId="77777777" w:rsidR="00767970" w:rsidRPr="002745E8" w:rsidRDefault="00767970" w:rsidP="00E90F7B">
            <w:pPr>
              <w:spacing w:after="160"/>
            </w:pPr>
            <w:r w:rsidRPr="002745E8">
              <w:t>ARR (%)</w:t>
            </w:r>
          </w:p>
        </w:tc>
        <w:tc>
          <w:tcPr>
            <w:tcW w:w="983" w:type="pct"/>
            <w:hideMark/>
          </w:tcPr>
          <w:p w14:paraId="60172E0E" w14:textId="77777777" w:rsidR="00767970" w:rsidRPr="002745E8" w:rsidRDefault="00767970" w:rsidP="00E90F7B">
            <w:pPr>
              <w:spacing w:after="160"/>
            </w:pPr>
            <w:r w:rsidRPr="002745E8">
              <w:t>3.2</w:t>
            </w:r>
          </w:p>
        </w:tc>
        <w:tc>
          <w:tcPr>
            <w:tcW w:w="983" w:type="pct"/>
            <w:hideMark/>
          </w:tcPr>
          <w:p w14:paraId="744EC6E5" w14:textId="77777777" w:rsidR="00767970" w:rsidRPr="002745E8" w:rsidRDefault="00767970" w:rsidP="00E90F7B">
            <w:pPr>
              <w:spacing w:after="160"/>
            </w:pPr>
            <w:r w:rsidRPr="002745E8">
              <w:t>4.0</w:t>
            </w:r>
          </w:p>
        </w:tc>
        <w:tc>
          <w:tcPr>
            <w:tcW w:w="994" w:type="pct"/>
            <w:hideMark/>
          </w:tcPr>
          <w:p w14:paraId="0D312A0B" w14:textId="77777777" w:rsidR="00767970" w:rsidRPr="002745E8" w:rsidRDefault="00767970" w:rsidP="00E90F7B">
            <w:pPr>
              <w:spacing w:after="160"/>
            </w:pPr>
            <w:r w:rsidRPr="002745E8">
              <w:t>12.0</w:t>
            </w:r>
          </w:p>
        </w:tc>
      </w:tr>
      <w:tr w:rsidR="00767970" w:rsidRPr="002745E8" w14:paraId="6F4FE2F9" w14:textId="77777777" w:rsidTr="00E90F7B">
        <w:tc>
          <w:tcPr>
            <w:tcW w:w="2039" w:type="pct"/>
            <w:hideMark/>
          </w:tcPr>
          <w:p w14:paraId="0E49C115" w14:textId="77777777" w:rsidR="00767970" w:rsidRPr="002745E8" w:rsidRDefault="00767970" w:rsidP="00E90F7B">
            <w:pPr>
              <w:spacing w:after="160"/>
            </w:pPr>
            <w:r w:rsidRPr="002745E8">
              <w:t>NPV at 10% (£m)</w:t>
            </w:r>
          </w:p>
        </w:tc>
        <w:tc>
          <w:tcPr>
            <w:tcW w:w="983" w:type="pct"/>
            <w:hideMark/>
          </w:tcPr>
          <w:p w14:paraId="3E80EA91" w14:textId="77777777" w:rsidR="00767970" w:rsidRPr="002745E8" w:rsidRDefault="00767970" w:rsidP="00E90F7B">
            <w:pPr>
              <w:spacing w:after="160"/>
            </w:pPr>
            <w:r w:rsidRPr="002745E8">
              <w:t>−8.69</w:t>
            </w:r>
          </w:p>
        </w:tc>
        <w:tc>
          <w:tcPr>
            <w:tcW w:w="983" w:type="pct"/>
            <w:hideMark/>
          </w:tcPr>
          <w:p w14:paraId="72B38F65" w14:textId="77777777" w:rsidR="00767970" w:rsidRPr="002745E8" w:rsidRDefault="00767970" w:rsidP="00E90F7B">
            <w:pPr>
              <w:spacing w:after="160"/>
            </w:pPr>
            <w:r w:rsidRPr="002745E8">
              <w:t>−8.30</w:t>
            </w:r>
          </w:p>
        </w:tc>
        <w:tc>
          <w:tcPr>
            <w:tcW w:w="994" w:type="pct"/>
            <w:hideMark/>
          </w:tcPr>
          <w:p w14:paraId="6D9103E9" w14:textId="77777777" w:rsidR="00767970" w:rsidRPr="002745E8" w:rsidRDefault="00767970" w:rsidP="00E90F7B">
            <w:pPr>
              <w:spacing w:after="160"/>
            </w:pPr>
            <w:r w:rsidRPr="002745E8">
              <w:t>−1.98</w:t>
            </w:r>
          </w:p>
        </w:tc>
      </w:tr>
      <w:tr w:rsidR="00767970" w:rsidRPr="002745E8" w14:paraId="0BA640C3" w14:textId="77777777" w:rsidTr="00E90F7B">
        <w:tc>
          <w:tcPr>
            <w:tcW w:w="2039" w:type="pct"/>
            <w:hideMark/>
          </w:tcPr>
          <w:p w14:paraId="66C368DC" w14:textId="77777777" w:rsidR="00767970" w:rsidRPr="002745E8" w:rsidRDefault="00767970" w:rsidP="00E90F7B">
            <w:pPr>
              <w:spacing w:after="160"/>
            </w:pPr>
            <w:r w:rsidRPr="002745E8">
              <w:t>PI</w:t>
            </w:r>
          </w:p>
        </w:tc>
        <w:tc>
          <w:tcPr>
            <w:tcW w:w="983" w:type="pct"/>
            <w:hideMark/>
          </w:tcPr>
          <w:p w14:paraId="719AAA3E" w14:textId="77777777" w:rsidR="00767970" w:rsidRPr="002745E8" w:rsidRDefault="00767970" w:rsidP="00E90F7B">
            <w:pPr>
              <w:spacing w:after="160"/>
            </w:pPr>
            <w:r w:rsidRPr="002745E8">
              <w:t>0.826</w:t>
            </w:r>
          </w:p>
        </w:tc>
        <w:tc>
          <w:tcPr>
            <w:tcW w:w="983" w:type="pct"/>
            <w:hideMark/>
          </w:tcPr>
          <w:p w14:paraId="5582030F" w14:textId="77777777" w:rsidR="00767970" w:rsidRPr="002745E8" w:rsidRDefault="00767970" w:rsidP="00E90F7B">
            <w:pPr>
              <w:spacing w:after="160"/>
            </w:pPr>
            <w:r w:rsidRPr="002745E8">
              <w:t>0.834</w:t>
            </w:r>
          </w:p>
        </w:tc>
        <w:tc>
          <w:tcPr>
            <w:tcW w:w="994" w:type="pct"/>
            <w:hideMark/>
          </w:tcPr>
          <w:p w14:paraId="77BC3E12" w14:textId="77777777" w:rsidR="00767970" w:rsidRPr="002745E8" w:rsidRDefault="00767970" w:rsidP="00E90F7B">
            <w:pPr>
              <w:spacing w:after="160"/>
            </w:pPr>
            <w:r w:rsidRPr="002745E8">
              <w:t>0.960</w:t>
            </w:r>
          </w:p>
        </w:tc>
      </w:tr>
      <w:tr w:rsidR="00767970" w:rsidRPr="002745E8" w14:paraId="570DAAA1" w14:textId="77777777" w:rsidTr="00E90F7B">
        <w:tc>
          <w:tcPr>
            <w:tcW w:w="2039" w:type="pct"/>
            <w:hideMark/>
          </w:tcPr>
          <w:p w14:paraId="040F3503" w14:textId="77777777" w:rsidR="00767970" w:rsidRPr="002745E8" w:rsidRDefault="00767970" w:rsidP="00E90F7B">
            <w:pPr>
              <w:spacing w:after="160"/>
            </w:pPr>
            <w:r w:rsidRPr="002745E8">
              <w:t>IRR (approx.)</w:t>
            </w:r>
          </w:p>
        </w:tc>
        <w:tc>
          <w:tcPr>
            <w:tcW w:w="983" w:type="pct"/>
            <w:hideMark/>
          </w:tcPr>
          <w:p w14:paraId="56716218" w14:textId="77777777" w:rsidR="00767970" w:rsidRPr="002745E8" w:rsidRDefault="00767970" w:rsidP="00E90F7B">
            <w:pPr>
              <w:spacing w:after="160"/>
            </w:pPr>
            <w:r w:rsidRPr="002745E8">
              <w:t>~5–6%</w:t>
            </w:r>
          </w:p>
        </w:tc>
        <w:tc>
          <w:tcPr>
            <w:tcW w:w="983" w:type="pct"/>
            <w:hideMark/>
          </w:tcPr>
          <w:p w14:paraId="56CD20CA" w14:textId="77777777" w:rsidR="00767970" w:rsidRPr="002745E8" w:rsidRDefault="00767970" w:rsidP="00E90F7B">
            <w:pPr>
              <w:spacing w:after="160"/>
            </w:pPr>
            <w:r w:rsidRPr="002745E8">
              <w:t>~6.0%</w:t>
            </w:r>
          </w:p>
        </w:tc>
        <w:tc>
          <w:tcPr>
            <w:tcW w:w="994" w:type="pct"/>
            <w:hideMark/>
          </w:tcPr>
          <w:p w14:paraId="166FB8B5" w14:textId="77777777" w:rsidR="00767970" w:rsidRPr="002745E8" w:rsidRDefault="00767970" w:rsidP="00E90F7B">
            <w:pPr>
              <w:spacing w:after="160"/>
            </w:pPr>
            <w:r w:rsidRPr="002745E8">
              <w:t>~9.1%</w:t>
            </w:r>
          </w:p>
        </w:tc>
      </w:tr>
    </w:tbl>
    <w:p w14:paraId="4257C924" w14:textId="77777777" w:rsidR="00767970" w:rsidRDefault="00767970" w:rsidP="00767970"/>
    <w:p w14:paraId="3CCC3E13" w14:textId="77777777" w:rsidR="00767970" w:rsidRDefault="00767970" w:rsidP="00767970">
      <w:pPr>
        <w:pStyle w:val="Heading2"/>
      </w:pPr>
      <w:bookmarkStart w:id="32" w:name="_Toc227285506"/>
      <w:r w:rsidRPr="002745E8">
        <w:t>Appendix C: Capital Rationing Summary</w:t>
      </w:r>
      <w:bookmarkEnd w:id="32"/>
    </w:p>
    <w:tbl>
      <w:tblPr>
        <w:tblStyle w:val="TableGrid"/>
        <w:tblW w:w="5000" w:type="pct"/>
        <w:tblLook w:val="04A0" w:firstRow="1" w:lastRow="0" w:firstColumn="1" w:lastColumn="0" w:noHBand="0" w:noVBand="1"/>
      </w:tblPr>
      <w:tblGrid>
        <w:gridCol w:w="1675"/>
        <w:gridCol w:w="2797"/>
        <w:gridCol w:w="2655"/>
        <w:gridCol w:w="2223"/>
      </w:tblGrid>
      <w:tr w:rsidR="00767970" w:rsidRPr="002745E8" w14:paraId="715B232E" w14:textId="77777777" w:rsidTr="00E90F7B">
        <w:tc>
          <w:tcPr>
            <w:tcW w:w="895" w:type="pct"/>
            <w:noWrap/>
            <w:hideMark/>
          </w:tcPr>
          <w:p w14:paraId="02762A22" w14:textId="77777777" w:rsidR="00767970" w:rsidRPr="002745E8" w:rsidRDefault="00767970" w:rsidP="00E90F7B">
            <w:pPr>
              <w:spacing w:after="160"/>
              <w:rPr>
                <w:b/>
                <w:bCs/>
              </w:rPr>
            </w:pPr>
            <w:r w:rsidRPr="002745E8">
              <w:rPr>
                <w:b/>
                <w:bCs/>
              </w:rPr>
              <w:t>Combination</w:t>
            </w:r>
          </w:p>
        </w:tc>
        <w:tc>
          <w:tcPr>
            <w:tcW w:w="1495" w:type="pct"/>
            <w:noWrap/>
            <w:hideMark/>
          </w:tcPr>
          <w:p w14:paraId="0A3B1BEB" w14:textId="77777777" w:rsidR="00767970" w:rsidRPr="002745E8" w:rsidRDefault="00767970" w:rsidP="00E90F7B">
            <w:pPr>
              <w:spacing w:after="160"/>
              <w:rPr>
                <w:b/>
                <w:bCs/>
              </w:rPr>
            </w:pPr>
            <w:r w:rsidRPr="002745E8">
              <w:rPr>
                <w:b/>
                <w:bCs/>
              </w:rPr>
              <w:t>Total Investment (£m)</w:t>
            </w:r>
          </w:p>
        </w:tc>
        <w:tc>
          <w:tcPr>
            <w:tcW w:w="1420" w:type="pct"/>
            <w:noWrap/>
            <w:hideMark/>
          </w:tcPr>
          <w:p w14:paraId="18AAB761" w14:textId="77777777" w:rsidR="00767970" w:rsidRPr="002745E8" w:rsidRDefault="00767970" w:rsidP="00E90F7B">
            <w:pPr>
              <w:spacing w:after="160"/>
              <w:rPr>
                <w:b/>
                <w:bCs/>
              </w:rPr>
            </w:pPr>
            <w:r w:rsidRPr="002745E8">
              <w:rPr>
                <w:b/>
                <w:bCs/>
              </w:rPr>
              <w:t>Combined NPV (£m)</w:t>
            </w:r>
          </w:p>
        </w:tc>
        <w:tc>
          <w:tcPr>
            <w:tcW w:w="1189" w:type="pct"/>
            <w:noWrap/>
            <w:hideMark/>
          </w:tcPr>
          <w:p w14:paraId="6849C6C3" w14:textId="77777777" w:rsidR="00767970" w:rsidRPr="002745E8" w:rsidRDefault="00767970" w:rsidP="00E90F7B">
            <w:pPr>
              <w:spacing w:after="160"/>
              <w:rPr>
                <w:b/>
                <w:bCs/>
              </w:rPr>
            </w:pPr>
            <w:r w:rsidRPr="002745E8">
              <w:rPr>
                <w:b/>
                <w:bCs/>
              </w:rPr>
              <w:t>Recommendation</w:t>
            </w:r>
          </w:p>
        </w:tc>
      </w:tr>
      <w:tr w:rsidR="00767970" w:rsidRPr="002745E8" w14:paraId="00024CD4" w14:textId="77777777" w:rsidTr="00E90F7B">
        <w:tc>
          <w:tcPr>
            <w:tcW w:w="895" w:type="pct"/>
            <w:hideMark/>
          </w:tcPr>
          <w:p w14:paraId="5061994A" w14:textId="77777777" w:rsidR="00767970" w:rsidRPr="002745E8" w:rsidRDefault="00767970" w:rsidP="00E90F7B">
            <w:pPr>
              <w:spacing w:after="160"/>
            </w:pPr>
            <w:r w:rsidRPr="002745E8">
              <w:t>A + B</w:t>
            </w:r>
          </w:p>
        </w:tc>
        <w:tc>
          <w:tcPr>
            <w:tcW w:w="1495" w:type="pct"/>
            <w:hideMark/>
          </w:tcPr>
          <w:p w14:paraId="4B429635" w14:textId="77777777" w:rsidR="00767970" w:rsidRPr="002745E8" w:rsidRDefault="00767970" w:rsidP="00E90F7B">
            <w:pPr>
              <w:spacing w:after="160"/>
            </w:pPr>
            <w:r w:rsidRPr="002745E8">
              <w:t>100</w:t>
            </w:r>
          </w:p>
        </w:tc>
        <w:tc>
          <w:tcPr>
            <w:tcW w:w="1420" w:type="pct"/>
            <w:hideMark/>
          </w:tcPr>
          <w:p w14:paraId="54893F6D" w14:textId="77777777" w:rsidR="00767970" w:rsidRPr="002745E8" w:rsidRDefault="00767970" w:rsidP="00E90F7B">
            <w:pPr>
              <w:spacing w:after="160"/>
            </w:pPr>
            <w:r w:rsidRPr="002745E8">
              <w:t>−17.00</w:t>
            </w:r>
          </w:p>
        </w:tc>
        <w:tc>
          <w:tcPr>
            <w:tcW w:w="1189" w:type="pct"/>
            <w:hideMark/>
          </w:tcPr>
          <w:p w14:paraId="30532013" w14:textId="77777777" w:rsidR="00767970" w:rsidRPr="002745E8" w:rsidRDefault="00767970" w:rsidP="00E90F7B">
            <w:pPr>
              <w:spacing w:after="160"/>
            </w:pPr>
            <w:r w:rsidRPr="002745E8">
              <w:t>Not recommended</w:t>
            </w:r>
          </w:p>
        </w:tc>
      </w:tr>
      <w:tr w:rsidR="00767970" w:rsidRPr="002745E8" w14:paraId="570740D4" w14:textId="77777777" w:rsidTr="00E90F7B">
        <w:tc>
          <w:tcPr>
            <w:tcW w:w="895" w:type="pct"/>
            <w:hideMark/>
          </w:tcPr>
          <w:p w14:paraId="7349FEE9" w14:textId="77777777" w:rsidR="00767970" w:rsidRPr="002745E8" w:rsidRDefault="00767970" w:rsidP="00E90F7B">
            <w:pPr>
              <w:spacing w:after="160"/>
            </w:pPr>
            <w:r w:rsidRPr="002745E8">
              <w:t>A + C</w:t>
            </w:r>
          </w:p>
        </w:tc>
        <w:tc>
          <w:tcPr>
            <w:tcW w:w="1495" w:type="pct"/>
            <w:hideMark/>
          </w:tcPr>
          <w:p w14:paraId="78C51CB0" w14:textId="77777777" w:rsidR="00767970" w:rsidRPr="002745E8" w:rsidRDefault="00767970" w:rsidP="00E90F7B">
            <w:pPr>
              <w:spacing w:after="160"/>
            </w:pPr>
            <w:r w:rsidRPr="002745E8">
              <w:t>100</w:t>
            </w:r>
          </w:p>
        </w:tc>
        <w:tc>
          <w:tcPr>
            <w:tcW w:w="1420" w:type="pct"/>
            <w:hideMark/>
          </w:tcPr>
          <w:p w14:paraId="3CEA973B" w14:textId="77777777" w:rsidR="00767970" w:rsidRPr="002745E8" w:rsidRDefault="00767970" w:rsidP="00E90F7B">
            <w:pPr>
              <w:spacing w:after="160"/>
            </w:pPr>
            <w:r w:rsidRPr="002745E8">
              <w:t>−10.67</w:t>
            </w:r>
          </w:p>
        </w:tc>
        <w:tc>
          <w:tcPr>
            <w:tcW w:w="1189" w:type="pct"/>
            <w:hideMark/>
          </w:tcPr>
          <w:p w14:paraId="0EB87FB0" w14:textId="77777777" w:rsidR="00767970" w:rsidRPr="002745E8" w:rsidRDefault="00767970" w:rsidP="00E90F7B">
            <w:pPr>
              <w:spacing w:after="160"/>
            </w:pPr>
            <w:r w:rsidRPr="002745E8">
              <w:t>Not recommended</w:t>
            </w:r>
          </w:p>
        </w:tc>
      </w:tr>
      <w:tr w:rsidR="00767970" w:rsidRPr="002745E8" w14:paraId="70918121" w14:textId="77777777" w:rsidTr="00E90F7B">
        <w:tc>
          <w:tcPr>
            <w:tcW w:w="895" w:type="pct"/>
            <w:hideMark/>
          </w:tcPr>
          <w:p w14:paraId="4C4EE034" w14:textId="77777777" w:rsidR="00767970" w:rsidRPr="002745E8" w:rsidRDefault="00767970" w:rsidP="00E90F7B">
            <w:pPr>
              <w:spacing w:after="160"/>
            </w:pPr>
            <w:r w:rsidRPr="002745E8">
              <w:t>B + C</w:t>
            </w:r>
          </w:p>
        </w:tc>
        <w:tc>
          <w:tcPr>
            <w:tcW w:w="1495" w:type="pct"/>
            <w:hideMark/>
          </w:tcPr>
          <w:p w14:paraId="08FC06E8" w14:textId="77777777" w:rsidR="00767970" w:rsidRPr="002745E8" w:rsidRDefault="00767970" w:rsidP="00E90F7B">
            <w:pPr>
              <w:spacing w:after="160"/>
            </w:pPr>
            <w:r w:rsidRPr="002745E8">
              <w:t>100</w:t>
            </w:r>
          </w:p>
        </w:tc>
        <w:tc>
          <w:tcPr>
            <w:tcW w:w="1420" w:type="pct"/>
            <w:hideMark/>
          </w:tcPr>
          <w:p w14:paraId="47A1A7DB" w14:textId="77777777" w:rsidR="00767970" w:rsidRPr="002745E8" w:rsidRDefault="00767970" w:rsidP="00E90F7B">
            <w:pPr>
              <w:spacing w:after="160"/>
            </w:pPr>
            <w:r w:rsidRPr="002745E8">
              <w:t>−10.28</w:t>
            </w:r>
          </w:p>
        </w:tc>
        <w:tc>
          <w:tcPr>
            <w:tcW w:w="1189" w:type="pct"/>
            <w:hideMark/>
          </w:tcPr>
          <w:p w14:paraId="1FB15188" w14:textId="77777777" w:rsidR="00767970" w:rsidRPr="002745E8" w:rsidRDefault="00767970" w:rsidP="00E90F7B">
            <w:pPr>
              <w:spacing w:after="160"/>
            </w:pPr>
            <w:r w:rsidRPr="002745E8">
              <w:t>Recommended</w:t>
            </w:r>
          </w:p>
        </w:tc>
      </w:tr>
    </w:tbl>
    <w:p w14:paraId="1913CE12" w14:textId="77777777" w:rsidR="00767970" w:rsidRDefault="00767970" w:rsidP="00767970"/>
    <w:p w14:paraId="1114250D" w14:textId="77777777" w:rsidR="00767970" w:rsidRPr="002745E8" w:rsidRDefault="00767970" w:rsidP="002745E8"/>
    <w:p w14:paraId="671962C5" w14:textId="77777777" w:rsidR="002745E8" w:rsidRPr="002745E8" w:rsidRDefault="002745E8" w:rsidP="002745E8"/>
    <w:sectPr w:rsidR="002745E8" w:rsidRPr="002745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39554E"/>
    <w:multiLevelType w:val="multilevel"/>
    <w:tmpl w:val="C8AE5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4741380"/>
    <w:multiLevelType w:val="hybridMultilevel"/>
    <w:tmpl w:val="82D22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0D0"/>
    <w:rsid w:val="00034322"/>
    <w:rsid w:val="0007798B"/>
    <w:rsid w:val="000B1830"/>
    <w:rsid w:val="000E5F6C"/>
    <w:rsid w:val="00124E90"/>
    <w:rsid w:val="001573E8"/>
    <w:rsid w:val="00187DA6"/>
    <w:rsid w:val="001947AB"/>
    <w:rsid w:val="001F2FE1"/>
    <w:rsid w:val="002114CE"/>
    <w:rsid w:val="0023714C"/>
    <w:rsid w:val="002733D4"/>
    <w:rsid w:val="002745E8"/>
    <w:rsid w:val="002850DE"/>
    <w:rsid w:val="002870D0"/>
    <w:rsid w:val="0029194F"/>
    <w:rsid w:val="002A1B2A"/>
    <w:rsid w:val="002A3157"/>
    <w:rsid w:val="00353F03"/>
    <w:rsid w:val="003671E8"/>
    <w:rsid w:val="00392850"/>
    <w:rsid w:val="003A1C0A"/>
    <w:rsid w:val="003D228E"/>
    <w:rsid w:val="004A50B5"/>
    <w:rsid w:val="00505199"/>
    <w:rsid w:val="005122D3"/>
    <w:rsid w:val="00561259"/>
    <w:rsid w:val="00584510"/>
    <w:rsid w:val="005C6D05"/>
    <w:rsid w:val="00667443"/>
    <w:rsid w:val="00684564"/>
    <w:rsid w:val="006A15D4"/>
    <w:rsid w:val="006A4A0A"/>
    <w:rsid w:val="006F586B"/>
    <w:rsid w:val="00710792"/>
    <w:rsid w:val="00764BDB"/>
    <w:rsid w:val="00767970"/>
    <w:rsid w:val="007D7505"/>
    <w:rsid w:val="00842FEC"/>
    <w:rsid w:val="008679DD"/>
    <w:rsid w:val="008E76B7"/>
    <w:rsid w:val="00900132"/>
    <w:rsid w:val="009464F7"/>
    <w:rsid w:val="009D436C"/>
    <w:rsid w:val="009E76CC"/>
    <w:rsid w:val="00A451D7"/>
    <w:rsid w:val="00A65B1D"/>
    <w:rsid w:val="00AD2CEC"/>
    <w:rsid w:val="00B015B5"/>
    <w:rsid w:val="00B05FEC"/>
    <w:rsid w:val="00B27F95"/>
    <w:rsid w:val="00BC1107"/>
    <w:rsid w:val="00C14AD5"/>
    <w:rsid w:val="00C22FB8"/>
    <w:rsid w:val="00CA4385"/>
    <w:rsid w:val="00DB4EF4"/>
    <w:rsid w:val="00E90F7B"/>
    <w:rsid w:val="00E91AF0"/>
    <w:rsid w:val="00EA2995"/>
    <w:rsid w:val="00EF72DA"/>
    <w:rsid w:val="00F66C71"/>
    <w:rsid w:val="00F763C3"/>
    <w:rsid w:val="00F94854"/>
    <w:rsid w:val="00FE4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80707"/>
  <w15:chartTrackingRefBased/>
  <w15:docId w15:val="{EB49C5C9-06A8-4BD1-9E7B-78FFEB1DE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2FB8"/>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C22FB8"/>
    <w:pPr>
      <w:keepNext/>
      <w:keepLines/>
      <w:spacing w:before="360" w:after="80"/>
      <w:jc w:val="center"/>
      <w:outlineLvl w:val="0"/>
    </w:pPr>
    <w:rPr>
      <w:rFonts w:eastAsiaTheme="majorEastAsia" w:cstheme="majorBidi"/>
      <w:sz w:val="32"/>
      <w:szCs w:val="40"/>
    </w:rPr>
  </w:style>
  <w:style w:type="paragraph" w:styleId="Heading2">
    <w:name w:val="heading 2"/>
    <w:basedOn w:val="Normal"/>
    <w:next w:val="Normal"/>
    <w:link w:val="Heading2Char"/>
    <w:autoRedefine/>
    <w:uiPriority w:val="9"/>
    <w:unhideWhenUsed/>
    <w:qFormat/>
    <w:rsid w:val="00C22FB8"/>
    <w:pPr>
      <w:keepNext/>
      <w:keepLines/>
      <w:spacing w:before="160" w:after="80"/>
      <w:outlineLvl w:val="1"/>
    </w:pPr>
    <w:rPr>
      <w:rFonts w:eastAsiaTheme="majorEastAsia" w:cstheme="majorBidi"/>
      <w:sz w:val="28"/>
      <w:szCs w:val="32"/>
    </w:rPr>
  </w:style>
  <w:style w:type="paragraph" w:styleId="Heading3">
    <w:name w:val="heading 3"/>
    <w:basedOn w:val="Normal"/>
    <w:next w:val="Normal"/>
    <w:link w:val="Heading3Char"/>
    <w:uiPriority w:val="9"/>
    <w:unhideWhenUsed/>
    <w:qFormat/>
    <w:rsid w:val="00F94854"/>
    <w:pPr>
      <w:keepNext/>
      <w:keepLines/>
      <w:spacing w:before="160" w:after="80"/>
      <w:jc w:val="left"/>
      <w:outlineLvl w:val="2"/>
    </w:pPr>
    <w:rPr>
      <w:rFonts w:eastAsiaTheme="majorEastAsia" w:cstheme="majorBidi"/>
      <w:szCs w:val="28"/>
    </w:rPr>
  </w:style>
  <w:style w:type="paragraph" w:styleId="Heading4">
    <w:name w:val="heading 4"/>
    <w:basedOn w:val="Normal"/>
    <w:next w:val="Normal"/>
    <w:link w:val="Heading4Char"/>
    <w:uiPriority w:val="9"/>
    <w:semiHidden/>
    <w:unhideWhenUsed/>
    <w:qFormat/>
    <w:rsid w:val="002870D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870D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870D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870D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870D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870D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FB8"/>
    <w:rPr>
      <w:rFonts w:ascii="Times New Roman" w:eastAsiaTheme="majorEastAsia" w:hAnsi="Times New Roman" w:cstheme="majorBidi"/>
      <w:sz w:val="32"/>
      <w:szCs w:val="40"/>
    </w:rPr>
  </w:style>
  <w:style w:type="character" w:customStyle="1" w:styleId="Heading2Char">
    <w:name w:val="Heading 2 Char"/>
    <w:basedOn w:val="DefaultParagraphFont"/>
    <w:link w:val="Heading2"/>
    <w:uiPriority w:val="9"/>
    <w:rsid w:val="00C22FB8"/>
    <w:rPr>
      <w:rFonts w:ascii="Times New Roman" w:eastAsiaTheme="majorEastAsia" w:hAnsi="Times New Roman" w:cstheme="majorBidi"/>
      <w:sz w:val="28"/>
      <w:szCs w:val="32"/>
    </w:rPr>
  </w:style>
  <w:style w:type="character" w:customStyle="1" w:styleId="Heading3Char">
    <w:name w:val="Heading 3 Char"/>
    <w:basedOn w:val="DefaultParagraphFont"/>
    <w:link w:val="Heading3"/>
    <w:uiPriority w:val="9"/>
    <w:rsid w:val="00F94854"/>
    <w:rPr>
      <w:rFonts w:ascii="Times New Roman" w:eastAsiaTheme="majorEastAsia" w:hAnsi="Times New Roman" w:cstheme="majorBidi"/>
      <w:szCs w:val="28"/>
    </w:rPr>
  </w:style>
  <w:style w:type="character" w:customStyle="1" w:styleId="Heading4Char">
    <w:name w:val="Heading 4 Char"/>
    <w:basedOn w:val="DefaultParagraphFont"/>
    <w:link w:val="Heading4"/>
    <w:uiPriority w:val="9"/>
    <w:semiHidden/>
    <w:rsid w:val="002870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70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70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70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70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70D0"/>
    <w:rPr>
      <w:rFonts w:eastAsiaTheme="majorEastAsia" w:cstheme="majorBidi"/>
      <w:color w:val="272727" w:themeColor="text1" w:themeTint="D8"/>
    </w:rPr>
  </w:style>
  <w:style w:type="paragraph" w:styleId="Title">
    <w:name w:val="Title"/>
    <w:basedOn w:val="Normal"/>
    <w:next w:val="Normal"/>
    <w:link w:val="TitleChar"/>
    <w:uiPriority w:val="10"/>
    <w:qFormat/>
    <w:rsid w:val="002870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70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70D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70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70D0"/>
    <w:pPr>
      <w:spacing w:before="160"/>
      <w:jc w:val="center"/>
    </w:pPr>
    <w:rPr>
      <w:i/>
      <w:iCs/>
      <w:color w:val="404040" w:themeColor="text1" w:themeTint="BF"/>
    </w:rPr>
  </w:style>
  <w:style w:type="character" w:customStyle="1" w:styleId="QuoteChar">
    <w:name w:val="Quote Char"/>
    <w:basedOn w:val="DefaultParagraphFont"/>
    <w:link w:val="Quote"/>
    <w:uiPriority w:val="29"/>
    <w:rsid w:val="002870D0"/>
    <w:rPr>
      <w:rFonts w:ascii="Times New Roman" w:hAnsi="Times New Roman"/>
      <w:i/>
      <w:iCs/>
      <w:color w:val="404040" w:themeColor="text1" w:themeTint="BF"/>
    </w:rPr>
  </w:style>
  <w:style w:type="paragraph" w:styleId="ListParagraph">
    <w:name w:val="List Paragraph"/>
    <w:basedOn w:val="Normal"/>
    <w:uiPriority w:val="34"/>
    <w:qFormat/>
    <w:rsid w:val="002870D0"/>
    <w:pPr>
      <w:ind w:left="720"/>
      <w:contextualSpacing/>
    </w:pPr>
  </w:style>
  <w:style w:type="character" w:styleId="IntenseEmphasis">
    <w:name w:val="Intense Emphasis"/>
    <w:basedOn w:val="DefaultParagraphFont"/>
    <w:uiPriority w:val="21"/>
    <w:qFormat/>
    <w:rsid w:val="002870D0"/>
    <w:rPr>
      <w:i/>
      <w:iCs/>
      <w:color w:val="0F4761" w:themeColor="accent1" w:themeShade="BF"/>
    </w:rPr>
  </w:style>
  <w:style w:type="paragraph" w:styleId="IntenseQuote">
    <w:name w:val="Intense Quote"/>
    <w:basedOn w:val="Normal"/>
    <w:next w:val="Normal"/>
    <w:link w:val="IntenseQuoteChar"/>
    <w:uiPriority w:val="30"/>
    <w:qFormat/>
    <w:rsid w:val="002870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70D0"/>
    <w:rPr>
      <w:rFonts w:ascii="Times New Roman" w:hAnsi="Times New Roman"/>
      <w:i/>
      <w:iCs/>
      <w:color w:val="0F4761" w:themeColor="accent1" w:themeShade="BF"/>
    </w:rPr>
  </w:style>
  <w:style w:type="character" w:styleId="IntenseReference">
    <w:name w:val="Intense Reference"/>
    <w:basedOn w:val="DefaultParagraphFont"/>
    <w:uiPriority w:val="32"/>
    <w:qFormat/>
    <w:rsid w:val="002870D0"/>
    <w:rPr>
      <w:b/>
      <w:bCs/>
      <w:smallCaps/>
      <w:color w:val="0F4761" w:themeColor="accent1" w:themeShade="BF"/>
      <w:spacing w:val="5"/>
    </w:rPr>
  </w:style>
  <w:style w:type="table" w:styleId="TableGrid">
    <w:name w:val="Table Grid"/>
    <w:basedOn w:val="TableNormal"/>
    <w:uiPriority w:val="39"/>
    <w:rsid w:val="00353F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45E8"/>
    <w:rPr>
      <w:color w:val="467886" w:themeColor="hyperlink"/>
      <w:u w:val="single"/>
    </w:rPr>
  </w:style>
  <w:style w:type="character" w:customStyle="1" w:styleId="UnresolvedMention">
    <w:name w:val="Unresolved Mention"/>
    <w:basedOn w:val="DefaultParagraphFont"/>
    <w:uiPriority w:val="99"/>
    <w:semiHidden/>
    <w:unhideWhenUsed/>
    <w:rsid w:val="002745E8"/>
    <w:rPr>
      <w:color w:val="605E5C"/>
      <w:shd w:val="clear" w:color="auto" w:fill="E1DFDD"/>
    </w:rPr>
  </w:style>
  <w:style w:type="paragraph" w:styleId="TOCHeading">
    <w:name w:val="TOC Heading"/>
    <w:basedOn w:val="Heading1"/>
    <w:next w:val="Normal"/>
    <w:uiPriority w:val="39"/>
    <w:unhideWhenUsed/>
    <w:qFormat/>
    <w:rsid w:val="00E91AF0"/>
    <w:pPr>
      <w:spacing w:before="240" w:after="0" w:line="259" w:lineRule="auto"/>
      <w:jc w:val="left"/>
      <w:outlineLvl w:val="9"/>
    </w:pPr>
    <w:rPr>
      <w:rFonts w:asciiTheme="majorHAnsi" w:hAnsiTheme="majorHAnsi"/>
      <w:color w:val="0F4761" w:themeColor="accent1" w:themeShade="BF"/>
      <w:kern w:val="0"/>
      <w:szCs w:val="32"/>
      <w:lang w:eastAsia="en-GB"/>
      <w14:ligatures w14:val="none"/>
    </w:rPr>
  </w:style>
  <w:style w:type="paragraph" w:styleId="TOC1">
    <w:name w:val="toc 1"/>
    <w:basedOn w:val="Normal"/>
    <w:next w:val="Normal"/>
    <w:autoRedefine/>
    <w:uiPriority w:val="39"/>
    <w:unhideWhenUsed/>
    <w:rsid w:val="00E91AF0"/>
    <w:pPr>
      <w:spacing w:after="100"/>
    </w:pPr>
  </w:style>
  <w:style w:type="paragraph" w:styleId="TOC2">
    <w:name w:val="toc 2"/>
    <w:basedOn w:val="Normal"/>
    <w:next w:val="Normal"/>
    <w:autoRedefine/>
    <w:uiPriority w:val="39"/>
    <w:unhideWhenUsed/>
    <w:rsid w:val="00E91AF0"/>
    <w:pPr>
      <w:spacing w:after="100"/>
      <w:ind w:left="240"/>
    </w:pPr>
  </w:style>
  <w:style w:type="paragraph" w:styleId="TOC3">
    <w:name w:val="toc 3"/>
    <w:basedOn w:val="Normal"/>
    <w:next w:val="Normal"/>
    <w:autoRedefine/>
    <w:uiPriority w:val="39"/>
    <w:unhideWhenUsed/>
    <w:rsid w:val="00E91AF0"/>
    <w:pPr>
      <w:spacing w:after="100"/>
      <w:ind w:left="480"/>
    </w:pPr>
  </w:style>
  <w:style w:type="paragraph" w:styleId="HTMLPreformatted">
    <w:name w:val="HTML Preformatted"/>
    <w:basedOn w:val="Normal"/>
    <w:link w:val="HTMLPreformattedChar"/>
    <w:uiPriority w:val="99"/>
    <w:semiHidden/>
    <w:unhideWhenUsed/>
    <w:rsid w:val="00EA29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kern w:val="0"/>
      <w:sz w:val="20"/>
      <w:szCs w:val="20"/>
      <w:lang w:val="en-US"/>
      <w14:ligatures w14:val="none"/>
    </w:rPr>
  </w:style>
  <w:style w:type="character" w:customStyle="1" w:styleId="HTMLPreformattedChar">
    <w:name w:val="HTML Preformatted Char"/>
    <w:basedOn w:val="DefaultParagraphFont"/>
    <w:link w:val="HTMLPreformatted"/>
    <w:uiPriority w:val="99"/>
    <w:semiHidden/>
    <w:rsid w:val="00EA2995"/>
    <w:rPr>
      <w:rFonts w:ascii="Courier New" w:eastAsia="Times New Roman" w:hAnsi="Courier New" w:cs="Courier New"/>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9254">
      <w:bodyDiv w:val="1"/>
      <w:marLeft w:val="0"/>
      <w:marRight w:val="0"/>
      <w:marTop w:val="0"/>
      <w:marBottom w:val="0"/>
      <w:divBdr>
        <w:top w:val="none" w:sz="0" w:space="0" w:color="auto"/>
        <w:left w:val="none" w:sz="0" w:space="0" w:color="auto"/>
        <w:bottom w:val="none" w:sz="0" w:space="0" w:color="auto"/>
        <w:right w:val="none" w:sz="0" w:space="0" w:color="auto"/>
      </w:divBdr>
    </w:div>
    <w:div w:id="29116663">
      <w:bodyDiv w:val="1"/>
      <w:marLeft w:val="0"/>
      <w:marRight w:val="0"/>
      <w:marTop w:val="0"/>
      <w:marBottom w:val="0"/>
      <w:divBdr>
        <w:top w:val="none" w:sz="0" w:space="0" w:color="auto"/>
        <w:left w:val="none" w:sz="0" w:space="0" w:color="auto"/>
        <w:bottom w:val="none" w:sz="0" w:space="0" w:color="auto"/>
        <w:right w:val="none" w:sz="0" w:space="0" w:color="auto"/>
      </w:divBdr>
    </w:div>
    <w:div w:id="107353342">
      <w:bodyDiv w:val="1"/>
      <w:marLeft w:val="0"/>
      <w:marRight w:val="0"/>
      <w:marTop w:val="0"/>
      <w:marBottom w:val="0"/>
      <w:divBdr>
        <w:top w:val="none" w:sz="0" w:space="0" w:color="auto"/>
        <w:left w:val="none" w:sz="0" w:space="0" w:color="auto"/>
        <w:bottom w:val="none" w:sz="0" w:space="0" w:color="auto"/>
        <w:right w:val="none" w:sz="0" w:space="0" w:color="auto"/>
      </w:divBdr>
      <w:divsChild>
        <w:div w:id="3972858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0610491">
      <w:bodyDiv w:val="1"/>
      <w:marLeft w:val="0"/>
      <w:marRight w:val="0"/>
      <w:marTop w:val="0"/>
      <w:marBottom w:val="0"/>
      <w:divBdr>
        <w:top w:val="none" w:sz="0" w:space="0" w:color="auto"/>
        <w:left w:val="none" w:sz="0" w:space="0" w:color="auto"/>
        <w:bottom w:val="none" w:sz="0" w:space="0" w:color="auto"/>
        <w:right w:val="none" w:sz="0" w:space="0" w:color="auto"/>
      </w:divBdr>
    </w:div>
    <w:div w:id="302271884">
      <w:bodyDiv w:val="1"/>
      <w:marLeft w:val="0"/>
      <w:marRight w:val="0"/>
      <w:marTop w:val="0"/>
      <w:marBottom w:val="0"/>
      <w:divBdr>
        <w:top w:val="none" w:sz="0" w:space="0" w:color="auto"/>
        <w:left w:val="none" w:sz="0" w:space="0" w:color="auto"/>
        <w:bottom w:val="none" w:sz="0" w:space="0" w:color="auto"/>
        <w:right w:val="none" w:sz="0" w:space="0" w:color="auto"/>
      </w:divBdr>
      <w:divsChild>
        <w:div w:id="18430833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5471497">
      <w:bodyDiv w:val="1"/>
      <w:marLeft w:val="0"/>
      <w:marRight w:val="0"/>
      <w:marTop w:val="0"/>
      <w:marBottom w:val="0"/>
      <w:divBdr>
        <w:top w:val="none" w:sz="0" w:space="0" w:color="auto"/>
        <w:left w:val="none" w:sz="0" w:space="0" w:color="auto"/>
        <w:bottom w:val="none" w:sz="0" w:space="0" w:color="auto"/>
        <w:right w:val="none" w:sz="0" w:space="0" w:color="auto"/>
      </w:divBdr>
    </w:div>
    <w:div w:id="374736634">
      <w:bodyDiv w:val="1"/>
      <w:marLeft w:val="0"/>
      <w:marRight w:val="0"/>
      <w:marTop w:val="0"/>
      <w:marBottom w:val="0"/>
      <w:divBdr>
        <w:top w:val="none" w:sz="0" w:space="0" w:color="auto"/>
        <w:left w:val="none" w:sz="0" w:space="0" w:color="auto"/>
        <w:bottom w:val="none" w:sz="0" w:space="0" w:color="auto"/>
        <w:right w:val="none" w:sz="0" w:space="0" w:color="auto"/>
      </w:divBdr>
    </w:div>
    <w:div w:id="456723880">
      <w:bodyDiv w:val="1"/>
      <w:marLeft w:val="0"/>
      <w:marRight w:val="0"/>
      <w:marTop w:val="0"/>
      <w:marBottom w:val="0"/>
      <w:divBdr>
        <w:top w:val="none" w:sz="0" w:space="0" w:color="auto"/>
        <w:left w:val="none" w:sz="0" w:space="0" w:color="auto"/>
        <w:bottom w:val="none" w:sz="0" w:space="0" w:color="auto"/>
        <w:right w:val="none" w:sz="0" w:space="0" w:color="auto"/>
      </w:divBdr>
    </w:div>
    <w:div w:id="536552122">
      <w:bodyDiv w:val="1"/>
      <w:marLeft w:val="0"/>
      <w:marRight w:val="0"/>
      <w:marTop w:val="0"/>
      <w:marBottom w:val="0"/>
      <w:divBdr>
        <w:top w:val="none" w:sz="0" w:space="0" w:color="auto"/>
        <w:left w:val="none" w:sz="0" w:space="0" w:color="auto"/>
        <w:bottom w:val="none" w:sz="0" w:space="0" w:color="auto"/>
        <w:right w:val="none" w:sz="0" w:space="0" w:color="auto"/>
      </w:divBdr>
    </w:div>
    <w:div w:id="585767330">
      <w:bodyDiv w:val="1"/>
      <w:marLeft w:val="0"/>
      <w:marRight w:val="0"/>
      <w:marTop w:val="0"/>
      <w:marBottom w:val="0"/>
      <w:divBdr>
        <w:top w:val="none" w:sz="0" w:space="0" w:color="auto"/>
        <w:left w:val="none" w:sz="0" w:space="0" w:color="auto"/>
        <w:bottom w:val="none" w:sz="0" w:space="0" w:color="auto"/>
        <w:right w:val="none" w:sz="0" w:space="0" w:color="auto"/>
      </w:divBdr>
    </w:div>
    <w:div w:id="721251079">
      <w:bodyDiv w:val="1"/>
      <w:marLeft w:val="0"/>
      <w:marRight w:val="0"/>
      <w:marTop w:val="0"/>
      <w:marBottom w:val="0"/>
      <w:divBdr>
        <w:top w:val="none" w:sz="0" w:space="0" w:color="auto"/>
        <w:left w:val="none" w:sz="0" w:space="0" w:color="auto"/>
        <w:bottom w:val="none" w:sz="0" w:space="0" w:color="auto"/>
        <w:right w:val="none" w:sz="0" w:space="0" w:color="auto"/>
      </w:divBdr>
    </w:div>
    <w:div w:id="722601431">
      <w:bodyDiv w:val="1"/>
      <w:marLeft w:val="0"/>
      <w:marRight w:val="0"/>
      <w:marTop w:val="0"/>
      <w:marBottom w:val="0"/>
      <w:divBdr>
        <w:top w:val="none" w:sz="0" w:space="0" w:color="auto"/>
        <w:left w:val="none" w:sz="0" w:space="0" w:color="auto"/>
        <w:bottom w:val="none" w:sz="0" w:space="0" w:color="auto"/>
        <w:right w:val="none" w:sz="0" w:space="0" w:color="auto"/>
      </w:divBdr>
    </w:div>
    <w:div w:id="866865676">
      <w:bodyDiv w:val="1"/>
      <w:marLeft w:val="0"/>
      <w:marRight w:val="0"/>
      <w:marTop w:val="0"/>
      <w:marBottom w:val="0"/>
      <w:divBdr>
        <w:top w:val="none" w:sz="0" w:space="0" w:color="auto"/>
        <w:left w:val="none" w:sz="0" w:space="0" w:color="auto"/>
        <w:bottom w:val="none" w:sz="0" w:space="0" w:color="auto"/>
        <w:right w:val="none" w:sz="0" w:space="0" w:color="auto"/>
      </w:divBdr>
    </w:div>
    <w:div w:id="892888907">
      <w:bodyDiv w:val="1"/>
      <w:marLeft w:val="0"/>
      <w:marRight w:val="0"/>
      <w:marTop w:val="0"/>
      <w:marBottom w:val="0"/>
      <w:divBdr>
        <w:top w:val="none" w:sz="0" w:space="0" w:color="auto"/>
        <w:left w:val="none" w:sz="0" w:space="0" w:color="auto"/>
        <w:bottom w:val="none" w:sz="0" w:space="0" w:color="auto"/>
        <w:right w:val="none" w:sz="0" w:space="0" w:color="auto"/>
      </w:divBdr>
    </w:div>
    <w:div w:id="998115721">
      <w:bodyDiv w:val="1"/>
      <w:marLeft w:val="0"/>
      <w:marRight w:val="0"/>
      <w:marTop w:val="0"/>
      <w:marBottom w:val="0"/>
      <w:divBdr>
        <w:top w:val="none" w:sz="0" w:space="0" w:color="auto"/>
        <w:left w:val="none" w:sz="0" w:space="0" w:color="auto"/>
        <w:bottom w:val="none" w:sz="0" w:space="0" w:color="auto"/>
        <w:right w:val="none" w:sz="0" w:space="0" w:color="auto"/>
      </w:divBdr>
    </w:div>
    <w:div w:id="1000743572">
      <w:bodyDiv w:val="1"/>
      <w:marLeft w:val="0"/>
      <w:marRight w:val="0"/>
      <w:marTop w:val="0"/>
      <w:marBottom w:val="0"/>
      <w:divBdr>
        <w:top w:val="none" w:sz="0" w:space="0" w:color="auto"/>
        <w:left w:val="none" w:sz="0" w:space="0" w:color="auto"/>
        <w:bottom w:val="none" w:sz="0" w:space="0" w:color="auto"/>
        <w:right w:val="none" w:sz="0" w:space="0" w:color="auto"/>
      </w:divBdr>
    </w:div>
    <w:div w:id="1020736213">
      <w:bodyDiv w:val="1"/>
      <w:marLeft w:val="0"/>
      <w:marRight w:val="0"/>
      <w:marTop w:val="0"/>
      <w:marBottom w:val="0"/>
      <w:divBdr>
        <w:top w:val="none" w:sz="0" w:space="0" w:color="auto"/>
        <w:left w:val="none" w:sz="0" w:space="0" w:color="auto"/>
        <w:bottom w:val="none" w:sz="0" w:space="0" w:color="auto"/>
        <w:right w:val="none" w:sz="0" w:space="0" w:color="auto"/>
      </w:divBdr>
    </w:div>
    <w:div w:id="1030298230">
      <w:bodyDiv w:val="1"/>
      <w:marLeft w:val="0"/>
      <w:marRight w:val="0"/>
      <w:marTop w:val="0"/>
      <w:marBottom w:val="0"/>
      <w:divBdr>
        <w:top w:val="none" w:sz="0" w:space="0" w:color="auto"/>
        <w:left w:val="none" w:sz="0" w:space="0" w:color="auto"/>
        <w:bottom w:val="none" w:sz="0" w:space="0" w:color="auto"/>
        <w:right w:val="none" w:sz="0" w:space="0" w:color="auto"/>
      </w:divBdr>
    </w:div>
    <w:div w:id="1030767436">
      <w:bodyDiv w:val="1"/>
      <w:marLeft w:val="0"/>
      <w:marRight w:val="0"/>
      <w:marTop w:val="0"/>
      <w:marBottom w:val="0"/>
      <w:divBdr>
        <w:top w:val="none" w:sz="0" w:space="0" w:color="auto"/>
        <w:left w:val="none" w:sz="0" w:space="0" w:color="auto"/>
        <w:bottom w:val="none" w:sz="0" w:space="0" w:color="auto"/>
        <w:right w:val="none" w:sz="0" w:space="0" w:color="auto"/>
      </w:divBdr>
    </w:div>
    <w:div w:id="1364553437">
      <w:bodyDiv w:val="1"/>
      <w:marLeft w:val="0"/>
      <w:marRight w:val="0"/>
      <w:marTop w:val="0"/>
      <w:marBottom w:val="0"/>
      <w:divBdr>
        <w:top w:val="none" w:sz="0" w:space="0" w:color="auto"/>
        <w:left w:val="none" w:sz="0" w:space="0" w:color="auto"/>
        <w:bottom w:val="none" w:sz="0" w:space="0" w:color="auto"/>
        <w:right w:val="none" w:sz="0" w:space="0" w:color="auto"/>
      </w:divBdr>
    </w:div>
    <w:div w:id="1462502981">
      <w:bodyDiv w:val="1"/>
      <w:marLeft w:val="0"/>
      <w:marRight w:val="0"/>
      <w:marTop w:val="0"/>
      <w:marBottom w:val="0"/>
      <w:divBdr>
        <w:top w:val="none" w:sz="0" w:space="0" w:color="auto"/>
        <w:left w:val="none" w:sz="0" w:space="0" w:color="auto"/>
        <w:bottom w:val="none" w:sz="0" w:space="0" w:color="auto"/>
        <w:right w:val="none" w:sz="0" w:space="0" w:color="auto"/>
      </w:divBdr>
    </w:div>
    <w:div w:id="1514488230">
      <w:bodyDiv w:val="1"/>
      <w:marLeft w:val="0"/>
      <w:marRight w:val="0"/>
      <w:marTop w:val="0"/>
      <w:marBottom w:val="0"/>
      <w:divBdr>
        <w:top w:val="none" w:sz="0" w:space="0" w:color="auto"/>
        <w:left w:val="none" w:sz="0" w:space="0" w:color="auto"/>
        <w:bottom w:val="none" w:sz="0" w:space="0" w:color="auto"/>
        <w:right w:val="none" w:sz="0" w:space="0" w:color="auto"/>
      </w:divBdr>
    </w:div>
    <w:div w:id="1531143636">
      <w:bodyDiv w:val="1"/>
      <w:marLeft w:val="0"/>
      <w:marRight w:val="0"/>
      <w:marTop w:val="0"/>
      <w:marBottom w:val="0"/>
      <w:divBdr>
        <w:top w:val="none" w:sz="0" w:space="0" w:color="auto"/>
        <w:left w:val="none" w:sz="0" w:space="0" w:color="auto"/>
        <w:bottom w:val="none" w:sz="0" w:space="0" w:color="auto"/>
        <w:right w:val="none" w:sz="0" w:space="0" w:color="auto"/>
      </w:divBdr>
    </w:div>
    <w:div w:id="1630236141">
      <w:bodyDiv w:val="1"/>
      <w:marLeft w:val="0"/>
      <w:marRight w:val="0"/>
      <w:marTop w:val="0"/>
      <w:marBottom w:val="0"/>
      <w:divBdr>
        <w:top w:val="none" w:sz="0" w:space="0" w:color="auto"/>
        <w:left w:val="none" w:sz="0" w:space="0" w:color="auto"/>
        <w:bottom w:val="none" w:sz="0" w:space="0" w:color="auto"/>
        <w:right w:val="none" w:sz="0" w:space="0" w:color="auto"/>
      </w:divBdr>
    </w:div>
    <w:div w:id="1689133967">
      <w:bodyDiv w:val="1"/>
      <w:marLeft w:val="0"/>
      <w:marRight w:val="0"/>
      <w:marTop w:val="0"/>
      <w:marBottom w:val="0"/>
      <w:divBdr>
        <w:top w:val="none" w:sz="0" w:space="0" w:color="auto"/>
        <w:left w:val="none" w:sz="0" w:space="0" w:color="auto"/>
        <w:bottom w:val="none" w:sz="0" w:space="0" w:color="auto"/>
        <w:right w:val="none" w:sz="0" w:space="0" w:color="auto"/>
      </w:divBdr>
    </w:div>
    <w:div w:id="1849639525">
      <w:bodyDiv w:val="1"/>
      <w:marLeft w:val="0"/>
      <w:marRight w:val="0"/>
      <w:marTop w:val="0"/>
      <w:marBottom w:val="0"/>
      <w:divBdr>
        <w:top w:val="none" w:sz="0" w:space="0" w:color="auto"/>
        <w:left w:val="none" w:sz="0" w:space="0" w:color="auto"/>
        <w:bottom w:val="none" w:sz="0" w:space="0" w:color="auto"/>
        <w:right w:val="none" w:sz="0" w:space="0" w:color="auto"/>
      </w:divBdr>
    </w:div>
    <w:div w:id="1884706910">
      <w:bodyDiv w:val="1"/>
      <w:marLeft w:val="0"/>
      <w:marRight w:val="0"/>
      <w:marTop w:val="0"/>
      <w:marBottom w:val="0"/>
      <w:divBdr>
        <w:top w:val="none" w:sz="0" w:space="0" w:color="auto"/>
        <w:left w:val="none" w:sz="0" w:space="0" w:color="auto"/>
        <w:bottom w:val="none" w:sz="0" w:space="0" w:color="auto"/>
        <w:right w:val="none" w:sz="0" w:space="0" w:color="auto"/>
      </w:divBdr>
    </w:div>
    <w:div w:id="2108116712">
      <w:bodyDiv w:val="1"/>
      <w:marLeft w:val="0"/>
      <w:marRight w:val="0"/>
      <w:marTop w:val="0"/>
      <w:marBottom w:val="0"/>
      <w:divBdr>
        <w:top w:val="none" w:sz="0" w:space="0" w:color="auto"/>
        <w:left w:val="none" w:sz="0" w:space="0" w:color="auto"/>
        <w:bottom w:val="none" w:sz="0" w:space="0" w:color="auto"/>
        <w:right w:val="none" w:sz="0" w:space="0" w:color="auto"/>
      </w:divBdr>
    </w:div>
    <w:div w:id="2138911661">
      <w:bodyDiv w:val="1"/>
      <w:marLeft w:val="0"/>
      <w:marRight w:val="0"/>
      <w:marTop w:val="0"/>
      <w:marBottom w:val="0"/>
      <w:divBdr>
        <w:top w:val="none" w:sz="0" w:space="0" w:color="auto"/>
        <w:left w:val="none" w:sz="0" w:space="0" w:color="auto"/>
        <w:bottom w:val="none" w:sz="0" w:space="0" w:color="auto"/>
        <w:right w:val="none" w:sz="0" w:space="0" w:color="auto"/>
      </w:divBdr>
    </w:div>
    <w:div w:id="2141998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hyperlink" Target="https://www.iea.org/reports/global-ev-outlook-2023" TargetMode="External"/><Relationship Id="rId39" Type="http://schemas.openxmlformats.org/officeDocument/2006/relationships/theme" Target="theme/theme1.xml"/><Relationship Id="rId21" Type="http://schemas.openxmlformats.org/officeDocument/2006/relationships/hyperlink" Target="https://about.bnef.com/electric-vehicle-outlook/" TargetMode="External"/><Relationship Id="rId34" Type="http://schemas.openxmlformats.org/officeDocument/2006/relationships/hyperlink" Target="https://www.toyota-global.com/investors/ir_library/annual/" TargetMode="Externa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gif"/><Relationship Id="rId25" Type="http://schemas.openxmlformats.org/officeDocument/2006/relationships/hyperlink" Target="https://hbr.org/" TargetMode="External"/><Relationship Id="rId33" Type="http://schemas.openxmlformats.org/officeDocument/2006/relationships/hyperlink" Target="https://www.toyota-global.com/investors/ir_library/annual/"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bis.org/publ/arpdf/ar2023e.htm" TargetMode="External"/><Relationship Id="rId29" Type="http://schemas.openxmlformats.org/officeDocument/2006/relationships/hyperlink" Target="https://www.mckinsey.com/industries/automotive-and-assembly/our-insight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ft.com/content/toyota-ev-strategy" TargetMode="External"/><Relationship Id="rId32" Type="http://schemas.openxmlformats.org/officeDocument/2006/relationships/hyperlink" Target="https://www.toyota-global.com/investors/ir_library/annual/" TargetMode="External"/><Relationship Id="rId37" Type="http://schemas.openxmlformats.org/officeDocument/2006/relationships/hyperlink" Target="https://www.worldbank.org/en/publication/global-economic-prospects"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ey.com/en_gl/automotive-transportation/mobility-consumer-index" TargetMode="External"/><Relationship Id="rId28" Type="http://schemas.openxmlformats.org/officeDocument/2006/relationships/hyperlink" Target="https://home.kpmg/xx/en/home/insights/2023/01/global-automotive-executive-survey.html" TargetMode="External"/><Relationship Id="rId36" Type="http://schemas.openxmlformats.org/officeDocument/2006/relationships/hyperlink" Target="https://www.toyota-global.com/investors/ir_library/annual/" TargetMode="Externa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hyperlink" Target="https://www.pwc.com/gx/en/cfo-agenda/assets/pwc-cfo-survey.pdf"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https://www2.deloitte.com/global/en/pages/consumer-business/articles/automotive-consumer-study.html" TargetMode="External"/><Relationship Id="rId27" Type="http://schemas.openxmlformats.org/officeDocument/2006/relationships/hyperlink" Target="https://www.imf.org/en/Publications/WEO" TargetMode="External"/><Relationship Id="rId30" Type="http://schemas.openxmlformats.org/officeDocument/2006/relationships/hyperlink" Target="https://www.oecd.org/tax/beps/" TargetMode="External"/><Relationship Id="rId35" Type="http://schemas.openxmlformats.org/officeDocument/2006/relationships/hyperlink" Target="https://www.toyota-global.com/investors/ir_library/annual/"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7BEB3-E53F-4A6C-B573-6392A9A27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36</Pages>
  <Words>6724</Words>
  <Characters>38327</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c:creator>
  <cp:keywords/>
  <dc:description/>
  <cp:lastModifiedBy>FB PC</cp:lastModifiedBy>
  <cp:revision>63</cp:revision>
  <dcterms:created xsi:type="dcterms:W3CDTF">2026-04-15T14:12:00Z</dcterms:created>
  <dcterms:modified xsi:type="dcterms:W3CDTF">2026-04-16T20:34:00Z</dcterms:modified>
</cp:coreProperties>
</file>