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4C90" w:rsidRDefault="00F54C90" w:rsidP="00F54C90">
      <w:pPr>
        <w:pStyle w:val="NormalWeb"/>
        <w:spacing w:before="0" w:beforeAutospacing="0" w:after="0" w:afterAutospacing="0"/>
        <w:ind w:left="-180" w:right="-334"/>
      </w:pPr>
      <w:r>
        <w:rPr>
          <w:noProof/>
        </w:rPr>
        <w:drawing>
          <wp:inline distT="0" distB="0" distL="0" distR="0" wp14:anchorId="1921AE7A" wp14:editId="3C2F3F5C">
            <wp:extent cx="1907540" cy="635635"/>
            <wp:effectExtent l="25400" t="25400" r="10160" b="1206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F54C90" w:rsidRDefault="00F54C90" w:rsidP="00F54C90">
      <w:pPr>
        <w:pStyle w:val="NormalWeb"/>
        <w:spacing w:before="0" w:beforeAutospacing="0" w:after="0" w:afterAutospacing="0"/>
        <w:ind w:left="-180" w:right="-334"/>
      </w:pPr>
    </w:p>
    <w:p w:rsidR="00F54C90" w:rsidRDefault="00F54C90" w:rsidP="00F54C90">
      <w:pPr>
        <w:pStyle w:val="NormalWeb"/>
        <w:spacing w:before="0" w:beforeAutospacing="0" w:after="0" w:afterAutospacing="0"/>
        <w:ind w:left="-180" w:right="-334"/>
      </w:pPr>
    </w:p>
    <w:p w:rsidR="00F54C90" w:rsidRDefault="00F54C90" w:rsidP="00F54C9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F54C90" w:rsidRPr="00230F35" w:rsidRDefault="00F54C90" w:rsidP="00F54C9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F54C90" w:rsidRPr="00230F35" w:rsidRDefault="00F54C90" w:rsidP="00F54C90">
      <w:pPr>
        <w:rPr>
          <w:rFonts w:ascii="Arial" w:hAnsi="Arial" w:cs="Arial"/>
          <w:sz w:val="28"/>
          <w:szCs w:val="28"/>
          <w:lang w:val="cy-GB"/>
        </w:rPr>
      </w:pPr>
    </w:p>
    <w:p w:rsidR="00F54C90" w:rsidRDefault="00F54C90" w:rsidP="00F54C90">
      <w:pPr>
        <w:pStyle w:val="Heading3"/>
        <w:jc w:val="center"/>
        <w:rPr>
          <w:lang w:val="cy-GB"/>
        </w:rPr>
      </w:pPr>
      <w:r>
        <w:rPr>
          <w:lang w:val="cy-GB"/>
        </w:rPr>
        <w:t>THIS SHEET MUST BE THE FIRST PAGE OF THE ASSIGNMENT YOU ARE SUBMITTING  (DO NOT SEND AS A SEPARATE FILE)</w:t>
      </w:r>
    </w:p>
    <w:p w:rsidR="00F54C90" w:rsidRDefault="00F54C90" w:rsidP="00F54C9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4C90" w:rsidRPr="00230F35" w:rsidTr="001332E1">
        <w:trPr>
          <w:trHeight w:val="614"/>
        </w:trPr>
        <w:tc>
          <w:tcPr>
            <w:tcW w:w="8856" w:type="dxa"/>
            <w:gridSpan w:val="5"/>
          </w:tcPr>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54C90" w:rsidRPr="00230F35" w:rsidTr="001332E1">
        <w:trPr>
          <w:trHeight w:val="718"/>
        </w:trPr>
        <w:tc>
          <w:tcPr>
            <w:tcW w:w="8856" w:type="dxa"/>
            <w:gridSpan w:val="5"/>
          </w:tcPr>
          <w:p w:rsidR="00F54C90"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F54C90" w:rsidRPr="00230F35" w:rsidRDefault="00801763" w:rsidP="001332E1">
            <w:pPr>
              <w:pStyle w:val="NormalWeb"/>
              <w:spacing w:before="0" w:beforeAutospacing="0" w:after="0" w:afterAutospacing="0"/>
              <w:ind w:right="34"/>
              <w:rPr>
                <w:rFonts w:ascii="Arial" w:hAnsi="Arial" w:cs="Arial"/>
                <w:sz w:val="22"/>
                <w:szCs w:val="22"/>
              </w:rPr>
            </w:pPr>
            <w:r>
              <w:rPr>
                <w:rFonts w:ascii="Arial" w:hAnsi="Arial" w:cs="Arial"/>
                <w:sz w:val="22"/>
                <w:szCs w:val="22"/>
              </w:rPr>
              <w:t>Danielle Marie Goldstein</w:t>
            </w:r>
          </w:p>
        </w:tc>
      </w:tr>
      <w:tr w:rsidR="00F54C90" w:rsidRPr="00230F35" w:rsidTr="001332E1">
        <w:trPr>
          <w:trHeight w:val="849"/>
        </w:trPr>
        <w:tc>
          <w:tcPr>
            <w:tcW w:w="4788" w:type="dxa"/>
          </w:tcPr>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801763">
              <w:rPr>
                <w:rFonts w:ascii="Arial" w:hAnsi="Arial" w:cs="Arial"/>
                <w:sz w:val="22"/>
                <w:szCs w:val="22"/>
              </w:rPr>
              <w:t xml:space="preserve"> HPCA7009</w:t>
            </w:r>
          </w:p>
          <w:p w:rsidR="00F54C90" w:rsidRPr="00230F35" w:rsidRDefault="00F54C90" w:rsidP="001332E1">
            <w:pPr>
              <w:pStyle w:val="NormalWeb"/>
              <w:spacing w:before="0" w:beforeAutospacing="0" w:after="0" w:afterAutospacing="0"/>
              <w:ind w:right="34"/>
              <w:rPr>
                <w:rFonts w:ascii="Arial" w:hAnsi="Arial" w:cs="Arial"/>
                <w:sz w:val="22"/>
                <w:szCs w:val="22"/>
              </w:rPr>
            </w:pPr>
          </w:p>
          <w:p w:rsidR="00F54C90"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01763">
              <w:rPr>
                <w:rFonts w:ascii="Arial" w:hAnsi="Arial" w:cs="Arial"/>
                <w:sz w:val="22"/>
                <w:szCs w:val="22"/>
              </w:rPr>
              <w:t xml:space="preserve">  Skyscapes, Cosmology and Archaeology</w:t>
            </w:r>
          </w:p>
          <w:p w:rsidR="00F54C90" w:rsidRDefault="00F54C90" w:rsidP="001332E1">
            <w:pPr>
              <w:pStyle w:val="NormalWeb"/>
              <w:spacing w:before="0" w:beforeAutospacing="0" w:after="0" w:afterAutospacing="0"/>
              <w:ind w:right="34"/>
              <w:rPr>
                <w:rFonts w:ascii="Arial" w:hAnsi="Arial" w:cs="Arial"/>
                <w:sz w:val="22"/>
                <w:szCs w:val="22"/>
              </w:rPr>
            </w:pPr>
          </w:p>
          <w:p w:rsidR="00F54C90" w:rsidRPr="00230F35" w:rsidRDefault="00F54C90" w:rsidP="001332E1">
            <w:pPr>
              <w:pStyle w:val="NormalWeb"/>
              <w:spacing w:before="0" w:beforeAutospacing="0" w:after="0" w:afterAutospacing="0"/>
              <w:ind w:right="34"/>
              <w:rPr>
                <w:rFonts w:ascii="Arial" w:hAnsi="Arial" w:cs="Arial"/>
                <w:sz w:val="22"/>
                <w:szCs w:val="22"/>
              </w:rPr>
            </w:pPr>
          </w:p>
        </w:tc>
        <w:tc>
          <w:tcPr>
            <w:tcW w:w="2266" w:type="dxa"/>
            <w:gridSpan w:val="3"/>
          </w:tcPr>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801763">
              <w:rPr>
                <w:rFonts w:ascii="Arial" w:hAnsi="Arial" w:cs="Arial"/>
                <w:sz w:val="22"/>
                <w:szCs w:val="22"/>
              </w:rPr>
              <w:t xml:space="preserve"> </w:t>
            </w:r>
            <w:r w:rsidR="001F0E97">
              <w:rPr>
                <w:rFonts w:ascii="Arial" w:hAnsi="Arial" w:cs="Arial"/>
                <w:sz w:val="22"/>
                <w:szCs w:val="22"/>
              </w:rPr>
              <w:t>171</w:t>
            </w:r>
            <w:r w:rsidR="001F0E97" w:rsidRPr="001F0E97">
              <w:rPr>
                <w:rFonts w:ascii="Arial" w:hAnsi="Arial" w:cs="Arial"/>
                <w:sz w:val="22"/>
                <w:szCs w:val="22"/>
              </w:rPr>
              <w:t>0933</w:t>
            </w:r>
          </w:p>
        </w:tc>
        <w:tc>
          <w:tcPr>
            <w:tcW w:w="1802" w:type="dxa"/>
          </w:tcPr>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54C90" w:rsidRPr="00230F35" w:rsidTr="001332E1">
        <w:trPr>
          <w:trHeight w:val="1139"/>
        </w:trPr>
        <w:tc>
          <w:tcPr>
            <w:tcW w:w="8856" w:type="dxa"/>
            <w:gridSpan w:val="5"/>
          </w:tcPr>
          <w:p w:rsidR="001F0E97" w:rsidRDefault="00F54C90" w:rsidP="001F0E97">
            <w:pPr>
              <w:rPr>
                <w:rFonts w:eastAsia="Times New Roman"/>
                <w:lang w:val="en-US" w:eastAsia="en-US"/>
              </w:rPr>
            </w:pPr>
            <w:r>
              <w:rPr>
                <w:rFonts w:ascii="Arial" w:hAnsi="Arial" w:cs="Arial"/>
                <w:sz w:val="22"/>
                <w:szCs w:val="22"/>
              </w:rPr>
              <w:t>Module tutor:</w:t>
            </w:r>
            <w:r w:rsidR="001F0E97">
              <w:rPr>
                <w:rFonts w:ascii="Arial" w:hAnsi="Arial" w:cs="Arial"/>
                <w:sz w:val="22"/>
                <w:szCs w:val="22"/>
              </w:rPr>
              <w:t xml:space="preserve">  Fabio Silva, Bernadette Brady and Kim Malville</w:t>
            </w:r>
          </w:p>
          <w:p w:rsidR="00F54C90" w:rsidRPr="00230F35" w:rsidRDefault="00F54C90" w:rsidP="001332E1">
            <w:pPr>
              <w:pStyle w:val="NormalWeb"/>
              <w:spacing w:before="0" w:beforeAutospacing="0" w:after="0" w:afterAutospacing="0"/>
              <w:ind w:right="34"/>
              <w:rPr>
                <w:rFonts w:ascii="Arial" w:hAnsi="Arial" w:cs="Arial"/>
                <w:sz w:val="22"/>
                <w:szCs w:val="22"/>
              </w:rPr>
            </w:pPr>
          </w:p>
          <w:p w:rsidR="00F54C90" w:rsidRPr="00230F35" w:rsidRDefault="00F54C90" w:rsidP="001332E1">
            <w:pPr>
              <w:pStyle w:val="NormalWeb"/>
              <w:spacing w:before="0" w:beforeAutospacing="0" w:after="0" w:afterAutospacing="0"/>
              <w:ind w:right="34"/>
              <w:rPr>
                <w:rFonts w:ascii="Arial" w:hAnsi="Arial" w:cs="Arial"/>
                <w:sz w:val="22"/>
                <w:szCs w:val="22"/>
              </w:rPr>
            </w:pPr>
          </w:p>
          <w:p w:rsidR="00F54C90" w:rsidRDefault="00F54C90" w:rsidP="001332E1">
            <w:pPr>
              <w:pStyle w:val="NormalWeb"/>
              <w:spacing w:before="0" w:beforeAutospacing="0" w:after="0" w:afterAutospacing="0"/>
              <w:ind w:right="34"/>
              <w:rPr>
                <w:rFonts w:ascii="Arial" w:hAnsi="Arial" w:cs="Arial"/>
                <w:sz w:val="22"/>
                <w:szCs w:val="22"/>
              </w:rPr>
            </w:pPr>
          </w:p>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F0E97">
              <w:rPr>
                <w:rFonts w:ascii="Arial" w:hAnsi="Arial" w:cs="Arial"/>
                <w:sz w:val="22"/>
                <w:szCs w:val="22"/>
              </w:rPr>
              <w:t xml:space="preserve"> March 4</w:t>
            </w:r>
            <w:r w:rsidR="001F0E97" w:rsidRPr="001F0E97">
              <w:rPr>
                <w:rFonts w:ascii="Arial" w:hAnsi="Arial" w:cs="Arial"/>
                <w:sz w:val="22"/>
                <w:szCs w:val="22"/>
                <w:vertAlign w:val="superscript"/>
              </w:rPr>
              <w:t>th</w:t>
            </w:r>
            <w:r w:rsidR="001F0E97">
              <w:rPr>
                <w:rFonts w:ascii="Arial" w:hAnsi="Arial" w:cs="Arial"/>
                <w:sz w:val="22"/>
                <w:szCs w:val="22"/>
              </w:rPr>
              <w:t>, 2019</w:t>
            </w:r>
          </w:p>
        </w:tc>
      </w:tr>
      <w:tr w:rsidR="00F54C90" w:rsidRPr="00230F35" w:rsidTr="001332E1">
        <w:trPr>
          <w:trHeight w:val="978"/>
        </w:trPr>
        <w:tc>
          <w:tcPr>
            <w:tcW w:w="8856" w:type="dxa"/>
            <w:gridSpan w:val="5"/>
            <w:tcBorders>
              <w:bottom w:val="single" w:sz="4" w:space="0" w:color="000000"/>
            </w:tcBorders>
          </w:tcPr>
          <w:p w:rsidR="00F54C90" w:rsidRDefault="00F54C90" w:rsidP="001332E1">
            <w:pPr>
              <w:rPr>
                <w:rFonts w:ascii="Arial" w:hAnsi="Arial" w:cs="Arial"/>
                <w:sz w:val="22"/>
                <w:szCs w:val="22"/>
              </w:rPr>
            </w:pPr>
            <w:r>
              <w:rPr>
                <w:rFonts w:ascii="Arial" w:hAnsi="Arial" w:cs="Arial"/>
                <w:sz w:val="22"/>
                <w:szCs w:val="22"/>
              </w:rPr>
              <w:t xml:space="preserve">If your module has multiple </w:t>
            </w:r>
            <w:r w:rsidR="00347888">
              <w:rPr>
                <w:rFonts w:ascii="Arial" w:hAnsi="Arial" w:cs="Arial"/>
                <w:sz w:val="22"/>
                <w:szCs w:val="22"/>
              </w:rPr>
              <w:t>submissions,</w:t>
            </w:r>
            <w:r>
              <w:rPr>
                <w:rFonts w:ascii="Arial" w:hAnsi="Arial" w:cs="Arial"/>
                <w:sz w:val="22"/>
                <w:szCs w:val="22"/>
              </w:rPr>
              <w:t xml:space="preserve"> please indicate which piece of work this is.</w:t>
            </w:r>
          </w:p>
          <w:p w:rsidR="00F54C90" w:rsidRDefault="00F54C90" w:rsidP="001332E1">
            <w:pPr>
              <w:rPr>
                <w:rFonts w:ascii="Arial" w:hAnsi="Arial" w:cs="Arial"/>
                <w:sz w:val="22"/>
                <w:szCs w:val="22"/>
              </w:rPr>
            </w:pPr>
          </w:p>
          <w:p w:rsidR="00F54C90" w:rsidRPr="00230F35" w:rsidRDefault="00F54C90" w:rsidP="001332E1">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1F0E97">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1332E1">
              <w:rPr>
                <w:rFonts w:ascii="Arial" w:hAnsi="Arial" w:cs="Arial"/>
                <w:sz w:val="22"/>
                <w:szCs w:val="22"/>
              </w:rPr>
            </w:r>
            <w:r w:rsidR="001332E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1332E1">
              <w:rPr>
                <w:rFonts w:ascii="Arial" w:hAnsi="Arial" w:cs="Arial"/>
                <w:sz w:val="22"/>
                <w:szCs w:val="22"/>
              </w:rPr>
            </w:r>
            <w:r w:rsidR="001332E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1332E1">
              <w:rPr>
                <w:rFonts w:ascii="Arial" w:hAnsi="Arial" w:cs="Arial"/>
                <w:sz w:val="22"/>
                <w:szCs w:val="22"/>
              </w:rPr>
            </w:r>
            <w:r w:rsidR="001332E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1332E1">
              <w:rPr>
                <w:rFonts w:ascii="Arial" w:hAnsi="Arial" w:cs="Arial"/>
                <w:sz w:val="22"/>
                <w:szCs w:val="22"/>
              </w:rPr>
            </w:r>
            <w:r w:rsidR="001332E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1332E1">
              <w:rPr>
                <w:rFonts w:ascii="Arial" w:hAnsi="Arial" w:cs="Arial"/>
                <w:sz w:val="22"/>
                <w:szCs w:val="22"/>
              </w:rPr>
            </w:r>
            <w:r w:rsidR="001332E1">
              <w:rPr>
                <w:rFonts w:ascii="Arial" w:hAnsi="Arial" w:cs="Arial"/>
                <w:sz w:val="22"/>
                <w:szCs w:val="22"/>
              </w:rPr>
              <w:fldChar w:fldCharType="separate"/>
            </w:r>
            <w:r w:rsidRPr="00230F35">
              <w:rPr>
                <w:rFonts w:ascii="Arial" w:hAnsi="Arial" w:cs="Arial"/>
                <w:sz w:val="22"/>
                <w:szCs w:val="22"/>
              </w:rPr>
              <w:fldChar w:fldCharType="end"/>
            </w:r>
            <w:bookmarkEnd w:id="4"/>
          </w:p>
        </w:tc>
      </w:tr>
      <w:tr w:rsidR="00F54C90" w:rsidRPr="00230F35" w:rsidTr="001332E1">
        <w:trPr>
          <w:trHeight w:val="978"/>
        </w:trPr>
        <w:tc>
          <w:tcPr>
            <w:tcW w:w="8856" w:type="dxa"/>
            <w:gridSpan w:val="5"/>
            <w:shd w:val="clear" w:color="auto" w:fill="D9D9D9"/>
          </w:tcPr>
          <w:p w:rsidR="00F54C90" w:rsidRPr="00230F35" w:rsidRDefault="00F54C90"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F54C90" w:rsidRDefault="00E6748A" w:rsidP="001332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Danielle</w:t>
            </w:r>
            <w:r w:rsidR="001F0E97">
              <w:rPr>
                <w:rFonts w:ascii="Arial" w:hAnsi="Arial" w:cs="Arial"/>
                <w:sz w:val="22"/>
                <w:szCs w:val="22"/>
              </w:rPr>
              <w:t xml:space="preserve"> Marie Goldstein</w:t>
            </w:r>
          </w:p>
          <w:p w:rsidR="00F54C90" w:rsidRDefault="00F54C90" w:rsidP="001332E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1F0E97">
              <w:rPr>
                <w:rFonts w:ascii="Calibri" w:hAnsi="Calibri" w:cs="Calibri"/>
                <w:b/>
                <w:sz w:val="44"/>
                <w:szCs w:val="44"/>
              </w:rPr>
              <w:t>X</w:t>
            </w:r>
          </w:p>
          <w:p w:rsidR="00F54C90" w:rsidRPr="00230F35" w:rsidRDefault="00F54C90" w:rsidP="001332E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54C90" w:rsidRPr="00230F35" w:rsidTr="001332E1">
        <w:trPr>
          <w:trHeight w:val="3972"/>
        </w:trPr>
        <w:tc>
          <w:tcPr>
            <w:tcW w:w="8856" w:type="dxa"/>
            <w:gridSpan w:val="5"/>
          </w:tcPr>
          <w:p w:rsidR="00F54C90" w:rsidRDefault="00F54C90" w:rsidP="001332E1">
            <w:pPr>
              <w:rPr>
                <w:rFonts w:ascii="Arial" w:hAnsi="Arial"/>
                <w:b/>
              </w:rPr>
            </w:pPr>
          </w:p>
          <w:p w:rsidR="00F54C90" w:rsidRPr="00116CE6" w:rsidRDefault="00F54C90" w:rsidP="001332E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4C90" w:rsidRPr="00116CE6" w:rsidTr="001332E1">
              <w:tc>
                <w:tcPr>
                  <w:tcW w:w="6970" w:type="dxa"/>
                </w:tcPr>
                <w:p w:rsidR="00F54C90" w:rsidRPr="00116CE6" w:rsidRDefault="00F54C90" w:rsidP="001332E1">
                  <w:pPr>
                    <w:rPr>
                      <w:rFonts w:ascii="Arial" w:hAnsi="Arial"/>
                      <w:sz w:val="20"/>
                      <w:szCs w:val="20"/>
                    </w:rPr>
                  </w:pPr>
                </w:p>
                <w:p w:rsidR="00F54C90" w:rsidRPr="00116CE6" w:rsidRDefault="00F54C90" w:rsidP="001332E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F54C90" w:rsidRPr="00116CE6" w:rsidRDefault="00F54C90" w:rsidP="001332E1">
                  <w:pPr>
                    <w:rPr>
                      <w:rFonts w:ascii="Arial" w:hAnsi="Arial"/>
                      <w:sz w:val="20"/>
                      <w:szCs w:val="20"/>
                    </w:rPr>
                  </w:pPr>
                </w:p>
              </w:tc>
            </w:tr>
            <w:tr w:rsidR="00F54C90" w:rsidRPr="00116CE6" w:rsidTr="001332E1">
              <w:tc>
                <w:tcPr>
                  <w:tcW w:w="6970" w:type="dxa"/>
                </w:tcPr>
                <w:p w:rsidR="00F54C90" w:rsidRPr="00116CE6" w:rsidRDefault="00F54C90" w:rsidP="001332E1">
                  <w:pPr>
                    <w:rPr>
                      <w:rFonts w:ascii="Arial" w:hAnsi="Arial"/>
                      <w:sz w:val="20"/>
                      <w:szCs w:val="20"/>
                    </w:rPr>
                  </w:pPr>
                </w:p>
                <w:p w:rsidR="00F54C90" w:rsidRPr="00116CE6" w:rsidRDefault="00F54C90" w:rsidP="001332E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F54C90" w:rsidRPr="00116CE6" w:rsidRDefault="00F54C90" w:rsidP="001332E1">
                  <w:pPr>
                    <w:rPr>
                      <w:rFonts w:ascii="Arial" w:hAnsi="Arial"/>
                      <w:sz w:val="20"/>
                      <w:szCs w:val="20"/>
                    </w:rPr>
                  </w:pPr>
                </w:p>
              </w:tc>
            </w:tr>
            <w:tr w:rsidR="00F54C90" w:rsidRPr="00116CE6" w:rsidTr="001332E1">
              <w:tc>
                <w:tcPr>
                  <w:tcW w:w="6970" w:type="dxa"/>
                </w:tcPr>
                <w:p w:rsidR="00F54C90" w:rsidRPr="006367FD" w:rsidRDefault="00F54C90" w:rsidP="001332E1">
                  <w:pPr>
                    <w:rPr>
                      <w:rFonts w:ascii="Arial" w:hAnsi="Arial"/>
                      <w:color w:val="000000"/>
                      <w:sz w:val="20"/>
                      <w:szCs w:val="20"/>
                    </w:rPr>
                  </w:pPr>
                  <w:r w:rsidRPr="006367FD">
                    <w:rPr>
                      <w:rFonts w:ascii="Arial" w:hAnsi="Arial"/>
                      <w:color w:val="000000"/>
                      <w:sz w:val="20"/>
                      <w:szCs w:val="20"/>
                    </w:rPr>
                    <w:t xml:space="preserve">Agreed Internal Mark: </w:t>
                  </w:r>
                </w:p>
                <w:p w:rsidR="00F54C90" w:rsidRPr="00E14D2E" w:rsidRDefault="00F54C90" w:rsidP="001332E1">
                  <w:pPr>
                    <w:rPr>
                      <w:rFonts w:ascii="Arial" w:hAnsi="Arial"/>
                      <w:sz w:val="20"/>
                      <w:szCs w:val="20"/>
                      <w:highlight w:val="yellow"/>
                    </w:rPr>
                  </w:pPr>
                </w:p>
              </w:tc>
              <w:tc>
                <w:tcPr>
                  <w:tcW w:w="1660" w:type="dxa"/>
                </w:tcPr>
                <w:p w:rsidR="00F54C90" w:rsidRPr="00E14D2E" w:rsidRDefault="00F54C90" w:rsidP="001332E1">
                  <w:pPr>
                    <w:rPr>
                      <w:rFonts w:ascii="Arial" w:hAnsi="Arial"/>
                      <w:sz w:val="20"/>
                      <w:szCs w:val="20"/>
                      <w:highlight w:val="yellow"/>
                    </w:rPr>
                  </w:pPr>
                </w:p>
              </w:tc>
            </w:tr>
            <w:tr w:rsidR="00F54C90" w:rsidRPr="00116CE6" w:rsidTr="001332E1">
              <w:tc>
                <w:tcPr>
                  <w:tcW w:w="6970" w:type="dxa"/>
                </w:tcPr>
                <w:p w:rsidR="00F54C90" w:rsidRPr="00116CE6" w:rsidRDefault="00F54C90" w:rsidP="001332E1">
                  <w:pPr>
                    <w:rPr>
                      <w:rFonts w:ascii="Arial" w:hAnsi="Arial"/>
                      <w:sz w:val="20"/>
                      <w:szCs w:val="20"/>
                    </w:rPr>
                  </w:pPr>
                </w:p>
                <w:p w:rsidR="00F54C90" w:rsidRPr="00116CE6" w:rsidRDefault="00F54C90" w:rsidP="001332E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F54C90" w:rsidRPr="00116CE6" w:rsidRDefault="00F54C90" w:rsidP="001332E1">
                  <w:pPr>
                    <w:rPr>
                      <w:rFonts w:ascii="Arial" w:hAnsi="Arial"/>
                      <w:sz w:val="20"/>
                      <w:szCs w:val="20"/>
                    </w:rPr>
                  </w:pPr>
                </w:p>
              </w:tc>
            </w:tr>
            <w:tr w:rsidR="00F54C90" w:rsidRPr="00116CE6" w:rsidTr="001332E1">
              <w:tc>
                <w:tcPr>
                  <w:tcW w:w="6970" w:type="dxa"/>
                </w:tcPr>
                <w:p w:rsidR="00F54C90" w:rsidRDefault="00F54C90" w:rsidP="001332E1">
                  <w:pPr>
                    <w:rPr>
                      <w:rFonts w:ascii="Arial" w:hAnsi="Arial"/>
                      <w:sz w:val="20"/>
                      <w:szCs w:val="20"/>
                    </w:rPr>
                  </w:pPr>
                </w:p>
                <w:p w:rsidR="00F54C90" w:rsidRPr="00022345" w:rsidRDefault="00F54C90" w:rsidP="001332E1">
                  <w:pPr>
                    <w:rPr>
                      <w:rFonts w:ascii="Arial" w:hAnsi="Arial"/>
                      <w:b/>
                      <w:sz w:val="20"/>
                      <w:szCs w:val="20"/>
                    </w:rPr>
                  </w:pPr>
                  <w:r w:rsidRPr="00022345">
                    <w:rPr>
                      <w:rFonts w:ascii="Arial" w:hAnsi="Arial"/>
                      <w:b/>
                      <w:sz w:val="20"/>
                      <w:szCs w:val="20"/>
                    </w:rPr>
                    <w:t>Final Mark</w:t>
                  </w:r>
                </w:p>
                <w:p w:rsidR="00F54C90" w:rsidRPr="00116CE6" w:rsidRDefault="00F54C90" w:rsidP="001332E1">
                  <w:pPr>
                    <w:rPr>
                      <w:rFonts w:ascii="Arial" w:hAnsi="Arial"/>
                      <w:sz w:val="20"/>
                      <w:szCs w:val="20"/>
                    </w:rPr>
                  </w:pPr>
                </w:p>
              </w:tc>
              <w:tc>
                <w:tcPr>
                  <w:tcW w:w="1660" w:type="dxa"/>
                </w:tcPr>
                <w:p w:rsidR="00F54C90" w:rsidRPr="00116CE6" w:rsidRDefault="00F54C90" w:rsidP="001332E1">
                  <w:pPr>
                    <w:rPr>
                      <w:rFonts w:ascii="Arial" w:hAnsi="Arial"/>
                      <w:sz w:val="20"/>
                      <w:szCs w:val="20"/>
                    </w:rPr>
                  </w:pPr>
                </w:p>
              </w:tc>
            </w:tr>
          </w:tbl>
          <w:p w:rsidR="00F54C90" w:rsidRDefault="00F54C90" w:rsidP="001332E1">
            <w:pPr>
              <w:pStyle w:val="NormalWeb"/>
              <w:spacing w:before="0" w:beforeAutospacing="0" w:after="0" w:afterAutospacing="0"/>
              <w:ind w:left="142" w:right="34"/>
              <w:rPr>
                <w:rFonts w:ascii="Arial" w:hAnsi="Arial" w:cs="Arial"/>
                <w:b/>
                <w:sz w:val="22"/>
                <w:szCs w:val="22"/>
              </w:rPr>
            </w:pPr>
          </w:p>
          <w:p w:rsidR="00F54C90" w:rsidRPr="00230F35" w:rsidRDefault="00F54C90" w:rsidP="001332E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F54C90" w:rsidRDefault="00F54C90" w:rsidP="001332E1">
            <w:pPr>
              <w:pStyle w:val="NormalWeb"/>
              <w:spacing w:before="0" w:beforeAutospacing="0" w:after="0" w:afterAutospacing="0"/>
              <w:rPr>
                <w:rFonts w:ascii="Arial" w:hAnsi="Arial" w:cs="Arial"/>
                <w:b/>
                <w:sz w:val="22"/>
                <w:szCs w:val="22"/>
              </w:rPr>
            </w:pPr>
          </w:p>
          <w:p w:rsidR="00F54C90" w:rsidRDefault="00F54C90" w:rsidP="001332E1">
            <w:pPr>
              <w:pStyle w:val="NormalWeb"/>
              <w:spacing w:before="0" w:beforeAutospacing="0" w:after="0" w:afterAutospacing="0"/>
              <w:rPr>
                <w:rFonts w:ascii="Arial" w:hAnsi="Arial" w:cs="Arial"/>
                <w:b/>
                <w:sz w:val="22"/>
                <w:szCs w:val="22"/>
              </w:rPr>
            </w:pPr>
          </w:p>
          <w:p w:rsidR="00F54C90" w:rsidRDefault="00F54C90" w:rsidP="001332E1">
            <w:pPr>
              <w:pStyle w:val="NormalWeb"/>
              <w:spacing w:before="0" w:beforeAutospacing="0" w:after="0" w:afterAutospacing="0"/>
              <w:rPr>
                <w:rFonts w:ascii="Arial" w:hAnsi="Arial" w:cs="Arial"/>
                <w:b/>
                <w:sz w:val="22"/>
                <w:szCs w:val="22"/>
              </w:rPr>
            </w:pPr>
          </w:p>
          <w:p w:rsidR="00F54C90" w:rsidRDefault="00F54C90" w:rsidP="001332E1">
            <w:pPr>
              <w:pStyle w:val="NormalWeb"/>
              <w:spacing w:before="0" w:beforeAutospacing="0" w:after="0" w:afterAutospacing="0"/>
              <w:rPr>
                <w:rFonts w:ascii="Arial" w:hAnsi="Arial" w:cs="Arial"/>
                <w:b/>
                <w:sz w:val="22"/>
                <w:szCs w:val="22"/>
              </w:rPr>
            </w:pPr>
          </w:p>
          <w:p w:rsidR="00F54C90" w:rsidRPr="00230F35" w:rsidRDefault="00F54C90" w:rsidP="001332E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371F47" w:rsidRPr="00230F35">
              <w:rPr>
                <w:rFonts w:ascii="Arial" w:hAnsi="Arial" w:cs="Arial"/>
                <w:b/>
                <w:sz w:val="22"/>
                <w:szCs w:val="22"/>
              </w:rPr>
              <w:t>1:</w:t>
            </w:r>
          </w:p>
          <w:p w:rsidR="00F54C90" w:rsidRDefault="00F54C90" w:rsidP="001332E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F54C90" w:rsidRPr="00001C3B" w:rsidRDefault="00F54C90" w:rsidP="001332E1">
            <w:pPr>
              <w:pStyle w:val="NormalWeb"/>
              <w:rPr>
                <w:rFonts w:ascii="Arial" w:hAnsi="Arial" w:cs="Arial"/>
                <w:sz w:val="22"/>
                <w:szCs w:val="22"/>
              </w:rPr>
            </w:pPr>
          </w:p>
        </w:tc>
      </w:tr>
      <w:tr w:rsidR="00F54C90" w:rsidRPr="00230F35" w:rsidTr="001332E1">
        <w:trPr>
          <w:trHeight w:val="492"/>
        </w:trPr>
        <w:tc>
          <w:tcPr>
            <w:tcW w:w="6768" w:type="dxa"/>
            <w:gridSpan w:val="3"/>
          </w:tcPr>
          <w:p w:rsidR="00F54C90" w:rsidRPr="00230F35" w:rsidRDefault="00F54C90" w:rsidP="001332E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F54C90" w:rsidRPr="00230F35" w:rsidRDefault="00F54C90" w:rsidP="001332E1">
            <w:pPr>
              <w:pStyle w:val="NormalWeb"/>
              <w:spacing w:after="0"/>
              <w:ind w:left="142" w:right="34"/>
              <w:rPr>
                <w:rFonts w:ascii="Arial" w:hAnsi="Arial" w:cs="Arial"/>
                <w:sz w:val="22"/>
                <w:szCs w:val="22"/>
              </w:rPr>
            </w:pPr>
            <w:r w:rsidRPr="00230F35">
              <w:rPr>
                <w:rFonts w:ascii="Arial" w:hAnsi="Arial" w:cs="Arial"/>
                <w:sz w:val="22"/>
                <w:szCs w:val="22"/>
              </w:rPr>
              <w:t>Date:</w:t>
            </w:r>
          </w:p>
        </w:tc>
      </w:tr>
      <w:tr w:rsidR="00F54C90" w:rsidRPr="002F467C" w:rsidTr="001332E1">
        <w:tc>
          <w:tcPr>
            <w:tcW w:w="8856" w:type="dxa"/>
            <w:gridSpan w:val="5"/>
          </w:tcPr>
          <w:p w:rsidR="00F54C90" w:rsidRPr="00230F35" w:rsidRDefault="00F54C90" w:rsidP="001332E1">
            <w:pPr>
              <w:pStyle w:val="NormalWeb"/>
              <w:spacing w:before="0" w:beforeAutospacing="0" w:after="0" w:afterAutospacing="0"/>
              <w:ind w:right="-334"/>
              <w:rPr>
                <w:rFonts w:ascii="Arial" w:hAnsi="Arial" w:cs="Arial"/>
                <w:bCs/>
                <w:i/>
                <w:sz w:val="22"/>
                <w:szCs w:val="22"/>
              </w:rPr>
            </w:pPr>
          </w:p>
          <w:p w:rsidR="00F54C90" w:rsidRPr="00230F35" w:rsidRDefault="00F54C90" w:rsidP="001332E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F54C90" w:rsidRPr="00230F35" w:rsidRDefault="00F54C90" w:rsidP="001332E1">
            <w:pPr>
              <w:pStyle w:val="NormalWeb"/>
              <w:spacing w:before="0" w:beforeAutospacing="0" w:after="0" w:afterAutospacing="0"/>
              <w:ind w:right="-334"/>
              <w:rPr>
                <w:rFonts w:ascii="Arial" w:hAnsi="Arial" w:cs="Arial"/>
                <w:b/>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F54C90" w:rsidRPr="00230F35" w:rsidRDefault="00F54C90" w:rsidP="001332E1">
            <w:pPr>
              <w:pStyle w:val="NormalWeb"/>
              <w:spacing w:before="0" w:beforeAutospacing="0" w:after="0" w:afterAutospacing="0"/>
              <w:ind w:right="-334"/>
              <w:rPr>
                <w:rFonts w:ascii="Arial" w:hAnsi="Arial" w:cs="Arial"/>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p>
        </w:tc>
      </w:tr>
      <w:tr w:rsidR="00F54C90" w:rsidRPr="002F467C" w:rsidTr="001332E1">
        <w:trPr>
          <w:trHeight w:val="720"/>
        </w:trPr>
        <w:tc>
          <w:tcPr>
            <w:tcW w:w="5211" w:type="dxa"/>
            <w:gridSpan w:val="2"/>
          </w:tcPr>
          <w:p w:rsidR="00F54C90" w:rsidRPr="00230F35" w:rsidRDefault="00F54C90" w:rsidP="001332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F54C90" w:rsidRPr="00230F35" w:rsidRDefault="00F54C90" w:rsidP="001332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54C90" w:rsidRPr="002F467C" w:rsidTr="001332E1">
        <w:trPr>
          <w:trHeight w:val="720"/>
        </w:trPr>
        <w:tc>
          <w:tcPr>
            <w:tcW w:w="8856" w:type="dxa"/>
            <w:gridSpan w:val="5"/>
          </w:tcPr>
          <w:p w:rsidR="00F54C90" w:rsidRPr="006367FD" w:rsidRDefault="00F54C90" w:rsidP="001332E1">
            <w:pPr>
              <w:rPr>
                <w:rFonts w:ascii="Arial" w:hAnsi="Arial" w:cs="Arial"/>
                <w:b/>
                <w:sz w:val="22"/>
                <w:szCs w:val="22"/>
              </w:rPr>
            </w:pPr>
            <w:r w:rsidRPr="006367FD">
              <w:rPr>
                <w:rFonts w:ascii="Arial" w:hAnsi="Arial" w:cs="Arial"/>
                <w:b/>
                <w:sz w:val="22"/>
                <w:szCs w:val="22"/>
              </w:rPr>
              <w:t>AGREED INTERNAL MARK (where necessary):</w:t>
            </w:r>
          </w:p>
          <w:p w:rsidR="00F54C90" w:rsidRPr="006367FD" w:rsidRDefault="00F54C90" w:rsidP="001332E1">
            <w:pPr>
              <w:rPr>
                <w:rFonts w:ascii="Arial" w:hAnsi="Arial" w:cs="Arial"/>
                <w:b/>
                <w:sz w:val="22"/>
                <w:szCs w:val="22"/>
              </w:rPr>
            </w:pPr>
          </w:p>
          <w:p w:rsidR="00F54C90" w:rsidRDefault="00F54C90" w:rsidP="001332E1">
            <w:pPr>
              <w:rPr>
                <w:rFonts w:ascii="Arial" w:hAnsi="Arial" w:cs="Arial"/>
                <w:b/>
                <w:sz w:val="22"/>
                <w:szCs w:val="22"/>
              </w:rPr>
            </w:pPr>
            <w:r w:rsidRPr="006367FD">
              <w:rPr>
                <w:rFonts w:ascii="Arial" w:hAnsi="Arial" w:cs="Arial"/>
                <w:b/>
                <w:sz w:val="22"/>
                <w:szCs w:val="22"/>
              </w:rPr>
              <w:t>Comment on process of arriving at agreed mark:</w:t>
            </w: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Default="00F54C90" w:rsidP="001332E1">
            <w:pPr>
              <w:rPr>
                <w:rFonts w:ascii="Arial" w:hAnsi="Arial" w:cs="Arial"/>
                <w:b/>
                <w:sz w:val="22"/>
                <w:szCs w:val="22"/>
              </w:rPr>
            </w:pPr>
          </w:p>
          <w:p w:rsidR="00F54C90" w:rsidRPr="00B34964" w:rsidRDefault="00F54C90" w:rsidP="001332E1">
            <w:pPr>
              <w:rPr>
                <w:rFonts w:ascii="Arial" w:hAnsi="Arial" w:cs="Arial"/>
                <w:b/>
                <w:sz w:val="22"/>
                <w:szCs w:val="22"/>
              </w:rPr>
            </w:pPr>
          </w:p>
        </w:tc>
      </w:tr>
      <w:tr w:rsidR="00F54C90" w:rsidRPr="002F467C" w:rsidTr="001332E1">
        <w:trPr>
          <w:trHeight w:val="720"/>
        </w:trPr>
        <w:tc>
          <w:tcPr>
            <w:tcW w:w="8856" w:type="dxa"/>
            <w:gridSpan w:val="5"/>
          </w:tcPr>
          <w:p w:rsidR="00F54C90" w:rsidRPr="00B34964" w:rsidRDefault="00F54C90" w:rsidP="001332E1">
            <w:pPr>
              <w:rPr>
                <w:rFonts w:ascii="Arial" w:hAnsi="Arial" w:cs="Arial"/>
                <w:b/>
                <w:sz w:val="22"/>
                <w:szCs w:val="22"/>
              </w:rPr>
            </w:pPr>
            <w:r w:rsidRPr="00B34964">
              <w:rPr>
                <w:rFonts w:ascii="Arial" w:hAnsi="Arial" w:cs="Arial"/>
                <w:b/>
                <w:sz w:val="22"/>
                <w:szCs w:val="22"/>
              </w:rPr>
              <w:t>External Examiner’s comments (if relevant)</w:t>
            </w:r>
          </w:p>
          <w:p w:rsidR="00F54C90" w:rsidRDefault="00F54C90" w:rsidP="001332E1">
            <w:pPr>
              <w:pStyle w:val="NormalWeb"/>
              <w:spacing w:before="0" w:beforeAutospacing="0" w:after="0" w:afterAutospacing="0"/>
              <w:ind w:right="-334"/>
              <w:rPr>
                <w:rFonts w:ascii="Arial" w:hAnsi="Arial" w:cs="Arial"/>
                <w:bCs/>
                <w:sz w:val="22"/>
                <w:szCs w:val="22"/>
              </w:rPr>
            </w:pPr>
          </w:p>
          <w:p w:rsidR="00F54C90" w:rsidRDefault="00F54C90" w:rsidP="001332E1">
            <w:pPr>
              <w:pStyle w:val="NormalWeb"/>
              <w:spacing w:before="0" w:beforeAutospacing="0" w:after="0" w:afterAutospacing="0"/>
              <w:ind w:right="-334"/>
              <w:rPr>
                <w:rFonts w:ascii="Arial" w:hAnsi="Arial" w:cs="Arial"/>
                <w:bCs/>
                <w:sz w:val="22"/>
                <w:szCs w:val="22"/>
              </w:rPr>
            </w:pPr>
          </w:p>
          <w:p w:rsidR="00F54C90" w:rsidRDefault="00F54C90" w:rsidP="001332E1">
            <w:pPr>
              <w:pStyle w:val="NormalWeb"/>
              <w:spacing w:before="0" w:beforeAutospacing="0" w:after="0" w:afterAutospacing="0"/>
              <w:ind w:right="-334"/>
              <w:rPr>
                <w:rFonts w:ascii="Arial" w:hAnsi="Arial" w:cs="Arial"/>
                <w:bCs/>
                <w:sz w:val="22"/>
                <w:szCs w:val="22"/>
              </w:rPr>
            </w:pPr>
          </w:p>
          <w:p w:rsidR="00F54C90" w:rsidRDefault="00F54C90" w:rsidP="001332E1">
            <w:pPr>
              <w:pStyle w:val="NormalWeb"/>
              <w:spacing w:before="0" w:beforeAutospacing="0" w:after="0" w:afterAutospacing="0"/>
              <w:ind w:right="-334"/>
              <w:rPr>
                <w:rFonts w:ascii="Arial" w:hAnsi="Arial" w:cs="Arial"/>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p>
          <w:p w:rsidR="00F54C90" w:rsidRPr="00230F35" w:rsidRDefault="00F54C90" w:rsidP="001332E1">
            <w:pPr>
              <w:pStyle w:val="NormalWeb"/>
              <w:spacing w:before="0" w:beforeAutospacing="0" w:after="0" w:afterAutospacing="0"/>
              <w:ind w:right="-334"/>
              <w:rPr>
                <w:rFonts w:ascii="Arial" w:hAnsi="Arial" w:cs="Arial"/>
                <w:bCs/>
                <w:sz w:val="22"/>
                <w:szCs w:val="22"/>
              </w:rPr>
            </w:pPr>
          </w:p>
        </w:tc>
      </w:tr>
      <w:tr w:rsidR="00F54C90" w:rsidRPr="002F467C" w:rsidTr="001332E1">
        <w:trPr>
          <w:trHeight w:val="720"/>
        </w:trPr>
        <w:tc>
          <w:tcPr>
            <w:tcW w:w="5211" w:type="dxa"/>
            <w:gridSpan w:val="2"/>
          </w:tcPr>
          <w:p w:rsidR="00F54C90" w:rsidRPr="00230F35" w:rsidRDefault="00F54C90" w:rsidP="001332E1">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F54C90" w:rsidRPr="00230F35" w:rsidRDefault="00F54C90" w:rsidP="001332E1">
            <w:pPr>
              <w:rPr>
                <w:rFonts w:ascii="Arial" w:hAnsi="Arial" w:cs="Arial"/>
                <w:sz w:val="22"/>
                <w:szCs w:val="22"/>
              </w:rPr>
            </w:pPr>
            <w:r w:rsidRPr="00230F35">
              <w:rPr>
                <w:rFonts w:ascii="Arial" w:hAnsi="Arial" w:cs="Arial"/>
                <w:sz w:val="22"/>
                <w:szCs w:val="22"/>
              </w:rPr>
              <w:t>Date:</w:t>
            </w:r>
          </w:p>
        </w:tc>
      </w:tr>
    </w:tbl>
    <w:p w:rsidR="00F54C90" w:rsidRPr="00D67BF8" w:rsidRDefault="00F54C90" w:rsidP="00F54C90">
      <w:pPr>
        <w:pStyle w:val="NormalWeb"/>
        <w:spacing w:before="0" w:beforeAutospacing="0" w:after="0" w:afterAutospacing="0"/>
        <w:ind w:right="-334"/>
        <w:rPr>
          <w:rFonts w:ascii="Trebuchet MS" w:hAnsi="Trebuchet MS" w:cs="Tahoma"/>
          <w:bCs/>
          <w:sz w:val="24"/>
          <w:szCs w:val="24"/>
        </w:rPr>
      </w:pPr>
    </w:p>
    <w:p w:rsidR="00F54C90" w:rsidRDefault="00F54C90"/>
    <w:p w:rsidR="00866DD9" w:rsidRDefault="00866DD9"/>
    <w:p w:rsidR="00C922FB" w:rsidRDefault="00C922FB">
      <w:r>
        <w:br w:type="page"/>
      </w:r>
    </w:p>
    <w:p w:rsidR="001F0E97" w:rsidRDefault="00C02B76">
      <w:pPr>
        <w:rPr>
          <w:b/>
        </w:rPr>
      </w:pPr>
      <w:r w:rsidRPr="00511448">
        <w:rPr>
          <w:b/>
        </w:rPr>
        <w:lastRenderedPageBreak/>
        <w:t>A Critical Review of Two Papers Concerning Chankillo, Peru</w:t>
      </w:r>
    </w:p>
    <w:p w:rsidR="00367077" w:rsidRPr="00367077" w:rsidRDefault="00456103">
      <w:r>
        <w:t>Word Count:  1574</w:t>
      </w:r>
    </w:p>
    <w:p w:rsidR="00E6748A" w:rsidRDefault="00E6748A">
      <w:pPr>
        <w:rPr>
          <w:b/>
        </w:rPr>
      </w:pPr>
    </w:p>
    <w:p w:rsidR="001F0E97" w:rsidRPr="00884FFD" w:rsidRDefault="00511448">
      <w:pPr>
        <w:rPr>
          <w:b/>
        </w:rPr>
      </w:pPr>
      <w:r>
        <w:rPr>
          <w:b/>
        </w:rPr>
        <w:t>Introduction</w:t>
      </w:r>
    </w:p>
    <w:p w:rsidR="00371F47" w:rsidRDefault="001F0E97">
      <w:r>
        <w:t xml:space="preserve">The aim of this essay is to </w:t>
      </w:r>
      <w:r w:rsidR="002926B3">
        <w:t xml:space="preserve">compare and </w:t>
      </w:r>
      <w:r>
        <w:t>critically review</w:t>
      </w:r>
      <w:r w:rsidR="006722F4">
        <w:t xml:space="preserve"> </w:t>
      </w:r>
      <w:r w:rsidR="00CB671E">
        <w:t xml:space="preserve">two academic </w:t>
      </w:r>
      <w:r w:rsidR="006722F4">
        <w:t>paper</w:t>
      </w:r>
      <w:r w:rsidR="00CB671E">
        <w:t>s</w:t>
      </w:r>
      <w:r w:rsidR="00E07C93">
        <w:t xml:space="preserve">:  </w:t>
      </w:r>
      <w:r w:rsidR="00CB671E">
        <w:t>Ivan Ghezzi and Clive Ruggles</w:t>
      </w:r>
      <w:r w:rsidR="00716E9F">
        <w:t xml:space="preserve"> </w:t>
      </w:r>
      <w:r w:rsidR="00AD7E71">
        <w:t>“</w:t>
      </w:r>
      <w:r>
        <w:t>The social and ritual context of horizon astrono</w:t>
      </w:r>
      <w:r w:rsidR="00AD7E71">
        <w:t>mical observations at Chankillo”</w:t>
      </w:r>
      <w:r>
        <w:t xml:space="preserve"> </w:t>
      </w:r>
      <w:r w:rsidR="00CB671E">
        <w:t xml:space="preserve">and J. McKim Malville’s </w:t>
      </w:r>
      <w:r w:rsidR="00AD7E71">
        <w:t>“</w:t>
      </w:r>
      <w:r>
        <w:t>Astronomy and ceremony at C</w:t>
      </w:r>
      <w:r w:rsidR="00CB671E">
        <w:t>hankillo: an Andean perspective</w:t>
      </w:r>
      <w:r w:rsidR="00AD7E71">
        <w:t>”</w:t>
      </w:r>
      <w:r w:rsidR="006722F4">
        <w:t>.</w:t>
      </w:r>
      <w:r w:rsidR="0011184A">
        <w:rPr>
          <w:rStyle w:val="FootnoteReference"/>
        </w:rPr>
        <w:footnoteReference w:id="1"/>
      </w:r>
      <w:r w:rsidR="006722F4">
        <w:t xml:space="preserve">  </w:t>
      </w:r>
      <w:r w:rsidR="00CB671E">
        <w:t>While e</w:t>
      </w:r>
      <w:r w:rsidR="00730276">
        <w:t>ach</w:t>
      </w:r>
      <w:r w:rsidR="00E6748A">
        <w:t xml:space="preserve"> </w:t>
      </w:r>
      <w:r w:rsidR="00CB671E">
        <w:t>essay</w:t>
      </w:r>
      <w:r w:rsidR="00716E9F">
        <w:t xml:space="preserve"> </w:t>
      </w:r>
      <w:r w:rsidR="006722F4">
        <w:t>take</w:t>
      </w:r>
      <w:r w:rsidR="00CB671E">
        <w:t>s</w:t>
      </w:r>
      <w:r w:rsidR="006722F4">
        <w:t xml:space="preserve"> into consider</w:t>
      </w:r>
      <w:r w:rsidR="00E6748A">
        <w:t>ation</w:t>
      </w:r>
      <w:r w:rsidR="006722F4">
        <w:t xml:space="preserve"> </w:t>
      </w:r>
      <w:r w:rsidR="00CB671E">
        <w:t xml:space="preserve">Chankillo, Peru’s </w:t>
      </w:r>
      <w:r w:rsidR="00716E9F">
        <w:t>astronom</w:t>
      </w:r>
      <w:r w:rsidR="006722F4">
        <w:t>ical connections</w:t>
      </w:r>
      <w:r w:rsidR="00E07C93">
        <w:t>,</w:t>
      </w:r>
      <w:r w:rsidR="006722F4">
        <w:t xml:space="preserve"> </w:t>
      </w:r>
      <w:r w:rsidR="00637AF6">
        <w:t xml:space="preserve">the authors </w:t>
      </w:r>
      <w:r w:rsidR="00CB671E">
        <w:t>arrive</w:t>
      </w:r>
      <w:r w:rsidR="00637AF6">
        <w:t xml:space="preserve"> </w:t>
      </w:r>
      <w:r w:rsidR="00CB671E">
        <w:t>at</w:t>
      </w:r>
      <w:r w:rsidR="00637AF6">
        <w:t xml:space="preserve"> </w:t>
      </w:r>
      <w:r w:rsidR="006722F4">
        <w:t xml:space="preserve">two different </w:t>
      </w:r>
      <w:r w:rsidR="00E6748A">
        <w:t>conclusions</w:t>
      </w:r>
      <w:r w:rsidR="006722F4">
        <w:t xml:space="preserve">.  </w:t>
      </w:r>
      <w:r w:rsidR="00CB671E">
        <w:t>Presented at the International Symposium on Archaeoastronomy in 2011 in Lima, Peru; b</w:t>
      </w:r>
      <w:r w:rsidR="00637AF6">
        <w:t>oth</w:t>
      </w:r>
      <w:r w:rsidR="00C657D5">
        <w:t xml:space="preserve"> papers were </w:t>
      </w:r>
      <w:r w:rsidR="00CB671E">
        <w:t xml:space="preserve">intended </w:t>
      </w:r>
      <w:r w:rsidR="00E6748A">
        <w:t xml:space="preserve">for </w:t>
      </w:r>
      <w:r w:rsidR="00637AF6">
        <w:t>an academic audience</w:t>
      </w:r>
      <w:r w:rsidR="00E6748A">
        <w:t xml:space="preserve"> with an interest in skyscapes</w:t>
      </w:r>
      <w:r w:rsidR="00121C9F">
        <w:t xml:space="preserve"> and archaeology</w:t>
      </w:r>
      <w:r w:rsidR="00C97E4E">
        <w:t xml:space="preserve">.  </w:t>
      </w:r>
      <w:r w:rsidR="00BB08E2">
        <w:t xml:space="preserve">Skyscapes is a term that </w:t>
      </w:r>
      <w:r w:rsidR="00371F47">
        <w:t>was generated in response to</w:t>
      </w:r>
      <w:r w:rsidR="00AD7E71">
        <w:t xml:space="preserve"> the </w:t>
      </w:r>
      <w:r w:rsidR="00371F47">
        <w:t>field</w:t>
      </w:r>
      <w:r w:rsidR="00AD7E71">
        <w:t xml:space="preserve"> of</w:t>
      </w:r>
      <w:r w:rsidR="00BB08E2">
        <w:t xml:space="preserve"> archaeoastronomy</w:t>
      </w:r>
      <w:r w:rsidR="00CC082C">
        <w:t>, defined by Fabio Silva</w:t>
      </w:r>
      <w:r w:rsidR="00C97E4E">
        <w:t xml:space="preserve"> as an </w:t>
      </w:r>
      <w:r w:rsidR="00E53C4D">
        <w:t>indigenous</w:t>
      </w:r>
      <w:r w:rsidR="00C97E4E">
        <w:t xml:space="preserve"> conceptual framework that constitutes a society’s understanding of the sky and those that live within it, </w:t>
      </w:r>
      <w:r w:rsidR="00AD7E71">
        <w:t xml:space="preserve">including </w:t>
      </w:r>
      <w:r w:rsidR="00C97E4E">
        <w:t xml:space="preserve">how they related to </w:t>
      </w:r>
      <w:r w:rsidR="00CC082C">
        <w:t xml:space="preserve">their culture’s </w:t>
      </w:r>
      <w:r w:rsidR="00AD7E71">
        <w:t>beliefs and practices, with</w:t>
      </w:r>
      <w:r w:rsidR="00C97E4E">
        <w:t xml:space="preserve"> consi</w:t>
      </w:r>
      <w:r w:rsidR="00AD7E71">
        <w:t>deration</w:t>
      </w:r>
      <w:r w:rsidR="00C97E4E">
        <w:t xml:space="preserve"> of time and space, </w:t>
      </w:r>
      <w:r w:rsidR="00AD7E71">
        <w:t xml:space="preserve">and </w:t>
      </w:r>
      <w:r w:rsidR="00C97E4E">
        <w:t>to their structure and material culture</w:t>
      </w:r>
      <w:r w:rsidR="00C657D5">
        <w:t>.</w:t>
      </w:r>
      <w:r w:rsidR="00C97E4E">
        <w:rPr>
          <w:rStyle w:val="FootnoteReference"/>
        </w:rPr>
        <w:footnoteReference w:id="2"/>
      </w:r>
      <w:r w:rsidR="00AD7E71">
        <w:t xml:space="preserve">  </w:t>
      </w:r>
      <w:r w:rsidR="00621F98">
        <w:t>This paper will explore the methods that Malville, Ghezzi and Ruggles used t</w:t>
      </w:r>
      <w:r w:rsidR="00EF066C">
        <w:t xml:space="preserve">o come to their differing conclusions while offering an </w:t>
      </w:r>
      <w:r w:rsidR="00AD600B">
        <w:t>analytical r</w:t>
      </w:r>
      <w:r w:rsidR="00A00B14">
        <w:t>eview of each paper as the field</w:t>
      </w:r>
      <w:r w:rsidR="00AD600B">
        <w:t xml:space="preserve"> of skyscapes is considered.</w:t>
      </w:r>
    </w:p>
    <w:p w:rsidR="00621F98" w:rsidRDefault="00621F98"/>
    <w:p w:rsidR="00884FFD" w:rsidRPr="00621F98" w:rsidRDefault="00FA02C2">
      <w:r>
        <w:rPr>
          <w:b/>
        </w:rPr>
        <w:t>Overview</w:t>
      </w:r>
    </w:p>
    <w:p w:rsidR="008C476F" w:rsidRDefault="00FA02C2" w:rsidP="00371F47">
      <w:r>
        <w:t xml:space="preserve">While the </w:t>
      </w:r>
      <w:r w:rsidR="00AD7E71">
        <w:t>Ghezzi and Ruggles paper interpreted</w:t>
      </w:r>
      <w:r>
        <w:t xml:space="preserve"> that Chankillo is a unique site of landscape timekeeping that could have been a place of an elite warrior class, Malville claimed that Chankillo was similar to other Peruvian sites</w:t>
      </w:r>
      <w:r w:rsidR="00E07C93">
        <w:t>.  H</w:t>
      </w:r>
      <w:r>
        <w:t>is essay reviewe</w:t>
      </w:r>
      <w:r w:rsidR="00F60349">
        <w:t>d the connection of Chankillo within</w:t>
      </w:r>
      <w:r>
        <w:t xml:space="preserve"> Andean cosmology. </w:t>
      </w:r>
      <w:r w:rsidR="0047696C">
        <w:t xml:space="preserve">The paper by Ghezzi and Ruggles is </w:t>
      </w:r>
      <w:r w:rsidR="00E07C93">
        <w:t>a follow-</w:t>
      </w:r>
      <w:r w:rsidR="00621F98">
        <w:t>up to</w:t>
      </w:r>
      <w:r w:rsidR="0047696C">
        <w:t xml:space="preserve"> a</w:t>
      </w:r>
      <w:r w:rsidR="00621F98">
        <w:t xml:space="preserve"> </w:t>
      </w:r>
      <w:r w:rsidR="00EF066C">
        <w:t>previous</w:t>
      </w:r>
      <w:r w:rsidR="00621F98">
        <w:t xml:space="preserve"> pap</w:t>
      </w:r>
      <w:r w:rsidR="00AD600B">
        <w:t xml:space="preserve">er that </w:t>
      </w:r>
      <w:r w:rsidR="0047696C">
        <w:t>they</w:t>
      </w:r>
      <w:r w:rsidR="00AD600B">
        <w:t xml:space="preserve"> wrote</w:t>
      </w:r>
      <w:r w:rsidR="00621F98">
        <w:t xml:space="preserve"> in 2007 where they claim</w:t>
      </w:r>
      <w:r w:rsidR="00EF066C">
        <w:t>ed</w:t>
      </w:r>
      <w:r w:rsidR="00621F98">
        <w:t xml:space="preserve"> that Chankillo formed a uni</w:t>
      </w:r>
      <w:r w:rsidR="00EF066C">
        <w:t>que solar device of timekeeping,</w:t>
      </w:r>
      <w:r w:rsidR="00B43C76">
        <w:t xml:space="preserve"> particularly that the Thirteen Towers and the nearby plazas provide</w:t>
      </w:r>
      <w:r w:rsidR="00637AF6">
        <w:t>d</w:t>
      </w:r>
      <w:r w:rsidR="00B43C76">
        <w:t xml:space="preserve"> a place for public rituals and feasts that were measured at the site by the seasonal passage of the sun.</w:t>
      </w:r>
      <w:r w:rsidR="00B43C76">
        <w:rPr>
          <w:rStyle w:val="FootnoteReference"/>
        </w:rPr>
        <w:footnoteReference w:id="3"/>
      </w:r>
      <w:r w:rsidR="00621F98">
        <w:t xml:space="preserve">  In the</w:t>
      </w:r>
      <w:r w:rsidR="00B43C76">
        <w:t xml:space="preserve"> follow-up paper</w:t>
      </w:r>
      <w:r w:rsidR="00F11997">
        <w:t xml:space="preserve"> </w:t>
      </w:r>
      <w:r w:rsidR="00621F98">
        <w:t>Ghezzi and Ruggles</w:t>
      </w:r>
      <w:r w:rsidR="00B43C76">
        <w:t xml:space="preserve"> continued to justify</w:t>
      </w:r>
      <w:r w:rsidR="00E07C93">
        <w:t>,</w:t>
      </w:r>
      <w:r w:rsidR="00B43C76">
        <w:t xml:space="preserve"> with evidence</w:t>
      </w:r>
      <w:r w:rsidR="00E07C93">
        <w:t>, that Chan</w:t>
      </w:r>
      <w:r w:rsidR="00B43C76">
        <w:t>killo was</w:t>
      </w:r>
      <w:r w:rsidR="00621F98">
        <w:t xml:space="preserve"> a solar calendar observatory</w:t>
      </w:r>
      <w:r w:rsidR="00637AF6">
        <w:t>, adding to their hypothesis</w:t>
      </w:r>
      <w:r w:rsidR="00B43C76">
        <w:t xml:space="preserve"> that there was also </w:t>
      </w:r>
      <w:r w:rsidR="00621F98">
        <w:t>evidence of lunar alignments</w:t>
      </w:r>
      <w:r w:rsidR="00F60349">
        <w:t>,</w:t>
      </w:r>
      <w:r w:rsidR="00B43C76">
        <w:t xml:space="preserve"> while noting that Chankillo </w:t>
      </w:r>
      <w:r w:rsidR="00621F98">
        <w:t xml:space="preserve">was a </w:t>
      </w:r>
      <w:r w:rsidR="0047696C">
        <w:t>sacred setting for a</w:t>
      </w:r>
      <w:r w:rsidR="00AD600B">
        <w:t xml:space="preserve"> rising</w:t>
      </w:r>
      <w:r w:rsidR="00621F98">
        <w:t xml:space="preserve"> warrior elite.</w:t>
      </w:r>
      <w:r w:rsidR="00B43C76">
        <w:t xml:space="preserve">  Malville’</w:t>
      </w:r>
      <w:r>
        <w:t>s paper wa</w:t>
      </w:r>
      <w:r w:rsidR="00B43C76">
        <w:t>s written as a</w:t>
      </w:r>
      <w:r w:rsidR="00EF066C">
        <w:t>n academic</w:t>
      </w:r>
      <w:r w:rsidR="00B43C76">
        <w:t xml:space="preserve"> response to the the</w:t>
      </w:r>
      <w:r w:rsidR="00EF066C">
        <w:t>ories of Ghezzi and Ruggles</w:t>
      </w:r>
      <w:r w:rsidR="00F60349">
        <w:t>, offering an alternative perspective</w:t>
      </w:r>
      <w:r w:rsidR="00EF066C">
        <w:t>.  His evidence stated</w:t>
      </w:r>
      <w:r w:rsidR="00B43C76">
        <w:t xml:space="preserve"> that solar observatories are not a</w:t>
      </w:r>
      <w:r w:rsidR="00F60349">
        <w:t>n element</w:t>
      </w:r>
      <w:r w:rsidR="00B43C76">
        <w:t xml:space="preserve"> of Andean cosmology.</w:t>
      </w:r>
      <w:r w:rsidR="00F60349">
        <w:rPr>
          <w:rStyle w:val="FootnoteReference"/>
        </w:rPr>
        <w:footnoteReference w:id="4"/>
      </w:r>
      <w:r w:rsidR="00AD600B">
        <w:t xml:space="preserve">  Instead, h</w:t>
      </w:r>
      <w:r w:rsidR="00B43C76">
        <w:t xml:space="preserve">e wrote to compare Chankillo to other </w:t>
      </w:r>
      <w:r w:rsidR="00EF066C">
        <w:t xml:space="preserve">Central </w:t>
      </w:r>
      <w:r w:rsidR="00B43C76">
        <w:t>Andean sites</w:t>
      </w:r>
      <w:r w:rsidR="00AD7E71">
        <w:t>, particularly the site of Chaví</w:t>
      </w:r>
      <w:r w:rsidR="00B43C76">
        <w:t>n</w:t>
      </w:r>
      <w:r w:rsidR="00EF066C">
        <w:t xml:space="preserve"> de Hu</w:t>
      </w:r>
      <w:r w:rsidR="00AD7E71">
        <w:t>á</w:t>
      </w:r>
      <w:r w:rsidR="00EF066C">
        <w:t>ntar while outlining key components</w:t>
      </w:r>
      <w:r w:rsidR="00B43C76">
        <w:t xml:space="preserve"> of this cultural </w:t>
      </w:r>
      <w:r w:rsidR="00EF066C">
        <w:t>worldview</w:t>
      </w:r>
      <w:r w:rsidR="006722F4">
        <w:t xml:space="preserve">.  </w:t>
      </w:r>
    </w:p>
    <w:p w:rsidR="00B43C76" w:rsidRDefault="00884FFD">
      <w:r>
        <w:t xml:space="preserve"> </w:t>
      </w:r>
    </w:p>
    <w:p w:rsidR="00AD7E71" w:rsidRDefault="00AD7E71" w:rsidP="00637AF6">
      <w:pPr>
        <w:rPr>
          <w:b/>
        </w:rPr>
      </w:pPr>
    </w:p>
    <w:p w:rsidR="00AD7E71" w:rsidRDefault="00AD7E71" w:rsidP="00637AF6">
      <w:pPr>
        <w:rPr>
          <w:b/>
        </w:rPr>
      </w:pPr>
    </w:p>
    <w:p w:rsidR="00FA02C2" w:rsidRPr="00347888" w:rsidRDefault="00347888" w:rsidP="00637AF6">
      <w:pPr>
        <w:rPr>
          <w:b/>
        </w:rPr>
      </w:pPr>
      <w:r>
        <w:rPr>
          <w:b/>
        </w:rPr>
        <w:lastRenderedPageBreak/>
        <w:t>A Solar</w:t>
      </w:r>
      <w:r w:rsidR="00FA02C2" w:rsidRPr="00347888">
        <w:rPr>
          <w:b/>
        </w:rPr>
        <w:t xml:space="preserve"> and Lunar Connection</w:t>
      </w:r>
    </w:p>
    <w:p w:rsidR="008C476F" w:rsidRDefault="00C922FB" w:rsidP="008C476F">
      <w:r>
        <w:t>Each of the</w:t>
      </w:r>
      <w:r w:rsidR="00985913">
        <w:t xml:space="preserve"> papers </w:t>
      </w:r>
      <w:r>
        <w:t xml:space="preserve">written by </w:t>
      </w:r>
      <w:r w:rsidR="00347888">
        <w:t>Malville</w:t>
      </w:r>
      <w:r>
        <w:t>, Ghezzi and Ruggles highlight</w:t>
      </w:r>
      <w:r w:rsidR="00A04AC6">
        <w:t>ed</w:t>
      </w:r>
      <w:r>
        <w:t xml:space="preserve"> the December and June solstices as being sig</w:t>
      </w:r>
      <w:r w:rsidR="00A04AC6">
        <w:t xml:space="preserve">nificant to the </w:t>
      </w:r>
      <w:r w:rsidR="008C127C">
        <w:t>site, and</w:t>
      </w:r>
      <w:r w:rsidR="00A04AC6">
        <w:t xml:space="preserve"> they also suggested</w:t>
      </w:r>
      <w:r>
        <w:t xml:space="preserve"> a lunar connection.  </w:t>
      </w:r>
      <w:r w:rsidR="00F60349">
        <w:t xml:space="preserve">Malville’s perspective discussed the alignment of the December solstice sunrise with the June solstice sunset in the plaza at Chankillo.  He compared this to other Peruvian sites including Caral, </w:t>
      </w:r>
      <w:r w:rsidR="00847BCD">
        <w:t>Sechí</w:t>
      </w:r>
      <w:r w:rsidR="00F60349">
        <w:t xml:space="preserve">n Bajo, and </w:t>
      </w:r>
      <w:r w:rsidR="00847BCD">
        <w:t>Chavín</w:t>
      </w:r>
      <w:r w:rsidR="00A00B14">
        <w:t>, w</w:t>
      </w:r>
      <w:r w:rsidR="00A00B14">
        <w:t>hereas Ghezzi and Ruggles suggested that Chankillo was a rare site of cultural influence</w:t>
      </w:r>
      <w:r w:rsidR="00F60349">
        <w:t>.</w:t>
      </w:r>
      <w:r w:rsidR="00F60349">
        <w:rPr>
          <w:rStyle w:val="FootnoteReference"/>
        </w:rPr>
        <w:footnoteReference w:id="5"/>
      </w:r>
      <w:r w:rsidR="00A00B14">
        <w:t xml:space="preserve">  </w:t>
      </w:r>
      <w:r w:rsidR="00A04AC6">
        <w:t xml:space="preserve">They claimed </w:t>
      </w:r>
      <w:r w:rsidR="00985913">
        <w:t xml:space="preserve">that the Thirteen Towers were not just astronomical landmarks, but were also ‘a place where the ceremonial </w:t>
      </w:r>
      <w:r w:rsidR="00991076">
        <w:t>calendar</w:t>
      </w:r>
      <w:r w:rsidR="00985913">
        <w:t xml:space="preserve"> was regulated and re-created, and where the established and social hierarchies were reproduced.’</w:t>
      </w:r>
      <w:r w:rsidR="00985913">
        <w:rPr>
          <w:rStyle w:val="FootnoteReference"/>
        </w:rPr>
        <w:footnoteReference w:id="6"/>
      </w:r>
      <w:r>
        <w:t xml:space="preserve">  </w:t>
      </w:r>
      <w:r w:rsidR="00C252E1">
        <w:t xml:space="preserve">They </w:t>
      </w:r>
      <w:r>
        <w:t xml:space="preserve">proposed that </w:t>
      </w:r>
      <w:r w:rsidR="00A00B14">
        <w:t xml:space="preserve">the culture of </w:t>
      </w:r>
      <w:r>
        <w:t>Chankillo</w:t>
      </w:r>
      <w:r w:rsidR="00F03331">
        <w:t xml:space="preserve"> </w:t>
      </w:r>
      <w:r w:rsidR="00A00B14">
        <w:t xml:space="preserve">was guided and ordered by a </w:t>
      </w:r>
      <w:r w:rsidR="00F03331">
        <w:t xml:space="preserve">ceremonial calendar </w:t>
      </w:r>
      <w:r w:rsidR="00A00B14">
        <w:t xml:space="preserve">that created a </w:t>
      </w:r>
      <w:r w:rsidR="00F03331">
        <w:t>special elite class of warrior leaders.</w:t>
      </w:r>
      <w:r w:rsidR="00F03331">
        <w:rPr>
          <w:rStyle w:val="FootnoteReference"/>
        </w:rPr>
        <w:footnoteReference w:id="7"/>
      </w:r>
      <w:r w:rsidR="00F03331">
        <w:t xml:space="preserve">  </w:t>
      </w:r>
      <w:r w:rsidR="00AC1D29">
        <w:t xml:space="preserve">Alternatively, </w:t>
      </w:r>
      <w:r w:rsidR="00637AF6">
        <w:t xml:space="preserve">Malville suggested that </w:t>
      </w:r>
      <w:r w:rsidR="00BB08E2">
        <w:t>the Thirteen Towers</w:t>
      </w:r>
      <w:r w:rsidR="00637AF6">
        <w:t xml:space="preserve"> were ‘stations of the moon for public ceremonies during the bright half of the lunar cycle.’</w:t>
      </w:r>
      <w:r w:rsidR="00637AF6">
        <w:rPr>
          <w:rStyle w:val="FootnoteReference"/>
        </w:rPr>
        <w:footnoteReference w:id="8"/>
      </w:r>
      <w:r w:rsidR="00637AF6">
        <w:t xml:space="preserve">  </w:t>
      </w:r>
      <w:r w:rsidR="00BB08E2">
        <w:t xml:space="preserve">Although </w:t>
      </w:r>
      <w:r w:rsidR="00F60349">
        <w:t>Ghezzi and Ruggles also suggested the theory of Ch</w:t>
      </w:r>
      <w:r w:rsidR="00A04AC6">
        <w:t xml:space="preserve">ankillo being a lunar device, </w:t>
      </w:r>
      <w:r w:rsidR="00BB08E2">
        <w:t>Malville stressed</w:t>
      </w:r>
      <w:r w:rsidR="00637AF6">
        <w:t xml:space="preserve"> </w:t>
      </w:r>
      <w:r w:rsidR="00F60349">
        <w:t xml:space="preserve">specifically </w:t>
      </w:r>
      <w:r w:rsidR="00A04AC6">
        <w:t xml:space="preserve">how an </w:t>
      </w:r>
      <w:r w:rsidR="00E07C93">
        <w:t>Andean</w:t>
      </w:r>
      <w:r w:rsidR="00637AF6">
        <w:t>s</w:t>
      </w:r>
      <w:r w:rsidR="00E07C93">
        <w:t>’</w:t>
      </w:r>
      <w:r w:rsidR="00637AF6">
        <w:t xml:space="preserve"> life depended on lunar’s rhythms</w:t>
      </w:r>
      <w:r w:rsidR="00E07C93">
        <w:t>,</w:t>
      </w:r>
      <w:r w:rsidR="00637AF6">
        <w:t xml:space="preserve"> as they allowed one to know when they could access the tidal areas depicting that the moon was more important than the sun.</w:t>
      </w:r>
      <w:r w:rsidR="00637AF6">
        <w:rPr>
          <w:rStyle w:val="FootnoteReference"/>
        </w:rPr>
        <w:footnoteReference w:id="9"/>
      </w:r>
      <w:r w:rsidR="00637AF6">
        <w:t xml:space="preserve">  Both papers came to the conclusion that Chankillo marked lunar movements, however Ghezzi and Ruggles</w:t>
      </w:r>
      <w:r w:rsidR="00AC1D29">
        <w:t xml:space="preserve"> signified Chankillo as an uncommon</w:t>
      </w:r>
      <w:r w:rsidR="00637AF6">
        <w:t xml:space="preserve"> Peruvian site, while Malville claimed that it consistently fit into Central Andean </w:t>
      </w:r>
      <w:r w:rsidR="00347888">
        <w:t>c</w:t>
      </w:r>
      <w:r w:rsidR="00A04AC6">
        <w:t>osmology</w:t>
      </w:r>
      <w:r w:rsidR="00F11997">
        <w:t xml:space="preserve">.  </w:t>
      </w:r>
    </w:p>
    <w:p w:rsidR="00637AF6" w:rsidRDefault="00637AF6"/>
    <w:p w:rsidR="00FA02C2" w:rsidRPr="00F11997" w:rsidRDefault="00FA02C2">
      <w:pPr>
        <w:rPr>
          <w:b/>
        </w:rPr>
      </w:pPr>
      <w:r w:rsidRPr="00F11997">
        <w:rPr>
          <w:b/>
        </w:rPr>
        <w:t>Community Ceremony</w:t>
      </w:r>
    </w:p>
    <w:p w:rsidR="00605AD6" w:rsidRPr="00CC082C" w:rsidRDefault="00F11997" w:rsidP="005B110E">
      <w:pPr>
        <w:pStyle w:val="NormalWeb"/>
        <w:shd w:val="clear" w:color="auto" w:fill="FFFFFF"/>
        <w:spacing w:before="0" w:beforeAutospacing="0" w:after="300" w:afterAutospacing="0"/>
        <w:textAlignment w:val="baseline"/>
        <w:rPr>
          <w:rFonts w:ascii="Times New Roman" w:hAnsi="Times New Roman"/>
          <w:sz w:val="24"/>
          <w:szCs w:val="24"/>
        </w:rPr>
      </w:pPr>
      <w:r w:rsidRPr="005B110E">
        <w:rPr>
          <w:rFonts w:ascii="Times New Roman" w:hAnsi="Times New Roman"/>
          <w:sz w:val="24"/>
          <w:szCs w:val="24"/>
        </w:rPr>
        <w:t xml:space="preserve">Both papers </w:t>
      </w:r>
      <w:r w:rsidR="00FA02C2" w:rsidRPr="005B110E">
        <w:rPr>
          <w:rFonts w:ascii="Times New Roman" w:hAnsi="Times New Roman"/>
          <w:sz w:val="24"/>
          <w:szCs w:val="24"/>
        </w:rPr>
        <w:t>offer</w:t>
      </w:r>
      <w:r w:rsidRPr="005B110E">
        <w:rPr>
          <w:rFonts w:ascii="Times New Roman" w:hAnsi="Times New Roman"/>
          <w:sz w:val="24"/>
          <w:szCs w:val="24"/>
        </w:rPr>
        <w:t>ed</w:t>
      </w:r>
      <w:r w:rsidR="00FA02C2" w:rsidRPr="005B110E">
        <w:rPr>
          <w:rFonts w:ascii="Times New Roman" w:hAnsi="Times New Roman"/>
          <w:sz w:val="24"/>
          <w:szCs w:val="24"/>
        </w:rPr>
        <w:t xml:space="preserve"> evidence that community and ceremony occurred </w:t>
      </w:r>
      <w:r w:rsidRPr="005B110E">
        <w:rPr>
          <w:rFonts w:ascii="Times New Roman" w:hAnsi="Times New Roman"/>
          <w:sz w:val="24"/>
          <w:szCs w:val="24"/>
        </w:rPr>
        <w:t xml:space="preserve">at Chankillo.  </w:t>
      </w:r>
      <w:r w:rsidR="006F268B" w:rsidRPr="005B110E">
        <w:rPr>
          <w:rFonts w:ascii="Times New Roman" w:hAnsi="Times New Roman"/>
          <w:sz w:val="24"/>
          <w:szCs w:val="24"/>
        </w:rPr>
        <w:t>The paper written by Ghezzi and Ruggles demonstrated that they used methodology including findings of ritual items, and the orientation of different buildings to determine what part of a structure was used for which particular use.</w:t>
      </w:r>
      <w:r w:rsidR="006F268B" w:rsidRPr="005B110E">
        <w:rPr>
          <w:rStyle w:val="FootnoteReference"/>
          <w:rFonts w:ascii="Times New Roman" w:hAnsi="Times New Roman"/>
          <w:sz w:val="24"/>
          <w:szCs w:val="24"/>
        </w:rPr>
        <w:footnoteReference w:id="10"/>
      </w:r>
      <w:r w:rsidR="006F268B" w:rsidRPr="005B110E">
        <w:rPr>
          <w:rFonts w:ascii="Times New Roman" w:hAnsi="Times New Roman"/>
          <w:sz w:val="24"/>
          <w:szCs w:val="24"/>
        </w:rPr>
        <w:t xml:space="preserve">  They </w:t>
      </w:r>
      <w:r w:rsidR="00BB08E2" w:rsidRPr="005B110E">
        <w:rPr>
          <w:rFonts w:ascii="Times New Roman" w:hAnsi="Times New Roman"/>
          <w:sz w:val="24"/>
          <w:szCs w:val="24"/>
        </w:rPr>
        <w:t xml:space="preserve">remarked on the importance to </w:t>
      </w:r>
      <w:r w:rsidR="006F268B" w:rsidRPr="005B110E">
        <w:rPr>
          <w:rFonts w:ascii="Times New Roman" w:hAnsi="Times New Roman"/>
          <w:sz w:val="24"/>
          <w:szCs w:val="24"/>
        </w:rPr>
        <w:t>contextualize the astronomical alignments wit</w:t>
      </w:r>
      <w:r w:rsidR="00BB08E2" w:rsidRPr="005B110E">
        <w:rPr>
          <w:rFonts w:ascii="Times New Roman" w:hAnsi="Times New Roman"/>
          <w:sz w:val="24"/>
          <w:szCs w:val="24"/>
        </w:rPr>
        <w:t xml:space="preserve">h the archaeological evidence, </w:t>
      </w:r>
      <w:r w:rsidR="00A00B14">
        <w:rPr>
          <w:rFonts w:ascii="Times New Roman" w:hAnsi="Times New Roman"/>
          <w:sz w:val="24"/>
          <w:szCs w:val="24"/>
        </w:rPr>
        <w:t>specifying</w:t>
      </w:r>
      <w:r w:rsidR="00BB08E2" w:rsidRPr="005B110E">
        <w:rPr>
          <w:rFonts w:ascii="Times New Roman" w:hAnsi="Times New Roman"/>
          <w:sz w:val="24"/>
          <w:szCs w:val="24"/>
        </w:rPr>
        <w:t xml:space="preserve"> that their</w:t>
      </w:r>
      <w:r w:rsidR="006F268B" w:rsidRPr="005B110E">
        <w:rPr>
          <w:rFonts w:ascii="Times New Roman" w:hAnsi="Times New Roman"/>
          <w:sz w:val="24"/>
          <w:szCs w:val="24"/>
        </w:rPr>
        <w:t xml:space="preserve"> evidence indicated</w:t>
      </w:r>
      <w:r w:rsidR="00BB08E2" w:rsidRPr="005B110E">
        <w:rPr>
          <w:rFonts w:ascii="Times New Roman" w:hAnsi="Times New Roman"/>
          <w:sz w:val="24"/>
          <w:szCs w:val="24"/>
        </w:rPr>
        <w:t xml:space="preserve"> that those who built Chankillo were</w:t>
      </w:r>
      <w:r w:rsidR="006F268B" w:rsidRPr="005B110E">
        <w:rPr>
          <w:rFonts w:ascii="Times New Roman" w:hAnsi="Times New Roman"/>
          <w:sz w:val="24"/>
          <w:szCs w:val="24"/>
        </w:rPr>
        <w:t xml:space="preserve"> on a path towards increasing political centralization and social differentiation.</w:t>
      </w:r>
      <w:r w:rsidR="006F268B" w:rsidRPr="005B110E">
        <w:rPr>
          <w:rStyle w:val="FootnoteReference"/>
          <w:rFonts w:ascii="Times New Roman" w:hAnsi="Times New Roman"/>
          <w:sz w:val="24"/>
          <w:szCs w:val="24"/>
        </w:rPr>
        <w:footnoteReference w:id="11"/>
      </w:r>
      <w:r w:rsidR="006F268B" w:rsidRPr="005B110E">
        <w:rPr>
          <w:rFonts w:ascii="Times New Roman" w:hAnsi="Times New Roman"/>
          <w:sz w:val="24"/>
          <w:szCs w:val="24"/>
        </w:rPr>
        <w:t xml:space="preserve">  Malville </w:t>
      </w:r>
      <w:r w:rsidR="00BB08E2" w:rsidRPr="005B110E">
        <w:rPr>
          <w:rFonts w:ascii="Times New Roman" w:hAnsi="Times New Roman"/>
          <w:sz w:val="24"/>
          <w:szCs w:val="24"/>
        </w:rPr>
        <w:t>claimed</w:t>
      </w:r>
      <w:r w:rsidR="006F268B" w:rsidRPr="005B110E">
        <w:rPr>
          <w:rFonts w:ascii="Times New Roman" w:hAnsi="Times New Roman"/>
          <w:sz w:val="24"/>
          <w:szCs w:val="24"/>
        </w:rPr>
        <w:t xml:space="preserve"> that neither the western or </w:t>
      </w:r>
      <w:r w:rsidR="00654E29" w:rsidRPr="005B110E">
        <w:rPr>
          <w:rFonts w:ascii="Times New Roman" w:hAnsi="Times New Roman"/>
          <w:sz w:val="24"/>
          <w:szCs w:val="24"/>
        </w:rPr>
        <w:t>eastern</w:t>
      </w:r>
      <w:r w:rsidR="006F268B" w:rsidRPr="005B110E">
        <w:rPr>
          <w:rFonts w:ascii="Times New Roman" w:hAnsi="Times New Roman"/>
          <w:sz w:val="24"/>
          <w:szCs w:val="24"/>
        </w:rPr>
        <w:t xml:space="preserve"> observing stations would have been important locations for ceremony, </w:t>
      </w:r>
      <w:r w:rsidR="00BB08E2" w:rsidRPr="005B110E">
        <w:rPr>
          <w:rFonts w:ascii="Times New Roman" w:hAnsi="Times New Roman"/>
          <w:sz w:val="24"/>
          <w:szCs w:val="24"/>
        </w:rPr>
        <w:t xml:space="preserve">and that it was the </w:t>
      </w:r>
      <w:r w:rsidR="006F268B" w:rsidRPr="005B110E">
        <w:rPr>
          <w:rFonts w:ascii="Times New Roman" w:hAnsi="Times New Roman"/>
          <w:sz w:val="24"/>
          <w:szCs w:val="24"/>
        </w:rPr>
        <w:t xml:space="preserve">plazas </w:t>
      </w:r>
      <w:r w:rsidR="00BB08E2" w:rsidRPr="005B110E">
        <w:rPr>
          <w:rFonts w:ascii="Times New Roman" w:hAnsi="Times New Roman"/>
          <w:sz w:val="24"/>
          <w:szCs w:val="24"/>
        </w:rPr>
        <w:t>that would have been</w:t>
      </w:r>
      <w:r w:rsidR="006F268B" w:rsidRPr="005B110E">
        <w:rPr>
          <w:rFonts w:ascii="Times New Roman" w:hAnsi="Times New Roman"/>
          <w:sz w:val="24"/>
          <w:szCs w:val="24"/>
        </w:rPr>
        <w:t xml:space="preserve"> the space for public ritual.</w:t>
      </w:r>
      <w:r w:rsidR="006F268B" w:rsidRPr="005B110E">
        <w:rPr>
          <w:rStyle w:val="FootnoteReference"/>
          <w:rFonts w:ascii="Times New Roman" w:hAnsi="Times New Roman"/>
          <w:sz w:val="24"/>
          <w:szCs w:val="24"/>
        </w:rPr>
        <w:footnoteReference w:id="12"/>
      </w:r>
      <w:r w:rsidR="006F268B" w:rsidRPr="005B110E">
        <w:rPr>
          <w:rFonts w:ascii="Times New Roman" w:hAnsi="Times New Roman"/>
          <w:sz w:val="24"/>
          <w:szCs w:val="24"/>
        </w:rPr>
        <w:t xml:space="preserve"> Pearson and Richards </w:t>
      </w:r>
      <w:r w:rsidR="00252364" w:rsidRPr="005B110E">
        <w:rPr>
          <w:rFonts w:ascii="Times New Roman" w:hAnsi="Times New Roman"/>
          <w:sz w:val="24"/>
          <w:szCs w:val="24"/>
        </w:rPr>
        <w:t xml:space="preserve">noted </w:t>
      </w:r>
      <w:r w:rsidR="00CC082C">
        <w:rPr>
          <w:rFonts w:ascii="Times New Roman" w:hAnsi="Times New Roman"/>
          <w:sz w:val="24"/>
          <w:szCs w:val="24"/>
        </w:rPr>
        <w:t>that</w:t>
      </w:r>
      <w:r w:rsidR="00252364" w:rsidRPr="005B110E">
        <w:rPr>
          <w:rFonts w:ascii="Times New Roman" w:hAnsi="Times New Roman"/>
          <w:sz w:val="24"/>
          <w:szCs w:val="24"/>
        </w:rPr>
        <w:t xml:space="preserve"> </w:t>
      </w:r>
      <w:r w:rsidR="006F268B" w:rsidRPr="005B110E">
        <w:rPr>
          <w:rFonts w:ascii="Times New Roman" w:hAnsi="Times New Roman"/>
          <w:sz w:val="24"/>
          <w:szCs w:val="24"/>
        </w:rPr>
        <w:t xml:space="preserve">spatial </w:t>
      </w:r>
      <w:r w:rsidRPr="005B110E">
        <w:rPr>
          <w:rFonts w:ascii="Times New Roman" w:hAnsi="Times New Roman"/>
          <w:sz w:val="24"/>
          <w:szCs w:val="24"/>
        </w:rPr>
        <w:t>structure ‘is now seen not merely as an arena in which social life unfolds, but rather as a medium through which social relations are produced and reproduced.’</w:t>
      </w:r>
      <w:r w:rsidRPr="005B110E">
        <w:rPr>
          <w:rStyle w:val="FootnoteReference"/>
          <w:rFonts w:ascii="Times New Roman" w:hAnsi="Times New Roman"/>
          <w:sz w:val="24"/>
          <w:szCs w:val="24"/>
        </w:rPr>
        <w:footnoteReference w:id="13"/>
      </w:r>
      <w:r w:rsidR="006F268B" w:rsidRPr="005B110E">
        <w:rPr>
          <w:rFonts w:ascii="Times New Roman" w:hAnsi="Times New Roman"/>
          <w:sz w:val="24"/>
          <w:szCs w:val="24"/>
        </w:rPr>
        <w:t xml:space="preserve">  </w:t>
      </w:r>
      <w:r w:rsidR="00991076" w:rsidRPr="005B110E">
        <w:rPr>
          <w:rFonts w:ascii="Times New Roman" w:hAnsi="Times New Roman"/>
          <w:sz w:val="24"/>
          <w:szCs w:val="24"/>
        </w:rPr>
        <w:t>Ghezzi and Ru</w:t>
      </w:r>
      <w:r w:rsidR="006F268B" w:rsidRPr="005B110E">
        <w:rPr>
          <w:rFonts w:ascii="Times New Roman" w:hAnsi="Times New Roman"/>
          <w:sz w:val="24"/>
          <w:szCs w:val="24"/>
        </w:rPr>
        <w:t>ggles suggested that those with access to the</w:t>
      </w:r>
      <w:r w:rsidR="00991076" w:rsidRPr="005B110E">
        <w:rPr>
          <w:rFonts w:ascii="Times New Roman" w:hAnsi="Times New Roman"/>
          <w:sz w:val="24"/>
          <w:szCs w:val="24"/>
        </w:rPr>
        <w:t xml:space="preserve"> sacred spaces </w:t>
      </w:r>
      <w:r w:rsidR="006F268B" w:rsidRPr="005B110E">
        <w:rPr>
          <w:rFonts w:ascii="Times New Roman" w:hAnsi="Times New Roman"/>
          <w:sz w:val="24"/>
          <w:szCs w:val="24"/>
        </w:rPr>
        <w:t xml:space="preserve">at Chankillo </w:t>
      </w:r>
      <w:r w:rsidR="00991076" w:rsidRPr="005B110E">
        <w:rPr>
          <w:rFonts w:ascii="Times New Roman" w:hAnsi="Times New Roman"/>
          <w:sz w:val="24"/>
          <w:szCs w:val="24"/>
        </w:rPr>
        <w:t>had a special relationshi</w:t>
      </w:r>
      <w:r w:rsidR="00AC1D29" w:rsidRPr="005B110E">
        <w:rPr>
          <w:rFonts w:ascii="Times New Roman" w:hAnsi="Times New Roman"/>
          <w:sz w:val="24"/>
          <w:szCs w:val="24"/>
        </w:rPr>
        <w:t>p with the sun and were an high</w:t>
      </w:r>
      <w:r w:rsidR="00991076" w:rsidRPr="005B110E">
        <w:rPr>
          <w:rFonts w:ascii="Times New Roman" w:hAnsi="Times New Roman"/>
          <w:sz w:val="24"/>
          <w:szCs w:val="24"/>
        </w:rPr>
        <w:t xml:space="preserve"> class of warrior leaders.</w:t>
      </w:r>
      <w:r w:rsidR="00991076" w:rsidRPr="005B110E">
        <w:rPr>
          <w:rStyle w:val="FootnoteReference"/>
          <w:rFonts w:ascii="Times New Roman" w:hAnsi="Times New Roman"/>
          <w:sz w:val="24"/>
          <w:szCs w:val="24"/>
        </w:rPr>
        <w:footnoteReference w:id="14"/>
      </w:r>
      <w:r w:rsidR="006F268B" w:rsidRPr="005B110E">
        <w:rPr>
          <w:rFonts w:ascii="Times New Roman" w:hAnsi="Times New Roman"/>
          <w:sz w:val="24"/>
          <w:szCs w:val="24"/>
        </w:rPr>
        <w:t xml:space="preserve">  </w:t>
      </w:r>
      <w:r w:rsidR="005B110E" w:rsidRPr="005B110E">
        <w:rPr>
          <w:rFonts w:ascii="Times New Roman" w:hAnsi="Times New Roman"/>
          <w:sz w:val="24"/>
          <w:szCs w:val="24"/>
        </w:rPr>
        <w:t>They believed that the evidence of the large scale meals would have been signified by a ritual calendar</w:t>
      </w:r>
      <w:r w:rsidR="005B110E" w:rsidRPr="005B110E">
        <w:rPr>
          <w:rFonts w:ascii="Times New Roman" w:hAnsi="Times New Roman"/>
          <w:sz w:val="24"/>
          <w:szCs w:val="24"/>
        </w:rPr>
        <w:t>.</w:t>
      </w:r>
      <w:r w:rsidR="005B110E" w:rsidRPr="005B110E">
        <w:rPr>
          <w:rStyle w:val="FootnoteReference"/>
          <w:rFonts w:ascii="Times New Roman" w:hAnsi="Times New Roman"/>
          <w:sz w:val="24"/>
          <w:szCs w:val="24"/>
        </w:rPr>
        <w:footnoteReference w:id="15"/>
      </w:r>
      <w:r w:rsidR="005B110E" w:rsidRPr="005B110E">
        <w:rPr>
          <w:rFonts w:ascii="Times New Roman" w:hAnsi="Times New Roman"/>
          <w:sz w:val="24"/>
          <w:szCs w:val="24"/>
        </w:rPr>
        <w:t xml:space="preserve"> </w:t>
      </w:r>
      <w:r w:rsidR="006F268B" w:rsidRPr="00CC082C">
        <w:rPr>
          <w:rFonts w:ascii="Times New Roman" w:hAnsi="Times New Roman"/>
          <w:sz w:val="24"/>
          <w:szCs w:val="24"/>
        </w:rPr>
        <w:t xml:space="preserve">Malville concluded that the structures at Chankillo are in </w:t>
      </w:r>
      <w:r w:rsidR="00654E29" w:rsidRPr="00CC082C">
        <w:rPr>
          <w:rFonts w:ascii="Times New Roman" w:hAnsi="Times New Roman"/>
          <w:sz w:val="24"/>
          <w:szCs w:val="24"/>
        </w:rPr>
        <w:t>alignment</w:t>
      </w:r>
      <w:r w:rsidR="006F268B" w:rsidRPr="00CC082C">
        <w:rPr>
          <w:rFonts w:ascii="Times New Roman" w:hAnsi="Times New Roman"/>
          <w:sz w:val="24"/>
          <w:szCs w:val="24"/>
        </w:rPr>
        <w:t xml:space="preserve"> with </w:t>
      </w:r>
      <w:r w:rsidR="00847BCD" w:rsidRPr="00CC082C">
        <w:rPr>
          <w:rFonts w:ascii="Times New Roman" w:hAnsi="Times New Roman"/>
          <w:sz w:val="24"/>
          <w:szCs w:val="24"/>
        </w:rPr>
        <w:t>Chavín</w:t>
      </w:r>
      <w:r w:rsidR="006F268B" w:rsidRPr="00CC082C">
        <w:rPr>
          <w:rFonts w:ascii="Times New Roman" w:hAnsi="Times New Roman"/>
          <w:sz w:val="24"/>
          <w:szCs w:val="24"/>
        </w:rPr>
        <w:t>.</w:t>
      </w:r>
      <w:r w:rsidR="006F268B" w:rsidRPr="00CC082C">
        <w:rPr>
          <w:rStyle w:val="FootnoteReference"/>
          <w:rFonts w:ascii="Times New Roman" w:hAnsi="Times New Roman"/>
          <w:sz w:val="24"/>
          <w:szCs w:val="24"/>
        </w:rPr>
        <w:footnoteReference w:id="16"/>
      </w:r>
      <w:r w:rsidR="00AC1D29" w:rsidRPr="00CC082C">
        <w:rPr>
          <w:rFonts w:ascii="Times New Roman" w:hAnsi="Times New Roman"/>
          <w:sz w:val="24"/>
          <w:szCs w:val="24"/>
        </w:rPr>
        <w:t xml:space="preserve">  Regardless of which hypothesis stands true, it is clear </w:t>
      </w:r>
      <w:r w:rsidR="00AC1D29" w:rsidRPr="00CC082C">
        <w:rPr>
          <w:rFonts w:ascii="Times New Roman" w:hAnsi="Times New Roman"/>
          <w:sz w:val="24"/>
          <w:szCs w:val="24"/>
        </w:rPr>
        <w:lastRenderedPageBreak/>
        <w:t>than Chankillo offered spatial structures where community gatherings were marked through ritual with a consideration to time and space.</w:t>
      </w:r>
    </w:p>
    <w:p w:rsidR="00FA02C2" w:rsidRPr="00CC082C" w:rsidRDefault="00FA02C2" w:rsidP="00884FFD">
      <w:pPr>
        <w:rPr>
          <w:b/>
        </w:rPr>
      </w:pPr>
      <w:r w:rsidRPr="00CC082C">
        <w:rPr>
          <w:b/>
        </w:rPr>
        <w:t>Andean Cosmology</w:t>
      </w:r>
    </w:p>
    <w:p w:rsidR="00884FFD" w:rsidRDefault="00F11997">
      <w:r w:rsidRPr="00CC082C">
        <w:t xml:space="preserve">Both papers give context to Andean culture.  </w:t>
      </w:r>
      <w:r w:rsidR="001E6A30" w:rsidRPr="00CC082C">
        <w:t>Malville agreed</w:t>
      </w:r>
      <w:r w:rsidR="00AC1D29" w:rsidRPr="00CC082C">
        <w:t xml:space="preserve"> </w:t>
      </w:r>
      <w:r w:rsidR="00D659D8" w:rsidRPr="00CC082C">
        <w:t>that the Thirteen Towers align</w:t>
      </w:r>
      <w:r w:rsidR="001E6A30" w:rsidRPr="00CC082C">
        <w:t xml:space="preserve"> with the June solstice sunset and the December solstice sunrise, </w:t>
      </w:r>
      <w:r w:rsidR="00D659D8" w:rsidRPr="00CC082C">
        <w:t>but</w:t>
      </w:r>
      <w:r w:rsidR="001E6A30" w:rsidRPr="00CC082C">
        <w:t xml:space="preserve"> that solar </w:t>
      </w:r>
      <w:r w:rsidR="00991076" w:rsidRPr="00CC082C">
        <w:t>observatories</w:t>
      </w:r>
      <w:r w:rsidR="00252364" w:rsidRPr="00CC082C">
        <w:t xml:space="preserve"> were</w:t>
      </w:r>
      <w:r w:rsidR="001E6A30">
        <w:t xml:space="preserve"> not a part of Central Andean cosmology.</w:t>
      </w:r>
      <w:r w:rsidR="001E6A30">
        <w:rPr>
          <w:rStyle w:val="FootnoteReference"/>
        </w:rPr>
        <w:footnoteReference w:id="17"/>
      </w:r>
      <w:r w:rsidR="00C252E1">
        <w:t xml:space="preserve">  </w:t>
      </w:r>
      <w:r w:rsidR="006F268B">
        <w:t>He</w:t>
      </w:r>
      <w:r w:rsidR="00C252E1">
        <w:t xml:space="preserve"> explored key features of Andean cosmology</w:t>
      </w:r>
      <w:r w:rsidR="00692BFF">
        <w:t xml:space="preserve"> ranging from the importance of Huacas and Ushnus, the significance of stairways as an entry into another realm, and the</w:t>
      </w:r>
      <w:r w:rsidR="00985913">
        <w:t xml:space="preserve"> concept of ascent an</w:t>
      </w:r>
      <w:r w:rsidR="00C252E1">
        <w:t>d descent as a continual theme</w:t>
      </w:r>
      <w:r w:rsidR="00340CAF">
        <w:t xml:space="preserve"> </w:t>
      </w:r>
      <w:r w:rsidR="00AC1D29">
        <w:t>that</w:t>
      </w:r>
      <w:r w:rsidR="00340CAF">
        <w:t xml:space="preserve"> connect</w:t>
      </w:r>
      <w:r w:rsidR="00AC1D29">
        <w:t>ed</w:t>
      </w:r>
      <w:r w:rsidR="00340CAF">
        <w:t xml:space="preserve"> with</w:t>
      </w:r>
      <w:r w:rsidR="00AC1D29">
        <w:t xml:space="preserve"> </w:t>
      </w:r>
      <w:r w:rsidR="00340CAF">
        <w:t>shamanic transformation</w:t>
      </w:r>
      <w:r w:rsidR="00901678">
        <w:t xml:space="preserve"> and the structure of pyramids</w:t>
      </w:r>
      <w:r w:rsidR="00340CAF">
        <w:t>.</w:t>
      </w:r>
      <w:r w:rsidR="00340CAF">
        <w:rPr>
          <w:rStyle w:val="FootnoteReference"/>
        </w:rPr>
        <w:footnoteReference w:id="18"/>
      </w:r>
      <w:r w:rsidR="00340CAF">
        <w:t xml:space="preserve">  </w:t>
      </w:r>
      <w:r w:rsidR="00692BFF">
        <w:t>Ghezzi and Ruggles</w:t>
      </w:r>
      <w:r w:rsidR="008C127C">
        <w:t xml:space="preserve"> eluded to the</w:t>
      </w:r>
      <w:r w:rsidR="00692BFF">
        <w:t xml:space="preserve"> concept of</w:t>
      </w:r>
      <w:r w:rsidR="00AC1D29">
        <w:t xml:space="preserve"> ascent and descent as they stressed the importance</w:t>
      </w:r>
      <w:r w:rsidR="00692BFF">
        <w:t xml:space="preserve"> of duality in the Central Andes, </w:t>
      </w:r>
      <w:r w:rsidR="00AC1D29">
        <w:t xml:space="preserve">which was marked at Chankillo </w:t>
      </w:r>
      <w:r w:rsidR="00692BFF">
        <w:t xml:space="preserve">specifically </w:t>
      </w:r>
      <w:r w:rsidR="00AC1D29">
        <w:t>within the dual staircases</w:t>
      </w:r>
      <w:r w:rsidR="00692BFF">
        <w:t>.</w:t>
      </w:r>
      <w:r w:rsidR="00692BFF">
        <w:rPr>
          <w:rStyle w:val="FootnoteReference"/>
        </w:rPr>
        <w:footnoteReference w:id="19"/>
      </w:r>
      <w:r w:rsidR="00692BFF">
        <w:t xml:space="preserve">  </w:t>
      </w:r>
      <w:r w:rsidR="00340CAF">
        <w:t xml:space="preserve">Malville argued that Chankillo was closely connected with </w:t>
      </w:r>
      <w:r w:rsidR="00847BCD">
        <w:t>Chavín</w:t>
      </w:r>
      <w:r w:rsidR="00340CAF">
        <w:t xml:space="preserve"> de Hu</w:t>
      </w:r>
      <w:r w:rsidR="00847BCD">
        <w:t>á</w:t>
      </w:r>
      <w:r w:rsidR="00340CAF">
        <w:t>ntar, a place of important religious activity that</w:t>
      </w:r>
      <w:r w:rsidR="00CC082C">
        <w:t xml:space="preserve"> held underground galleries, </w:t>
      </w:r>
      <w:r w:rsidR="00340CAF">
        <w:t>that was also connected with stairs, a large plaza and mounds.</w:t>
      </w:r>
      <w:r w:rsidR="00340CAF">
        <w:rPr>
          <w:rStyle w:val="FootnoteReference"/>
        </w:rPr>
        <w:footnoteReference w:id="20"/>
      </w:r>
      <w:r w:rsidR="00340CAF">
        <w:t xml:space="preserve">  To Malville, Chankillo</w:t>
      </w:r>
      <w:r w:rsidR="00CC082C">
        <w:t xml:space="preserve"> offered a </w:t>
      </w:r>
      <w:r w:rsidR="001E6A30">
        <w:t xml:space="preserve">secret world that </w:t>
      </w:r>
      <w:r w:rsidR="00AC1D29">
        <w:t>only the initiated could have experienced</w:t>
      </w:r>
      <w:r w:rsidR="001E6A30">
        <w:t xml:space="preserve">, suggesting the connection of Chankillo with </w:t>
      </w:r>
      <w:r w:rsidR="00847BCD">
        <w:t>Chavín</w:t>
      </w:r>
      <w:r w:rsidR="001E6A30">
        <w:t>.</w:t>
      </w:r>
      <w:r w:rsidR="001E6A30">
        <w:rPr>
          <w:rStyle w:val="FootnoteReference"/>
        </w:rPr>
        <w:footnoteReference w:id="21"/>
      </w:r>
      <w:r w:rsidR="00A748E4">
        <w:t xml:space="preserve">  </w:t>
      </w:r>
      <w:r w:rsidR="00901678">
        <w:t xml:space="preserve">Malville </w:t>
      </w:r>
      <w:r w:rsidR="004F6F30">
        <w:t>described the opening to the</w:t>
      </w:r>
      <w:r w:rsidR="00901678">
        <w:t xml:space="preserve"> stairway</w:t>
      </w:r>
      <w:r w:rsidR="004F6F30">
        <w:t xml:space="preserve"> of tower one of the Thirteen Towers as a place where</w:t>
      </w:r>
      <w:r w:rsidR="00901678">
        <w:t>, ‘One does not know what lies on top or beyond.  It seems an entry into another realm.’</w:t>
      </w:r>
      <w:r w:rsidR="00901678">
        <w:rPr>
          <w:rStyle w:val="FootnoteReference"/>
        </w:rPr>
        <w:footnoteReference w:id="22"/>
      </w:r>
      <w:r w:rsidR="00692BFF">
        <w:t xml:space="preserve">  </w:t>
      </w:r>
      <w:r w:rsidR="004F6F30">
        <w:t>Both papers introduced basic concepts of Andean cosmology including ascent and descent, hidden realms, shamanic transformation, Huacas, and Ushnus.</w:t>
      </w:r>
    </w:p>
    <w:p w:rsidR="00692BFF" w:rsidRDefault="00692BFF"/>
    <w:p w:rsidR="001F0E97" w:rsidRPr="00884FFD" w:rsidRDefault="00FA02C2">
      <w:pPr>
        <w:rPr>
          <w:b/>
        </w:rPr>
      </w:pPr>
      <w:r>
        <w:rPr>
          <w:b/>
        </w:rPr>
        <w:t>Style</w:t>
      </w:r>
    </w:p>
    <w:p w:rsidR="00605AD6" w:rsidRDefault="00FA02C2">
      <w:r>
        <w:t xml:space="preserve">Malville opened his paper with </w:t>
      </w:r>
      <w:r w:rsidR="00692BFF">
        <w:t>an introduction of</w:t>
      </w:r>
      <w:r>
        <w:t xml:space="preserve"> Central Andean culture</w:t>
      </w:r>
      <w:r w:rsidR="008C476F">
        <w:t xml:space="preserve">, </w:t>
      </w:r>
      <w:r w:rsidR="00252364">
        <w:t>where</w:t>
      </w:r>
      <w:r w:rsidR="00692BFF">
        <w:t xml:space="preserve"> he emphasized</w:t>
      </w:r>
      <w:r w:rsidR="008C476F">
        <w:t xml:space="preserve"> the importance of</w:t>
      </w:r>
      <w:r>
        <w:t xml:space="preserve"> trade and pilgrimage</w:t>
      </w:r>
      <w:r w:rsidR="008C476F">
        <w:t xml:space="preserve"> which offered the reader a clear under</w:t>
      </w:r>
      <w:r w:rsidR="00CC082C">
        <w:t>standing of the way of life.  The</w:t>
      </w:r>
      <w:r w:rsidR="008C476F">
        <w:t xml:space="preserve"> </w:t>
      </w:r>
      <w:r w:rsidR="00F71EA8">
        <w:t>early statement of the intention of his</w:t>
      </w:r>
      <w:r>
        <w:t xml:space="preserve"> paper </w:t>
      </w:r>
      <w:r w:rsidR="001332E1">
        <w:t>assisted</w:t>
      </w:r>
      <w:r w:rsidR="00252364">
        <w:t xml:space="preserve"> any reader, particularly those outside of the field</w:t>
      </w:r>
      <w:r>
        <w:t xml:space="preserve">.  </w:t>
      </w:r>
      <w:r w:rsidR="00C252E1">
        <w:t xml:space="preserve">The </w:t>
      </w:r>
      <w:r w:rsidR="00C03E76">
        <w:t xml:space="preserve">paper </w:t>
      </w:r>
      <w:r w:rsidR="00C252E1">
        <w:t xml:space="preserve">by Ghezzi and Ruggles </w:t>
      </w:r>
      <w:r w:rsidR="00CC082C">
        <w:t>wa</w:t>
      </w:r>
      <w:r w:rsidR="00C03E76">
        <w:t>s logically structured</w:t>
      </w:r>
      <w:r w:rsidR="00692BFF">
        <w:t xml:space="preserve">, however </w:t>
      </w:r>
      <w:r w:rsidR="001332E1">
        <w:t>was missing an intention at the beginning of the paper</w:t>
      </w:r>
      <w:r w:rsidR="008C476F">
        <w:t xml:space="preserve">.  </w:t>
      </w:r>
      <w:r>
        <w:t xml:space="preserve">Malville’s </w:t>
      </w:r>
      <w:r w:rsidR="001332E1">
        <w:t>descriptive headings allowed</w:t>
      </w:r>
      <w:r>
        <w:t xml:space="preserve"> the reader to understand the flow of ideas.  </w:t>
      </w:r>
      <w:r w:rsidR="008C476F">
        <w:t>Each paper</w:t>
      </w:r>
      <w:r w:rsidR="001332E1">
        <w:t xml:space="preserve"> offered images, photographs </w:t>
      </w:r>
      <w:r w:rsidR="008C476F">
        <w:t>of Chankillo, maps and graphs which assist</w:t>
      </w:r>
      <w:r w:rsidR="001332E1">
        <w:t>ed</w:t>
      </w:r>
      <w:r w:rsidR="008C476F">
        <w:t xml:space="preserve"> the reader in navigating the location</w:t>
      </w:r>
      <w:r w:rsidR="00692BFF">
        <w:t xml:space="preserve">.  When </w:t>
      </w:r>
      <w:r w:rsidR="008B3517">
        <w:t xml:space="preserve">Ghezzi and Ruggles </w:t>
      </w:r>
      <w:r w:rsidR="008C476F">
        <w:t xml:space="preserve">offered a </w:t>
      </w:r>
      <w:r w:rsidR="00347888">
        <w:t>hypothesis</w:t>
      </w:r>
      <w:r w:rsidR="008C476F">
        <w:t xml:space="preserve"> of the site, </w:t>
      </w:r>
      <w:r w:rsidR="00347888">
        <w:t xml:space="preserve">they </w:t>
      </w:r>
      <w:r w:rsidR="008B3517">
        <w:t xml:space="preserve">shared </w:t>
      </w:r>
      <w:r w:rsidR="00991076">
        <w:t>other</w:t>
      </w:r>
      <w:r w:rsidR="008C476F">
        <w:t xml:space="preserve"> </w:t>
      </w:r>
      <w:r w:rsidR="00347888">
        <w:t>researchers’</w:t>
      </w:r>
      <w:r w:rsidR="008C476F">
        <w:t xml:space="preserve"> findings</w:t>
      </w:r>
      <w:r w:rsidR="008B3517">
        <w:t xml:space="preserve"> </w:t>
      </w:r>
      <w:r w:rsidR="00C252E1">
        <w:t>and</w:t>
      </w:r>
      <w:r w:rsidR="00F03331">
        <w:t xml:space="preserve"> data </w:t>
      </w:r>
      <w:r w:rsidR="00C252E1">
        <w:t>collected in 2010</w:t>
      </w:r>
      <w:r w:rsidR="00347888">
        <w:t xml:space="preserve"> that was obtained by differential GPS</w:t>
      </w:r>
      <w:r w:rsidR="008C476F">
        <w:t xml:space="preserve"> with the intention</w:t>
      </w:r>
      <w:r w:rsidR="00C252E1">
        <w:t xml:space="preserve"> to c</w:t>
      </w:r>
      <w:r w:rsidR="008C476F">
        <w:t>larify</w:t>
      </w:r>
      <w:r w:rsidR="00C252E1">
        <w:t xml:space="preserve"> their earlier results from 2007</w:t>
      </w:r>
      <w:r w:rsidR="001332E1">
        <w:t>, however they did</w:t>
      </w:r>
      <w:r w:rsidR="00C252E1">
        <w:t xml:space="preserve"> not explain this further.</w:t>
      </w:r>
      <w:r w:rsidR="00C252E1">
        <w:rPr>
          <w:rStyle w:val="FootnoteReference"/>
        </w:rPr>
        <w:footnoteReference w:id="23"/>
      </w:r>
      <w:r w:rsidR="00C252E1">
        <w:t xml:space="preserve">  </w:t>
      </w:r>
      <w:r w:rsidR="00654E29">
        <w:t>Similarly</w:t>
      </w:r>
      <w:r w:rsidR="00692BFF">
        <w:t xml:space="preserve">, </w:t>
      </w:r>
      <w:r w:rsidR="00347888">
        <w:t>Malville mentioned the three levels of the cosmos</w:t>
      </w:r>
      <w:r w:rsidR="00692BFF">
        <w:t xml:space="preserve"> in his paper,</w:t>
      </w:r>
      <w:r w:rsidR="00347888">
        <w:t xml:space="preserve"> </w:t>
      </w:r>
      <w:r w:rsidR="00692BFF">
        <w:t xml:space="preserve">however did not explain this </w:t>
      </w:r>
      <w:r w:rsidR="00347888">
        <w:t>further</w:t>
      </w:r>
      <w:r w:rsidR="001332E1">
        <w:t xml:space="preserve">, leaving </w:t>
      </w:r>
      <w:r w:rsidR="00347888">
        <w:t xml:space="preserve">an outsider wishing </w:t>
      </w:r>
      <w:r w:rsidR="00692BFF">
        <w:t>for clarification</w:t>
      </w:r>
      <w:r w:rsidR="00347888">
        <w:t>.</w:t>
      </w:r>
      <w:r w:rsidR="00347888">
        <w:rPr>
          <w:rStyle w:val="FootnoteReference"/>
        </w:rPr>
        <w:footnoteReference w:id="24"/>
      </w:r>
      <w:r w:rsidR="00692BFF">
        <w:t xml:space="preserve">   </w:t>
      </w:r>
      <w:r>
        <w:t>Malville</w:t>
      </w:r>
      <w:r w:rsidR="001332E1">
        <w:t>’s writing was strengthen</w:t>
      </w:r>
      <w:r w:rsidR="00CC082C">
        <w:t>ed</w:t>
      </w:r>
      <w:r w:rsidR="001332E1">
        <w:t xml:space="preserve"> through </w:t>
      </w:r>
      <w:r w:rsidR="00CC082C">
        <w:t>his exploration</w:t>
      </w:r>
      <w:r w:rsidR="001332E1">
        <w:t xml:space="preserve"> of</w:t>
      </w:r>
      <w:r w:rsidR="00692BFF">
        <w:t xml:space="preserve"> </w:t>
      </w:r>
      <w:r>
        <w:t>Andean culture</w:t>
      </w:r>
      <w:r w:rsidR="001332E1">
        <w:t xml:space="preserve">.  </w:t>
      </w:r>
      <w:r>
        <w:t>He looked to other scholar</w:t>
      </w:r>
      <w:r w:rsidR="00CC082C">
        <w:t>s to draw the foundation of this way of life</w:t>
      </w:r>
      <w:r>
        <w:t xml:space="preserve"> that included agriculture, irrigation, terracing, weaving, public buildings, </w:t>
      </w:r>
      <w:r w:rsidR="00CC082C">
        <w:t xml:space="preserve">and </w:t>
      </w:r>
      <w:r>
        <w:t>long distance pilgrimage.</w:t>
      </w:r>
      <w:r>
        <w:rPr>
          <w:rStyle w:val="FootnoteReference"/>
        </w:rPr>
        <w:footnoteReference w:id="25"/>
      </w:r>
      <w:r>
        <w:t xml:space="preserve">  </w:t>
      </w:r>
      <w:r w:rsidR="001332E1">
        <w:t>As Malville stated</w:t>
      </w:r>
      <w:r w:rsidR="00347888">
        <w:t xml:space="preserve">, ‘The intent of the people should be more interesting than tests for intentionality of a </w:t>
      </w:r>
      <w:r w:rsidR="00347888">
        <w:lastRenderedPageBreak/>
        <w:t>particular astronomical orientation.’</w:t>
      </w:r>
      <w:r w:rsidR="00347888">
        <w:rPr>
          <w:rStyle w:val="FootnoteReference"/>
        </w:rPr>
        <w:footnoteReference w:id="26"/>
      </w:r>
      <w:r w:rsidR="00692BFF">
        <w:t xml:space="preserve">  Clearly Malville believed</w:t>
      </w:r>
      <w:r w:rsidR="00347888">
        <w:t xml:space="preserve"> that seeking to understand the culture of any</w:t>
      </w:r>
      <w:r w:rsidR="001332E1">
        <w:t xml:space="preserve"> given site is most important.  In an alternative method, </w:t>
      </w:r>
      <w:r w:rsidR="00C252E1">
        <w:t xml:space="preserve">Ghezzi and Ruggles </w:t>
      </w:r>
      <w:r w:rsidR="00F03331">
        <w:t xml:space="preserve">contextualized the astronomical </w:t>
      </w:r>
      <w:r w:rsidR="00991076">
        <w:t>alignments</w:t>
      </w:r>
      <w:r w:rsidR="00F03331">
        <w:t xml:space="preserve"> with </w:t>
      </w:r>
      <w:r w:rsidR="00991076">
        <w:t>archaeological</w:t>
      </w:r>
      <w:r w:rsidR="00F03331">
        <w:t xml:space="preserve"> evidence, which they used to support their theory of an elite class of people at Chankillo</w:t>
      </w:r>
      <w:r w:rsidR="00C252E1">
        <w:t xml:space="preserve">.  </w:t>
      </w:r>
      <w:r w:rsidR="001332E1">
        <w:t>However, t</w:t>
      </w:r>
      <w:r w:rsidR="00654E29">
        <w:t xml:space="preserve">hey </w:t>
      </w:r>
      <w:r w:rsidR="00C252E1">
        <w:t>demonstrated s</w:t>
      </w:r>
      <w:r w:rsidR="00605AD6">
        <w:t>trength</w:t>
      </w:r>
      <w:r w:rsidR="00C252E1">
        <w:t xml:space="preserve"> in their honesty </w:t>
      </w:r>
      <w:r w:rsidR="00654E29">
        <w:t>when</w:t>
      </w:r>
      <w:r>
        <w:t xml:space="preserve"> they </w:t>
      </w:r>
      <w:r w:rsidR="00605AD6">
        <w:t xml:space="preserve">wrote that evaluating </w:t>
      </w:r>
      <w:r w:rsidR="00C252E1">
        <w:t xml:space="preserve">the nature of the observations </w:t>
      </w:r>
      <w:r w:rsidR="00605AD6">
        <w:t>of astronomical events like the rising and setting of the sun in relation to seasonal events and the ritual connection is not simple.</w:t>
      </w:r>
      <w:r w:rsidR="00605AD6">
        <w:rPr>
          <w:rStyle w:val="FootnoteReference"/>
        </w:rPr>
        <w:footnoteReference w:id="27"/>
      </w:r>
      <w:r w:rsidR="00605AD6">
        <w:t xml:space="preserve">  </w:t>
      </w:r>
    </w:p>
    <w:p w:rsidR="00340CAF" w:rsidRDefault="00340CAF"/>
    <w:p w:rsidR="00884FFD" w:rsidRDefault="00884FFD"/>
    <w:p w:rsidR="00884FFD" w:rsidRPr="00511448" w:rsidRDefault="00511448">
      <w:pPr>
        <w:rPr>
          <w:b/>
        </w:rPr>
      </w:pPr>
      <w:r w:rsidRPr="00511448">
        <w:rPr>
          <w:b/>
        </w:rPr>
        <w:t>Conclusion</w:t>
      </w:r>
    </w:p>
    <w:p w:rsidR="00BB08E2" w:rsidRDefault="00F71EA8" w:rsidP="002926B3">
      <w:r>
        <w:t xml:space="preserve">The site of Chankillo offered a number of spatial structures that </w:t>
      </w:r>
      <w:r w:rsidR="001332E1">
        <w:t>were interpreted in two different academic papers,</w:t>
      </w:r>
      <w:r>
        <w:t xml:space="preserve"> with two differing perspectives. </w:t>
      </w:r>
      <w:r w:rsidR="001332E1">
        <w:t xml:space="preserve">While Ghezzi and Ruggles claimed that Chankillo was a unique timekeeping device and a place for warrior elite, Malville stated this Peruvian site was </w:t>
      </w:r>
      <w:r w:rsidR="00CC082C">
        <w:t>similar to</w:t>
      </w:r>
      <w:r w:rsidR="001332E1">
        <w:t xml:space="preserve"> other sites in the region.  </w:t>
      </w:r>
      <w:r w:rsidR="00BB08E2">
        <w:t>Malville em</w:t>
      </w:r>
      <w:r w:rsidR="00CC082C">
        <w:t>phasized the importance of the m</w:t>
      </w:r>
      <w:r w:rsidR="00BB08E2">
        <w:t xml:space="preserve">oon in Andean </w:t>
      </w:r>
      <w:r w:rsidR="00371F47">
        <w:t>culture, pointing out</w:t>
      </w:r>
      <w:r w:rsidR="00CC082C">
        <w:t xml:space="preserve"> that solar observatories are</w:t>
      </w:r>
      <w:r w:rsidR="00BB08E2">
        <w:t xml:space="preserve"> not a part of the culture</w:t>
      </w:r>
      <w:r w:rsidR="00371F47">
        <w:t xml:space="preserve">.  </w:t>
      </w:r>
      <w:r w:rsidR="001332E1">
        <w:t>Both papers introduced basic concepts of Andean cosmology and agreed that ritual took place at Chankillo.</w:t>
      </w:r>
      <w:r w:rsidR="00371F47">
        <w:t xml:space="preserve">  These papers defined the complexity of the field of skyscapes and archaeoastronomy.  </w:t>
      </w:r>
      <w:r w:rsidR="00CC082C">
        <w:t>In consideration to culture</w:t>
      </w:r>
      <w:r w:rsidR="00371F47">
        <w:t xml:space="preserve"> at large, </w:t>
      </w:r>
      <w:r w:rsidR="00371F47">
        <w:rPr>
          <w:lang w:val="en-US"/>
        </w:rPr>
        <w:t xml:space="preserve">Stainslaw Iwaniszewski </w:t>
      </w:r>
      <w:r w:rsidR="00371F47">
        <w:t>stated that, ‘human societies often people their skies with supernaturals, ancestors or mythological heroes to whom they become related through family ties, mythological narratives, political alliances or power relationships.’</w:t>
      </w:r>
      <w:r w:rsidR="00371F47">
        <w:rPr>
          <w:rStyle w:val="FootnoteReference"/>
        </w:rPr>
        <w:footnoteReference w:id="28"/>
      </w:r>
      <w:r w:rsidR="00371F47">
        <w:t xml:space="preserve">  Regardless if there</w:t>
      </w:r>
      <w:r w:rsidR="00CC082C">
        <w:t xml:space="preserve"> was a unique </w:t>
      </w:r>
      <w:r w:rsidR="00456103">
        <w:t>warrior elite at Chankillo</w:t>
      </w:r>
      <w:r w:rsidR="00CC082C">
        <w:t>,</w:t>
      </w:r>
      <w:r w:rsidR="00371F47">
        <w:t xml:space="preserve"> or if this site was in alignment with Central Andean cosmology, this sacred space offered significance to the people that occupied it.</w:t>
      </w:r>
    </w:p>
    <w:p w:rsidR="00371F47" w:rsidRDefault="00371F47" w:rsidP="002926B3"/>
    <w:p w:rsidR="00456103" w:rsidRDefault="00456103">
      <w:r>
        <w:br w:type="page"/>
      </w:r>
    </w:p>
    <w:p w:rsidR="002926B3" w:rsidRDefault="002926B3" w:rsidP="002926B3"/>
    <w:p w:rsidR="008B1FC3" w:rsidRDefault="008B1FC3" w:rsidP="002926B3">
      <w:r>
        <w:t>Bibliography</w:t>
      </w:r>
    </w:p>
    <w:p w:rsidR="00FF3F39" w:rsidRDefault="00FF3F39">
      <w:pPr>
        <w:rPr>
          <w:lang w:val="en-US"/>
        </w:rPr>
      </w:pPr>
      <w:r>
        <w:rPr>
          <w:lang w:val="en-US"/>
        </w:rPr>
        <w:t xml:space="preserve">Ghezzi, Ivan and Ruggles, Clive, “Chankillo A 2,300-Year-Old Solar Observatory in Coastal Peru”. In Anthony Aveni (ed.) Foundations of New World Cultural Astronomy.  Boulder:  The University Press of </w:t>
      </w:r>
      <w:r w:rsidR="00371F47">
        <w:rPr>
          <w:lang w:val="en-US"/>
        </w:rPr>
        <w:t>Colorado,</w:t>
      </w:r>
      <w:r w:rsidR="00D659D8">
        <w:rPr>
          <w:lang w:val="en-US"/>
        </w:rPr>
        <w:t xml:space="preserve"> (2008)</w:t>
      </w:r>
    </w:p>
    <w:p w:rsidR="00FF3F39" w:rsidRDefault="00FF3F39">
      <w:pPr>
        <w:rPr>
          <w:lang w:val="en-US"/>
        </w:rPr>
      </w:pPr>
    </w:p>
    <w:p w:rsidR="008B1FC3" w:rsidRDefault="00FF3F39">
      <w:pPr>
        <w:rPr>
          <w:lang w:val="en-US"/>
        </w:rPr>
      </w:pPr>
      <w:r>
        <w:rPr>
          <w:lang w:val="en-US"/>
        </w:rPr>
        <w:t xml:space="preserve">Ghezzi, Ivan </w:t>
      </w:r>
      <w:r w:rsidR="008B1FC3">
        <w:rPr>
          <w:lang w:val="en-US"/>
        </w:rPr>
        <w:t>and Ruggles</w:t>
      </w:r>
      <w:r>
        <w:rPr>
          <w:lang w:val="en-US"/>
        </w:rPr>
        <w:t>, Clive,</w:t>
      </w:r>
      <w:r w:rsidR="008B1FC3">
        <w:rPr>
          <w:lang w:val="en-US"/>
        </w:rPr>
        <w:t xml:space="preserve"> “The Social and Ritual Context of Horizon Astronomical Observations at Chankillo”</w:t>
      </w:r>
      <w:r>
        <w:rPr>
          <w:lang w:val="en-US"/>
        </w:rPr>
        <w:t>.</w:t>
      </w:r>
      <w:r w:rsidR="008B1FC3">
        <w:rPr>
          <w:lang w:val="en-US"/>
        </w:rPr>
        <w:t xml:space="preserve"> </w:t>
      </w:r>
      <w:r>
        <w:rPr>
          <w:lang w:val="en-US"/>
        </w:rPr>
        <w:t xml:space="preserve"> </w:t>
      </w:r>
      <w:r w:rsidR="008B1FC3">
        <w:rPr>
          <w:lang w:val="en-US"/>
        </w:rPr>
        <w:t>In C</w:t>
      </w:r>
      <w:r>
        <w:rPr>
          <w:lang w:val="en-US"/>
        </w:rPr>
        <w:t>live</w:t>
      </w:r>
      <w:r w:rsidR="008B1FC3">
        <w:rPr>
          <w:lang w:val="en-US"/>
        </w:rPr>
        <w:t xml:space="preserve"> Ruggles (ed</w:t>
      </w:r>
      <w:r>
        <w:rPr>
          <w:lang w:val="en-US"/>
        </w:rPr>
        <w:t>.</w:t>
      </w:r>
      <w:r w:rsidR="008B1FC3">
        <w:rPr>
          <w:lang w:val="en-US"/>
        </w:rPr>
        <w:t>) “Oxford IX” International Symposium on Archaeoastronomy. Proceedings IAU Symposium No. 278</w:t>
      </w:r>
      <w:r w:rsidR="00D659D8">
        <w:rPr>
          <w:lang w:val="en-US"/>
        </w:rPr>
        <w:t>, (2011)</w:t>
      </w:r>
    </w:p>
    <w:p w:rsidR="008B1FC3" w:rsidRDefault="008B1FC3">
      <w:pPr>
        <w:rPr>
          <w:lang w:val="en-US"/>
        </w:rPr>
      </w:pPr>
    </w:p>
    <w:p w:rsidR="0009344C" w:rsidRDefault="0009344C">
      <w:pPr>
        <w:rPr>
          <w:lang w:val="en-US"/>
        </w:rPr>
      </w:pPr>
      <w:r>
        <w:rPr>
          <w:lang w:val="en-US"/>
        </w:rPr>
        <w:t>Iwaniszewski,</w:t>
      </w:r>
      <w:r>
        <w:rPr>
          <w:lang w:val="en-US"/>
        </w:rPr>
        <w:t xml:space="preserve"> </w:t>
      </w:r>
      <w:r>
        <w:rPr>
          <w:lang w:val="en-US"/>
        </w:rPr>
        <w:t>Stainslaw</w:t>
      </w:r>
      <w:r>
        <w:rPr>
          <w:lang w:val="en-US"/>
        </w:rPr>
        <w:t>.</w:t>
      </w:r>
      <w:r>
        <w:rPr>
          <w:lang w:val="en-US"/>
        </w:rPr>
        <w:t xml:space="preserve"> They sky as social field.  </w:t>
      </w:r>
      <w:r w:rsidRPr="00661C0C">
        <w:rPr>
          <w:i/>
          <w:lang w:val="en-US"/>
        </w:rPr>
        <w:t xml:space="preserve">Proceedings IAU Symposium </w:t>
      </w:r>
      <w:r>
        <w:rPr>
          <w:lang w:val="en-US"/>
        </w:rPr>
        <w:t xml:space="preserve">278, (2011) </w:t>
      </w:r>
    </w:p>
    <w:p w:rsidR="0009344C" w:rsidRDefault="0009344C">
      <w:pPr>
        <w:rPr>
          <w:lang w:val="en-US"/>
        </w:rPr>
      </w:pPr>
    </w:p>
    <w:p w:rsidR="00D659D8" w:rsidRDefault="00D659D8" w:rsidP="00D659D8">
      <w:pPr>
        <w:rPr>
          <w:lang w:val="en-US"/>
        </w:rPr>
      </w:pPr>
      <w:r>
        <w:rPr>
          <w:lang w:val="en-US"/>
        </w:rPr>
        <w:t xml:space="preserve">Malville, J. McKim, “Astronomy and Ceremony at Chankillo: an Andean Perspective”. </w:t>
      </w:r>
      <w:r>
        <w:rPr>
          <w:lang w:val="en-US"/>
        </w:rPr>
        <w:t>In Clive Ruggles (</w:t>
      </w:r>
      <w:r>
        <w:rPr>
          <w:lang w:val="en-US"/>
        </w:rPr>
        <w:t>ed.) “Oxford IX” International Symposium on Archaeoastronomy.  Proceedings IAU Symposium No. 278</w:t>
      </w:r>
      <w:r>
        <w:rPr>
          <w:lang w:val="en-US"/>
        </w:rPr>
        <w:t>, (2011)</w:t>
      </w:r>
    </w:p>
    <w:p w:rsidR="00D659D8" w:rsidRDefault="00D659D8">
      <w:pPr>
        <w:rPr>
          <w:lang w:val="en-US"/>
        </w:rPr>
      </w:pPr>
    </w:p>
    <w:p w:rsidR="00D659D8" w:rsidRDefault="00D659D8">
      <w:pPr>
        <w:rPr>
          <w:lang w:val="en-US"/>
        </w:rPr>
      </w:pPr>
      <w:r w:rsidRPr="005B110E">
        <w:rPr>
          <w:lang w:val="en-US"/>
        </w:rPr>
        <w:t>Malville,</w:t>
      </w:r>
      <w:r>
        <w:rPr>
          <w:lang w:val="en-US"/>
        </w:rPr>
        <w:t xml:space="preserve"> </w:t>
      </w:r>
      <w:r>
        <w:t>J. McKim</w:t>
      </w:r>
      <w:r>
        <w:t>,</w:t>
      </w:r>
      <w:r w:rsidRPr="005B110E">
        <w:rPr>
          <w:lang w:val="en-US"/>
        </w:rPr>
        <w:t xml:space="preserve"> </w:t>
      </w:r>
      <w:r>
        <w:rPr>
          <w:lang w:val="en-US"/>
        </w:rPr>
        <w:t>“</w:t>
      </w:r>
      <w:r>
        <w:t>Preface:  Meaning and Intent in Ancient Skyscapes—An Andean Perspective”. In Fabio Silva and Nick Campion (eds.) Skyscapes: The Role and Importance of the Sky in Archaeology</w:t>
      </w:r>
      <w:r>
        <w:t>. Oxford: Oxbow books, (2015)</w:t>
      </w:r>
    </w:p>
    <w:p w:rsidR="00FF3F39" w:rsidRDefault="00FF3F39">
      <w:pPr>
        <w:rPr>
          <w:lang w:val="en-US"/>
        </w:rPr>
      </w:pPr>
    </w:p>
    <w:p w:rsidR="00FF3F39" w:rsidRDefault="00FF3F39">
      <w:pPr>
        <w:rPr>
          <w:lang w:val="en-US"/>
        </w:rPr>
      </w:pPr>
      <w:r>
        <w:rPr>
          <w:lang w:val="en-US"/>
        </w:rPr>
        <w:t xml:space="preserve">Pearson, M Parker and Richards, C, </w:t>
      </w:r>
      <w:r w:rsidRPr="00C97E4E">
        <w:rPr>
          <w:i/>
          <w:lang w:val="en-US"/>
        </w:rPr>
        <w:t>Arch</w:t>
      </w:r>
      <w:r>
        <w:rPr>
          <w:i/>
          <w:lang w:val="en-US"/>
        </w:rPr>
        <w:t>it</w:t>
      </w:r>
      <w:r w:rsidRPr="00C97E4E">
        <w:rPr>
          <w:i/>
          <w:lang w:val="en-US"/>
        </w:rPr>
        <w:t>ecture and Order: Approaches to Social Space</w:t>
      </w:r>
      <w:r w:rsidR="00D659D8">
        <w:rPr>
          <w:lang w:val="en-US"/>
        </w:rPr>
        <w:t>, (1994)</w:t>
      </w:r>
    </w:p>
    <w:p w:rsidR="00FF3F39" w:rsidRDefault="00FF3F39">
      <w:pPr>
        <w:rPr>
          <w:lang w:val="en-US"/>
        </w:rPr>
      </w:pPr>
    </w:p>
    <w:p w:rsidR="00654E29" w:rsidRPr="0009344C" w:rsidRDefault="00FF3F39">
      <w:pPr>
        <w:rPr>
          <w:lang w:val="en-US"/>
        </w:rPr>
      </w:pPr>
      <w:r>
        <w:rPr>
          <w:lang w:val="en-US"/>
        </w:rPr>
        <w:t>Silva, Fabio, Defining skyscape</w:t>
      </w:r>
      <w:r w:rsidR="00456103">
        <w:rPr>
          <w:lang w:val="en-US"/>
        </w:rPr>
        <w:t>s</w:t>
      </w:r>
      <w:bookmarkStart w:id="5" w:name="_GoBack"/>
      <w:bookmarkEnd w:id="5"/>
      <w:r w:rsidR="00456103">
        <w:rPr>
          <w:lang w:val="en-US"/>
        </w:rPr>
        <w:t>,</w:t>
      </w:r>
      <w:r>
        <w:rPr>
          <w:lang w:val="en-US"/>
        </w:rPr>
        <w:t xml:space="preserve"> </w:t>
      </w:r>
      <w:r w:rsidRPr="00C97E4E">
        <w:rPr>
          <w:i/>
          <w:lang w:val="en-US"/>
        </w:rPr>
        <w:t>Sophia Centre Press Blog</w:t>
      </w:r>
      <w:r>
        <w:rPr>
          <w:i/>
          <w:lang w:val="en-US"/>
        </w:rPr>
        <w:t xml:space="preserve"> </w:t>
      </w:r>
      <w:r>
        <w:rPr>
          <w:lang w:val="en-US"/>
        </w:rPr>
        <w:t>(2017)</w:t>
      </w:r>
    </w:p>
    <w:sectPr w:rsidR="00654E29" w:rsidRPr="0009344C" w:rsidSect="00787457">
      <w:headerReference w:type="even" r:id="rId8"/>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5826" w:rsidRDefault="007C5826" w:rsidP="00E6748A">
      <w:r>
        <w:separator/>
      </w:r>
    </w:p>
  </w:endnote>
  <w:endnote w:type="continuationSeparator" w:id="0">
    <w:p w:rsidR="007C5826" w:rsidRDefault="007C5826" w:rsidP="00E674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5826" w:rsidRDefault="007C5826" w:rsidP="00E6748A">
      <w:r>
        <w:separator/>
      </w:r>
    </w:p>
  </w:footnote>
  <w:footnote w:type="continuationSeparator" w:id="0">
    <w:p w:rsidR="007C5826" w:rsidRDefault="007C5826" w:rsidP="00E6748A">
      <w:r>
        <w:continuationSeparator/>
      </w:r>
    </w:p>
  </w:footnote>
  <w:footnote w:id="1">
    <w:p w:rsidR="001332E1" w:rsidRPr="0011184A" w:rsidRDefault="001332E1">
      <w:pPr>
        <w:pStyle w:val="FootnoteText"/>
        <w:rPr>
          <w:lang w:val="en-US"/>
        </w:rPr>
      </w:pPr>
      <w:r>
        <w:rPr>
          <w:rStyle w:val="FootnoteReference"/>
        </w:rPr>
        <w:footnoteRef/>
      </w:r>
      <w:r>
        <w:t xml:space="preserve"> </w:t>
      </w:r>
      <w:r>
        <w:rPr>
          <w:lang w:val="en-US"/>
        </w:rPr>
        <w:t xml:space="preserve">Ivan Ghezzi and Clive Ruggles, “The Social and Ritual Context of Horizon Astronomical Observations at Chankillo” In Clive Ruggles (2011 ed.) “Oxford IX” International Symposium on Archaeoastronomy. Proceedings IAU Symposium No. 278, pp. 144-53; </w:t>
      </w:r>
      <w:r w:rsidR="00D659D8">
        <w:t xml:space="preserve">J. McKim </w:t>
      </w:r>
      <w:r w:rsidR="00D659D8" w:rsidRPr="005B110E">
        <w:rPr>
          <w:lang w:val="en-US"/>
        </w:rPr>
        <w:t>Malville</w:t>
      </w:r>
      <w:r>
        <w:rPr>
          <w:lang w:val="en-US"/>
        </w:rPr>
        <w:t>, “Astronomy and Ceremony at Chankillo: an Andean Perspective.” In Clive Ruggles (2011 ed.) “Oxford IX” International Symposium on Archaeoastronomy. Proceedings IAU Symposium No. 278, pp. 154-61.</w:t>
      </w:r>
    </w:p>
  </w:footnote>
  <w:footnote w:id="2">
    <w:p w:rsidR="001332E1" w:rsidRPr="00C97E4E" w:rsidRDefault="001332E1">
      <w:pPr>
        <w:pStyle w:val="FootnoteText"/>
        <w:rPr>
          <w:lang w:val="en-US"/>
        </w:rPr>
      </w:pPr>
      <w:r>
        <w:rPr>
          <w:rStyle w:val="FootnoteReference"/>
        </w:rPr>
        <w:footnoteRef/>
      </w:r>
      <w:r>
        <w:t xml:space="preserve"> </w:t>
      </w:r>
      <w:r>
        <w:rPr>
          <w:lang w:val="en-US"/>
        </w:rPr>
        <w:t xml:space="preserve">Fabio Silva, Defining skyscape </w:t>
      </w:r>
      <w:r w:rsidRPr="00C97E4E">
        <w:rPr>
          <w:i/>
          <w:lang w:val="en-US"/>
        </w:rPr>
        <w:t>Sophia Centre Press Blog</w:t>
      </w:r>
      <w:r>
        <w:rPr>
          <w:i/>
          <w:lang w:val="en-US"/>
        </w:rPr>
        <w:t xml:space="preserve"> </w:t>
      </w:r>
      <w:r>
        <w:rPr>
          <w:lang w:val="en-US"/>
        </w:rPr>
        <w:t>(2017).</w:t>
      </w:r>
    </w:p>
  </w:footnote>
  <w:footnote w:id="3">
    <w:p w:rsidR="001332E1" w:rsidRPr="00B43C76" w:rsidRDefault="001332E1">
      <w:pPr>
        <w:pStyle w:val="FootnoteText"/>
        <w:rPr>
          <w:lang w:val="en-US"/>
        </w:rPr>
      </w:pPr>
      <w:r>
        <w:rPr>
          <w:rStyle w:val="FootnoteReference"/>
        </w:rPr>
        <w:footnoteRef/>
      </w:r>
      <w:r>
        <w:t xml:space="preserve"> Ivan </w:t>
      </w:r>
      <w:r>
        <w:rPr>
          <w:lang w:val="en-US"/>
        </w:rPr>
        <w:t xml:space="preserve">Ghezzi and Clive Ruggles, “Chankillo A 2,300-Year-Old Solar Observatory in Coastal Peru”. In Anthony Aveni (2008, ed.) Foundations of New World Cultural Astronomy.  </w:t>
      </w:r>
      <w:r w:rsidR="00371F47">
        <w:rPr>
          <w:lang w:val="en-US"/>
        </w:rPr>
        <w:t>Boulder:  The University Press of Colorado, p 196.</w:t>
      </w:r>
    </w:p>
  </w:footnote>
  <w:footnote w:id="4">
    <w:p w:rsidR="001332E1" w:rsidRPr="00F60349" w:rsidRDefault="001332E1">
      <w:pPr>
        <w:pStyle w:val="FootnoteText"/>
        <w:rPr>
          <w:lang w:val="en-US"/>
        </w:rPr>
      </w:pPr>
      <w:r>
        <w:rPr>
          <w:rStyle w:val="FootnoteReference"/>
        </w:rPr>
        <w:footnoteRef/>
      </w:r>
      <w:r>
        <w:t xml:space="preserve"> </w:t>
      </w:r>
      <w:r>
        <w:rPr>
          <w:lang w:val="en-US"/>
        </w:rPr>
        <w:t>Malville, “Astronomy and Ceremony”, p. 159.</w:t>
      </w:r>
    </w:p>
  </w:footnote>
  <w:footnote w:id="5">
    <w:p w:rsidR="001332E1" w:rsidRPr="00F60349" w:rsidRDefault="001332E1">
      <w:pPr>
        <w:pStyle w:val="FootnoteText"/>
        <w:rPr>
          <w:lang w:val="en-US"/>
        </w:rPr>
      </w:pPr>
      <w:r>
        <w:rPr>
          <w:rStyle w:val="FootnoteReference"/>
        </w:rPr>
        <w:footnoteRef/>
      </w:r>
      <w:r>
        <w:t xml:space="preserve"> </w:t>
      </w:r>
      <w:r>
        <w:rPr>
          <w:lang w:val="en-US"/>
        </w:rPr>
        <w:t>Malville, “Astronomy and Ceremony”, p. 158.</w:t>
      </w:r>
    </w:p>
  </w:footnote>
  <w:footnote w:id="6">
    <w:p w:rsidR="001332E1" w:rsidRPr="00985913" w:rsidRDefault="001332E1">
      <w:pPr>
        <w:pStyle w:val="FootnoteText"/>
        <w:rPr>
          <w:lang w:val="en-US"/>
        </w:rPr>
      </w:pPr>
      <w:r>
        <w:rPr>
          <w:rStyle w:val="FootnoteReference"/>
        </w:rPr>
        <w:footnoteRef/>
      </w:r>
      <w:r>
        <w:t xml:space="preserve"> </w:t>
      </w:r>
      <w:r>
        <w:rPr>
          <w:lang w:val="en-US"/>
        </w:rPr>
        <w:t>Ghezzi and Ruggles, “The Social and Ritual Context”, p. 153.</w:t>
      </w:r>
    </w:p>
  </w:footnote>
  <w:footnote w:id="7">
    <w:p w:rsidR="001332E1" w:rsidRPr="00F03331" w:rsidRDefault="001332E1">
      <w:pPr>
        <w:pStyle w:val="FootnoteText"/>
        <w:rPr>
          <w:lang w:val="en-US"/>
        </w:rPr>
      </w:pPr>
      <w:r>
        <w:rPr>
          <w:rStyle w:val="FootnoteReference"/>
        </w:rPr>
        <w:footnoteRef/>
      </w:r>
      <w:r>
        <w:t xml:space="preserve"> </w:t>
      </w:r>
      <w:r>
        <w:rPr>
          <w:lang w:val="en-US"/>
        </w:rPr>
        <w:t>Ghezzi and Ruggles, “The Social and Ritual Context”, p. 153.</w:t>
      </w:r>
    </w:p>
  </w:footnote>
  <w:footnote w:id="8">
    <w:p w:rsidR="001332E1" w:rsidRPr="00985913" w:rsidRDefault="001332E1" w:rsidP="00637AF6">
      <w:pPr>
        <w:pStyle w:val="FootnoteText"/>
        <w:rPr>
          <w:lang w:val="en-US"/>
        </w:rPr>
      </w:pPr>
      <w:r>
        <w:rPr>
          <w:rStyle w:val="FootnoteReference"/>
        </w:rPr>
        <w:footnoteRef/>
      </w:r>
      <w:r>
        <w:t xml:space="preserve"> </w:t>
      </w:r>
      <w:r>
        <w:rPr>
          <w:lang w:val="en-US"/>
        </w:rPr>
        <w:t>Malville, “Astronomy and Ceremony”, p. 154.</w:t>
      </w:r>
    </w:p>
  </w:footnote>
  <w:footnote w:id="9">
    <w:p w:rsidR="001332E1" w:rsidRPr="00985913" w:rsidRDefault="001332E1" w:rsidP="00637AF6">
      <w:pPr>
        <w:pStyle w:val="FootnoteText"/>
        <w:rPr>
          <w:lang w:val="en-US"/>
        </w:rPr>
      </w:pPr>
      <w:r>
        <w:rPr>
          <w:rStyle w:val="FootnoteReference"/>
        </w:rPr>
        <w:footnoteRef/>
      </w:r>
      <w:r>
        <w:t xml:space="preserve"> </w:t>
      </w:r>
      <w:r>
        <w:rPr>
          <w:lang w:val="en-US"/>
        </w:rPr>
        <w:t>Malville, “Astronomy and Ceremony”, p. 155.</w:t>
      </w:r>
    </w:p>
  </w:footnote>
  <w:footnote w:id="10">
    <w:p w:rsidR="001332E1" w:rsidRPr="00F03331" w:rsidRDefault="001332E1" w:rsidP="006F268B">
      <w:pPr>
        <w:pStyle w:val="FootnoteText"/>
        <w:rPr>
          <w:lang w:val="en-US"/>
        </w:rPr>
      </w:pPr>
      <w:r>
        <w:rPr>
          <w:rStyle w:val="FootnoteReference"/>
        </w:rPr>
        <w:footnoteRef/>
      </w:r>
      <w:r>
        <w:t xml:space="preserve"> </w:t>
      </w:r>
      <w:r>
        <w:rPr>
          <w:lang w:val="en-US"/>
        </w:rPr>
        <w:t>Ghezzi and Ruggles, “The Social and Ritual Context”, p. 148.</w:t>
      </w:r>
    </w:p>
  </w:footnote>
  <w:footnote w:id="11">
    <w:p w:rsidR="001332E1" w:rsidRPr="00605AD6" w:rsidRDefault="001332E1" w:rsidP="006F268B">
      <w:pPr>
        <w:pStyle w:val="FootnoteText"/>
        <w:rPr>
          <w:lang w:val="en-US"/>
        </w:rPr>
      </w:pPr>
      <w:r>
        <w:rPr>
          <w:rStyle w:val="FootnoteReference"/>
        </w:rPr>
        <w:footnoteRef/>
      </w:r>
      <w:r>
        <w:t xml:space="preserve"> </w:t>
      </w:r>
      <w:r>
        <w:rPr>
          <w:lang w:val="en-US"/>
        </w:rPr>
        <w:t>Ghezzi and Ruggles, “The Social and Ritual Context”, p. 151.</w:t>
      </w:r>
    </w:p>
  </w:footnote>
  <w:footnote w:id="12">
    <w:p w:rsidR="001332E1" w:rsidRPr="006F268B" w:rsidRDefault="001332E1">
      <w:pPr>
        <w:pStyle w:val="FootnoteText"/>
        <w:rPr>
          <w:lang w:val="en-US"/>
        </w:rPr>
      </w:pPr>
      <w:r>
        <w:rPr>
          <w:rStyle w:val="FootnoteReference"/>
        </w:rPr>
        <w:footnoteRef/>
      </w:r>
      <w:r>
        <w:t xml:space="preserve"> </w:t>
      </w:r>
      <w:r>
        <w:rPr>
          <w:lang w:val="en-US"/>
        </w:rPr>
        <w:t>Malville, “Astronomy and Ceremony”, p. 159.</w:t>
      </w:r>
    </w:p>
  </w:footnote>
  <w:footnote w:id="13">
    <w:p w:rsidR="001332E1" w:rsidRPr="00C97E4E" w:rsidRDefault="001332E1" w:rsidP="00F11997">
      <w:pPr>
        <w:pStyle w:val="FootnoteText"/>
        <w:rPr>
          <w:lang w:val="en-US"/>
        </w:rPr>
      </w:pPr>
      <w:r>
        <w:rPr>
          <w:rStyle w:val="FootnoteReference"/>
        </w:rPr>
        <w:footnoteRef/>
      </w:r>
      <w:r>
        <w:t xml:space="preserve"> </w:t>
      </w:r>
      <w:r>
        <w:rPr>
          <w:lang w:val="en-US"/>
        </w:rPr>
        <w:t xml:space="preserve">M Parker Pearson and C Richards (1994) </w:t>
      </w:r>
      <w:r w:rsidRPr="00C97E4E">
        <w:rPr>
          <w:i/>
          <w:lang w:val="en-US"/>
        </w:rPr>
        <w:t>Arch</w:t>
      </w:r>
      <w:r>
        <w:rPr>
          <w:i/>
          <w:lang w:val="en-US"/>
        </w:rPr>
        <w:t>it</w:t>
      </w:r>
      <w:r w:rsidRPr="00C97E4E">
        <w:rPr>
          <w:i/>
          <w:lang w:val="en-US"/>
        </w:rPr>
        <w:t>ecture and Order: Approaches to Social Space</w:t>
      </w:r>
      <w:r>
        <w:rPr>
          <w:lang w:val="en-US"/>
        </w:rPr>
        <w:t>, p. 2-3.</w:t>
      </w:r>
    </w:p>
  </w:footnote>
  <w:footnote w:id="14">
    <w:p w:rsidR="001332E1" w:rsidRPr="00991076" w:rsidRDefault="001332E1">
      <w:pPr>
        <w:pStyle w:val="FootnoteText"/>
        <w:rPr>
          <w:lang w:val="en-US"/>
        </w:rPr>
      </w:pPr>
      <w:r>
        <w:rPr>
          <w:rStyle w:val="FootnoteReference"/>
        </w:rPr>
        <w:footnoteRef/>
      </w:r>
      <w:r>
        <w:t xml:space="preserve"> </w:t>
      </w:r>
      <w:r>
        <w:rPr>
          <w:lang w:val="en-US"/>
        </w:rPr>
        <w:t>Ghezzi and Ruggles, “The Social and Ritual Context”, p. 152-3.</w:t>
      </w:r>
    </w:p>
  </w:footnote>
  <w:footnote w:id="15">
    <w:p w:rsidR="005B110E" w:rsidRPr="00991076" w:rsidRDefault="005B110E" w:rsidP="005B110E">
      <w:pPr>
        <w:pStyle w:val="FootnoteText"/>
        <w:rPr>
          <w:lang w:val="en-US"/>
        </w:rPr>
      </w:pPr>
      <w:r>
        <w:rPr>
          <w:rStyle w:val="FootnoteReference"/>
        </w:rPr>
        <w:footnoteRef/>
      </w:r>
      <w:r>
        <w:t xml:space="preserve"> </w:t>
      </w:r>
      <w:r>
        <w:rPr>
          <w:lang w:val="en-US"/>
        </w:rPr>
        <w:t>Ghezzi and Ruggles, p. 151-2.</w:t>
      </w:r>
    </w:p>
  </w:footnote>
  <w:footnote w:id="16">
    <w:p w:rsidR="001332E1" w:rsidRPr="006F268B" w:rsidRDefault="001332E1">
      <w:pPr>
        <w:pStyle w:val="FootnoteText"/>
        <w:rPr>
          <w:lang w:val="en-US"/>
        </w:rPr>
      </w:pPr>
      <w:r>
        <w:rPr>
          <w:rStyle w:val="FootnoteReference"/>
        </w:rPr>
        <w:footnoteRef/>
      </w:r>
      <w:r>
        <w:t xml:space="preserve"> </w:t>
      </w:r>
      <w:r>
        <w:rPr>
          <w:lang w:val="en-US"/>
        </w:rPr>
        <w:t>Malville, “Astronomy and Ceremony”, p. 161.</w:t>
      </w:r>
    </w:p>
  </w:footnote>
  <w:footnote w:id="17">
    <w:p w:rsidR="001332E1" w:rsidRPr="001E6A30" w:rsidRDefault="001332E1">
      <w:pPr>
        <w:pStyle w:val="FootnoteText"/>
        <w:rPr>
          <w:lang w:val="en-US"/>
        </w:rPr>
      </w:pPr>
      <w:r>
        <w:rPr>
          <w:rStyle w:val="FootnoteReference"/>
        </w:rPr>
        <w:footnoteRef/>
      </w:r>
      <w:r>
        <w:t xml:space="preserve"> </w:t>
      </w:r>
      <w:r>
        <w:rPr>
          <w:lang w:val="en-US"/>
        </w:rPr>
        <w:t>Malville, “Astronomy and Ceremony”, pp. 158-159.</w:t>
      </w:r>
    </w:p>
  </w:footnote>
  <w:footnote w:id="18">
    <w:p w:rsidR="001332E1" w:rsidRPr="00340CAF" w:rsidRDefault="001332E1">
      <w:pPr>
        <w:pStyle w:val="FootnoteText"/>
        <w:rPr>
          <w:lang w:val="en-US"/>
        </w:rPr>
      </w:pPr>
      <w:r>
        <w:rPr>
          <w:rStyle w:val="FootnoteReference"/>
        </w:rPr>
        <w:footnoteRef/>
      </w:r>
      <w:r>
        <w:t xml:space="preserve"> </w:t>
      </w:r>
      <w:r>
        <w:rPr>
          <w:lang w:val="en-US"/>
        </w:rPr>
        <w:t>Malville, “Astronomy and Ceremony”, p. 155.</w:t>
      </w:r>
    </w:p>
  </w:footnote>
  <w:footnote w:id="19">
    <w:p w:rsidR="001332E1" w:rsidRPr="00692BFF" w:rsidRDefault="001332E1" w:rsidP="00692BFF">
      <w:pPr>
        <w:pStyle w:val="FootnoteText"/>
        <w:rPr>
          <w:lang w:val="en-US"/>
        </w:rPr>
      </w:pPr>
      <w:r>
        <w:rPr>
          <w:rStyle w:val="FootnoteReference"/>
        </w:rPr>
        <w:footnoteRef/>
      </w:r>
      <w:r>
        <w:t xml:space="preserve"> </w:t>
      </w:r>
      <w:r>
        <w:rPr>
          <w:lang w:val="en-US"/>
        </w:rPr>
        <w:t>Ghezzi and Ruggles, “The Social and Ritual Context”, p. 147.</w:t>
      </w:r>
    </w:p>
  </w:footnote>
  <w:footnote w:id="20">
    <w:p w:rsidR="001332E1" w:rsidRPr="00340CAF" w:rsidRDefault="001332E1">
      <w:pPr>
        <w:pStyle w:val="FootnoteText"/>
        <w:rPr>
          <w:lang w:val="en-US"/>
        </w:rPr>
      </w:pPr>
      <w:r>
        <w:rPr>
          <w:rStyle w:val="FootnoteReference"/>
        </w:rPr>
        <w:footnoteRef/>
      </w:r>
      <w:r>
        <w:t xml:space="preserve"> </w:t>
      </w:r>
      <w:r>
        <w:rPr>
          <w:lang w:val="en-US"/>
        </w:rPr>
        <w:t>Malville, “Astronomy and Ceremony”, p. 156.</w:t>
      </w:r>
    </w:p>
  </w:footnote>
  <w:footnote w:id="21">
    <w:p w:rsidR="001332E1" w:rsidRPr="001E6A30" w:rsidRDefault="001332E1">
      <w:pPr>
        <w:pStyle w:val="FootnoteText"/>
        <w:rPr>
          <w:lang w:val="en-US"/>
        </w:rPr>
      </w:pPr>
      <w:r>
        <w:rPr>
          <w:rStyle w:val="FootnoteReference"/>
        </w:rPr>
        <w:footnoteRef/>
      </w:r>
      <w:r>
        <w:t xml:space="preserve"> </w:t>
      </w:r>
      <w:r>
        <w:rPr>
          <w:lang w:val="en-US"/>
        </w:rPr>
        <w:t>Malville, “Astronomy and Ceremony”, p. 156.</w:t>
      </w:r>
    </w:p>
  </w:footnote>
  <w:footnote w:id="22">
    <w:p w:rsidR="001332E1" w:rsidRPr="00901678" w:rsidRDefault="001332E1">
      <w:pPr>
        <w:pStyle w:val="FootnoteText"/>
        <w:rPr>
          <w:lang w:val="en-US"/>
        </w:rPr>
      </w:pPr>
      <w:r>
        <w:rPr>
          <w:rStyle w:val="FootnoteReference"/>
        </w:rPr>
        <w:footnoteRef/>
      </w:r>
      <w:r>
        <w:t xml:space="preserve"> </w:t>
      </w:r>
      <w:r>
        <w:rPr>
          <w:lang w:val="en-US"/>
        </w:rPr>
        <w:t>Malville, “Astronomy and Ceremony”, p. 158.</w:t>
      </w:r>
    </w:p>
  </w:footnote>
  <w:footnote w:id="23">
    <w:p w:rsidR="001332E1" w:rsidRPr="00F03331" w:rsidRDefault="001332E1" w:rsidP="00C252E1">
      <w:pPr>
        <w:pStyle w:val="FootnoteText"/>
        <w:rPr>
          <w:lang w:val="en-US"/>
        </w:rPr>
      </w:pPr>
      <w:r>
        <w:rPr>
          <w:rStyle w:val="FootnoteReference"/>
        </w:rPr>
        <w:footnoteRef/>
      </w:r>
      <w:r>
        <w:t xml:space="preserve"> </w:t>
      </w:r>
      <w:r>
        <w:rPr>
          <w:lang w:val="en-US"/>
        </w:rPr>
        <w:t>Ghezzi and Ruggles, “The Social and Ritual Context”, p. 149.</w:t>
      </w:r>
    </w:p>
  </w:footnote>
  <w:footnote w:id="24">
    <w:p w:rsidR="001332E1" w:rsidRPr="00340CAF" w:rsidRDefault="001332E1" w:rsidP="00347888">
      <w:pPr>
        <w:pStyle w:val="FootnoteText"/>
        <w:rPr>
          <w:lang w:val="en-US"/>
        </w:rPr>
      </w:pPr>
      <w:r>
        <w:rPr>
          <w:rStyle w:val="FootnoteReference"/>
        </w:rPr>
        <w:footnoteRef/>
      </w:r>
      <w:r>
        <w:t xml:space="preserve"> </w:t>
      </w:r>
      <w:r>
        <w:rPr>
          <w:lang w:val="en-US"/>
        </w:rPr>
        <w:t>Malville, “Astronomy and Ceremony”, p. 156.</w:t>
      </w:r>
    </w:p>
  </w:footnote>
  <w:footnote w:id="25">
    <w:p w:rsidR="001332E1" w:rsidRPr="001332E1" w:rsidRDefault="001332E1" w:rsidP="00FA02C2">
      <w:pPr>
        <w:pStyle w:val="FootnoteText"/>
        <w:rPr>
          <w:b/>
          <w:lang w:val="en-US"/>
        </w:rPr>
      </w:pPr>
      <w:r>
        <w:rPr>
          <w:rStyle w:val="FootnoteReference"/>
        </w:rPr>
        <w:footnoteRef/>
      </w:r>
      <w:r>
        <w:t xml:space="preserve"> </w:t>
      </w:r>
      <w:r>
        <w:rPr>
          <w:lang w:val="en-US"/>
        </w:rPr>
        <w:t>Malville, “Astronomy and Ceremony”, p. 154.</w:t>
      </w:r>
    </w:p>
  </w:footnote>
  <w:footnote w:id="26">
    <w:p w:rsidR="001332E1" w:rsidRPr="005B110E" w:rsidRDefault="001332E1" w:rsidP="00347888">
      <w:pPr>
        <w:pStyle w:val="FootnoteText"/>
        <w:rPr>
          <w:lang w:val="en-US"/>
        </w:rPr>
      </w:pPr>
      <w:r w:rsidRPr="005B110E">
        <w:rPr>
          <w:rStyle w:val="FootnoteReference"/>
        </w:rPr>
        <w:footnoteRef/>
      </w:r>
      <w:r w:rsidRPr="005B110E">
        <w:t xml:space="preserve"> </w:t>
      </w:r>
      <w:r w:rsidR="00D659D8">
        <w:t>J. Mc</w:t>
      </w:r>
      <w:r w:rsidR="005B110E">
        <w:t xml:space="preserve">Kim </w:t>
      </w:r>
      <w:r w:rsidRPr="005B110E">
        <w:rPr>
          <w:lang w:val="en-US"/>
        </w:rPr>
        <w:t xml:space="preserve">Malville, </w:t>
      </w:r>
      <w:r w:rsidR="00D659D8">
        <w:rPr>
          <w:lang w:val="en-US"/>
        </w:rPr>
        <w:t>“</w:t>
      </w:r>
      <w:r w:rsidR="00D659D8">
        <w:t xml:space="preserve">Preface:  Meaning and Intent in Ancient Skyscapes—An Andean Perspective”. In Fabio Silva and Nick Campion (eds.) Skyscapes: The Role and Importance of the Sky in Archaeology. Oxford: Oxbow books, (2015), </w:t>
      </w:r>
      <w:r w:rsidR="00D659D8" w:rsidRPr="005B110E">
        <w:rPr>
          <w:lang w:val="en-US"/>
        </w:rPr>
        <w:t>p. xiii</w:t>
      </w:r>
      <w:r w:rsidR="00D659D8">
        <w:rPr>
          <w:lang w:val="en-US"/>
        </w:rPr>
        <w:t>.</w:t>
      </w:r>
    </w:p>
  </w:footnote>
  <w:footnote w:id="27">
    <w:p w:rsidR="001332E1" w:rsidRPr="00605AD6" w:rsidRDefault="001332E1">
      <w:pPr>
        <w:pStyle w:val="FootnoteText"/>
        <w:rPr>
          <w:lang w:val="en-US"/>
        </w:rPr>
      </w:pPr>
      <w:r>
        <w:rPr>
          <w:rStyle w:val="FootnoteReference"/>
        </w:rPr>
        <w:footnoteRef/>
      </w:r>
      <w:r>
        <w:t xml:space="preserve"> </w:t>
      </w:r>
      <w:r>
        <w:rPr>
          <w:lang w:val="en-US"/>
        </w:rPr>
        <w:t>Ghezzi and Ruggles p. 151.</w:t>
      </w:r>
    </w:p>
  </w:footnote>
  <w:footnote w:id="28">
    <w:p w:rsidR="00371F47" w:rsidRPr="00661C0C" w:rsidRDefault="00371F47" w:rsidP="00371F47">
      <w:pPr>
        <w:pStyle w:val="FootnoteText"/>
        <w:rPr>
          <w:lang w:val="en-US"/>
        </w:rPr>
      </w:pPr>
      <w:r>
        <w:rPr>
          <w:rStyle w:val="FootnoteReference"/>
        </w:rPr>
        <w:footnoteRef/>
      </w:r>
      <w:r>
        <w:t xml:space="preserve"> </w:t>
      </w:r>
      <w:r w:rsidR="0009344C">
        <w:rPr>
          <w:lang w:val="en-US"/>
        </w:rPr>
        <w:t xml:space="preserve">Stainslaw Iwaniszewski, </w:t>
      </w:r>
      <w:r w:rsidR="00456103">
        <w:rPr>
          <w:lang w:val="en-US"/>
        </w:rPr>
        <w:t>they</w:t>
      </w:r>
      <w:r>
        <w:rPr>
          <w:lang w:val="en-US"/>
        </w:rPr>
        <w:t xml:space="preserve"> sky as social field.  </w:t>
      </w:r>
      <w:r w:rsidRPr="00661C0C">
        <w:rPr>
          <w:i/>
          <w:lang w:val="en-US"/>
        </w:rPr>
        <w:t xml:space="preserve">Proceedings IAU Symposium </w:t>
      </w:r>
      <w:r>
        <w:rPr>
          <w:lang w:val="en-US"/>
        </w:rPr>
        <w:t xml:space="preserve">278, </w:t>
      </w:r>
      <w:r w:rsidR="0009344C">
        <w:rPr>
          <w:lang w:val="en-US"/>
        </w:rPr>
        <w:t xml:space="preserve">(2011) </w:t>
      </w:r>
      <w:r w:rsidR="0009344C">
        <w:rPr>
          <w:lang w:val="en-US"/>
        </w:rPr>
        <w:t>p. 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4656297"/>
      <w:docPartObj>
        <w:docPartGallery w:val="Page Numbers (Top of Page)"/>
        <w:docPartUnique/>
      </w:docPartObj>
    </w:sdtPr>
    <w:sdtContent>
      <w:p w:rsidR="001332E1" w:rsidRDefault="001332E1" w:rsidP="001332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46283361"/>
      <w:docPartObj>
        <w:docPartGallery w:val="Page Numbers (Top of Page)"/>
        <w:docPartUnique/>
      </w:docPartObj>
    </w:sdtPr>
    <w:sdtContent>
      <w:p w:rsidR="001332E1" w:rsidRDefault="001332E1" w:rsidP="00787457">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332E1" w:rsidRDefault="001332E1" w:rsidP="0078745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6309346"/>
      <w:docPartObj>
        <w:docPartGallery w:val="Page Numbers (Top of Page)"/>
        <w:docPartUnique/>
      </w:docPartObj>
    </w:sdtPr>
    <w:sdtContent>
      <w:p w:rsidR="001332E1" w:rsidRDefault="001332E1" w:rsidP="001332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sdt>
    <w:sdtPr>
      <w:rPr>
        <w:caps/>
        <w:color w:val="44546A" w:themeColor="text2"/>
        <w:sz w:val="20"/>
        <w:szCs w:val="20"/>
      </w:rPr>
      <w:alias w:val="Author"/>
      <w:tag w:val=""/>
      <w:id w:val="-1701008461"/>
      <w:placeholder>
        <w:docPart w:val="BBB20B365CC67F428E004E9D41F238A2"/>
      </w:placeholder>
      <w:dataBinding w:prefixMappings="xmlns:ns0='http://purl.org/dc/elements/1.1/' xmlns:ns1='http://schemas.openxmlformats.org/package/2006/metadata/core-properties' " w:xpath="/ns1:coreProperties[1]/ns0:creator[1]" w:storeItemID="{6C3C8BC8-F283-45AE-878A-BAB7291924A1}"/>
      <w:text/>
    </w:sdtPr>
    <w:sdtContent>
      <w:p w:rsidR="001332E1" w:rsidRDefault="001332E1" w:rsidP="00787457">
        <w:pPr>
          <w:pStyle w:val="Header"/>
          <w:ind w:right="360"/>
          <w:jc w:val="right"/>
          <w:rPr>
            <w:caps/>
            <w:color w:val="44546A" w:themeColor="text2"/>
            <w:sz w:val="20"/>
            <w:szCs w:val="20"/>
          </w:rPr>
        </w:pPr>
        <w:r>
          <w:rPr>
            <w:caps/>
            <w:color w:val="44546A" w:themeColor="text2"/>
            <w:sz w:val="20"/>
            <w:szCs w:val="20"/>
          </w:rPr>
          <w:t>Danielle goldstein (1710933)</w:t>
        </w:r>
      </w:p>
    </w:sdtContent>
  </w:sdt>
  <w:p w:rsidR="001332E1" w:rsidRPr="00787457" w:rsidRDefault="001332E1" w:rsidP="00787457">
    <w:pPr>
      <w:pStyle w:val="Header"/>
      <w:rPr>
        <w:caps/>
        <w:color w:val="44546A" w:themeColor="text2"/>
        <w:sz w:val="20"/>
        <w:szCs w:val="20"/>
      </w:rPr>
    </w:pPr>
  </w:p>
  <w:p w:rsidR="001332E1" w:rsidRDefault="001332E1" w:rsidP="00787457">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C90"/>
    <w:rsid w:val="0009344C"/>
    <w:rsid w:val="0011184A"/>
    <w:rsid w:val="00121C9F"/>
    <w:rsid w:val="001332E1"/>
    <w:rsid w:val="00153DD8"/>
    <w:rsid w:val="001E6A30"/>
    <w:rsid w:val="001F0E97"/>
    <w:rsid w:val="00252364"/>
    <w:rsid w:val="00284FB6"/>
    <w:rsid w:val="002926B3"/>
    <w:rsid w:val="00340CAF"/>
    <w:rsid w:val="00346C76"/>
    <w:rsid w:val="00347888"/>
    <w:rsid w:val="00357F01"/>
    <w:rsid w:val="00367077"/>
    <w:rsid w:val="00371F47"/>
    <w:rsid w:val="0042770A"/>
    <w:rsid w:val="00456103"/>
    <w:rsid w:val="0047696C"/>
    <w:rsid w:val="004A19B4"/>
    <w:rsid w:val="004F6F30"/>
    <w:rsid w:val="00511448"/>
    <w:rsid w:val="00562EAF"/>
    <w:rsid w:val="00593143"/>
    <w:rsid w:val="005B110E"/>
    <w:rsid w:val="00605AD6"/>
    <w:rsid w:val="00621F98"/>
    <w:rsid w:val="00637AF6"/>
    <w:rsid w:val="00654E29"/>
    <w:rsid w:val="00661C0C"/>
    <w:rsid w:val="006722F4"/>
    <w:rsid w:val="00692BFF"/>
    <w:rsid w:val="006F268B"/>
    <w:rsid w:val="00716E9F"/>
    <w:rsid w:val="00730276"/>
    <w:rsid w:val="00741713"/>
    <w:rsid w:val="00787457"/>
    <w:rsid w:val="007C5826"/>
    <w:rsid w:val="007D0164"/>
    <w:rsid w:val="00801763"/>
    <w:rsid w:val="00847BCD"/>
    <w:rsid w:val="00866DD9"/>
    <w:rsid w:val="00884FFD"/>
    <w:rsid w:val="008B1FC3"/>
    <w:rsid w:val="008B3517"/>
    <w:rsid w:val="008C127C"/>
    <w:rsid w:val="008C476F"/>
    <w:rsid w:val="00901678"/>
    <w:rsid w:val="009711C1"/>
    <w:rsid w:val="00985913"/>
    <w:rsid w:val="00991076"/>
    <w:rsid w:val="009F0CCE"/>
    <w:rsid w:val="00A00B14"/>
    <w:rsid w:val="00A04AC6"/>
    <w:rsid w:val="00A307FC"/>
    <w:rsid w:val="00A34258"/>
    <w:rsid w:val="00A519DE"/>
    <w:rsid w:val="00A748E4"/>
    <w:rsid w:val="00AC1D29"/>
    <w:rsid w:val="00AD600B"/>
    <w:rsid w:val="00AD7E71"/>
    <w:rsid w:val="00B43C76"/>
    <w:rsid w:val="00BB08E2"/>
    <w:rsid w:val="00BF5AED"/>
    <w:rsid w:val="00C02B76"/>
    <w:rsid w:val="00C03E76"/>
    <w:rsid w:val="00C252E1"/>
    <w:rsid w:val="00C50186"/>
    <w:rsid w:val="00C657D5"/>
    <w:rsid w:val="00C922FB"/>
    <w:rsid w:val="00C97E4E"/>
    <w:rsid w:val="00CB671E"/>
    <w:rsid w:val="00CC082C"/>
    <w:rsid w:val="00D0351D"/>
    <w:rsid w:val="00D659D8"/>
    <w:rsid w:val="00E07C93"/>
    <w:rsid w:val="00E53C4D"/>
    <w:rsid w:val="00E6748A"/>
    <w:rsid w:val="00EF066C"/>
    <w:rsid w:val="00F03331"/>
    <w:rsid w:val="00F11997"/>
    <w:rsid w:val="00F54C90"/>
    <w:rsid w:val="00F60349"/>
    <w:rsid w:val="00F71EA8"/>
    <w:rsid w:val="00F80317"/>
    <w:rsid w:val="00FA02C2"/>
    <w:rsid w:val="00FA68C6"/>
    <w:rsid w:val="00FF3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2CAE22"/>
  <w14:defaultImageDpi w14:val="32767"/>
  <w15:chartTrackingRefBased/>
  <w15:docId w15:val="{2A14509D-4BB8-7046-A148-C30D8520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54C90"/>
    <w:rPr>
      <w:rFonts w:ascii="Times New Roman" w:eastAsia="SimSun" w:hAnsi="Times New Roman" w:cs="Times New Roman"/>
      <w:lang w:val="en-GB" w:eastAsia="zh-CN"/>
    </w:rPr>
  </w:style>
  <w:style w:type="paragraph" w:styleId="Heading1">
    <w:name w:val="heading 1"/>
    <w:basedOn w:val="Normal"/>
    <w:next w:val="Normal"/>
    <w:link w:val="Heading1Char"/>
    <w:uiPriority w:val="9"/>
    <w:qFormat/>
    <w:rsid w:val="00866DD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F54C90"/>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semiHidden/>
    <w:unhideWhenUsed/>
    <w:qFormat/>
    <w:rsid w:val="00866DD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54C90"/>
    <w:rPr>
      <w:rFonts w:ascii="Tahoma" w:eastAsia="SimSun" w:hAnsi="Tahoma" w:cs="Tahoma"/>
      <w:b/>
      <w:bCs/>
      <w:sz w:val="20"/>
      <w:szCs w:val="20"/>
      <w:lang w:val="en-GB" w:eastAsia="zh-CN"/>
    </w:rPr>
  </w:style>
  <w:style w:type="paragraph" w:styleId="NormalWeb">
    <w:name w:val="Normal (Web)"/>
    <w:basedOn w:val="Normal"/>
    <w:rsid w:val="00F54C90"/>
    <w:pPr>
      <w:spacing w:before="100" w:beforeAutospacing="1" w:after="100" w:afterAutospacing="1"/>
    </w:pPr>
    <w:rPr>
      <w:rFonts w:ascii="Georgia" w:hAnsi="Georgia"/>
      <w:color w:val="000000"/>
      <w:sz w:val="21"/>
      <w:szCs w:val="21"/>
    </w:rPr>
  </w:style>
  <w:style w:type="character" w:customStyle="1" w:styleId="Heading4Char">
    <w:name w:val="Heading 4 Char"/>
    <w:basedOn w:val="DefaultParagraphFont"/>
    <w:link w:val="Heading4"/>
    <w:uiPriority w:val="9"/>
    <w:semiHidden/>
    <w:rsid w:val="00866DD9"/>
    <w:rPr>
      <w:rFonts w:asciiTheme="majorHAnsi" w:eastAsiaTheme="majorEastAsia" w:hAnsiTheme="majorHAnsi" w:cstheme="majorBidi"/>
      <w:i/>
      <w:iCs/>
      <w:color w:val="2F5496" w:themeColor="accent1" w:themeShade="BF"/>
      <w:lang w:val="en-GB" w:eastAsia="zh-CN"/>
    </w:rPr>
  </w:style>
  <w:style w:type="character" w:customStyle="1" w:styleId="Heading1Char">
    <w:name w:val="Heading 1 Char"/>
    <w:basedOn w:val="DefaultParagraphFont"/>
    <w:link w:val="Heading1"/>
    <w:uiPriority w:val="9"/>
    <w:rsid w:val="00866DD9"/>
    <w:rPr>
      <w:rFonts w:asciiTheme="majorHAnsi" w:eastAsiaTheme="majorEastAsia" w:hAnsiTheme="majorHAnsi" w:cstheme="majorBidi"/>
      <w:color w:val="2F5496" w:themeColor="accent1" w:themeShade="BF"/>
      <w:sz w:val="32"/>
      <w:szCs w:val="32"/>
      <w:lang w:val="en-GB" w:eastAsia="zh-CN"/>
    </w:rPr>
  </w:style>
  <w:style w:type="character" w:styleId="Hyperlink">
    <w:name w:val="Hyperlink"/>
    <w:basedOn w:val="DefaultParagraphFont"/>
    <w:uiPriority w:val="99"/>
    <w:unhideWhenUsed/>
    <w:rsid w:val="00866DD9"/>
    <w:rPr>
      <w:color w:val="0563C1" w:themeColor="hyperlink"/>
      <w:u w:val="single"/>
    </w:rPr>
  </w:style>
  <w:style w:type="character" w:styleId="UnresolvedMention">
    <w:name w:val="Unresolved Mention"/>
    <w:basedOn w:val="DefaultParagraphFont"/>
    <w:uiPriority w:val="99"/>
    <w:rsid w:val="00866DD9"/>
    <w:rPr>
      <w:color w:val="808080"/>
      <w:shd w:val="clear" w:color="auto" w:fill="E6E6E6"/>
    </w:rPr>
  </w:style>
  <w:style w:type="paragraph" w:styleId="FootnoteText">
    <w:name w:val="footnote text"/>
    <w:basedOn w:val="Normal"/>
    <w:link w:val="FootnoteTextChar"/>
    <w:uiPriority w:val="99"/>
    <w:semiHidden/>
    <w:unhideWhenUsed/>
    <w:rsid w:val="00E6748A"/>
    <w:rPr>
      <w:sz w:val="20"/>
      <w:szCs w:val="20"/>
    </w:rPr>
  </w:style>
  <w:style w:type="character" w:customStyle="1" w:styleId="FootnoteTextChar">
    <w:name w:val="Footnote Text Char"/>
    <w:basedOn w:val="DefaultParagraphFont"/>
    <w:link w:val="FootnoteText"/>
    <w:uiPriority w:val="99"/>
    <w:semiHidden/>
    <w:rsid w:val="00E6748A"/>
    <w:rPr>
      <w:rFonts w:ascii="Times New Roman" w:eastAsia="SimSun" w:hAnsi="Times New Roman" w:cs="Times New Roman"/>
      <w:sz w:val="20"/>
      <w:szCs w:val="20"/>
      <w:lang w:val="en-GB" w:eastAsia="zh-CN"/>
    </w:rPr>
  </w:style>
  <w:style w:type="character" w:styleId="FootnoteReference">
    <w:name w:val="footnote reference"/>
    <w:basedOn w:val="DefaultParagraphFont"/>
    <w:uiPriority w:val="99"/>
    <w:semiHidden/>
    <w:unhideWhenUsed/>
    <w:rsid w:val="00E6748A"/>
    <w:rPr>
      <w:vertAlign w:val="superscript"/>
    </w:rPr>
  </w:style>
  <w:style w:type="paragraph" w:styleId="Header">
    <w:name w:val="header"/>
    <w:basedOn w:val="Normal"/>
    <w:link w:val="HeaderChar"/>
    <w:uiPriority w:val="99"/>
    <w:unhideWhenUsed/>
    <w:rsid w:val="00787457"/>
    <w:pPr>
      <w:tabs>
        <w:tab w:val="center" w:pos="4680"/>
        <w:tab w:val="right" w:pos="9360"/>
      </w:tabs>
    </w:pPr>
  </w:style>
  <w:style w:type="character" w:customStyle="1" w:styleId="HeaderChar">
    <w:name w:val="Header Char"/>
    <w:basedOn w:val="DefaultParagraphFont"/>
    <w:link w:val="Header"/>
    <w:uiPriority w:val="99"/>
    <w:rsid w:val="00787457"/>
    <w:rPr>
      <w:rFonts w:ascii="Times New Roman" w:eastAsia="SimSun" w:hAnsi="Times New Roman" w:cs="Times New Roman"/>
      <w:lang w:val="en-GB" w:eastAsia="zh-CN"/>
    </w:rPr>
  </w:style>
  <w:style w:type="paragraph" w:styleId="Footer">
    <w:name w:val="footer"/>
    <w:basedOn w:val="Normal"/>
    <w:link w:val="FooterChar"/>
    <w:uiPriority w:val="99"/>
    <w:unhideWhenUsed/>
    <w:rsid w:val="00787457"/>
    <w:pPr>
      <w:tabs>
        <w:tab w:val="center" w:pos="4680"/>
        <w:tab w:val="right" w:pos="9360"/>
      </w:tabs>
    </w:pPr>
  </w:style>
  <w:style w:type="character" w:customStyle="1" w:styleId="FooterChar">
    <w:name w:val="Footer Char"/>
    <w:basedOn w:val="DefaultParagraphFont"/>
    <w:link w:val="Footer"/>
    <w:uiPriority w:val="99"/>
    <w:rsid w:val="00787457"/>
    <w:rPr>
      <w:rFonts w:ascii="Times New Roman" w:eastAsia="SimSun" w:hAnsi="Times New Roman" w:cs="Times New Roman"/>
      <w:lang w:val="en-GB" w:eastAsia="zh-CN"/>
    </w:rPr>
  </w:style>
  <w:style w:type="character" w:styleId="PlaceholderText">
    <w:name w:val="Placeholder Text"/>
    <w:basedOn w:val="DefaultParagraphFont"/>
    <w:uiPriority w:val="99"/>
    <w:semiHidden/>
    <w:rsid w:val="00787457"/>
    <w:rPr>
      <w:color w:val="808080"/>
    </w:rPr>
  </w:style>
  <w:style w:type="character" w:styleId="PageNumber">
    <w:name w:val="page number"/>
    <w:basedOn w:val="DefaultParagraphFont"/>
    <w:uiPriority w:val="99"/>
    <w:semiHidden/>
    <w:unhideWhenUsed/>
    <w:rsid w:val="00787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45076">
      <w:bodyDiv w:val="1"/>
      <w:marLeft w:val="0"/>
      <w:marRight w:val="0"/>
      <w:marTop w:val="0"/>
      <w:marBottom w:val="0"/>
      <w:divBdr>
        <w:top w:val="none" w:sz="0" w:space="0" w:color="auto"/>
        <w:left w:val="none" w:sz="0" w:space="0" w:color="auto"/>
        <w:bottom w:val="none" w:sz="0" w:space="0" w:color="auto"/>
        <w:right w:val="none" w:sz="0" w:space="0" w:color="auto"/>
      </w:divBdr>
      <w:divsChild>
        <w:div w:id="1892378761">
          <w:marLeft w:val="0"/>
          <w:marRight w:val="0"/>
          <w:marTop w:val="0"/>
          <w:marBottom w:val="0"/>
          <w:divBdr>
            <w:top w:val="none" w:sz="0" w:space="0" w:color="auto"/>
            <w:left w:val="none" w:sz="0" w:space="0" w:color="auto"/>
            <w:bottom w:val="none" w:sz="0" w:space="0" w:color="auto"/>
            <w:right w:val="none" w:sz="0" w:space="0" w:color="auto"/>
          </w:divBdr>
          <w:divsChild>
            <w:div w:id="109012665">
              <w:marLeft w:val="0"/>
              <w:marRight w:val="0"/>
              <w:marTop w:val="0"/>
              <w:marBottom w:val="0"/>
              <w:divBdr>
                <w:top w:val="none" w:sz="0" w:space="0" w:color="auto"/>
                <w:left w:val="none" w:sz="0" w:space="0" w:color="auto"/>
                <w:bottom w:val="none" w:sz="0" w:space="0" w:color="auto"/>
                <w:right w:val="none" w:sz="0" w:space="0" w:color="auto"/>
              </w:divBdr>
            </w:div>
          </w:divsChild>
        </w:div>
        <w:div w:id="1546600456">
          <w:marLeft w:val="0"/>
          <w:marRight w:val="0"/>
          <w:marTop w:val="0"/>
          <w:marBottom w:val="0"/>
          <w:divBdr>
            <w:top w:val="none" w:sz="0" w:space="0" w:color="auto"/>
            <w:left w:val="none" w:sz="0" w:space="0" w:color="auto"/>
            <w:bottom w:val="none" w:sz="0" w:space="0" w:color="auto"/>
            <w:right w:val="none" w:sz="0" w:space="0" w:color="auto"/>
          </w:divBdr>
          <w:divsChild>
            <w:div w:id="1275165407">
              <w:marLeft w:val="0"/>
              <w:marRight w:val="0"/>
              <w:marTop w:val="0"/>
              <w:marBottom w:val="0"/>
              <w:divBdr>
                <w:top w:val="none" w:sz="0" w:space="0" w:color="auto"/>
                <w:left w:val="none" w:sz="0" w:space="0" w:color="auto"/>
                <w:bottom w:val="none" w:sz="0" w:space="0" w:color="auto"/>
                <w:right w:val="none" w:sz="0" w:space="0" w:color="auto"/>
              </w:divBdr>
              <w:divsChild>
                <w:div w:id="74673081">
                  <w:marLeft w:val="0"/>
                  <w:marRight w:val="0"/>
                  <w:marTop w:val="0"/>
                  <w:marBottom w:val="0"/>
                  <w:divBdr>
                    <w:top w:val="none" w:sz="0" w:space="0" w:color="auto"/>
                    <w:left w:val="none" w:sz="0" w:space="0" w:color="auto"/>
                    <w:bottom w:val="none" w:sz="0" w:space="0" w:color="auto"/>
                    <w:right w:val="none" w:sz="0" w:space="0" w:color="auto"/>
                  </w:divBdr>
                  <w:divsChild>
                    <w:div w:id="379987550">
                      <w:marLeft w:val="0"/>
                      <w:marRight w:val="0"/>
                      <w:marTop w:val="0"/>
                      <w:marBottom w:val="0"/>
                      <w:divBdr>
                        <w:top w:val="none" w:sz="0" w:space="0" w:color="auto"/>
                        <w:left w:val="none" w:sz="0" w:space="0" w:color="auto"/>
                        <w:bottom w:val="none" w:sz="0" w:space="0" w:color="auto"/>
                        <w:right w:val="none" w:sz="0" w:space="0" w:color="auto"/>
                      </w:divBdr>
                      <w:divsChild>
                        <w:div w:id="199899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469897">
      <w:bodyDiv w:val="1"/>
      <w:marLeft w:val="0"/>
      <w:marRight w:val="0"/>
      <w:marTop w:val="0"/>
      <w:marBottom w:val="0"/>
      <w:divBdr>
        <w:top w:val="none" w:sz="0" w:space="0" w:color="auto"/>
        <w:left w:val="none" w:sz="0" w:space="0" w:color="auto"/>
        <w:bottom w:val="none" w:sz="0" w:space="0" w:color="auto"/>
        <w:right w:val="none" w:sz="0" w:space="0" w:color="auto"/>
      </w:divBdr>
    </w:div>
    <w:div w:id="985663464">
      <w:bodyDiv w:val="1"/>
      <w:marLeft w:val="0"/>
      <w:marRight w:val="0"/>
      <w:marTop w:val="0"/>
      <w:marBottom w:val="0"/>
      <w:divBdr>
        <w:top w:val="none" w:sz="0" w:space="0" w:color="auto"/>
        <w:left w:val="none" w:sz="0" w:space="0" w:color="auto"/>
        <w:bottom w:val="none" w:sz="0" w:space="0" w:color="auto"/>
        <w:right w:val="none" w:sz="0" w:space="0" w:color="auto"/>
      </w:divBdr>
    </w:div>
    <w:div w:id="1176922417">
      <w:bodyDiv w:val="1"/>
      <w:marLeft w:val="0"/>
      <w:marRight w:val="0"/>
      <w:marTop w:val="0"/>
      <w:marBottom w:val="0"/>
      <w:divBdr>
        <w:top w:val="none" w:sz="0" w:space="0" w:color="auto"/>
        <w:left w:val="none" w:sz="0" w:space="0" w:color="auto"/>
        <w:bottom w:val="none" w:sz="0" w:space="0" w:color="auto"/>
        <w:right w:val="none" w:sz="0" w:space="0" w:color="auto"/>
      </w:divBdr>
    </w:div>
    <w:div w:id="1549800974">
      <w:bodyDiv w:val="1"/>
      <w:marLeft w:val="0"/>
      <w:marRight w:val="0"/>
      <w:marTop w:val="0"/>
      <w:marBottom w:val="0"/>
      <w:divBdr>
        <w:top w:val="none" w:sz="0" w:space="0" w:color="auto"/>
        <w:left w:val="none" w:sz="0" w:space="0" w:color="auto"/>
        <w:bottom w:val="none" w:sz="0" w:space="0" w:color="auto"/>
        <w:right w:val="none" w:sz="0" w:space="0" w:color="auto"/>
      </w:divBdr>
    </w:div>
    <w:div w:id="205064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B20B365CC67F428E004E9D41F238A2"/>
        <w:category>
          <w:name w:val="General"/>
          <w:gallery w:val="placeholder"/>
        </w:category>
        <w:types>
          <w:type w:val="bbPlcHdr"/>
        </w:types>
        <w:behaviors>
          <w:behavior w:val="content"/>
        </w:behaviors>
        <w:guid w:val="{901292FB-65DB-5649-87D7-0E945179AFB7}"/>
      </w:docPartPr>
      <w:docPartBody>
        <w:p w:rsidR="00F71C8A" w:rsidRDefault="00F71C8A" w:rsidP="00F71C8A">
          <w:pPr>
            <w:pStyle w:val="BBB20B365CC67F428E004E9D41F238A2"/>
          </w:pPr>
          <w:r>
            <w:rPr>
              <w:rStyle w:val="PlaceholderText"/>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C8A"/>
    <w:rsid w:val="00F71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1C8A"/>
    <w:rPr>
      <w:color w:val="808080"/>
    </w:rPr>
  </w:style>
  <w:style w:type="paragraph" w:customStyle="1" w:styleId="44DD5F813729B540BE5C80BF5EC8CA46">
    <w:name w:val="44DD5F813729B540BE5C80BF5EC8CA46"/>
    <w:rsid w:val="00F71C8A"/>
  </w:style>
  <w:style w:type="paragraph" w:customStyle="1" w:styleId="F24F5CE1A95DF64C866939AB5076BFE2">
    <w:name w:val="F24F5CE1A95DF64C866939AB5076BFE2"/>
    <w:rsid w:val="00F71C8A"/>
  </w:style>
  <w:style w:type="paragraph" w:customStyle="1" w:styleId="1F832C660AA8904AAA534A2CDB2596AF">
    <w:name w:val="1F832C660AA8904AAA534A2CDB2596AF"/>
    <w:rsid w:val="00F71C8A"/>
  </w:style>
  <w:style w:type="paragraph" w:customStyle="1" w:styleId="BBB20B365CC67F428E004E9D41F238A2">
    <w:name w:val="BBB20B365CC67F428E004E9D41F238A2"/>
    <w:rsid w:val="00F71C8A"/>
  </w:style>
  <w:style w:type="paragraph" w:customStyle="1" w:styleId="1507DB662F7EF14FBB6AC8F2539FECEC">
    <w:name w:val="1507DB662F7EF14FBB6AC8F2539FECEC"/>
    <w:rsid w:val="00F71C8A"/>
  </w:style>
  <w:style w:type="paragraph" w:customStyle="1" w:styleId="B3D574458D813A418EFF1E6870BE9C7A">
    <w:name w:val="B3D574458D813A418EFF1E6870BE9C7A"/>
    <w:rsid w:val="00F71C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02837EC-4198-1040-82F9-DF2074D9D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626</TotalTime>
  <Pages>8</Pages>
  <Words>1972</Words>
  <Characters>11247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goldstein (1710933)</dc:creator>
  <cp:keywords/>
  <dc:description/>
  <cp:lastModifiedBy>Danielle Goldstein (1710933)</cp:lastModifiedBy>
  <cp:revision>20</cp:revision>
  <dcterms:created xsi:type="dcterms:W3CDTF">2019-02-21T02:04:00Z</dcterms:created>
  <dcterms:modified xsi:type="dcterms:W3CDTF">2019-03-04T23:12:00Z</dcterms:modified>
</cp:coreProperties>
</file>