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1B6FE8">
      <w:pPr>
        <w:spacing w:before="200"/>
        <w:ind w:firstLine="720"/>
        <w:jc w:val="center"/>
        <w:rPr>
          <w:rFonts w:cs="Arial"/>
          <w:b/>
          <w:sz w:val="22"/>
          <w:szCs w:val="22"/>
        </w:rPr>
      </w:pPr>
      <w:r>
        <w:rPr>
          <w:rFonts w:cs="Arial"/>
          <w:b/>
          <w:sz w:val="22"/>
          <w:szCs w:val="22"/>
        </w:rPr>
        <w:t>PG1 - FULL RESEARCH PROPOSAL</w:t>
      </w:r>
    </w:p>
    <w:p w14:paraId="67A10B1E">
      <w:pPr>
        <w:rPr>
          <w:rFonts w:cs="Arial"/>
          <w:b/>
          <w:sz w:val="22"/>
          <w:szCs w:val="22"/>
        </w:rPr>
      </w:pPr>
    </w:p>
    <w:tbl>
      <w:tblPr>
        <w:tblStyle w:val="1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6"/>
      </w:tblGrid>
      <w:tr w14:paraId="7FC84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76" w:type="dxa"/>
          </w:tcPr>
          <w:p w14:paraId="2834770F">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r>
              <w:fldChar w:fldCharType="begin"/>
            </w:r>
            <w:r>
              <w:instrText xml:space="preserve"> HYPERLINK "mailto:pgresearch@uwtsd.ac.uk" </w:instrText>
            </w:r>
            <w:r>
              <w:fldChar w:fldCharType="separate"/>
            </w:r>
            <w:r>
              <w:rPr>
                <w:rStyle w:val="18"/>
                <w:rFonts w:cs="Arial"/>
                <w:sz w:val="22"/>
                <w:szCs w:val="22"/>
              </w:rPr>
              <w:t>pgresearch@uwtsd.ac.uk</w:t>
            </w:r>
            <w:r>
              <w:rPr>
                <w:rStyle w:val="18"/>
                <w:rFonts w:cs="Arial"/>
                <w:sz w:val="22"/>
                <w:szCs w:val="22"/>
              </w:rPr>
              <w:fldChar w:fldCharType="end"/>
            </w:r>
            <w:r>
              <w:rPr>
                <w:rFonts w:cs="Arial"/>
                <w:b/>
                <w:bCs/>
                <w:sz w:val="22"/>
                <w:szCs w:val="22"/>
              </w:rPr>
              <w:t xml:space="preserve">. </w:t>
            </w:r>
          </w:p>
        </w:tc>
      </w:tr>
    </w:tbl>
    <w:p w14:paraId="41AFDF91">
      <w:pPr>
        <w:rPr>
          <w:rFonts w:cs="Arial"/>
          <w:b/>
          <w:sz w:val="22"/>
          <w:szCs w:val="22"/>
        </w:rPr>
      </w:pPr>
    </w:p>
    <w:p w14:paraId="13208F20">
      <w:pPr>
        <w:spacing w:before="240"/>
        <w:rPr>
          <w:rFonts w:cs="Arial"/>
          <w:b/>
          <w:sz w:val="22"/>
          <w:szCs w:val="22"/>
        </w:rPr>
      </w:pPr>
      <w:r>
        <w:rPr>
          <w:rFonts w:cs="Arial"/>
          <w:b/>
          <w:sz w:val="22"/>
          <w:szCs w:val="22"/>
        </w:rPr>
        <w:t xml:space="preserve">Student Details </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220"/>
        <w:gridCol w:w="2671"/>
        <w:gridCol w:w="2835"/>
      </w:tblGrid>
      <w:tr w14:paraId="0707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75" w:type="dxa"/>
            <w:gridSpan w:val="2"/>
            <w:shd w:val="clear" w:color="auto" w:fill="F1F1F1" w:themeFill="background1" w:themeFillShade="F2"/>
          </w:tcPr>
          <w:p w14:paraId="631F831C">
            <w:pPr>
              <w:tabs>
                <w:tab w:val="center" w:pos="2202"/>
              </w:tabs>
              <w:rPr>
                <w:rFonts w:cs="Arial"/>
                <w:sz w:val="22"/>
                <w:szCs w:val="22"/>
              </w:rPr>
            </w:pPr>
            <w:r>
              <w:rPr>
                <w:rFonts w:cs="Arial"/>
                <w:sz w:val="22"/>
                <w:szCs w:val="22"/>
              </w:rPr>
              <w:t>Student Family / Surname:</w:t>
            </w:r>
          </w:p>
          <w:p w14:paraId="4AF5A3C3">
            <w:pPr>
              <w:rPr>
                <w:rFonts w:cs="Arial"/>
                <w:sz w:val="22"/>
                <w:szCs w:val="22"/>
              </w:rPr>
            </w:pPr>
          </w:p>
        </w:tc>
        <w:tc>
          <w:tcPr>
            <w:tcW w:w="5506" w:type="dxa"/>
            <w:gridSpan w:val="2"/>
            <w:shd w:val="clear" w:color="auto" w:fill="auto"/>
          </w:tcPr>
          <w:p w14:paraId="4C983A78">
            <w:pPr>
              <w:rPr>
                <w:rFonts w:hint="default" w:cs="Arial"/>
                <w:sz w:val="22"/>
                <w:szCs w:val="22"/>
                <w:lang w:val="en-US" w:eastAsia="zh-CN"/>
              </w:rPr>
            </w:pPr>
            <w:r>
              <w:rPr>
                <w:rFonts w:hint="eastAsia" w:cs="Arial"/>
                <w:sz w:val="22"/>
                <w:szCs w:val="22"/>
                <w:lang w:val="en-US" w:eastAsia="zh-CN"/>
              </w:rPr>
              <w:t>Li</w:t>
            </w:r>
          </w:p>
        </w:tc>
      </w:tr>
      <w:tr w14:paraId="75A0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75" w:type="dxa"/>
            <w:gridSpan w:val="2"/>
            <w:shd w:val="clear" w:color="auto" w:fill="F1F1F1" w:themeFill="background1" w:themeFillShade="F2"/>
          </w:tcPr>
          <w:p w14:paraId="54C7E4AF">
            <w:pPr>
              <w:rPr>
                <w:rFonts w:cs="Arial"/>
                <w:sz w:val="22"/>
                <w:szCs w:val="22"/>
              </w:rPr>
            </w:pPr>
            <w:r>
              <w:rPr>
                <w:rFonts w:cs="Arial"/>
                <w:sz w:val="22"/>
                <w:szCs w:val="22"/>
              </w:rPr>
              <w:t>Student Given / First name:</w:t>
            </w:r>
          </w:p>
          <w:p w14:paraId="139D02D7">
            <w:pPr>
              <w:rPr>
                <w:rFonts w:cs="Arial"/>
                <w:sz w:val="22"/>
                <w:szCs w:val="22"/>
              </w:rPr>
            </w:pPr>
          </w:p>
        </w:tc>
        <w:tc>
          <w:tcPr>
            <w:tcW w:w="5506" w:type="dxa"/>
            <w:gridSpan w:val="2"/>
            <w:shd w:val="clear" w:color="auto" w:fill="auto"/>
          </w:tcPr>
          <w:p w14:paraId="0982AFDA">
            <w:pPr>
              <w:rPr>
                <w:rFonts w:hint="default" w:cs="Arial"/>
                <w:sz w:val="22"/>
                <w:szCs w:val="22"/>
                <w:lang w:val="en-US" w:eastAsia="zh-CN"/>
              </w:rPr>
            </w:pPr>
            <w:r>
              <w:rPr>
                <w:rFonts w:hint="eastAsia" w:cs="Arial"/>
                <w:sz w:val="22"/>
                <w:szCs w:val="22"/>
                <w:lang w:val="en-US" w:eastAsia="zh-CN"/>
              </w:rPr>
              <w:t>Yang</w:t>
            </w:r>
          </w:p>
        </w:tc>
      </w:tr>
      <w:tr w14:paraId="3BE87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75" w:type="dxa"/>
            <w:gridSpan w:val="2"/>
            <w:shd w:val="clear" w:color="auto" w:fill="F1F1F1" w:themeFill="background1" w:themeFillShade="F2"/>
          </w:tcPr>
          <w:p w14:paraId="38813AE2">
            <w:pPr>
              <w:rPr>
                <w:rFonts w:cs="Arial"/>
                <w:sz w:val="22"/>
                <w:szCs w:val="22"/>
              </w:rPr>
            </w:pPr>
            <w:r>
              <w:rPr>
                <w:rFonts w:cs="Arial"/>
                <w:sz w:val="22"/>
                <w:szCs w:val="22"/>
              </w:rPr>
              <w:t>Student Number</w:t>
            </w:r>
          </w:p>
          <w:p w14:paraId="50BCCB4A">
            <w:pPr>
              <w:tabs>
                <w:tab w:val="center" w:pos="2202"/>
              </w:tabs>
              <w:rPr>
                <w:rFonts w:cs="Arial"/>
                <w:sz w:val="22"/>
                <w:szCs w:val="22"/>
              </w:rPr>
            </w:pPr>
          </w:p>
        </w:tc>
        <w:tc>
          <w:tcPr>
            <w:tcW w:w="5506" w:type="dxa"/>
            <w:gridSpan w:val="2"/>
            <w:shd w:val="clear" w:color="auto" w:fill="auto"/>
          </w:tcPr>
          <w:p w14:paraId="75CFB1E4">
            <w:pPr>
              <w:rPr>
                <w:rFonts w:hint="default" w:eastAsia="SimSun" w:cs="Arial"/>
                <w:sz w:val="22"/>
                <w:szCs w:val="22"/>
                <w:lang w:val="en-US" w:eastAsia="zh-CN"/>
              </w:rPr>
            </w:pPr>
            <w:r>
              <w:rPr>
                <w:rFonts w:hint="eastAsia" w:eastAsia="SimSun" w:cs="Arial"/>
                <w:sz w:val="22"/>
                <w:szCs w:val="22"/>
                <w:lang w:val="en-US" w:eastAsia="zh-CN"/>
              </w:rPr>
              <w:t>2407169</w:t>
            </w:r>
          </w:p>
        </w:tc>
      </w:tr>
      <w:tr w14:paraId="38B5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4275" w:type="dxa"/>
            <w:gridSpan w:val="2"/>
            <w:shd w:val="clear" w:color="auto" w:fill="F1F1F1" w:themeFill="background1" w:themeFillShade="F2"/>
          </w:tcPr>
          <w:p w14:paraId="60A21908">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506" w:type="dxa"/>
            <w:gridSpan w:val="2"/>
            <w:shd w:val="clear" w:color="auto" w:fill="auto"/>
          </w:tcPr>
          <w:p w14:paraId="45A727F7">
            <w:pPr>
              <w:rPr>
                <w:rFonts w:hint="default" w:eastAsia="SimSun" w:cs="Arial"/>
                <w:sz w:val="22"/>
                <w:szCs w:val="22"/>
                <w:lang w:val="en-US" w:eastAsia="zh-CN"/>
              </w:rPr>
            </w:pPr>
            <w:r>
              <w:rPr>
                <w:rFonts w:hint="eastAsia" w:cs="Arial"/>
                <w:sz w:val="22"/>
                <w:szCs w:val="22"/>
                <w:lang w:eastAsia="zh-Hans"/>
              </w:rPr>
              <w:t>Art &amp; design institute</w:t>
            </w:r>
            <w:r>
              <w:rPr>
                <w:rFonts w:hint="eastAsia" w:eastAsia="SimSun" w:cs="Arial"/>
                <w:sz w:val="22"/>
                <w:szCs w:val="22"/>
                <w:lang w:val="en-US" w:eastAsia="zh-CN"/>
              </w:rPr>
              <w:t xml:space="preserve"> (Swansea campus)</w:t>
            </w:r>
          </w:p>
        </w:tc>
      </w:tr>
      <w:tr w14:paraId="61E0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4275" w:type="dxa"/>
            <w:gridSpan w:val="2"/>
            <w:shd w:val="clear" w:color="auto" w:fill="F1F1F1" w:themeFill="background1" w:themeFillShade="F2"/>
          </w:tcPr>
          <w:p w14:paraId="134D63C4">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506" w:type="dxa"/>
            <w:gridSpan w:val="2"/>
            <w:shd w:val="clear" w:color="auto" w:fill="auto"/>
          </w:tcPr>
          <w:p w14:paraId="1AF91D2A">
            <w:pPr>
              <w:rPr>
                <w:rFonts w:cs="Arial"/>
                <w:sz w:val="22"/>
                <w:szCs w:val="22"/>
              </w:rPr>
            </w:pPr>
          </w:p>
        </w:tc>
      </w:tr>
      <w:tr w14:paraId="567B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55" w:type="dxa"/>
            <w:shd w:val="clear" w:color="auto" w:fill="F1F1F1" w:themeFill="background1" w:themeFillShade="F2"/>
          </w:tcPr>
          <w:p w14:paraId="7DD8280F">
            <w:pPr>
              <w:rPr>
                <w:rFonts w:cs="Arial"/>
                <w:sz w:val="22"/>
                <w:szCs w:val="22"/>
              </w:rPr>
            </w:pPr>
            <w:r>
              <w:rPr>
                <w:rFonts w:cs="Arial"/>
                <w:sz w:val="22"/>
                <w:szCs w:val="22"/>
              </w:rPr>
              <w:t>Start Date</w:t>
            </w:r>
          </w:p>
        </w:tc>
        <w:tc>
          <w:tcPr>
            <w:tcW w:w="2220" w:type="dxa"/>
            <w:shd w:val="clear" w:color="auto" w:fill="FFFFFF" w:themeFill="background1"/>
          </w:tcPr>
          <w:p w14:paraId="6885D0B7">
            <w:pPr>
              <w:rPr>
                <w:rFonts w:hint="default" w:eastAsia="SimSun" w:cs="Arial"/>
                <w:sz w:val="22"/>
                <w:szCs w:val="22"/>
                <w:lang w:val="en-US" w:eastAsia="zh-CN"/>
              </w:rPr>
            </w:pPr>
            <w:r>
              <w:rPr>
                <w:rFonts w:hint="eastAsia" w:eastAsia="SimSun" w:cs="Arial"/>
                <w:sz w:val="22"/>
                <w:szCs w:val="22"/>
                <w:lang w:val="en-US" w:eastAsia="zh-CN"/>
              </w:rPr>
              <w:t>2024.10</w:t>
            </w:r>
          </w:p>
        </w:tc>
        <w:tc>
          <w:tcPr>
            <w:tcW w:w="2671" w:type="dxa"/>
            <w:shd w:val="clear" w:color="auto" w:fill="F1F1F1" w:themeFill="background1" w:themeFillShade="F2"/>
          </w:tcPr>
          <w:p w14:paraId="70A4F3B0">
            <w:pPr>
              <w:rPr>
                <w:rFonts w:cs="Arial"/>
                <w:sz w:val="22"/>
                <w:szCs w:val="22"/>
              </w:rPr>
            </w:pPr>
            <w:r>
              <w:rPr>
                <w:rFonts w:cs="Arial"/>
                <w:sz w:val="22"/>
                <w:szCs w:val="22"/>
              </w:rPr>
              <w:t>End Date</w:t>
            </w:r>
          </w:p>
        </w:tc>
        <w:tc>
          <w:tcPr>
            <w:tcW w:w="2835" w:type="dxa"/>
            <w:shd w:val="clear" w:color="auto" w:fill="auto"/>
          </w:tcPr>
          <w:p w14:paraId="0325A6C5">
            <w:pPr>
              <w:rPr>
                <w:rFonts w:hint="default" w:eastAsia="SimSun" w:cs="Arial"/>
                <w:sz w:val="22"/>
                <w:szCs w:val="22"/>
                <w:lang w:val="en-US" w:eastAsia="zh-CN"/>
              </w:rPr>
            </w:pPr>
            <w:r>
              <w:rPr>
                <w:rFonts w:hint="eastAsia" w:eastAsia="SimSun" w:cs="Arial"/>
                <w:sz w:val="22"/>
                <w:szCs w:val="22"/>
                <w:lang w:val="en-US" w:eastAsia="zh-CN"/>
              </w:rPr>
              <w:t>2027.9</w:t>
            </w:r>
          </w:p>
        </w:tc>
      </w:tr>
      <w:tr w14:paraId="251E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75" w:type="dxa"/>
            <w:gridSpan w:val="2"/>
            <w:shd w:val="clear" w:color="auto" w:fill="F1F1F1" w:themeFill="background1" w:themeFillShade="F2"/>
          </w:tcPr>
          <w:p w14:paraId="5B464AB0">
            <w:pPr>
              <w:rPr>
                <w:rFonts w:cs="Arial"/>
                <w:sz w:val="22"/>
                <w:szCs w:val="22"/>
              </w:rPr>
            </w:pPr>
            <w:r>
              <w:rPr>
                <w:rFonts w:cs="Arial"/>
                <w:sz w:val="22"/>
                <w:szCs w:val="22"/>
              </w:rPr>
              <w:t>Mode of Study</w:t>
            </w:r>
          </w:p>
          <w:p w14:paraId="32AC254B">
            <w:pPr>
              <w:rPr>
                <w:rFonts w:cs="Arial"/>
                <w:sz w:val="22"/>
                <w:szCs w:val="22"/>
              </w:rPr>
            </w:pPr>
          </w:p>
        </w:tc>
        <w:tc>
          <w:tcPr>
            <w:tcW w:w="2671" w:type="dxa"/>
            <w:shd w:val="clear" w:color="auto" w:fill="auto"/>
          </w:tcPr>
          <w:p w14:paraId="111F828B">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c>
          <w:tcPr>
            <w:tcW w:w="2835" w:type="dxa"/>
            <w:shd w:val="clear" w:color="auto" w:fill="auto"/>
          </w:tcPr>
          <w:p w14:paraId="00DFCF3D">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lang w:val="en-GB" w:eastAsia="en-GB" w:bidi="ar-SA"/>
                  </w:rPr>
                  <w:t>☒</w:t>
                </w:r>
              </w:sdtContent>
            </w:sdt>
          </w:p>
        </w:tc>
      </w:tr>
    </w:tbl>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14:paraId="52116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F1F1F1" w:themeFill="background1" w:themeFillShade="F2"/>
          </w:tcPr>
          <w:p w14:paraId="0C2EE508">
            <w:pPr>
              <w:rPr>
                <w:rFonts w:cs="Arial"/>
                <w:sz w:val="22"/>
                <w:szCs w:val="22"/>
              </w:rPr>
            </w:pPr>
            <w:r>
              <w:rPr>
                <w:rFonts w:cs="Arial"/>
                <w:sz w:val="22"/>
                <w:szCs w:val="22"/>
              </w:rPr>
              <w:t>PhD</w:t>
            </w:r>
          </w:p>
          <w:p w14:paraId="7E150CDA">
            <w:pPr>
              <w:rPr>
                <w:rFonts w:cs="Arial"/>
                <w:sz w:val="22"/>
                <w:szCs w:val="22"/>
              </w:rPr>
            </w:pPr>
            <w:r>
              <w:rPr>
                <w:rFonts w:cs="Arial"/>
                <w:sz w:val="22"/>
                <w:szCs w:val="22"/>
              </w:rPr>
              <w:t>by Research</w:t>
            </w:r>
          </w:p>
        </w:tc>
        <w:tc>
          <w:tcPr>
            <w:tcW w:w="1660" w:type="dxa"/>
            <w:shd w:val="clear" w:color="auto" w:fill="F1F1F1" w:themeFill="background1" w:themeFillShade="F2"/>
          </w:tcPr>
          <w:p w14:paraId="089AFE73">
            <w:pPr>
              <w:rPr>
                <w:rFonts w:cs="Arial"/>
                <w:sz w:val="22"/>
                <w:szCs w:val="22"/>
              </w:rPr>
            </w:pPr>
            <w:r>
              <w:rPr>
                <w:rFonts w:cs="Arial"/>
                <w:sz w:val="22"/>
                <w:szCs w:val="22"/>
              </w:rPr>
              <w:t xml:space="preserve">PhD </w:t>
            </w:r>
          </w:p>
          <w:p w14:paraId="3D202538">
            <w:pPr>
              <w:rPr>
                <w:rFonts w:cs="Arial"/>
                <w:sz w:val="22"/>
                <w:szCs w:val="22"/>
              </w:rPr>
            </w:pPr>
            <w:r>
              <w:rPr>
                <w:rFonts w:cs="Arial"/>
                <w:sz w:val="22"/>
                <w:szCs w:val="22"/>
              </w:rPr>
              <w:t>Practice Based</w:t>
            </w:r>
          </w:p>
        </w:tc>
        <w:tc>
          <w:tcPr>
            <w:tcW w:w="1648" w:type="dxa"/>
            <w:shd w:val="clear" w:color="auto" w:fill="F1F1F1" w:themeFill="background1" w:themeFillShade="F2"/>
          </w:tcPr>
          <w:p w14:paraId="1540ABF7">
            <w:pPr>
              <w:rPr>
                <w:rFonts w:cs="Arial"/>
                <w:sz w:val="22"/>
                <w:szCs w:val="22"/>
              </w:rPr>
            </w:pPr>
            <w:r>
              <w:rPr>
                <w:rFonts w:cs="Arial"/>
                <w:sz w:val="22"/>
                <w:szCs w:val="22"/>
              </w:rPr>
              <w:t xml:space="preserve">PhD by </w:t>
            </w:r>
          </w:p>
          <w:p w14:paraId="6D11D54E">
            <w:pPr>
              <w:rPr>
                <w:rFonts w:cs="Arial"/>
                <w:sz w:val="22"/>
                <w:szCs w:val="22"/>
              </w:rPr>
            </w:pPr>
            <w:r>
              <w:rPr>
                <w:rFonts w:cs="Arial"/>
                <w:sz w:val="22"/>
                <w:szCs w:val="22"/>
              </w:rPr>
              <w:t>Published Works</w:t>
            </w:r>
          </w:p>
        </w:tc>
        <w:tc>
          <w:tcPr>
            <w:tcW w:w="1662" w:type="dxa"/>
            <w:shd w:val="clear" w:color="auto" w:fill="F1F1F1" w:themeFill="background1" w:themeFillShade="F2"/>
          </w:tcPr>
          <w:p w14:paraId="6031027A">
            <w:pPr>
              <w:rPr>
                <w:rFonts w:cs="Arial"/>
                <w:sz w:val="22"/>
                <w:szCs w:val="22"/>
              </w:rPr>
            </w:pPr>
            <w:r>
              <w:rPr>
                <w:rFonts w:cs="Arial"/>
                <w:sz w:val="22"/>
                <w:szCs w:val="22"/>
              </w:rPr>
              <w:t>Professional Doctorate</w:t>
            </w:r>
          </w:p>
          <w:p w14:paraId="5338E6CC">
            <w:pPr>
              <w:rPr>
                <w:rFonts w:cs="Arial"/>
                <w:sz w:val="22"/>
                <w:szCs w:val="22"/>
              </w:rPr>
            </w:pPr>
            <w:r>
              <w:rPr>
                <w:rFonts w:cs="Arial"/>
                <w:szCs w:val="22"/>
              </w:rPr>
              <w:t>(including DBA, DProf, Ed D)</w:t>
            </w:r>
          </w:p>
        </w:tc>
        <w:tc>
          <w:tcPr>
            <w:tcW w:w="1629" w:type="dxa"/>
            <w:shd w:val="clear" w:color="auto" w:fill="F1F1F1" w:themeFill="background1" w:themeFillShade="F2"/>
          </w:tcPr>
          <w:p w14:paraId="48FB1034">
            <w:pPr>
              <w:rPr>
                <w:rFonts w:cs="Arial"/>
                <w:sz w:val="22"/>
                <w:szCs w:val="22"/>
              </w:rPr>
            </w:pPr>
            <w:r>
              <w:rPr>
                <w:rFonts w:cs="Arial"/>
                <w:sz w:val="22"/>
                <w:szCs w:val="22"/>
              </w:rPr>
              <w:t>MPhil by Research</w:t>
            </w:r>
          </w:p>
          <w:p w14:paraId="62A96A8A">
            <w:pPr>
              <w:rPr>
                <w:rFonts w:cs="Arial"/>
                <w:sz w:val="22"/>
                <w:szCs w:val="22"/>
              </w:rPr>
            </w:pPr>
          </w:p>
        </w:tc>
        <w:tc>
          <w:tcPr>
            <w:tcW w:w="1525" w:type="dxa"/>
            <w:shd w:val="clear" w:color="auto" w:fill="F1F1F1" w:themeFill="background1" w:themeFillShade="F2"/>
          </w:tcPr>
          <w:p w14:paraId="18690D32">
            <w:pPr>
              <w:rPr>
                <w:rFonts w:cs="Arial"/>
                <w:sz w:val="22"/>
                <w:szCs w:val="22"/>
              </w:rPr>
            </w:pPr>
            <w:r>
              <w:rPr>
                <w:rFonts w:cs="Arial"/>
                <w:sz w:val="22"/>
                <w:szCs w:val="22"/>
              </w:rPr>
              <w:t>MPhil</w:t>
            </w:r>
          </w:p>
          <w:p w14:paraId="112C0192">
            <w:pPr>
              <w:rPr>
                <w:rFonts w:cs="Arial"/>
                <w:sz w:val="22"/>
                <w:szCs w:val="22"/>
              </w:rPr>
            </w:pPr>
            <w:r>
              <w:rPr>
                <w:rFonts w:cs="Arial"/>
                <w:sz w:val="22"/>
                <w:szCs w:val="22"/>
              </w:rPr>
              <w:t xml:space="preserve">Practice Based </w:t>
            </w:r>
          </w:p>
          <w:p w14:paraId="6044FFAD">
            <w:pPr>
              <w:rPr>
                <w:rFonts w:cs="Arial"/>
                <w:sz w:val="22"/>
                <w:szCs w:val="22"/>
              </w:rPr>
            </w:pPr>
          </w:p>
        </w:tc>
      </w:tr>
      <w:tr w14:paraId="7302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746380728"/>
              <w14:checkbox>
                <w14:checked w14:val="0"/>
                <w14:checkedState w14:val="2612" w14:font="MS Gothic"/>
                <w14:uncheckedState w14:val="2610" w14:font="MS Gothic"/>
              </w14:checkbox>
            </w:sdtPr>
            <w:sdtEndPr>
              <w:rPr>
                <w:rFonts w:cs="Arial"/>
                <w:sz w:val="22"/>
                <w:szCs w:val="22"/>
              </w:rPr>
            </w:sdtEndPr>
            <w:sdtContent>
              <w:p w14:paraId="01BCCEDB">
                <w:pPr>
                  <w:jc w:val="center"/>
                  <w:rPr>
                    <w:rFonts w:cs="Arial"/>
                    <w:sz w:val="22"/>
                    <w:szCs w:val="22"/>
                  </w:rPr>
                </w:pPr>
                <w:r>
                  <w:rPr>
                    <w:rFonts w:ascii="MS Gothic" w:hAnsi="MS Gothic" w:eastAsia="MS Gothic" w:cs="Arial"/>
                    <w:sz w:val="22"/>
                    <w:szCs w:val="22"/>
                  </w:rPr>
                  <w:t>☐</w:t>
                </w:r>
              </w:p>
            </w:sdtContent>
          </w:sdt>
          <w:p w14:paraId="43584980">
            <w:pPr>
              <w:jc w:val="center"/>
              <w:rPr>
                <w:rFonts w:cs="Arial"/>
                <w:sz w:val="22"/>
                <w:szCs w:val="22"/>
              </w:rPr>
            </w:pPr>
          </w:p>
        </w:tc>
        <w:sdt>
          <w:sdtPr>
            <w:rPr>
              <w:rFonts w:cs="Arial"/>
              <w:sz w:val="22"/>
              <w:szCs w:val="22"/>
            </w:rPr>
            <w:id w:val="1301043622"/>
            <w14:checkbox>
              <w14:checked w14:val="0"/>
              <w14:checkedState w14:val="2612" w14:font="MS Gothic"/>
              <w14:uncheckedState w14:val="2610" w14:font="MS Gothic"/>
            </w14:checkbox>
          </w:sdtPr>
          <w:sdtEndPr>
            <w:rPr>
              <w:rFonts w:cs="Arial"/>
              <w:sz w:val="22"/>
              <w:szCs w:val="22"/>
            </w:rPr>
          </w:sdtEndPr>
          <w:sdtContent>
            <w:tc>
              <w:tcPr>
                <w:tcW w:w="1660" w:type="dxa"/>
              </w:tcPr>
              <w:p w14:paraId="2D089835">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14:paraId="3DC3F887">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
            <w14:checkbox>
              <w14:checked w14:val="1"/>
              <w14:checkedState w14:val="2612" w14:font="MS Gothic"/>
              <w14:uncheckedState w14:val="2610" w14:font="MS Gothic"/>
            </w14:checkbox>
          </w:sdtPr>
          <w:sdtEndPr>
            <w:rPr>
              <w:rFonts w:cs="Arial"/>
              <w:sz w:val="22"/>
              <w:szCs w:val="22"/>
            </w:rPr>
          </w:sdtEndPr>
          <w:sdtContent>
            <w:tc>
              <w:tcPr>
                <w:tcW w:w="1662" w:type="dxa"/>
              </w:tcPr>
              <w:p w14:paraId="222233A1">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14:paraId="15236023">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14:paraId="092BDE7C">
                <w:pPr>
                  <w:jc w:val="center"/>
                  <w:rPr>
                    <w:rFonts w:cs="Arial"/>
                    <w:sz w:val="22"/>
                    <w:szCs w:val="22"/>
                  </w:rPr>
                </w:pPr>
                <w:r>
                  <w:rPr>
                    <w:rFonts w:ascii="MS Gothic" w:hAnsi="MS Gothic" w:eastAsia="MS Gothic" w:cs="Arial"/>
                    <w:sz w:val="22"/>
                    <w:szCs w:val="22"/>
                  </w:rPr>
                  <w:t>☐</w:t>
                </w:r>
              </w:p>
            </w:tc>
          </w:sdtContent>
        </w:sdt>
      </w:tr>
      <w:tr w14:paraId="002C3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shd w:val="clear" w:color="auto" w:fill="D8D8D8" w:themeFill="background1" w:themeFillShade="D9"/>
          </w:tcPr>
          <w:p w14:paraId="5015986A">
            <w:pPr>
              <w:jc w:val="center"/>
              <w:rPr>
                <w:rFonts w:cs="Arial"/>
                <w:sz w:val="22"/>
                <w:szCs w:val="22"/>
              </w:rPr>
            </w:pPr>
            <w:r>
              <w:rPr>
                <w:rFonts w:cs="Arial"/>
                <w:sz w:val="22"/>
                <w:szCs w:val="22"/>
              </w:rPr>
              <w:t>MA by Research</w:t>
            </w:r>
          </w:p>
        </w:tc>
        <w:tc>
          <w:tcPr>
            <w:tcW w:w="1660" w:type="dxa"/>
            <w:shd w:val="clear" w:color="auto" w:fill="D8D8D8" w:themeFill="background1" w:themeFillShade="D9"/>
          </w:tcPr>
          <w:p w14:paraId="6784FFE2">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14:paraId="74597816">
            <w:pPr>
              <w:jc w:val="center"/>
              <w:rPr>
                <w:rFonts w:cs="Arial"/>
                <w:sz w:val="22"/>
                <w:szCs w:val="22"/>
              </w:rPr>
            </w:pPr>
            <w:r>
              <w:rPr>
                <w:rFonts w:cs="Arial"/>
                <w:sz w:val="22"/>
                <w:szCs w:val="22"/>
              </w:rPr>
              <w:t>MRes</w:t>
            </w:r>
          </w:p>
        </w:tc>
        <w:tc>
          <w:tcPr>
            <w:tcW w:w="1662" w:type="dxa"/>
            <w:shd w:val="clear" w:color="auto" w:fill="D8D8D8" w:themeFill="background1" w:themeFillShade="D9"/>
          </w:tcPr>
          <w:p w14:paraId="2760CEEB">
            <w:pPr>
              <w:jc w:val="center"/>
              <w:rPr>
                <w:rFonts w:cs="Arial"/>
                <w:sz w:val="22"/>
                <w:szCs w:val="22"/>
              </w:rPr>
            </w:pPr>
          </w:p>
        </w:tc>
        <w:tc>
          <w:tcPr>
            <w:tcW w:w="1629" w:type="dxa"/>
            <w:shd w:val="clear" w:color="auto" w:fill="D8D8D8" w:themeFill="background1" w:themeFillShade="D9"/>
          </w:tcPr>
          <w:p w14:paraId="47EEC8A4">
            <w:pPr>
              <w:jc w:val="center"/>
              <w:rPr>
                <w:rFonts w:cs="Arial"/>
                <w:sz w:val="22"/>
                <w:szCs w:val="22"/>
              </w:rPr>
            </w:pPr>
          </w:p>
        </w:tc>
        <w:tc>
          <w:tcPr>
            <w:tcW w:w="1525" w:type="dxa"/>
            <w:shd w:val="clear" w:color="auto" w:fill="D8D8D8" w:themeFill="background1" w:themeFillShade="D9"/>
          </w:tcPr>
          <w:p w14:paraId="2E94090E">
            <w:pPr>
              <w:jc w:val="center"/>
              <w:rPr>
                <w:rFonts w:cs="Arial"/>
                <w:sz w:val="22"/>
                <w:szCs w:val="22"/>
              </w:rPr>
            </w:pPr>
          </w:p>
        </w:tc>
      </w:tr>
      <w:tr w14:paraId="6E7B3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3" w:type="dxa"/>
          </w:tcPr>
          <w:sdt>
            <w:sdtPr>
              <w:rPr>
                <w:rFonts w:cs="Arial"/>
                <w:sz w:val="22"/>
                <w:szCs w:val="22"/>
              </w:rPr>
              <w:id w:val="1366476584"/>
              <w14:checkbox>
                <w14:checked w14:val="0"/>
                <w14:checkedState w14:val="2612" w14:font="MS Gothic"/>
                <w14:uncheckedState w14:val="2610" w14:font="MS Gothic"/>
              </w14:checkbox>
            </w:sdtPr>
            <w:sdtEndPr>
              <w:rPr>
                <w:rFonts w:cs="Arial"/>
                <w:sz w:val="22"/>
                <w:szCs w:val="22"/>
              </w:rPr>
            </w:sdtEndPr>
            <w:sdtContent>
              <w:p w14:paraId="3A5C1CED">
                <w:pPr>
                  <w:jc w:val="center"/>
                  <w:rPr>
                    <w:rFonts w:cs="Arial"/>
                    <w:sz w:val="22"/>
                    <w:szCs w:val="22"/>
                  </w:rPr>
                </w:pPr>
                <w:r>
                  <w:rPr>
                    <w:rFonts w:ascii="MS Gothic" w:hAnsi="MS Gothic" w:eastAsia="MS Gothic" w:cs="Arial"/>
                    <w:sz w:val="22"/>
                    <w:szCs w:val="22"/>
                  </w:rPr>
                  <w:t>☐</w:t>
                </w:r>
              </w:p>
            </w:sdtContent>
          </w:sdt>
          <w:p w14:paraId="7ACE8D3B">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14:paraId="610D168E">
                <w:pPr>
                  <w:jc w:val="center"/>
                  <w:rPr>
                    <w:rFonts w:cs="Arial"/>
                    <w:sz w:val="22"/>
                    <w:szCs w:val="22"/>
                  </w:rPr>
                </w:pPr>
                <w:r>
                  <w:rPr>
                    <w:rFonts w:ascii="MS Gothic" w:hAnsi="MS Gothic" w:eastAsia="MS Gothic" w:cs="Arial"/>
                    <w:sz w:val="22"/>
                    <w:szCs w:val="22"/>
                  </w:rPr>
                  <w:t>☐</w:t>
                </w:r>
              </w:p>
            </w:sdtContent>
          </w:sdt>
          <w:p w14:paraId="4E2724AB">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14:paraId="4EB6A137">
                <w:pPr>
                  <w:jc w:val="center"/>
                  <w:rPr>
                    <w:rFonts w:cs="Arial"/>
                    <w:sz w:val="22"/>
                    <w:szCs w:val="22"/>
                  </w:rPr>
                </w:pPr>
                <w:r>
                  <w:rPr>
                    <w:rFonts w:ascii="MS Gothic" w:hAnsi="MS Gothic" w:eastAsia="MS Gothic" w:cs="Arial"/>
                    <w:sz w:val="22"/>
                    <w:szCs w:val="22"/>
                  </w:rPr>
                  <w:t>☐</w:t>
                </w:r>
              </w:p>
            </w:sdtContent>
          </w:sdt>
          <w:p w14:paraId="4F53A6CD">
            <w:pPr>
              <w:jc w:val="center"/>
              <w:rPr>
                <w:rFonts w:cs="Arial"/>
                <w:sz w:val="22"/>
                <w:szCs w:val="22"/>
              </w:rPr>
            </w:pPr>
          </w:p>
        </w:tc>
        <w:tc>
          <w:tcPr>
            <w:tcW w:w="1662" w:type="dxa"/>
          </w:tcPr>
          <w:p w14:paraId="5732EEEC">
            <w:pPr>
              <w:jc w:val="center"/>
              <w:rPr>
                <w:rFonts w:cs="Arial"/>
                <w:sz w:val="22"/>
                <w:szCs w:val="22"/>
              </w:rPr>
            </w:pPr>
          </w:p>
        </w:tc>
        <w:tc>
          <w:tcPr>
            <w:tcW w:w="1629" w:type="dxa"/>
          </w:tcPr>
          <w:p w14:paraId="5804B584">
            <w:pPr>
              <w:jc w:val="center"/>
              <w:rPr>
                <w:rFonts w:cs="Arial"/>
                <w:sz w:val="22"/>
                <w:szCs w:val="22"/>
              </w:rPr>
            </w:pPr>
          </w:p>
        </w:tc>
        <w:tc>
          <w:tcPr>
            <w:tcW w:w="1525" w:type="dxa"/>
          </w:tcPr>
          <w:p w14:paraId="47B4645E">
            <w:pPr>
              <w:jc w:val="center"/>
              <w:rPr>
                <w:rFonts w:cs="Arial"/>
                <w:sz w:val="22"/>
                <w:szCs w:val="22"/>
              </w:rPr>
            </w:pPr>
          </w:p>
        </w:tc>
      </w:tr>
    </w:tbl>
    <w:p w14:paraId="607555D2">
      <w:pPr>
        <w:rPr>
          <w:rFonts w:cs="Arial"/>
          <w:sz w:val="22"/>
          <w:szCs w:val="22"/>
        </w:rPr>
      </w:pPr>
    </w:p>
    <w:p w14:paraId="728300C9">
      <w:pPr>
        <w:ind w:left="-142"/>
        <w:rPr>
          <w:rFonts w:cs="Arial"/>
          <w:b/>
          <w:bCs/>
          <w:sz w:val="22"/>
          <w:szCs w:val="22"/>
        </w:rPr>
      </w:pPr>
    </w:p>
    <w:p w14:paraId="106A4E2E">
      <w:pPr>
        <w:ind w:left="-142"/>
        <w:rPr>
          <w:rFonts w:cs="Arial"/>
          <w:bCs/>
          <w:sz w:val="22"/>
          <w:szCs w:val="22"/>
        </w:rPr>
      </w:pPr>
      <w:r>
        <w:rPr>
          <w:rFonts w:cs="Arial"/>
          <w:b/>
          <w:bCs/>
          <w:sz w:val="22"/>
          <w:szCs w:val="22"/>
        </w:rPr>
        <w:t>Proposed Research</w:t>
      </w:r>
    </w:p>
    <w:p w14:paraId="5945FBF9">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14:paraId="5E14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14:paraId="6CE06150">
            <w:pPr>
              <w:rPr>
                <w:rFonts w:cs="Arial"/>
                <w:sz w:val="22"/>
                <w:szCs w:val="22"/>
              </w:rPr>
            </w:pPr>
            <w:r>
              <w:rPr>
                <w:rFonts w:cs="Arial"/>
                <w:sz w:val="22"/>
                <w:szCs w:val="22"/>
              </w:rPr>
              <w:t>Current Proposed Title (20 / 30 words):</w:t>
            </w:r>
          </w:p>
        </w:tc>
      </w:tr>
      <w:tr w14:paraId="382A9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14:paraId="3EF945E9">
            <w:pPr>
              <w:rPr>
                <w:rFonts w:hint="eastAsia" w:cs="Arial"/>
                <w:color w:val="auto"/>
                <w:sz w:val="22"/>
                <w:szCs w:val="22"/>
              </w:rPr>
            </w:pPr>
          </w:p>
          <w:p w14:paraId="285AC8EB">
            <w:pPr>
              <w:rPr>
                <w:rFonts w:hint="eastAsia" w:cs="Arial"/>
                <w:color w:val="auto"/>
                <w:sz w:val="22"/>
                <w:szCs w:val="22"/>
              </w:rPr>
            </w:pPr>
            <w:r>
              <w:rPr>
                <w:rFonts w:hint="eastAsia" w:cs="Arial"/>
                <w:color w:val="auto"/>
                <w:sz w:val="22"/>
                <w:szCs w:val="22"/>
              </w:rPr>
              <w:t xml:space="preserve">Reconstructing the Myths of the Chinese Serpent Totem: A Practice-Based </w:t>
            </w:r>
            <w:r>
              <w:rPr>
                <w:rFonts w:hint="eastAsia" w:eastAsia="SimSun" w:cs="Arial"/>
                <w:color w:val="auto"/>
                <w:sz w:val="22"/>
                <w:szCs w:val="22"/>
                <w:lang w:val="en-US" w:eastAsia="zh-CN"/>
              </w:rPr>
              <w:t>Research</w:t>
            </w:r>
            <w:r>
              <w:rPr>
                <w:rFonts w:hint="eastAsia" w:cs="Arial"/>
                <w:color w:val="auto"/>
                <w:sz w:val="22"/>
                <w:szCs w:val="22"/>
              </w:rPr>
              <w:t xml:space="preserve"> </w:t>
            </w:r>
            <w:r>
              <w:rPr>
                <w:rFonts w:hint="eastAsia" w:eastAsia="SimSun" w:cs="Arial"/>
                <w:color w:val="auto"/>
                <w:sz w:val="22"/>
                <w:szCs w:val="22"/>
                <w:lang w:val="en-US" w:eastAsia="zh-CN"/>
              </w:rPr>
              <w:t xml:space="preserve">on </w:t>
            </w:r>
            <w:r>
              <w:rPr>
                <w:rFonts w:hint="eastAsia" w:cs="Arial"/>
                <w:color w:val="auto"/>
                <w:sz w:val="22"/>
                <w:szCs w:val="22"/>
              </w:rPr>
              <w:t>Illustration in Cultural Communication among</w:t>
            </w:r>
            <w:r>
              <w:rPr>
                <w:rFonts w:hint="eastAsia" w:eastAsia="SimSun" w:cs="Arial"/>
                <w:color w:val="auto"/>
                <w:sz w:val="22"/>
                <w:szCs w:val="22"/>
                <w:lang w:val="en-US" w:eastAsia="zh-CN"/>
              </w:rPr>
              <w:t xml:space="preserve"> </w:t>
            </w:r>
            <w:r>
              <w:rPr>
                <w:rFonts w:hint="eastAsia" w:cs="Arial"/>
                <w:color w:val="auto"/>
                <w:sz w:val="22"/>
                <w:szCs w:val="22"/>
              </w:rPr>
              <w:t>Generation Z</w:t>
            </w:r>
          </w:p>
          <w:p w14:paraId="19EE74B0">
            <w:pPr>
              <w:rPr>
                <w:rFonts w:hint="eastAsia" w:cs="Arial"/>
                <w:color w:val="auto"/>
                <w:sz w:val="22"/>
                <w:szCs w:val="22"/>
              </w:rPr>
            </w:pPr>
          </w:p>
        </w:tc>
      </w:tr>
      <w:tr w14:paraId="02DEF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14:paraId="6A6E17FC">
            <w:pPr>
              <w:rPr>
                <w:rFonts w:cs="Arial"/>
                <w:sz w:val="22"/>
                <w:szCs w:val="22"/>
              </w:rPr>
            </w:pPr>
            <w:r>
              <w:rPr>
                <w:rFonts w:cs="Arial"/>
                <w:sz w:val="22"/>
                <w:szCs w:val="22"/>
              </w:rPr>
              <w:t xml:space="preserve"> </w:t>
            </w:r>
          </w:p>
          <w:p w14:paraId="1C9B2173">
            <w:pPr>
              <w:rPr>
                <w:rFonts w:cs="Arial"/>
                <w:sz w:val="22"/>
                <w:szCs w:val="22"/>
              </w:rPr>
            </w:pPr>
            <w:r>
              <w:rPr>
                <w:rFonts w:cs="Arial"/>
                <w:sz w:val="22"/>
                <w:szCs w:val="22"/>
              </w:rPr>
              <w:t>Background &amp; Context (approx. 500 words)</w:t>
            </w:r>
          </w:p>
          <w:p w14:paraId="065EF8C5">
            <w:pPr>
              <w:rPr>
                <w:rFonts w:cs="Arial"/>
                <w:sz w:val="22"/>
                <w:szCs w:val="22"/>
              </w:rPr>
            </w:pPr>
          </w:p>
        </w:tc>
      </w:tr>
      <w:tr w14:paraId="0834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9781" w:type="dxa"/>
            <w:vAlign w:val="center"/>
          </w:tcPr>
          <w:p w14:paraId="613D5ACF">
            <w:pPr>
              <w:rPr>
                <w:rFonts w:cs="Arial"/>
                <w:color w:val="auto"/>
                <w:sz w:val="22"/>
                <w:szCs w:val="22"/>
              </w:rPr>
            </w:pPr>
          </w:p>
          <w:p w14:paraId="64361CA6">
            <w:pPr>
              <w:rPr>
                <w:rFonts w:cs="Arial"/>
                <w:color w:val="auto"/>
                <w:sz w:val="22"/>
                <w:szCs w:val="22"/>
              </w:rPr>
            </w:pPr>
            <w:r>
              <w:rPr>
                <w:rFonts w:cs="Arial"/>
                <w:color w:val="auto"/>
                <w:sz w:val="22"/>
                <w:szCs w:val="22"/>
              </w:rPr>
              <w:t>In this section you will need to:</w:t>
            </w:r>
          </w:p>
          <w:p w14:paraId="0AF5F2BC">
            <w:pPr>
              <w:pStyle w:val="26"/>
              <w:numPr>
                <w:ilvl w:val="0"/>
                <w:numId w:val="1"/>
              </w:numPr>
              <w:autoSpaceDE w:val="0"/>
              <w:autoSpaceDN w:val="0"/>
              <w:adjustRightInd w:val="0"/>
              <w:contextualSpacing/>
              <w:rPr>
                <w:rFonts w:cs="Arial"/>
                <w:color w:val="auto"/>
                <w:sz w:val="22"/>
                <w:szCs w:val="22"/>
              </w:rPr>
            </w:pPr>
            <w:r>
              <w:rPr>
                <w:rFonts w:cs="Arial"/>
                <w:color w:val="auto"/>
                <w:sz w:val="22"/>
                <w:szCs w:val="22"/>
              </w:rPr>
              <w:t>Place the research topic in its historical, cultural and social context.</w:t>
            </w:r>
          </w:p>
          <w:p w14:paraId="186DD564">
            <w:pPr>
              <w:pStyle w:val="26"/>
              <w:numPr>
                <w:ilvl w:val="0"/>
                <w:numId w:val="1"/>
              </w:numPr>
              <w:autoSpaceDE w:val="0"/>
              <w:autoSpaceDN w:val="0"/>
              <w:adjustRightInd w:val="0"/>
              <w:contextualSpacing/>
              <w:rPr>
                <w:rFonts w:cs="Arial"/>
                <w:color w:val="auto"/>
                <w:sz w:val="22"/>
                <w:szCs w:val="22"/>
              </w:rPr>
            </w:pPr>
            <w:r>
              <w:rPr>
                <w:rFonts w:cs="Arial"/>
                <w:color w:val="auto"/>
                <w:sz w:val="22"/>
                <w:szCs w:val="22"/>
              </w:rPr>
              <w:t>Explain why the research is significant and important.</w:t>
            </w:r>
          </w:p>
          <w:p w14:paraId="754F5BF3">
            <w:pPr>
              <w:pStyle w:val="26"/>
              <w:numPr>
                <w:ilvl w:val="0"/>
                <w:numId w:val="1"/>
              </w:numPr>
              <w:autoSpaceDE w:val="0"/>
              <w:autoSpaceDN w:val="0"/>
              <w:adjustRightInd w:val="0"/>
              <w:contextualSpacing/>
              <w:rPr>
                <w:rFonts w:cs="Arial"/>
                <w:color w:val="auto"/>
                <w:sz w:val="22"/>
                <w:szCs w:val="22"/>
              </w:rPr>
            </w:pPr>
            <w:r>
              <w:rPr>
                <w:rFonts w:cs="Arial"/>
                <w:color w:val="auto"/>
                <w:sz w:val="22"/>
                <w:szCs w:val="22"/>
              </w:rPr>
              <w:t>Place the research in the current academic context.</w:t>
            </w:r>
          </w:p>
          <w:p w14:paraId="78295A4F">
            <w:pPr>
              <w:pStyle w:val="26"/>
              <w:numPr>
                <w:ilvl w:val="0"/>
                <w:numId w:val="0"/>
              </w:numPr>
              <w:autoSpaceDE w:val="0"/>
              <w:autoSpaceDN w:val="0"/>
              <w:adjustRightInd w:val="0"/>
              <w:ind w:left="1080" w:leftChars="0"/>
              <w:contextualSpacing/>
              <w:rPr>
                <w:rFonts w:cs="Arial"/>
                <w:color w:val="C00000"/>
                <w:sz w:val="22"/>
                <w:szCs w:val="22"/>
                <w:lang w:eastAsia="zh-CN"/>
              </w:rPr>
            </w:pPr>
          </w:p>
          <w:p w14:paraId="4FEC598D">
            <w:pPr>
              <w:pStyle w:val="26"/>
              <w:numPr>
                <w:ilvl w:val="0"/>
                <w:numId w:val="0"/>
              </w:numPr>
              <w:autoSpaceDE w:val="0"/>
              <w:autoSpaceDN w:val="0"/>
              <w:adjustRightInd w:val="0"/>
              <w:contextualSpacing/>
              <w:rPr>
                <w:rFonts w:hint="default" w:ascii="Arial Regular" w:hAnsi="Arial Regular" w:eastAsia="Microsoft YaHei" w:cs="Arial Regular"/>
                <w:color w:val="auto"/>
                <w:sz w:val="22"/>
                <w:szCs w:val="22"/>
                <w:lang w:eastAsia="zh-CN"/>
              </w:rPr>
            </w:pPr>
            <w:r>
              <w:rPr>
                <w:rFonts w:hint="default" w:ascii="Arial Regular" w:hAnsi="Arial Regular" w:eastAsia="Microsoft YaHei" w:cs="Arial Regular"/>
                <w:color w:val="auto"/>
                <w:sz w:val="22"/>
                <w:szCs w:val="22"/>
                <w:lang w:eastAsia="zh-CN"/>
              </w:rPr>
              <w:t>The core question of this research is: How can the myths of the Chinese serpent totem be visually reconstructed through illustration</w:t>
            </w:r>
            <w:r>
              <w:rPr>
                <w:rFonts w:hint="eastAsia" w:ascii="Arial Regular" w:hAnsi="Arial Regular" w:eastAsia="Microsoft YaHei" w:cs="Arial Regular"/>
                <w:color w:val="auto"/>
                <w:sz w:val="22"/>
                <w:szCs w:val="22"/>
                <w:lang w:val="en-US" w:eastAsia="zh-CN"/>
              </w:rPr>
              <w:t xml:space="preserve"> </w:t>
            </w:r>
            <w:r>
              <w:rPr>
                <w:rFonts w:hint="default" w:ascii="Arial Regular" w:hAnsi="Arial Regular" w:eastAsia="Microsoft YaHei" w:cs="Arial Regular"/>
                <w:color w:val="auto"/>
                <w:sz w:val="22"/>
                <w:szCs w:val="22"/>
                <w:lang w:eastAsia="zh-CN"/>
              </w:rPr>
              <w:t xml:space="preserve">to facilitate </w:t>
            </w:r>
            <w:r>
              <w:rPr>
                <w:rFonts w:hint="eastAsia" w:ascii="Arial Regular" w:hAnsi="Arial Regular" w:eastAsia="Microsoft YaHei" w:cs="Arial Regular"/>
                <w:color w:val="auto"/>
                <w:sz w:val="22"/>
                <w:szCs w:val="22"/>
                <w:lang w:val="en-US" w:eastAsia="zh-CN"/>
              </w:rPr>
              <w:t>their</w:t>
            </w:r>
            <w:r>
              <w:rPr>
                <w:rFonts w:hint="default" w:ascii="Arial Regular" w:hAnsi="Arial Regular" w:eastAsia="Microsoft YaHei" w:cs="Arial Regular"/>
                <w:color w:val="auto"/>
                <w:sz w:val="22"/>
                <w:szCs w:val="22"/>
                <w:lang w:eastAsia="zh-CN"/>
              </w:rPr>
              <w:t xml:space="preserve"> cultural dissemination and understanding among Generation Z?</w:t>
            </w:r>
          </w:p>
          <w:p w14:paraId="4CCBACF0">
            <w:pPr>
              <w:pStyle w:val="26"/>
              <w:numPr>
                <w:ilvl w:val="0"/>
                <w:numId w:val="0"/>
              </w:numPr>
              <w:autoSpaceDE w:val="0"/>
              <w:autoSpaceDN w:val="0"/>
              <w:adjustRightInd w:val="0"/>
              <w:contextualSpacing/>
              <w:rPr>
                <w:rFonts w:hint="default" w:ascii="Arial Regular" w:hAnsi="Arial Regular" w:eastAsia="Microsoft YaHei" w:cs="Arial Regular"/>
                <w:color w:val="4F81BD" w:themeColor="accent1"/>
                <w:sz w:val="22"/>
                <w:szCs w:val="22"/>
                <w:lang w:eastAsia="zh-CN"/>
                <w14:textFill>
                  <w14:solidFill>
                    <w14:schemeClr w14:val="accent1"/>
                  </w14:solidFill>
                </w14:textFill>
              </w:rPr>
            </w:pPr>
          </w:p>
          <w:p w14:paraId="04E1F3A8">
            <w:pPr>
              <w:pStyle w:val="26"/>
              <w:numPr>
                <w:ilvl w:val="0"/>
                <w:numId w:val="0"/>
              </w:numPr>
              <w:autoSpaceDE w:val="0"/>
              <w:autoSpaceDN w:val="0"/>
              <w:adjustRightInd w:val="0"/>
              <w:contextualSpacing/>
              <w:jc w:val="both"/>
              <w:rPr>
                <w:rFonts w:hint="default" w:ascii="Arial Regular" w:hAnsi="Arial Regular" w:eastAsia="微软雅黑" w:cs="Arial Regular"/>
                <w:color w:val="auto"/>
                <w:sz w:val="22"/>
                <w:szCs w:val="22"/>
                <w:lang w:val="en-US" w:eastAsia="zh-CN"/>
              </w:rPr>
            </w:pPr>
            <w:r>
              <w:rPr>
                <w:rFonts w:hint="default" w:ascii="Arial Regular" w:hAnsi="Arial Regular" w:eastAsia="微软雅黑" w:cs="Arial Regular"/>
                <w:sz w:val="22"/>
                <w:szCs w:val="22"/>
                <w:lang w:val="en-US" w:eastAsia="zh-CN"/>
              </w:rPr>
              <w:t xml:space="preserve">Chinese mythology is an important cultural resource of Chinese civilization, which throughout history has not only shaped national identity but also provided literature, art and folklore with a rich symbolic system. Within Chinese mythology, serpent totem mythology holds a unique and enduring position. For example, </w:t>
            </w:r>
            <w:r>
              <w:rPr>
                <w:rFonts w:hint="default" w:ascii="Arial Regular" w:hAnsi="Arial Regular" w:eastAsia="微软雅黑" w:cs="Arial Regular"/>
                <w:i/>
                <w:iCs/>
                <w:sz w:val="22"/>
                <w:szCs w:val="22"/>
                <w:lang w:val="en-US" w:eastAsia="zh-CN"/>
              </w:rPr>
              <w:t>The Classic of Mountains and Seas</w:t>
            </w:r>
            <w:r>
              <w:rPr>
                <w:rFonts w:hint="default" w:ascii="Arial Regular" w:hAnsi="Arial Regular" w:eastAsia="微软雅黑" w:cs="Arial Regular"/>
                <w:sz w:val="22"/>
                <w:szCs w:val="22"/>
                <w:lang w:val="en-US" w:eastAsia="zh-CN"/>
              </w:rPr>
              <w:t xml:space="preserve">, one of the earliest mythological texts, constructs ancient cosmological and natural worldviews through diverse narratives of mythical creatures and totems, in which serpent images appear frequently, reflecting early human imaginations of nature and the origins of life (Yi, 2015). The human-headed, serpent-bodied image of Nüwa and Fuxi has become one of the most representative figures in Chinese mythology, embodying cultural meanings of creation, order and the relationship between humans and deities (Allan, 1991). Likewise, </w:t>
            </w:r>
            <w:r>
              <w:rPr>
                <w:rFonts w:hint="default" w:ascii="Arial Regular" w:hAnsi="Arial Regular" w:eastAsia="微软雅黑" w:cs="Arial Regular"/>
                <w:i/>
                <w:iCs/>
                <w:sz w:val="22"/>
                <w:szCs w:val="22"/>
                <w:lang w:val="en-US" w:eastAsia="zh-CN"/>
              </w:rPr>
              <w:t>The Legend of the White Snake</w:t>
            </w:r>
            <w:r>
              <w:rPr>
                <w:rFonts w:hint="default" w:ascii="Arial Regular" w:hAnsi="Arial Regular" w:eastAsia="微软雅黑" w:cs="Arial Regular"/>
                <w:sz w:val="22"/>
                <w:szCs w:val="22"/>
                <w:lang w:val="en-US" w:eastAsia="zh-CN"/>
              </w:rPr>
              <w:t xml:space="preserve"> has been continually rewritten and reinterpreted across history, from ancient tales to contemporary film and animation, presenting complex themes of love, morality and social norms (Chen, 2024). In addition, serpent motifs on bronzeware testify to the importance of totemic symbols in ancient material culture and ritual systems, demonstrating the enduring impact of serpent imagery in early Chinese art and cultural memory (Allan, 2007). </w:t>
            </w:r>
            <w:r>
              <w:rPr>
                <w:rFonts w:hint="default" w:ascii="Arial Regular" w:hAnsi="Arial Regular" w:eastAsia="微软雅黑" w:cs="Arial Regular"/>
                <w:color w:val="auto"/>
                <w:sz w:val="22"/>
                <w:szCs w:val="22"/>
                <w:lang w:val="en-US" w:eastAsia="zh-CN"/>
              </w:rPr>
              <w:t>Looking across these narrative and visual traditions of the Chinese serpent totem, the serpent totem is not only one of the most central and representative images in the Chinese mythological system, forming a deep cultural memory structure of Chinese civilization, but also, in contemporary contexts, has become an important resource for cultural inheritance and transmission, providing a unique symbolic foundation for the reinterpretation of traditional mythology and for cultural exchange in the context of globalization (Hong, 20</w:t>
            </w:r>
            <w:r>
              <w:rPr>
                <w:rFonts w:hint="eastAsia" w:ascii="Arial Regular" w:hAnsi="Arial Regular" w:eastAsia="微软雅黑" w:cs="Arial Regular"/>
                <w:color w:val="auto"/>
                <w:sz w:val="22"/>
                <w:szCs w:val="22"/>
                <w:lang w:val="en-US" w:eastAsia="zh-CN"/>
              </w:rPr>
              <w:t>22</w:t>
            </w:r>
            <w:r>
              <w:rPr>
                <w:rFonts w:hint="default" w:ascii="Arial Regular" w:hAnsi="Arial Regular" w:eastAsia="微软雅黑" w:cs="Arial Regular"/>
                <w:color w:val="auto"/>
                <w:sz w:val="22"/>
                <w:szCs w:val="22"/>
                <w:lang w:val="en-US" w:eastAsia="zh-CN"/>
              </w:rPr>
              <w:t>; Luo, 2021).</w:t>
            </w:r>
          </w:p>
          <w:p w14:paraId="454666DF">
            <w:pPr>
              <w:pStyle w:val="26"/>
              <w:numPr>
                <w:ilvl w:val="0"/>
                <w:numId w:val="0"/>
              </w:numPr>
              <w:autoSpaceDE w:val="0"/>
              <w:autoSpaceDN w:val="0"/>
              <w:adjustRightInd w:val="0"/>
              <w:contextualSpacing/>
              <w:rPr>
                <w:rFonts w:hint="default" w:ascii="Arial Regular" w:hAnsi="Arial Regular" w:eastAsia="微软雅黑" w:cs="Arial Regular"/>
                <w:sz w:val="22"/>
                <w:szCs w:val="22"/>
                <w:lang w:val="en-US" w:eastAsia="zh-CN"/>
              </w:rPr>
            </w:pPr>
          </w:p>
          <w:p w14:paraId="340132FC">
            <w:pPr>
              <w:pStyle w:val="26"/>
              <w:numPr>
                <w:ilvl w:val="0"/>
                <w:numId w:val="0"/>
              </w:numPr>
              <w:autoSpaceDE w:val="0"/>
              <w:autoSpaceDN w:val="0"/>
              <w:adjustRightInd w:val="0"/>
              <w:contextualSpacing/>
              <w:jc w:val="both"/>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Although Chinese serpent totem mythology holds significant importance, it still faces challenges in its dissemination and understanding in contemporary society. Chinese Generation Z (born between 1995 and 2010), as digital natives, have grown up in an era dominated by the Internet and new media. They are more familiar with global popular culture, while their systematic knowledge of and interest in indigenous mythology has gradually weakened (Hu, 2022; Chang, 2023; Zhang, 2025; Yin, 2024). Existing research indicates that Chinese youth are increasingly influenced by global entertainment symbols with regard to cultural identity, while the role of traditional mythology in everyday cultural consumption has been increasingly marginalized (Shuxin, 2023). In addition, the dissemination of traditional mythology still relies mainly on texts and classic film and television, lacking forms of expression that fit the aesthetics and media habits of young audiences, resulting in communication barriers between cultural resources and their recipients (Jenkins, 2006; Song et al., 2023</w:t>
            </w:r>
            <w:bookmarkStart w:id="0" w:name="_GoBack"/>
            <w:bookmarkEnd w:id="0"/>
            <w:r>
              <w:rPr>
                <w:rFonts w:hint="default" w:ascii="Arial Regular" w:hAnsi="Arial Regular" w:eastAsia="微软雅黑" w:cs="Arial Regular"/>
                <w:sz w:val="22"/>
                <w:szCs w:val="22"/>
                <w:lang w:val="en-US" w:eastAsia="zh-CN"/>
              </w:rPr>
              <w:t>). Traditional mythology needs to be inherited and revitalized through innovative artistic and technological approaches, in order to strengthen cultural identity and bridge the understanding gap with Generation Z (Manovich, 2</w:t>
            </w:r>
            <w:r>
              <w:rPr>
                <w:rFonts w:hint="eastAsia" w:ascii="Arial Regular" w:hAnsi="Arial Regular" w:eastAsia="微软雅黑" w:cs="Arial Regular"/>
                <w:sz w:val="22"/>
                <w:szCs w:val="22"/>
                <w:lang w:val="en-US" w:eastAsia="zh-CN"/>
              </w:rPr>
              <w:t>002</w:t>
            </w:r>
            <w:r>
              <w:rPr>
                <w:rFonts w:hint="default" w:ascii="Arial Regular" w:hAnsi="Arial Regular" w:eastAsia="微软雅黑" w:cs="Arial Regular"/>
                <w:sz w:val="22"/>
                <w:szCs w:val="22"/>
                <w:lang w:val="en-US" w:eastAsia="zh-CN"/>
              </w:rPr>
              <w:t>; Yu, 2024). Such challenges not only reveal the risks faced by traditional culture in the digital context, but also provide opportunities to explore cultural translation and communication pathways that align with the aesthetics and media habits of younger generations.</w:t>
            </w:r>
          </w:p>
          <w:p w14:paraId="5D947447">
            <w:pPr>
              <w:pStyle w:val="26"/>
              <w:numPr>
                <w:ilvl w:val="0"/>
                <w:numId w:val="0"/>
              </w:numPr>
              <w:autoSpaceDE w:val="0"/>
              <w:autoSpaceDN w:val="0"/>
              <w:adjustRightInd w:val="0"/>
              <w:contextualSpacing/>
              <w:rPr>
                <w:rFonts w:hint="default" w:ascii="Arial Regular" w:hAnsi="Arial Regular" w:eastAsia="微软雅黑" w:cs="Arial Regular"/>
                <w:color w:val="auto"/>
                <w:sz w:val="22"/>
                <w:szCs w:val="22"/>
                <w:lang w:eastAsia="zh-CN"/>
              </w:rPr>
            </w:pPr>
            <w:r>
              <w:rPr>
                <w:rFonts w:hint="default" w:ascii="Arial Regular" w:hAnsi="Arial Regular" w:eastAsia="微软雅黑" w:cs="Arial Regular"/>
                <w:sz w:val="22"/>
                <w:szCs w:val="22"/>
                <w:lang w:val="en-US" w:eastAsia="zh-CN"/>
              </w:rPr>
              <w:t>﻿</w:t>
            </w:r>
          </w:p>
          <w:p w14:paraId="221B0203">
            <w:pPr>
              <w:pStyle w:val="26"/>
              <w:numPr>
                <w:ilvl w:val="0"/>
                <w:numId w:val="0"/>
              </w:numPr>
              <w:autoSpaceDE w:val="0"/>
              <w:autoSpaceDN w:val="0"/>
              <w:adjustRightInd w:val="0"/>
              <w:contextualSpacing/>
              <w:jc w:val="both"/>
              <w:rPr>
                <w:rFonts w:hint="default" w:ascii="Arial Regular" w:hAnsi="Arial Regular" w:eastAsia="微软雅黑" w:cs="Arial Regular"/>
                <w:sz w:val="22"/>
                <w:szCs w:val="22"/>
                <w:lang w:eastAsia="zh-CN"/>
              </w:rPr>
            </w:pPr>
            <w:r>
              <w:rPr>
                <w:rFonts w:hint="default" w:ascii="Arial Regular" w:hAnsi="Arial Regular" w:eastAsia="微软雅黑" w:cs="Arial Regular"/>
                <w:sz w:val="22"/>
                <w:szCs w:val="22"/>
                <w:lang w:eastAsia="zh-CN"/>
              </w:rPr>
              <w:t>The growth of new media has created new opportunities for revitalising traditional mythology in contemporary society. Illustration, as a form of visual storytelling, enables complex mythological narratives to be transformed into accessible and emotionally engaging images through the condensation of symbols and processes of cross-textual interpretation. Such visual transformation can enhance young audiences’ interest and understanding (Male, 2019; Kress and van Leeuwen, 2020).</w:t>
            </w:r>
            <w:r>
              <w:rPr>
                <w:rFonts w:hint="default" w:ascii="Arial Regular" w:hAnsi="Arial Regular" w:eastAsia="微软雅黑" w:cs="Arial Regular"/>
                <w:sz w:val="22"/>
                <w:szCs w:val="22"/>
                <w:lang w:val="en-US" w:eastAsia="zh-CN"/>
              </w:rPr>
              <w:t xml:space="preserve"> </w:t>
            </w:r>
            <w:r>
              <w:rPr>
                <w:rFonts w:hint="default" w:ascii="Arial Regular" w:hAnsi="Arial Regular" w:eastAsia="微软雅黑" w:cs="Arial Regular"/>
                <w:sz w:val="22"/>
                <w:szCs w:val="22"/>
                <w:lang w:eastAsia="zh-CN"/>
              </w:rPr>
              <w:t>When illustration is combined with new media, its expressive boundaries are further extended. Digital approaches such as dynamic illustration, short animation and augmented reality (AR) not only provide traditional mythology with new visual expressiveness but also create immersive cultural experiences, enabling audiences to reconstruct the meanings of myths through interaction. Scholars have noted that the interactivity and narrative potential of digital media can significantly enhance audience engagement and cultural understanding (Manovich, 2002; Murray, 2017). Therefore, new media is not only a challenge to cultural inheritance but also an innovative opportunity for the dissemination of traditional culture.</w:t>
            </w:r>
          </w:p>
          <w:p w14:paraId="0E84ED97">
            <w:pPr>
              <w:pStyle w:val="26"/>
              <w:numPr>
                <w:ilvl w:val="0"/>
                <w:numId w:val="0"/>
              </w:numPr>
              <w:autoSpaceDE w:val="0"/>
              <w:autoSpaceDN w:val="0"/>
              <w:adjustRightInd w:val="0"/>
              <w:contextualSpacing/>
              <w:rPr>
                <w:rFonts w:hint="default" w:ascii="Arial Regular" w:hAnsi="Arial Regular" w:eastAsia="微软雅黑" w:cs="Arial Regular"/>
                <w:color w:val="auto"/>
                <w:sz w:val="22"/>
                <w:szCs w:val="22"/>
                <w:lang w:eastAsia="zh-CN"/>
              </w:rPr>
            </w:pPr>
          </w:p>
          <w:p w14:paraId="02356A82">
            <w:pPr>
              <w:pStyle w:val="26"/>
              <w:numPr>
                <w:ilvl w:val="0"/>
                <w:numId w:val="0"/>
              </w:numPr>
              <w:autoSpaceDE w:val="0"/>
              <w:autoSpaceDN w:val="0"/>
              <w:adjustRightInd w:val="0"/>
              <w:contextualSpacing/>
              <w:jc w:val="both"/>
              <w:rPr>
                <w:rFonts w:hint="default" w:ascii="Arial Regular" w:hAnsi="Arial Regular" w:eastAsia="微软雅黑" w:cs="Arial Regular"/>
                <w:color w:val="auto"/>
                <w:sz w:val="22"/>
                <w:szCs w:val="22"/>
                <w:lang w:eastAsia="zh-CN"/>
              </w:rPr>
            </w:pPr>
            <w:r>
              <w:rPr>
                <w:rFonts w:hint="default" w:ascii="Arial Regular" w:hAnsi="Arial Regular" w:eastAsia="微软雅黑" w:cs="Arial Regular"/>
                <w:color w:val="auto"/>
                <w:sz w:val="22"/>
                <w:szCs w:val="22"/>
                <w:lang w:eastAsia="zh-CN"/>
              </w:rPr>
              <w:t>Existing academic research has mainly focused on three areas. First, studies in mythology and semiotics provide a solid theoretical foundation for understanding the structure and meaning of myths (Eliade, 2025; Barthes, 1972; Lotman, 1990).</w:t>
            </w:r>
            <w:r>
              <w:rPr>
                <w:rFonts w:hint="default" w:ascii="Arial Regular" w:hAnsi="Arial Regular" w:eastAsia="微软雅黑" w:cs="Arial Regular"/>
                <w:color w:val="auto"/>
                <w:sz w:val="22"/>
                <w:szCs w:val="22"/>
                <w:lang w:val="en-US" w:eastAsia="zh-CN"/>
              </w:rPr>
              <w:t xml:space="preserve"> Second, research on visual communication and illustration highlights the importance of illustration as a medium of cultural narrative and dissemination (Male, 2019; Huang et al., 2023). Third, research on new media and digital storytelling explores how technology is reshaping the pathways of cultural communication (Manovich, 2002; Jenkins, 2006). </w:t>
            </w:r>
            <w:r>
              <w:rPr>
                <w:rFonts w:hint="default" w:ascii="Arial Regular" w:hAnsi="Arial Regular" w:eastAsia="微软雅黑" w:cs="Arial Regular"/>
                <w:color w:val="auto"/>
                <w:sz w:val="22"/>
                <w:szCs w:val="22"/>
                <w:lang w:eastAsia="zh-CN"/>
              </w:rPr>
              <w:t>However, there is still a lack of systematic research that takes “serpent totem mythology” as a point of departure, integrating illustration with new media approaches and focusing specifically on Chinese Generation Z. This research seeks to address this gap through practice-based illustration creation and analysis, examining the reinterpretation and communicative value of Chinese mythology in the digital age, and thereby contributing to academic discussions on the revitalisation of traditional culture.</w:t>
            </w:r>
          </w:p>
          <w:p w14:paraId="32EBB1B2">
            <w:pPr>
              <w:pStyle w:val="26"/>
              <w:numPr>
                <w:ilvl w:val="0"/>
                <w:numId w:val="0"/>
              </w:numPr>
              <w:autoSpaceDE w:val="0"/>
              <w:autoSpaceDN w:val="0"/>
              <w:adjustRightInd w:val="0"/>
              <w:contextualSpacing/>
              <w:rPr>
                <w:rFonts w:hint="default" w:ascii="Arial Regular" w:hAnsi="Arial Regular" w:eastAsia="微软雅黑" w:cs="Arial Regular"/>
                <w:color w:val="auto"/>
                <w:sz w:val="22"/>
                <w:szCs w:val="22"/>
                <w:lang w:eastAsia="zh-CN"/>
              </w:rPr>
            </w:pPr>
          </w:p>
          <w:p w14:paraId="151ACC6C">
            <w:pPr>
              <w:pStyle w:val="26"/>
              <w:numPr>
                <w:ilvl w:val="0"/>
                <w:numId w:val="0"/>
              </w:numPr>
              <w:autoSpaceDE w:val="0"/>
              <w:autoSpaceDN w:val="0"/>
              <w:adjustRightInd w:val="0"/>
              <w:contextualSpacing/>
              <w:jc w:val="both"/>
              <w:rPr>
                <w:rFonts w:hint="default" w:ascii="Arial Regular" w:hAnsi="Arial Regular" w:eastAsia="微软雅黑" w:cs="Arial Regular"/>
                <w:color w:val="auto"/>
                <w:sz w:val="22"/>
                <w:szCs w:val="22"/>
                <w:lang w:eastAsia="zh-CN"/>
              </w:rPr>
            </w:pPr>
            <w:r>
              <w:rPr>
                <w:rFonts w:hint="default" w:ascii="Arial Regular" w:hAnsi="Arial Regular" w:eastAsia="微软雅黑" w:cs="Arial Regular"/>
                <w:color w:val="auto"/>
                <w:sz w:val="22"/>
                <w:szCs w:val="22"/>
                <w:lang w:eastAsia="zh-CN"/>
              </w:rPr>
              <w:t>Therefore, this research not only focuses on the reinterpretation and communicative practices of Chinese serpent totem mythology among Chinese Generation Z, but also offers a methodological pathway that may serve as a reference for future research</w:t>
            </w:r>
            <w:r>
              <w:rPr>
                <w:rFonts w:hint="default" w:ascii="Arial Regular" w:hAnsi="Arial Regular" w:eastAsia="微软雅黑" w:cs="Arial Regular"/>
                <w:color w:val="auto"/>
                <w:sz w:val="22"/>
                <w:szCs w:val="22"/>
                <w:lang w:val="en-US" w:eastAsia="zh-CN"/>
              </w:rPr>
              <w:t xml:space="preserve">. </w:t>
            </w:r>
            <w:r>
              <w:rPr>
                <w:rFonts w:hint="default" w:ascii="Arial Regular" w:hAnsi="Arial Regular" w:eastAsia="微软雅黑" w:cs="Arial Regular"/>
                <w:color w:val="auto"/>
                <w:sz w:val="22"/>
                <w:szCs w:val="22"/>
                <w:lang w:eastAsia="zh-CN"/>
              </w:rPr>
              <w:t>This exploration, centred on the integration of illustration and new media, is expected to provide insights for the reinterpretation and revitalisation of mythology in other cultural contexts, highlighting the potential of traditional narratives to achieve contemporary expression in the era of globalisation.</w:t>
            </w:r>
          </w:p>
          <w:p w14:paraId="394A4A08">
            <w:pPr>
              <w:pStyle w:val="26"/>
              <w:numPr>
                <w:ilvl w:val="0"/>
                <w:numId w:val="0"/>
              </w:numPr>
              <w:autoSpaceDE w:val="0"/>
              <w:autoSpaceDN w:val="0"/>
              <w:adjustRightInd w:val="0"/>
              <w:contextualSpacing/>
              <w:jc w:val="left"/>
              <w:rPr>
                <w:rFonts w:hint="eastAsia" w:ascii="Microsoft YaHei" w:hAnsi="Microsoft YaHei" w:eastAsia="Microsoft YaHei" w:cs="Microsoft YaHei"/>
                <w:sz w:val="22"/>
                <w:szCs w:val="22"/>
                <w:lang w:eastAsia="zh-CN"/>
              </w:rPr>
            </w:pPr>
            <w:r>
              <w:rPr>
                <w:rFonts w:hint="default" w:ascii="Arial Regular" w:hAnsi="Arial Regular" w:eastAsia="微软雅黑" w:cs="Arial Regular"/>
                <w:color w:val="auto"/>
                <w:sz w:val="22"/>
                <w:szCs w:val="22"/>
                <w:lang w:eastAsia="zh-CN"/>
              </w:rPr>
              <w:t>﻿</w:t>
            </w:r>
          </w:p>
        </w:tc>
      </w:tr>
      <w:tr w14:paraId="3E6F7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14:paraId="2B5B6BE6">
            <w:pPr>
              <w:rPr>
                <w:rFonts w:cs="Arial"/>
                <w:sz w:val="22"/>
                <w:szCs w:val="22"/>
                <w:lang w:eastAsia="zh-CN"/>
              </w:rPr>
            </w:pPr>
          </w:p>
          <w:p w14:paraId="6D47198A">
            <w:pPr>
              <w:rPr>
                <w:rFonts w:cs="Arial"/>
                <w:sz w:val="22"/>
                <w:szCs w:val="22"/>
              </w:rPr>
            </w:pPr>
            <w:r>
              <w:rPr>
                <w:rFonts w:cs="Arial"/>
                <w:sz w:val="22"/>
                <w:szCs w:val="22"/>
              </w:rPr>
              <w:t>Aims and Objectives (approx.. 250 – 500 words)</w:t>
            </w:r>
          </w:p>
        </w:tc>
      </w:tr>
      <w:tr w14:paraId="1A65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14:paraId="63EAF498">
            <w:pPr>
              <w:rPr>
                <w:rFonts w:cs="Arial"/>
                <w:color w:val="auto"/>
                <w:sz w:val="22"/>
                <w:szCs w:val="22"/>
              </w:rPr>
            </w:pPr>
            <w:r>
              <w:rPr>
                <w:rFonts w:cs="Arial"/>
                <w:color w:val="auto"/>
                <w:sz w:val="22"/>
                <w:szCs w:val="22"/>
              </w:rPr>
              <w:t>In this section you will need to:</w:t>
            </w:r>
          </w:p>
          <w:p w14:paraId="0DB35BC0">
            <w:pPr>
              <w:pStyle w:val="26"/>
              <w:numPr>
                <w:ilvl w:val="0"/>
                <w:numId w:val="2"/>
              </w:numPr>
              <w:autoSpaceDE w:val="0"/>
              <w:autoSpaceDN w:val="0"/>
              <w:adjustRightInd w:val="0"/>
              <w:contextualSpacing/>
              <w:rPr>
                <w:rFonts w:cs="Arial"/>
                <w:color w:val="auto"/>
                <w:sz w:val="22"/>
                <w:szCs w:val="22"/>
                <w:lang w:eastAsia="zh-CN"/>
              </w:rPr>
            </w:pPr>
            <w:r>
              <w:rPr>
                <w:rFonts w:cs="Arial"/>
                <w:color w:val="auto"/>
                <w:sz w:val="22"/>
                <w:szCs w:val="22"/>
              </w:rPr>
              <w:t>Explain what you want to achieve through the research.</w:t>
            </w:r>
            <w:r>
              <w:rPr>
                <w:rFonts w:hint="eastAsia" w:ascii="Microsoft YaHei" w:hAnsi="Microsoft YaHei" w:eastAsia="Microsoft YaHei" w:cs="Microsoft YaHei"/>
                <w:color w:val="auto"/>
                <w:sz w:val="22"/>
                <w:szCs w:val="22"/>
                <w:lang w:eastAsia="zh-CN"/>
              </w:rPr>
              <w:t xml:space="preserve"> </w:t>
            </w:r>
          </w:p>
          <w:p w14:paraId="4B0A16A1">
            <w:pPr>
              <w:pStyle w:val="26"/>
              <w:numPr>
                <w:ilvl w:val="0"/>
                <w:numId w:val="2"/>
              </w:numPr>
              <w:autoSpaceDE w:val="0"/>
              <w:autoSpaceDN w:val="0"/>
              <w:adjustRightInd w:val="0"/>
              <w:contextualSpacing/>
              <w:rPr>
                <w:rFonts w:hint="default" w:ascii="Arial Regular" w:hAnsi="Arial Regular" w:eastAsia="微软雅黑" w:cs="Arial Regular"/>
                <w:color w:val="auto"/>
                <w:sz w:val="22"/>
                <w:szCs w:val="22"/>
              </w:rPr>
            </w:pPr>
            <w:r>
              <w:rPr>
                <w:rFonts w:cs="Arial"/>
                <w:color w:val="auto"/>
                <w:sz w:val="22"/>
                <w:szCs w:val="22"/>
              </w:rPr>
              <w:t>Outline the aims of the research.</w:t>
            </w:r>
            <w:r>
              <w:rPr>
                <w:rFonts w:hint="eastAsia" w:cs="Arial"/>
                <w:color w:val="auto"/>
                <w:sz w:val="22"/>
                <w:szCs w:val="22"/>
              </w:rPr>
              <w:t xml:space="preserve"> </w:t>
            </w:r>
          </w:p>
          <w:p w14:paraId="79CA9F74">
            <w:pPr>
              <w:pStyle w:val="26"/>
              <w:numPr>
                <w:ilvl w:val="0"/>
                <w:numId w:val="0"/>
              </w:numPr>
              <w:autoSpaceDE w:val="0"/>
              <w:autoSpaceDN w:val="0"/>
              <w:adjustRightInd w:val="0"/>
              <w:ind w:left="360" w:leftChars="0"/>
              <w:contextualSpacing/>
              <w:jc w:val="left"/>
              <w:rPr>
                <w:rFonts w:hint="default" w:ascii="Arial Regular" w:hAnsi="Arial Regular" w:eastAsia="微软雅黑" w:cs="Arial Regular"/>
                <w:color w:val="auto"/>
                <w:sz w:val="22"/>
                <w:szCs w:val="22"/>
              </w:rPr>
            </w:pPr>
          </w:p>
          <w:p w14:paraId="7F1E00F5">
            <w:pPr>
              <w:pStyle w:val="26"/>
              <w:numPr>
                <w:ilvl w:val="0"/>
                <w:numId w:val="0"/>
              </w:numPr>
              <w:autoSpaceDE w:val="0"/>
              <w:autoSpaceDN w:val="0"/>
              <w:adjustRightInd w:val="0"/>
              <w:contextualSpacing/>
              <w:jc w:val="left"/>
              <w:rPr>
                <w:rFonts w:hint="default" w:ascii="Arial Bold" w:hAnsi="Arial Bold" w:eastAsia="微软雅黑" w:cs="Arial Bold"/>
                <w:b/>
                <w:bCs/>
                <w:color w:val="auto"/>
                <w:sz w:val="22"/>
                <w:szCs w:val="22"/>
              </w:rPr>
            </w:pPr>
            <w:r>
              <w:rPr>
                <w:rFonts w:hint="default" w:ascii="Arial Bold" w:hAnsi="Arial Bold" w:eastAsia="微软雅黑" w:cs="Arial Bold"/>
                <w:b/>
                <w:bCs/>
                <w:color w:val="auto"/>
                <w:sz w:val="22"/>
                <w:szCs w:val="22"/>
              </w:rPr>
              <w:t>Aims:</w:t>
            </w:r>
          </w:p>
          <w:p w14:paraId="15C3439D">
            <w:pPr>
              <w:pStyle w:val="26"/>
              <w:numPr>
                <w:ilvl w:val="0"/>
                <w:numId w:val="0"/>
              </w:numPr>
              <w:autoSpaceDE w:val="0"/>
              <w:autoSpaceDN w:val="0"/>
              <w:adjustRightInd w:val="0"/>
              <w:contextualSpacing/>
              <w:jc w:val="left"/>
              <w:rPr>
                <w:rFonts w:hint="default" w:ascii="Arial Regular" w:hAnsi="Arial Regular" w:eastAsia="微软雅黑" w:cs="Arial Regular"/>
                <w:color w:val="auto"/>
                <w:sz w:val="22"/>
                <w:szCs w:val="22"/>
              </w:rPr>
            </w:pPr>
            <w:r>
              <w:rPr>
                <w:rFonts w:hint="default" w:ascii="Arial Regular" w:hAnsi="Arial Regular" w:eastAsia="微软雅黑" w:cs="Arial Regular"/>
                <w:color w:val="auto"/>
                <w:sz w:val="22"/>
                <w:szCs w:val="22"/>
              </w:rPr>
              <w:t>This research aims to visually reconstruct Chinese serpent totem mythology through illustration, while incorporating new media technologies (such as AR, animation, dynamic and interactive presentation) as supporting methods. It explores how Chinese Generation Z university students (aged 18–30) in contemporary cultural contexts receive, understand and reinterpret traditional mythology. The research not only seeks to reveal the cultural reception characteristics of Generation Z, but also aims to combine academic research with creative practice to provide new pathways for the dissemination and revitalisation of traditional mythology in the digital age, thereby responding to academic discussions on how to maintain the vitality of cultural heritage in contemporary society.</w:t>
            </w:r>
          </w:p>
          <w:p w14:paraId="4953621D">
            <w:pPr>
              <w:pStyle w:val="26"/>
              <w:numPr>
                <w:ilvl w:val="0"/>
                <w:numId w:val="0"/>
              </w:numPr>
              <w:autoSpaceDE w:val="0"/>
              <w:autoSpaceDN w:val="0"/>
              <w:adjustRightInd w:val="0"/>
              <w:contextualSpacing/>
              <w:jc w:val="left"/>
              <w:rPr>
                <w:rFonts w:hint="eastAsia" w:ascii="Arial Regular" w:hAnsi="Arial Regular" w:eastAsia="微软雅黑" w:cs="Arial Regular"/>
                <w:color w:val="auto"/>
                <w:sz w:val="22"/>
                <w:szCs w:val="22"/>
                <w:lang w:val="en-US" w:eastAsia="zh-CN"/>
              </w:rPr>
            </w:pPr>
          </w:p>
          <w:p w14:paraId="3B7A96EC">
            <w:pPr>
              <w:pStyle w:val="26"/>
              <w:numPr>
                <w:ilvl w:val="0"/>
                <w:numId w:val="0"/>
              </w:numPr>
              <w:autoSpaceDE w:val="0"/>
              <w:autoSpaceDN w:val="0"/>
              <w:adjustRightInd w:val="0"/>
              <w:contextualSpacing/>
              <w:jc w:val="left"/>
              <w:rPr>
                <w:rFonts w:hint="default" w:ascii="Arial Bold" w:hAnsi="Arial Bold" w:eastAsia="微软雅黑" w:cs="Arial Bold"/>
                <w:b/>
                <w:bCs/>
                <w:color w:val="auto"/>
                <w:sz w:val="22"/>
                <w:szCs w:val="22"/>
                <w:lang w:val="en-US" w:eastAsia="zh-CN"/>
              </w:rPr>
            </w:pPr>
            <w:r>
              <w:rPr>
                <w:rFonts w:hint="default" w:ascii="Arial Bold" w:hAnsi="Arial Bold" w:eastAsia="微软雅黑" w:cs="Arial Bold"/>
                <w:b/>
                <w:bCs/>
                <w:color w:val="auto"/>
                <w:sz w:val="22"/>
                <w:szCs w:val="22"/>
                <w:lang w:val="en-US" w:eastAsia="zh-CN"/>
              </w:rPr>
              <w:t>Objective 1 – Literature and Visual Case Studies:</w:t>
            </w:r>
          </w:p>
          <w:p w14:paraId="5CE2FB86">
            <w:pPr>
              <w:pStyle w:val="26"/>
              <w:numPr>
                <w:ilvl w:val="0"/>
                <w:numId w:val="0"/>
              </w:numPr>
              <w:autoSpaceDE w:val="0"/>
              <w:autoSpaceDN w:val="0"/>
              <w:adjustRightInd w:val="0"/>
              <w:contextualSpacing/>
              <w:jc w:val="left"/>
              <w:rPr>
                <w:rFonts w:hint="default" w:ascii="Arial Regular" w:hAnsi="Arial Regular" w:eastAsia="微软雅黑" w:cs="Arial Regular"/>
                <w:color w:val="auto"/>
                <w:sz w:val="22"/>
                <w:szCs w:val="22"/>
                <w:lang w:val="en-US" w:eastAsia="zh-CN"/>
              </w:rPr>
            </w:pPr>
            <w:r>
              <w:rPr>
                <w:rFonts w:hint="default" w:ascii="Arial Regular" w:hAnsi="Arial Regular" w:eastAsia="微软雅黑" w:cs="Arial Regular"/>
                <w:color w:val="auto"/>
                <w:sz w:val="22"/>
                <w:szCs w:val="22"/>
                <w:lang w:val="en-US" w:eastAsia="zh-CN"/>
              </w:rPr>
              <w:t>To establish the academic and cultural context of the research by reviewing the main narratives and symbolic elements of Chinese serpent totem mythology and referring to relevant literature and theories such as visual communication, semiotics and digital storytelling. In addition, to build the theoretical and visual foundations for illustration practice and cultural dissemination through historical and contemporary visual case studies related to the Chinese serpent totem.</w:t>
            </w:r>
          </w:p>
          <w:p w14:paraId="516823D8">
            <w:pPr>
              <w:pStyle w:val="26"/>
              <w:numPr>
                <w:ilvl w:val="0"/>
                <w:numId w:val="0"/>
              </w:numPr>
              <w:autoSpaceDE w:val="0"/>
              <w:autoSpaceDN w:val="0"/>
              <w:adjustRightInd w:val="0"/>
              <w:contextualSpacing/>
              <w:jc w:val="left"/>
              <w:rPr>
                <w:rFonts w:hint="default" w:ascii="Arial Regular" w:hAnsi="Arial Regular" w:eastAsia="微软雅黑" w:cs="Arial Regular"/>
                <w:color w:val="4F81BD" w:themeColor="accent1"/>
                <w:sz w:val="22"/>
                <w:szCs w:val="22"/>
                <w:lang w:val="en-US" w:eastAsia="zh-CN"/>
                <w14:textFill>
                  <w14:solidFill>
                    <w14:schemeClr w14:val="accent1"/>
                  </w14:solidFill>
                </w14:textFill>
              </w:rPr>
            </w:pPr>
          </w:p>
          <w:p w14:paraId="06C2338E">
            <w:pPr>
              <w:pStyle w:val="26"/>
              <w:numPr>
                <w:ilvl w:val="0"/>
                <w:numId w:val="0"/>
              </w:numPr>
              <w:autoSpaceDE w:val="0"/>
              <w:autoSpaceDN w:val="0"/>
              <w:adjustRightInd w:val="0"/>
              <w:contextualSpacing/>
              <w:jc w:val="left"/>
              <w:rPr>
                <w:rFonts w:hint="default" w:ascii="Arial Bold" w:hAnsi="Arial Bold" w:eastAsia="微软雅黑" w:cs="Arial Bold"/>
                <w:b/>
                <w:bCs/>
                <w:color w:val="auto"/>
                <w:sz w:val="22"/>
                <w:szCs w:val="22"/>
                <w:lang w:val="en-US" w:eastAsia="zh-CN"/>
              </w:rPr>
            </w:pPr>
            <w:r>
              <w:rPr>
                <w:rFonts w:hint="default" w:ascii="Arial Bold" w:hAnsi="Arial Bold" w:eastAsia="微软雅黑" w:cs="Arial Bold"/>
                <w:b/>
                <w:bCs/>
                <w:color w:val="auto"/>
                <w:sz w:val="22"/>
                <w:szCs w:val="22"/>
                <w:lang w:val="en-US" w:eastAsia="zh-CN"/>
              </w:rPr>
              <w:t>Objective 2 – Audience Cognition and Needs:</w:t>
            </w:r>
          </w:p>
          <w:p w14:paraId="50909E55">
            <w:pPr>
              <w:pStyle w:val="26"/>
              <w:numPr>
                <w:ilvl w:val="0"/>
                <w:numId w:val="0"/>
              </w:numPr>
              <w:autoSpaceDE w:val="0"/>
              <w:autoSpaceDN w:val="0"/>
              <w:adjustRightInd w:val="0"/>
              <w:contextualSpacing/>
              <w:jc w:val="left"/>
              <w:rPr>
                <w:rFonts w:hint="default" w:ascii="Arial Regular" w:hAnsi="Arial Regular" w:eastAsia="微软雅黑" w:cs="Arial Regular"/>
                <w:color w:val="auto"/>
                <w:sz w:val="22"/>
                <w:szCs w:val="22"/>
                <w:lang w:val="en-US" w:eastAsia="zh-CN"/>
              </w:rPr>
            </w:pPr>
            <w:r>
              <w:rPr>
                <w:rFonts w:hint="default" w:ascii="Arial Regular" w:hAnsi="Arial Regular" w:eastAsia="微软雅黑" w:cs="Arial Regular"/>
                <w:color w:val="auto"/>
                <w:sz w:val="22"/>
                <w:szCs w:val="22"/>
                <w:lang w:val="en-US" w:eastAsia="zh-CN"/>
              </w:rPr>
              <w:t xml:space="preserve">Through questionnaires and interviews, this research will analyse Chinese Generation Z university students’ understanding of </w:t>
            </w:r>
            <w:r>
              <w:rPr>
                <w:rFonts w:hint="eastAsia" w:ascii="Arial Regular" w:hAnsi="Arial Regular" w:eastAsia="微软雅黑" w:cs="Arial Regular"/>
                <w:color w:val="auto"/>
                <w:sz w:val="22"/>
                <w:szCs w:val="22"/>
                <w:lang w:val="en-US" w:eastAsia="zh-CN"/>
              </w:rPr>
              <w:t xml:space="preserve">Chinese </w:t>
            </w:r>
            <w:r>
              <w:rPr>
                <w:rFonts w:hint="default" w:ascii="Arial Regular" w:hAnsi="Arial Regular" w:eastAsia="微软雅黑" w:cs="Arial Regular"/>
                <w:color w:val="auto"/>
                <w:sz w:val="22"/>
                <w:szCs w:val="22"/>
                <w:lang w:val="en-US" w:eastAsia="zh-CN"/>
              </w:rPr>
              <w:t>serpent totem mythology, their barriers to acceptance and their needs in cultural dissemination, in order to identify the key factors influencing its reinterpretation.</w:t>
            </w:r>
          </w:p>
          <w:p w14:paraId="417E800F">
            <w:pPr>
              <w:pStyle w:val="26"/>
              <w:numPr>
                <w:ilvl w:val="0"/>
                <w:numId w:val="0"/>
              </w:numPr>
              <w:autoSpaceDE w:val="0"/>
              <w:autoSpaceDN w:val="0"/>
              <w:adjustRightInd w:val="0"/>
              <w:contextualSpacing/>
              <w:jc w:val="left"/>
              <w:rPr>
                <w:rFonts w:hint="default" w:ascii="Arial Regular" w:hAnsi="Arial Regular" w:eastAsia="微软雅黑" w:cs="Arial Regular"/>
                <w:color w:val="auto"/>
                <w:sz w:val="22"/>
                <w:szCs w:val="22"/>
                <w:lang w:val="en-US" w:eastAsia="zh-CN"/>
              </w:rPr>
            </w:pPr>
          </w:p>
          <w:p w14:paraId="0FBF5EE0">
            <w:pPr>
              <w:pStyle w:val="26"/>
              <w:numPr>
                <w:ilvl w:val="0"/>
                <w:numId w:val="0"/>
              </w:numPr>
              <w:autoSpaceDE w:val="0"/>
              <w:autoSpaceDN w:val="0"/>
              <w:adjustRightInd w:val="0"/>
              <w:contextualSpacing/>
              <w:jc w:val="left"/>
              <w:rPr>
                <w:rFonts w:hint="default" w:ascii="Arial Bold" w:hAnsi="Arial Bold" w:eastAsia="微软雅黑" w:cs="Arial Bold"/>
                <w:b/>
                <w:bCs/>
                <w:color w:val="auto"/>
                <w:sz w:val="22"/>
                <w:szCs w:val="22"/>
              </w:rPr>
            </w:pPr>
            <w:r>
              <w:rPr>
                <w:rFonts w:hint="default" w:ascii="Arial Bold" w:hAnsi="Arial Bold" w:eastAsia="微软雅黑" w:cs="Arial Bold"/>
                <w:b/>
                <w:bCs/>
                <w:color w:val="auto"/>
                <w:sz w:val="22"/>
                <w:szCs w:val="22"/>
              </w:rPr>
              <w:t>Objective 3 Illustration Practice:</w:t>
            </w:r>
          </w:p>
          <w:p w14:paraId="6BD66CAE">
            <w:pPr>
              <w:pStyle w:val="26"/>
              <w:numPr>
                <w:ilvl w:val="0"/>
                <w:numId w:val="0"/>
              </w:numPr>
              <w:autoSpaceDE w:val="0"/>
              <w:autoSpaceDN w:val="0"/>
              <w:adjustRightInd w:val="0"/>
              <w:contextualSpacing/>
              <w:jc w:val="left"/>
              <w:rPr>
                <w:rFonts w:hint="eastAsia" w:ascii="微软雅黑" w:hAnsi="微软雅黑" w:eastAsia="微软雅黑" w:cs="微软雅黑"/>
                <w:color w:val="auto"/>
                <w:sz w:val="22"/>
                <w:szCs w:val="22"/>
              </w:rPr>
            </w:pPr>
            <w:r>
              <w:rPr>
                <w:rFonts w:hint="default" w:ascii="Arial Regular" w:hAnsi="Arial Regular" w:eastAsia="微软雅黑" w:cs="Arial Regular"/>
                <w:color w:val="auto"/>
                <w:sz w:val="22"/>
                <w:szCs w:val="22"/>
              </w:rPr>
              <w:t xml:space="preserve">Based on mythological research and audience survey results, I will create a series of illustrations themed on Chinese serpent totem mythology, and integrate dynamic and interactive modes of expression through animation, AR and other new media forms, in order to enhance the appeal and communicative effectiveness of the illustrations among </w:t>
            </w:r>
            <w:r>
              <w:rPr>
                <w:rFonts w:hint="eastAsia" w:ascii="Arial Regular" w:hAnsi="Arial Regular" w:eastAsia="微软雅黑" w:cs="Arial Regular"/>
                <w:color w:val="auto"/>
                <w:sz w:val="22"/>
                <w:szCs w:val="22"/>
                <w:lang w:val="en-US" w:eastAsia="zh-CN"/>
              </w:rPr>
              <w:t xml:space="preserve">Chinese </w:t>
            </w:r>
            <w:r>
              <w:rPr>
                <w:rFonts w:hint="default" w:ascii="Arial Regular" w:hAnsi="Arial Regular" w:eastAsia="微软雅黑" w:cs="Arial Regular"/>
                <w:color w:val="auto"/>
                <w:sz w:val="22"/>
                <w:szCs w:val="22"/>
              </w:rPr>
              <w:t>Generation Z, thereby promoting their participation and cultural understanding.</w:t>
            </w:r>
          </w:p>
          <w:p w14:paraId="35AF69A8">
            <w:pPr>
              <w:pStyle w:val="26"/>
              <w:numPr>
                <w:ilvl w:val="0"/>
                <w:numId w:val="0"/>
              </w:numPr>
              <w:autoSpaceDE w:val="0"/>
              <w:autoSpaceDN w:val="0"/>
              <w:adjustRightInd w:val="0"/>
              <w:contextualSpacing/>
              <w:jc w:val="left"/>
              <w:rPr>
                <w:rFonts w:hint="default" w:ascii="Arial Regular" w:hAnsi="Arial Regular" w:eastAsia="微软雅黑" w:cs="Arial Regular"/>
                <w:color w:val="auto"/>
                <w:sz w:val="22"/>
                <w:szCs w:val="22"/>
              </w:rPr>
            </w:pPr>
          </w:p>
          <w:p w14:paraId="2E6A2956">
            <w:pPr>
              <w:pStyle w:val="26"/>
              <w:numPr>
                <w:ilvl w:val="0"/>
                <w:numId w:val="0"/>
              </w:numPr>
              <w:autoSpaceDE w:val="0"/>
              <w:autoSpaceDN w:val="0"/>
              <w:adjustRightInd w:val="0"/>
              <w:contextualSpacing/>
              <w:jc w:val="left"/>
              <w:rPr>
                <w:rFonts w:hint="default" w:ascii="Arial Bold" w:hAnsi="Arial Bold" w:eastAsia="微软雅黑" w:cs="Arial Bold"/>
                <w:b/>
                <w:bCs/>
                <w:color w:val="auto"/>
                <w:sz w:val="22"/>
                <w:szCs w:val="22"/>
              </w:rPr>
            </w:pPr>
            <w:r>
              <w:rPr>
                <w:rFonts w:hint="default" w:ascii="Arial Bold" w:hAnsi="Arial Bold" w:eastAsia="微软雅黑" w:cs="Arial Bold"/>
                <w:b/>
                <w:bCs/>
                <w:color w:val="auto"/>
                <w:sz w:val="22"/>
                <w:szCs w:val="22"/>
              </w:rPr>
              <w:t>Objective 4 - Evaluation and Reflection:</w:t>
            </w:r>
          </w:p>
          <w:p w14:paraId="26DC2010">
            <w:pPr>
              <w:pStyle w:val="26"/>
              <w:numPr>
                <w:ilvl w:val="0"/>
                <w:numId w:val="0"/>
              </w:numPr>
              <w:autoSpaceDE w:val="0"/>
              <w:autoSpaceDN w:val="0"/>
              <w:adjustRightInd w:val="0"/>
              <w:contextualSpacing/>
              <w:jc w:val="left"/>
              <w:rPr>
                <w:rFonts w:hint="default" w:ascii="Arial Regular" w:hAnsi="Arial Regular" w:eastAsia="微软雅黑" w:cs="Arial Regular"/>
                <w:color w:val="auto"/>
                <w:sz w:val="22"/>
                <w:szCs w:val="22"/>
              </w:rPr>
            </w:pPr>
            <w:r>
              <w:rPr>
                <w:rFonts w:hint="default" w:ascii="Arial Regular" w:hAnsi="Arial Regular" w:eastAsia="微软雅黑" w:cs="Arial Regular"/>
                <w:color w:val="auto"/>
                <w:sz w:val="22"/>
                <w:szCs w:val="22"/>
              </w:rPr>
              <w:t>Through art exhibition and audience feedback, I will systematically evaluate the communicative effectiveness of illustration creations themed on the Chinese serpent totem among Chinese Generation Z. The evaluation will reveal their value in the renewed cognition of mythology understanding</w:t>
            </w:r>
            <w:r>
              <w:rPr>
                <w:rFonts w:hint="eastAsia" w:ascii="Arial Regular" w:hAnsi="Arial Regular" w:eastAsia="微软雅黑" w:cs="Arial Regular"/>
                <w:color w:val="auto"/>
                <w:sz w:val="22"/>
                <w:szCs w:val="22"/>
                <w:lang w:val="en-US" w:eastAsia="zh-CN"/>
              </w:rPr>
              <w:t xml:space="preserve"> </w:t>
            </w:r>
            <w:r>
              <w:rPr>
                <w:rFonts w:hint="default" w:ascii="Arial Regular" w:hAnsi="Arial Regular" w:eastAsia="微软雅黑" w:cs="Arial Regular"/>
                <w:color w:val="auto"/>
                <w:sz w:val="22"/>
                <w:szCs w:val="22"/>
              </w:rPr>
              <w:t>and cultural communication, as well as their limitations in cultural understanding and audience participation. On this basis, I will conduct reflection to guide subsequent creation, research and academic discussion.</w:t>
            </w:r>
          </w:p>
          <w:p w14:paraId="668ED2B5">
            <w:pPr>
              <w:pStyle w:val="26"/>
              <w:numPr>
                <w:ilvl w:val="0"/>
                <w:numId w:val="0"/>
              </w:numPr>
              <w:autoSpaceDE w:val="0"/>
              <w:autoSpaceDN w:val="0"/>
              <w:adjustRightInd w:val="0"/>
              <w:contextualSpacing/>
              <w:rPr>
                <w:rFonts w:hint="default" w:ascii="Arial Regular" w:hAnsi="Arial Regular" w:eastAsia="微软雅黑" w:cs="Arial Regular"/>
                <w:color w:val="auto"/>
                <w:sz w:val="22"/>
                <w:szCs w:val="22"/>
              </w:rPr>
            </w:pPr>
          </w:p>
        </w:tc>
      </w:tr>
      <w:tr w14:paraId="56AC2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14:paraId="3279BA5F">
            <w:pPr>
              <w:rPr>
                <w:rFonts w:cs="Arial"/>
                <w:sz w:val="22"/>
                <w:szCs w:val="22"/>
              </w:rPr>
            </w:pPr>
          </w:p>
          <w:p w14:paraId="02EF8E0E">
            <w:pPr>
              <w:rPr>
                <w:rFonts w:cs="Arial"/>
                <w:sz w:val="22"/>
                <w:szCs w:val="22"/>
              </w:rPr>
            </w:pPr>
            <w:r>
              <w:rPr>
                <w:rFonts w:cs="Arial"/>
                <w:sz w:val="22"/>
                <w:szCs w:val="22"/>
              </w:rPr>
              <w:t xml:space="preserve">Proposed plan of work including timetable </w:t>
            </w:r>
          </w:p>
        </w:tc>
      </w:tr>
      <w:tr w14:paraId="36C2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tcPr>
          <w:p w14:paraId="3DE4FDEB">
            <w:pPr>
              <w:rPr>
                <w:rFonts w:cs="Arial"/>
                <w:i/>
                <w:sz w:val="22"/>
                <w:szCs w:val="22"/>
              </w:rPr>
            </w:pPr>
            <w:r>
              <w:rPr>
                <w:rFonts w:cs="Arial"/>
                <w:i/>
                <w:sz w:val="22"/>
                <w:szCs w:val="22"/>
              </w:rPr>
              <w:t>Proposed plan of work</w:t>
            </w:r>
          </w:p>
          <w:p w14:paraId="14EDF531">
            <w:pPr>
              <w:rPr>
                <w:rFonts w:cs="Arial"/>
                <w:sz w:val="22"/>
                <w:szCs w:val="22"/>
              </w:rPr>
            </w:pPr>
          </w:p>
          <w:p w14:paraId="07E423F5">
            <w:pPr>
              <w:rPr>
                <w:rFonts w:cs="Arial"/>
                <w:sz w:val="22"/>
                <w:szCs w:val="22"/>
              </w:rPr>
            </w:pPr>
            <w:r>
              <w:rPr>
                <w:rFonts w:cs="Arial"/>
                <w:sz w:val="22"/>
                <w:szCs w:val="22"/>
              </w:rPr>
              <w:t>In this section you will need to complete a proposed plan of your work explaining the timeline for key elements of the thesis. This can be set out as a table like below or as a gantt chart (for example)</w:t>
            </w:r>
          </w:p>
          <w:p w14:paraId="56442899">
            <w:pPr>
              <w:rPr>
                <w:rFonts w:cs="Arial"/>
                <w:sz w:val="22"/>
                <w:szCs w:val="22"/>
              </w:rPr>
            </w:pPr>
          </w:p>
          <w:p w14:paraId="0FD65113">
            <w:pPr>
              <w:rPr>
                <w:rFonts w:cs="Arial"/>
                <w:sz w:val="22"/>
                <w:szCs w:val="22"/>
              </w:rPr>
            </w:pPr>
            <w:r>
              <w:rPr>
                <w:rFonts w:cs="Arial"/>
                <w:sz w:val="22"/>
                <w:szCs w:val="22"/>
              </w:rPr>
              <w:t>This plan should indicate that the research will be completed by the end of the fee paying period (the minimum period of candidature.</w:t>
            </w:r>
          </w:p>
          <w:p w14:paraId="2BF0F110">
            <w:pPr>
              <w:rPr>
                <w:rFonts w:cs="Arial"/>
                <w:sz w:val="22"/>
                <w:szCs w:val="22"/>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2"/>
              <w:gridCol w:w="4453"/>
            </w:tblGrid>
            <w:tr w14:paraId="1D921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2" w:type="dxa"/>
                </w:tcPr>
                <w:p w14:paraId="555CBE44">
                  <w:pPr>
                    <w:rPr>
                      <w:rFonts w:cs="Arial"/>
                      <w:sz w:val="22"/>
                      <w:szCs w:val="22"/>
                    </w:rPr>
                  </w:pPr>
                  <w:r>
                    <w:rPr>
                      <w:rFonts w:cs="Arial"/>
                      <w:sz w:val="22"/>
                      <w:szCs w:val="22"/>
                    </w:rPr>
                    <w:t>Planned Development (e.g. submission of form, completion of chapter, submission of thesis)</w:t>
                  </w:r>
                </w:p>
              </w:tc>
              <w:tc>
                <w:tcPr>
                  <w:tcW w:w="4453" w:type="dxa"/>
                </w:tcPr>
                <w:p w14:paraId="61FC0D2B">
                  <w:pPr>
                    <w:rPr>
                      <w:rFonts w:cs="Arial"/>
                      <w:sz w:val="22"/>
                      <w:szCs w:val="22"/>
                    </w:rPr>
                  </w:pPr>
                  <w:r>
                    <w:rPr>
                      <w:rFonts w:cs="Arial"/>
                      <w:sz w:val="22"/>
                      <w:szCs w:val="22"/>
                    </w:rPr>
                    <w:t>Target Date</w:t>
                  </w:r>
                </w:p>
              </w:tc>
            </w:tr>
            <w:tr w14:paraId="3E5FE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2" w:type="dxa"/>
                </w:tcPr>
                <w:p w14:paraId="423775E3">
                  <w:pPr>
                    <w:rPr>
                      <w:rFonts w:hint="default" w:ascii="Arial Regular" w:hAnsi="Arial Regular" w:eastAsia="SimSun" w:cs="Arial Regular"/>
                      <w:color w:val="auto"/>
                      <w:sz w:val="22"/>
                      <w:szCs w:val="22"/>
                      <w:lang w:val="en-US" w:eastAsia="zh-CN"/>
                    </w:rPr>
                  </w:pPr>
                  <w:r>
                    <w:rPr>
                      <w:rFonts w:hint="default" w:ascii="Arial Regular" w:hAnsi="Arial Regular" w:eastAsia="SimSun" w:cs="Arial Regular"/>
                      <w:color w:val="auto"/>
                      <w:sz w:val="22"/>
                      <w:szCs w:val="22"/>
                      <w:lang w:val="en-US" w:eastAsia="zh-CN"/>
                    </w:rPr>
                    <w:t xml:space="preserve">PG1 &amp; PG2: </w:t>
                  </w:r>
                </w:p>
                <w:p w14:paraId="61E9514C">
                  <w:pPr>
                    <w:rPr>
                      <w:rFonts w:hint="default" w:ascii="Arial Regular" w:hAnsi="Arial Regular" w:eastAsia="SimSun" w:cs="Arial Regular"/>
                      <w:color w:val="auto"/>
                      <w:sz w:val="22"/>
                      <w:szCs w:val="22"/>
                      <w:lang w:val="en-US" w:eastAsia="zh-CN"/>
                    </w:rPr>
                  </w:pPr>
                  <w:r>
                    <w:rPr>
                      <w:rFonts w:hint="eastAsia" w:ascii="Arial Regular" w:hAnsi="Arial Regular" w:eastAsia="SimSun" w:cs="Arial Regular"/>
                      <w:color w:val="auto"/>
                      <w:sz w:val="22"/>
                      <w:szCs w:val="22"/>
                      <w:lang w:val="en-US" w:eastAsia="zh-CN"/>
                    </w:rPr>
                    <w:t>Submission of the full research proposal and ethics application; completion of the initial methodology draft; clarification of the research direction.</w:t>
                  </w:r>
                </w:p>
              </w:tc>
              <w:tc>
                <w:tcPr>
                  <w:tcW w:w="4453" w:type="dxa"/>
                </w:tcPr>
                <w:p w14:paraId="3F2D0D31">
                  <w:pPr>
                    <w:rPr>
                      <w:rFonts w:hint="default" w:eastAsia="SimSun" w:cs="Arial"/>
                      <w:sz w:val="22"/>
                      <w:szCs w:val="22"/>
                      <w:lang w:val="en-US" w:eastAsia="zh-CN"/>
                    </w:rPr>
                  </w:pPr>
                  <w:r>
                    <w:rPr>
                      <w:rFonts w:hint="default" w:ascii="Arial Regular" w:hAnsi="Arial Regular" w:eastAsia="SimSun" w:cs="Arial Regular"/>
                      <w:sz w:val="22"/>
                      <w:szCs w:val="22"/>
                      <w:lang w:val="en-US" w:eastAsia="zh-CN"/>
                    </w:rPr>
                    <w:t>January 2026 – March 2026</w:t>
                  </w:r>
                </w:p>
              </w:tc>
            </w:tr>
            <w:tr w14:paraId="0377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2" w:hRule="atLeast"/>
              </w:trPr>
              <w:tc>
                <w:tcPr>
                  <w:tcW w:w="5102" w:type="dxa"/>
                </w:tcPr>
                <w:p w14:paraId="2A0C5ED7">
                  <w:pPr>
                    <w:rPr>
                      <w:rFonts w:hint="eastAsia" w:eastAsia="SimSun" w:cs="Arial"/>
                      <w:sz w:val="22"/>
                      <w:szCs w:val="22"/>
                      <w:lang w:val="en-US" w:eastAsia="zh-CN"/>
                    </w:rPr>
                  </w:pPr>
                  <w:r>
                    <w:rPr>
                      <w:rFonts w:hint="eastAsia" w:eastAsia="SimSun" w:cs="Arial"/>
                      <w:sz w:val="22"/>
                      <w:szCs w:val="22"/>
                      <w:lang w:val="en-US" w:eastAsia="zh-CN"/>
                    </w:rPr>
                    <w:t>Literature Review and Case Analysis:</w:t>
                  </w:r>
                </w:p>
                <w:p w14:paraId="479E9669">
                  <w:pPr>
                    <w:rPr>
                      <w:rFonts w:hint="default" w:eastAsia="SimSun" w:cs="Arial"/>
                      <w:sz w:val="22"/>
                      <w:szCs w:val="22"/>
                      <w:lang w:val="en-US" w:eastAsia="zh-CN"/>
                    </w:rPr>
                  </w:pPr>
                  <w:r>
                    <w:rPr>
                      <w:rFonts w:hint="eastAsia" w:eastAsia="SimSun" w:cs="Arial"/>
                      <w:sz w:val="22"/>
                      <w:szCs w:val="22"/>
                      <w:lang w:val="en-US" w:eastAsia="zh-CN"/>
                    </w:rPr>
                    <w:t>Systematically sort out Chinese serpent totem myths and visual cases; establish a theoretical and semiotic framework.</w:t>
                  </w:r>
                </w:p>
              </w:tc>
              <w:tc>
                <w:tcPr>
                  <w:tcW w:w="4453" w:type="dxa"/>
                </w:tcPr>
                <w:p w14:paraId="4472CEDF">
                  <w:pPr>
                    <w:rPr>
                      <w:rFonts w:hint="default" w:eastAsia="SimSun" w:cs="Arial"/>
                      <w:sz w:val="22"/>
                      <w:szCs w:val="22"/>
                      <w:lang w:val="en-US" w:eastAsia="zh-CN"/>
                    </w:rPr>
                  </w:pPr>
                  <w:r>
                    <w:rPr>
                      <w:rFonts w:hint="default" w:ascii="Arial Regular" w:hAnsi="Arial Regular" w:eastAsia="SimSun" w:cs="Arial Regular"/>
                      <w:sz w:val="22"/>
                      <w:szCs w:val="22"/>
                      <w:lang w:val="en-US" w:eastAsia="zh-CN"/>
                    </w:rPr>
                    <w:t>April 2026 – June 2026</w:t>
                  </w:r>
                </w:p>
              </w:tc>
            </w:tr>
            <w:tr w14:paraId="1C3B5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2" w:type="dxa"/>
                </w:tcPr>
                <w:p w14:paraId="5774ABC0">
                  <w:pPr>
                    <w:rPr>
                      <w:rFonts w:hint="default" w:ascii="Arial Regular" w:hAnsi="Arial Regular" w:cs="Arial Regular"/>
                      <w:sz w:val="22"/>
                      <w:szCs w:val="22"/>
                    </w:rPr>
                  </w:pPr>
                  <w:r>
                    <w:rPr>
                      <w:rFonts w:hint="default" w:ascii="Arial Regular" w:hAnsi="Arial Regular" w:cs="Arial Regular"/>
                      <w:sz w:val="22"/>
                      <w:szCs w:val="22"/>
                    </w:rPr>
                    <w:t>Preliminary Research and Small-Scale Testing:</w:t>
                  </w:r>
                </w:p>
                <w:p w14:paraId="7DB2EE20">
                  <w:pPr>
                    <w:rPr>
                      <w:rFonts w:hint="eastAsia" w:eastAsia="SimSun" w:cs="Arial"/>
                      <w:sz w:val="22"/>
                      <w:szCs w:val="22"/>
                      <w:lang w:val="en-US" w:eastAsia="zh-CN"/>
                    </w:rPr>
                  </w:pPr>
                  <w:r>
                    <w:rPr>
                      <w:rFonts w:hint="eastAsia" w:eastAsia="SimSun" w:cs="Arial"/>
                      <w:sz w:val="22"/>
                      <w:szCs w:val="22"/>
                      <w:lang w:val="en-US" w:eastAsia="zh-CN"/>
                    </w:rPr>
                    <w:t>Conduct tests such as symbol recognition experiments, illustration sketches and colour schemes to collect preliminary feedback.</w:t>
                  </w:r>
                </w:p>
              </w:tc>
              <w:tc>
                <w:tcPr>
                  <w:tcW w:w="4453" w:type="dxa"/>
                </w:tcPr>
                <w:p w14:paraId="739AFF27">
                  <w:pPr>
                    <w:rPr>
                      <w:rFonts w:cs="Arial"/>
                      <w:sz w:val="22"/>
                      <w:szCs w:val="22"/>
                    </w:rPr>
                  </w:pPr>
                  <w:r>
                    <w:rPr>
                      <w:rFonts w:hint="default" w:ascii="Arial Regular" w:hAnsi="Arial Regular" w:cs="Arial Regular"/>
                      <w:sz w:val="22"/>
                      <w:szCs w:val="22"/>
                    </w:rPr>
                    <w:t>July 2026 – September 2026</w:t>
                  </w:r>
                </w:p>
              </w:tc>
            </w:tr>
            <w:tr w14:paraId="376D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2" w:type="dxa"/>
                </w:tcPr>
                <w:p w14:paraId="459A6BE9">
                  <w:pPr>
                    <w:rPr>
                      <w:rFonts w:hint="eastAsia" w:eastAsia="SimSun" w:cs="Arial"/>
                      <w:sz w:val="22"/>
                      <w:szCs w:val="22"/>
                      <w:lang w:val="en-US" w:eastAsia="zh-CN"/>
                    </w:rPr>
                  </w:pPr>
                  <w:r>
                    <w:rPr>
                      <w:rFonts w:hint="eastAsia" w:eastAsia="SimSun" w:cs="Arial"/>
                      <w:sz w:val="22"/>
                      <w:szCs w:val="22"/>
                      <w:lang w:val="en-US" w:eastAsia="zh-CN"/>
                    </w:rPr>
                    <w:t>Artistic Practice</w:t>
                  </w:r>
                </w:p>
              </w:tc>
              <w:tc>
                <w:tcPr>
                  <w:tcW w:w="4453" w:type="dxa"/>
                </w:tcPr>
                <w:p w14:paraId="01731808">
                  <w:pPr>
                    <w:rPr>
                      <w:rFonts w:cs="Arial"/>
                      <w:sz w:val="22"/>
                      <w:szCs w:val="22"/>
                    </w:rPr>
                  </w:pPr>
                  <w:r>
                    <w:rPr>
                      <w:rFonts w:hint="default" w:ascii="Arial Regular" w:hAnsi="Arial Regular" w:cs="Arial Regular"/>
                      <w:sz w:val="22"/>
                      <w:szCs w:val="22"/>
                    </w:rPr>
                    <w:t>October 2026 – December 2026</w:t>
                  </w:r>
                </w:p>
              </w:tc>
            </w:tr>
            <w:tr w14:paraId="30DF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2" w:type="dxa"/>
                </w:tcPr>
                <w:p w14:paraId="502C6BC8">
                  <w:pPr>
                    <w:rPr>
                      <w:rFonts w:hint="eastAsia" w:cs="Arial"/>
                      <w:sz w:val="22"/>
                      <w:szCs w:val="22"/>
                    </w:rPr>
                  </w:pPr>
                  <w:r>
                    <w:rPr>
                      <w:rFonts w:hint="eastAsia" w:cs="Arial"/>
                      <w:sz w:val="22"/>
                      <w:szCs w:val="22"/>
                    </w:rPr>
                    <w:t>Audience Research:</w:t>
                  </w:r>
                </w:p>
                <w:p w14:paraId="284F7CB9">
                  <w:pPr>
                    <w:rPr>
                      <w:rFonts w:hint="eastAsia" w:eastAsia="SimSun" w:cs="Arial"/>
                      <w:sz w:val="22"/>
                      <w:szCs w:val="22"/>
                      <w:lang w:val="en-US" w:eastAsia="zh-CN"/>
                    </w:rPr>
                  </w:pPr>
                  <w:r>
                    <w:rPr>
                      <w:rFonts w:hint="eastAsia" w:eastAsia="SimSun" w:cs="Arial"/>
                      <w:sz w:val="22"/>
                      <w:szCs w:val="22"/>
                      <w:lang w:val="en-US" w:eastAsia="zh-CN"/>
                    </w:rPr>
                    <w:t xml:space="preserve">Nationwide (China) online questionnaires, </w:t>
                  </w:r>
                </w:p>
                <w:p w14:paraId="03CF225D">
                  <w:pPr>
                    <w:rPr>
                      <w:rFonts w:hint="default" w:eastAsia="SimSun" w:cs="Arial"/>
                      <w:sz w:val="22"/>
                      <w:szCs w:val="22"/>
                      <w:lang w:val="en-US" w:eastAsia="zh-CN"/>
                    </w:rPr>
                  </w:pPr>
                  <w:r>
                    <w:rPr>
                      <w:rFonts w:hint="eastAsia" w:eastAsia="SimSun" w:cs="Arial"/>
                      <w:sz w:val="22"/>
                      <w:szCs w:val="22"/>
                      <w:lang w:val="en-US" w:eastAsia="zh-CN"/>
                    </w:rPr>
                    <w:t>online or on-site interviews and observations.</w:t>
                  </w:r>
                </w:p>
              </w:tc>
              <w:tc>
                <w:tcPr>
                  <w:tcW w:w="4453" w:type="dxa"/>
                </w:tcPr>
                <w:p w14:paraId="3C660521">
                  <w:pPr>
                    <w:rPr>
                      <w:rFonts w:cs="Arial"/>
                      <w:sz w:val="22"/>
                      <w:szCs w:val="22"/>
                    </w:rPr>
                  </w:pPr>
                  <w:r>
                    <w:rPr>
                      <w:rFonts w:hint="default" w:ascii="Arial Regular" w:hAnsi="Arial Regular" w:cs="Arial Regular"/>
                      <w:sz w:val="22"/>
                      <w:szCs w:val="22"/>
                    </w:rPr>
                    <w:t>January 2027 – April 2027</w:t>
                  </w:r>
                </w:p>
              </w:tc>
            </w:tr>
            <w:tr w14:paraId="42565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2" w:type="dxa"/>
                </w:tcPr>
                <w:p w14:paraId="0CC14C01">
                  <w:pPr>
                    <w:rPr>
                      <w:rFonts w:cs="Arial"/>
                      <w:sz w:val="22"/>
                      <w:szCs w:val="22"/>
                    </w:rPr>
                  </w:pPr>
                  <w:r>
                    <w:rPr>
                      <w:rFonts w:hint="eastAsia" w:cs="Arial"/>
                      <w:sz w:val="22"/>
                      <w:szCs w:val="22"/>
                    </w:rPr>
                    <w:t>Data Analysis and Methodology Revision</w:t>
                  </w:r>
                </w:p>
              </w:tc>
              <w:tc>
                <w:tcPr>
                  <w:tcW w:w="4453" w:type="dxa"/>
                </w:tcPr>
                <w:p w14:paraId="6E8D6B32">
                  <w:pPr>
                    <w:rPr>
                      <w:rFonts w:cs="Arial"/>
                      <w:sz w:val="22"/>
                      <w:szCs w:val="22"/>
                    </w:rPr>
                  </w:pPr>
                  <w:r>
                    <w:rPr>
                      <w:rFonts w:hint="default" w:ascii="Arial Regular" w:hAnsi="Arial Regular" w:cs="Arial Regular"/>
                      <w:sz w:val="22"/>
                      <w:szCs w:val="22"/>
                    </w:rPr>
                    <w:t>April 2027 – June 2027</w:t>
                  </w:r>
                </w:p>
              </w:tc>
            </w:tr>
            <w:tr w14:paraId="49D2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102" w:type="dxa"/>
                </w:tcPr>
                <w:p w14:paraId="0978AFFA">
                  <w:pPr>
                    <w:rPr>
                      <w:rFonts w:hint="eastAsia" w:cs="Arial"/>
                      <w:sz w:val="22"/>
                      <w:szCs w:val="22"/>
                    </w:rPr>
                  </w:pPr>
                  <w:r>
                    <w:rPr>
                      <w:rFonts w:hint="eastAsia" w:cs="Arial"/>
                      <w:sz w:val="22"/>
                      <w:szCs w:val="22"/>
                    </w:rPr>
                    <w:t>Doctoral Thesis Writing (progressive completion):</w:t>
                  </w:r>
                </w:p>
                <w:p w14:paraId="0A5B0F2B">
                  <w:pPr>
                    <w:numPr>
                      <w:ilvl w:val="0"/>
                      <w:numId w:val="3"/>
                    </w:numPr>
                    <w:ind w:left="360" w:leftChars="0" w:firstLineChars="0"/>
                    <w:rPr>
                      <w:rFonts w:hint="eastAsia" w:cs="Arial"/>
                      <w:color w:val="auto"/>
                      <w:sz w:val="22"/>
                      <w:szCs w:val="22"/>
                    </w:rPr>
                  </w:pPr>
                  <w:r>
                    <w:rPr>
                      <w:rFonts w:hint="eastAsia" w:eastAsia="SimSun" w:cs="Arial"/>
                      <w:color w:val="auto"/>
                      <w:sz w:val="22"/>
                      <w:szCs w:val="22"/>
                      <w:lang w:val="en-US" w:eastAsia="zh-CN"/>
                    </w:rPr>
                    <w:t>Abstract and Introduction</w:t>
                  </w:r>
                </w:p>
                <w:p w14:paraId="15CFF039">
                  <w:pPr>
                    <w:numPr>
                      <w:ilvl w:val="0"/>
                      <w:numId w:val="3"/>
                    </w:numPr>
                    <w:ind w:left="360" w:leftChars="0" w:firstLineChars="0"/>
                    <w:rPr>
                      <w:rFonts w:hint="eastAsia" w:cs="Arial"/>
                      <w:color w:val="auto"/>
                      <w:sz w:val="22"/>
                      <w:szCs w:val="22"/>
                    </w:rPr>
                  </w:pPr>
                  <w:r>
                    <w:rPr>
                      <w:rFonts w:hint="eastAsia" w:cs="Arial"/>
                      <w:color w:val="auto"/>
                      <w:sz w:val="22"/>
                      <w:szCs w:val="22"/>
                    </w:rPr>
                    <w:t>Literature Review (organization and revision)</w:t>
                  </w:r>
                </w:p>
                <w:p w14:paraId="41C57251">
                  <w:pPr>
                    <w:numPr>
                      <w:ilvl w:val="0"/>
                      <w:numId w:val="3"/>
                    </w:numPr>
                    <w:ind w:left="360" w:leftChars="0" w:firstLineChars="0"/>
                    <w:rPr>
                      <w:rFonts w:hint="eastAsia" w:cs="Arial"/>
                      <w:color w:val="auto"/>
                      <w:sz w:val="22"/>
                      <w:szCs w:val="22"/>
                    </w:rPr>
                  </w:pPr>
                  <w:r>
                    <w:rPr>
                      <w:rFonts w:hint="eastAsia" w:cs="Arial"/>
                      <w:color w:val="auto"/>
                      <w:sz w:val="22"/>
                      <w:szCs w:val="22"/>
                    </w:rPr>
                    <w:t>Methodology (revised alongside data analysis)</w:t>
                  </w:r>
                </w:p>
                <w:p w14:paraId="7479C421">
                  <w:pPr>
                    <w:numPr>
                      <w:ilvl w:val="0"/>
                      <w:numId w:val="3"/>
                    </w:numPr>
                    <w:ind w:left="360" w:leftChars="0" w:firstLineChars="0"/>
                    <w:rPr>
                      <w:rFonts w:hint="eastAsia" w:cs="Arial"/>
                      <w:color w:val="auto"/>
                      <w:sz w:val="22"/>
                      <w:szCs w:val="22"/>
                    </w:rPr>
                  </w:pPr>
                  <w:r>
                    <w:rPr>
                      <w:rFonts w:hint="eastAsia" w:cs="Arial"/>
                      <w:color w:val="auto"/>
                      <w:sz w:val="22"/>
                      <w:szCs w:val="22"/>
                    </w:rPr>
                    <w:t>Research Findings and Discussion</w:t>
                  </w:r>
                </w:p>
                <w:p w14:paraId="3F06EF86">
                  <w:pPr>
                    <w:numPr>
                      <w:ilvl w:val="0"/>
                      <w:numId w:val="3"/>
                    </w:numPr>
                    <w:ind w:left="360" w:leftChars="0" w:firstLineChars="0"/>
                    <w:rPr>
                      <w:rFonts w:hint="eastAsia" w:cs="Arial"/>
                      <w:sz w:val="22"/>
                      <w:szCs w:val="22"/>
                    </w:rPr>
                  </w:pPr>
                  <w:r>
                    <w:rPr>
                      <w:rFonts w:hint="eastAsia" w:cs="Arial"/>
                      <w:color w:val="auto"/>
                      <w:sz w:val="22"/>
                      <w:szCs w:val="22"/>
                    </w:rPr>
                    <w:t>Conclusion, Appendices</w:t>
                  </w:r>
                  <w:r>
                    <w:rPr>
                      <w:rFonts w:hint="eastAsia" w:eastAsia="SimSun" w:cs="Arial"/>
                      <w:color w:val="auto"/>
                      <w:sz w:val="22"/>
                      <w:szCs w:val="22"/>
                      <w:lang w:val="en-US" w:eastAsia="zh-CN"/>
                    </w:rPr>
                    <w:t xml:space="preserve"> </w:t>
                  </w:r>
                  <w:r>
                    <w:rPr>
                      <w:rFonts w:hint="eastAsia" w:cs="Arial"/>
                      <w:color w:val="auto"/>
                      <w:sz w:val="22"/>
                      <w:szCs w:val="22"/>
                    </w:rPr>
                    <w:t>and References</w:t>
                  </w:r>
                </w:p>
              </w:tc>
              <w:tc>
                <w:tcPr>
                  <w:tcW w:w="4453" w:type="dxa"/>
                </w:tcPr>
                <w:p w14:paraId="79179B7E">
                  <w:pPr>
                    <w:rPr>
                      <w:rFonts w:hint="eastAsia" w:cs="Arial"/>
                      <w:sz w:val="22"/>
                      <w:szCs w:val="22"/>
                    </w:rPr>
                  </w:pPr>
                  <w:r>
                    <w:rPr>
                      <w:rFonts w:hint="default" w:ascii="Arial Regular" w:hAnsi="Arial Regular" w:cs="Arial Regular"/>
                      <w:sz w:val="22"/>
                      <w:szCs w:val="22"/>
                    </w:rPr>
                    <w:t>April 2027 – September 2027</w:t>
                  </w:r>
                </w:p>
              </w:tc>
            </w:tr>
          </w:tbl>
          <w:p w14:paraId="62E10401">
            <w:pPr>
              <w:rPr>
                <w:rFonts w:cs="Arial"/>
                <w:sz w:val="22"/>
                <w:szCs w:val="22"/>
              </w:rPr>
            </w:pPr>
          </w:p>
        </w:tc>
      </w:tr>
      <w:tr w14:paraId="2F6CF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14:paraId="1F44D456">
            <w:pPr>
              <w:rPr>
                <w:rFonts w:cs="Arial"/>
                <w:sz w:val="22"/>
                <w:szCs w:val="22"/>
              </w:rPr>
            </w:pPr>
            <w:r>
              <w:rPr>
                <w:rFonts w:cs="Arial"/>
                <w:sz w:val="22"/>
                <w:szCs w:val="22"/>
              </w:rPr>
              <w:t>Proposed methodology (approx. 500 words):</w:t>
            </w:r>
          </w:p>
        </w:tc>
      </w:tr>
      <w:tr w14:paraId="78DFB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14:paraId="4DA6D159">
            <w:pPr>
              <w:rPr>
                <w:rFonts w:cs="Arial"/>
                <w:color w:val="auto"/>
                <w:sz w:val="22"/>
                <w:szCs w:val="22"/>
              </w:rPr>
            </w:pPr>
            <w:r>
              <w:rPr>
                <w:rFonts w:cs="Arial"/>
                <w:color w:val="auto"/>
                <w:sz w:val="22"/>
                <w:szCs w:val="22"/>
              </w:rPr>
              <w:t>In this section you will need to explain how you will achieve your aims and objectives:</w:t>
            </w:r>
          </w:p>
          <w:p w14:paraId="45289D3D">
            <w:pPr>
              <w:rPr>
                <w:rFonts w:cs="Arial"/>
                <w:color w:val="auto"/>
                <w:sz w:val="22"/>
                <w:szCs w:val="22"/>
              </w:rPr>
            </w:pPr>
          </w:p>
          <w:p w14:paraId="13BA1B27">
            <w:pPr>
              <w:numPr>
                <w:ilvl w:val="0"/>
                <w:numId w:val="3"/>
              </w:numPr>
              <w:ind w:left="360" w:leftChars="0" w:firstLineChars="0"/>
              <w:rPr>
                <w:rFonts w:cs="Arial"/>
                <w:color w:val="auto"/>
                <w:sz w:val="22"/>
                <w:szCs w:val="22"/>
              </w:rPr>
            </w:pPr>
            <w:r>
              <w:rPr>
                <w:rFonts w:cs="Arial"/>
                <w:color w:val="auto"/>
                <w:sz w:val="22"/>
                <w:szCs w:val="22"/>
              </w:rPr>
              <w:t>Explain your disciplinary orientation/ approach</w:t>
            </w:r>
            <w:r>
              <w:rPr>
                <w:rFonts w:hint="eastAsia" w:eastAsia="SimSun" w:cs="Arial"/>
                <w:color w:val="auto"/>
                <w:sz w:val="22"/>
                <w:szCs w:val="22"/>
                <w:lang w:val="en-US" w:eastAsia="zh-CN"/>
              </w:rPr>
              <w:t xml:space="preserve"> </w:t>
            </w:r>
          </w:p>
          <w:p w14:paraId="3730669A">
            <w:pPr>
              <w:numPr>
                <w:ilvl w:val="0"/>
                <w:numId w:val="3"/>
              </w:numPr>
              <w:ind w:left="360" w:leftChars="0" w:firstLineChars="0"/>
              <w:rPr>
                <w:rFonts w:hint="default" w:ascii="Arial Regular" w:hAnsi="Arial Regular" w:eastAsia="微软雅黑" w:cs="Arial Regular"/>
                <w:color w:val="auto"/>
                <w:sz w:val="22"/>
                <w:szCs w:val="22"/>
              </w:rPr>
            </w:pPr>
            <w:r>
              <w:rPr>
                <w:rFonts w:cs="Arial"/>
                <w:color w:val="auto"/>
                <w:sz w:val="22"/>
                <w:szCs w:val="22"/>
              </w:rPr>
              <w:t>Describe the methods you will use to carry out your research: (eg library-based research, on-line research, fieldwork (interviews/ participant-observation), analysis of visual data, combinations of these)</w:t>
            </w:r>
          </w:p>
          <w:p w14:paraId="16C5238D">
            <w:pPr>
              <w:numPr>
                <w:ilvl w:val="0"/>
                <w:numId w:val="0"/>
              </w:numPr>
              <w:rPr>
                <w:rFonts w:hint="default" w:ascii="Arial Regular" w:hAnsi="Arial Regular" w:eastAsia="微软雅黑" w:cs="Arial Regular"/>
                <w:color w:val="auto"/>
                <w:sz w:val="22"/>
                <w:szCs w:val="22"/>
              </w:rPr>
            </w:pPr>
          </w:p>
          <w:p w14:paraId="14964480">
            <w:pPr>
              <w:numPr>
                <w:ilvl w:val="0"/>
                <w:numId w:val="0"/>
              </w:numPr>
              <w:rPr>
                <w:rFonts w:hint="default" w:ascii="Arial Regular" w:hAnsi="Arial Regular" w:eastAsia="微软雅黑" w:cs="Arial Regular"/>
                <w:color w:val="000000" w:themeColor="text1"/>
                <w:sz w:val="22"/>
                <w:szCs w:val="22"/>
                <w14:textFill>
                  <w14:solidFill>
                    <w14:schemeClr w14:val="tx1"/>
                  </w14:solidFill>
                </w14:textFill>
              </w:rPr>
            </w:pPr>
            <w:r>
              <w:rPr>
                <w:rFonts w:hint="default" w:ascii="Arial Regular" w:hAnsi="Arial Regular" w:eastAsia="微软雅黑" w:cs="Arial Regular"/>
                <w:color w:val="auto"/>
                <w:sz w:val="22"/>
                <w:szCs w:val="22"/>
              </w:rPr>
              <w:t xml:space="preserve">The methodology of this </w:t>
            </w:r>
            <w:r>
              <w:rPr>
                <w:rFonts w:hint="default" w:ascii="Arial Regular" w:hAnsi="Arial Regular" w:eastAsia="微软雅黑" w:cs="Arial Regular"/>
                <w:color w:val="auto"/>
                <w:sz w:val="22"/>
                <w:szCs w:val="22"/>
                <w:lang w:val="en-US" w:eastAsia="zh-CN"/>
              </w:rPr>
              <w:t xml:space="preserve">research </w:t>
            </w:r>
            <w:r>
              <w:rPr>
                <w:rFonts w:hint="default" w:ascii="Arial Regular" w:hAnsi="Arial Regular" w:eastAsia="微软雅黑" w:cs="Arial Regular"/>
                <w:color w:val="auto"/>
                <w:sz w:val="22"/>
                <w:szCs w:val="22"/>
              </w:rPr>
              <w:t xml:space="preserve">is based on the philosophical positions of Constructivism and Interpretivism. This </w:t>
            </w:r>
            <w:r>
              <w:rPr>
                <w:rFonts w:hint="default" w:ascii="Arial Regular" w:hAnsi="Arial Regular" w:eastAsia="微软雅黑" w:cs="Arial Regular"/>
                <w:color w:val="auto"/>
                <w:sz w:val="22"/>
                <w:szCs w:val="22"/>
                <w:lang w:val="en-US" w:eastAsia="zh-CN"/>
              </w:rPr>
              <w:t>research</w:t>
            </w:r>
            <w:r>
              <w:rPr>
                <w:rFonts w:hint="default" w:ascii="Arial Regular" w:hAnsi="Arial Regular" w:eastAsia="微软雅黑" w:cs="Arial Regular"/>
                <w:color w:val="auto"/>
                <w:sz w:val="22"/>
                <w:szCs w:val="22"/>
              </w:rPr>
              <w:t xml:space="preserve"> argues that the meanings of the Chinese serpent totem mythology and its visual symbols are not fixed, but are continually constructed and reinterpreted by Chinese Generation Z (aged 18–30) within the contexts of new media and popular culture (Schutz, 1970; Geertz, 2017).</w:t>
            </w:r>
            <w:r>
              <w:rPr>
                <w:rFonts w:hint="eastAsia" w:ascii="Arial Regular" w:hAnsi="Arial Regular" w:eastAsia="微软雅黑" w:cs="Arial Regular"/>
                <w:color w:val="auto"/>
                <w:sz w:val="22"/>
                <w:szCs w:val="22"/>
                <w:lang w:val="en-US" w:eastAsia="zh-CN"/>
              </w:rPr>
              <w:t xml:space="preserve"> </w:t>
            </w:r>
            <w:r>
              <w:rPr>
                <w:rFonts w:hint="default" w:ascii="Arial Regular" w:hAnsi="Arial Regular" w:eastAsia="微软雅黑" w:cs="Arial Regular"/>
                <w:color w:val="auto"/>
                <w:sz w:val="22"/>
                <w:szCs w:val="22"/>
              </w:rPr>
              <w:t xml:space="preserve">This </w:t>
            </w:r>
            <w:r>
              <w:rPr>
                <w:rFonts w:hint="default" w:ascii="Arial Regular" w:hAnsi="Arial Regular" w:eastAsia="微软雅黑" w:cs="Arial Regular"/>
                <w:color w:val="auto"/>
                <w:sz w:val="22"/>
                <w:szCs w:val="22"/>
                <w:lang w:val="en-US" w:eastAsia="zh-CN"/>
              </w:rPr>
              <w:t>research</w:t>
            </w:r>
            <w:r>
              <w:rPr>
                <w:rFonts w:hint="default" w:ascii="Arial Regular" w:hAnsi="Arial Regular" w:eastAsia="微软雅黑" w:cs="Arial Regular"/>
                <w:color w:val="auto"/>
                <w:sz w:val="22"/>
                <w:szCs w:val="22"/>
              </w:rPr>
              <w:t xml:space="preserve"> adopts a Mixed Methods Research approach, combining qualitative and quantitative research methods.</w:t>
            </w:r>
            <w:r>
              <w:rPr>
                <w:rFonts w:hint="default" w:ascii="Arial Regular" w:hAnsi="Arial Regular" w:eastAsia="微软雅黑" w:cs="Arial Regular"/>
                <w:color w:val="auto"/>
                <w:sz w:val="22"/>
                <w:szCs w:val="22"/>
                <w:lang w:val="en-US" w:eastAsia="zh-CN"/>
              </w:rPr>
              <w:t xml:space="preserve"> </w:t>
            </w:r>
            <w:r>
              <w:rPr>
                <w:rFonts w:hint="default" w:ascii="Arial Regular" w:hAnsi="Arial Regular" w:eastAsia="微软雅黑" w:cs="Arial Regular"/>
                <w:color w:val="auto"/>
                <w:sz w:val="22"/>
                <w:szCs w:val="22"/>
              </w:rPr>
              <w:t>Quantitative methods (questionnaires) will be employed at both the pre-creation and post-creation stages. At the pre-creation stage, questionnaires will be used to collect cognitive data from Generation Z to understand their interpretation of Chinese serpent totem mythology and their visual preferences. At the post-creation stage, questionnaires will be used to evaluate the effectiveness of the illustrations in terms of communication and understanding among Generation Z.</w:t>
            </w:r>
            <w:r>
              <w:rPr>
                <w:rFonts w:hint="default" w:ascii="Arial Regular" w:hAnsi="Arial Regular" w:eastAsia="微软雅黑" w:cs="Arial Regular"/>
                <w:color w:val="auto"/>
                <w:sz w:val="22"/>
                <w:szCs w:val="22"/>
                <w:lang w:val="en-US" w:eastAsia="zh-CN"/>
              </w:rPr>
              <w:t xml:space="preserve"> </w:t>
            </w:r>
            <w:r>
              <w:rPr>
                <w:rFonts w:hint="default" w:ascii="Arial Regular" w:hAnsi="Arial Regular" w:eastAsia="微软雅黑" w:cs="Arial Regular"/>
                <w:color w:val="auto"/>
                <w:sz w:val="22"/>
                <w:szCs w:val="22"/>
              </w:rPr>
              <w:t>Qualitative methods (interviews and observations) will also be applied at both the pre-creation and post-creation stages. At the pre-creation stage, small-scale testing will gather participants’ initial feedback on symbol recognition and illustration sketches through these methods. At the post-creation stage, interviews and observations will be conducted during the exhibition and audience research to gain deeper insights into the audience’s experiences and cultural interpretations when viewing and interacting with the illustrations.</w:t>
            </w:r>
            <w:r>
              <w:rPr>
                <w:rFonts w:hint="eastAsia" w:ascii="Arial Regular" w:hAnsi="Arial Regular" w:eastAsia="微软雅黑" w:cs="Arial Regular"/>
                <w:color w:val="auto"/>
                <w:sz w:val="22"/>
                <w:szCs w:val="22"/>
                <w:lang w:val="en-US" w:eastAsia="zh-CN"/>
              </w:rPr>
              <w:t xml:space="preserve"> </w:t>
            </w:r>
            <w:r>
              <w:rPr>
                <w:rFonts w:hint="default" w:ascii="Arial Regular" w:hAnsi="Arial Regular" w:eastAsia="微软雅黑" w:cs="Arial Regular"/>
                <w:color w:val="000000" w:themeColor="text1"/>
                <w:sz w:val="22"/>
                <w:szCs w:val="22"/>
                <w14:textFill>
                  <w14:solidFill>
                    <w14:schemeClr w14:val="tx1"/>
                  </w14:solidFill>
                </w14:textFill>
              </w:rPr>
              <w:t>In addition, this research adopts a Linear Research Design, in which the process advances step by step. The overall sequence includes:  literature and case analysis → preliminary research and small-scale tests before creation → illustration practice → audience research → data analysis and reflection.</w:t>
            </w:r>
          </w:p>
          <w:p w14:paraId="5AA924D4">
            <w:pPr>
              <w:numPr>
                <w:ilvl w:val="0"/>
                <w:numId w:val="0"/>
              </w:numPr>
              <w:rPr>
                <w:rFonts w:hint="default" w:ascii="Arial Regular" w:hAnsi="Arial Regular" w:eastAsia="微软雅黑" w:cs="Arial Regular"/>
                <w:color w:val="000000" w:themeColor="text1"/>
                <w:sz w:val="22"/>
                <w:szCs w:val="22"/>
                <w14:textFill>
                  <w14:solidFill>
                    <w14:schemeClr w14:val="tx1"/>
                  </w14:solidFill>
                </w14:textFill>
              </w:rPr>
            </w:pPr>
          </w:p>
          <w:p w14:paraId="1B099F27">
            <w:pPr>
              <w:numPr>
                <w:ilvl w:val="0"/>
                <w:numId w:val="0"/>
              </w:numPr>
              <w:rPr>
                <w:rFonts w:hint="default" w:ascii="Arial Bold" w:hAnsi="Arial Bold" w:eastAsia="微软雅黑" w:cs="Arial Bold"/>
                <w:b/>
                <w:bCs/>
                <w:color w:val="000000" w:themeColor="text1"/>
                <w:sz w:val="22"/>
                <w:szCs w:val="22"/>
                <w14:textFill>
                  <w14:solidFill>
                    <w14:schemeClr w14:val="tx1"/>
                  </w14:solidFill>
                </w14:textFill>
              </w:rPr>
            </w:pPr>
            <w:r>
              <w:rPr>
                <w:rFonts w:hint="default" w:ascii="Arial Bold" w:hAnsi="Arial Bold" w:eastAsia="微软雅黑" w:cs="Arial Bold"/>
                <w:b/>
                <w:bCs/>
                <w:color w:val="000000" w:themeColor="text1"/>
                <w:sz w:val="22"/>
                <w:szCs w:val="22"/>
                <w14:textFill>
                  <w14:solidFill>
                    <w14:schemeClr w14:val="tx1"/>
                  </w14:solidFill>
                </w14:textFill>
              </w:rPr>
              <w:t>Target Audience and Participant Recruitment:</w:t>
            </w:r>
          </w:p>
          <w:p w14:paraId="7E8AF8BF">
            <w:pPr>
              <w:numPr>
                <w:ilvl w:val="0"/>
                <w:numId w:val="0"/>
              </w:numPr>
              <w:rPr>
                <w:rFonts w:hint="eastAsia" w:ascii="微软雅黑" w:hAnsi="微软雅黑" w:eastAsia="微软雅黑" w:cs="微软雅黑"/>
                <w:color w:val="4F81BD" w:themeColor="accent1"/>
                <w:sz w:val="22"/>
                <w:szCs w:val="22"/>
                <w14:textFill>
                  <w14:solidFill>
                    <w14:schemeClr w14:val="accent1"/>
                  </w14:solidFill>
                </w14:textFill>
              </w:rPr>
            </w:pPr>
            <w:r>
              <w:rPr>
                <w:rFonts w:hint="default" w:ascii="Arial Regular" w:hAnsi="Arial Regular" w:eastAsia="微软雅黑" w:cs="Arial Regular"/>
                <w:color w:val="000000" w:themeColor="text1"/>
                <w:sz w:val="22"/>
                <w:szCs w:val="22"/>
                <w14:textFill>
                  <w14:solidFill>
                    <w14:schemeClr w14:val="tx1"/>
                  </w14:solidFill>
                </w14:textFill>
              </w:rPr>
              <w:t xml:space="preserve">The core audience of this </w:t>
            </w:r>
            <w:r>
              <w:rPr>
                <w:rFonts w:hint="default" w:ascii="Arial Regular" w:hAnsi="Arial Regular" w:eastAsia="微软雅黑" w:cs="Arial Regular"/>
                <w:color w:val="000000" w:themeColor="text1"/>
                <w:sz w:val="22"/>
                <w:szCs w:val="22"/>
                <w:lang w:val="en-US" w:eastAsia="zh-CN"/>
                <w14:textFill>
                  <w14:solidFill>
                    <w14:schemeClr w14:val="tx1"/>
                  </w14:solidFill>
                </w14:textFill>
              </w:rPr>
              <w:t>research</w:t>
            </w:r>
            <w:r>
              <w:rPr>
                <w:rFonts w:hint="default" w:ascii="Arial Regular" w:hAnsi="Arial Regular" w:eastAsia="微软雅黑" w:cs="Arial Regular"/>
                <w:color w:val="000000" w:themeColor="text1"/>
                <w:sz w:val="22"/>
                <w:szCs w:val="22"/>
                <w14:textFill>
                  <w14:solidFill>
                    <w14:schemeClr w14:val="tx1"/>
                  </w14:solidFill>
                </w14:textFill>
              </w:rPr>
              <w:t xml:space="preserve"> consists of Chinese Generation Z university students (aged 18–30). As digital natives, this group has grown up in an environment shaped by new media and popular culture, making them highly sensitive to visual narratives and interactive forms, while possessing a relatively limited systematic understanding of traditional mythology (Hu, 2022; Chang, 2023).</w:t>
            </w:r>
            <w:r>
              <w:rPr>
                <w:rFonts w:hint="default" w:ascii="Arial Regular" w:hAnsi="Arial Regular" w:eastAsia="微软雅黑" w:cs="Arial Regular"/>
                <w:color w:val="000000" w:themeColor="text1"/>
                <w:sz w:val="22"/>
                <w:szCs w:val="22"/>
                <w:lang w:val="en-US" w:eastAsia="zh-CN"/>
                <w14:textFill>
                  <w14:solidFill>
                    <w14:schemeClr w14:val="tx1"/>
                  </w14:solidFill>
                </w14:textFill>
              </w:rPr>
              <w:t xml:space="preserve"> </w:t>
            </w:r>
            <w:r>
              <w:rPr>
                <w:rFonts w:hint="default" w:ascii="Arial Regular" w:hAnsi="Arial Regular" w:eastAsia="微软雅黑" w:cs="Arial Regular"/>
                <w:color w:val="000000" w:themeColor="text1"/>
                <w:sz w:val="22"/>
                <w:szCs w:val="22"/>
                <w14:textFill>
                  <w14:solidFill>
                    <w14:schemeClr w14:val="tx1"/>
                  </w14:solidFill>
                </w14:textFill>
              </w:rPr>
              <w:t>Therefore, they are not only the most challenging group in the transmission of mythology, but also a key audience for cultural revitalisation through innovative forms of communication</w:t>
            </w:r>
            <w:r>
              <w:rPr>
                <w:rFonts w:hint="eastAsia" w:ascii="Arial Regular" w:hAnsi="Arial Regular" w:eastAsia="微软雅黑" w:cs="Arial Regular"/>
                <w:color w:val="000000" w:themeColor="text1"/>
                <w:sz w:val="22"/>
                <w:szCs w:val="22"/>
                <w:lang w:val="en-US" w:eastAsia="zh-CN"/>
                <w14:textFill>
                  <w14:solidFill>
                    <w14:schemeClr w14:val="tx1"/>
                  </w14:solidFill>
                </w14:textFill>
              </w:rPr>
              <w:t xml:space="preserve">. </w:t>
            </w:r>
            <w:r>
              <w:rPr>
                <w:rFonts w:hint="default" w:ascii="Arial Regular" w:hAnsi="Arial Regular" w:eastAsia="微软雅黑" w:cs="Arial Regular"/>
                <w:color w:val="000000" w:themeColor="text1"/>
                <w:sz w:val="22"/>
                <w:szCs w:val="22"/>
                <w14:textFill>
                  <w14:solidFill>
                    <w14:schemeClr w14:val="tx1"/>
                  </w14:solidFill>
                </w14:textFill>
              </w:rPr>
              <w:t xml:space="preserve">This </w:t>
            </w:r>
            <w:r>
              <w:rPr>
                <w:rFonts w:hint="eastAsia" w:ascii="Arial Regular" w:hAnsi="Arial Regular" w:eastAsia="微软雅黑" w:cs="Arial Regular"/>
                <w:color w:val="000000" w:themeColor="text1"/>
                <w:sz w:val="22"/>
                <w:szCs w:val="22"/>
                <w:lang w:val="en-US" w:eastAsia="zh-CN"/>
                <w14:textFill>
                  <w14:solidFill>
                    <w14:schemeClr w14:val="tx1"/>
                  </w14:solidFill>
                </w14:textFill>
              </w:rPr>
              <w:t xml:space="preserve">research </w:t>
            </w:r>
            <w:r>
              <w:rPr>
                <w:rFonts w:hint="default" w:ascii="Arial Regular" w:hAnsi="Arial Regular" w:eastAsia="微软雅黑" w:cs="Arial Regular"/>
                <w:color w:val="000000" w:themeColor="text1"/>
                <w:sz w:val="22"/>
                <w:szCs w:val="22"/>
                <w14:textFill>
                  <w14:solidFill>
                    <w14:schemeClr w14:val="tx1"/>
                  </w14:solidFill>
                </w14:textFill>
              </w:rPr>
              <w:t>will primarily focus on recruiting participants within Chinese university settings, while also expanding the sample through online channels to ensure diversity and representativeness of the data.</w:t>
            </w:r>
          </w:p>
          <w:p w14:paraId="4A95C171">
            <w:pPr>
              <w:numPr>
                <w:ilvl w:val="0"/>
                <w:numId w:val="0"/>
              </w:numPr>
              <w:rPr>
                <w:rFonts w:hint="default" w:ascii="Arial Regular" w:hAnsi="Arial Regular" w:eastAsia="微软雅黑" w:cs="Arial Regular"/>
                <w:color w:val="000000" w:themeColor="text1"/>
                <w:sz w:val="22"/>
                <w:szCs w:val="22"/>
                <w14:textFill>
                  <w14:solidFill>
                    <w14:schemeClr w14:val="tx1"/>
                  </w14:solidFill>
                </w14:textFill>
              </w:rPr>
            </w:pPr>
          </w:p>
          <w:p w14:paraId="6E2322EA">
            <w:pPr>
              <w:numPr>
                <w:ilvl w:val="0"/>
                <w:numId w:val="0"/>
              </w:numPr>
              <w:rPr>
                <w:rFonts w:hint="default" w:ascii="Arial Bold" w:hAnsi="Arial Bold" w:cs="Arial Bold"/>
                <w:b/>
                <w:bCs/>
                <w:sz w:val="22"/>
                <w:szCs w:val="22"/>
              </w:rPr>
            </w:pPr>
            <w:r>
              <w:rPr>
                <w:rFonts w:hint="default" w:ascii="Arial Bold" w:hAnsi="Arial Bold" w:cs="Arial Bold"/>
                <w:b/>
                <w:bCs/>
                <w:sz w:val="22"/>
                <w:szCs w:val="22"/>
              </w:rPr>
              <w:t>Philosophical and Methodological Foundations:</w:t>
            </w:r>
          </w:p>
          <w:p w14:paraId="7D7F0FB7">
            <w:pPr>
              <w:numPr>
                <w:ilvl w:val="0"/>
                <w:numId w:val="0"/>
              </w:numPr>
              <w:rPr>
                <w:rFonts w:hint="default" w:ascii="Arial Regular" w:hAnsi="Arial Regular" w:cs="Arial Regular"/>
                <w:sz w:val="22"/>
                <w:szCs w:val="22"/>
              </w:rPr>
            </w:pPr>
            <w:r>
              <w:rPr>
                <w:rFonts w:hint="default" w:ascii="Arial" w:hAnsi="Arial" w:cs="Arial"/>
                <w:b w:val="0"/>
                <w:bCs w:val="0"/>
                <w:sz w:val="22"/>
                <w:szCs w:val="22"/>
              </w:rPr>
              <w:t xml:space="preserve">The philosophical orientation of this research is phenomenology, drawing on embodied phenomenology and hermeneutic phenomenology. The former emphasizes the audience’s sensory and bodily immersion during processes of viewing and interaction (Merleau-Ponty, 1962), while the latter focuses on how audiences interpret mythology within their own cultural contexts (Gadamer, 2013). This research will integrate visual semiotics (Barthes, 1972; Kress and van Leeuwen, 2020) to analyze </w:t>
            </w:r>
            <w:r>
              <w:rPr>
                <w:rFonts w:hint="eastAsia" w:ascii="Arial" w:hAnsi="Arial" w:eastAsia="SimSun" w:cs="Arial"/>
                <w:b w:val="0"/>
                <w:bCs w:val="0"/>
                <w:sz w:val="22"/>
                <w:szCs w:val="22"/>
                <w:lang w:val="en-US" w:eastAsia="zh-CN"/>
              </w:rPr>
              <w:t>visual</w:t>
            </w:r>
            <w:r>
              <w:rPr>
                <w:rFonts w:hint="default" w:ascii="Arial" w:hAnsi="Arial" w:cs="Arial"/>
                <w:b w:val="0"/>
                <w:bCs w:val="0"/>
                <w:sz w:val="22"/>
                <w:szCs w:val="22"/>
              </w:rPr>
              <w:t xml:space="preserve"> symbols, and will apply Interpretative Phenomenological Analysis (Smith et al., 2021) to examine interviews and feedback. In addition, autoethnography (Ellis, Adams and Bochner, 2011) will be employed to reflect on the researcher’s own cultural standpoint and creative choices.</w:t>
            </w:r>
          </w:p>
          <w:p w14:paraId="5C52AD7A">
            <w:pPr>
              <w:numPr>
                <w:ilvl w:val="0"/>
                <w:numId w:val="0"/>
              </w:numPr>
              <w:rPr>
                <w:rFonts w:hint="default" w:ascii="Arial Regular" w:hAnsi="Arial Regular" w:cs="Arial Regular"/>
                <w:sz w:val="22"/>
                <w:szCs w:val="22"/>
              </w:rPr>
            </w:pPr>
          </w:p>
          <w:p w14:paraId="0ECD7DE1">
            <w:pPr>
              <w:numPr>
                <w:ilvl w:val="0"/>
                <w:numId w:val="0"/>
              </w:numPr>
              <w:rPr>
                <w:rFonts w:hint="default" w:ascii="Arial Bold" w:hAnsi="Arial Bold" w:eastAsia="微软雅黑" w:cs="Arial Bold"/>
                <w:b/>
                <w:bCs/>
                <w:sz w:val="22"/>
                <w:szCs w:val="22"/>
              </w:rPr>
            </w:pPr>
            <w:r>
              <w:rPr>
                <w:rFonts w:hint="default" w:ascii="Arial Bold" w:hAnsi="Arial Bold" w:eastAsia="微软雅黑" w:cs="Arial Bold"/>
                <w:b/>
                <w:bCs/>
                <w:sz w:val="22"/>
                <w:szCs w:val="22"/>
              </w:rPr>
              <w:t>Research Design and Methods:</w:t>
            </w:r>
          </w:p>
          <w:p w14:paraId="19E33ED2">
            <w:pPr>
              <w:numPr>
                <w:ilvl w:val="0"/>
                <w:numId w:val="4"/>
              </w:numPr>
              <w:rPr>
                <w:rFonts w:hint="default" w:ascii="Arial Bold" w:hAnsi="Arial Bold" w:eastAsia="微软雅黑" w:cs="Arial Bold"/>
                <w:b/>
                <w:bCs/>
                <w:sz w:val="22"/>
                <w:szCs w:val="22"/>
              </w:rPr>
            </w:pPr>
            <w:r>
              <w:rPr>
                <w:rFonts w:hint="default" w:ascii="Arial Bold" w:hAnsi="Arial Bold" w:eastAsia="微软雅黑" w:cs="Arial Bold"/>
                <w:b/>
                <w:bCs/>
                <w:sz w:val="22"/>
                <w:szCs w:val="22"/>
              </w:rPr>
              <w:t>Literature and Visual Case Analysis</w:t>
            </w:r>
          </w:p>
          <w:p w14:paraId="0DA957E0">
            <w:pPr>
              <w:numPr>
                <w:ilvl w:val="0"/>
                <w:numId w:val="0"/>
              </w:numPr>
              <w:rPr>
                <w:rFonts w:hint="default" w:ascii="Arial Regular" w:hAnsi="Arial Regular" w:eastAsia="微软雅黑" w:cs="Arial Regular"/>
                <w:sz w:val="22"/>
                <w:szCs w:val="22"/>
              </w:rPr>
            </w:pPr>
            <w:r>
              <w:rPr>
                <w:rFonts w:hint="default" w:ascii="Arial Regular" w:hAnsi="Arial Regular" w:eastAsia="微软雅黑" w:cs="Arial Regular"/>
                <w:sz w:val="22"/>
                <w:szCs w:val="22"/>
              </w:rPr>
              <w:t>This research will systematically analyze classical texts and visual materials of Chinese serpent totem mythology, such as</w:t>
            </w:r>
            <w:r>
              <w:rPr>
                <w:rFonts w:hint="default" w:ascii="Arial Italic" w:hAnsi="Arial Italic" w:eastAsia="微软雅黑" w:cs="Arial Italic"/>
                <w:i/>
                <w:iCs/>
                <w:sz w:val="22"/>
                <w:szCs w:val="22"/>
              </w:rPr>
              <w:t xml:space="preserve"> The Classic of Mountains and Seas (Shan Hai Jing)</w:t>
            </w:r>
            <w:r>
              <w:rPr>
                <w:rFonts w:hint="default" w:ascii="Arial Regular" w:hAnsi="Arial Regular" w:eastAsia="微软雅黑" w:cs="Arial Regular"/>
                <w:sz w:val="22"/>
                <w:szCs w:val="22"/>
              </w:rPr>
              <w:t xml:space="preserve">, the myths of Nüwa and Fuxi, </w:t>
            </w:r>
            <w:r>
              <w:rPr>
                <w:rFonts w:hint="default" w:ascii="Arial Italic" w:hAnsi="Arial Italic" w:eastAsia="微软雅黑" w:cs="Arial Italic"/>
                <w:i/>
                <w:iCs/>
                <w:sz w:val="22"/>
                <w:szCs w:val="22"/>
              </w:rPr>
              <w:t>The Legend of the White Snake</w:t>
            </w:r>
            <w:r>
              <w:rPr>
                <w:rFonts w:hint="default" w:ascii="Arial Regular" w:hAnsi="Arial Regular" w:eastAsia="微软雅黑" w:cs="Arial Regular"/>
                <w:sz w:val="22"/>
                <w:szCs w:val="22"/>
              </w:rPr>
              <w:t>, as well as serpent-related motifs on bronze vessels, Han dynasty pictorial stones</w:t>
            </w:r>
            <w:r>
              <w:rPr>
                <w:rFonts w:hint="eastAsia" w:ascii="Arial Regular" w:hAnsi="Arial Regular" w:eastAsia="微软雅黑" w:cs="Arial Regular"/>
                <w:sz w:val="22"/>
                <w:szCs w:val="22"/>
                <w:lang w:val="en-US" w:eastAsia="zh-CN"/>
              </w:rPr>
              <w:t xml:space="preserve"> </w:t>
            </w:r>
            <w:r>
              <w:rPr>
                <w:rFonts w:hint="default" w:ascii="Arial Regular" w:hAnsi="Arial Regular" w:eastAsia="微软雅黑" w:cs="Arial Regular"/>
                <w:sz w:val="22"/>
                <w:szCs w:val="22"/>
              </w:rPr>
              <w:t>and contemporary artistic cases.</w:t>
            </w:r>
            <w:r>
              <w:rPr>
                <w:rFonts w:hint="eastAsia" w:ascii="Arial Regular" w:hAnsi="Arial Regular" w:eastAsia="微软雅黑" w:cs="Arial Regular"/>
                <w:sz w:val="22"/>
                <w:szCs w:val="22"/>
                <w:lang w:val="en-US" w:eastAsia="zh-CN"/>
              </w:rPr>
              <w:t xml:space="preserve"> </w:t>
            </w:r>
            <w:r>
              <w:rPr>
                <w:rFonts w:hint="default" w:ascii="Arial Regular" w:hAnsi="Arial Regular" w:eastAsia="微软雅黑" w:cs="Arial Regular"/>
                <w:sz w:val="22"/>
                <w:szCs w:val="22"/>
              </w:rPr>
              <w:t>This research will draw on the theoretical frameworks of mythology and semiotics to conduct cross-historical comparisons and interpretations of these texts and images, with the aim of identifying the core symbols and cultural motifs of the Chinese serpent totem within mythological narratives and visual culture.</w:t>
            </w:r>
          </w:p>
          <w:p w14:paraId="0F967AB9">
            <w:pPr>
              <w:numPr>
                <w:ilvl w:val="0"/>
                <w:numId w:val="0"/>
              </w:numPr>
              <w:rPr>
                <w:rFonts w:hint="default" w:ascii="Arial Regular" w:hAnsi="Arial Regular" w:eastAsia="微软雅黑" w:cs="Arial Regular"/>
                <w:sz w:val="22"/>
                <w:szCs w:val="22"/>
              </w:rPr>
            </w:pPr>
          </w:p>
          <w:p w14:paraId="0BCDF95D">
            <w:pPr>
              <w:numPr>
                <w:ilvl w:val="0"/>
                <w:numId w:val="4"/>
              </w:numPr>
              <w:ind w:left="0" w:leftChars="0" w:firstLine="0" w:firstLineChars="0"/>
              <w:rPr>
                <w:rFonts w:hint="default" w:ascii="Arial Bold" w:hAnsi="Arial Bold" w:eastAsia="微软雅黑" w:cs="Arial Bold"/>
                <w:b/>
                <w:bCs/>
                <w:sz w:val="22"/>
                <w:szCs w:val="22"/>
              </w:rPr>
            </w:pPr>
            <w:r>
              <w:rPr>
                <w:rFonts w:hint="default" w:ascii="Arial Bold" w:hAnsi="Arial Bold" w:eastAsia="微软雅黑" w:cs="Arial Bold"/>
                <w:b/>
                <w:bCs/>
                <w:sz w:val="22"/>
                <w:szCs w:val="22"/>
              </w:rPr>
              <w:t>Interviews and Questionnaires (Pre-Creation)</w:t>
            </w:r>
          </w:p>
          <w:p w14:paraId="57AFBEA9">
            <w:pPr>
              <w:numPr>
                <w:ilvl w:val="0"/>
                <w:numId w:val="0"/>
              </w:numPr>
              <w:rPr>
                <w:rFonts w:hint="eastAsia" w:ascii="Arial Regular" w:hAnsi="Arial Regular" w:eastAsia="微软雅黑" w:cs="Arial Regular"/>
                <w:sz w:val="22"/>
                <w:szCs w:val="22"/>
                <w:lang w:val="en-US" w:eastAsia="zh-CN"/>
              </w:rPr>
            </w:pPr>
            <w:r>
              <w:rPr>
                <w:rFonts w:hint="default" w:ascii="Arial Regular" w:hAnsi="Arial Regular" w:eastAsia="微软雅黑" w:cs="Arial Regular"/>
                <w:sz w:val="22"/>
                <w:szCs w:val="22"/>
              </w:rPr>
              <w:t>Before the illustration practice, this research will conduct small-scale exploratory work aimed at validating and refining the readability of symbols and the effectiveness of cultural communication</w:t>
            </w:r>
            <w:r>
              <w:rPr>
                <w:rFonts w:hint="eastAsia" w:ascii="Arial Regular" w:hAnsi="Arial Regular" w:eastAsia="微软雅黑" w:cs="Arial Regular"/>
                <w:sz w:val="22"/>
                <w:szCs w:val="22"/>
                <w:lang w:val="en-US" w:eastAsia="zh-CN"/>
              </w:rPr>
              <w:t>:</w:t>
            </w:r>
          </w:p>
          <w:p w14:paraId="3C56BF37">
            <w:pPr>
              <w:numPr>
                <w:ilvl w:val="0"/>
                <w:numId w:val="0"/>
              </w:numPr>
              <w:rPr>
                <w:rFonts w:hint="default" w:ascii="Arial Regular" w:hAnsi="Arial Regular" w:eastAsia="微软雅黑" w:cs="Arial Regular"/>
                <w:sz w:val="22"/>
                <w:szCs w:val="22"/>
              </w:rPr>
            </w:pPr>
          </w:p>
          <w:p w14:paraId="3A62F01E">
            <w:pPr>
              <w:numPr>
                <w:ilvl w:val="0"/>
                <w:numId w:val="3"/>
              </w:numPr>
              <w:ind w:left="360" w:leftChars="0" w:firstLineChars="0"/>
              <w:rPr>
                <w:rFonts w:hint="default" w:ascii="Arial Regular" w:hAnsi="Arial Regular" w:eastAsia="微软雅黑" w:cs="Arial Regular"/>
                <w:sz w:val="22"/>
                <w:szCs w:val="22"/>
              </w:rPr>
            </w:pPr>
            <w:r>
              <w:rPr>
                <w:rFonts w:hint="default" w:ascii="Arial Bold" w:hAnsi="Arial Bold" w:eastAsia="微软雅黑" w:cs="Arial Bold"/>
                <w:b/>
                <w:bCs/>
                <w:sz w:val="22"/>
                <w:szCs w:val="22"/>
              </w:rPr>
              <w:t>Recognition and Interpretation Test:</w:t>
            </w:r>
            <w:r>
              <w:rPr>
                <w:rFonts w:hint="eastAsia" w:ascii="Arial Bold" w:hAnsi="Arial Bold" w:eastAsia="微软雅黑" w:cs="Arial Bold"/>
                <w:b/>
                <w:bCs/>
                <w:sz w:val="22"/>
                <w:szCs w:val="22"/>
                <w:lang w:val="en-US" w:eastAsia="zh-CN"/>
              </w:rPr>
              <w:t xml:space="preserve"> </w:t>
            </w:r>
            <w:r>
              <w:rPr>
                <w:rFonts w:hint="default" w:ascii="Arial Regular" w:hAnsi="Arial Regular" w:eastAsia="微软雅黑" w:cs="Arial Regular"/>
                <w:sz w:val="22"/>
                <w:szCs w:val="22"/>
              </w:rPr>
              <w:t xml:space="preserve">This research will present selected Chinese serpent totem imagery to a group of </w:t>
            </w:r>
            <w:r>
              <w:rPr>
                <w:rFonts w:hint="eastAsia" w:ascii="Arial Regular" w:hAnsi="Arial Regular" w:eastAsia="微软雅黑" w:cs="Arial Regular"/>
                <w:sz w:val="22"/>
                <w:szCs w:val="22"/>
                <w:lang w:val="en-US" w:eastAsia="zh-CN"/>
              </w:rPr>
              <w:t xml:space="preserve">Chinese </w:t>
            </w:r>
            <w:r>
              <w:rPr>
                <w:rFonts w:hint="default" w:ascii="Arial Regular" w:hAnsi="Arial Regular" w:eastAsia="微软雅黑" w:cs="Arial Regular"/>
                <w:sz w:val="22"/>
                <w:szCs w:val="22"/>
              </w:rPr>
              <w:t>Generation Z participants, such as serpent motifs from bronze vessels and partial elements of the Nüwa and Fuxi figures. Their interpretations and associations will be collected in order to evaluate both the recognisability of these images and the differences in cultural interpretation within contemporary youth contexts.</w:t>
            </w:r>
          </w:p>
          <w:p w14:paraId="4E79A918">
            <w:pPr>
              <w:numPr>
                <w:ilvl w:val="0"/>
                <w:numId w:val="0"/>
              </w:numPr>
              <w:ind w:leftChars="0"/>
              <w:rPr>
                <w:rFonts w:hint="default" w:ascii="Arial Regular" w:hAnsi="Arial Regular" w:eastAsia="微软雅黑" w:cs="Arial Regular"/>
                <w:sz w:val="22"/>
                <w:szCs w:val="22"/>
              </w:rPr>
            </w:pPr>
          </w:p>
          <w:p w14:paraId="584E64CC">
            <w:pPr>
              <w:numPr>
                <w:ilvl w:val="0"/>
                <w:numId w:val="3"/>
              </w:numPr>
              <w:ind w:left="360" w:leftChars="0" w:firstLineChars="0"/>
              <w:rPr>
                <w:rFonts w:hint="default" w:ascii="Arial Regular" w:hAnsi="Arial Regular" w:eastAsia="微软雅黑" w:cs="Arial Regular"/>
                <w:sz w:val="22"/>
                <w:szCs w:val="22"/>
              </w:rPr>
            </w:pPr>
            <w:r>
              <w:rPr>
                <w:rFonts w:hint="default" w:ascii="Arial Bold" w:hAnsi="Arial Bold" w:eastAsia="微软雅黑" w:cs="Arial Bold"/>
                <w:b/>
                <w:bCs/>
                <w:sz w:val="22"/>
                <w:szCs w:val="22"/>
              </w:rPr>
              <w:t>Illustration Sketch Feedback:</w:t>
            </w:r>
            <w:r>
              <w:rPr>
                <w:rFonts w:hint="default" w:ascii="Arial Bold" w:hAnsi="Arial Bold" w:eastAsia="微软雅黑" w:cs="Arial Bold"/>
                <w:b/>
                <w:bCs/>
                <w:sz w:val="22"/>
                <w:szCs w:val="22"/>
                <w:lang w:val="en-US" w:eastAsia="zh-CN"/>
              </w:rPr>
              <w:t xml:space="preserve"> </w:t>
            </w:r>
            <w:r>
              <w:rPr>
                <w:rFonts w:hint="default" w:ascii="Arial Regular" w:hAnsi="Arial Regular" w:eastAsia="微软雅黑" w:cs="Arial Regular"/>
                <w:sz w:val="22"/>
                <w:szCs w:val="22"/>
              </w:rPr>
              <w:t>Preliminary illustration sketches will be presented, accompanied by semi-structured interviews or small-scale online questionnaires, to collect audience feedback on the communicative effectiveness of symbols, visual style and cultural understanding. The results will provide a basis for the subsequent formal illustration creation.</w:t>
            </w:r>
          </w:p>
          <w:p w14:paraId="6A3452CB">
            <w:pPr>
              <w:numPr>
                <w:ilvl w:val="0"/>
                <w:numId w:val="0"/>
              </w:numPr>
              <w:ind w:leftChars="0"/>
              <w:rPr>
                <w:rFonts w:hint="default" w:ascii="Arial Regular" w:hAnsi="Arial Regular" w:eastAsia="微软雅黑" w:cs="Arial Regular"/>
                <w:sz w:val="22"/>
                <w:szCs w:val="22"/>
              </w:rPr>
            </w:pPr>
          </w:p>
          <w:p w14:paraId="423EDBE6">
            <w:pPr>
              <w:numPr>
                <w:ilvl w:val="0"/>
                <w:numId w:val="3"/>
              </w:numPr>
              <w:ind w:left="360" w:leftChars="0" w:firstLineChars="0"/>
              <w:rPr>
                <w:rFonts w:hint="default" w:ascii="Arial Regular" w:hAnsi="Arial Regular" w:eastAsia="微软雅黑" w:cs="Arial Regular"/>
                <w:sz w:val="22"/>
                <w:szCs w:val="22"/>
              </w:rPr>
            </w:pPr>
            <w:r>
              <w:rPr>
                <w:rFonts w:hint="default" w:ascii="Arial Bold" w:hAnsi="Arial Bold" w:eastAsia="微软雅黑" w:cs="Arial Bold"/>
                <w:b/>
                <w:bCs/>
                <w:sz w:val="22"/>
                <w:szCs w:val="22"/>
              </w:rPr>
              <w:t xml:space="preserve">Color Scheme Testing: </w:t>
            </w:r>
            <w:r>
              <w:rPr>
                <w:rFonts w:hint="default" w:ascii="Arial Regular" w:hAnsi="Arial Regular" w:eastAsia="微软雅黑" w:cs="Arial Regular"/>
                <w:sz w:val="22"/>
                <w:szCs w:val="22"/>
              </w:rPr>
              <w:t>Based on the organization of the traditional Chinese color system, this research will conduct tests in combination with the selected illustration style to evaluate the role of color in enhancing the work’s visual appeal and cultural communication, thereby optimizing the subsequent visual presentation of the illustrations.</w:t>
            </w:r>
          </w:p>
          <w:p w14:paraId="4F7467F3">
            <w:pPr>
              <w:numPr>
                <w:ilvl w:val="0"/>
                <w:numId w:val="0"/>
              </w:numPr>
              <w:rPr>
                <w:rFonts w:hint="default" w:ascii="Arial Regular" w:hAnsi="Arial Regular" w:eastAsia="微软雅黑" w:cs="Arial Regular"/>
                <w:sz w:val="22"/>
                <w:szCs w:val="22"/>
              </w:rPr>
            </w:pPr>
          </w:p>
          <w:p w14:paraId="09392299">
            <w:pPr>
              <w:numPr>
                <w:ilvl w:val="0"/>
                <w:numId w:val="0"/>
              </w:numPr>
              <w:rPr>
                <w:rFonts w:hint="default" w:ascii="Arial Bold" w:hAnsi="Arial Bold" w:eastAsia="微软雅黑" w:cs="Arial Bold"/>
                <w:b/>
                <w:bCs/>
                <w:sz w:val="22"/>
                <w:szCs w:val="22"/>
                <w:lang w:val="en-US" w:eastAsia="zh-CN"/>
              </w:rPr>
            </w:pPr>
            <w:r>
              <w:rPr>
                <w:rFonts w:hint="default" w:ascii="Arial Bold" w:hAnsi="Arial Bold" w:eastAsia="微软雅黑" w:cs="Arial Bold"/>
                <w:b/>
                <w:bCs/>
                <w:sz w:val="22"/>
                <w:szCs w:val="22"/>
                <w:lang w:val="en-US" w:eastAsia="zh-CN"/>
              </w:rPr>
              <w:t>3. Illustration Practice</w:t>
            </w:r>
          </w:p>
          <w:p w14:paraId="5D15D6E3">
            <w:pPr>
              <w:numPr>
                <w:ilvl w:val="0"/>
                <w:numId w:val="0"/>
              </w:numPr>
              <w:rPr>
                <w:rFonts w:hint="eastAsia" w:ascii="Arial Regular" w:hAnsi="Arial Regular" w:eastAsia="微软雅黑" w:cs="Arial Regular"/>
                <w:sz w:val="22"/>
                <w:szCs w:val="22"/>
                <w:lang w:val="en-US" w:eastAsia="zh-CN"/>
              </w:rPr>
            </w:pPr>
            <w:r>
              <w:rPr>
                <w:rFonts w:hint="eastAsia" w:ascii="Arial Regular" w:hAnsi="Arial Regular" w:eastAsia="微软雅黑" w:cs="Arial Regular"/>
                <w:sz w:val="22"/>
                <w:szCs w:val="22"/>
                <w:lang w:val="en-US" w:eastAsia="zh-CN"/>
              </w:rPr>
              <w:t>Based on the findings of the preliminary research, this stage involves producing a series of illustrations themed around Chinese serpent totem mythology. Dynamic and interactive elements such as short animations and augmented reality (AR) applications will be selectively incorporated to strengthen both immersion and communicative impact. In this framework, illustration is not only the outcome of artistic practice but also a central methodological tool, used to examine and explore the reconstruction of the symbolic system of Chinese serpent totem mythology and its cultural significance within the context of Chinese Generation Z.</w:t>
            </w:r>
          </w:p>
          <w:p w14:paraId="045D8B65">
            <w:pPr>
              <w:numPr>
                <w:ilvl w:val="0"/>
                <w:numId w:val="0"/>
              </w:numPr>
              <w:rPr>
                <w:rFonts w:hint="default" w:ascii="Arial Regular" w:hAnsi="Arial Regular" w:eastAsia="微软雅黑" w:cs="Arial Regular"/>
                <w:sz w:val="22"/>
                <w:szCs w:val="22"/>
              </w:rPr>
            </w:pPr>
          </w:p>
          <w:p w14:paraId="07E26C8A">
            <w:pPr>
              <w:numPr>
                <w:ilvl w:val="0"/>
                <w:numId w:val="0"/>
              </w:numPr>
              <w:rPr>
                <w:rFonts w:hint="default" w:ascii="Arial Bold" w:hAnsi="Arial Bold" w:eastAsia="微软雅黑" w:cs="Arial Bold"/>
                <w:b/>
                <w:bCs/>
                <w:sz w:val="22"/>
                <w:szCs w:val="22"/>
              </w:rPr>
            </w:pPr>
            <w:r>
              <w:rPr>
                <w:rFonts w:hint="default" w:ascii="Arial Bold" w:hAnsi="Arial Bold" w:eastAsia="微软雅黑" w:cs="Arial Bold"/>
                <w:b/>
                <w:bCs/>
                <w:sz w:val="22"/>
                <w:szCs w:val="22"/>
              </w:rPr>
              <w:t>4. Audience Research (Questionnaires, Interviews and Observation)</w:t>
            </w:r>
          </w:p>
          <w:p w14:paraId="332E3DE2">
            <w:pPr>
              <w:numPr>
                <w:ilvl w:val="0"/>
                <w:numId w:val="0"/>
              </w:numPr>
              <w:rPr>
                <w:rFonts w:hint="eastAsia" w:ascii="Arial Regular" w:hAnsi="Arial Regular" w:eastAsia="微软雅黑" w:cs="Arial Regular"/>
                <w:sz w:val="22"/>
                <w:szCs w:val="22"/>
                <w:lang w:val="en-US" w:eastAsia="zh-CN"/>
              </w:rPr>
            </w:pPr>
            <w:r>
              <w:rPr>
                <w:rFonts w:hint="default" w:ascii="Arial Regular" w:hAnsi="Arial Regular" w:eastAsia="微软雅黑" w:cs="Arial Regular"/>
                <w:sz w:val="22"/>
                <w:szCs w:val="22"/>
              </w:rPr>
              <w:t xml:space="preserve">After the completion of the illustration works, this </w:t>
            </w:r>
            <w:r>
              <w:rPr>
                <w:rFonts w:hint="default" w:ascii="Arial Regular" w:hAnsi="Arial Regular" w:eastAsia="微软雅黑" w:cs="Arial Regular"/>
                <w:sz w:val="22"/>
                <w:szCs w:val="22"/>
                <w:lang w:val="en-US" w:eastAsia="zh-CN"/>
              </w:rPr>
              <w:t>research</w:t>
            </w:r>
            <w:r>
              <w:rPr>
                <w:rFonts w:hint="default" w:ascii="Arial Regular" w:hAnsi="Arial Regular" w:eastAsia="微软雅黑" w:cs="Arial Regular"/>
                <w:sz w:val="22"/>
                <w:szCs w:val="22"/>
              </w:rPr>
              <w:t xml:space="preserve"> will collect audience feedback through various methods to evaluate the communicative effectiveness of the illustrations and their cultural interpretation among Chinese Generation Z</w:t>
            </w:r>
            <w:r>
              <w:rPr>
                <w:rFonts w:hint="eastAsia" w:ascii="Arial Regular" w:hAnsi="Arial Regular" w:eastAsia="微软雅黑" w:cs="Arial Regular"/>
                <w:sz w:val="22"/>
                <w:szCs w:val="22"/>
                <w:lang w:val="en-US" w:eastAsia="zh-CN"/>
              </w:rPr>
              <w:t>:</w:t>
            </w:r>
          </w:p>
          <w:p w14:paraId="420C1116">
            <w:pPr>
              <w:numPr>
                <w:ilvl w:val="0"/>
                <w:numId w:val="0"/>
              </w:numPr>
              <w:rPr>
                <w:rFonts w:hint="eastAsia" w:ascii="Arial Regular" w:hAnsi="Arial Regular" w:eastAsia="微软雅黑" w:cs="Arial Regular"/>
                <w:sz w:val="22"/>
                <w:szCs w:val="22"/>
                <w:lang w:val="en-US" w:eastAsia="zh-CN"/>
              </w:rPr>
            </w:pPr>
          </w:p>
          <w:p w14:paraId="4F52C307">
            <w:pPr>
              <w:numPr>
                <w:ilvl w:val="0"/>
                <w:numId w:val="3"/>
              </w:numPr>
              <w:ind w:left="360" w:leftChars="0" w:firstLineChars="0"/>
              <w:rPr>
                <w:rFonts w:hint="default" w:ascii="Arial Regular" w:hAnsi="Arial Regular" w:eastAsia="微软雅黑" w:cs="Arial Regular"/>
                <w:sz w:val="22"/>
                <w:szCs w:val="22"/>
              </w:rPr>
            </w:pPr>
            <w:r>
              <w:rPr>
                <w:rFonts w:hint="default" w:ascii="Arial Bold" w:hAnsi="Arial Bold" w:eastAsia="微软雅黑" w:cs="Arial Bold"/>
                <w:b/>
                <w:bCs/>
                <w:sz w:val="22"/>
                <w:szCs w:val="22"/>
              </w:rPr>
              <w:t>Questionnaire Survey</w:t>
            </w:r>
            <w:r>
              <w:rPr>
                <w:rFonts w:hint="eastAsia" w:ascii="Arial Bold" w:hAnsi="Arial Bold" w:eastAsia="微软雅黑" w:cs="Arial Bold"/>
                <w:b/>
                <w:bCs/>
                <w:sz w:val="22"/>
                <w:szCs w:val="22"/>
                <w:lang w:val="en-US" w:eastAsia="zh-CN"/>
              </w:rPr>
              <w:t xml:space="preserve">: </w:t>
            </w:r>
            <w:r>
              <w:rPr>
                <w:rFonts w:hint="default" w:ascii="Arial" w:hAnsi="Arial" w:eastAsia="微软雅黑" w:cs="Arial"/>
                <w:b w:val="0"/>
                <w:bCs w:val="0"/>
                <w:sz w:val="22"/>
                <w:szCs w:val="22"/>
              </w:rPr>
              <w:t>After viewing the illustrations and their dynamic and interactive presentations, Generation Z participants will complete an online questionnaire to provide feedback on their acceptance of the works, their comprehension and the cultural insights gained. The survey will also investigate their evaluation of the new media presentation formats in enhancing the experience and cultural understanding.</w:t>
            </w:r>
          </w:p>
          <w:p w14:paraId="4AAC8946">
            <w:pPr>
              <w:numPr>
                <w:ilvl w:val="0"/>
                <w:numId w:val="0"/>
              </w:numPr>
              <w:ind w:leftChars="0"/>
              <w:rPr>
                <w:rFonts w:hint="default" w:ascii="Arial Regular" w:hAnsi="Arial Regular" w:eastAsia="微软雅黑" w:cs="Arial Regular"/>
                <w:sz w:val="22"/>
                <w:szCs w:val="22"/>
              </w:rPr>
            </w:pPr>
          </w:p>
          <w:p w14:paraId="155CB7C4">
            <w:pPr>
              <w:numPr>
                <w:ilvl w:val="0"/>
                <w:numId w:val="3"/>
              </w:numPr>
              <w:ind w:left="360" w:leftChars="0" w:firstLineChars="0"/>
              <w:rPr>
                <w:rFonts w:hint="default" w:ascii="Arial Regular" w:hAnsi="Arial Regular" w:eastAsia="微软雅黑" w:cs="Arial Regular"/>
                <w:sz w:val="22"/>
                <w:szCs w:val="22"/>
              </w:rPr>
            </w:pPr>
            <w:r>
              <w:rPr>
                <w:rFonts w:hint="default" w:ascii="Arial Bold" w:hAnsi="Arial Bold" w:eastAsia="微软雅黑" w:cs="Arial Bold"/>
                <w:b/>
                <w:bCs/>
                <w:sz w:val="22"/>
                <w:szCs w:val="22"/>
              </w:rPr>
              <w:t>Semi-structured Interviews</w:t>
            </w:r>
            <w:r>
              <w:rPr>
                <w:rFonts w:hint="default" w:ascii="Arial Bold" w:hAnsi="Arial Bold" w:eastAsia="微软雅黑" w:cs="Arial Bold"/>
                <w:b/>
                <w:bCs/>
                <w:sz w:val="22"/>
                <w:szCs w:val="22"/>
                <w:lang w:val="en-US" w:eastAsia="zh-CN"/>
              </w:rPr>
              <w:t>:</w:t>
            </w:r>
            <w:r>
              <w:rPr>
                <w:rFonts w:hint="eastAsia" w:ascii="Arial Bold" w:hAnsi="Arial Bold" w:eastAsia="微软雅黑" w:cs="Arial Bold"/>
                <w:b/>
                <w:bCs/>
                <w:sz w:val="22"/>
                <w:szCs w:val="22"/>
                <w:lang w:val="en-US" w:eastAsia="zh-CN"/>
              </w:rPr>
              <w:t xml:space="preserve"> </w:t>
            </w:r>
            <w:r>
              <w:rPr>
                <w:rFonts w:hint="default" w:ascii="Arial Regular" w:hAnsi="Arial Regular" w:eastAsia="微软雅黑" w:cs="Arial Regular"/>
                <w:sz w:val="22"/>
                <w:szCs w:val="22"/>
              </w:rPr>
              <w:t>After viewing the works, participants will be engaged in in-depth discussions about their interpretative approaches, emotional responses and cultural associations, in order to obtain qualitative data.</w:t>
            </w:r>
          </w:p>
          <w:p w14:paraId="694217C0">
            <w:pPr>
              <w:numPr>
                <w:ilvl w:val="0"/>
                <w:numId w:val="0"/>
              </w:numPr>
              <w:ind w:leftChars="0"/>
              <w:rPr>
                <w:rFonts w:hint="default" w:ascii="Arial Regular" w:hAnsi="Arial Regular" w:eastAsia="微软雅黑" w:cs="Arial Regular"/>
                <w:sz w:val="22"/>
                <w:szCs w:val="22"/>
              </w:rPr>
            </w:pPr>
          </w:p>
          <w:p w14:paraId="0EEC729C">
            <w:pPr>
              <w:numPr>
                <w:ilvl w:val="0"/>
                <w:numId w:val="3"/>
              </w:numPr>
              <w:ind w:left="360" w:leftChars="0" w:firstLineChars="0"/>
              <w:rPr>
                <w:rFonts w:hint="default" w:ascii="Arial Regular" w:hAnsi="Arial Regular" w:eastAsia="微软雅黑" w:cs="Arial Regular"/>
                <w:sz w:val="22"/>
                <w:szCs w:val="22"/>
              </w:rPr>
            </w:pPr>
            <w:r>
              <w:rPr>
                <w:rFonts w:hint="default" w:ascii="Arial Bold" w:hAnsi="Arial Bold" w:eastAsia="微软雅黑" w:cs="Arial Bold"/>
                <w:b/>
                <w:bCs/>
                <w:sz w:val="22"/>
                <w:szCs w:val="22"/>
              </w:rPr>
              <w:t>Observation</w:t>
            </w:r>
            <w:r>
              <w:rPr>
                <w:rFonts w:hint="default" w:ascii="Arial Bold" w:hAnsi="Arial Bold" w:eastAsia="微软雅黑" w:cs="Arial Bold"/>
                <w:b/>
                <w:bCs/>
                <w:sz w:val="22"/>
                <w:szCs w:val="22"/>
                <w:lang w:val="en-US" w:eastAsia="zh-CN"/>
              </w:rPr>
              <w:t xml:space="preserve">: </w:t>
            </w:r>
            <w:r>
              <w:rPr>
                <w:rFonts w:hint="default" w:ascii="Arial Regular" w:hAnsi="Arial Regular" w:eastAsia="微软雅黑" w:cs="Arial Regular"/>
                <w:sz w:val="22"/>
                <w:szCs w:val="22"/>
              </w:rPr>
              <w:t>During the exhibition or online presentation, participants’ interactive behaviors, visual attention, viewing duration and other natural responses will be recorded, providing supplementary evidence for evaluating the communicative effectiveness of the works and audience engagement.</w:t>
            </w:r>
          </w:p>
          <w:p w14:paraId="5F253693">
            <w:pPr>
              <w:rPr>
                <w:rFonts w:hint="default" w:ascii="Arial Regular" w:hAnsi="Arial Regular" w:eastAsia="微软雅黑" w:cs="Arial Regular"/>
                <w:sz w:val="22"/>
                <w:szCs w:val="22"/>
              </w:rPr>
            </w:pPr>
          </w:p>
          <w:p w14:paraId="0AB1BC7F">
            <w:pPr>
              <w:numPr>
                <w:ilvl w:val="0"/>
                <w:numId w:val="0"/>
              </w:numPr>
              <w:ind w:leftChars="0"/>
              <w:rPr>
                <w:rFonts w:hint="default" w:ascii="Arial Bold" w:hAnsi="Arial Bold" w:eastAsia="微软雅黑" w:cs="Arial Bold"/>
                <w:b/>
                <w:bCs/>
                <w:sz w:val="22"/>
                <w:szCs w:val="22"/>
              </w:rPr>
            </w:pPr>
            <w:r>
              <w:rPr>
                <w:rFonts w:hint="eastAsia" w:ascii="Arial Bold" w:hAnsi="Arial Bold" w:eastAsia="微软雅黑" w:cs="Arial Bold"/>
                <w:b/>
                <w:bCs/>
                <w:sz w:val="22"/>
                <w:szCs w:val="22"/>
                <w:lang w:val="en-US" w:eastAsia="zh-CN"/>
              </w:rPr>
              <w:t xml:space="preserve">5. </w:t>
            </w:r>
            <w:r>
              <w:rPr>
                <w:rFonts w:hint="default" w:ascii="Arial Bold" w:hAnsi="Arial Bold" w:eastAsia="微软雅黑" w:cs="Arial Bold"/>
                <w:b/>
                <w:bCs/>
                <w:sz w:val="22"/>
                <w:szCs w:val="22"/>
              </w:rPr>
              <w:t>Data Analysis and Research Reflection</w:t>
            </w:r>
          </w:p>
          <w:p w14:paraId="4948F67F">
            <w:pPr>
              <w:numPr>
                <w:ilvl w:val="0"/>
                <w:numId w:val="3"/>
              </w:numPr>
              <w:ind w:left="360" w:leftChars="0" w:firstLineChars="0"/>
              <w:rPr>
                <w:rFonts w:hint="default" w:ascii="Arial Regular" w:hAnsi="Arial Regular" w:eastAsia="微软雅黑" w:cs="Arial Regular"/>
                <w:sz w:val="22"/>
                <w:szCs w:val="22"/>
              </w:rPr>
            </w:pPr>
            <w:r>
              <w:rPr>
                <w:rFonts w:hint="default" w:ascii="Arial Bold" w:hAnsi="Arial Bold" w:eastAsia="微软雅黑" w:cs="Arial Bold"/>
                <w:b/>
                <w:bCs/>
                <w:sz w:val="22"/>
                <w:szCs w:val="22"/>
              </w:rPr>
              <w:t xml:space="preserve">Quantitative Data: </w:t>
            </w:r>
            <w:r>
              <w:rPr>
                <w:rFonts w:hint="default" w:ascii="Arial Regular" w:hAnsi="Arial Regular" w:eastAsia="微软雅黑" w:cs="Arial Regular"/>
                <w:sz w:val="22"/>
                <w:szCs w:val="22"/>
              </w:rPr>
              <w:t>The analysis will primarily employ descriptive statistical methods to present the overall tendencies and variations in audience mythology cognition, acceptance</w:t>
            </w:r>
            <w:r>
              <w:rPr>
                <w:rFonts w:hint="eastAsia" w:ascii="Arial Regular" w:hAnsi="Arial Regular" w:eastAsia="微软雅黑" w:cs="Arial Regular"/>
                <w:sz w:val="22"/>
                <w:szCs w:val="22"/>
                <w:lang w:val="en-US" w:eastAsia="zh-CN"/>
              </w:rPr>
              <w:t xml:space="preserve"> </w:t>
            </w:r>
            <w:r>
              <w:rPr>
                <w:rFonts w:hint="default" w:ascii="Arial Regular" w:hAnsi="Arial Regular" w:eastAsia="微软雅黑" w:cs="Arial Regular"/>
                <w:sz w:val="22"/>
                <w:szCs w:val="22"/>
              </w:rPr>
              <w:t>and media preferences.</w:t>
            </w:r>
          </w:p>
          <w:p w14:paraId="0E3B3AB8">
            <w:pPr>
              <w:numPr>
                <w:ilvl w:val="0"/>
                <w:numId w:val="0"/>
              </w:numPr>
              <w:ind w:leftChars="0"/>
              <w:rPr>
                <w:rFonts w:hint="default" w:ascii="Arial Regular" w:hAnsi="Arial Regular" w:eastAsia="微软雅黑" w:cs="Arial Regular"/>
                <w:sz w:val="22"/>
                <w:szCs w:val="22"/>
              </w:rPr>
            </w:pPr>
          </w:p>
          <w:p w14:paraId="501601DB">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Bold" w:hAnsi="Arial Bold" w:eastAsia="微软雅黑" w:cs="Arial Bold"/>
                <w:b/>
                <w:bCs/>
                <w:sz w:val="22"/>
                <w:szCs w:val="22"/>
              </w:rPr>
              <w:t>Qualitative Data</w:t>
            </w:r>
            <w:r>
              <w:rPr>
                <w:rFonts w:hint="default" w:ascii="Arial Bold" w:hAnsi="Arial Bold" w:eastAsia="微软雅黑" w:cs="Arial Bold"/>
                <w:b/>
                <w:bCs/>
                <w:sz w:val="22"/>
                <w:szCs w:val="22"/>
                <w:lang w:val="en-US" w:eastAsia="zh-CN"/>
              </w:rPr>
              <w:t xml:space="preserve">: </w:t>
            </w:r>
            <w:r>
              <w:rPr>
                <w:rFonts w:hint="default" w:ascii="Arial Regular" w:hAnsi="Arial Regular" w:eastAsia="微软雅黑" w:cs="Arial Regular"/>
                <w:sz w:val="22"/>
                <w:szCs w:val="22"/>
              </w:rPr>
              <w:t>This research will employ thematic analysis to organise and summarise recurring themes in audience feedback, thereby identifying the main patterns of Chinese Generation Z in terms of mythological understanding, acceptance of the works and cultural interpretation.</w:t>
            </w:r>
            <w:r>
              <w:rPr>
                <w:rFonts w:hint="eastAsia" w:ascii="Arial Regular" w:hAnsi="Arial Regular" w:eastAsia="微软雅黑" w:cs="Arial Regular"/>
                <w:sz w:val="22"/>
                <w:szCs w:val="22"/>
                <w:lang w:val="en-US" w:eastAsia="zh-CN"/>
              </w:rPr>
              <w:t xml:space="preserve"> In addition, interpretative phenomenological analysis (IPA) will be applied to selected cases to examine how individuals construct meaning and gradually form their cultural understanding pathways during viewing and interaction. This approach can reflect both the overall tendencies of the group and the specific experiences of individuals, consistent with the interpretivist and constructivist orientation of the research.</w:t>
            </w:r>
          </w:p>
          <w:p w14:paraId="063A799E">
            <w:pPr>
              <w:numPr>
                <w:ilvl w:val="0"/>
                <w:numId w:val="0"/>
              </w:numPr>
              <w:ind w:leftChars="0"/>
              <w:rPr>
                <w:rFonts w:hint="default" w:ascii="Arial Regular" w:hAnsi="Arial Regular" w:eastAsia="微软雅黑" w:cs="Arial Regular"/>
                <w:sz w:val="22"/>
                <w:szCs w:val="22"/>
                <w:lang w:val="en-US" w:eastAsia="zh-CN"/>
              </w:rPr>
            </w:pPr>
          </w:p>
          <w:p w14:paraId="28895E6A">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Bold" w:hAnsi="Arial Bold" w:eastAsia="微软雅黑" w:cs="Arial Bold"/>
                <w:b/>
                <w:bCs/>
                <w:sz w:val="22"/>
                <w:szCs w:val="22"/>
                <w:lang w:val="en-US" w:eastAsia="zh-CN"/>
              </w:rPr>
              <w:t xml:space="preserve">Researcher Reflection: </w:t>
            </w:r>
            <w:r>
              <w:rPr>
                <w:rFonts w:hint="default" w:ascii="Arial Regular" w:hAnsi="Arial Regular" w:eastAsia="微软雅黑" w:cs="Arial Regular"/>
                <w:sz w:val="22"/>
                <w:szCs w:val="22"/>
                <w:lang w:val="en-US" w:eastAsia="zh-CN"/>
              </w:rPr>
              <w:t>This research will adopt an autoethnographic approach to examine the researcher’s cultural position and creative choices throughout the process of creation and research. The aim is to enhance the transparency of the research while maintaining reflexivity and critical awareness in practice-based research.</w:t>
            </w:r>
          </w:p>
          <w:p w14:paraId="1ACD7B9F">
            <w:pPr>
              <w:rPr>
                <w:rFonts w:hint="default" w:ascii="Arial Regular" w:hAnsi="Arial Regular" w:eastAsia="微软雅黑" w:cs="Arial Regular"/>
                <w:sz w:val="22"/>
                <w:szCs w:val="22"/>
              </w:rPr>
            </w:pPr>
          </w:p>
          <w:p w14:paraId="5EE7F810">
            <w:pPr>
              <w:numPr>
                <w:ilvl w:val="0"/>
                <w:numId w:val="5"/>
              </w:numPr>
              <w:rPr>
                <w:rFonts w:hint="default" w:ascii="Arial Bold" w:hAnsi="Arial Bold" w:eastAsia="微软雅黑" w:cs="Arial Bold"/>
                <w:b/>
                <w:bCs/>
                <w:sz w:val="22"/>
                <w:szCs w:val="22"/>
              </w:rPr>
            </w:pPr>
            <w:r>
              <w:rPr>
                <w:rFonts w:hint="default" w:ascii="Arial Bold" w:hAnsi="Arial Bold" w:eastAsia="微软雅黑" w:cs="Arial Bold"/>
                <w:b/>
                <w:bCs/>
                <w:sz w:val="22"/>
                <w:szCs w:val="22"/>
              </w:rPr>
              <w:t>Secondary Data Analysis (for Supplementary Purposes Only)</w:t>
            </w:r>
            <w:r>
              <w:rPr>
                <w:rFonts w:hint="eastAsia" w:ascii="Arial Bold" w:hAnsi="Arial Bold" w:eastAsia="微软雅黑" w:cs="Arial Bold"/>
                <w:b/>
                <w:bCs/>
                <w:sz w:val="22"/>
                <w:szCs w:val="22"/>
                <w:lang w:val="en-US" w:eastAsia="zh-CN"/>
              </w:rPr>
              <w:t>:</w:t>
            </w:r>
          </w:p>
          <w:p w14:paraId="14F7C424">
            <w:pPr>
              <w:rPr>
                <w:rFonts w:hint="default" w:ascii="Arial Regular" w:hAnsi="Arial Regular" w:eastAsia="微软雅黑" w:cs="Arial Regular"/>
                <w:sz w:val="22"/>
                <w:szCs w:val="22"/>
              </w:rPr>
            </w:pPr>
            <w:r>
              <w:rPr>
                <w:rFonts w:hint="default" w:ascii="Arial Regular" w:hAnsi="Arial Regular" w:eastAsia="微软雅黑" w:cs="Arial Regular"/>
                <w:sz w:val="22"/>
                <w:szCs w:val="22"/>
              </w:rPr>
              <w:t xml:space="preserve">The research will collect and analyze secondary data as supplementary material. Illustrations featuring Chinese </w:t>
            </w:r>
            <w:r>
              <w:rPr>
                <w:rFonts w:hint="eastAsia" w:ascii="Arial Regular" w:hAnsi="Arial Regular" w:eastAsia="微软雅黑" w:cs="Arial Regular"/>
                <w:sz w:val="22"/>
                <w:szCs w:val="22"/>
                <w:lang w:val="en-US" w:eastAsia="zh-CN"/>
              </w:rPr>
              <w:t>s</w:t>
            </w:r>
            <w:r>
              <w:rPr>
                <w:rFonts w:hint="default" w:ascii="Arial Regular" w:hAnsi="Arial Regular" w:eastAsia="微软雅黑" w:cs="Arial Regular"/>
                <w:sz w:val="22"/>
                <w:szCs w:val="22"/>
              </w:rPr>
              <w:t>erpent totem elements will be sourced from academic databases, museum digital resources, and contemporary illustration platforms such as Behance and Pinterest. Keyword and trend analyses, combined with user comments and levels of engagement such as likes, will be used to compare audience preferences with existing visual representations. This supplementary analysis will complement the primary data and further validate the reliability of the research findings.</w:t>
            </w:r>
          </w:p>
          <w:p w14:paraId="695AC898">
            <w:pPr>
              <w:rPr>
                <w:rFonts w:hint="default" w:ascii="Arial Regular" w:hAnsi="Arial Regular" w:cs="Arial Regular"/>
                <w:sz w:val="22"/>
                <w:szCs w:val="22"/>
              </w:rPr>
            </w:pPr>
          </w:p>
        </w:tc>
      </w:tr>
      <w:tr w14:paraId="1D290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14:paraId="458C1CA8">
            <w:pPr>
              <w:rPr>
                <w:rFonts w:cs="Arial"/>
                <w:sz w:val="22"/>
                <w:szCs w:val="22"/>
              </w:rPr>
            </w:pPr>
            <w:r>
              <w:rPr>
                <w:rFonts w:cs="Arial"/>
                <w:sz w:val="22"/>
                <w:szCs w:val="22"/>
              </w:rPr>
              <w:t>Introductory bibliography:</w:t>
            </w:r>
          </w:p>
        </w:tc>
      </w:tr>
      <w:tr w14:paraId="13541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14:paraId="0D5F5D60">
            <w:pPr>
              <w:rPr>
                <w:rFonts w:cs="Arial"/>
                <w:color w:val="auto"/>
                <w:sz w:val="22"/>
                <w:szCs w:val="22"/>
              </w:rPr>
            </w:pPr>
            <w:r>
              <w:rPr>
                <w:rFonts w:cs="Arial"/>
                <w:color w:val="auto"/>
                <w:sz w:val="22"/>
                <w:szCs w:val="22"/>
              </w:rPr>
              <w:t xml:space="preserve">In this section you should list a minimum of 30 titles that are relevant to your research. </w:t>
            </w:r>
          </w:p>
          <w:p w14:paraId="1E8DE918">
            <w:pPr>
              <w:rPr>
                <w:rFonts w:cs="Arial"/>
                <w:color w:val="auto"/>
                <w:sz w:val="22"/>
                <w:szCs w:val="22"/>
              </w:rPr>
            </w:pPr>
            <w:r>
              <w:rPr>
                <w:rFonts w:cs="Arial"/>
                <w:color w:val="auto"/>
                <w:sz w:val="22"/>
                <w:szCs w:val="22"/>
              </w:rPr>
              <w:t xml:space="preserve">You should include all works cited in this form. </w:t>
            </w:r>
          </w:p>
          <w:p w14:paraId="15D0AB1C">
            <w:pPr>
              <w:rPr>
                <w:rFonts w:cs="Arial"/>
                <w:color w:val="auto"/>
                <w:sz w:val="22"/>
                <w:szCs w:val="22"/>
              </w:rPr>
            </w:pPr>
            <w:r>
              <w:rPr>
                <w:rFonts w:cs="Arial"/>
                <w:color w:val="auto"/>
                <w:sz w:val="22"/>
                <w:szCs w:val="22"/>
              </w:rPr>
              <w:t>The list should be alphabetical using the referencing system appropriate to your discipline.</w:t>
            </w:r>
          </w:p>
          <w:p w14:paraId="04E986A2">
            <w:pPr>
              <w:rPr>
                <w:rFonts w:hint="default" w:ascii="Arial Regular" w:hAnsi="Arial Regular" w:cs="Arial Regular"/>
                <w:color w:val="4F81BD" w:themeColor="accent1"/>
                <w:sz w:val="20"/>
                <w:szCs w:val="20"/>
                <w14:textFill>
                  <w14:solidFill>
                    <w14:schemeClr w14:val="accent1"/>
                  </w14:solidFill>
                </w14:textFill>
              </w:rPr>
            </w:pPr>
          </w:p>
          <w:p w14:paraId="49724CCE">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Allan, S. (1991). </w:t>
            </w:r>
            <w:r>
              <w:rPr>
                <w:rFonts w:hint="default" w:ascii="Arial Regular" w:hAnsi="Arial Regular" w:cs="Arial Regular"/>
                <w:i/>
                <w:iCs/>
                <w:color w:val="auto"/>
                <w:sz w:val="22"/>
                <w:szCs w:val="22"/>
              </w:rPr>
              <w:t>The shape of the turtle: myth, art, and cosmos in early China.</w:t>
            </w:r>
            <w:r>
              <w:rPr>
                <w:rFonts w:hint="default" w:ascii="Arial Regular" w:hAnsi="Arial Regular" w:cs="Arial Regular"/>
                <w:color w:val="auto"/>
                <w:sz w:val="22"/>
                <w:szCs w:val="22"/>
              </w:rPr>
              <w:t xml:space="preserve"> State University of New York Press</w:t>
            </w:r>
            <w:r>
              <w:rPr>
                <w:rFonts w:hint="eastAsia" w:ascii="Arial Regular" w:hAnsi="Arial Regular" w:eastAsia="SimSun" w:cs="Arial Regular"/>
                <w:color w:val="auto"/>
                <w:sz w:val="22"/>
                <w:szCs w:val="22"/>
                <w:lang w:val="en-US" w:eastAsia="zh-CN"/>
              </w:rPr>
              <w:t>.</w:t>
            </w:r>
          </w:p>
          <w:p w14:paraId="10AFCA5A">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cs="Arial Regular"/>
                <w:color w:val="auto"/>
                <w:sz w:val="22"/>
                <w:szCs w:val="22"/>
              </w:rPr>
              <w:t xml:space="preserve">Allan, S. (2007). On the Identity of Shang Di and the Origin of the Concept of a Celestial Mandate (TIAN MING). </w:t>
            </w:r>
            <w:r>
              <w:rPr>
                <w:rFonts w:hint="default" w:ascii="Arial Italic" w:hAnsi="Arial Italic" w:cs="Arial Italic"/>
                <w:i/>
                <w:iCs/>
                <w:color w:val="auto"/>
                <w:sz w:val="22"/>
                <w:szCs w:val="22"/>
              </w:rPr>
              <w:t>Early China</w:t>
            </w:r>
            <w:r>
              <w:rPr>
                <w:rFonts w:hint="default" w:ascii="Arial Regular" w:hAnsi="Arial Regular" w:cs="Arial Regular"/>
                <w:i/>
                <w:iCs/>
                <w:color w:val="auto"/>
                <w:sz w:val="22"/>
                <w:szCs w:val="22"/>
              </w:rPr>
              <w:t>, 31</w:t>
            </w:r>
            <w:r>
              <w:rPr>
                <w:rFonts w:hint="default" w:ascii="Arial Regular" w:hAnsi="Arial Regular" w:cs="Arial Regular"/>
                <w:color w:val="auto"/>
                <w:sz w:val="22"/>
                <w:szCs w:val="22"/>
              </w:rPr>
              <w:t>, pp.1-46.</w:t>
            </w:r>
          </w:p>
          <w:p w14:paraId="1018FC40">
            <w:pPr>
              <w:numPr>
                <w:ilvl w:val="0"/>
                <w:numId w:val="6"/>
              </w:numPr>
              <w:ind w:left="425" w:leftChars="0" w:hanging="425" w:firstLineChars="0"/>
              <w:rPr>
                <w:rFonts w:hint="default" w:ascii="Arial Regular" w:hAnsi="Arial Regular" w:cs="Arial Regular"/>
                <w:b w:val="0"/>
                <w:bCs w:val="0"/>
                <w:color w:val="auto"/>
                <w:sz w:val="22"/>
                <w:szCs w:val="22"/>
                <w:highlight w:val="none"/>
                <w:lang w:val="en-US" w:eastAsia="zh-CN"/>
              </w:rPr>
            </w:pPr>
            <w:r>
              <w:rPr>
                <w:rFonts w:hint="default" w:ascii="Arial Regular" w:hAnsi="Arial Regular" w:cs="Arial Regular"/>
                <w:color w:val="auto"/>
                <w:sz w:val="22"/>
                <w:szCs w:val="22"/>
                <w:highlight w:val="none"/>
              </w:rPr>
              <w:t xml:space="preserve">Albertsen, A. N. B. (2023). Transmedia Worldbuilding and Mashup Mythology in Penny Dreadful. </w:t>
            </w:r>
            <w:r>
              <w:rPr>
                <w:rFonts w:hint="default" w:ascii="Arial Regular" w:hAnsi="Arial Regular" w:cs="Arial Regular"/>
                <w:i/>
                <w:iCs/>
                <w:color w:val="auto"/>
                <w:sz w:val="22"/>
                <w:szCs w:val="22"/>
                <w:highlight w:val="none"/>
              </w:rPr>
              <w:t>Imagining the Impossible: International Journal for the Fantastic in Contemporary Media, 2</w:t>
            </w:r>
            <w:r>
              <w:rPr>
                <w:rFonts w:hint="default" w:ascii="Arial Regular" w:hAnsi="Arial Regular" w:cs="Arial Regular"/>
                <w:color w:val="auto"/>
                <w:sz w:val="22"/>
                <w:szCs w:val="22"/>
                <w:highlight w:val="none"/>
              </w:rPr>
              <w:t>(1), pp.134-455.</w:t>
            </w:r>
          </w:p>
          <w:p w14:paraId="144852CF">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cs="Arial Regular"/>
                <w:b w:val="0"/>
                <w:bCs w:val="0"/>
                <w:color w:val="auto"/>
                <w:sz w:val="22"/>
                <w:szCs w:val="22"/>
                <w:highlight w:val="none"/>
                <w:lang w:val="en-US" w:eastAsia="zh-CN"/>
              </w:rPr>
              <w:t xml:space="preserve">Agar, M. (2011). Making sense of one other for another: Ethnography as translation. </w:t>
            </w:r>
            <w:r>
              <w:rPr>
                <w:rFonts w:hint="default" w:ascii="Arial Regular" w:hAnsi="Arial Regular" w:cs="Arial Regular"/>
                <w:b w:val="0"/>
                <w:bCs w:val="0"/>
                <w:i/>
                <w:iCs/>
                <w:color w:val="auto"/>
                <w:sz w:val="22"/>
                <w:szCs w:val="22"/>
                <w:highlight w:val="none"/>
                <w:lang w:val="en-US" w:eastAsia="zh-CN"/>
              </w:rPr>
              <w:t>Language &amp; Communication, 31</w:t>
            </w:r>
            <w:r>
              <w:rPr>
                <w:rFonts w:hint="default" w:ascii="Arial Regular" w:hAnsi="Arial Regular" w:cs="Arial Regular"/>
                <w:b w:val="0"/>
                <w:bCs w:val="0"/>
                <w:color w:val="auto"/>
                <w:sz w:val="22"/>
                <w:szCs w:val="22"/>
                <w:highlight w:val="none"/>
                <w:lang w:val="en-US" w:eastAsia="zh-CN"/>
              </w:rPr>
              <w:t>(1), pp.38-47.</w:t>
            </w:r>
          </w:p>
          <w:p w14:paraId="26839E1C">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Bakhir, N. B. M. (2024). Exploring The Impact Of The Nezha Phenomenon On China Generation Z's Cultural Identity. </w:t>
            </w:r>
            <w:r>
              <w:rPr>
                <w:rFonts w:hint="default" w:ascii="Arial Italic" w:hAnsi="Arial Italic" w:cs="Arial Italic"/>
                <w:i/>
                <w:iCs/>
                <w:color w:val="auto"/>
                <w:sz w:val="22"/>
                <w:szCs w:val="22"/>
              </w:rPr>
              <w:t>Educational Administration: Theory and Practice, 30</w:t>
            </w:r>
            <w:r>
              <w:rPr>
                <w:rFonts w:hint="default" w:ascii="Arial Regular" w:hAnsi="Arial Regular" w:cs="Arial Regular"/>
                <w:color w:val="auto"/>
                <w:sz w:val="22"/>
                <w:szCs w:val="22"/>
              </w:rPr>
              <w:t>(5), pp.10445-10454.</w:t>
            </w:r>
          </w:p>
          <w:p w14:paraId="2F7873C8">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Barthes, R. (1972). Mythologies. 1957. </w:t>
            </w:r>
            <w:r>
              <w:rPr>
                <w:rFonts w:hint="default" w:ascii="Arial Italic" w:hAnsi="Arial Italic" w:cs="Arial Italic"/>
                <w:i/>
                <w:iCs/>
                <w:color w:val="auto"/>
                <w:sz w:val="22"/>
                <w:szCs w:val="22"/>
              </w:rPr>
              <w:t>Trans. Annette Lavers. New York: Hill and Wang</w:t>
            </w:r>
            <w:r>
              <w:rPr>
                <w:rFonts w:hint="default" w:ascii="Arial Regular" w:hAnsi="Arial Regular" w:cs="Arial Regular"/>
                <w:color w:val="auto"/>
                <w:sz w:val="22"/>
                <w:szCs w:val="22"/>
              </w:rPr>
              <w:t>, pp.302-06.</w:t>
            </w:r>
          </w:p>
          <w:p w14:paraId="081A4E26">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Berger, P., &amp; Luckmann, T. (2016). The social construction of reality. In </w:t>
            </w:r>
            <w:r>
              <w:rPr>
                <w:rFonts w:hint="default" w:ascii="Arial Italic" w:hAnsi="Arial Italic" w:cs="Arial Italic"/>
                <w:i/>
                <w:iCs/>
                <w:color w:val="auto"/>
                <w:sz w:val="22"/>
                <w:szCs w:val="22"/>
              </w:rPr>
              <w:t>Social theory re-wired</w:t>
            </w:r>
            <w:r>
              <w:rPr>
                <w:rFonts w:hint="default" w:ascii="Arial Regular" w:hAnsi="Arial Regular" w:cs="Arial Regular"/>
                <w:color w:val="auto"/>
                <w:sz w:val="22"/>
                <w:szCs w:val="22"/>
              </w:rPr>
              <w:t> (pp. 110-122). Routledge.</w:t>
            </w:r>
          </w:p>
          <w:p w14:paraId="7791FD1C">
            <w:pPr>
              <w:numPr>
                <w:ilvl w:val="0"/>
                <w:numId w:val="6"/>
              </w:numPr>
              <w:ind w:left="425" w:leftChars="0" w:hanging="425" w:firstLineChars="0"/>
              <w:rPr>
                <w:rFonts w:hint="default" w:ascii="Arial Italic" w:hAnsi="Arial Italic" w:cs="Arial Italic" w:eastAsiaTheme="minorEastAsia"/>
                <w:i/>
                <w:color w:val="auto"/>
                <w:sz w:val="22"/>
                <w:szCs w:val="22"/>
                <w:highlight w:val="none"/>
                <w:lang w:val="en-US" w:eastAsia="zh-CN"/>
              </w:rPr>
            </w:pPr>
            <w:r>
              <w:rPr>
                <w:rFonts w:hint="default" w:ascii="Arial Regular" w:hAnsi="Arial Regular" w:cs="Arial Regular"/>
                <w:color w:val="auto"/>
                <w:sz w:val="22"/>
                <w:szCs w:val="22"/>
              </w:rPr>
              <w:t>Berger, P., &amp; Luckmann, T. (1966). The reality of everyday life.</w:t>
            </w:r>
            <w:r>
              <w:rPr>
                <w:rFonts w:hint="default" w:ascii="Arial Italic" w:hAnsi="Arial Italic" w:cs="Arial Italic"/>
                <w:i/>
                <w:iCs/>
                <w:color w:val="auto"/>
                <w:sz w:val="22"/>
                <w:szCs w:val="22"/>
              </w:rPr>
              <w:t xml:space="preserve"> The social construction of reality: A treatise in the sociology of knowledge</w:t>
            </w:r>
            <w:r>
              <w:rPr>
                <w:rFonts w:hint="default" w:ascii="Arial Regular" w:hAnsi="Arial Regular" w:cs="Arial Regular"/>
                <w:color w:val="auto"/>
                <w:sz w:val="22"/>
                <w:szCs w:val="22"/>
              </w:rPr>
              <w:t>, pp.33-42.</w:t>
            </w:r>
          </w:p>
          <w:p w14:paraId="10702EEF">
            <w:pPr>
              <w:numPr>
                <w:ilvl w:val="0"/>
                <w:numId w:val="6"/>
              </w:numPr>
              <w:ind w:left="425" w:leftChars="0" w:hanging="425" w:firstLineChars="0"/>
              <w:rPr>
                <w:rFonts w:hint="default" w:ascii="Arial" w:hAnsi="Arial" w:eastAsia="ＭＳ 明朝" w:cs="Arial"/>
                <w:i w:val="0"/>
                <w:iCs/>
                <w:color w:val="auto"/>
                <w:kern w:val="2"/>
                <w:sz w:val="22"/>
                <w:szCs w:val="22"/>
                <w:lang w:eastAsia="zh-CN"/>
              </w:rPr>
            </w:pPr>
            <w:r>
              <w:rPr>
                <w:rFonts w:hint="default" w:ascii="Arial" w:hAnsi="Arial" w:cs="Arial"/>
                <w:i w:val="0"/>
                <w:iCs/>
                <w:color w:val="auto"/>
                <w:sz w:val="22"/>
                <w:szCs w:val="22"/>
                <w:highlight w:val="none"/>
              </w:rPr>
              <w:t xml:space="preserve">Bolter, J. D., &amp; Grusin, R. (2000). </w:t>
            </w:r>
            <w:r>
              <w:rPr>
                <w:rFonts w:hint="default" w:ascii="Arial Italic" w:hAnsi="Arial Italic" w:cs="Arial Italic"/>
                <w:i/>
                <w:iCs w:val="0"/>
                <w:color w:val="auto"/>
                <w:sz w:val="22"/>
                <w:szCs w:val="22"/>
                <w:highlight w:val="none"/>
              </w:rPr>
              <w:t>Remediation: Understanding new media</w:t>
            </w:r>
            <w:r>
              <w:rPr>
                <w:rFonts w:hint="default" w:ascii="Arial" w:hAnsi="Arial" w:cs="Arial"/>
                <w:i w:val="0"/>
                <w:iCs/>
                <w:color w:val="auto"/>
                <w:sz w:val="22"/>
                <w:szCs w:val="22"/>
                <w:highlight w:val="none"/>
              </w:rPr>
              <w:t>. mit Press</w:t>
            </w:r>
            <w:r>
              <w:rPr>
                <w:rFonts w:hint="default" w:ascii="Arial" w:hAnsi="Arial" w:cs="Arial"/>
                <w:i w:val="0"/>
                <w:iCs/>
                <w:color w:val="auto"/>
                <w:sz w:val="22"/>
                <w:szCs w:val="22"/>
                <w:highlight w:val="none"/>
                <w:lang w:val="en-US" w:eastAsia="zh-CN"/>
              </w:rPr>
              <w:t>.</w:t>
            </w:r>
          </w:p>
          <w:p w14:paraId="4C8AEA29">
            <w:pPr>
              <w:numPr>
                <w:ilvl w:val="0"/>
                <w:numId w:val="6"/>
              </w:numPr>
              <w:ind w:left="425" w:leftChars="0" w:hanging="425" w:firstLineChars="0"/>
              <w:rPr>
                <w:rFonts w:hint="default" w:ascii="Arial Regular" w:hAnsi="Arial Regular" w:eastAsia="ＭＳ 明朝" w:cs="Arial Regular"/>
                <w:b w:val="0"/>
                <w:bCs w:val="0"/>
                <w:i/>
                <w:iCs/>
                <w:color w:val="auto"/>
                <w:kern w:val="2"/>
                <w:sz w:val="22"/>
                <w:szCs w:val="22"/>
                <w:highlight w:val="none"/>
                <w:lang w:val="en-US" w:eastAsia="zh-CN"/>
              </w:rPr>
            </w:pPr>
            <w:r>
              <w:rPr>
                <w:rFonts w:hint="default" w:ascii="Arial" w:hAnsi="Arial" w:eastAsia="宋体" w:cs="Arial"/>
                <w:b w:val="0"/>
                <w:bCs w:val="0"/>
                <w:i w:val="0"/>
                <w:iCs/>
                <w:caps w:val="0"/>
                <w:color w:val="auto"/>
                <w:spacing w:val="0"/>
                <w:kern w:val="0"/>
                <w:sz w:val="22"/>
                <w:szCs w:val="22"/>
                <w:u w:val="none"/>
                <w:shd w:val="clear" w:fill="FFFFFF"/>
                <w:lang w:val="en-US" w:eastAsia="zh-CN" w:bidi="ar"/>
              </w:rPr>
              <w:t>Bourdieu, P. (2018). Distinction a social critique of the judgement of taste. In</w:t>
            </w:r>
            <w:r>
              <w:rPr>
                <w:rFonts w:hint="default" w:ascii="Arial Italic" w:hAnsi="Arial Italic" w:eastAsia="宋体" w:cs="Arial Italic"/>
                <w:b w:val="0"/>
                <w:bCs w:val="0"/>
                <w:i w:val="0"/>
                <w:iCs/>
                <w:caps w:val="0"/>
                <w:color w:val="auto"/>
                <w:spacing w:val="0"/>
                <w:kern w:val="0"/>
                <w:sz w:val="22"/>
                <w:szCs w:val="22"/>
                <w:u w:val="none"/>
                <w:shd w:val="clear" w:fill="FFFFFF"/>
                <w:lang w:val="en-US" w:eastAsia="zh-CN" w:bidi="ar"/>
              </w:rPr>
              <w:t> </w:t>
            </w:r>
            <w:r>
              <w:rPr>
                <w:rFonts w:hint="default" w:ascii="Arial Italic" w:hAnsi="Arial Italic" w:eastAsia="宋体" w:cs="Arial Italic"/>
                <w:b w:val="0"/>
                <w:bCs w:val="0"/>
                <w:i/>
                <w:iCs/>
                <w:caps w:val="0"/>
                <w:color w:val="auto"/>
                <w:spacing w:val="0"/>
                <w:kern w:val="0"/>
                <w:sz w:val="22"/>
                <w:szCs w:val="22"/>
                <w:u w:val="none"/>
                <w:lang w:val="en-US" w:eastAsia="zh-CN" w:bidi="ar"/>
              </w:rPr>
              <w:t>Inequality</w:t>
            </w:r>
            <w:r>
              <w:rPr>
                <w:rFonts w:hint="default" w:ascii="Arial Italic" w:hAnsi="Arial Italic" w:eastAsia="宋体" w:cs="Arial Italic"/>
                <w:b w:val="0"/>
                <w:bCs w:val="0"/>
                <w:i/>
                <w:iCs w:val="0"/>
                <w:caps w:val="0"/>
                <w:color w:val="auto"/>
                <w:spacing w:val="0"/>
                <w:kern w:val="0"/>
                <w:sz w:val="22"/>
                <w:szCs w:val="22"/>
                <w:u w:val="none"/>
                <w:shd w:val="clear" w:fill="FFFFFF"/>
                <w:lang w:val="en-US" w:eastAsia="zh-CN" w:bidi="ar"/>
              </w:rPr>
              <w:t> </w:t>
            </w:r>
            <w:r>
              <w:rPr>
                <w:rFonts w:hint="default" w:ascii="Arial" w:hAnsi="Arial" w:eastAsia="宋体" w:cs="Arial"/>
                <w:b w:val="0"/>
                <w:bCs w:val="0"/>
                <w:i w:val="0"/>
                <w:iCs/>
                <w:caps w:val="0"/>
                <w:color w:val="auto"/>
                <w:spacing w:val="0"/>
                <w:kern w:val="0"/>
                <w:sz w:val="22"/>
                <w:szCs w:val="22"/>
                <w:u w:val="none"/>
                <w:shd w:val="clear" w:fill="FFFFFF"/>
                <w:lang w:val="en-US" w:eastAsia="zh-CN" w:bidi="ar"/>
              </w:rPr>
              <w:t>(pp. 287-318). Routledge.</w:t>
            </w:r>
          </w:p>
          <w:p w14:paraId="0C41265C">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eastAsia="ＭＳ 明朝" w:cs="Arial Regular"/>
                <w:b w:val="0"/>
                <w:bCs w:val="0"/>
                <w:color w:val="auto"/>
                <w:kern w:val="2"/>
                <w:sz w:val="22"/>
                <w:szCs w:val="22"/>
                <w:highlight w:val="none"/>
                <w:lang w:val="en-US" w:eastAsia="zh-CN"/>
              </w:rPr>
              <w:t xml:space="preserve">Braun, V., &amp; Clarke, V. (2006). Using thematic analysis in psychology. </w:t>
            </w:r>
            <w:r>
              <w:rPr>
                <w:rFonts w:hint="default" w:ascii="Arial Regular" w:hAnsi="Arial Regular" w:eastAsia="ＭＳ 明朝" w:cs="Arial Regular"/>
                <w:b w:val="0"/>
                <w:bCs w:val="0"/>
                <w:i/>
                <w:iCs/>
                <w:color w:val="auto"/>
                <w:kern w:val="2"/>
                <w:sz w:val="22"/>
                <w:szCs w:val="22"/>
                <w:highlight w:val="none"/>
                <w:lang w:val="en-US" w:eastAsia="zh-CN"/>
              </w:rPr>
              <w:t>Qualitative research in psychology, 3</w:t>
            </w:r>
            <w:r>
              <w:rPr>
                <w:rFonts w:hint="default" w:ascii="Arial Regular" w:hAnsi="Arial Regular" w:eastAsia="ＭＳ 明朝" w:cs="Arial Regular"/>
                <w:b w:val="0"/>
                <w:bCs w:val="0"/>
                <w:color w:val="auto"/>
                <w:kern w:val="2"/>
                <w:sz w:val="22"/>
                <w:szCs w:val="22"/>
                <w:highlight w:val="none"/>
                <w:lang w:val="en-US" w:eastAsia="zh-CN"/>
              </w:rPr>
              <w:t>(2), pp.77-101.</w:t>
            </w:r>
          </w:p>
          <w:p w14:paraId="0AAA3C1A">
            <w:pPr>
              <w:numPr>
                <w:ilvl w:val="0"/>
                <w:numId w:val="6"/>
              </w:numPr>
              <w:ind w:left="425" w:leftChars="0" w:hanging="425" w:firstLineChars="0"/>
              <w:rPr>
                <w:rFonts w:hint="default" w:ascii="Arial Regular" w:hAnsi="Arial Regular" w:cs="Arial Regular"/>
                <w:b w:val="0"/>
                <w:bCs w:val="0"/>
                <w:color w:val="auto"/>
                <w:sz w:val="22"/>
                <w:szCs w:val="22"/>
                <w:highlight w:val="none"/>
                <w:lang w:val="en-US" w:eastAsia="zh-CN"/>
              </w:rPr>
            </w:pPr>
            <w:r>
              <w:rPr>
                <w:rFonts w:hint="default" w:ascii="Arial Regular" w:hAnsi="Arial Regular" w:cs="Arial Regular"/>
                <w:color w:val="auto"/>
                <w:sz w:val="22"/>
                <w:szCs w:val="22"/>
                <w:highlight w:val="none"/>
              </w:rPr>
              <w:t xml:space="preserve">Blanariu, N. P., &amp; Popa, D. (2018). A mythological approach to transmedia storytelling. In </w:t>
            </w:r>
            <w:r>
              <w:rPr>
                <w:rFonts w:hint="default" w:ascii="Arial Regular" w:hAnsi="Arial Regular" w:cs="Arial Regular"/>
                <w:i/>
                <w:iCs/>
                <w:color w:val="auto"/>
                <w:sz w:val="22"/>
                <w:szCs w:val="22"/>
                <w:highlight w:val="none"/>
              </w:rPr>
              <w:t xml:space="preserve">The Routledge Companion to Transmedia Studies </w:t>
            </w:r>
            <w:r>
              <w:rPr>
                <w:rFonts w:hint="default" w:ascii="Arial Regular" w:hAnsi="Arial Regular" w:cs="Arial Regular"/>
                <w:color w:val="auto"/>
                <w:sz w:val="22"/>
                <w:szCs w:val="22"/>
                <w:highlight w:val="none"/>
              </w:rPr>
              <w:t>(pp. 447-454). Routledge.</w:t>
            </w:r>
          </w:p>
          <w:p w14:paraId="032AD6D5">
            <w:pPr>
              <w:numPr>
                <w:ilvl w:val="0"/>
                <w:numId w:val="6"/>
              </w:numPr>
              <w:ind w:left="425" w:leftChars="0" w:hanging="425" w:firstLineChars="0"/>
              <w:rPr>
                <w:rFonts w:hint="default" w:ascii="Arial Regular" w:hAnsi="Arial Regular" w:cs="Arial Regular"/>
                <w:b w:val="0"/>
                <w:bCs w:val="0"/>
                <w:color w:val="auto"/>
                <w:sz w:val="22"/>
                <w:szCs w:val="22"/>
                <w:highlight w:val="none"/>
                <w:lang w:val="en-US" w:eastAsia="zh-CN"/>
              </w:rPr>
            </w:pPr>
            <w:r>
              <w:rPr>
                <w:rFonts w:hint="default" w:ascii="Arial Regular" w:hAnsi="Arial Regular" w:cs="Arial Regular"/>
                <w:b w:val="0"/>
                <w:bCs w:val="0"/>
                <w:color w:val="auto"/>
                <w:sz w:val="22"/>
                <w:szCs w:val="22"/>
                <w:highlight w:val="none"/>
                <w:lang w:val="en-US" w:eastAsia="zh-CN"/>
              </w:rPr>
              <w:t>Brewer, J. (2000).</w:t>
            </w:r>
            <w:r>
              <w:rPr>
                <w:rFonts w:hint="default" w:ascii="Arial Regular" w:hAnsi="Arial Regular" w:cs="Arial Regular"/>
                <w:b w:val="0"/>
                <w:bCs w:val="0"/>
                <w:i/>
                <w:iCs/>
                <w:color w:val="auto"/>
                <w:sz w:val="22"/>
                <w:szCs w:val="22"/>
                <w:highlight w:val="none"/>
                <w:lang w:val="en-US" w:eastAsia="zh-CN"/>
              </w:rPr>
              <w:t> Ethnography</w:t>
            </w:r>
            <w:r>
              <w:rPr>
                <w:rFonts w:hint="default" w:ascii="Arial Regular" w:hAnsi="Arial Regular" w:cs="Arial Regular"/>
                <w:b w:val="0"/>
                <w:bCs w:val="0"/>
                <w:color w:val="auto"/>
                <w:sz w:val="22"/>
                <w:szCs w:val="22"/>
                <w:highlight w:val="none"/>
                <w:lang w:val="en-US" w:eastAsia="zh-CN"/>
              </w:rPr>
              <w:t>. McGraw-Hill Education (UK).</w:t>
            </w:r>
          </w:p>
          <w:p w14:paraId="44846390">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cs="Arial Regular"/>
                <w:b w:val="0"/>
                <w:bCs w:val="0"/>
                <w:color w:val="auto"/>
                <w:sz w:val="22"/>
                <w:szCs w:val="22"/>
                <w:highlight w:val="none"/>
                <w:lang w:val="en-US" w:eastAsia="zh-CN"/>
              </w:rPr>
              <w:t>Barthes, R. (1977). Image-music-text, trans. </w:t>
            </w:r>
            <w:r>
              <w:rPr>
                <w:rFonts w:hint="default" w:ascii="Arial Regular" w:hAnsi="Arial Regular" w:cs="Arial Regular"/>
                <w:b w:val="0"/>
                <w:bCs w:val="0"/>
                <w:i/>
                <w:iCs/>
                <w:color w:val="auto"/>
                <w:sz w:val="22"/>
                <w:szCs w:val="22"/>
                <w:highlight w:val="none"/>
                <w:lang w:val="en-US" w:eastAsia="zh-CN"/>
              </w:rPr>
              <w:t>Stephen Heath (New York: Hill and Wang, 1977), 146</w:t>
            </w:r>
            <w:r>
              <w:rPr>
                <w:rFonts w:hint="default" w:ascii="Arial Regular" w:hAnsi="Arial Regular" w:cs="Arial Regular"/>
                <w:b w:val="0"/>
                <w:bCs w:val="0"/>
                <w:color w:val="auto"/>
                <w:sz w:val="22"/>
                <w:szCs w:val="22"/>
                <w:highlight w:val="none"/>
                <w:lang w:val="en-US" w:eastAsia="zh-CN"/>
              </w:rPr>
              <w:t>.</w:t>
            </w:r>
          </w:p>
          <w:p w14:paraId="373AC409">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Campbell, J. (2008). </w:t>
            </w:r>
            <w:r>
              <w:rPr>
                <w:rFonts w:hint="default" w:ascii="Arial Regular" w:hAnsi="Arial Regular" w:cs="Arial Regular"/>
                <w:i/>
                <w:iCs/>
                <w:color w:val="auto"/>
                <w:sz w:val="22"/>
                <w:szCs w:val="22"/>
              </w:rPr>
              <w:t>The hero with a thousand faces</w:t>
            </w:r>
            <w:r>
              <w:rPr>
                <w:rFonts w:hint="default" w:ascii="Arial Regular" w:hAnsi="Arial Regular" w:cs="Arial Regular"/>
                <w:color w:val="auto"/>
                <w:sz w:val="22"/>
                <w:szCs w:val="22"/>
              </w:rPr>
              <w:t xml:space="preserve"> (Vol. 17). New World Library.</w:t>
            </w:r>
          </w:p>
          <w:p w14:paraId="0EFE40EF">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Chang, C. W., &amp; Chang, S. H. (2023). The impact of digital disruption: Influences of digital media and social networks on forming digital natives’ attitude. </w:t>
            </w:r>
            <w:r>
              <w:rPr>
                <w:rFonts w:hint="default" w:ascii="Arial Italic" w:hAnsi="Arial Italic" w:cs="Arial Italic"/>
                <w:i/>
                <w:iCs/>
                <w:color w:val="auto"/>
                <w:sz w:val="22"/>
                <w:szCs w:val="22"/>
              </w:rPr>
              <w:t>Sage Open, 13</w:t>
            </w:r>
            <w:r>
              <w:rPr>
                <w:rFonts w:hint="default" w:ascii="Arial Regular" w:hAnsi="Arial Regular" w:cs="Arial Regular"/>
                <w:color w:val="auto"/>
                <w:sz w:val="22"/>
                <w:szCs w:val="22"/>
              </w:rPr>
              <w:t>(3), 21582440231191741.</w:t>
            </w:r>
          </w:p>
          <w:p w14:paraId="3F9253FF">
            <w:pPr>
              <w:numPr>
                <w:ilvl w:val="0"/>
                <w:numId w:val="6"/>
              </w:numPr>
              <w:ind w:left="425" w:leftChars="0" w:hanging="425" w:firstLineChars="0"/>
              <w:rPr>
                <w:rFonts w:hint="default" w:ascii="Arial" w:hAnsi="Arial" w:eastAsia="ＭＳ 明朝" w:cs="Arial"/>
                <w:i w:val="0"/>
                <w:iCs/>
                <w:color w:val="auto"/>
                <w:kern w:val="2"/>
                <w:sz w:val="22"/>
                <w:szCs w:val="22"/>
                <w:highlight w:val="none"/>
                <w:lang w:eastAsia="zh-CN"/>
              </w:rPr>
            </w:pPr>
            <w:r>
              <w:rPr>
                <w:rFonts w:hint="default" w:ascii="Arial Regular" w:hAnsi="Arial Regular" w:cs="Arial Regular"/>
                <w:color w:val="auto"/>
                <w:sz w:val="22"/>
                <w:szCs w:val="22"/>
              </w:rPr>
              <w:t xml:space="preserve">Chen, B., &amp; Liu, X. (2024). A Review of the Research on the Legend of the White Snake. </w:t>
            </w:r>
            <w:r>
              <w:rPr>
                <w:rFonts w:hint="default" w:ascii="Arial Italic" w:hAnsi="Arial Italic" w:cs="Arial Italic"/>
                <w:i/>
                <w:iCs/>
                <w:color w:val="auto"/>
                <w:sz w:val="22"/>
                <w:szCs w:val="22"/>
              </w:rPr>
              <w:t>Open Access Library Journal, 11</w:t>
            </w:r>
            <w:r>
              <w:rPr>
                <w:rFonts w:hint="default" w:ascii="Arial Regular" w:hAnsi="Arial Regular" w:cs="Arial Regular"/>
                <w:color w:val="auto"/>
                <w:sz w:val="22"/>
                <w:szCs w:val="22"/>
              </w:rPr>
              <w:t>(6), pp.1-15.</w:t>
            </w:r>
          </w:p>
          <w:p w14:paraId="522453EC">
            <w:pPr>
              <w:numPr>
                <w:ilvl w:val="0"/>
                <w:numId w:val="6"/>
              </w:numPr>
              <w:ind w:left="425" w:leftChars="0" w:hanging="425" w:firstLineChars="0"/>
              <w:rPr>
                <w:rFonts w:hint="default" w:ascii="Arial Regular" w:hAnsi="Arial Regular" w:eastAsia="ＭＳ 明朝" w:cs="Arial Regular"/>
                <w:b w:val="0"/>
                <w:bCs w:val="0"/>
                <w:color w:val="auto"/>
                <w:kern w:val="2"/>
                <w:sz w:val="22"/>
                <w:szCs w:val="22"/>
                <w:highlight w:val="none"/>
                <w:lang w:val="en-US" w:eastAsia="zh-CN"/>
              </w:rPr>
            </w:pPr>
            <w:r>
              <w:rPr>
                <w:rFonts w:hint="default" w:ascii="Arial" w:hAnsi="Arial" w:eastAsia="ＭＳ 明朝" w:cs="Arial"/>
                <w:i w:val="0"/>
                <w:iCs/>
                <w:color w:val="auto"/>
                <w:kern w:val="2"/>
                <w:sz w:val="22"/>
                <w:szCs w:val="22"/>
                <w:highlight w:val="none"/>
                <w:lang w:eastAsia="zh-CN"/>
              </w:rPr>
              <w:t xml:space="preserve">Cohn, N. (2013). </w:t>
            </w:r>
            <w:r>
              <w:rPr>
                <w:rFonts w:hint="default" w:ascii="Arial Italic" w:hAnsi="Arial Italic" w:eastAsia="ＭＳ 明朝" w:cs="Arial Italic"/>
                <w:i/>
                <w:iCs w:val="0"/>
                <w:color w:val="auto"/>
                <w:kern w:val="2"/>
                <w:sz w:val="22"/>
                <w:szCs w:val="22"/>
                <w:highlight w:val="none"/>
                <w:lang w:eastAsia="zh-CN"/>
              </w:rPr>
              <w:t xml:space="preserve">The Visual Language of Comics: Introduction to the Structure and </w:t>
            </w:r>
            <w:r>
              <w:rPr>
                <w:rFonts w:hint="default" w:ascii="Arial Regular" w:hAnsi="Arial Regular" w:eastAsia="ＭＳ 明朝" w:cs="Arial Regular"/>
                <w:i/>
                <w:iCs w:val="0"/>
                <w:color w:val="auto"/>
                <w:kern w:val="2"/>
                <w:sz w:val="22"/>
                <w:szCs w:val="22"/>
                <w:highlight w:val="none"/>
                <w:lang w:eastAsia="zh-CN"/>
              </w:rPr>
              <w:t>Cognition of Sequential Images</w:t>
            </w:r>
            <w:r>
              <w:rPr>
                <w:rFonts w:hint="default" w:ascii="Arial Regular" w:hAnsi="Arial Regular" w:eastAsia="ＭＳ 明朝" w:cs="Arial Regular"/>
                <w:i w:val="0"/>
                <w:iCs/>
                <w:color w:val="auto"/>
                <w:kern w:val="2"/>
                <w:sz w:val="22"/>
                <w:szCs w:val="22"/>
                <w:highlight w:val="none"/>
                <w:lang w:eastAsia="zh-CN"/>
              </w:rPr>
              <w:t>. A&amp;C Black.</w:t>
            </w:r>
          </w:p>
          <w:p w14:paraId="24FBD524">
            <w:pPr>
              <w:numPr>
                <w:ilvl w:val="0"/>
                <w:numId w:val="6"/>
              </w:numPr>
              <w:ind w:left="425" w:leftChars="0" w:hanging="425" w:firstLineChars="0"/>
              <w:rPr>
                <w:rFonts w:hint="default" w:ascii="Arial Regular" w:hAnsi="Arial Regular" w:eastAsia="ＭＳ 明朝" w:cs="Arial Regular"/>
                <w:b w:val="0"/>
                <w:bCs w:val="0"/>
                <w:color w:val="auto"/>
                <w:kern w:val="2"/>
                <w:sz w:val="22"/>
                <w:szCs w:val="22"/>
                <w:highlight w:val="none"/>
                <w:lang w:val="en-US" w:eastAsia="zh-CN"/>
              </w:rPr>
            </w:pPr>
            <w:r>
              <w:rPr>
                <w:rFonts w:hint="default" w:ascii="Arial Regular" w:hAnsi="Arial Regular" w:eastAsia="ＭＳ 明朝" w:cs="Arial Regular"/>
                <w:b w:val="0"/>
                <w:bCs w:val="0"/>
                <w:color w:val="auto"/>
                <w:kern w:val="2"/>
                <w:sz w:val="22"/>
                <w:szCs w:val="22"/>
                <w:highlight w:val="none"/>
                <w:lang w:val="en-US" w:eastAsia="zh-CN"/>
              </w:rPr>
              <w:t xml:space="preserve">Creswell, J. W., &amp; Clark, V. L. P. (2017). </w:t>
            </w:r>
            <w:r>
              <w:rPr>
                <w:rFonts w:hint="default" w:ascii="Arial Regular" w:hAnsi="Arial Regular" w:eastAsia="ＭＳ 明朝" w:cs="Arial Regular"/>
                <w:b w:val="0"/>
                <w:bCs w:val="0"/>
                <w:i/>
                <w:iCs/>
                <w:color w:val="auto"/>
                <w:kern w:val="2"/>
                <w:sz w:val="22"/>
                <w:szCs w:val="22"/>
                <w:highlight w:val="none"/>
                <w:lang w:val="en-US" w:eastAsia="zh-CN"/>
              </w:rPr>
              <w:t xml:space="preserve">Designing and conducting mixed methods research. </w:t>
            </w:r>
            <w:r>
              <w:rPr>
                <w:rFonts w:hint="default" w:ascii="Arial Regular" w:hAnsi="Arial Regular" w:eastAsia="ＭＳ 明朝" w:cs="Arial Regular"/>
                <w:b w:val="0"/>
                <w:bCs w:val="0"/>
                <w:color w:val="auto"/>
                <w:kern w:val="2"/>
                <w:sz w:val="22"/>
                <w:szCs w:val="22"/>
                <w:highlight w:val="none"/>
                <w:lang w:val="en-US" w:eastAsia="zh-CN"/>
              </w:rPr>
              <w:t xml:space="preserve">Sage publications. </w:t>
            </w:r>
          </w:p>
          <w:p w14:paraId="677A4328">
            <w:pPr>
              <w:numPr>
                <w:ilvl w:val="0"/>
                <w:numId w:val="6"/>
              </w:numPr>
              <w:ind w:left="425" w:leftChars="0" w:hanging="425" w:firstLineChars="0"/>
              <w:rPr>
                <w:rFonts w:hint="default" w:ascii="Arial" w:hAnsi="Arial" w:eastAsia="宋体" w:cs="Arial"/>
                <w:b w:val="0"/>
                <w:bCs w:val="0"/>
                <w:i w:val="0"/>
                <w:iCs/>
                <w:caps w:val="0"/>
                <w:color w:val="auto"/>
                <w:spacing w:val="0"/>
                <w:kern w:val="0"/>
                <w:sz w:val="22"/>
                <w:szCs w:val="22"/>
                <w:u w:val="none"/>
                <w:shd w:val="clear" w:fill="FFFFFF"/>
                <w:lang w:val="en-US" w:eastAsia="zh-CN" w:bidi="ar"/>
              </w:rPr>
            </w:pPr>
            <w:r>
              <w:rPr>
                <w:rFonts w:hint="default" w:ascii="Arial Regular" w:hAnsi="Arial Regular" w:eastAsia="ＭＳ 明朝" w:cs="Arial Regular"/>
                <w:b w:val="0"/>
                <w:bCs w:val="0"/>
                <w:color w:val="auto"/>
                <w:kern w:val="2"/>
                <w:sz w:val="22"/>
                <w:szCs w:val="22"/>
                <w:highlight w:val="none"/>
                <w:lang w:val="en-US" w:eastAsia="zh-CN"/>
              </w:rPr>
              <w:t xml:space="preserve">Creswell, J. W., &amp; Clark, V. P. (2007). Mixed methods research. </w:t>
            </w:r>
            <w:r>
              <w:rPr>
                <w:rFonts w:hint="default" w:ascii="Arial Regular" w:hAnsi="Arial Regular" w:eastAsia="ＭＳ 明朝" w:cs="Arial Regular"/>
                <w:b w:val="0"/>
                <w:bCs w:val="0"/>
                <w:i/>
                <w:iCs/>
                <w:color w:val="auto"/>
                <w:kern w:val="2"/>
                <w:sz w:val="22"/>
                <w:szCs w:val="22"/>
                <w:highlight w:val="none"/>
                <w:lang w:val="en-US" w:eastAsia="zh-CN"/>
              </w:rPr>
              <w:t>Thousand Oaks, CA</w:t>
            </w:r>
            <w:r>
              <w:rPr>
                <w:rFonts w:hint="default" w:ascii="Arial Regular" w:hAnsi="Arial Regular" w:eastAsia="ＭＳ 明朝" w:cs="Arial Regular"/>
                <w:b w:val="0"/>
                <w:bCs w:val="0"/>
                <w:color w:val="auto"/>
                <w:kern w:val="2"/>
                <w:sz w:val="22"/>
                <w:szCs w:val="22"/>
                <w:highlight w:val="none"/>
                <w:lang w:val="en-US" w:eastAsia="zh-CN"/>
              </w:rPr>
              <w:t>.</w:t>
            </w:r>
          </w:p>
          <w:p w14:paraId="22245B93">
            <w:pPr>
              <w:numPr>
                <w:ilvl w:val="0"/>
                <w:numId w:val="6"/>
              </w:numPr>
              <w:ind w:left="425" w:leftChars="0" w:hanging="425" w:firstLineChars="0"/>
              <w:rPr>
                <w:rFonts w:hint="default" w:ascii="Arial Regular" w:hAnsi="Arial Regular" w:cs="Arial Regular"/>
                <w:color w:val="auto"/>
                <w:sz w:val="22"/>
                <w:szCs w:val="22"/>
              </w:rPr>
            </w:pPr>
            <w:r>
              <w:rPr>
                <w:rFonts w:hint="default" w:ascii="Arial" w:hAnsi="Arial" w:eastAsia="宋体" w:cs="Arial"/>
                <w:b w:val="0"/>
                <w:bCs w:val="0"/>
                <w:i w:val="0"/>
                <w:iCs/>
                <w:caps w:val="0"/>
                <w:color w:val="auto"/>
                <w:spacing w:val="0"/>
                <w:kern w:val="0"/>
                <w:sz w:val="22"/>
                <w:szCs w:val="22"/>
                <w:u w:val="none"/>
                <w:shd w:val="clear" w:fill="FFFFFF"/>
                <w:lang w:val="en-US" w:eastAsia="zh-CN" w:bidi="ar"/>
              </w:rPr>
              <w:t xml:space="preserve">Dewey, J. (2008). Art as experience. In </w:t>
            </w:r>
            <w:r>
              <w:rPr>
                <w:rFonts w:hint="default" w:ascii="Arial Italic" w:hAnsi="Arial Italic" w:eastAsia="宋体" w:cs="Arial Italic"/>
                <w:b w:val="0"/>
                <w:bCs w:val="0"/>
                <w:i/>
                <w:iCs w:val="0"/>
                <w:caps w:val="0"/>
                <w:color w:val="auto"/>
                <w:spacing w:val="0"/>
                <w:kern w:val="0"/>
                <w:sz w:val="22"/>
                <w:szCs w:val="22"/>
                <w:u w:val="none"/>
                <w:shd w:val="clear" w:fill="FFFFFF"/>
                <w:lang w:val="en-US" w:eastAsia="zh-CN" w:bidi="ar"/>
              </w:rPr>
              <w:t>The richness of art education</w:t>
            </w:r>
            <w:r>
              <w:rPr>
                <w:rFonts w:hint="default" w:ascii="Arial" w:hAnsi="Arial" w:eastAsia="宋体" w:cs="Arial"/>
                <w:b w:val="0"/>
                <w:bCs w:val="0"/>
                <w:i w:val="0"/>
                <w:iCs/>
                <w:caps w:val="0"/>
                <w:color w:val="auto"/>
                <w:spacing w:val="0"/>
                <w:kern w:val="0"/>
                <w:sz w:val="22"/>
                <w:szCs w:val="22"/>
                <w:u w:val="none"/>
                <w:shd w:val="clear" w:fill="FFFFFF"/>
                <w:lang w:val="en-US" w:eastAsia="zh-CN" w:bidi="ar"/>
              </w:rPr>
              <w:t xml:space="preserve"> (pp. 33-48). Brill.</w:t>
            </w:r>
          </w:p>
          <w:p w14:paraId="76DCD554">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cs="Arial Regular"/>
                <w:color w:val="auto"/>
                <w:sz w:val="22"/>
                <w:szCs w:val="22"/>
                <w:highlight w:val="none"/>
              </w:rPr>
              <w:t xml:space="preserve">Castells, M. (2011). </w:t>
            </w:r>
            <w:r>
              <w:rPr>
                <w:rFonts w:hint="default" w:ascii="Arial Regular" w:hAnsi="Arial Regular" w:cs="Arial Regular"/>
                <w:i/>
                <w:iCs/>
                <w:color w:val="auto"/>
                <w:sz w:val="22"/>
                <w:szCs w:val="22"/>
                <w:highlight w:val="none"/>
              </w:rPr>
              <w:t>The rise of the network society.</w:t>
            </w:r>
            <w:r>
              <w:rPr>
                <w:rFonts w:hint="default" w:ascii="Arial Regular" w:hAnsi="Arial Regular" w:cs="Arial Regular"/>
                <w:color w:val="auto"/>
                <w:sz w:val="22"/>
                <w:szCs w:val="22"/>
                <w:highlight w:val="none"/>
              </w:rPr>
              <w:t xml:space="preserve"> John wiley &amp; sons.</w:t>
            </w:r>
          </w:p>
          <w:p w14:paraId="0AAE3D81">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highlight w:val="none"/>
              </w:rPr>
              <w:t xml:space="preserve">Chun, W. H. K. (2008). </w:t>
            </w:r>
            <w:r>
              <w:rPr>
                <w:rFonts w:hint="default" w:ascii="Arial Regular" w:hAnsi="Arial Regular" w:cs="Arial Regular"/>
                <w:i/>
                <w:iCs/>
                <w:color w:val="auto"/>
                <w:sz w:val="22"/>
                <w:szCs w:val="22"/>
                <w:highlight w:val="none"/>
              </w:rPr>
              <w:t>Control and freedom: Power and paranoia in the age of fiber optics</w:t>
            </w:r>
            <w:r>
              <w:rPr>
                <w:rFonts w:hint="default" w:ascii="Arial Regular" w:hAnsi="Arial Regular" w:cs="Arial Regular"/>
                <w:color w:val="auto"/>
                <w:sz w:val="22"/>
                <w:szCs w:val="22"/>
                <w:highlight w:val="none"/>
              </w:rPr>
              <w:t>. mit Press.</w:t>
            </w:r>
          </w:p>
          <w:p w14:paraId="3B08AEAE">
            <w:pPr>
              <w:numPr>
                <w:ilvl w:val="0"/>
                <w:numId w:val="6"/>
              </w:numPr>
              <w:ind w:left="425" w:leftChars="0" w:hanging="425" w:firstLineChars="0"/>
              <w:rPr>
                <w:rFonts w:hint="default" w:ascii="Arial Regular" w:hAnsi="Arial Regular" w:cs="Arial Regular"/>
                <w:color w:val="auto"/>
                <w:sz w:val="22"/>
                <w:szCs w:val="22"/>
                <w:highlight w:val="none"/>
                <w:lang w:val="en-US" w:eastAsia="zh-CN"/>
              </w:rPr>
            </w:pPr>
            <w:r>
              <w:rPr>
                <w:rFonts w:hint="default" w:ascii="Arial Regular" w:hAnsi="Arial Regular" w:cs="Arial Regular"/>
                <w:color w:val="auto"/>
                <w:sz w:val="22"/>
                <w:szCs w:val="22"/>
                <w:highlight w:val="none"/>
              </w:rPr>
              <w:t xml:space="preserve">Chen, M., Peljhan, M., &amp; Sra, M. (2023). Entanglevr++: evaluating the potential of using entanglement in an interactive vr scene creation system. </w:t>
            </w:r>
            <w:r>
              <w:rPr>
                <w:rFonts w:hint="default" w:ascii="Arial Regular" w:hAnsi="Arial Regular" w:cs="Arial Regular"/>
                <w:i/>
                <w:iCs/>
                <w:color w:val="auto"/>
                <w:sz w:val="22"/>
                <w:szCs w:val="22"/>
                <w:highlight w:val="none"/>
              </w:rPr>
              <w:t>Frontiers in Virtual Reality, 4</w:t>
            </w:r>
            <w:r>
              <w:rPr>
                <w:rFonts w:hint="default" w:ascii="Arial Regular" w:hAnsi="Arial Regular" w:cs="Arial Regular"/>
                <w:i w:val="0"/>
                <w:iCs w:val="0"/>
                <w:color w:val="auto"/>
                <w:sz w:val="22"/>
                <w:szCs w:val="22"/>
                <w:highlight w:val="none"/>
              </w:rPr>
              <w:t>,</w:t>
            </w:r>
            <w:r>
              <w:rPr>
                <w:rFonts w:hint="default" w:ascii="Arial Regular" w:hAnsi="Arial Regular" w:cs="Arial Regular"/>
                <w:color w:val="auto"/>
                <w:sz w:val="22"/>
                <w:szCs w:val="22"/>
                <w:highlight w:val="none"/>
              </w:rPr>
              <w:t xml:space="preserve"> p.1252551.</w:t>
            </w:r>
          </w:p>
          <w:p w14:paraId="3E06B0F0">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Doniger, W. (2011). </w:t>
            </w:r>
            <w:r>
              <w:rPr>
                <w:rFonts w:hint="default" w:ascii="Arial Italic" w:hAnsi="Arial Italic" w:cs="Arial Italic"/>
                <w:i/>
                <w:iCs/>
                <w:color w:val="auto"/>
                <w:sz w:val="22"/>
                <w:szCs w:val="22"/>
              </w:rPr>
              <w:t>The Implied Spider: Politics and Theology in Myth</w:t>
            </w:r>
            <w:r>
              <w:rPr>
                <w:rFonts w:hint="default" w:ascii="Arial Regular" w:hAnsi="Arial Regular" w:cs="Arial Regular"/>
                <w:color w:val="auto"/>
                <w:sz w:val="22"/>
                <w:szCs w:val="22"/>
              </w:rPr>
              <w:t>. Columbia University Press.</w:t>
            </w:r>
          </w:p>
          <w:p w14:paraId="59F84075">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Eliade, M., 1968. </w:t>
            </w:r>
            <w:r>
              <w:rPr>
                <w:rFonts w:hint="default" w:ascii="Arial Italic" w:hAnsi="Arial Italic" w:cs="Arial Italic"/>
                <w:i/>
                <w:iCs/>
                <w:color w:val="auto"/>
                <w:sz w:val="22"/>
                <w:szCs w:val="22"/>
              </w:rPr>
              <w:t>Myth and Reality</w:t>
            </w:r>
            <w:r>
              <w:rPr>
                <w:rFonts w:hint="default" w:ascii="Arial Regular" w:hAnsi="Arial Regular" w:cs="Arial Regular"/>
                <w:color w:val="auto"/>
                <w:sz w:val="22"/>
                <w:szCs w:val="22"/>
              </w:rPr>
              <w:t>. New York: Harper &amp; Row.</w:t>
            </w:r>
          </w:p>
          <w:p w14:paraId="1F1ADF26">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Eliade, M. (2025). Myth and reality.</w:t>
            </w:r>
          </w:p>
          <w:p w14:paraId="6CC18E9D">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Ellis, C., Adams, T. E., &amp; Bochner, A. P. (2011). Autoethnography: an overview. </w:t>
            </w:r>
            <w:r>
              <w:rPr>
                <w:rFonts w:hint="default" w:ascii="Arial Italic" w:hAnsi="Arial Italic" w:cs="Arial Italic"/>
                <w:i/>
                <w:iCs/>
                <w:color w:val="auto"/>
                <w:sz w:val="22"/>
                <w:szCs w:val="22"/>
              </w:rPr>
              <w:t>Historical social research/Historische sozialforschung</w:t>
            </w:r>
            <w:r>
              <w:rPr>
                <w:rFonts w:hint="default" w:ascii="Arial Regular" w:hAnsi="Arial Regular" w:cs="Arial Regular"/>
                <w:color w:val="auto"/>
                <w:sz w:val="22"/>
                <w:szCs w:val="22"/>
              </w:rPr>
              <w:t>, pp.273-290.</w:t>
            </w:r>
          </w:p>
          <w:p w14:paraId="6F62DDAA">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cs="Arial Regular"/>
                <w:color w:val="auto"/>
                <w:sz w:val="22"/>
                <w:szCs w:val="22"/>
                <w:highlight w:val="none"/>
              </w:rPr>
              <w:t xml:space="preserve">Eco, U. (1979). </w:t>
            </w:r>
            <w:r>
              <w:rPr>
                <w:rFonts w:hint="default" w:ascii="Arial Regular" w:hAnsi="Arial Regular" w:cs="Arial Regular"/>
                <w:i/>
                <w:iCs/>
                <w:color w:val="auto"/>
                <w:sz w:val="22"/>
                <w:szCs w:val="22"/>
                <w:highlight w:val="none"/>
              </w:rPr>
              <w:t>The role of the reader: Explorations in the semiotics of texts</w:t>
            </w:r>
            <w:r>
              <w:rPr>
                <w:rFonts w:hint="default" w:ascii="Arial Regular" w:hAnsi="Arial Regular" w:cs="Arial Regular"/>
                <w:color w:val="auto"/>
                <w:sz w:val="22"/>
                <w:szCs w:val="22"/>
                <w:highlight w:val="none"/>
              </w:rPr>
              <w:t xml:space="preserve"> (Vol. 318). Indiana University Press.</w:t>
            </w:r>
          </w:p>
          <w:p w14:paraId="50A166AA">
            <w:pPr>
              <w:numPr>
                <w:ilvl w:val="0"/>
                <w:numId w:val="6"/>
              </w:numPr>
              <w:ind w:left="425" w:leftChars="0" w:hanging="425" w:firstLineChars="0"/>
              <w:rPr>
                <w:rFonts w:hint="default" w:ascii="Arial Regular" w:hAnsi="Arial Regular" w:cs="Arial Regular"/>
                <w:b w:val="0"/>
                <w:bCs w:val="0"/>
                <w:color w:val="auto"/>
                <w:sz w:val="22"/>
                <w:szCs w:val="22"/>
                <w:highlight w:val="none"/>
                <w:lang w:val="en-US" w:eastAsia="zh-CN"/>
              </w:rPr>
            </w:pPr>
            <w:r>
              <w:rPr>
                <w:rFonts w:hint="default" w:ascii="Arial Regular" w:hAnsi="Arial Regular" w:cs="Arial Regular"/>
                <w:color w:val="auto"/>
                <w:sz w:val="22"/>
                <w:szCs w:val="22"/>
                <w:highlight w:val="none"/>
              </w:rPr>
              <w:t xml:space="preserve">Fu, L. (2018). </w:t>
            </w:r>
            <w:r>
              <w:rPr>
                <w:rFonts w:hint="default" w:ascii="Arial Regular" w:hAnsi="Arial Regular" w:cs="Arial Regular"/>
                <w:i/>
                <w:iCs/>
                <w:color w:val="auto"/>
                <w:sz w:val="22"/>
                <w:szCs w:val="22"/>
                <w:highlight w:val="none"/>
              </w:rPr>
              <w:t>Visual communication across cultures: A semiotic study of the interpretation of Western brand images in China</w:t>
            </w:r>
            <w:r>
              <w:rPr>
                <w:rFonts w:hint="default" w:ascii="Arial Regular" w:hAnsi="Arial Regular" w:cs="Arial Regular"/>
                <w:i w:val="0"/>
                <w:iCs w:val="0"/>
                <w:color w:val="auto"/>
                <w:sz w:val="22"/>
                <w:szCs w:val="22"/>
                <w:highlight w:val="none"/>
              </w:rPr>
              <w:t>.</w:t>
            </w:r>
            <w:r>
              <w:rPr>
                <w:rFonts w:hint="default" w:ascii="Arial Regular" w:hAnsi="Arial Regular" w:cs="Arial Regular"/>
                <w:color w:val="auto"/>
                <w:sz w:val="22"/>
                <w:szCs w:val="22"/>
                <w:highlight w:val="none"/>
              </w:rPr>
              <w:t xml:space="preserve"> [online] University of Canberra. Available at: https://researchprofiles.canberra.edu.au/files/59060624/Fu\_Linda.pdf [Accessed 8 April 2025].</w:t>
            </w:r>
          </w:p>
          <w:p w14:paraId="087F3A43">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cs="Arial Regular"/>
                <w:b w:val="0"/>
                <w:bCs w:val="0"/>
                <w:color w:val="auto"/>
                <w:sz w:val="22"/>
                <w:szCs w:val="22"/>
                <w:highlight w:val="none"/>
                <w:lang w:val="en-US" w:eastAsia="zh-CN"/>
              </w:rPr>
              <w:t>Fetterman, D. M. (2019).</w:t>
            </w:r>
            <w:r>
              <w:rPr>
                <w:rFonts w:hint="default" w:ascii="Arial Regular" w:hAnsi="Arial Regular" w:cs="Arial Regular"/>
                <w:b w:val="0"/>
                <w:bCs w:val="0"/>
                <w:i/>
                <w:iCs/>
                <w:color w:val="auto"/>
                <w:sz w:val="22"/>
                <w:szCs w:val="22"/>
                <w:highlight w:val="none"/>
                <w:lang w:val="en-US" w:eastAsia="zh-CN"/>
              </w:rPr>
              <w:t> Ethnography: Step-by-step</w:t>
            </w:r>
            <w:r>
              <w:rPr>
                <w:rFonts w:hint="default" w:ascii="Arial Regular" w:hAnsi="Arial Regular" w:cs="Arial Regular"/>
                <w:b w:val="0"/>
                <w:bCs w:val="0"/>
                <w:color w:val="auto"/>
                <w:sz w:val="22"/>
                <w:szCs w:val="22"/>
                <w:highlight w:val="none"/>
                <w:lang w:val="en-US" w:eastAsia="zh-CN"/>
              </w:rPr>
              <w:t>. Sage publications.</w:t>
            </w:r>
          </w:p>
          <w:p w14:paraId="1AA6B8A0">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Gadamer, H. G. (2013). Truth and Method (JW a. DG Marshall, Trans. revised second edition ed.). </w:t>
            </w:r>
            <w:r>
              <w:rPr>
                <w:rFonts w:hint="default" w:ascii="Arial Italic" w:hAnsi="Arial Italic" w:cs="Arial Italic"/>
                <w:i/>
                <w:iCs/>
                <w:color w:val="auto"/>
                <w:sz w:val="22"/>
                <w:szCs w:val="22"/>
              </w:rPr>
              <w:t>London: bloomsbury.</w:t>
            </w:r>
          </w:p>
          <w:p w14:paraId="18EBF3BF">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Geertz, C. (2017). </w:t>
            </w:r>
            <w:r>
              <w:rPr>
                <w:rFonts w:hint="default" w:ascii="Arial Italic" w:hAnsi="Arial Italic" w:cs="Arial Italic"/>
                <w:i/>
                <w:iCs/>
                <w:color w:val="auto"/>
                <w:sz w:val="22"/>
                <w:szCs w:val="22"/>
              </w:rPr>
              <w:t>The Interpretation of Cultures</w:t>
            </w:r>
            <w:r>
              <w:rPr>
                <w:rFonts w:hint="default" w:ascii="Arial Regular" w:hAnsi="Arial Regular" w:cs="Arial Regular"/>
                <w:color w:val="auto"/>
                <w:sz w:val="22"/>
                <w:szCs w:val="22"/>
              </w:rPr>
              <w:t>. Basic Books.</w:t>
            </w:r>
          </w:p>
          <w:p w14:paraId="18E6CF02">
            <w:pPr>
              <w:numPr>
                <w:ilvl w:val="0"/>
                <w:numId w:val="6"/>
              </w:numPr>
              <w:ind w:left="425" w:leftChars="0" w:hanging="425" w:firstLineChars="0"/>
              <w:rPr>
                <w:rFonts w:hint="default" w:ascii="Arial Regular" w:hAnsi="Arial Regular" w:cs="Arial Regular"/>
                <w:color w:val="auto"/>
                <w:sz w:val="22"/>
                <w:szCs w:val="22"/>
                <w:highlight w:val="none"/>
                <w:lang w:val="en-US" w:eastAsia="zh-CN"/>
              </w:rPr>
            </w:pPr>
            <w:r>
              <w:rPr>
                <w:rFonts w:hint="default" w:ascii="Arial Regular" w:hAnsi="Arial Regular" w:eastAsia="宋体" w:cs="Arial Regular"/>
                <w:b w:val="0"/>
                <w:bCs w:val="0"/>
                <w:i w:val="0"/>
                <w:iCs w:val="0"/>
                <w:caps w:val="0"/>
                <w:color w:val="auto"/>
                <w:spacing w:val="0"/>
                <w:kern w:val="0"/>
                <w:sz w:val="22"/>
                <w:szCs w:val="22"/>
                <w:u w:val="none"/>
                <w:shd w:val="clear" w:fill="FFFFFF"/>
                <w:lang w:val="en-US" w:eastAsia="zh-CN" w:bidi="ar"/>
              </w:rPr>
              <w:t>Gramsci, A. (2020). Selections from the prison notebooks. In </w:t>
            </w:r>
            <w:r>
              <w:rPr>
                <w:rFonts w:hint="default" w:ascii="Arial Regular" w:hAnsi="Arial Regular" w:eastAsia="宋体" w:cs="Arial Regular"/>
                <w:b w:val="0"/>
                <w:bCs w:val="0"/>
                <w:i/>
                <w:iCs/>
                <w:caps w:val="0"/>
                <w:color w:val="auto"/>
                <w:spacing w:val="0"/>
                <w:kern w:val="0"/>
                <w:sz w:val="22"/>
                <w:szCs w:val="22"/>
                <w:u w:val="none"/>
                <w:lang w:val="en-US" w:eastAsia="zh-CN" w:bidi="ar"/>
              </w:rPr>
              <w:t>The applied theatre reader</w:t>
            </w:r>
            <w:r>
              <w:rPr>
                <w:rFonts w:hint="default" w:ascii="Arial Regular" w:hAnsi="Arial Regular" w:eastAsia="宋体" w:cs="Arial Regular"/>
                <w:b w:val="0"/>
                <w:bCs w:val="0"/>
                <w:i w:val="0"/>
                <w:iCs w:val="0"/>
                <w:caps w:val="0"/>
                <w:color w:val="auto"/>
                <w:spacing w:val="0"/>
                <w:kern w:val="0"/>
                <w:sz w:val="22"/>
                <w:szCs w:val="22"/>
                <w:u w:val="none"/>
                <w:shd w:val="clear" w:fill="FFFFFF"/>
                <w:lang w:val="en-US" w:eastAsia="zh-CN" w:bidi="ar"/>
              </w:rPr>
              <w:t> (pp. 141-142). Routledge</w:t>
            </w:r>
            <w:r>
              <w:rPr>
                <w:rFonts w:hint="eastAsia" w:ascii="Arial Regular" w:hAnsi="Arial Regular" w:eastAsia="宋体" w:cs="Arial Regular"/>
                <w:b w:val="0"/>
                <w:bCs w:val="0"/>
                <w:i w:val="0"/>
                <w:iCs w:val="0"/>
                <w:caps w:val="0"/>
                <w:color w:val="auto"/>
                <w:spacing w:val="0"/>
                <w:kern w:val="0"/>
                <w:sz w:val="22"/>
                <w:szCs w:val="22"/>
                <w:u w:val="none"/>
                <w:shd w:val="clear" w:fill="FFFFFF"/>
                <w:lang w:val="en-US" w:eastAsia="zh-CN" w:bidi="ar"/>
              </w:rPr>
              <w:t>.</w:t>
            </w:r>
          </w:p>
          <w:p w14:paraId="473429E5">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highlight w:val="none"/>
                <w:lang w:val="en-US" w:eastAsia="zh-CN"/>
              </w:rPr>
              <w:t>Greimas, A. J., McDowell, D., Schleifer, R., &amp; Velie, A. (1983). Structural semantics: An attempt at a method. (No Title).</w:t>
            </w:r>
          </w:p>
          <w:p w14:paraId="1324A547">
            <w:pPr>
              <w:numPr>
                <w:ilvl w:val="0"/>
                <w:numId w:val="6"/>
              </w:numPr>
              <w:ind w:left="425" w:leftChars="0" w:hanging="425" w:firstLineChars="0"/>
              <w:rPr>
                <w:rFonts w:hint="default" w:ascii="Arial Regular" w:hAnsi="Arial Regular" w:cs="Arial Regular"/>
                <w:color w:val="auto"/>
                <w:sz w:val="22"/>
                <w:szCs w:val="22"/>
                <w:highlight w:val="none"/>
                <w:lang w:val="en-US" w:eastAsia="zh-CN"/>
              </w:rPr>
            </w:pPr>
            <w:r>
              <w:rPr>
                <w:rFonts w:hint="default" w:ascii="Arial Regular" w:hAnsi="Arial Regular" w:cs="Arial Regular"/>
                <w:color w:val="auto"/>
                <w:sz w:val="22"/>
                <w:szCs w:val="22"/>
                <w:highlight w:val="none"/>
              </w:rPr>
              <w:t xml:space="preserve">Gitelman, L. (2008). </w:t>
            </w:r>
            <w:r>
              <w:rPr>
                <w:rFonts w:hint="default" w:ascii="Arial Regular" w:hAnsi="Arial Regular" w:cs="Arial Regular"/>
                <w:i/>
                <w:iCs/>
                <w:color w:val="auto"/>
                <w:sz w:val="22"/>
                <w:szCs w:val="22"/>
                <w:highlight w:val="none"/>
              </w:rPr>
              <w:t>Always already new: Media, history, and the data of culture</w:t>
            </w:r>
            <w:r>
              <w:rPr>
                <w:rFonts w:hint="default" w:ascii="Arial Regular" w:hAnsi="Arial Regular" w:cs="Arial Regular"/>
                <w:color w:val="auto"/>
                <w:sz w:val="22"/>
                <w:szCs w:val="22"/>
                <w:highlight w:val="none"/>
              </w:rPr>
              <w:t>. MIT press.</w:t>
            </w:r>
          </w:p>
          <w:p w14:paraId="11926A5E">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Hong, Y. (2022). Return of Myth, Myth Resources, and the Contemporaneity of Mythology in Korea and China Today. </w:t>
            </w:r>
            <w:r>
              <w:rPr>
                <w:rFonts w:hint="default" w:ascii="Arial Italic" w:hAnsi="Arial Italic" w:cs="Arial Italic"/>
                <w:i/>
                <w:iCs/>
                <w:color w:val="auto"/>
                <w:sz w:val="22"/>
                <w:szCs w:val="22"/>
              </w:rPr>
              <w:t>International Journal of Korean History, 27</w:t>
            </w:r>
            <w:r>
              <w:rPr>
                <w:rFonts w:hint="default" w:ascii="Arial Regular" w:hAnsi="Arial Regular" w:cs="Arial Regular"/>
                <w:color w:val="auto"/>
                <w:sz w:val="22"/>
                <w:szCs w:val="22"/>
              </w:rPr>
              <w:t>(1), pp.325-354.</w:t>
            </w:r>
          </w:p>
          <w:p w14:paraId="052A1ADE">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Hu, Q., Hu, X., &amp; Hou, P. (2022). One Social Media, Distinct Habitus: Generation Z's Social Media Uses and Gratifications and the Moderation Effect of Economic Capital. </w:t>
            </w:r>
            <w:r>
              <w:rPr>
                <w:rFonts w:hint="default" w:ascii="Arial Italic" w:hAnsi="Arial Italic" w:cs="Arial Italic"/>
                <w:i/>
                <w:iCs/>
                <w:color w:val="auto"/>
                <w:sz w:val="22"/>
                <w:szCs w:val="22"/>
              </w:rPr>
              <w:t>Frontiers in Psychology, 13</w:t>
            </w:r>
            <w:r>
              <w:rPr>
                <w:rFonts w:hint="default" w:ascii="Arial Regular" w:hAnsi="Arial Regular" w:cs="Arial Regular"/>
                <w:color w:val="auto"/>
                <w:sz w:val="22"/>
                <w:szCs w:val="22"/>
              </w:rPr>
              <w:t>, 939128.</w:t>
            </w:r>
          </w:p>
          <w:p w14:paraId="42CE44AC">
            <w:pPr>
              <w:numPr>
                <w:ilvl w:val="0"/>
                <w:numId w:val="6"/>
              </w:numPr>
              <w:ind w:left="425" w:leftChars="0" w:hanging="425" w:firstLineChars="0"/>
              <w:rPr>
                <w:rFonts w:hint="default" w:ascii="Arial Regular" w:hAnsi="Arial Regular" w:cs="Arial Regular" w:eastAsiaTheme="minorEastAsia"/>
                <w:b w:val="0"/>
                <w:bCs w:val="0"/>
                <w:color w:val="auto"/>
                <w:kern w:val="0"/>
                <w:sz w:val="22"/>
                <w:szCs w:val="22"/>
                <w:highlight w:val="none"/>
                <w:lang w:val="en-US" w:eastAsia="zh-CN" w:bidi="ar"/>
              </w:rPr>
            </w:pPr>
            <w:r>
              <w:rPr>
                <w:rFonts w:hint="default" w:ascii="Arial Regular" w:hAnsi="Arial Regular" w:cs="Arial Regular"/>
                <w:color w:val="auto"/>
                <w:sz w:val="22"/>
                <w:szCs w:val="22"/>
              </w:rPr>
              <w:t xml:space="preserve">Huang, X., Li, X., &amp; Yao, J. (2023). Investigating the role of visual storytelling in enhancing audience engagement in digital journalism. </w:t>
            </w:r>
            <w:r>
              <w:rPr>
                <w:rFonts w:hint="default" w:ascii="Arial Italic" w:hAnsi="Arial Italic" w:cs="Arial Italic"/>
                <w:i/>
                <w:iCs/>
                <w:color w:val="auto"/>
                <w:sz w:val="22"/>
                <w:szCs w:val="22"/>
              </w:rPr>
              <w:t>MEDAAD, 2023</w:t>
            </w:r>
            <w:r>
              <w:rPr>
                <w:rFonts w:hint="default" w:ascii="Arial Regular" w:hAnsi="Arial Regular" w:cs="Arial Regular"/>
                <w:color w:val="auto"/>
                <w:sz w:val="22"/>
                <w:szCs w:val="22"/>
              </w:rPr>
              <w:t>, pp.10-16.</w:t>
            </w:r>
          </w:p>
          <w:p w14:paraId="435217DD">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eastAsiaTheme="minorEastAsia"/>
                <w:b w:val="0"/>
                <w:bCs w:val="0"/>
                <w:color w:val="auto"/>
                <w:kern w:val="0"/>
                <w:sz w:val="22"/>
                <w:szCs w:val="22"/>
                <w:highlight w:val="none"/>
                <w:lang w:val="en-US" w:eastAsia="zh-CN" w:bidi="ar"/>
              </w:rPr>
              <w:t xml:space="preserve">Hall, S. (1980). Encoding/decoding (pp. 128-138). </w:t>
            </w:r>
            <w:r>
              <w:rPr>
                <w:rFonts w:hint="default" w:ascii="Arial Regular" w:hAnsi="Arial Regular" w:cs="Arial Regular" w:eastAsiaTheme="minorEastAsia"/>
                <w:b w:val="0"/>
                <w:bCs w:val="0"/>
                <w:i/>
                <w:iCs/>
                <w:color w:val="auto"/>
                <w:kern w:val="0"/>
                <w:sz w:val="22"/>
                <w:szCs w:val="22"/>
                <w:highlight w:val="none"/>
                <w:lang w:val="en-US" w:eastAsia="zh-CN" w:bidi="ar"/>
              </w:rPr>
              <w:t>Culture, Media, Language: Hutchinson</w:t>
            </w:r>
            <w:r>
              <w:rPr>
                <w:rFonts w:hint="default" w:ascii="Arial Regular" w:hAnsi="Arial Regular" w:cs="Arial Regular" w:eastAsiaTheme="minorEastAsia"/>
                <w:b w:val="0"/>
                <w:bCs w:val="0"/>
                <w:color w:val="auto"/>
                <w:kern w:val="0"/>
                <w:sz w:val="22"/>
                <w:szCs w:val="22"/>
                <w:highlight w:val="none"/>
                <w:lang w:val="en-US" w:eastAsia="zh-CN" w:bidi="ar"/>
              </w:rPr>
              <w:t>.</w:t>
            </w:r>
          </w:p>
          <w:p w14:paraId="38014D94">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Hall, S. (2019). Encoding—Decoding (1980).</w:t>
            </w:r>
            <w:r>
              <w:rPr>
                <w:rFonts w:hint="default" w:ascii="Arial Regular" w:hAnsi="Arial Regular" w:cs="Arial Regular"/>
                <w:i/>
                <w:iCs/>
                <w:color w:val="auto"/>
                <w:sz w:val="22"/>
                <w:szCs w:val="22"/>
              </w:rPr>
              <w:t xml:space="preserve"> </w:t>
            </w:r>
            <w:r>
              <w:rPr>
                <w:rFonts w:hint="default" w:ascii="Arial Regular" w:hAnsi="Arial Regular" w:cs="Arial Regular"/>
                <w:i w:val="0"/>
                <w:iCs w:val="0"/>
                <w:color w:val="auto"/>
                <w:sz w:val="22"/>
                <w:szCs w:val="22"/>
              </w:rPr>
              <w:t>In</w:t>
            </w:r>
            <w:r>
              <w:rPr>
                <w:rFonts w:hint="default" w:ascii="Arial Regular" w:hAnsi="Arial Regular" w:cs="Arial Regular"/>
                <w:i/>
                <w:iCs/>
                <w:color w:val="auto"/>
                <w:sz w:val="22"/>
                <w:szCs w:val="22"/>
              </w:rPr>
              <w:t xml:space="preserve"> Crime and Media</w:t>
            </w:r>
            <w:r>
              <w:rPr>
                <w:rFonts w:hint="default" w:ascii="Arial Regular" w:hAnsi="Arial Regular" w:cs="Arial Regular"/>
                <w:color w:val="auto"/>
                <w:sz w:val="22"/>
                <w:szCs w:val="22"/>
              </w:rPr>
              <w:t xml:space="preserve"> (pp. 44-55). Routledge.</w:t>
            </w:r>
          </w:p>
          <w:p w14:paraId="326F2C1F">
            <w:pPr>
              <w:numPr>
                <w:ilvl w:val="0"/>
                <w:numId w:val="6"/>
              </w:numPr>
              <w:ind w:left="425" w:leftChars="0" w:hanging="425" w:firstLineChars="0"/>
              <w:rPr>
                <w:rFonts w:hint="default" w:ascii="Arial Regular" w:hAnsi="Arial Regular" w:cs="Arial Regular"/>
                <w:b w:val="0"/>
                <w:bCs w:val="0"/>
                <w:color w:val="auto"/>
                <w:sz w:val="22"/>
                <w:szCs w:val="22"/>
                <w:highlight w:val="none"/>
                <w:lang w:val="en-US" w:eastAsia="zh-CN"/>
              </w:rPr>
            </w:pPr>
            <w:r>
              <w:rPr>
                <w:rFonts w:hint="default" w:ascii="Arial Regular" w:hAnsi="Arial Regular" w:cs="Arial Regular"/>
                <w:color w:val="auto"/>
                <w:sz w:val="22"/>
                <w:szCs w:val="22"/>
              </w:rPr>
              <w:t>Hall, S. (2015). Cultural Identity and Diaspora.</w:t>
            </w:r>
            <w:r>
              <w:rPr>
                <w:rFonts w:hint="default" w:ascii="Arial Regular" w:hAnsi="Arial Regular" w:cs="Arial Regular"/>
                <w:i w:val="0"/>
                <w:iCs w:val="0"/>
                <w:color w:val="auto"/>
                <w:sz w:val="22"/>
                <w:szCs w:val="22"/>
              </w:rPr>
              <w:t xml:space="preserve"> In </w:t>
            </w:r>
            <w:r>
              <w:rPr>
                <w:rFonts w:hint="default" w:ascii="Arial Regular" w:hAnsi="Arial Regular" w:cs="Arial Regular"/>
                <w:i/>
                <w:iCs/>
                <w:color w:val="auto"/>
                <w:sz w:val="22"/>
                <w:szCs w:val="22"/>
              </w:rPr>
              <w:t>Colonial discourse and post-colonial theory</w:t>
            </w:r>
            <w:r>
              <w:rPr>
                <w:rFonts w:hint="default" w:ascii="Arial Regular" w:hAnsi="Arial Regular" w:cs="Arial Regular"/>
                <w:color w:val="auto"/>
                <w:sz w:val="22"/>
                <w:szCs w:val="22"/>
              </w:rPr>
              <w:t xml:space="preserve"> </w:t>
            </w:r>
            <w:r>
              <w:rPr>
                <w:rFonts w:hint="default" w:ascii="Arial Regular" w:hAnsi="Arial Regular" w:cs="Arial Regular"/>
                <w:color w:val="auto"/>
                <w:sz w:val="22"/>
                <w:szCs w:val="22"/>
                <w:lang w:val="en-US" w:eastAsia="zh-CN"/>
              </w:rPr>
              <w:t xml:space="preserve"> </w:t>
            </w:r>
            <w:r>
              <w:rPr>
                <w:rFonts w:hint="default" w:ascii="Arial Regular" w:hAnsi="Arial Regular" w:cs="Arial Regular"/>
                <w:color w:val="auto"/>
                <w:sz w:val="22"/>
                <w:szCs w:val="22"/>
              </w:rPr>
              <w:t>(pp. 392-403). Routledge.</w:t>
            </w:r>
          </w:p>
          <w:p w14:paraId="2D087820">
            <w:pPr>
              <w:numPr>
                <w:ilvl w:val="0"/>
                <w:numId w:val="6"/>
              </w:numPr>
              <w:ind w:left="425" w:leftChars="0" w:hanging="425" w:firstLineChars="0"/>
              <w:rPr>
                <w:rFonts w:hint="default" w:ascii="Arial Regular" w:hAnsi="Arial Regular" w:cs="Arial Regular"/>
                <w:color w:val="auto"/>
                <w:sz w:val="22"/>
                <w:szCs w:val="22"/>
                <w:lang w:eastAsia="zh-CN"/>
              </w:rPr>
            </w:pPr>
            <w:r>
              <w:rPr>
                <w:rFonts w:hint="default" w:ascii="Arial Regular" w:hAnsi="Arial Regular" w:cs="Arial Regular"/>
                <w:b w:val="0"/>
                <w:bCs w:val="0"/>
                <w:color w:val="auto"/>
                <w:sz w:val="22"/>
                <w:szCs w:val="22"/>
                <w:highlight w:val="none"/>
                <w:lang w:val="en-US" w:eastAsia="zh-CN"/>
              </w:rPr>
              <w:t>Hammersley, M. (2012). </w:t>
            </w:r>
            <w:r>
              <w:rPr>
                <w:rFonts w:hint="default" w:ascii="Arial Regular" w:hAnsi="Arial Regular" w:cs="Arial Regular"/>
                <w:b w:val="0"/>
                <w:bCs w:val="0"/>
                <w:i/>
                <w:iCs/>
                <w:color w:val="auto"/>
                <w:sz w:val="22"/>
                <w:szCs w:val="22"/>
                <w:highlight w:val="none"/>
                <w:lang w:val="en-US" w:eastAsia="zh-CN"/>
              </w:rPr>
              <w:t>What is qualitative research?</w:t>
            </w:r>
            <w:r>
              <w:rPr>
                <w:rFonts w:hint="default" w:ascii="Arial Regular" w:hAnsi="Arial Regular" w:cs="Arial Regular"/>
                <w:b w:val="0"/>
                <w:bCs w:val="0"/>
                <w:color w:val="auto"/>
                <w:sz w:val="22"/>
                <w:szCs w:val="22"/>
                <w:highlight w:val="none"/>
                <w:lang w:val="en-US" w:eastAsia="zh-CN"/>
              </w:rPr>
              <w:t xml:space="preserve"> (p. 144). Bloomsbury Academic. </w:t>
            </w:r>
          </w:p>
          <w:p w14:paraId="6199EDF7">
            <w:pPr>
              <w:numPr>
                <w:ilvl w:val="0"/>
                <w:numId w:val="6"/>
              </w:numPr>
              <w:ind w:left="425" w:leftChars="0" w:hanging="425" w:firstLineChars="0"/>
              <w:rPr>
                <w:rFonts w:hint="default" w:ascii="Arial Regular" w:hAnsi="Arial Regular" w:eastAsia="ＭＳ 明朝" w:cs="Arial Regular"/>
                <w:i w:val="0"/>
                <w:iCs/>
                <w:color w:val="auto"/>
                <w:kern w:val="2"/>
                <w:sz w:val="22"/>
                <w:szCs w:val="22"/>
                <w:highlight w:val="none"/>
                <w:lang w:eastAsia="zh-CN"/>
              </w:rPr>
            </w:pPr>
            <w:r>
              <w:rPr>
                <w:rFonts w:hint="default" w:ascii="Arial" w:hAnsi="Arial" w:eastAsia="ＭＳ 明朝" w:cs="Arial"/>
                <w:i w:val="0"/>
                <w:iCs/>
                <w:color w:val="auto"/>
                <w:kern w:val="2"/>
                <w:sz w:val="22"/>
                <w:szCs w:val="22"/>
                <w:highlight w:val="none"/>
                <w:lang w:eastAsia="zh-CN"/>
              </w:rPr>
              <w:t xml:space="preserve">Jung, C. G. (2014). </w:t>
            </w:r>
            <w:r>
              <w:rPr>
                <w:rFonts w:hint="default" w:ascii="Arial Italic" w:hAnsi="Arial Italic" w:eastAsia="ＭＳ 明朝" w:cs="Arial Italic"/>
                <w:i/>
                <w:iCs w:val="0"/>
                <w:color w:val="auto"/>
                <w:kern w:val="2"/>
                <w:sz w:val="22"/>
                <w:szCs w:val="22"/>
                <w:highlight w:val="none"/>
                <w:lang w:eastAsia="zh-CN"/>
              </w:rPr>
              <w:t>The archetypes and the collective unconscious</w:t>
            </w:r>
            <w:r>
              <w:rPr>
                <w:rFonts w:hint="default" w:ascii="Arial" w:hAnsi="Arial" w:eastAsia="ＭＳ 明朝" w:cs="Arial"/>
                <w:i w:val="0"/>
                <w:iCs/>
                <w:color w:val="auto"/>
                <w:kern w:val="2"/>
                <w:sz w:val="22"/>
                <w:szCs w:val="22"/>
                <w:highlight w:val="none"/>
                <w:lang w:eastAsia="zh-CN"/>
              </w:rPr>
              <w:t>. Routledge.</w:t>
            </w:r>
          </w:p>
          <w:p w14:paraId="32E4A9E7">
            <w:pPr>
              <w:numPr>
                <w:ilvl w:val="0"/>
                <w:numId w:val="6"/>
              </w:numPr>
              <w:ind w:left="425" w:leftChars="0" w:hanging="425" w:firstLineChars="0"/>
              <w:rPr>
                <w:rFonts w:hint="default" w:ascii="Arial" w:hAnsi="Arial" w:eastAsia="ＭＳ 明朝" w:cs="Arial"/>
                <w:i w:val="0"/>
                <w:iCs/>
                <w:color w:val="auto"/>
                <w:kern w:val="2"/>
                <w:sz w:val="22"/>
                <w:szCs w:val="22"/>
                <w:highlight w:val="none"/>
                <w:lang w:eastAsia="zh-CN"/>
              </w:rPr>
            </w:pPr>
            <w:r>
              <w:rPr>
                <w:rFonts w:hint="default" w:ascii="Arial Regular" w:hAnsi="Arial Regular" w:eastAsia="ＭＳ 明朝" w:cs="Arial Regular"/>
                <w:i w:val="0"/>
                <w:iCs/>
                <w:color w:val="auto"/>
                <w:kern w:val="2"/>
                <w:sz w:val="22"/>
                <w:szCs w:val="22"/>
                <w:highlight w:val="none"/>
                <w:lang w:eastAsia="zh-CN"/>
              </w:rPr>
              <w:t xml:space="preserve">Jenkins, H. (2006). New York University Press. </w:t>
            </w:r>
            <w:r>
              <w:rPr>
                <w:rFonts w:hint="default" w:ascii="Arial Italic" w:hAnsi="Arial Italic" w:eastAsia="ＭＳ 明朝" w:cs="Arial Italic"/>
                <w:i/>
                <w:iCs w:val="0"/>
                <w:color w:val="auto"/>
                <w:kern w:val="2"/>
                <w:sz w:val="22"/>
                <w:szCs w:val="22"/>
                <w:highlight w:val="none"/>
                <w:lang w:eastAsia="zh-CN"/>
              </w:rPr>
              <w:t>Convergence Culture: where old and new media collide. New York University</w:t>
            </w:r>
            <w:r>
              <w:rPr>
                <w:rFonts w:hint="default" w:ascii="Arial Regular" w:hAnsi="Arial Regular" w:eastAsia="ＭＳ 明朝" w:cs="Arial Regular"/>
                <w:i w:val="0"/>
                <w:iCs/>
                <w:color w:val="auto"/>
                <w:kern w:val="2"/>
                <w:sz w:val="22"/>
                <w:szCs w:val="22"/>
                <w:highlight w:val="none"/>
                <w:lang w:eastAsia="zh-CN"/>
              </w:rPr>
              <w:t xml:space="preserve">, </w:t>
            </w:r>
            <w:r>
              <w:rPr>
                <w:rFonts w:hint="eastAsia" w:ascii="Arial Regular" w:hAnsi="Arial Regular" w:eastAsia="ＭＳ 明朝" w:cs="Arial Regular"/>
                <w:i w:val="0"/>
                <w:iCs/>
                <w:color w:val="auto"/>
                <w:kern w:val="2"/>
                <w:sz w:val="22"/>
                <w:szCs w:val="22"/>
                <w:highlight w:val="none"/>
                <w:lang w:val="en-US" w:eastAsia="zh-CN"/>
              </w:rPr>
              <w:t xml:space="preserve">pp. </w:t>
            </w:r>
            <w:r>
              <w:rPr>
                <w:rFonts w:hint="default" w:ascii="Arial Regular" w:hAnsi="Arial Regular" w:eastAsia="ＭＳ 明朝" w:cs="Arial Regular"/>
                <w:i w:val="0"/>
                <w:iCs/>
                <w:color w:val="auto"/>
                <w:kern w:val="2"/>
                <w:sz w:val="22"/>
                <w:szCs w:val="22"/>
                <w:highlight w:val="none"/>
                <w:lang w:eastAsia="zh-CN"/>
              </w:rPr>
              <w:t>307-319.</w:t>
            </w:r>
          </w:p>
          <w:p w14:paraId="22DB5704">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Kress, G., &amp; Van Leeuwen, T. (2020). </w:t>
            </w:r>
            <w:r>
              <w:rPr>
                <w:rFonts w:hint="default" w:ascii="Arial Italic" w:hAnsi="Arial Italic" w:cs="Arial Italic"/>
                <w:i/>
                <w:iCs/>
                <w:color w:val="auto"/>
                <w:sz w:val="22"/>
                <w:szCs w:val="22"/>
              </w:rPr>
              <w:t>Reading images: The grammar of visual design</w:t>
            </w:r>
            <w:r>
              <w:rPr>
                <w:rFonts w:hint="default" w:ascii="Arial Regular" w:hAnsi="Arial Regular" w:cs="Arial Regular"/>
                <w:color w:val="auto"/>
                <w:sz w:val="22"/>
                <w:szCs w:val="22"/>
              </w:rPr>
              <w:t>. Routledge.</w:t>
            </w:r>
          </w:p>
          <w:p w14:paraId="1789F607">
            <w:pPr>
              <w:numPr>
                <w:ilvl w:val="0"/>
                <w:numId w:val="6"/>
              </w:numPr>
              <w:ind w:left="425" w:leftChars="0" w:hanging="425" w:firstLineChars="0"/>
              <w:rPr>
                <w:rFonts w:hint="default" w:ascii="Arial Regular" w:hAnsi="Arial Regular" w:cs="Arial Regular"/>
                <w:b w:val="0"/>
                <w:bCs w:val="0"/>
                <w:color w:val="auto"/>
                <w:sz w:val="22"/>
                <w:szCs w:val="22"/>
                <w:highlight w:val="none"/>
                <w:lang w:val="en-US" w:eastAsia="zh-CN"/>
              </w:rPr>
            </w:pPr>
            <w:r>
              <w:rPr>
                <w:rFonts w:hint="default" w:ascii="Arial Regular" w:hAnsi="Arial Regular" w:cs="Arial Regular"/>
                <w:color w:val="auto"/>
                <w:sz w:val="22"/>
                <w:szCs w:val="22"/>
                <w:highlight w:val="none"/>
              </w:rPr>
              <w:t xml:space="preserve">Kress, G. (2003). </w:t>
            </w:r>
            <w:r>
              <w:rPr>
                <w:rFonts w:hint="default" w:ascii="Arial Regular" w:hAnsi="Arial Regular" w:cs="Arial Regular"/>
                <w:i/>
                <w:iCs/>
                <w:color w:val="auto"/>
                <w:sz w:val="22"/>
                <w:szCs w:val="22"/>
                <w:highlight w:val="none"/>
              </w:rPr>
              <w:t>Literacy in the new media age</w:t>
            </w:r>
            <w:r>
              <w:rPr>
                <w:rFonts w:hint="default" w:ascii="Arial Regular" w:hAnsi="Arial Regular" w:cs="Arial Regular"/>
                <w:color w:val="auto"/>
                <w:sz w:val="22"/>
                <w:szCs w:val="22"/>
                <w:highlight w:val="none"/>
              </w:rPr>
              <w:t>. routledge.</w:t>
            </w:r>
          </w:p>
          <w:p w14:paraId="7DFF7F83">
            <w:pPr>
              <w:numPr>
                <w:ilvl w:val="0"/>
                <w:numId w:val="6"/>
              </w:numPr>
              <w:ind w:left="425" w:leftChars="0" w:hanging="425" w:firstLineChars="0"/>
              <w:rPr>
                <w:rFonts w:hint="default" w:ascii="Arial Regular" w:hAnsi="Arial Regular" w:cs="Arial Regular"/>
                <w:color w:val="auto"/>
                <w:sz w:val="22"/>
                <w:szCs w:val="22"/>
                <w:highlight w:val="none"/>
                <w:lang w:val="en-US" w:eastAsia="zh-CN"/>
              </w:rPr>
            </w:pPr>
            <w:r>
              <w:rPr>
                <w:rFonts w:hint="default" w:ascii="Arial Regular" w:hAnsi="Arial Regular" w:cs="Arial Regular"/>
                <w:b w:val="0"/>
                <w:bCs w:val="0"/>
                <w:color w:val="auto"/>
                <w:sz w:val="22"/>
                <w:szCs w:val="22"/>
                <w:highlight w:val="none"/>
                <w:lang w:val="en-US" w:eastAsia="zh-CN"/>
              </w:rPr>
              <w:t>Krippendorff, K. (2018). </w:t>
            </w:r>
            <w:r>
              <w:rPr>
                <w:rFonts w:hint="default" w:ascii="Arial Regular" w:hAnsi="Arial Regular" w:cs="Arial Regular"/>
                <w:b w:val="0"/>
                <w:bCs w:val="0"/>
                <w:i/>
                <w:iCs/>
                <w:color w:val="auto"/>
                <w:sz w:val="22"/>
                <w:szCs w:val="22"/>
                <w:highlight w:val="none"/>
                <w:lang w:val="en-US" w:eastAsia="zh-CN"/>
              </w:rPr>
              <w:t>Content analysis: An introduction to its methodology</w:t>
            </w:r>
            <w:r>
              <w:rPr>
                <w:rFonts w:hint="default" w:ascii="Arial Regular" w:hAnsi="Arial Regular" w:cs="Arial Regular"/>
                <w:b w:val="0"/>
                <w:bCs w:val="0"/>
                <w:color w:val="auto"/>
                <w:sz w:val="22"/>
                <w:szCs w:val="22"/>
                <w:highlight w:val="none"/>
                <w:lang w:val="en-US" w:eastAsia="zh-CN"/>
              </w:rPr>
              <w:t>. Sage publications.</w:t>
            </w:r>
          </w:p>
          <w:p w14:paraId="768072D7">
            <w:pPr>
              <w:numPr>
                <w:ilvl w:val="0"/>
                <w:numId w:val="6"/>
              </w:numPr>
              <w:ind w:left="425" w:leftChars="0" w:hanging="425" w:firstLineChars="0"/>
              <w:rPr>
                <w:rFonts w:hint="default" w:ascii="Arial Regular" w:hAnsi="Arial Regular" w:cs="Arial Regular"/>
                <w:color w:val="auto"/>
                <w:sz w:val="22"/>
                <w:szCs w:val="22"/>
              </w:rPr>
            </w:pPr>
            <w:r>
              <w:rPr>
                <w:rFonts w:hint="default" w:ascii="Arial" w:hAnsi="Arial" w:eastAsia="ＭＳ 明朝" w:cs="Arial"/>
                <w:b w:val="0"/>
                <w:bCs w:val="0"/>
                <w:i w:val="0"/>
                <w:iCs/>
                <w:color w:val="auto"/>
                <w:kern w:val="2"/>
                <w:sz w:val="22"/>
                <w:szCs w:val="22"/>
                <w:lang w:val="en-US" w:eastAsia="zh-CN"/>
              </w:rPr>
              <w:t xml:space="preserve">Li, W. (2023). The impact of color application in illustration design on emotion and cognition. </w:t>
            </w:r>
            <w:r>
              <w:rPr>
                <w:rFonts w:hint="default" w:ascii="Arial Italic" w:hAnsi="Arial Italic" w:eastAsia="ＭＳ 明朝" w:cs="Arial Italic"/>
                <w:b w:val="0"/>
                <w:bCs w:val="0"/>
                <w:i/>
                <w:iCs w:val="0"/>
                <w:color w:val="auto"/>
                <w:kern w:val="2"/>
                <w:sz w:val="22"/>
                <w:szCs w:val="22"/>
                <w:lang w:val="en-US" w:eastAsia="zh-CN"/>
              </w:rPr>
              <w:t>Textile Report</w:t>
            </w:r>
            <w:r>
              <w:rPr>
                <w:rFonts w:hint="default" w:ascii="Arial" w:hAnsi="Arial" w:eastAsia="ＭＳ 明朝" w:cs="Arial"/>
                <w:b w:val="0"/>
                <w:bCs w:val="0"/>
                <w:i/>
                <w:iCs w:val="0"/>
                <w:color w:val="auto"/>
                <w:kern w:val="2"/>
                <w:sz w:val="22"/>
                <w:szCs w:val="22"/>
                <w:lang w:val="en-US" w:eastAsia="zh-CN"/>
              </w:rPr>
              <w:t>, 42</w:t>
            </w:r>
            <w:r>
              <w:rPr>
                <w:rFonts w:hint="default" w:ascii="Arial" w:hAnsi="Arial" w:eastAsia="ＭＳ 明朝" w:cs="Arial"/>
                <w:b w:val="0"/>
                <w:bCs w:val="0"/>
                <w:i w:val="0"/>
                <w:iCs/>
                <w:color w:val="auto"/>
                <w:kern w:val="2"/>
                <w:sz w:val="22"/>
                <w:szCs w:val="22"/>
                <w:lang w:val="en-US" w:eastAsia="zh-CN"/>
              </w:rPr>
              <w:t>(7), pp.58–60.</w:t>
            </w:r>
          </w:p>
          <w:p w14:paraId="1D88B9E9">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Lotman, Y. M. (1990). Universe of the Mind. </w:t>
            </w:r>
            <w:r>
              <w:rPr>
                <w:rFonts w:hint="default" w:ascii="Arial Italic" w:hAnsi="Arial Italic" w:cs="Arial Italic"/>
                <w:i/>
                <w:iCs/>
                <w:color w:val="auto"/>
                <w:sz w:val="22"/>
                <w:szCs w:val="22"/>
              </w:rPr>
              <w:t>A semiotic theory of culture</w:t>
            </w:r>
            <w:r>
              <w:rPr>
                <w:rFonts w:hint="default" w:ascii="Arial Regular" w:hAnsi="Arial Regular" w:cs="Arial Regular"/>
                <w:color w:val="auto"/>
                <w:sz w:val="22"/>
                <w:szCs w:val="22"/>
              </w:rPr>
              <w:t>, pp.20-35.</w:t>
            </w:r>
          </w:p>
          <w:p w14:paraId="5DC6235F">
            <w:pPr>
              <w:numPr>
                <w:ilvl w:val="0"/>
                <w:numId w:val="6"/>
              </w:numPr>
              <w:ind w:left="425" w:leftChars="0" w:hanging="425" w:firstLineChars="0"/>
              <w:rPr>
                <w:rFonts w:hint="default" w:ascii="Arial" w:hAnsi="Arial" w:eastAsia="宋体" w:cs="Arial"/>
                <w:b w:val="0"/>
                <w:bCs w:val="0"/>
                <w:i w:val="0"/>
                <w:iCs w:val="0"/>
                <w:caps w:val="0"/>
                <w:color w:val="auto"/>
                <w:spacing w:val="0"/>
                <w:kern w:val="0"/>
                <w:sz w:val="22"/>
                <w:szCs w:val="22"/>
                <w:u w:val="none"/>
                <w:shd w:val="clear" w:fill="FFFFFF"/>
                <w:lang w:val="en-US" w:eastAsia="zh-CN" w:bidi="ar"/>
              </w:rPr>
            </w:pPr>
            <w:r>
              <w:rPr>
                <w:rFonts w:hint="default" w:ascii="Arial Regular" w:hAnsi="Arial Regular" w:cs="Arial Regular"/>
                <w:color w:val="auto"/>
                <w:sz w:val="22"/>
                <w:szCs w:val="22"/>
              </w:rPr>
              <w:t xml:space="preserve">Luo, L. (2021). </w:t>
            </w:r>
            <w:r>
              <w:rPr>
                <w:rFonts w:hint="default" w:ascii="Arial Italic" w:hAnsi="Arial Italic" w:cs="Arial Italic"/>
                <w:i/>
                <w:iCs/>
                <w:color w:val="auto"/>
                <w:sz w:val="22"/>
                <w:szCs w:val="22"/>
              </w:rPr>
              <w:t>The global white snake</w:t>
            </w:r>
            <w:r>
              <w:rPr>
                <w:rFonts w:hint="default" w:ascii="Arial Regular" w:hAnsi="Arial Regular" w:cs="Arial Regular"/>
                <w:color w:val="auto"/>
                <w:sz w:val="22"/>
                <w:szCs w:val="22"/>
              </w:rPr>
              <w:t>. University of Michigan Press.</w:t>
            </w:r>
          </w:p>
          <w:p w14:paraId="740C278A">
            <w:pPr>
              <w:numPr>
                <w:ilvl w:val="0"/>
                <w:numId w:val="6"/>
              </w:numPr>
              <w:ind w:left="425" w:leftChars="0" w:hanging="425" w:firstLineChars="0"/>
              <w:rPr>
                <w:rFonts w:hint="default" w:ascii="Arial" w:hAnsi="Arial" w:eastAsia="ＭＳ 明朝" w:cs="Arial"/>
                <w:i w:val="0"/>
                <w:iCs/>
                <w:color w:val="auto"/>
                <w:kern w:val="2"/>
                <w:sz w:val="22"/>
                <w:szCs w:val="22"/>
                <w:highlight w:val="none"/>
                <w:lang w:eastAsia="zh-CN"/>
              </w:rPr>
            </w:pPr>
            <w:r>
              <w:rPr>
                <w:rFonts w:hint="default" w:ascii="Arial" w:hAnsi="Arial" w:eastAsia="宋体" w:cs="Arial"/>
                <w:b w:val="0"/>
                <w:bCs w:val="0"/>
                <w:i w:val="0"/>
                <w:iCs w:val="0"/>
                <w:caps w:val="0"/>
                <w:color w:val="auto"/>
                <w:spacing w:val="0"/>
                <w:kern w:val="0"/>
                <w:sz w:val="22"/>
                <w:szCs w:val="22"/>
                <w:u w:val="none"/>
                <w:shd w:val="clear" w:fill="FFFFFF"/>
                <w:lang w:val="en-US" w:eastAsia="zh-CN" w:bidi="ar"/>
              </w:rPr>
              <w:t>Lupton, E. (2024). </w:t>
            </w:r>
            <w:r>
              <w:rPr>
                <w:rFonts w:hint="default" w:ascii="Arial Italic" w:hAnsi="Arial Italic" w:eastAsia="宋体" w:cs="Arial Italic"/>
                <w:b w:val="0"/>
                <w:bCs w:val="0"/>
                <w:i/>
                <w:iCs/>
                <w:caps w:val="0"/>
                <w:color w:val="auto"/>
                <w:spacing w:val="0"/>
                <w:kern w:val="0"/>
                <w:sz w:val="22"/>
                <w:szCs w:val="22"/>
                <w:u w:val="none"/>
                <w:lang w:val="en-US" w:eastAsia="zh-CN" w:bidi="ar"/>
              </w:rPr>
              <w:t>Thinking with Type: A Critical Guide for Designers, Writers, Editors, and Students (Revised and Expanded)</w:t>
            </w:r>
            <w:r>
              <w:rPr>
                <w:rFonts w:hint="default" w:ascii="Arial" w:hAnsi="Arial" w:eastAsia="宋体" w:cs="Arial"/>
                <w:b w:val="0"/>
                <w:bCs w:val="0"/>
                <w:i w:val="0"/>
                <w:iCs w:val="0"/>
                <w:caps w:val="0"/>
                <w:color w:val="auto"/>
                <w:spacing w:val="0"/>
                <w:kern w:val="0"/>
                <w:sz w:val="22"/>
                <w:szCs w:val="22"/>
                <w:u w:val="none"/>
                <w:shd w:val="clear" w:fill="FFFFFF"/>
                <w:lang w:val="en-US" w:eastAsia="zh-CN" w:bidi="ar"/>
              </w:rPr>
              <w:t>. Chronicle Books.</w:t>
            </w:r>
          </w:p>
          <w:p w14:paraId="7529DE6D">
            <w:pPr>
              <w:numPr>
                <w:ilvl w:val="0"/>
                <w:numId w:val="6"/>
              </w:numPr>
              <w:ind w:left="425" w:leftChars="0" w:hanging="425" w:firstLineChars="0"/>
              <w:rPr>
                <w:rFonts w:hint="default" w:ascii="Arial Regular" w:hAnsi="Arial Regular" w:cs="Arial Regular"/>
                <w:color w:val="auto"/>
                <w:sz w:val="22"/>
                <w:szCs w:val="22"/>
              </w:rPr>
            </w:pPr>
            <w:r>
              <w:rPr>
                <w:rFonts w:hint="default" w:ascii="Arial" w:hAnsi="Arial" w:eastAsia="ＭＳ 明朝" w:cs="Arial"/>
                <w:i w:val="0"/>
                <w:iCs/>
                <w:color w:val="auto"/>
                <w:kern w:val="2"/>
                <w:sz w:val="22"/>
                <w:szCs w:val="22"/>
                <w:highlight w:val="none"/>
                <w:lang w:eastAsia="zh-CN"/>
              </w:rPr>
              <w:t xml:space="preserve">Lévi-Strauss, C. (1955). The structural study of myth. </w:t>
            </w:r>
            <w:r>
              <w:rPr>
                <w:rFonts w:hint="default" w:ascii="Arial Italic" w:hAnsi="Arial Italic" w:eastAsia="ＭＳ 明朝" w:cs="Arial Italic"/>
                <w:i/>
                <w:iCs w:val="0"/>
                <w:color w:val="auto"/>
                <w:kern w:val="2"/>
                <w:sz w:val="22"/>
                <w:szCs w:val="22"/>
                <w:highlight w:val="none"/>
                <w:lang w:eastAsia="zh-CN"/>
              </w:rPr>
              <w:t>The journal of American folklore, 68</w:t>
            </w:r>
            <w:r>
              <w:rPr>
                <w:rFonts w:hint="default" w:ascii="Arial" w:hAnsi="Arial" w:eastAsia="ＭＳ 明朝" w:cs="Arial"/>
                <w:i w:val="0"/>
                <w:iCs/>
                <w:color w:val="auto"/>
                <w:kern w:val="2"/>
                <w:sz w:val="22"/>
                <w:szCs w:val="22"/>
                <w:highlight w:val="none"/>
                <w:lang w:eastAsia="zh-CN"/>
              </w:rPr>
              <w:t>(270), pp.428-444.</w:t>
            </w:r>
          </w:p>
          <w:p w14:paraId="08283670">
            <w:pPr>
              <w:numPr>
                <w:ilvl w:val="0"/>
                <w:numId w:val="6"/>
              </w:numPr>
              <w:ind w:left="425" w:leftChars="0" w:hanging="425" w:firstLineChars="0"/>
              <w:rPr>
                <w:rFonts w:hint="default" w:ascii="Arial Regular" w:hAnsi="Arial Regular" w:eastAsia="宋体" w:cs="Arial Regular"/>
                <w:b w:val="0"/>
                <w:bCs w:val="0"/>
                <w:i w:val="0"/>
                <w:iCs/>
                <w:caps w:val="0"/>
                <w:color w:val="auto"/>
                <w:spacing w:val="0"/>
                <w:kern w:val="0"/>
                <w:sz w:val="22"/>
                <w:szCs w:val="22"/>
                <w:u w:val="none"/>
                <w:shd w:val="clear" w:fill="FFFFFF"/>
                <w:lang w:val="en-US" w:eastAsia="zh-CN" w:bidi="ar"/>
              </w:rPr>
            </w:pPr>
            <w:r>
              <w:rPr>
                <w:rFonts w:hint="default" w:ascii="Arial Regular" w:hAnsi="Arial Regular" w:cs="Arial Regular"/>
                <w:color w:val="auto"/>
                <w:sz w:val="22"/>
                <w:szCs w:val="22"/>
              </w:rPr>
              <w:t xml:space="preserve">Lanier, J. (2017). </w:t>
            </w:r>
            <w:r>
              <w:rPr>
                <w:rFonts w:hint="default" w:ascii="Arial Italic" w:hAnsi="Arial Italic" w:cs="Arial Italic"/>
                <w:i/>
                <w:iCs/>
                <w:color w:val="auto"/>
                <w:sz w:val="22"/>
                <w:szCs w:val="22"/>
              </w:rPr>
              <w:t>Dawn of the new everything: A journey through virtual reality</w:t>
            </w:r>
            <w:r>
              <w:rPr>
                <w:rFonts w:hint="default" w:ascii="Arial Regular" w:hAnsi="Arial Regular" w:cs="Arial Regular"/>
                <w:color w:val="auto"/>
                <w:sz w:val="22"/>
                <w:szCs w:val="22"/>
              </w:rPr>
              <w:t>. Random House.</w:t>
            </w:r>
          </w:p>
          <w:p w14:paraId="34413464">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eastAsia="宋体" w:cs="Arial Regular"/>
                <w:b w:val="0"/>
                <w:bCs w:val="0"/>
                <w:i w:val="0"/>
                <w:iCs/>
                <w:caps w:val="0"/>
                <w:color w:val="auto"/>
                <w:spacing w:val="0"/>
                <w:kern w:val="0"/>
                <w:sz w:val="22"/>
                <w:szCs w:val="22"/>
                <w:u w:val="none"/>
                <w:shd w:val="clear" w:fill="FFFFFF"/>
                <w:lang w:val="en-US" w:eastAsia="zh-CN" w:bidi="ar"/>
              </w:rPr>
              <w:t>Lakoff, G., &amp; Johnson, M. (2008). </w:t>
            </w:r>
            <w:r>
              <w:rPr>
                <w:rFonts w:hint="default" w:ascii="Arial Regular" w:hAnsi="Arial Regular" w:eastAsia="宋体" w:cs="Arial Regular"/>
                <w:b w:val="0"/>
                <w:bCs w:val="0"/>
                <w:i/>
                <w:iCs w:val="0"/>
                <w:caps w:val="0"/>
                <w:color w:val="auto"/>
                <w:spacing w:val="0"/>
                <w:kern w:val="0"/>
                <w:sz w:val="22"/>
                <w:szCs w:val="22"/>
                <w:u w:val="none"/>
                <w:lang w:val="en-US" w:eastAsia="zh-CN" w:bidi="ar"/>
              </w:rPr>
              <w:t>Metaphors we live by</w:t>
            </w:r>
            <w:r>
              <w:rPr>
                <w:rFonts w:hint="default" w:ascii="Arial Regular" w:hAnsi="Arial Regular" w:eastAsia="宋体" w:cs="Arial Regular"/>
                <w:b w:val="0"/>
                <w:bCs w:val="0"/>
                <w:i w:val="0"/>
                <w:iCs/>
                <w:caps w:val="0"/>
                <w:color w:val="auto"/>
                <w:spacing w:val="0"/>
                <w:kern w:val="0"/>
                <w:sz w:val="22"/>
                <w:szCs w:val="22"/>
                <w:u w:val="none"/>
                <w:shd w:val="clear" w:fill="FFFFFF"/>
                <w:lang w:val="en-US" w:eastAsia="zh-CN" w:bidi="ar"/>
              </w:rPr>
              <w:t>. University of Chicago press.</w:t>
            </w:r>
          </w:p>
          <w:p w14:paraId="2C988FB8">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cs="Arial Regular"/>
                <w:color w:val="auto"/>
                <w:sz w:val="22"/>
                <w:szCs w:val="22"/>
                <w:highlight w:val="none"/>
              </w:rPr>
              <w:t xml:space="preserve">Lunenfeld, P. (2001). </w:t>
            </w:r>
            <w:r>
              <w:rPr>
                <w:rFonts w:hint="default" w:ascii="Arial Regular" w:hAnsi="Arial Regular" w:cs="Arial Regular"/>
                <w:i/>
                <w:iCs/>
                <w:color w:val="auto"/>
                <w:sz w:val="22"/>
                <w:szCs w:val="22"/>
                <w:highlight w:val="none"/>
              </w:rPr>
              <w:t>Snap to grid: a user's guide to digital arts, media, and cultures</w:t>
            </w:r>
            <w:r>
              <w:rPr>
                <w:rFonts w:hint="default" w:ascii="Arial Regular" w:hAnsi="Arial Regular" w:cs="Arial Regular"/>
                <w:color w:val="auto"/>
                <w:sz w:val="22"/>
                <w:szCs w:val="22"/>
                <w:highlight w:val="none"/>
              </w:rPr>
              <w:t>. MIT Press.</w:t>
            </w:r>
          </w:p>
          <w:p w14:paraId="49C4E61C">
            <w:pPr>
              <w:numPr>
                <w:ilvl w:val="0"/>
                <w:numId w:val="6"/>
              </w:numPr>
              <w:ind w:left="425" w:leftChars="0" w:hanging="425" w:firstLineChars="0"/>
              <w:rPr>
                <w:rFonts w:hint="default" w:ascii="Arial Regular" w:hAnsi="Arial Regular" w:cs="Arial Regular"/>
                <w:color w:val="auto"/>
                <w:sz w:val="22"/>
                <w:szCs w:val="22"/>
                <w:highlight w:val="none"/>
                <w:lang w:val="en-US" w:eastAsia="zh-CN"/>
              </w:rPr>
            </w:pPr>
            <w:r>
              <w:rPr>
                <w:rFonts w:hint="default" w:ascii="Arial Regular" w:hAnsi="Arial Regular" w:cs="Arial Regular"/>
                <w:color w:val="auto"/>
                <w:sz w:val="22"/>
                <w:szCs w:val="22"/>
                <w:highlight w:val="none"/>
              </w:rPr>
              <w:t xml:space="preserve">Lau, K. H. C., Yun, B., Saruba, S., Bozkir, E., &amp; Kasneci, E. (2024). Wrapped in Anansi's Web: Unweaving the Impacts of Generative-AI Personalization and VR Immersion in Oral Storytelling. </w:t>
            </w:r>
            <w:r>
              <w:rPr>
                <w:rFonts w:hint="default" w:ascii="Arial Regular" w:hAnsi="Arial Regular" w:cs="Arial Regular"/>
                <w:i/>
                <w:iCs/>
                <w:color w:val="auto"/>
                <w:sz w:val="22"/>
                <w:szCs w:val="22"/>
                <w:highlight w:val="none"/>
              </w:rPr>
              <w:t>arXiv preprint arXiv:2409.16894</w:t>
            </w:r>
            <w:r>
              <w:rPr>
                <w:rFonts w:hint="default" w:ascii="Arial Regular" w:hAnsi="Arial Regular" w:cs="Arial Regular"/>
                <w:color w:val="auto"/>
                <w:sz w:val="22"/>
                <w:szCs w:val="22"/>
                <w:highlight w:val="none"/>
              </w:rPr>
              <w:t>.</w:t>
            </w:r>
          </w:p>
          <w:p w14:paraId="442DCA83">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Male, A. (2019). </w:t>
            </w:r>
            <w:r>
              <w:rPr>
                <w:rFonts w:hint="default" w:ascii="Arial Italic" w:hAnsi="Arial Italic" w:cs="Arial Italic"/>
                <w:i/>
                <w:iCs/>
                <w:color w:val="auto"/>
                <w:sz w:val="22"/>
                <w:szCs w:val="22"/>
              </w:rPr>
              <w:t>The power and influence of illustration: Achieving impact and lasting significance through visual communication</w:t>
            </w:r>
            <w:r>
              <w:rPr>
                <w:rFonts w:hint="default" w:ascii="Arial Regular" w:hAnsi="Arial Regular" w:cs="Arial Regular"/>
                <w:color w:val="auto"/>
                <w:sz w:val="22"/>
                <w:szCs w:val="22"/>
              </w:rPr>
              <w:t>. Bloomsbury Publishing.</w:t>
            </w:r>
          </w:p>
          <w:p w14:paraId="78C1E0D8">
            <w:pPr>
              <w:numPr>
                <w:ilvl w:val="0"/>
                <w:numId w:val="6"/>
              </w:numPr>
              <w:ind w:left="425" w:leftChars="0" w:hanging="425" w:firstLineChars="0"/>
              <w:rPr>
                <w:rFonts w:hint="default" w:ascii="Arial" w:hAnsi="Arial" w:cs="Arial"/>
                <w:b w:val="0"/>
                <w:bCs w:val="0"/>
                <w:i w:val="0"/>
                <w:iCs/>
                <w:color w:val="auto"/>
                <w:sz w:val="22"/>
                <w:szCs w:val="22"/>
                <w:highlight w:val="none"/>
              </w:rPr>
            </w:pPr>
            <w:r>
              <w:rPr>
                <w:rFonts w:hint="default" w:ascii="Arial Regular" w:hAnsi="Arial Regular" w:cs="Arial Regular"/>
                <w:color w:val="auto"/>
                <w:sz w:val="22"/>
                <w:szCs w:val="22"/>
              </w:rPr>
              <w:t>Manovich, L. (2002). The language of new media.</w:t>
            </w:r>
          </w:p>
          <w:p w14:paraId="0E054E85">
            <w:pPr>
              <w:numPr>
                <w:ilvl w:val="0"/>
                <w:numId w:val="6"/>
              </w:numPr>
              <w:ind w:left="425" w:leftChars="0" w:hanging="425" w:firstLineChars="0"/>
              <w:rPr>
                <w:rFonts w:hint="default" w:ascii="Arial" w:hAnsi="Arial" w:eastAsia="ＭＳ 明朝" w:cs="Arial"/>
                <w:i w:val="0"/>
                <w:iCs/>
                <w:color w:val="auto"/>
                <w:kern w:val="2"/>
                <w:sz w:val="22"/>
                <w:szCs w:val="22"/>
                <w:highlight w:val="none"/>
                <w:lang w:eastAsia="zh-CN"/>
              </w:rPr>
            </w:pPr>
            <w:r>
              <w:rPr>
                <w:rFonts w:hint="default" w:ascii="Arial" w:hAnsi="Arial" w:cs="Arial"/>
                <w:b w:val="0"/>
                <w:bCs w:val="0"/>
                <w:i w:val="0"/>
                <w:iCs/>
                <w:color w:val="auto"/>
                <w:sz w:val="22"/>
                <w:szCs w:val="22"/>
                <w:highlight w:val="none"/>
              </w:rPr>
              <w:t xml:space="preserve">Mariani, I., Ciancia, M., &amp; Ackermann, J. (2023). Interactive Digital Narratives and Counter-Narratives. Systematising knowledge to derive clusters as lenses of observation. In </w:t>
            </w:r>
            <w:r>
              <w:rPr>
                <w:rFonts w:hint="default" w:ascii="Arial Italic" w:hAnsi="Arial Italic" w:cs="Arial Italic"/>
                <w:b w:val="0"/>
                <w:bCs w:val="0"/>
                <w:i/>
                <w:iCs w:val="0"/>
                <w:color w:val="auto"/>
                <w:sz w:val="22"/>
                <w:szCs w:val="22"/>
                <w:highlight w:val="none"/>
              </w:rPr>
              <w:t>GAME</w:t>
            </w:r>
            <w:r>
              <w:rPr>
                <w:rFonts w:hint="default" w:ascii="Arial" w:hAnsi="Arial" w:cs="Arial"/>
                <w:b w:val="0"/>
                <w:bCs w:val="0"/>
                <w:i w:val="0"/>
                <w:iCs/>
                <w:color w:val="auto"/>
                <w:sz w:val="22"/>
                <w:szCs w:val="22"/>
                <w:highlight w:val="none"/>
              </w:rPr>
              <w:t xml:space="preserve"> (Vol. 11, No. 1), pp. 5-32).</w:t>
            </w:r>
          </w:p>
          <w:p w14:paraId="598CE096">
            <w:pPr>
              <w:numPr>
                <w:ilvl w:val="0"/>
                <w:numId w:val="6"/>
              </w:numPr>
              <w:ind w:left="425" w:leftChars="0" w:hanging="425" w:firstLineChars="0"/>
              <w:rPr>
                <w:rFonts w:hint="default" w:ascii="Arial Regular" w:hAnsi="Arial Regular" w:cs="Arial Regular"/>
                <w:color w:val="auto"/>
                <w:sz w:val="22"/>
                <w:szCs w:val="22"/>
              </w:rPr>
            </w:pPr>
            <w:r>
              <w:rPr>
                <w:rFonts w:hint="default" w:ascii="Arial" w:hAnsi="Arial" w:eastAsia="ＭＳ 明朝" w:cs="Arial"/>
                <w:i w:val="0"/>
                <w:iCs/>
                <w:color w:val="auto"/>
                <w:kern w:val="2"/>
                <w:sz w:val="22"/>
                <w:szCs w:val="22"/>
                <w:highlight w:val="none"/>
                <w:lang w:eastAsia="zh-CN"/>
              </w:rPr>
              <w:t xml:space="preserve">McLuhan, M. (1994). </w:t>
            </w:r>
            <w:r>
              <w:rPr>
                <w:rFonts w:hint="default" w:ascii="Arial Italic" w:hAnsi="Arial Italic" w:eastAsia="ＭＳ 明朝" w:cs="Arial Italic"/>
                <w:i/>
                <w:iCs w:val="0"/>
                <w:color w:val="auto"/>
                <w:kern w:val="2"/>
                <w:sz w:val="22"/>
                <w:szCs w:val="22"/>
                <w:highlight w:val="none"/>
                <w:lang w:eastAsia="zh-CN"/>
              </w:rPr>
              <w:t>Understanding media: The extensions of man</w:t>
            </w:r>
            <w:r>
              <w:rPr>
                <w:rFonts w:hint="default" w:ascii="Arial" w:hAnsi="Arial" w:eastAsia="ＭＳ 明朝" w:cs="Arial"/>
                <w:i w:val="0"/>
                <w:iCs/>
                <w:color w:val="auto"/>
                <w:kern w:val="2"/>
                <w:sz w:val="22"/>
                <w:szCs w:val="22"/>
                <w:highlight w:val="none"/>
                <w:lang w:eastAsia="zh-CN"/>
              </w:rPr>
              <w:t>. MIT press.</w:t>
            </w:r>
          </w:p>
          <w:p w14:paraId="475B195F">
            <w:pPr>
              <w:numPr>
                <w:ilvl w:val="0"/>
                <w:numId w:val="6"/>
              </w:numPr>
              <w:ind w:left="425" w:leftChars="0" w:hanging="425" w:firstLineChars="0"/>
              <w:rPr>
                <w:rFonts w:hint="default" w:ascii="Arial Regular" w:hAnsi="Arial Regular" w:eastAsia="ＭＳ 明朝" w:cs="Arial Regular"/>
                <w:color w:val="auto"/>
                <w:kern w:val="2"/>
                <w:sz w:val="22"/>
                <w:szCs w:val="22"/>
                <w:lang w:eastAsia="zh-CN"/>
              </w:rPr>
            </w:pPr>
            <w:r>
              <w:rPr>
                <w:rFonts w:hint="default" w:ascii="Arial Regular" w:hAnsi="Arial Regular" w:cs="Arial Regular"/>
                <w:color w:val="auto"/>
                <w:sz w:val="22"/>
                <w:szCs w:val="22"/>
              </w:rPr>
              <w:t xml:space="preserve">Merleau-Ponty, M. (1962). </w:t>
            </w:r>
            <w:r>
              <w:rPr>
                <w:rFonts w:hint="default" w:ascii="Arial Italic" w:hAnsi="Arial Italic" w:cs="Arial Italic"/>
                <w:i/>
                <w:iCs/>
                <w:color w:val="auto"/>
                <w:sz w:val="22"/>
                <w:szCs w:val="22"/>
              </w:rPr>
              <w:t>Phenomenology of perception: Translated from the French by Colin Smith.</w:t>
            </w:r>
            <w:r>
              <w:rPr>
                <w:rFonts w:hint="default" w:ascii="Arial Regular" w:hAnsi="Arial Regular" w:cs="Arial Regular"/>
                <w:color w:val="auto"/>
                <w:sz w:val="22"/>
                <w:szCs w:val="22"/>
              </w:rPr>
              <w:t xml:space="preserve"> Humanities Press.</w:t>
            </w:r>
          </w:p>
          <w:p w14:paraId="71414B10">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eastAsia="ＭＳ 明朝" w:cs="Arial Regular"/>
                <w:color w:val="auto"/>
                <w:kern w:val="2"/>
                <w:sz w:val="22"/>
                <w:szCs w:val="22"/>
                <w:lang w:eastAsia="zh-CN"/>
              </w:rPr>
              <w:t xml:space="preserve">Messaris, P. (1994). </w:t>
            </w:r>
            <w:r>
              <w:rPr>
                <w:rFonts w:hint="default" w:ascii="Arial Regular" w:hAnsi="Arial Regular" w:eastAsia="ＭＳ 明朝" w:cs="Arial Regular"/>
                <w:i/>
                <w:iCs/>
                <w:color w:val="auto"/>
                <w:kern w:val="2"/>
                <w:sz w:val="22"/>
                <w:szCs w:val="22"/>
                <w:lang w:eastAsia="zh-CN"/>
              </w:rPr>
              <w:t>Visual" literacy": Image, mind, and reality</w:t>
            </w:r>
            <w:r>
              <w:rPr>
                <w:rFonts w:hint="default" w:ascii="Arial Regular" w:hAnsi="Arial Regular" w:eastAsia="ＭＳ 明朝" w:cs="Arial Regular"/>
                <w:color w:val="auto"/>
                <w:kern w:val="2"/>
                <w:sz w:val="22"/>
                <w:szCs w:val="22"/>
                <w:lang w:eastAsia="zh-CN"/>
              </w:rPr>
              <w:t>. Westview Press.</w:t>
            </w:r>
          </w:p>
          <w:p w14:paraId="068F7507">
            <w:pPr>
              <w:numPr>
                <w:ilvl w:val="0"/>
                <w:numId w:val="6"/>
              </w:numPr>
              <w:ind w:left="425" w:leftChars="0" w:hanging="425" w:firstLineChars="0"/>
              <w:rPr>
                <w:rFonts w:hint="default" w:ascii="Arial Regular" w:hAnsi="Arial Regular" w:eastAsia="ＭＳ 明朝" w:cs="Arial Regular"/>
                <w:b w:val="0"/>
                <w:bCs w:val="0"/>
                <w:color w:val="auto"/>
                <w:kern w:val="2"/>
                <w:sz w:val="22"/>
                <w:szCs w:val="22"/>
                <w:highlight w:val="none"/>
                <w:lang w:val="en-US" w:eastAsia="zh-CN"/>
              </w:rPr>
            </w:pPr>
            <w:r>
              <w:rPr>
                <w:rFonts w:hint="default" w:ascii="Arial Regular" w:hAnsi="Arial Regular" w:cs="Arial Regular"/>
                <w:color w:val="auto"/>
                <w:sz w:val="22"/>
                <w:szCs w:val="22"/>
              </w:rPr>
              <w:t>Murray, J. H. (2017). Hamlet on the Holodeck. The Future of Narrative in Cyberspace, Updated Version.</w:t>
            </w:r>
          </w:p>
          <w:p w14:paraId="7B5CE4F7">
            <w:pPr>
              <w:numPr>
                <w:ilvl w:val="0"/>
                <w:numId w:val="6"/>
              </w:numPr>
              <w:ind w:left="425" w:leftChars="0" w:hanging="425" w:firstLineChars="0"/>
              <w:rPr>
                <w:rFonts w:hint="default" w:ascii="Arial Regular" w:hAnsi="Arial Regular" w:eastAsia="ＭＳ 明朝" w:cs="Arial Regular"/>
                <w:b w:val="0"/>
                <w:bCs w:val="0"/>
                <w:color w:val="auto"/>
                <w:kern w:val="2"/>
                <w:sz w:val="22"/>
                <w:szCs w:val="22"/>
                <w:highlight w:val="none"/>
                <w:lang w:val="en-US" w:eastAsia="zh-CN"/>
              </w:rPr>
            </w:pPr>
            <w:r>
              <w:rPr>
                <w:rFonts w:hint="default" w:ascii="Arial Regular" w:hAnsi="Arial Regular" w:cs="Arial Regular"/>
                <w:b w:val="0"/>
                <w:bCs w:val="0"/>
                <w:color w:val="auto"/>
                <w:sz w:val="22"/>
                <w:szCs w:val="22"/>
                <w:highlight w:val="none"/>
                <w:lang w:val="en-US" w:eastAsia="zh-CN"/>
              </w:rPr>
              <w:t xml:space="preserve">Morales, S. S. (2013). Myth and the construction of meaning in mediated culture. </w:t>
            </w:r>
            <w:r>
              <w:rPr>
                <w:rFonts w:hint="default" w:ascii="Arial Regular" w:hAnsi="Arial Regular" w:cs="Arial Regular"/>
                <w:b w:val="0"/>
                <w:bCs w:val="0"/>
                <w:i/>
                <w:iCs/>
                <w:color w:val="auto"/>
                <w:sz w:val="22"/>
                <w:szCs w:val="22"/>
                <w:highlight w:val="none"/>
                <w:lang w:val="en-US" w:eastAsia="zh-CN"/>
              </w:rPr>
              <w:t>KOME− An International Journal of Pure Communication Inquiry, 1</w:t>
            </w:r>
            <w:r>
              <w:rPr>
                <w:rFonts w:hint="default" w:ascii="Arial Regular" w:hAnsi="Arial Regular" w:cs="Arial Regular"/>
                <w:b w:val="0"/>
                <w:bCs w:val="0"/>
                <w:color w:val="auto"/>
                <w:sz w:val="22"/>
                <w:szCs w:val="22"/>
                <w:highlight w:val="none"/>
                <w:lang w:val="en-US" w:eastAsia="zh-CN"/>
              </w:rPr>
              <w:t>(2), pp.33-43.</w:t>
            </w:r>
          </w:p>
          <w:p w14:paraId="5EBA89C4">
            <w:pPr>
              <w:numPr>
                <w:ilvl w:val="0"/>
                <w:numId w:val="6"/>
              </w:numPr>
              <w:ind w:left="425" w:leftChars="0" w:hanging="425" w:firstLineChars="0"/>
              <w:rPr>
                <w:rFonts w:hint="default" w:ascii="Arial Regular" w:hAnsi="Arial Regular" w:cs="Arial Regular"/>
                <w:color w:val="auto"/>
                <w:sz w:val="22"/>
                <w:szCs w:val="22"/>
                <w:highlight w:val="none"/>
                <w:lang w:val="en-US" w:eastAsia="zh-CN"/>
              </w:rPr>
            </w:pPr>
            <w:r>
              <w:rPr>
                <w:rFonts w:hint="default" w:ascii="Arial Regular" w:hAnsi="Arial Regular" w:eastAsia="宋体" w:cs="Arial Regular"/>
                <w:b w:val="0"/>
                <w:bCs w:val="0"/>
                <w:i w:val="0"/>
                <w:iCs w:val="0"/>
                <w:caps w:val="0"/>
                <w:color w:val="auto"/>
                <w:spacing w:val="0"/>
                <w:kern w:val="0"/>
                <w:sz w:val="22"/>
                <w:szCs w:val="22"/>
                <w:u w:val="none"/>
                <w:shd w:val="clear" w:fill="FFFFFF"/>
                <w:lang w:val="en-US" w:eastAsia="zh-CN" w:bidi="ar"/>
              </w:rPr>
              <w:t xml:space="preserve">Nicolescu, B. (2023). Transdisciplinarity as a solution to the challenges of the contemporary world. </w:t>
            </w:r>
            <w:r>
              <w:rPr>
                <w:rFonts w:hint="default" w:ascii="Arial Regular" w:hAnsi="Arial Regular" w:eastAsia="宋体" w:cs="Arial Regular"/>
                <w:b w:val="0"/>
                <w:bCs w:val="0"/>
                <w:i/>
                <w:iCs/>
                <w:caps w:val="0"/>
                <w:color w:val="auto"/>
                <w:spacing w:val="0"/>
                <w:kern w:val="0"/>
                <w:sz w:val="22"/>
                <w:szCs w:val="22"/>
                <w:u w:val="none"/>
                <w:shd w:val="clear" w:fill="FFFFFF"/>
                <w:lang w:val="en-US" w:eastAsia="zh-CN" w:bidi="ar"/>
              </w:rPr>
              <w:t xml:space="preserve">Semiotics and its Masters. Volume 2, 36, </w:t>
            </w:r>
            <w:r>
              <w:rPr>
                <w:rFonts w:hint="default" w:ascii="Arial Regular" w:hAnsi="Arial Regular" w:eastAsia="宋体" w:cs="Arial Regular"/>
                <w:b w:val="0"/>
                <w:bCs w:val="0"/>
                <w:i w:val="0"/>
                <w:iCs w:val="0"/>
                <w:caps w:val="0"/>
                <w:color w:val="auto"/>
                <w:spacing w:val="0"/>
                <w:kern w:val="0"/>
                <w:sz w:val="22"/>
                <w:szCs w:val="22"/>
                <w:u w:val="none"/>
                <w:shd w:val="clear" w:fill="FFFFFF"/>
                <w:lang w:val="en-US" w:eastAsia="zh-CN" w:bidi="ar"/>
              </w:rPr>
              <w:t>p.75.</w:t>
            </w:r>
          </w:p>
          <w:p w14:paraId="07F8ABE5">
            <w:pPr>
              <w:numPr>
                <w:ilvl w:val="0"/>
                <w:numId w:val="6"/>
              </w:numPr>
              <w:ind w:left="425" w:leftChars="0" w:hanging="425" w:firstLineChars="0"/>
              <w:rPr>
                <w:rFonts w:hint="default" w:ascii="Arial Regular" w:hAnsi="Arial Regular" w:eastAsia="ＭＳ 明朝" w:cs="Arial Regular"/>
                <w:b w:val="0"/>
                <w:bCs w:val="0"/>
                <w:color w:val="auto"/>
                <w:kern w:val="2"/>
                <w:sz w:val="22"/>
                <w:szCs w:val="22"/>
                <w:highlight w:val="none"/>
                <w:lang w:val="en-US" w:eastAsia="zh-CN"/>
              </w:rPr>
            </w:pPr>
            <w:r>
              <w:rPr>
                <w:rFonts w:hint="default" w:ascii="Arial Regular" w:hAnsi="Arial Regular" w:cs="Arial Regular"/>
                <w:b w:val="0"/>
                <w:bCs w:val="0"/>
                <w:color w:val="auto"/>
                <w:sz w:val="22"/>
                <w:szCs w:val="22"/>
                <w:lang w:val="en-US" w:eastAsia="zh-CN"/>
              </w:rPr>
              <w:t xml:space="preserve">Nicolescu, B. (2002). A New Vision of the World—Transdisciplinarity. In </w:t>
            </w:r>
            <w:r>
              <w:rPr>
                <w:rFonts w:hint="default" w:ascii="Arial Regular" w:hAnsi="Arial Regular" w:cs="Arial Regular"/>
                <w:b w:val="0"/>
                <w:bCs w:val="0"/>
                <w:i/>
                <w:iCs/>
                <w:color w:val="auto"/>
                <w:sz w:val="22"/>
                <w:szCs w:val="22"/>
                <w:lang w:val="en-US" w:eastAsia="zh-CN"/>
              </w:rPr>
              <w:t xml:space="preserve">The design and delivery of inter-and pluri-disciplinary research: Proceedings from MUSCIPOLI Workshop Two </w:t>
            </w:r>
            <w:r>
              <w:rPr>
                <w:rFonts w:hint="default" w:ascii="Arial Regular" w:hAnsi="Arial Regular" w:cs="Arial Regular"/>
                <w:b w:val="0"/>
                <w:bCs w:val="0"/>
                <w:color w:val="auto"/>
                <w:sz w:val="22"/>
                <w:szCs w:val="22"/>
                <w:lang w:val="en-US" w:eastAsia="zh-CN"/>
              </w:rPr>
              <w:t>(pp. 108-111).</w:t>
            </w:r>
          </w:p>
          <w:p w14:paraId="05C6C8B8">
            <w:pPr>
              <w:numPr>
                <w:ilvl w:val="0"/>
                <w:numId w:val="6"/>
              </w:numPr>
              <w:ind w:left="425" w:leftChars="0" w:hanging="425" w:firstLineChars="0"/>
              <w:rPr>
                <w:rFonts w:hint="default" w:ascii="Arial Regular" w:hAnsi="Arial Regular" w:cs="Arial Regular" w:eastAsiaTheme="minorEastAsia"/>
                <w:b w:val="0"/>
                <w:bCs w:val="0"/>
                <w:color w:val="auto"/>
                <w:kern w:val="0"/>
                <w:sz w:val="22"/>
                <w:szCs w:val="22"/>
                <w:highlight w:val="none"/>
                <w:lang w:val="en-US" w:eastAsia="zh-CN" w:bidi="ar"/>
              </w:rPr>
            </w:pPr>
            <w:r>
              <w:rPr>
                <w:rFonts w:hint="default" w:ascii="Arial Regular" w:hAnsi="Arial Regular" w:cs="Arial Regular"/>
                <w:color w:val="auto"/>
                <w:sz w:val="22"/>
                <w:szCs w:val="22"/>
                <w:highlight w:val="none"/>
                <w:lang w:val="en-US" w:eastAsia="zh-CN"/>
              </w:rPr>
              <w:t>Nöth, W. (2006). Yuri Lotman on metaphors and culture as self-referential semiospheres, pp. 249–263.</w:t>
            </w:r>
          </w:p>
          <w:p w14:paraId="663A3F2C">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cs="Arial Regular"/>
                <w:b w:val="0"/>
                <w:bCs w:val="0"/>
                <w:color w:val="auto"/>
                <w:sz w:val="22"/>
                <w:szCs w:val="22"/>
                <w:highlight w:val="none"/>
                <w:lang w:val="en-US" w:eastAsia="zh-CN"/>
              </w:rPr>
              <w:t>Neuendorf, K. A. (2017). </w:t>
            </w:r>
            <w:r>
              <w:rPr>
                <w:rFonts w:hint="default" w:ascii="Arial Regular" w:hAnsi="Arial Regular" w:cs="Arial Regular"/>
                <w:b w:val="0"/>
                <w:bCs w:val="0"/>
                <w:i/>
                <w:iCs/>
                <w:color w:val="auto"/>
                <w:sz w:val="22"/>
                <w:szCs w:val="22"/>
                <w:highlight w:val="none"/>
                <w:lang w:val="en-US" w:eastAsia="zh-CN"/>
              </w:rPr>
              <w:t>The content analysis guidebook</w:t>
            </w:r>
            <w:r>
              <w:rPr>
                <w:rFonts w:hint="default" w:ascii="Arial Regular" w:hAnsi="Arial Regular" w:cs="Arial Regular"/>
                <w:b w:val="0"/>
                <w:bCs w:val="0"/>
                <w:color w:val="auto"/>
                <w:sz w:val="22"/>
                <w:szCs w:val="22"/>
                <w:highlight w:val="none"/>
                <w:lang w:val="en-US" w:eastAsia="zh-CN"/>
              </w:rPr>
              <w:t>. sage.</w:t>
            </w:r>
          </w:p>
          <w:p w14:paraId="0CE7B99F">
            <w:pPr>
              <w:numPr>
                <w:ilvl w:val="0"/>
                <w:numId w:val="6"/>
              </w:numPr>
              <w:ind w:left="425" w:leftChars="0" w:hanging="425" w:firstLineChars="0"/>
              <w:rPr>
                <w:rFonts w:hint="default" w:ascii="Arial Regular" w:hAnsi="Arial Regular" w:cs="Arial Regular"/>
                <w:color w:val="auto"/>
                <w:sz w:val="22"/>
                <w:szCs w:val="22"/>
                <w:highlight w:val="none"/>
              </w:rPr>
            </w:pPr>
            <w:r>
              <w:rPr>
                <w:rFonts w:hint="default" w:ascii="Arial Regular" w:hAnsi="Arial Regular" w:cs="Arial Regular"/>
                <w:color w:val="auto"/>
                <w:sz w:val="22"/>
                <w:szCs w:val="22"/>
                <w:highlight w:val="none"/>
              </w:rPr>
              <w:t xml:space="preserve">Nakata, M. (2007). The cultural interface. </w:t>
            </w:r>
            <w:r>
              <w:rPr>
                <w:rFonts w:hint="default" w:ascii="Arial Regular" w:hAnsi="Arial Regular" w:cs="Arial Regular"/>
                <w:i/>
                <w:iCs/>
                <w:color w:val="auto"/>
                <w:sz w:val="22"/>
                <w:szCs w:val="22"/>
                <w:highlight w:val="none"/>
              </w:rPr>
              <w:t>The Australian journal of Indigenous education, 36</w:t>
            </w:r>
            <w:r>
              <w:rPr>
                <w:rFonts w:hint="default" w:ascii="Arial Regular" w:hAnsi="Arial Regular" w:cs="Arial Regular"/>
                <w:color w:val="auto"/>
                <w:sz w:val="22"/>
                <w:szCs w:val="22"/>
                <w:highlight w:val="none"/>
              </w:rPr>
              <w:t>(S1), pp.7-14.</w:t>
            </w:r>
          </w:p>
          <w:p w14:paraId="0E7F1A09">
            <w:pPr>
              <w:numPr>
                <w:ilvl w:val="0"/>
                <w:numId w:val="6"/>
              </w:numPr>
              <w:ind w:left="425" w:leftChars="0" w:hanging="425" w:firstLineChars="0"/>
              <w:rPr>
                <w:rFonts w:hint="default" w:ascii="Arial Regular" w:hAnsi="Arial Regular" w:cs="Arial Regular"/>
                <w:color w:val="auto"/>
                <w:sz w:val="22"/>
                <w:szCs w:val="22"/>
                <w:highlight w:val="none"/>
                <w:lang w:val="en-US" w:eastAsia="zh-CN"/>
              </w:rPr>
            </w:pPr>
            <w:r>
              <w:rPr>
                <w:rFonts w:hint="default" w:ascii="Arial Regular" w:hAnsi="Arial Regular" w:cs="Arial Regular"/>
                <w:color w:val="auto"/>
                <w:sz w:val="22"/>
                <w:szCs w:val="22"/>
                <w:highlight w:val="none"/>
              </w:rPr>
              <w:t xml:space="preserve">Oyama, R. (2000). Visual Communication across Cultures: A study of visual semiotics in Japanese and British advertiments. </w:t>
            </w:r>
            <w:r>
              <w:rPr>
                <w:rFonts w:hint="default" w:ascii="Arial Regular" w:hAnsi="Arial Regular" w:cs="Arial Regular"/>
                <w:i/>
                <w:iCs/>
                <w:color w:val="auto"/>
                <w:sz w:val="22"/>
                <w:szCs w:val="22"/>
                <w:highlight w:val="none"/>
              </w:rPr>
              <w:t>Journal of Intercultural Communication, 2</w:t>
            </w:r>
            <w:r>
              <w:rPr>
                <w:rFonts w:hint="default" w:ascii="Arial Regular" w:hAnsi="Arial Regular" w:cs="Arial Regular"/>
                <w:color w:val="auto"/>
                <w:sz w:val="22"/>
                <w:szCs w:val="22"/>
                <w:highlight w:val="none"/>
              </w:rPr>
              <w:t>(1),</w:t>
            </w:r>
            <w:r>
              <w:rPr>
                <w:rFonts w:hint="default" w:ascii="Arial Regular" w:hAnsi="Arial Regular" w:cs="Arial Regular"/>
                <w:color w:val="auto"/>
                <w:sz w:val="22"/>
                <w:szCs w:val="22"/>
                <w:highlight w:val="none"/>
                <w:lang w:val="en-US" w:eastAsia="zh-CN"/>
              </w:rPr>
              <w:t xml:space="preserve"> </w:t>
            </w:r>
            <w:r>
              <w:rPr>
                <w:rFonts w:hint="default" w:ascii="Arial Regular" w:hAnsi="Arial Regular" w:cs="Arial Regular"/>
                <w:color w:val="auto"/>
                <w:sz w:val="22"/>
                <w:szCs w:val="22"/>
                <w:highlight w:val="none"/>
              </w:rPr>
              <w:t>pp.1-12.</w:t>
            </w:r>
          </w:p>
          <w:p w14:paraId="4EEB4BFB">
            <w:pPr>
              <w:numPr>
                <w:ilvl w:val="0"/>
                <w:numId w:val="6"/>
              </w:numPr>
              <w:ind w:left="425" w:leftChars="0" w:hanging="425" w:firstLineChars="0"/>
              <w:rPr>
                <w:rFonts w:hint="default" w:ascii="Arial Regular" w:hAnsi="Arial Regular" w:cs="Arial Regular" w:eastAsiaTheme="minorEastAsia"/>
                <w:b w:val="0"/>
                <w:bCs w:val="0"/>
                <w:color w:val="auto"/>
                <w:kern w:val="0"/>
                <w:sz w:val="22"/>
                <w:szCs w:val="22"/>
                <w:highlight w:val="none"/>
                <w:lang w:val="en-US" w:eastAsia="zh-CN" w:bidi="ar"/>
              </w:rPr>
            </w:pPr>
            <w:r>
              <w:rPr>
                <w:rFonts w:hint="default" w:ascii="Arial Regular" w:hAnsi="Arial Regular" w:eastAsia="ＭＳ 明朝" w:cs="Arial Regular"/>
                <w:b w:val="0"/>
                <w:bCs w:val="0"/>
                <w:color w:val="auto"/>
                <w:kern w:val="2"/>
                <w:sz w:val="22"/>
                <w:szCs w:val="22"/>
                <w:highlight w:val="none"/>
                <w:lang w:val="en-US" w:eastAsia="zh-CN"/>
              </w:rPr>
              <w:t>Patton, M. Q. (2014). </w:t>
            </w:r>
            <w:r>
              <w:rPr>
                <w:rFonts w:hint="default" w:ascii="Arial Regular" w:hAnsi="Arial Regular" w:eastAsia="ＭＳ 明朝" w:cs="Arial Regular"/>
                <w:b w:val="0"/>
                <w:bCs w:val="0"/>
                <w:i/>
                <w:iCs/>
                <w:color w:val="auto"/>
                <w:kern w:val="2"/>
                <w:sz w:val="22"/>
                <w:szCs w:val="22"/>
                <w:highlight w:val="none"/>
                <w:lang w:val="en-US" w:eastAsia="zh-CN"/>
              </w:rPr>
              <w:t>Qualitative research &amp; evaluation methods: Integrating theory and practice</w:t>
            </w:r>
            <w:r>
              <w:rPr>
                <w:rFonts w:hint="default" w:ascii="Arial Regular" w:hAnsi="Arial Regular" w:eastAsia="ＭＳ 明朝" w:cs="Arial Regular"/>
                <w:b w:val="0"/>
                <w:bCs w:val="0"/>
                <w:color w:val="auto"/>
                <w:kern w:val="2"/>
                <w:sz w:val="22"/>
                <w:szCs w:val="22"/>
                <w:highlight w:val="none"/>
                <w:lang w:val="en-US" w:eastAsia="zh-CN"/>
              </w:rPr>
              <w:t>. Sage publications.</w:t>
            </w:r>
          </w:p>
          <w:p w14:paraId="63EFA829">
            <w:pPr>
              <w:numPr>
                <w:ilvl w:val="0"/>
                <w:numId w:val="6"/>
              </w:numPr>
              <w:ind w:left="425" w:leftChars="0" w:hanging="425" w:firstLineChars="0"/>
              <w:rPr>
                <w:rFonts w:hint="default" w:ascii="Arial Regular" w:hAnsi="Arial Regular" w:cs="Arial Regular"/>
                <w:b w:val="0"/>
                <w:bCs w:val="0"/>
                <w:color w:val="auto"/>
                <w:sz w:val="22"/>
                <w:szCs w:val="22"/>
                <w:highlight w:val="none"/>
                <w:lang w:val="en-US" w:eastAsia="zh-CN"/>
              </w:rPr>
            </w:pPr>
            <w:r>
              <w:rPr>
                <w:rFonts w:hint="default" w:ascii="Arial Regular" w:hAnsi="Arial Regular" w:cs="Arial Regular" w:eastAsiaTheme="minorEastAsia"/>
                <w:b w:val="0"/>
                <w:bCs w:val="0"/>
                <w:color w:val="auto"/>
                <w:kern w:val="0"/>
                <w:sz w:val="22"/>
                <w:szCs w:val="22"/>
                <w:highlight w:val="none"/>
                <w:lang w:val="en-US" w:eastAsia="zh-CN" w:bidi="ar"/>
              </w:rPr>
              <w:t xml:space="preserve">Piaget, J. (1977). </w:t>
            </w:r>
            <w:r>
              <w:rPr>
                <w:rFonts w:hint="default" w:ascii="Arial Regular" w:hAnsi="Arial Regular" w:cs="Arial Regular" w:eastAsiaTheme="minorEastAsia"/>
                <w:b w:val="0"/>
                <w:bCs w:val="0"/>
                <w:i/>
                <w:iCs/>
                <w:color w:val="auto"/>
                <w:kern w:val="0"/>
                <w:sz w:val="22"/>
                <w:szCs w:val="22"/>
                <w:highlight w:val="none"/>
                <w:lang w:val="en-US" w:eastAsia="zh-CN" w:bidi="ar"/>
              </w:rPr>
              <w:t>The development of thought: Equilibration of cognitive structures.(Trans A. Rosin)</w:t>
            </w:r>
            <w:r>
              <w:rPr>
                <w:rFonts w:hint="default" w:ascii="Arial Regular" w:hAnsi="Arial Regular" w:cs="Arial Regular" w:eastAsiaTheme="minorEastAsia"/>
                <w:b w:val="0"/>
                <w:bCs w:val="0"/>
                <w:color w:val="auto"/>
                <w:kern w:val="0"/>
                <w:sz w:val="22"/>
                <w:szCs w:val="22"/>
                <w:highlight w:val="none"/>
                <w:lang w:val="en-US" w:eastAsia="zh-CN" w:bidi="ar"/>
              </w:rPr>
              <w:t>. Viking.</w:t>
            </w:r>
          </w:p>
          <w:p w14:paraId="318EDF4C">
            <w:pPr>
              <w:numPr>
                <w:ilvl w:val="0"/>
                <w:numId w:val="6"/>
              </w:numPr>
              <w:ind w:left="425" w:leftChars="0" w:hanging="425" w:firstLineChars="0"/>
              <w:rPr>
                <w:rFonts w:hint="default" w:ascii="Arial Regular" w:hAnsi="Arial Regular" w:cs="Arial Regular" w:eastAsiaTheme="minorEastAsia"/>
                <w:b w:val="0"/>
                <w:bCs w:val="0"/>
                <w:color w:val="auto"/>
                <w:kern w:val="0"/>
                <w:sz w:val="22"/>
                <w:szCs w:val="22"/>
                <w:highlight w:val="none"/>
                <w:lang w:val="en-US" w:eastAsia="zh-CN" w:bidi="ar"/>
              </w:rPr>
            </w:pPr>
            <w:r>
              <w:rPr>
                <w:rFonts w:hint="default" w:ascii="Arial Regular" w:hAnsi="Arial Regular" w:cs="Arial Regular"/>
                <w:b w:val="0"/>
                <w:bCs w:val="0"/>
                <w:color w:val="auto"/>
                <w:sz w:val="22"/>
                <w:szCs w:val="22"/>
                <w:highlight w:val="none"/>
                <w:lang w:val="en-US" w:eastAsia="zh-CN"/>
              </w:rPr>
              <w:t>Plano Clark, V. L. (2017). Mixed methods research. </w:t>
            </w:r>
            <w:r>
              <w:rPr>
                <w:rFonts w:hint="default" w:ascii="Arial Regular" w:hAnsi="Arial Regular" w:cs="Arial Regular"/>
                <w:b w:val="0"/>
                <w:bCs w:val="0"/>
                <w:i/>
                <w:iCs/>
                <w:color w:val="auto"/>
                <w:sz w:val="22"/>
                <w:szCs w:val="22"/>
                <w:highlight w:val="none"/>
                <w:lang w:val="en-US" w:eastAsia="zh-CN"/>
              </w:rPr>
              <w:t>The Journal of Positive Psychology, 12</w:t>
            </w:r>
            <w:r>
              <w:rPr>
                <w:rFonts w:hint="default" w:ascii="Arial Regular" w:hAnsi="Arial Regular" w:cs="Arial Regular"/>
                <w:b w:val="0"/>
                <w:bCs w:val="0"/>
                <w:color w:val="auto"/>
                <w:sz w:val="22"/>
                <w:szCs w:val="22"/>
                <w:highlight w:val="none"/>
                <w:lang w:val="en-US" w:eastAsia="zh-CN"/>
              </w:rPr>
              <w:t>(3), pp.305-306.</w:t>
            </w:r>
          </w:p>
          <w:p w14:paraId="033C48C2">
            <w:pPr>
              <w:numPr>
                <w:ilvl w:val="0"/>
                <w:numId w:val="6"/>
              </w:numPr>
              <w:ind w:left="425" w:leftChars="0" w:hanging="425" w:firstLineChars="0"/>
              <w:rPr>
                <w:rFonts w:hint="default" w:ascii="Arial" w:hAnsi="Arial" w:eastAsia="ＭＳ 明朝" w:cs="Arial"/>
                <w:i w:val="0"/>
                <w:iCs/>
                <w:color w:val="auto"/>
                <w:kern w:val="2"/>
                <w:sz w:val="22"/>
                <w:szCs w:val="22"/>
                <w:lang w:eastAsia="zh-CN"/>
              </w:rPr>
            </w:pPr>
            <w:r>
              <w:rPr>
                <w:rFonts w:hint="default" w:ascii="Arial Regular" w:hAnsi="Arial Regular" w:cs="Arial Regular"/>
                <w:color w:val="auto"/>
                <w:sz w:val="22"/>
                <w:szCs w:val="22"/>
              </w:rPr>
              <w:t>Rose, G. (2022). Visual methodologies: An introduction to researching with visual materials.</w:t>
            </w:r>
          </w:p>
          <w:p w14:paraId="1FEEE7CD">
            <w:pPr>
              <w:numPr>
                <w:ilvl w:val="0"/>
                <w:numId w:val="6"/>
              </w:numPr>
              <w:ind w:left="425" w:leftChars="0" w:hanging="425" w:firstLineChars="0"/>
              <w:rPr>
                <w:rFonts w:hint="default" w:ascii="Arial" w:hAnsi="Arial" w:eastAsia="ＭＳ 明朝" w:cs="Arial"/>
                <w:i w:val="0"/>
                <w:iCs/>
                <w:color w:val="auto"/>
                <w:kern w:val="2"/>
                <w:sz w:val="22"/>
                <w:szCs w:val="22"/>
                <w:lang w:eastAsia="zh-CN"/>
              </w:rPr>
            </w:pPr>
            <w:r>
              <w:rPr>
                <w:rFonts w:hint="default" w:ascii="Arial" w:hAnsi="Arial" w:eastAsia="ＭＳ 明朝" w:cs="Arial"/>
                <w:i w:val="0"/>
                <w:iCs/>
                <w:color w:val="auto"/>
                <w:kern w:val="2"/>
                <w:sz w:val="22"/>
                <w:szCs w:val="22"/>
                <w:lang w:eastAsia="zh-CN"/>
              </w:rPr>
              <w:t xml:space="preserve">Ryan, M. L. (2000). Immersion and Interactivity in Hypertext. </w:t>
            </w:r>
            <w:r>
              <w:rPr>
                <w:rFonts w:hint="default" w:ascii="Arial Italic" w:hAnsi="Arial Italic" w:eastAsia="ＭＳ 明朝" w:cs="Arial Italic"/>
                <w:i/>
                <w:iCs w:val="0"/>
                <w:color w:val="auto"/>
                <w:kern w:val="2"/>
                <w:sz w:val="22"/>
                <w:szCs w:val="22"/>
                <w:lang w:eastAsia="zh-CN"/>
              </w:rPr>
              <w:t>Dichtung Digital. Journal für Kunst und Kultur digitaler Medien, 2</w:t>
            </w:r>
            <w:r>
              <w:rPr>
                <w:rFonts w:hint="default" w:ascii="Arial" w:hAnsi="Arial" w:eastAsia="ＭＳ 明朝" w:cs="Arial"/>
                <w:i w:val="0"/>
                <w:iCs/>
                <w:color w:val="auto"/>
                <w:kern w:val="2"/>
                <w:sz w:val="22"/>
                <w:szCs w:val="22"/>
                <w:lang w:eastAsia="zh-CN"/>
              </w:rPr>
              <w:t>(3), pp.1-12.</w:t>
            </w:r>
          </w:p>
          <w:p w14:paraId="657BF623">
            <w:pPr>
              <w:numPr>
                <w:ilvl w:val="0"/>
                <w:numId w:val="6"/>
              </w:numPr>
              <w:ind w:left="425" w:leftChars="0" w:hanging="425" w:firstLineChars="0"/>
              <w:rPr>
                <w:rFonts w:hint="default" w:ascii="Arial Regular" w:hAnsi="Arial Regular" w:eastAsia="宋体" w:cs="Arial Regular"/>
                <w:b w:val="0"/>
                <w:bCs w:val="0"/>
                <w:i w:val="0"/>
                <w:iCs/>
                <w:caps w:val="0"/>
                <w:color w:val="auto"/>
                <w:spacing w:val="0"/>
                <w:kern w:val="0"/>
                <w:sz w:val="22"/>
                <w:szCs w:val="22"/>
                <w:u w:val="none"/>
                <w:shd w:val="clear" w:fill="FFFFFF"/>
                <w:lang w:val="en-US" w:eastAsia="zh-CN" w:bidi="ar"/>
              </w:rPr>
            </w:pPr>
            <w:r>
              <w:rPr>
                <w:rFonts w:hint="default" w:ascii="Arial" w:hAnsi="Arial" w:eastAsia="ＭＳ 明朝" w:cs="Arial"/>
                <w:i w:val="0"/>
                <w:iCs/>
                <w:color w:val="auto"/>
                <w:kern w:val="2"/>
                <w:sz w:val="22"/>
                <w:szCs w:val="22"/>
                <w:lang w:eastAsia="zh-CN"/>
              </w:rPr>
              <w:t xml:space="preserve">Ryan, M. L., Ruppert, J., &amp; Bernet, J. W. (Eds.). (2004). </w:t>
            </w:r>
            <w:r>
              <w:rPr>
                <w:rFonts w:hint="default" w:ascii="Arial Italic" w:hAnsi="Arial Italic" w:eastAsia="ＭＳ 明朝" w:cs="Arial Italic"/>
                <w:i/>
                <w:iCs w:val="0"/>
                <w:color w:val="auto"/>
                <w:kern w:val="2"/>
                <w:sz w:val="22"/>
                <w:szCs w:val="22"/>
                <w:lang w:eastAsia="zh-CN"/>
              </w:rPr>
              <w:t>Narrative across media: The languages of storytelling</w:t>
            </w:r>
            <w:r>
              <w:rPr>
                <w:rFonts w:hint="default" w:ascii="Arial" w:hAnsi="Arial" w:eastAsia="ＭＳ 明朝" w:cs="Arial"/>
                <w:i w:val="0"/>
                <w:iCs/>
                <w:color w:val="auto"/>
                <w:kern w:val="2"/>
                <w:sz w:val="22"/>
                <w:szCs w:val="22"/>
                <w:lang w:eastAsia="zh-CN"/>
              </w:rPr>
              <w:t>. U of Nebraska Press.</w:t>
            </w:r>
          </w:p>
          <w:p w14:paraId="56FBDDE2">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eastAsia="宋体" w:cs="Arial Regular"/>
                <w:b w:val="0"/>
                <w:bCs w:val="0"/>
                <w:i w:val="0"/>
                <w:iCs/>
                <w:caps w:val="0"/>
                <w:color w:val="auto"/>
                <w:spacing w:val="0"/>
                <w:kern w:val="0"/>
                <w:sz w:val="22"/>
                <w:szCs w:val="22"/>
                <w:u w:val="none"/>
                <w:shd w:val="clear" w:fill="FFFFFF"/>
                <w:lang w:val="en-US" w:eastAsia="zh-CN" w:bidi="ar"/>
              </w:rPr>
              <w:t>Sanchez-Lopez, I., Perez-Rodriguez, A., &amp; Fandos-Igado, M. (2020). The explosion of digital storytelling. Creator's perspective and creative processes on new narrative forms.</w:t>
            </w:r>
            <w:r>
              <w:rPr>
                <w:rFonts w:hint="default" w:ascii="Arial Regular" w:hAnsi="Arial Regular" w:eastAsia="宋体" w:cs="Arial Regular"/>
                <w:b w:val="0"/>
                <w:bCs w:val="0"/>
                <w:i/>
                <w:iCs w:val="0"/>
                <w:caps w:val="0"/>
                <w:color w:val="auto"/>
                <w:spacing w:val="0"/>
                <w:kern w:val="0"/>
                <w:sz w:val="22"/>
                <w:szCs w:val="22"/>
                <w:u w:val="none"/>
                <w:shd w:val="clear" w:fill="FFFFFF"/>
                <w:lang w:val="en-US" w:eastAsia="zh-CN" w:bidi="ar"/>
              </w:rPr>
              <w:t> </w:t>
            </w:r>
            <w:r>
              <w:rPr>
                <w:rFonts w:hint="default" w:ascii="Arial Regular" w:hAnsi="Arial Regular" w:eastAsia="宋体" w:cs="Arial Regular"/>
                <w:b w:val="0"/>
                <w:bCs w:val="0"/>
                <w:i/>
                <w:iCs w:val="0"/>
                <w:caps w:val="0"/>
                <w:color w:val="auto"/>
                <w:spacing w:val="0"/>
                <w:kern w:val="0"/>
                <w:sz w:val="22"/>
                <w:szCs w:val="22"/>
                <w:u w:val="none"/>
                <w:lang w:val="en-US" w:eastAsia="zh-CN" w:bidi="ar"/>
              </w:rPr>
              <w:t>Heliyon</w:t>
            </w:r>
            <w:r>
              <w:rPr>
                <w:rFonts w:hint="default" w:ascii="Arial Regular" w:hAnsi="Arial Regular" w:eastAsia="宋体" w:cs="Arial Regular"/>
                <w:b w:val="0"/>
                <w:bCs w:val="0"/>
                <w:i/>
                <w:iCs w:val="0"/>
                <w:caps w:val="0"/>
                <w:color w:val="auto"/>
                <w:spacing w:val="0"/>
                <w:kern w:val="0"/>
                <w:sz w:val="22"/>
                <w:szCs w:val="22"/>
                <w:u w:val="none"/>
                <w:shd w:val="clear" w:fill="FFFFFF"/>
                <w:lang w:val="en-US" w:eastAsia="zh-CN" w:bidi="ar"/>
              </w:rPr>
              <w:t>, </w:t>
            </w:r>
            <w:r>
              <w:rPr>
                <w:rFonts w:hint="default" w:ascii="Arial Regular" w:hAnsi="Arial Regular" w:eastAsia="宋体" w:cs="Arial Regular"/>
                <w:b w:val="0"/>
                <w:bCs w:val="0"/>
                <w:i/>
                <w:iCs w:val="0"/>
                <w:caps w:val="0"/>
                <w:color w:val="auto"/>
                <w:spacing w:val="0"/>
                <w:kern w:val="0"/>
                <w:sz w:val="22"/>
                <w:szCs w:val="22"/>
                <w:u w:val="none"/>
                <w:lang w:val="en-US" w:eastAsia="zh-CN" w:bidi="ar"/>
              </w:rPr>
              <w:t>6</w:t>
            </w:r>
            <w:r>
              <w:rPr>
                <w:rFonts w:hint="default" w:ascii="Arial Regular" w:hAnsi="Arial Regular" w:eastAsia="宋体" w:cs="Arial Regular"/>
                <w:b w:val="0"/>
                <w:bCs w:val="0"/>
                <w:i w:val="0"/>
                <w:iCs/>
                <w:caps w:val="0"/>
                <w:color w:val="auto"/>
                <w:spacing w:val="0"/>
                <w:kern w:val="0"/>
                <w:sz w:val="22"/>
                <w:szCs w:val="22"/>
                <w:u w:val="none"/>
                <w:shd w:val="clear" w:fill="FFFFFF"/>
                <w:lang w:val="en-US" w:eastAsia="zh-CN" w:bidi="ar"/>
              </w:rPr>
              <w:t>(9).</w:t>
            </w:r>
          </w:p>
          <w:p w14:paraId="3F708DAC">
            <w:pPr>
              <w:numPr>
                <w:ilvl w:val="0"/>
                <w:numId w:val="6"/>
              </w:numPr>
              <w:ind w:left="425" w:leftChars="0" w:hanging="425" w:firstLineChars="0"/>
              <w:rPr>
                <w:rFonts w:hint="default" w:ascii="Arial" w:hAnsi="Arial" w:eastAsia="ＭＳ 明朝" w:cs="Arial"/>
                <w:b w:val="0"/>
                <w:bCs w:val="0"/>
                <w:i w:val="0"/>
                <w:iCs/>
                <w:color w:val="auto"/>
                <w:kern w:val="2"/>
                <w:sz w:val="22"/>
                <w:szCs w:val="22"/>
                <w:highlight w:val="none"/>
                <w:lang w:val="en-US" w:eastAsia="zh-CN"/>
              </w:rPr>
            </w:pPr>
            <w:r>
              <w:rPr>
                <w:rFonts w:hint="default" w:ascii="Arial Regular" w:hAnsi="Arial Regular" w:cs="Arial Regular"/>
                <w:color w:val="auto"/>
                <w:sz w:val="22"/>
                <w:szCs w:val="22"/>
              </w:rPr>
              <w:t xml:space="preserve">Schutz, A. (1970). </w:t>
            </w:r>
            <w:r>
              <w:rPr>
                <w:rFonts w:hint="default" w:ascii="Arial Italic" w:hAnsi="Arial Italic" w:cs="Arial Italic"/>
                <w:i/>
                <w:iCs/>
                <w:color w:val="auto"/>
                <w:sz w:val="22"/>
                <w:szCs w:val="22"/>
              </w:rPr>
              <w:t xml:space="preserve">Alfred Schutz on phenomenology and social relations </w:t>
            </w:r>
            <w:r>
              <w:rPr>
                <w:rFonts w:hint="default" w:ascii="Arial Regular" w:hAnsi="Arial Regular" w:cs="Arial Regular"/>
                <w:color w:val="auto"/>
                <w:sz w:val="22"/>
                <w:szCs w:val="22"/>
              </w:rPr>
              <w:t>(Vol. 360). University of Chicago Press.</w:t>
            </w:r>
          </w:p>
          <w:p w14:paraId="7A79414B">
            <w:pPr>
              <w:numPr>
                <w:ilvl w:val="0"/>
                <w:numId w:val="6"/>
              </w:numPr>
              <w:ind w:left="425" w:leftChars="0" w:hanging="425" w:firstLineChars="0"/>
              <w:rPr>
                <w:rFonts w:hint="default" w:ascii="Arial" w:hAnsi="Arial" w:eastAsia="ＭＳ 明朝" w:cs="Arial"/>
                <w:b w:val="0"/>
                <w:bCs w:val="0"/>
                <w:i w:val="0"/>
                <w:iCs/>
                <w:color w:val="auto"/>
                <w:kern w:val="2"/>
                <w:sz w:val="22"/>
                <w:szCs w:val="22"/>
                <w:lang w:val="en-US" w:eastAsia="zh-CN"/>
              </w:rPr>
            </w:pPr>
            <w:r>
              <w:rPr>
                <w:rFonts w:hint="default" w:ascii="Arial" w:hAnsi="Arial" w:eastAsia="ＭＳ 明朝" w:cs="Arial"/>
                <w:b w:val="0"/>
                <w:bCs w:val="0"/>
                <w:i w:val="0"/>
                <w:iCs/>
                <w:color w:val="auto"/>
                <w:kern w:val="2"/>
                <w:sz w:val="22"/>
                <w:szCs w:val="22"/>
                <w:highlight w:val="none"/>
                <w:lang w:val="en-US" w:eastAsia="zh-CN"/>
              </w:rPr>
              <w:t xml:space="preserve">Segal, R. A. (2004). </w:t>
            </w:r>
            <w:r>
              <w:rPr>
                <w:rFonts w:hint="default" w:ascii="Arial Italic" w:hAnsi="Arial Italic" w:eastAsia="ＭＳ 明朝" w:cs="Arial Italic"/>
                <w:b w:val="0"/>
                <w:bCs w:val="0"/>
                <w:i/>
                <w:iCs w:val="0"/>
                <w:color w:val="auto"/>
                <w:kern w:val="2"/>
                <w:sz w:val="22"/>
                <w:szCs w:val="22"/>
                <w:highlight w:val="none"/>
                <w:lang w:val="en-US" w:eastAsia="zh-CN"/>
              </w:rPr>
              <w:t>Myth: A very short introduction</w:t>
            </w:r>
            <w:r>
              <w:rPr>
                <w:rFonts w:hint="default" w:ascii="Arial" w:hAnsi="Arial" w:eastAsia="ＭＳ 明朝" w:cs="Arial"/>
                <w:b w:val="0"/>
                <w:bCs w:val="0"/>
                <w:i w:val="0"/>
                <w:iCs/>
                <w:color w:val="auto"/>
                <w:kern w:val="2"/>
                <w:sz w:val="22"/>
                <w:szCs w:val="22"/>
                <w:highlight w:val="none"/>
                <w:lang w:val="en-US" w:eastAsia="zh-CN"/>
              </w:rPr>
              <w:t>. OUP Oxford.</w:t>
            </w:r>
          </w:p>
          <w:p w14:paraId="2FBF3165">
            <w:pPr>
              <w:numPr>
                <w:ilvl w:val="0"/>
                <w:numId w:val="6"/>
              </w:numPr>
              <w:ind w:left="425" w:leftChars="0" w:hanging="425" w:firstLineChars="0"/>
              <w:rPr>
                <w:rFonts w:hint="default" w:ascii="Arial Regular" w:hAnsi="Arial Regular" w:cs="Arial Regular"/>
                <w:color w:val="auto"/>
                <w:sz w:val="22"/>
                <w:szCs w:val="22"/>
              </w:rPr>
            </w:pPr>
            <w:r>
              <w:rPr>
                <w:rFonts w:hint="default" w:ascii="Arial" w:hAnsi="Arial" w:eastAsia="ＭＳ 明朝" w:cs="Arial"/>
                <w:b w:val="0"/>
                <w:bCs w:val="0"/>
                <w:i w:val="0"/>
                <w:iCs/>
                <w:color w:val="auto"/>
                <w:kern w:val="2"/>
                <w:sz w:val="22"/>
                <w:szCs w:val="22"/>
                <w:lang w:val="en-US" w:eastAsia="zh-CN"/>
              </w:rPr>
              <w:t xml:space="preserve">Shen, L. (2020). Research on narrative dynamic ancient style illustration design. </w:t>
            </w:r>
            <w:r>
              <w:rPr>
                <w:rFonts w:hint="default" w:ascii="Arial Italic" w:hAnsi="Arial Italic" w:eastAsia="ＭＳ 明朝" w:cs="Arial Italic"/>
                <w:b w:val="0"/>
                <w:bCs w:val="0"/>
                <w:i/>
                <w:iCs w:val="0"/>
                <w:color w:val="auto"/>
                <w:kern w:val="2"/>
                <w:sz w:val="22"/>
                <w:szCs w:val="22"/>
                <w:lang w:val="en-US" w:eastAsia="zh-CN"/>
              </w:rPr>
              <w:t>Art Evaluation</w:t>
            </w:r>
            <w:r>
              <w:rPr>
                <w:rFonts w:hint="default" w:ascii="Arial" w:hAnsi="Arial" w:eastAsia="ＭＳ 明朝" w:cs="Arial"/>
                <w:b w:val="0"/>
                <w:bCs w:val="0"/>
                <w:i w:val="0"/>
                <w:iCs/>
                <w:color w:val="auto"/>
                <w:kern w:val="2"/>
                <w:sz w:val="22"/>
                <w:szCs w:val="22"/>
                <w:lang w:val="en-US" w:eastAsia="zh-CN"/>
              </w:rPr>
              <w:t>, (6), pp.61–62.</w:t>
            </w:r>
          </w:p>
          <w:p w14:paraId="7B4E5426">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Shuxin, T., Cheong, L. K., Studies, L., &amp; Studies, L. (2023). The Impact of Digital Media on the Cultural Identity of Chinese University Students. </w:t>
            </w:r>
            <w:r>
              <w:rPr>
                <w:rFonts w:hint="default" w:ascii="Arial Italic" w:hAnsi="Arial Italic" w:cs="Arial Italic"/>
                <w:i/>
                <w:iCs/>
                <w:color w:val="auto"/>
                <w:sz w:val="22"/>
                <w:szCs w:val="22"/>
              </w:rPr>
              <w:t>May 2023.</w:t>
            </w:r>
          </w:p>
          <w:p w14:paraId="472B7814">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Smith, J. A., Larkin, M., &amp; Flowers, P. (2021). Interpretative phenomenological analysis: Theory, method and research.</w:t>
            </w:r>
          </w:p>
          <w:p w14:paraId="4E2EFFB5">
            <w:pPr>
              <w:numPr>
                <w:ilvl w:val="0"/>
                <w:numId w:val="6"/>
              </w:numPr>
              <w:ind w:left="425" w:leftChars="0" w:hanging="425" w:firstLineChars="0"/>
              <w:rPr>
                <w:rFonts w:hint="default" w:ascii="Arial Regular" w:hAnsi="Arial Regular" w:cs="Arial Regular"/>
                <w:b w:val="0"/>
                <w:bCs w:val="0"/>
                <w:color w:val="auto"/>
                <w:sz w:val="22"/>
                <w:szCs w:val="22"/>
                <w:highlight w:val="none"/>
                <w:lang w:val="en-US" w:eastAsia="zh-CN"/>
              </w:rPr>
            </w:pPr>
            <w:r>
              <w:rPr>
                <w:rFonts w:hint="default" w:ascii="Arial Regular" w:hAnsi="Arial Regular" w:cs="Arial Regular"/>
                <w:color w:val="auto"/>
                <w:sz w:val="22"/>
                <w:szCs w:val="22"/>
              </w:rPr>
              <w:t xml:space="preserve">Song, H., Healey, J., Siu, A. F., Wigington, C., &amp; Stasko, J. (2023, April). Experts prefer text but videos help novices: an analysis of the utility of multi-media content. In </w:t>
            </w:r>
            <w:r>
              <w:rPr>
                <w:rFonts w:hint="default" w:ascii="Arial Italic" w:hAnsi="Arial Italic" w:cs="Arial Italic"/>
                <w:i/>
                <w:iCs/>
                <w:color w:val="auto"/>
                <w:sz w:val="22"/>
                <w:szCs w:val="22"/>
              </w:rPr>
              <w:t>Extended Abstracts of the 2023 CHI Conference on Human Factors in Computing Systems</w:t>
            </w:r>
            <w:r>
              <w:rPr>
                <w:rFonts w:hint="default" w:ascii="Arial Regular" w:hAnsi="Arial Regular" w:cs="Arial Regular"/>
                <w:color w:val="auto"/>
                <w:sz w:val="22"/>
                <w:szCs w:val="22"/>
              </w:rPr>
              <w:t xml:space="preserve"> (pp. 1-9).</w:t>
            </w:r>
          </w:p>
          <w:p w14:paraId="3CF4350B">
            <w:pPr>
              <w:numPr>
                <w:ilvl w:val="0"/>
                <w:numId w:val="6"/>
              </w:numPr>
              <w:ind w:left="425" w:leftChars="0" w:hanging="425" w:firstLineChars="0"/>
              <w:rPr>
                <w:rFonts w:hint="default" w:ascii="Arial Regular" w:hAnsi="Arial Regular" w:cs="Arial Regular"/>
                <w:color w:val="auto"/>
                <w:sz w:val="22"/>
                <w:szCs w:val="22"/>
                <w:lang w:val="en-US" w:eastAsia="zh-CN"/>
              </w:rPr>
            </w:pPr>
            <w:r>
              <w:rPr>
                <w:rFonts w:hint="default" w:ascii="Arial Regular" w:hAnsi="Arial Regular" w:cs="Arial Regular"/>
                <w:b w:val="0"/>
                <w:bCs w:val="0"/>
                <w:color w:val="auto"/>
                <w:sz w:val="22"/>
                <w:szCs w:val="22"/>
                <w:highlight w:val="none"/>
                <w:lang w:val="en-US" w:eastAsia="zh-CN"/>
              </w:rPr>
              <w:t>Silverman, D. (2024). Interpreting qualitative data.</w:t>
            </w:r>
          </w:p>
          <w:p w14:paraId="51B10941">
            <w:pPr>
              <w:numPr>
                <w:ilvl w:val="0"/>
                <w:numId w:val="6"/>
              </w:numPr>
              <w:ind w:left="425" w:leftChars="0" w:hanging="425" w:firstLineChars="0"/>
              <w:rPr>
                <w:rFonts w:hint="default" w:ascii="Arial Regular" w:hAnsi="Arial Regular" w:cs="Arial Regular"/>
                <w:b w:val="0"/>
                <w:bCs w:val="0"/>
                <w:i w:val="0"/>
                <w:iCs w:val="0"/>
                <w:color w:val="auto"/>
                <w:sz w:val="22"/>
                <w:szCs w:val="22"/>
                <w:lang w:val="en-US" w:eastAsia="zh-CN"/>
              </w:rPr>
            </w:pPr>
            <w:r>
              <w:rPr>
                <w:rFonts w:hint="default" w:ascii="Arial" w:hAnsi="Arial" w:eastAsia="宋体" w:cs="Arial"/>
                <w:b w:val="0"/>
                <w:bCs w:val="0"/>
                <w:i w:val="0"/>
                <w:iCs w:val="0"/>
                <w:caps w:val="0"/>
                <w:color w:val="auto"/>
                <w:spacing w:val="0"/>
                <w:kern w:val="0"/>
                <w:sz w:val="22"/>
                <w:szCs w:val="22"/>
                <w:u w:val="none"/>
                <w:shd w:val="clear" w:fill="FFFFFF"/>
                <w:lang w:val="en-US" w:eastAsia="zh-CN" w:bidi="ar"/>
              </w:rPr>
              <w:t xml:space="preserve">Von Glasersfeld, E. (2013). Aspects of radical constructivism and its educational recommendations. In </w:t>
            </w:r>
            <w:r>
              <w:rPr>
                <w:rFonts w:hint="default" w:ascii="Arial Italic" w:hAnsi="Arial Italic" w:eastAsia="宋体" w:cs="Arial Italic"/>
                <w:b w:val="0"/>
                <w:bCs w:val="0"/>
                <w:i/>
                <w:iCs/>
                <w:caps w:val="0"/>
                <w:color w:val="auto"/>
                <w:spacing w:val="0"/>
                <w:kern w:val="0"/>
                <w:sz w:val="22"/>
                <w:szCs w:val="22"/>
                <w:u w:val="none"/>
                <w:shd w:val="clear" w:fill="FFFFFF"/>
                <w:lang w:val="en-US" w:eastAsia="zh-CN" w:bidi="ar"/>
              </w:rPr>
              <w:t>Theories of mathematical learning</w:t>
            </w:r>
            <w:r>
              <w:rPr>
                <w:rFonts w:hint="default" w:ascii="Arial" w:hAnsi="Arial" w:eastAsia="宋体" w:cs="Arial"/>
                <w:b w:val="0"/>
                <w:bCs w:val="0"/>
                <w:i w:val="0"/>
                <w:iCs w:val="0"/>
                <w:caps w:val="0"/>
                <w:color w:val="auto"/>
                <w:spacing w:val="0"/>
                <w:kern w:val="0"/>
                <w:sz w:val="22"/>
                <w:szCs w:val="22"/>
                <w:u w:val="none"/>
                <w:shd w:val="clear" w:fill="FFFFFF"/>
                <w:lang w:val="en-US" w:eastAsia="zh-CN" w:bidi="ar"/>
              </w:rPr>
              <w:t xml:space="preserve"> (pp. 307-314). Routledge.</w:t>
            </w:r>
          </w:p>
          <w:p w14:paraId="2AD863B2">
            <w:pPr>
              <w:numPr>
                <w:ilvl w:val="0"/>
                <w:numId w:val="6"/>
              </w:numPr>
              <w:ind w:left="425" w:leftChars="0" w:hanging="425" w:firstLineChars="0"/>
              <w:rPr>
                <w:rFonts w:hint="default" w:ascii="Arial" w:hAnsi="Arial" w:eastAsia="宋体" w:cs="Arial"/>
                <w:b w:val="0"/>
                <w:bCs w:val="0"/>
                <w:i w:val="0"/>
                <w:iCs w:val="0"/>
                <w:caps w:val="0"/>
                <w:color w:val="auto"/>
                <w:spacing w:val="0"/>
                <w:kern w:val="0"/>
                <w:sz w:val="22"/>
                <w:szCs w:val="22"/>
                <w:u w:val="none"/>
                <w:shd w:val="clear" w:fill="FFFFFF"/>
                <w:lang w:val="en-US" w:eastAsia="zh-CN" w:bidi="ar"/>
              </w:rPr>
            </w:pPr>
            <w:r>
              <w:rPr>
                <w:rFonts w:hint="default" w:ascii="Arial Regular" w:hAnsi="Arial Regular" w:cs="Arial Regular"/>
                <w:b w:val="0"/>
                <w:bCs w:val="0"/>
                <w:i w:val="0"/>
                <w:iCs w:val="0"/>
                <w:color w:val="auto"/>
                <w:sz w:val="22"/>
                <w:szCs w:val="22"/>
                <w:lang w:val="en-US" w:eastAsia="zh-CN"/>
              </w:rPr>
              <w:t xml:space="preserve">Vaughan, L. (2017). Introducing practice-based design research. </w:t>
            </w:r>
            <w:r>
              <w:rPr>
                <w:rFonts w:hint="default" w:ascii="Arial Regular" w:hAnsi="Arial Regular" w:cs="Arial Regular"/>
                <w:b w:val="0"/>
                <w:bCs w:val="0"/>
                <w:i/>
                <w:iCs/>
                <w:color w:val="auto"/>
                <w:sz w:val="22"/>
                <w:szCs w:val="22"/>
                <w:lang w:val="en-US" w:eastAsia="zh-CN"/>
              </w:rPr>
              <w:t>Practice based design research</w:t>
            </w:r>
            <w:r>
              <w:rPr>
                <w:rFonts w:hint="default" w:ascii="Arial Regular" w:hAnsi="Arial Regular" w:cs="Arial Regular"/>
                <w:b w:val="0"/>
                <w:bCs w:val="0"/>
                <w:i w:val="0"/>
                <w:iCs w:val="0"/>
                <w:color w:val="auto"/>
                <w:sz w:val="22"/>
                <w:szCs w:val="22"/>
                <w:lang w:val="en-US" w:eastAsia="zh-CN"/>
              </w:rPr>
              <w:t>,  pp.1-6.</w:t>
            </w:r>
          </w:p>
          <w:p w14:paraId="61C2F5C2">
            <w:pPr>
              <w:numPr>
                <w:ilvl w:val="0"/>
                <w:numId w:val="6"/>
              </w:numPr>
              <w:ind w:left="425" w:leftChars="0" w:hanging="425" w:firstLineChars="0"/>
              <w:rPr>
                <w:rFonts w:hint="default" w:ascii="Arial Regular" w:hAnsi="Arial Regular" w:eastAsia="ＭＳ 明朝" w:cs="Arial Regular"/>
                <w:color w:val="auto"/>
                <w:kern w:val="2"/>
                <w:sz w:val="22"/>
                <w:szCs w:val="22"/>
                <w:lang w:eastAsia="zh-CN"/>
              </w:rPr>
            </w:pPr>
            <w:r>
              <w:rPr>
                <w:rFonts w:hint="default" w:ascii="Arial" w:hAnsi="Arial" w:eastAsia="宋体" w:cs="Arial"/>
                <w:b w:val="0"/>
                <w:bCs w:val="0"/>
                <w:i w:val="0"/>
                <w:iCs w:val="0"/>
                <w:caps w:val="0"/>
                <w:color w:val="auto"/>
                <w:spacing w:val="0"/>
                <w:kern w:val="0"/>
                <w:sz w:val="22"/>
                <w:szCs w:val="22"/>
                <w:u w:val="none"/>
                <w:shd w:val="clear" w:fill="FFFFFF"/>
                <w:lang w:val="en-US" w:eastAsia="zh-CN" w:bidi="ar"/>
              </w:rPr>
              <w:t xml:space="preserve">Whyke, T. W., &amp; Brown, M. S. (2023). Re-animating Chinese myths: Mythology and/as mythologies in contemporary Chinese animation. In </w:t>
            </w:r>
            <w:r>
              <w:rPr>
                <w:rFonts w:hint="default" w:ascii="Arial Italic" w:hAnsi="Arial Italic" w:eastAsia="宋体" w:cs="Arial Italic"/>
                <w:b w:val="0"/>
                <w:bCs w:val="0"/>
                <w:i/>
                <w:iCs/>
                <w:caps w:val="0"/>
                <w:color w:val="auto"/>
                <w:spacing w:val="0"/>
                <w:kern w:val="0"/>
                <w:sz w:val="22"/>
                <w:szCs w:val="22"/>
                <w:u w:val="none"/>
                <w:shd w:val="clear" w:fill="FFFFFF"/>
                <w:lang w:val="en-US" w:eastAsia="zh-CN" w:bidi="ar"/>
              </w:rPr>
              <w:t xml:space="preserve">Chinese Film in the Twenty-First Century </w:t>
            </w:r>
            <w:r>
              <w:rPr>
                <w:rFonts w:hint="default" w:ascii="Arial" w:hAnsi="Arial" w:eastAsia="宋体" w:cs="Arial"/>
                <w:b w:val="0"/>
                <w:bCs w:val="0"/>
                <w:i w:val="0"/>
                <w:iCs w:val="0"/>
                <w:caps w:val="0"/>
                <w:color w:val="auto"/>
                <w:spacing w:val="0"/>
                <w:kern w:val="0"/>
                <w:sz w:val="22"/>
                <w:szCs w:val="22"/>
                <w:u w:val="none"/>
                <w:shd w:val="clear" w:fill="FFFFFF"/>
                <w:lang w:val="en-US" w:eastAsia="zh-CN" w:bidi="ar"/>
              </w:rPr>
              <w:t xml:space="preserve"> (pp. 114-135). Routledge.</w:t>
            </w:r>
          </w:p>
          <w:p w14:paraId="1D69A79A">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eastAsia="ＭＳ 明朝" w:cs="Arial Regular"/>
                <w:color w:val="auto"/>
                <w:kern w:val="2"/>
                <w:sz w:val="22"/>
                <w:szCs w:val="22"/>
                <w:lang w:eastAsia="zh-CN"/>
              </w:rPr>
              <w:t xml:space="preserve">Wu, J. and Chan, J., 2007. Cultural misreadings of traditional Chinese symbols in Western media. </w:t>
            </w:r>
            <w:r>
              <w:rPr>
                <w:rFonts w:hint="default" w:ascii="Arial Regular" w:hAnsi="Arial Regular" w:eastAsia="ＭＳ 明朝" w:cs="Arial Regular"/>
                <w:i/>
                <w:iCs/>
                <w:color w:val="auto"/>
                <w:kern w:val="2"/>
                <w:sz w:val="22"/>
                <w:szCs w:val="22"/>
                <w:lang w:eastAsia="zh-CN"/>
              </w:rPr>
              <w:t>Visual Communication, 6</w:t>
            </w:r>
            <w:r>
              <w:rPr>
                <w:rFonts w:hint="default" w:ascii="Arial Regular" w:hAnsi="Arial Regular" w:eastAsia="ＭＳ 明朝" w:cs="Arial Regular"/>
                <w:color w:val="auto"/>
                <w:kern w:val="2"/>
                <w:sz w:val="22"/>
                <w:szCs w:val="22"/>
                <w:lang w:eastAsia="zh-CN"/>
              </w:rPr>
              <w:t>(2), pp.193–216.</w:t>
            </w:r>
          </w:p>
          <w:p w14:paraId="2CABD73D">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Yi, S. (2015, June). Research on the Human-animal God Images of Shanhai Ching. In </w:t>
            </w:r>
            <w:r>
              <w:rPr>
                <w:rFonts w:hint="default" w:ascii="Arial Regular" w:hAnsi="Arial Regular" w:cs="Arial Regular"/>
                <w:i/>
                <w:iCs/>
                <w:color w:val="auto"/>
                <w:sz w:val="22"/>
                <w:szCs w:val="22"/>
              </w:rPr>
              <w:t xml:space="preserve">2015 International Conference on Management, Education, Information and Control </w:t>
            </w:r>
            <w:r>
              <w:rPr>
                <w:rFonts w:hint="default" w:ascii="Arial Regular" w:hAnsi="Arial Regular" w:cs="Arial Regular"/>
                <w:color w:val="auto"/>
                <w:sz w:val="22"/>
                <w:szCs w:val="22"/>
              </w:rPr>
              <w:t>(pp. 103-107). Atlantis Press.</w:t>
            </w:r>
          </w:p>
          <w:p w14:paraId="065223B9">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Yin, S. (2024). Identity Construction in Digital Youth Culture: A Case Study of Mobile Games in China.</w:t>
            </w:r>
          </w:p>
          <w:p w14:paraId="74E958F0">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Yu, X. (2024). Digital technology and the revival of Chinese excellent traditional culture. In </w:t>
            </w:r>
            <w:r>
              <w:rPr>
                <w:rFonts w:hint="default" w:ascii="Arial Italic" w:hAnsi="Arial Italic" w:cs="Arial Italic"/>
                <w:i/>
                <w:iCs/>
                <w:color w:val="auto"/>
                <w:sz w:val="22"/>
                <w:szCs w:val="22"/>
              </w:rPr>
              <w:t>SHS Web of Conferences</w:t>
            </w:r>
            <w:r>
              <w:rPr>
                <w:rFonts w:hint="default" w:ascii="Arial Regular" w:hAnsi="Arial Regular" w:cs="Arial Regular"/>
                <w:color w:val="auto"/>
                <w:sz w:val="22"/>
                <w:szCs w:val="22"/>
              </w:rPr>
              <w:t xml:space="preserve"> (Vol. 181, p. 04033). EDP Sciences.</w:t>
            </w:r>
          </w:p>
          <w:p w14:paraId="653495C6">
            <w:pPr>
              <w:numPr>
                <w:ilvl w:val="0"/>
                <w:numId w:val="6"/>
              </w:numPr>
              <w:ind w:left="425" w:leftChars="0" w:hanging="425" w:firstLineChars="0"/>
              <w:rPr>
                <w:rFonts w:hint="default" w:ascii="Arial Regular" w:hAnsi="Arial Regular" w:cs="Arial Regular"/>
                <w:color w:val="auto"/>
                <w:sz w:val="22"/>
                <w:szCs w:val="22"/>
              </w:rPr>
            </w:pPr>
            <w:r>
              <w:rPr>
                <w:rFonts w:hint="default" w:ascii="Arial Regular" w:hAnsi="Arial Regular" w:cs="Arial Regular"/>
                <w:color w:val="auto"/>
                <w:sz w:val="22"/>
                <w:szCs w:val="22"/>
              </w:rPr>
              <w:t xml:space="preserve">Zhang, Q. (2025). The interplay of technology, family, and identity: Chinese adolescents’ self-presentation on Douyin. </w:t>
            </w:r>
            <w:r>
              <w:rPr>
                <w:rFonts w:hint="default" w:ascii="Arial Italic" w:hAnsi="Arial Italic" w:cs="Arial Italic"/>
                <w:i/>
                <w:iCs/>
                <w:color w:val="auto"/>
                <w:sz w:val="22"/>
                <w:szCs w:val="22"/>
              </w:rPr>
              <w:t>Frontiers in Psychology, 16,</w:t>
            </w:r>
            <w:r>
              <w:rPr>
                <w:rFonts w:hint="default" w:ascii="Arial Regular" w:hAnsi="Arial Regular" w:cs="Arial Regular"/>
                <w:color w:val="auto"/>
                <w:sz w:val="22"/>
                <w:szCs w:val="22"/>
              </w:rPr>
              <w:t xml:space="preserve"> p.1544224.</w:t>
            </w:r>
          </w:p>
          <w:p w14:paraId="50EC826C">
            <w:pPr>
              <w:rPr>
                <w:rFonts w:cs="Arial"/>
                <w:sz w:val="22"/>
                <w:szCs w:val="22"/>
              </w:rPr>
            </w:pPr>
          </w:p>
        </w:tc>
      </w:tr>
      <w:tr w14:paraId="295D5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shd w:val="clear" w:color="auto" w:fill="F1F1F1" w:themeFill="background1" w:themeFillShade="F2"/>
            <w:vAlign w:val="center"/>
          </w:tcPr>
          <w:p w14:paraId="43D3CD2A">
            <w:pPr>
              <w:rPr>
                <w:rFonts w:cs="Arial"/>
                <w:sz w:val="22"/>
                <w:szCs w:val="22"/>
              </w:rPr>
            </w:pPr>
            <w:r>
              <w:rPr>
                <w:rFonts w:cs="Arial"/>
                <w:sz w:val="22"/>
                <w:szCs w:val="22"/>
              </w:rPr>
              <w:t>Facilities and resources available for the investigation: please indicate if you expect to need any special resources</w:t>
            </w:r>
          </w:p>
        </w:tc>
      </w:tr>
      <w:tr w14:paraId="7FC6E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9781" w:type="dxa"/>
            <w:vAlign w:val="center"/>
          </w:tcPr>
          <w:p w14:paraId="587615CA">
            <w:pPr>
              <w:rPr>
                <w:rFonts w:cs="Arial"/>
                <w:sz w:val="22"/>
                <w:szCs w:val="22"/>
              </w:rPr>
            </w:pPr>
            <w:r>
              <w:rPr>
                <w:rFonts w:cs="Arial"/>
                <w:sz w:val="22"/>
                <w:szCs w:val="22"/>
              </w:rPr>
              <w:t>In this section you should indicate:</w:t>
            </w:r>
          </w:p>
          <w:p w14:paraId="452EDDBE">
            <w:pPr>
              <w:rPr>
                <w:rFonts w:cs="Arial"/>
                <w:sz w:val="22"/>
                <w:szCs w:val="22"/>
              </w:rPr>
            </w:pPr>
          </w:p>
          <w:p w14:paraId="31FDA96D">
            <w:pPr>
              <w:pStyle w:val="26"/>
              <w:numPr>
                <w:ilvl w:val="0"/>
                <w:numId w:val="7"/>
              </w:numPr>
              <w:autoSpaceDE w:val="0"/>
              <w:autoSpaceDN w:val="0"/>
              <w:adjustRightInd w:val="0"/>
              <w:contextualSpacing/>
              <w:rPr>
                <w:rFonts w:cs="Arial"/>
                <w:color w:val="auto"/>
                <w:sz w:val="22"/>
                <w:szCs w:val="22"/>
              </w:rPr>
            </w:pPr>
            <w:r>
              <w:rPr>
                <w:rFonts w:cs="Arial"/>
                <w:color w:val="auto"/>
                <w:sz w:val="22"/>
                <w:szCs w:val="22"/>
              </w:rPr>
              <w:t>What facilities you will need access to including libraries, archives, institutions, specialist IT facilities</w:t>
            </w:r>
          </w:p>
          <w:p w14:paraId="6B59878C">
            <w:pPr>
              <w:pStyle w:val="26"/>
              <w:numPr>
                <w:ilvl w:val="0"/>
                <w:numId w:val="7"/>
              </w:numPr>
              <w:autoSpaceDE w:val="0"/>
              <w:autoSpaceDN w:val="0"/>
              <w:adjustRightInd w:val="0"/>
              <w:contextualSpacing/>
              <w:rPr>
                <w:rFonts w:cs="Arial"/>
                <w:color w:val="auto"/>
                <w:sz w:val="22"/>
                <w:szCs w:val="22"/>
              </w:rPr>
            </w:pPr>
            <w:r>
              <w:rPr>
                <w:rFonts w:cs="Arial"/>
                <w:color w:val="auto"/>
                <w:sz w:val="22"/>
                <w:szCs w:val="22"/>
              </w:rPr>
              <w:t>Whether you have permission to access the facilities and resources</w:t>
            </w:r>
          </w:p>
          <w:p w14:paraId="64B1F49A">
            <w:pPr>
              <w:pStyle w:val="26"/>
              <w:numPr>
                <w:ilvl w:val="0"/>
                <w:numId w:val="7"/>
              </w:numPr>
              <w:autoSpaceDE w:val="0"/>
              <w:autoSpaceDN w:val="0"/>
              <w:adjustRightInd w:val="0"/>
              <w:contextualSpacing/>
              <w:rPr>
                <w:rFonts w:cs="Arial"/>
                <w:color w:val="auto"/>
                <w:sz w:val="22"/>
                <w:szCs w:val="22"/>
              </w:rPr>
            </w:pPr>
            <w:r>
              <w:rPr>
                <w:rFonts w:cs="Arial"/>
                <w:color w:val="auto"/>
                <w:sz w:val="22"/>
                <w:szCs w:val="22"/>
              </w:rPr>
              <w:t>Whether you need to travel to access the facilities and resources – where do you need to go, for how long, and how will this be financed</w:t>
            </w:r>
          </w:p>
          <w:p w14:paraId="1A01A39F">
            <w:pPr>
              <w:pStyle w:val="26"/>
              <w:numPr>
                <w:ilvl w:val="0"/>
                <w:numId w:val="7"/>
              </w:numPr>
              <w:autoSpaceDE w:val="0"/>
              <w:autoSpaceDN w:val="0"/>
              <w:adjustRightInd w:val="0"/>
              <w:contextualSpacing/>
              <w:rPr>
                <w:rFonts w:cs="Arial"/>
                <w:color w:val="auto"/>
                <w:sz w:val="22"/>
                <w:szCs w:val="22"/>
              </w:rPr>
            </w:pPr>
            <w:r>
              <w:rPr>
                <w:rFonts w:cs="Arial"/>
                <w:color w:val="auto"/>
                <w:sz w:val="22"/>
                <w:szCs w:val="22"/>
              </w:rPr>
              <w:t>Whether you will be carrying out fieldwork or interviews and whether you have followed the correct protocols, secured permission and ethical clearance.</w:t>
            </w:r>
          </w:p>
          <w:p w14:paraId="3591B6D1">
            <w:pPr>
              <w:rPr>
                <w:rFonts w:hint="default" w:ascii="Arial Regular" w:hAnsi="Arial Regular" w:cs="Arial Regular"/>
                <w:sz w:val="22"/>
                <w:szCs w:val="22"/>
              </w:rPr>
            </w:pPr>
          </w:p>
          <w:p w14:paraId="184060EB">
            <w:pPr>
              <w:rPr>
                <w:rFonts w:hint="default" w:ascii="Arial Regular" w:hAnsi="Arial Regular" w:eastAsia="微软雅黑" w:cs="Arial Regular"/>
                <w:sz w:val="22"/>
                <w:szCs w:val="22"/>
                <w:lang w:eastAsia="zh-CN"/>
              </w:rPr>
            </w:pPr>
            <w:r>
              <w:rPr>
                <w:rFonts w:hint="default" w:ascii="Arial Regular" w:hAnsi="Arial Regular" w:eastAsia="微软雅黑" w:cs="Arial Regular"/>
                <w:sz w:val="22"/>
                <w:szCs w:val="22"/>
                <w:lang w:eastAsia="zh-CN"/>
              </w:rPr>
              <w:t xml:space="preserve">The facilities and resources required in this </w:t>
            </w:r>
            <w:r>
              <w:rPr>
                <w:rFonts w:hint="default" w:ascii="Arial Regular" w:hAnsi="Arial Regular" w:eastAsia="微软雅黑" w:cs="Arial Regular"/>
                <w:sz w:val="22"/>
                <w:szCs w:val="22"/>
                <w:lang w:val="en-US" w:eastAsia="zh-CN"/>
              </w:rPr>
              <w:t>research</w:t>
            </w:r>
            <w:r>
              <w:rPr>
                <w:rFonts w:hint="default" w:ascii="Arial Regular" w:hAnsi="Arial Regular" w:eastAsia="微软雅黑" w:cs="Arial Regular"/>
                <w:sz w:val="22"/>
                <w:szCs w:val="22"/>
                <w:lang w:eastAsia="zh-CN"/>
              </w:rPr>
              <w:t xml:space="preserve"> correspond directly to my linear research process: literature and case analysis → preliminary research and small-scale tests before creation → illustration practice → audience research → data analysis and reflection.</w:t>
            </w:r>
          </w:p>
          <w:p w14:paraId="317D8B8A">
            <w:pPr>
              <w:rPr>
                <w:rFonts w:hint="default" w:ascii="Arial Regular" w:hAnsi="Arial Regular" w:eastAsia="微软雅黑" w:cs="Arial Regular"/>
                <w:sz w:val="22"/>
                <w:szCs w:val="22"/>
                <w:lang w:eastAsia="zh-CN"/>
              </w:rPr>
            </w:pPr>
          </w:p>
          <w:p w14:paraId="0B39915F">
            <w:pPr>
              <w:rPr>
                <w:rFonts w:hint="default" w:ascii="Arial Regular" w:hAnsi="Arial Regular" w:eastAsia="微软雅黑" w:cs="Arial Regular"/>
                <w:sz w:val="22"/>
                <w:szCs w:val="22"/>
              </w:rPr>
            </w:pPr>
            <w:r>
              <w:rPr>
                <w:rFonts w:hint="default" w:ascii="Arial Regular" w:hAnsi="Arial Regular" w:eastAsia="微软雅黑" w:cs="Arial Regular"/>
                <w:sz w:val="22"/>
                <w:szCs w:val="22"/>
              </w:rPr>
              <w:t>I have obtained the necessary permissions to use the following facilities and resources to ensure comprehensive data collection and analysis:</w:t>
            </w:r>
          </w:p>
          <w:p w14:paraId="046C323F">
            <w:pPr>
              <w:rPr>
                <w:rFonts w:hint="default" w:ascii="Arial Regular" w:hAnsi="Arial Regular" w:eastAsia="微软雅黑" w:cs="Arial Regular"/>
                <w:sz w:val="22"/>
                <w:szCs w:val="22"/>
              </w:rPr>
            </w:pPr>
          </w:p>
          <w:p w14:paraId="766DF3D1">
            <w:pPr>
              <w:rPr>
                <w:rFonts w:hint="eastAsia" w:ascii="Arial Bold" w:hAnsi="Arial Bold" w:eastAsia="微软雅黑" w:cs="Arial Bold"/>
                <w:b/>
                <w:bCs/>
                <w:sz w:val="22"/>
                <w:szCs w:val="22"/>
                <w:lang w:val="en-US" w:eastAsia="zh-CN"/>
              </w:rPr>
            </w:pPr>
            <w:r>
              <w:rPr>
                <w:rFonts w:hint="default" w:ascii="Arial Bold" w:hAnsi="Arial Bold" w:eastAsia="微软雅黑" w:cs="Arial Bold"/>
                <w:b/>
                <w:bCs/>
                <w:sz w:val="22"/>
                <w:szCs w:val="22"/>
              </w:rPr>
              <w:t>1. Literature and Case Analysis</w:t>
            </w:r>
            <w:r>
              <w:rPr>
                <w:rFonts w:hint="eastAsia" w:ascii="Arial Bold" w:hAnsi="Arial Bold" w:eastAsia="微软雅黑" w:cs="Arial Bold"/>
                <w:b/>
                <w:bCs/>
                <w:sz w:val="22"/>
                <w:szCs w:val="22"/>
                <w:lang w:val="en-US" w:eastAsia="zh-CN"/>
              </w:rPr>
              <w:t>:</w:t>
            </w:r>
          </w:p>
          <w:p w14:paraId="115060FF">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rPr>
              <w:t>Books and Databases:</w:t>
            </w:r>
            <w:r>
              <w:rPr>
                <w:rFonts w:hint="default" w:ascii="Arial Regular" w:hAnsi="Arial Regular" w:eastAsia="微软雅黑" w:cs="Arial Regular"/>
                <w:sz w:val="22"/>
                <w:szCs w:val="22"/>
                <w:lang w:val="en-US" w:eastAsia="zh-CN"/>
              </w:rPr>
              <w:t xml:space="preserve"> </w:t>
            </w:r>
            <w:r>
              <w:rPr>
                <w:rFonts w:hint="default" w:ascii="Arial Regular" w:hAnsi="Arial Regular" w:eastAsia="微软雅黑" w:cs="Arial Regular"/>
                <w:sz w:val="22"/>
                <w:szCs w:val="22"/>
              </w:rPr>
              <w:t>Access to libraries (both print and digital resources) as well as multiple databases (such as Google Scholar and CNKI), covering materials in mythology, visual semiotics, illustration studies, digital storytelling</w:t>
            </w:r>
            <w:r>
              <w:rPr>
                <w:rFonts w:hint="default" w:ascii="Arial Regular" w:hAnsi="Arial Regular" w:eastAsia="微软雅黑" w:cs="Arial Regular"/>
                <w:sz w:val="22"/>
                <w:szCs w:val="22"/>
                <w:lang w:val="en-US" w:eastAsia="zh-CN"/>
              </w:rPr>
              <w:t xml:space="preserve"> </w:t>
            </w:r>
            <w:r>
              <w:rPr>
                <w:rFonts w:hint="default" w:ascii="Arial Regular" w:hAnsi="Arial Regular" w:eastAsia="微软雅黑" w:cs="Arial Regular"/>
                <w:sz w:val="22"/>
                <w:szCs w:val="22"/>
              </w:rPr>
              <w:t>and other research-related fields.</w:t>
            </w:r>
          </w:p>
          <w:p w14:paraId="75E4D150">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rPr>
              <w:t>Image Sources and Digitisation:</w:t>
            </w:r>
            <w:r>
              <w:rPr>
                <w:rFonts w:hint="default" w:ascii="Arial Regular" w:hAnsi="Arial Regular" w:eastAsia="微软雅黑" w:cs="Arial Regular"/>
                <w:sz w:val="22"/>
                <w:szCs w:val="22"/>
                <w:lang w:val="en-US" w:eastAsia="zh-CN"/>
              </w:rPr>
              <w:t xml:space="preserve"> </w:t>
            </w:r>
            <w:r>
              <w:rPr>
                <w:rFonts w:hint="default" w:ascii="Arial Regular" w:hAnsi="Arial Regular" w:eastAsia="微软雅黑" w:cs="Arial Regular"/>
                <w:sz w:val="22"/>
                <w:szCs w:val="22"/>
              </w:rPr>
              <w:t>Use of open-access digital collections and visits to selected museums. Where necessary, image materials and sketches permitted for reproduction will be digitised using tablets and other appropriate devices.</w:t>
            </w:r>
          </w:p>
          <w:p w14:paraId="024DEFE9">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rPr>
              <w:t>Digital Support:</w:t>
            </w:r>
            <w:r>
              <w:rPr>
                <w:rFonts w:hint="default" w:ascii="Arial Regular" w:hAnsi="Arial Regular" w:eastAsia="微软雅黑" w:cs="Arial Regular"/>
                <w:sz w:val="22"/>
                <w:szCs w:val="22"/>
                <w:lang w:val="en-US" w:eastAsia="zh-CN"/>
              </w:rPr>
              <w:t xml:space="preserve"> </w:t>
            </w:r>
            <w:r>
              <w:rPr>
                <w:rFonts w:hint="default" w:ascii="Arial Regular" w:hAnsi="Arial Regular" w:eastAsia="微软雅黑" w:cs="Arial Regular"/>
                <w:sz w:val="22"/>
                <w:szCs w:val="22"/>
              </w:rPr>
              <w:t>Institutional support provided by UWTSD, including IT services and access to reference management tools.</w:t>
            </w:r>
          </w:p>
          <w:p w14:paraId="5562E99B">
            <w:pPr>
              <w:rPr>
                <w:rFonts w:hint="default" w:ascii="Arial Regular" w:hAnsi="Arial Regular" w:eastAsia="微软雅黑" w:cs="Arial Regular"/>
                <w:sz w:val="22"/>
                <w:szCs w:val="22"/>
              </w:rPr>
            </w:pPr>
          </w:p>
          <w:p w14:paraId="25C7C1F0">
            <w:pPr>
              <w:numPr>
                <w:ilvl w:val="0"/>
                <w:numId w:val="0"/>
              </w:numPr>
              <w:ind w:leftChars="0"/>
              <w:rPr>
                <w:rFonts w:hint="default" w:ascii="Arial Bold" w:hAnsi="Arial Bold" w:eastAsia="微软雅黑" w:cs="Arial Bold"/>
                <w:b/>
                <w:bCs/>
                <w:sz w:val="22"/>
                <w:szCs w:val="22"/>
                <w:lang w:val="en-US" w:eastAsia="zh-CN"/>
              </w:rPr>
            </w:pPr>
            <w:r>
              <w:rPr>
                <w:rFonts w:hint="default" w:ascii="Arial Bold" w:hAnsi="Arial Bold" w:eastAsia="微软雅黑" w:cs="Arial Bold"/>
                <w:b/>
                <w:bCs/>
                <w:sz w:val="22"/>
                <w:szCs w:val="22"/>
              </w:rPr>
              <w:t>2. Preliminary Research and Small-Scale Tests Prior to Creatio</w:t>
            </w:r>
            <w:r>
              <w:rPr>
                <w:rFonts w:hint="eastAsia" w:ascii="Arial Bold" w:hAnsi="Arial Bold" w:eastAsia="微软雅黑" w:cs="Arial Bold"/>
                <w:b/>
                <w:bCs/>
                <w:sz w:val="22"/>
                <w:szCs w:val="22"/>
                <w:lang w:val="en-US" w:eastAsia="zh-CN"/>
              </w:rPr>
              <w:t>n:</w:t>
            </w:r>
          </w:p>
          <w:p w14:paraId="1A8926FB">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Online Questionnaires: Distributed across China through platforms such as Google Forms (including Likert scales and a small number of open-ended questions); if necessary, UWTSD-approved survey platforms will also be used to ensure data compliance.</w:t>
            </w:r>
          </w:p>
          <w:p w14:paraId="765A4E66">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lang w:val="en-US" w:eastAsia="zh-CN"/>
              </w:rPr>
              <w:t xml:space="preserve">Small-Scale Tests: Recruitment facilitated through WeChat groups and QR codes; pilot experiments such as symbol recognition, illustration sketch testing and colour scheme trials will be conducted via Zoom/Teams.   </w:t>
            </w:r>
          </w:p>
          <w:p w14:paraId="28063207">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lang w:val="en-US" w:eastAsia="zh-CN"/>
              </w:rPr>
              <w:t>Research Information Recording and Consent: Bilingual (Chinese–English) participant information sheets and consent forms; encrypted recordings on mobile devices or computers; secure storage of all data will be ensured.</w:t>
            </w:r>
          </w:p>
          <w:p w14:paraId="15D56F32">
            <w:pPr>
              <w:rPr>
                <w:rFonts w:hint="default" w:ascii="Arial Bold" w:hAnsi="Arial Bold" w:eastAsia="微软雅黑" w:cs="Arial Bold"/>
                <w:b/>
                <w:bCs/>
                <w:sz w:val="22"/>
                <w:szCs w:val="22"/>
              </w:rPr>
            </w:pPr>
          </w:p>
          <w:p w14:paraId="664E7B2E">
            <w:pPr>
              <w:numPr>
                <w:ilvl w:val="0"/>
                <w:numId w:val="8"/>
              </w:numPr>
              <w:ind w:leftChars="0"/>
              <w:rPr>
                <w:rFonts w:hint="default" w:ascii="Arial Bold" w:hAnsi="Arial Bold" w:eastAsia="微软雅黑" w:cs="Arial Bold"/>
                <w:b/>
                <w:bCs/>
                <w:sz w:val="22"/>
                <w:szCs w:val="22"/>
              </w:rPr>
            </w:pPr>
            <w:r>
              <w:rPr>
                <w:rFonts w:hint="default" w:ascii="Arial Bold" w:hAnsi="Arial Bold" w:eastAsia="微软雅黑" w:cs="Arial Bold"/>
                <w:b/>
                <w:bCs/>
                <w:sz w:val="22"/>
                <w:szCs w:val="22"/>
              </w:rPr>
              <w:t>Illustration Practice</w:t>
            </w:r>
            <w:r>
              <w:rPr>
                <w:rFonts w:hint="eastAsia" w:ascii="Arial Bold" w:hAnsi="Arial Bold" w:eastAsia="微软雅黑" w:cs="Arial Bold"/>
                <w:b/>
                <w:bCs/>
                <w:sz w:val="22"/>
                <w:szCs w:val="22"/>
                <w:lang w:val="en-US" w:eastAsia="zh-CN"/>
              </w:rPr>
              <w:t>:</w:t>
            </w:r>
          </w:p>
          <w:p w14:paraId="5A5B1A69">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rPr>
              <w:t>Software: Adobe Creative Cloud, such as Illustrator, Photoshop</w:t>
            </w:r>
            <w:r>
              <w:rPr>
                <w:rFonts w:hint="default" w:ascii="Arial Regular" w:hAnsi="Arial Regular" w:eastAsia="微软雅黑" w:cs="Arial Regular"/>
                <w:sz w:val="22"/>
                <w:szCs w:val="22"/>
                <w:lang w:val="en-US" w:eastAsia="zh-CN"/>
              </w:rPr>
              <w:t xml:space="preserve"> </w:t>
            </w:r>
            <w:r>
              <w:rPr>
                <w:rFonts w:hint="default" w:ascii="Arial Regular" w:hAnsi="Arial Regular" w:eastAsia="微软雅黑" w:cs="Arial Regular"/>
                <w:sz w:val="22"/>
                <w:szCs w:val="22"/>
              </w:rPr>
              <w:t>and Animate, will be used for illustration creation and other related design work.</w:t>
            </w:r>
          </w:p>
          <w:p w14:paraId="178CDC8D">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rPr>
              <w:t>AR Platform: Kivicube will be used to deploy mobile-based AR scenes, with QR codes provided to enable both on-site and remote viewing.</w:t>
            </w:r>
          </w:p>
          <w:p w14:paraId="6E56BE97">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rPr>
              <w:t>Testing Devices: iOS and Android smartphones (latest systems) will be used for cross-device testing; a calibrated monitor and a graphics tablet will be employed to ensure colour accuracy and line quality.</w:t>
            </w:r>
          </w:p>
          <w:p w14:paraId="1D00F900">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rPr>
              <w:t>Production Quality: High-resolution digital files will be produced; where necessary, limited fine art prints or exhibition materials will be generated through UWTSD in-house or third-party printing services.</w:t>
            </w:r>
          </w:p>
          <w:p w14:paraId="261FFAE9">
            <w:pPr>
              <w:rPr>
                <w:rFonts w:hint="default" w:ascii="Arial Regular" w:hAnsi="Arial Regular" w:eastAsia="微软雅黑" w:cs="Arial Regular"/>
                <w:color w:val="4F81BD" w:themeColor="accent1"/>
                <w:sz w:val="22"/>
                <w:szCs w:val="22"/>
                <w14:textFill>
                  <w14:solidFill>
                    <w14:schemeClr w14:val="accent1"/>
                  </w14:solidFill>
                </w14:textFill>
              </w:rPr>
            </w:pPr>
          </w:p>
          <w:p w14:paraId="3564E278">
            <w:pPr>
              <w:numPr>
                <w:ilvl w:val="0"/>
                <w:numId w:val="0"/>
              </w:numPr>
              <w:ind w:leftChars="0"/>
              <w:rPr>
                <w:rFonts w:hint="default" w:ascii="Arial Bold" w:hAnsi="Arial Bold" w:eastAsia="微软雅黑" w:cs="Arial Bold"/>
                <w:b/>
                <w:bCs/>
                <w:sz w:val="22"/>
                <w:szCs w:val="22"/>
                <w:lang w:val="en-US" w:eastAsia="zh-CN"/>
              </w:rPr>
            </w:pPr>
            <w:r>
              <w:rPr>
                <w:rFonts w:hint="default" w:ascii="Arial Bold" w:hAnsi="Arial Bold" w:eastAsia="微软雅黑" w:cs="Arial Bold"/>
                <w:b/>
                <w:bCs/>
                <w:sz w:val="22"/>
                <w:szCs w:val="22"/>
                <w:lang w:val="en-US" w:eastAsia="zh-CN"/>
              </w:rPr>
              <w:t>4. Audience Research (Online + On-site)</w:t>
            </w:r>
            <w:r>
              <w:rPr>
                <w:rFonts w:hint="eastAsia" w:ascii="Arial Bold" w:hAnsi="Arial Bold" w:eastAsia="微软雅黑" w:cs="Arial Bold"/>
                <w:b/>
                <w:bCs/>
                <w:sz w:val="22"/>
                <w:szCs w:val="22"/>
                <w:lang w:val="en-US" w:eastAsia="zh-CN"/>
              </w:rPr>
              <w:t>:</w:t>
            </w:r>
          </w:p>
          <w:p w14:paraId="6C25047D">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lang w:val="en-US" w:eastAsia="zh-CN"/>
              </w:rPr>
              <w:t xml:space="preserve">Online questionnaires will be distributed across China; semi-structured interviews will be conducted through platforms such as Zoom/Teams (with the option of sharing AR illustrations/animations). </w:t>
            </w:r>
          </w:p>
          <w:p w14:paraId="5B09C388">
            <w:pPr>
              <w:numPr>
                <w:ilvl w:val="0"/>
                <w:numId w:val="3"/>
              </w:numPr>
              <w:ind w:left="360" w:leftChars="0" w:firstLineChars="0"/>
              <w:rPr>
                <w:rFonts w:hint="default" w:ascii="Arial Regular" w:hAnsi="Arial Regular" w:eastAsia="微软雅黑" w:cs="Arial Regular"/>
                <w:sz w:val="22"/>
                <w:szCs w:val="22"/>
              </w:rPr>
            </w:pPr>
            <w:r>
              <w:rPr>
                <w:rFonts w:hint="default" w:ascii="Arial Regular" w:hAnsi="Arial Regular" w:eastAsia="微软雅黑" w:cs="Arial Regular"/>
                <w:sz w:val="22"/>
                <w:szCs w:val="22"/>
                <w:lang w:val="en-US" w:eastAsia="zh-CN"/>
              </w:rPr>
              <w:t>On-site: Conduct semi-structured interviews and participatory observations in China (such as attention distribution, dwell time and rhythm during viewing/interaction).</w:t>
            </w:r>
          </w:p>
          <w:p w14:paraId="3AF19298">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 xml:space="preserve">Duration and Funding: Each on-site research in China is expected to take 2-3 months (adjusted according to recruitment and research progress); Travel and accommodation expenses will be self-funded through personal savings. </w:t>
            </w:r>
          </w:p>
          <w:p w14:paraId="679AF86F">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Venues and Organisation: If necessary, small quiet spaces (such as library study rooms or temporary discussion rooms) may be booked to ensure privacy and recording quality; If necessary, a small exhibition space may be temporarily reserved to facilitate audience viewing and interaction, as well as to enable observation of audience behaviour.</w:t>
            </w:r>
          </w:p>
          <w:p w14:paraId="795913C0">
            <w:pPr>
              <w:numPr>
                <w:ilvl w:val="0"/>
                <w:numId w:val="0"/>
              </w:numPr>
              <w:ind w:leftChars="0"/>
              <w:rPr>
                <w:rFonts w:hint="default" w:ascii="Arial Regular" w:hAnsi="Arial Regular" w:eastAsia="微软雅黑" w:cs="Arial Regular"/>
                <w:sz w:val="22"/>
                <w:szCs w:val="22"/>
                <w:lang w:val="en-US" w:eastAsia="zh-CN"/>
              </w:rPr>
            </w:pPr>
          </w:p>
          <w:p w14:paraId="1864FBEA">
            <w:pPr>
              <w:numPr>
                <w:ilvl w:val="0"/>
                <w:numId w:val="0"/>
              </w:numPr>
              <w:ind w:leftChars="0"/>
              <w:rPr>
                <w:rFonts w:hint="default" w:ascii="Arial Bold" w:hAnsi="Arial Bold" w:eastAsia="微软雅黑" w:cs="Arial Bold"/>
                <w:b/>
                <w:bCs/>
                <w:sz w:val="22"/>
                <w:szCs w:val="22"/>
                <w:lang w:val="en-US" w:eastAsia="zh-CN"/>
              </w:rPr>
            </w:pPr>
            <w:r>
              <w:rPr>
                <w:rFonts w:hint="default" w:ascii="Arial Bold" w:hAnsi="Arial Bold" w:eastAsia="微软雅黑" w:cs="Arial Bold"/>
                <w:b/>
                <w:bCs/>
                <w:sz w:val="22"/>
                <w:szCs w:val="22"/>
                <w:lang w:val="en-US" w:eastAsia="zh-CN"/>
              </w:rPr>
              <w:t>5. Data Analysis and Researcher Reflection</w:t>
            </w:r>
            <w:r>
              <w:rPr>
                <w:rFonts w:hint="eastAsia" w:ascii="Arial Bold" w:hAnsi="Arial Bold" w:eastAsia="微软雅黑" w:cs="Arial Bold"/>
                <w:b/>
                <w:bCs/>
                <w:sz w:val="22"/>
                <w:szCs w:val="22"/>
                <w:lang w:val="en-US" w:eastAsia="zh-CN"/>
              </w:rPr>
              <w:t>:</w:t>
            </w:r>
          </w:p>
          <w:p w14:paraId="7DE19A3B">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rPr>
              <w:t>Quantitative Analysis: Descriptive statistics and pre–post comparisons will be conducted using Excel/SPSS.</w:t>
            </w:r>
          </w:p>
          <w:p w14:paraId="15D47B8B">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Qualitative Analysis: Coding and other qualitative methods will be applied; interview data, observational notes and open-ended questionnaire responses will be analysed using Interpretative Phenomenological Analysis (IPA); visual semiotic methods will be employed to re-examine the illustrations and audience feedback, focusing on the processes of symbolic transfer and recontextualisation.</w:t>
            </w:r>
          </w:p>
          <w:p w14:paraId="6D236569">
            <w:pPr>
              <w:numPr>
                <w:ilvl w:val="0"/>
                <w:numId w:val="0"/>
              </w:numPr>
              <w:ind w:leftChars="0"/>
              <w:rPr>
                <w:rFonts w:hint="default" w:ascii="Arial Regular" w:hAnsi="Arial Regular" w:eastAsia="微软雅黑" w:cs="Arial Regular"/>
                <w:sz w:val="22"/>
                <w:szCs w:val="22"/>
                <w:lang w:val="en-US" w:eastAsia="zh-CN"/>
              </w:rPr>
            </w:pPr>
          </w:p>
          <w:p w14:paraId="1798B584">
            <w:pPr>
              <w:numPr>
                <w:ilvl w:val="0"/>
                <w:numId w:val="0"/>
              </w:numPr>
              <w:ind w:leftChars="0"/>
              <w:rPr>
                <w:rFonts w:hint="default" w:ascii="Arial Bold" w:hAnsi="Arial Bold" w:eastAsia="微软雅黑" w:cs="Arial Bold"/>
                <w:b/>
                <w:bCs/>
                <w:sz w:val="22"/>
                <w:szCs w:val="22"/>
                <w:lang w:val="en-US" w:eastAsia="zh-CN"/>
              </w:rPr>
            </w:pPr>
            <w:r>
              <w:rPr>
                <w:rFonts w:hint="default" w:ascii="Arial Bold" w:hAnsi="Arial Bold" w:eastAsia="微软雅黑" w:cs="Arial Bold"/>
                <w:b/>
                <w:bCs/>
                <w:sz w:val="22"/>
                <w:szCs w:val="22"/>
                <w:lang w:val="en-US" w:eastAsia="zh-CN"/>
              </w:rPr>
              <w:t>6. Data Management and Security:</w:t>
            </w:r>
          </w:p>
          <w:p w14:paraId="01F28F09">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Participants will be managed using pseudonyms or numerical identifiers; consent forms will be stored separately from the research data.</w:t>
            </w:r>
          </w:p>
          <w:p w14:paraId="2A57DCBF">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 xml:space="preserve">Data will be securely stored on UWTSD OneDrive with restricted access </w:t>
            </w:r>
          </w:p>
          <w:p w14:paraId="500751B3">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All data will be managed in accordance with UWTSD’s data retention and disposal policy and will be securely deleted upon expiry.</w:t>
            </w:r>
          </w:p>
          <w:p w14:paraId="7E5E3FCB">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Ethical Compliance: Ethical approval will be obtained from UWTSD prior to conducting questionnaires, interviews and observations. Strict adherence will be ensured to informed consent, the right to withdraw, anonymisation and data protection, in accordance with the General Data Protection Regulation (GDPR) and the UK Data Protection Act 2018.</w:t>
            </w:r>
          </w:p>
          <w:p w14:paraId="56F0BB66">
            <w:pPr>
              <w:numPr>
                <w:ilvl w:val="0"/>
                <w:numId w:val="3"/>
              </w:numPr>
              <w:ind w:left="360" w:leftChars="0" w:firstLineChars="0"/>
              <w:rPr>
                <w:rFonts w:hint="default" w:ascii="Arial Regular" w:hAnsi="Arial Regular" w:eastAsia="微软雅黑" w:cs="Arial Regular"/>
                <w:sz w:val="22"/>
                <w:szCs w:val="22"/>
                <w:lang w:val="en-US" w:eastAsia="zh-CN"/>
              </w:rPr>
            </w:pPr>
            <w:r>
              <w:rPr>
                <w:rFonts w:hint="default" w:ascii="Arial Regular" w:hAnsi="Arial Regular" w:eastAsia="微软雅黑" w:cs="Arial Regular"/>
                <w:sz w:val="22"/>
                <w:szCs w:val="22"/>
                <w:lang w:val="en-US" w:eastAsia="zh-CN"/>
              </w:rPr>
              <w:t>Researcher Reflection: Using an autoethnographic approach to record and reflect on key creative decisions, including subject matter selection, stylisation, colour schemes, symbolic choices and AR interactions, in order to enhance transparency and criticality.</w:t>
            </w:r>
          </w:p>
          <w:p w14:paraId="4E3118AE">
            <w:pPr>
              <w:numPr>
                <w:ilvl w:val="0"/>
                <w:numId w:val="0"/>
              </w:numPr>
              <w:rPr>
                <w:rFonts w:hint="default" w:ascii="Arial Regular" w:hAnsi="Arial Regular" w:eastAsia="微软雅黑" w:cs="Arial Regular"/>
                <w:sz w:val="22"/>
                <w:szCs w:val="22"/>
                <w:lang w:val="en-US" w:eastAsia="zh-CN"/>
              </w:rPr>
            </w:pPr>
          </w:p>
          <w:p w14:paraId="058C0989">
            <w:pPr>
              <w:numPr>
                <w:ilvl w:val="0"/>
                <w:numId w:val="0"/>
              </w:numPr>
              <w:ind w:leftChars="0"/>
              <w:rPr>
                <w:rFonts w:hint="default" w:ascii="Arial Bold" w:hAnsi="Arial Bold" w:eastAsia="微软雅黑" w:cs="Arial Bold"/>
                <w:b/>
                <w:bCs/>
                <w:sz w:val="22"/>
                <w:szCs w:val="22"/>
              </w:rPr>
            </w:pPr>
            <w:r>
              <w:rPr>
                <w:rFonts w:hint="default" w:ascii="Arial Bold" w:hAnsi="Arial Bold" w:eastAsia="微软雅黑" w:cs="Arial Bold"/>
                <w:b/>
                <w:bCs/>
                <w:sz w:val="22"/>
                <w:szCs w:val="22"/>
                <w:lang w:val="en-US" w:eastAsia="zh-CN"/>
              </w:rPr>
              <w:t xml:space="preserve">7. </w:t>
            </w:r>
            <w:r>
              <w:rPr>
                <w:rFonts w:hint="default" w:ascii="Arial Bold" w:hAnsi="Arial Bold" w:eastAsia="微软雅黑" w:cs="Arial Bold"/>
                <w:b/>
                <w:bCs/>
                <w:sz w:val="22"/>
                <w:szCs w:val="22"/>
              </w:rPr>
              <w:t>Contingency and Alternative Plans:</w:t>
            </w:r>
          </w:p>
          <w:p w14:paraId="7E23F08A">
            <w:pPr>
              <w:rPr>
                <w:rFonts w:hint="default" w:ascii="Arial Regular" w:hAnsi="Arial Regular" w:eastAsia="微软雅黑" w:cs="Arial Regular"/>
                <w:sz w:val="22"/>
                <w:szCs w:val="22"/>
              </w:rPr>
            </w:pPr>
            <w:r>
              <w:rPr>
                <w:rFonts w:hint="default" w:ascii="Arial Regular" w:hAnsi="Arial Regular" w:eastAsia="微软雅黑" w:cs="Arial Regular"/>
                <w:sz w:val="22"/>
                <w:szCs w:val="22"/>
              </w:rPr>
              <w:t>If face-to-face access becomes restricted, online interviews and remote AR testing (via QR codes) will be adopted to maintain the sample size and research progress; recruitment will also be expanded through university networks and social media platforms.</w:t>
            </w:r>
          </w:p>
          <w:p w14:paraId="4135911A">
            <w:pPr>
              <w:rPr>
                <w:rFonts w:hint="default" w:ascii="Arial Regular" w:hAnsi="Arial Regular" w:eastAsia="微软雅黑" w:cs="Arial Regular"/>
                <w:sz w:val="22"/>
                <w:szCs w:val="22"/>
              </w:rPr>
            </w:pPr>
          </w:p>
          <w:p w14:paraId="5F0274AD">
            <w:pPr>
              <w:rPr>
                <w:rFonts w:hint="default" w:ascii="Arial Regular" w:hAnsi="Arial Regular" w:eastAsia="微软雅黑" w:cs="Arial Regular"/>
                <w:sz w:val="22"/>
                <w:szCs w:val="22"/>
              </w:rPr>
            </w:pPr>
          </w:p>
          <w:p w14:paraId="2D91C769">
            <w:pPr>
              <w:rPr>
                <w:rFonts w:hint="default" w:ascii="Arial Regular" w:hAnsi="Arial Regular" w:eastAsia="微软雅黑" w:cs="Arial Regular"/>
                <w:sz w:val="22"/>
                <w:szCs w:val="22"/>
              </w:rPr>
            </w:pPr>
          </w:p>
          <w:p w14:paraId="504F53FB">
            <w:pPr>
              <w:rPr>
                <w:rFonts w:hint="default" w:ascii="Arial Regular" w:hAnsi="Arial Regular" w:cs="Arial Regular"/>
                <w:sz w:val="22"/>
                <w:szCs w:val="22"/>
              </w:rPr>
            </w:pPr>
          </w:p>
        </w:tc>
      </w:tr>
    </w:tbl>
    <w:p w14:paraId="1C6C6C9E">
      <w:pPr>
        <w:rPr>
          <w:rFonts w:cs="Arial"/>
          <w:sz w:val="22"/>
          <w:szCs w:val="22"/>
        </w:rPr>
      </w:pPr>
    </w:p>
    <w:p w14:paraId="068FBBD3">
      <w:pPr>
        <w:rPr>
          <w:rFonts w:cs="Arial"/>
          <w:sz w:val="22"/>
          <w:szCs w:val="22"/>
        </w:rPr>
      </w:pPr>
    </w:p>
    <w:p w14:paraId="532539A2">
      <w:pPr>
        <w:rPr>
          <w:rFonts w:cs="Arial"/>
          <w:sz w:val="22"/>
          <w:szCs w:val="22"/>
        </w:rPr>
      </w:pPr>
    </w:p>
    <w:p w14:paraId="5620ED97">
      <w:pPr>
        <w:rPr>
          <w:rFonts w:cs="Arial"/>
          <w:b/>
          <w:sz w:val="22"/>
          <w:szCs w:val="22"/>
        </w:rPr>
      </w:pPr>
      <w:r>
        <w:rPr>
          <w:rFonts w:cs="Arial"/>
          <w:b/>
          <w:sz w:val="22"/>
          <w:szCs w:val="22"/>
        </w:rPr>
        <w:t>Intellectual Property IP</w:t>
      </w:r>
    </w:p>
    <w:p w14:paraId="4847AFB8">
      <w:pPr>
        <w:rPr>
          <w:rFonts w:cs="Arial"/>
          <w:b/>
          <w:sz w:val="22"/>
          <w:szCs w:val="22"/>
        </w:rPr>
      </w:pPr>
      <w:r>
        <w:rPr>
          <w:sz w:val="22"/>
        </w:rPr>
        <w:t>It is anticipated that Intellectual Property (IP) will be produced as a result of this research.</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6"/>
        <w:gridCol w:w="1418"/>
        <w:gridCol w:w="1417"/>
      </w:tblGrid>
      <w:tr w14:paraId="34BEA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9781" w:type="dxa"/>
            <w:gridSpan w:val="3"/>
            <w:tcBorders>
              <w:top w:val="nil"/>
              <w:left w:val="nil"/>
              <w:bottom w:val="nil"/>
              <w:right w:val="nil"/>
            </w:tcBorders>
            <w:shd w:val="clear" w:color="auto" w:fill="auto"/>
          </w:tcPr>
          <w:p w14:paraId="012CF4F9">
            <w:pPr>
              <w:jc w:val="right"/>
              <w:rPr>
                <w:rFonts w:cs="Arial"/>
                <w:b/>
              </w:rPr>
            </w:pPr>
            <w:r>
              <w:rPr>
                <w:rFonts w:cs="Arial"/>
                <w:b/>
              </w:rPr>
              <w:t xml:space="preserve">Tick </w:t>
            </w:r>
            <w:r>
              <w:rPr>
                <w:rFonts w:ascii="Agency FB" w:hAnsi="Agency FB" w:cs="Arial"/>
                <w:b/>
              </w:rPr>
              <w:t>√</w:t>
            </w:r>
          </w:p>
        </w:tc>
      </w:tr>
      <w:tr w14:paraId="65D44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102959EA">
            <w:pPr>
              <w:rPr>
                <w:rFonts w:cs="Arial"/>
                <w:sz w:val="22"/>
                <w:szCs w:val="22"/>
              </w:rPr>
            </w:pPr>
          </w:p>
        </w:tc>
        <w:tc>
          <w:tcPr>
            <w:tcW w:w="1418" w:type="dxa"/>
            <w:tcBorders>
              <w:top w:val="single" w:color="auto" w:sz="4" w:space="0"/>
              <w:left w:val="single" w:color="auto" w:sz="4" w:space="0"/>
            </w:tcBorders>
            <w:shd w:val="clear" w:color="auto" w:fill="F1F1F1" w:themeFill="background1" w:themeFillShade="F2"/>
          </w:tcPr>
          <w:p w14:paraId="1D6B3087">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343163F4">
            <w:pPr>
              <w:rPr>
                <w:rFonts w:cs="Arial"/>
                <w:sz w:val="22"/>
                <w:szCs w:val="22"/>
              </w:rPr>
            </w:pPr>
            <w:r>
              <w:rPr>
                <w:rFonts w:cs="Arial"/>
                <w:sz w:val="22"/>
                <w:szCs w:val="22"/>
              </w:rPr>
              <w:t>NO</w:t>
            </w:r>
          </w:p>
        </w:tc>
      </w:tr>
      <w:tr w14:paraId="2BF94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6946" w:type="dxa"/>
            <w:tcBorders>
              <w:top w:val="single" w:color="auto" w:sz="4" w:space="0"/>
            </w:tcBorders>
            <w:shd w:val="clear" w:color="auto" w:fill="F1F1F1" w:themeFill="background1" w:themeFillShade="F2"/>
          </w:tcPr>
          <w:p w14:paraId="1C8BF160">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14:checkbox>
              <w14:checked w14:val="0"/>
              <w14:checkedState w14:val="2612" w14:font="MS Gothic"/>
              <w14:uncheckedState w14:val="2610" w14:font="MS Gothic"/>
            </w14:checkbox>
          </w:sdtPr>
          <w:sdtEndPr>
            <w:rPr>
              <w:rFonts w:cs="Arial"/>
              <w:sz w:val="22"/>
              <w:szCs w:val="22"/>
            </w:rPr>
          </w:sdtEndPr>
          <w:sdtContent>
            <w:tc>
              <w:tcPr>
                <w:tcW w:w="1418" w:type="dxa"/>
                <w:tcBorders>
                  <w:top w:val="single" w:color="auto" w:sz="4" w:space="0"/>
                </w:tcBorders>
                <w:shd w:val="clear" w:color="auto" w:fill="auto"/>
              </w:tcPr>
              <w:p w14:paraId="3FB7B2F0">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EndPr>
            <w:rPr>
              <w:rFonts w:cs="Arial"/>
              <w:sz w:val="22"/>
              <w:szCs w:val="22"/>
            </w:rPr>
          </w:sdtEndPr>
          <w:sdtContent>
            <w:tc>
              <w:tcPr>
                <w:tcW w:w="1417" w:type="dxa"/>
                <w:tcBorders>
                  <w:top w:val="single" w:color="auto" w:sz="4" w:space="0"/>
                </w:tcBorders>
                <w:shd w:val="clear" w:color="auto" w:fill="auto"/>
              </w:tcPr>
              <w:p w14:paraId="05586A79">
                <w:pPr>
                  <w:jc w:val="center"/>
                  <w:rPr>
                    <w:rFonts w:cs="Arial"/>
                    <w:sz w:val="22"/>
                    <w:szCs w:val="22"/>
                  </w:rPr>
                </w:pPr>
                <w:r>
                  <w:rPr>
                    <w:rFonts w:ascii="MS Gothic" w:hAnsi="MS Gothic" w:eastAsia="MS Gothic" w:cs="Arial"/>
                    <w:sz w:val="22"/>
                    <w:szCs w:val="22"/>
                    <w:lang w:val="en-GB" w:eastAsia="en-GB" w:bidi="ar-SA"/>
                  </w:rPr>
                  <w:t>☒</w:t>
                </w:r>
              </w:p>
            </w:tc>
          </w:sdtContent>
        </w:sdt>
      </w:tr>
      <w:tr w14:paraId="08BA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trPr>
        <w:tc>
          <w:tcPr>
            <w:tcW w:w="6946" w:type="dxa"/>
            <w:shd w:val="clear" w:color="auto" w:fill="F1F1F1" w:themeFill="background1" w:themeFillShade="F2"/>
          </w:tcPr>
          <w:p w14:paraId="1590E689">
            <w:pPr>
              <w:rPr>
                <w:sz w:val="22"/>
              </w:rPr>
            </w:pPr>
            <w:r>
              <w:rPr>
                <w:sz w:val="22"/>
              </w:rPr>
              <w:t xml:space="preserve">Is the research dependent upon background IP owned by: </w:t>
            </w:r>
          </w:p>
          <w:p w14:paraId="72E8DDEC">
            <w:pPr>
              <w:rPr>
                <w:rFonts w:cs="Arial"/>
                <w:sz w:val="22"/>
                <w:szCs w:val="22"/>
              </w:rPr>
            </w:pPr>
            <w:r>
              <w:rPr>
                <w:sz w:val="22"/>
              </w:rPr>
              <w:t>If so, please provide details below</w:t>
            </w:r>
          </w:p>
        </w:tc>
        <w:tc>
          <w:tcPr>
            <w:tcW w:w="1418" w:type="dxa"/>
            <w:shd w:val="clear" w:color="auto" w:fill="auto"/>
          </w:tcPr>
          <w:p w14:paraId="6A96A3DD">
            <w:pPr>
              <w:jc w:val="center"/>
              <w:rPr>
                <w:sz w:val="22"/>
              </w:rPr>
            </w:pPr>
            <w:r>
              <w:rPr>
                <w:sz w:val="22"/>
              </w:rPr>
              <w:t>UWTSD</w:t>
            </w:r>
          </w:p>
          <w:sdt>
            <w:sdtPr>
              <w:rPr>
                <w:rFonts w:cs="Arial"/>
                <w:sz w:val="22"/>
                <w:szCs w:val="22"/>
              </w:rPr>
              <w:id w:val="123590131"/>
              <w14:checkbox>
                <w14:checked w14:val="1"/>
                <w14:checkedState w14:val="2612" w14:font="MS Gothic"/>
                <w14:uncheckedState w14:val="2610" w14:font="MS Gothic"/>
              </w14:checkbox>
            </w:sdtPr>
            <w:sdtEndPr>
              <w:rPr>
                <w:rFonts w:cs="Arial"/>
                <w:sz w:val="22"/>
                <w:szCs w:val="22"/>
              </w:rPr>
            </w:sdtEndPr>
            <w:sdtContent>
              <w:p w14:paraId="30193C2A">
                <w:pPr>
                  <w:jc w:val="center"/>
                  <w:rPr>
                    <w:rFonts w:cs="Arial"/>
                    <w:sz w:val="22"/>
                    <w:szCs w:val="22"/>
                  </w:rPr>
                </w:pPr>
                <w:r>
                  <w:rPr>
                    <w:rFonts w:ascii="MS Gothic" w:hAnsi="MS Gothic" w:eastAsia="MS Gothic" w:cs="Arial"/>
                    <w:sz w:val="22"/>
                    <w:szCs w:val="22"/>
                    <w:lang w:val="en-GB" w:eastAsia="en-GB" w:bidi="ar-SA"/>
                  </w:rPr>
                  <w:t>☒</w:t>
                </w:r>
              </w:p>
            </w:sdtContent>
          </w:sdt>
        </w:tc>
        <w:tc>
          <w:tcPr>
            <w:tcW w:w="1417" w:type="dxa"/>
            <w:shd w:val="clear" w:color="auto" w:fill="auto"/>
          </w:tcPr>
          <w:p w14:paraId="5325D9CB">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rPr>
                <w:rFonts w:cs="Arial"/>
                <w:sz w:val="22"/>
                <w:szCs w:val="22"/>
              </w:rPr>
            </w:sdtEndPr>
            <w:sdtContent>
              <w:p w14:paraId="6E2125F9">
                <w:pPr>
                  <w:jc w:val="center"/>
                  <w:rPr>
                    <w:rFonts w:cs="Arial"/>
                    <w:sz w:val="22"/>
                    <w:szCs w:val="22"/>
                  </w:rPr>
                </w:pPr>
                <w:r>
                  <w:rPr>
                    <w:rFonts w:ascii="MS Gothic" w:hAnsi="MS Gothic" w:eastAsia="MS Gothic" w:cs="Arial"/>
                    <w:sz w:val="22"/>
                    <w:szCs w:val="22"/>
                  </w:rPr>
                  <w:t>☐</w:t>
                </w:r>
              </w:p>
            </w:sdtContent>
          </w:sdt>
        </w:tc>
      </w:tr>
      <w:tr w14:paraId="3EE8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2" w:hRule="atLeast"/>
        </w:trPr>
        <w:tc>
          <w:tcPr>
            <w:tcW w:w="9781" w:type="dxa"/>
            <w:gridSpan w:val="3"/>
            <w:shd w:val="clear" w:color="auto" w:fill="auto"/>
          </w:tcPr>
          <w:p w14:paraId="463373A7">
            <w:pPr>
              <w:rPr>
                <w:sz w:val="18"/>
                <w:szCs w:val="18"/>
              </w:rPr>
            </w:pPr>
            <w:r>
              <w:rPr>
                <w:i/>
                <w:sz w:val="18"/>
                <w:szCs w:val="18"/>
              </w:rPr>
              <w:t>Text box will expand</w:t>
            </w:r>
          </w:p>
        </w:tc>
      </w:tr>
      <w:tr w14:paraId="7E997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9781" w:type="dxa"/>
            <w:gridSpan w:val="3"/>
            <w:tcBorders>
              <w:top w:val="nil"/>
              <w:left w:val="nil"/>
              <w:bottom w:val="nil"/>
              <w:right w:val="nil"/>
            </w:tcBorders>
            <w:shd w:val="clear" w:color="auto" w:fill="auto"/>
          </w:tcPr>
          <w:p w14:paraId="7C2A5205">
            <w:pPr>
              <w:jc w:val="right"/>
              <w:rPr>
                <w:rFonts w:cs="Arial"/>
                <w:b/>
              </w:rPr>
            </w:pPr>
            <w:r>
              <w:rPr>
                <w:rFonts w:cs="Arial"/>
                <w:b/>
              </w:rPr>
              <w:t xml:space="preserve">Tick </w:t>
            </w:r>
            <w:r>
              <w:rPr>
                <w:rFonts w:ascii="Agency FB" w:hAnsi="Agency FB" w:cs="Arial"/>
                <w:b/>
              </w:rPr>
              <w:t>√</w:t>
            </w:r>
          </w:p>
        </w:tc>
      </w:tr>
      <w:tr w14:paraId="4A62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6184C841">
            <w:pPr>
              <w:rPr>
                <w:rFonts w:cs="Arial"/>
                <w:sz w:val="22"/>
                <w:szCs w:val="22"/>
              </w:rPr>
            </w:pPr>
            <w:r>
              <w:rPr>
                <w:rFonts w:cs="Arial"/>
                <w:sz w:val="22"/>
                <w:szCs w:val="22"/>
              </w:rPr>
              <w:t>I understand that:</w:t>
            </w:r>
          </w:p>
        </w:tc>
        <w:tc>
          <w:tcPr>
            <w:tcW w:w="1418" w:type="dxa"/>
            <w:tcBorders>
              <w:top w:val="single" w:color="auto" w:sz="4" w:space="0"/>
              <w:left w:val="single" w:color="auto" w:sz="4" w:space="0"/>
            </w:tcBorders>
            <w:shd w:val="clear" w:color="auto" w:fill="F1F1F1" w:themeFill="background1" w:themeFillShade="F2"/>
          </w:tcPr>
          <w:p w14:paraId="3E034D3D">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1FB6FF05">
            <w:pPr>
              <w:rPr>
                <w:rFonts w:cs="Arial"/>
                <w:sz w:val="22"/>
                <w:szCs w:val="22"/>
              </w:rPr>
            </w:pPr>
            <w:r>
              <w:rPr>
                <w:rFonts w:cs="Arial"/>
                <w:sz w:val="22"/>
                <w:szCs w:val="22"/>
              </w:rPr>
              <w:t>NO</w:t>
            </w:r>
          </w:p>
        </w:tc>
      </w:tr>
      <w:tr w14:paraId="320D7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9" w:hRule="atLeast"/>
        </w:trPr>
        <w:tc>
          <w:tcPr>
            <w:tcW w:w="6946" w:type="dxa"/>
            <w:shd w:val="clear" w:color="auto" w:fill="F1F1F1" w:themeFill="background1" w:themeFillShade="F2"/>
          </w:tcPr>
          <w:p w14:paraId="3145BE2D">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5B9D944B">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EndPr>
            <w:rPr>
              <w:rFonts w:cs="Arial"/>
              <w:sz w:val="22"/>
              <w:szCs w:val="22"/>
            </w:rPr>
          </w:sdtEndPr>
          <w:sdtContent>
            <w:tc>
              <w:tcPr>
                <w:tcW w:w="1418" w:type="dxa"/>
                <w:shd w:val="clear" w:color="auto" w:fill="auto"/>
              </w:tcPr>
              <w:p w14:paraId="474EFA2E">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159624093"/>
            <w14:checkbox>
              <w14:checked w14:val="0"/>
              <w14:checkedState w14:val="2612" w14:font="MS Gothic"/>
              <w14:uncheckedState w14:val="2610" w14:font="MS Gothic"/>
            </w14:checkbox>
          </w:sdtPr>
          <w:sdtEndPr>
            <w:rPr>
              <w:rFonts w:cs="Arial"/>
              <w:sz w:val="22"/>
              <w:szCs w:val="22"/>
            </w:rPr>
          </w:sdtEndPr>
          <w:sdtContent>
            <w:tc>
              <w:tcPr>
                <w:tcW w:w="1417" w:type="dxa"/>
                <w:shd w:val="clear" w:color="auto" w:fill="auto"/>
              </w:tcPr>
              <w:p w14:paraId="3BE096FF">
                <w:pPr>
                  <w:jc w:val="center"/>
                  <w:rPr>
                    <w:rFonts w:cs="Arial"/>
                    <w:sz w:val="22"/>
                    <w:szCs w:val="22"/>
                  </w:rPr>
                </w:pPr>
                <w:r>
                  <w:rPr>
                    <w:rFonts w:ascii="MS Gothic" w:hAnsi="MS Gothic" w:eastAsia="MS Gothic" w:cs="Arial"/>
                    <w:sz w:val="22"/>
                    <w:szCs w:val="22"/>
                  </w:rPr>
                  <w:t>☐</w:t>
                </w:r>
              </w:p>
            </w:tc>
          </w:sdtContent>
        </w:sdt>
      </w:tr>
      <w:tr w14:paraId="486D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6" w:hRule="atLeast"/>
        </w:trPr>
        <w:tc>
          <w:tcPr>
            <w:tcW w:w="6946" w:type="dxa"/>
            <w:shd w:val="clear" w:color="auto" w:fill="F1F1F1" w:themeFill="background1" w:themeFillShade="F2"/>
          </w:tcPr>
          <w:p w14:paraId="49B8B72D">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r>
              <w:fldChar w:fldCharType="begin"/>
            </w:r>
            <w:r>
              <w:instrText xml:space="preserve"> HYPERLINK "https://www.uwtsd.ac.uk/iiced/protecting-innovation-and-creativity---intellectual-property/" </w:instrText>
            </w:r>
            <w:r>
              <w:fldChar w:fldCharType="separate"/>
            </w:r>
            <w:r>
              <w:rPr>
                <w:rStyle w:val="18"/>
              </w:rPr>
              <w:t>https://www.uwtsd.ac.uk/iiced/protecting-innovation-and-creativity---intellectual-property/</w:t>
            </w:r>
            <w:r>
              <w:rPr>
                <w:rStyle w:val="18"/>
              </w:rPr>
              <w:fldChar w:fldCharType="end"/>
            </w:r>
          </w:p>
          <w:p w14:paraId="4E5827CB">
            <w:pPr>
              <w:rPr>
                <w:rFonts w:ascii="Calibri" w:hAnsi="Calibri"/>
              </w:rPr>
            </w:pPr>
          </w:p>
        </w:tc>
        <w:tc>
          <w:tcPr>
            <w:tcW w:w="1418" w:type="dxa"/>
            <w:shd w:val="clear" w:color="auto" w:fill="auto"/>
          </w:tcPr>
          <w:p w14:paraId="26FB668C">
            <w:pPr>
              <w:jc w:val="center"/>
              <w:rPr>
                <w:rFonts w:cs="Arial"/>
                <w:sz w:val="22"/>
                <w:szCs w:val="22"/>
              </w:rPr>
            </w:pPr>
            <w:sdt>
              <w:sdtPr>
                <w:rPr>
                  <w:rFonts w:cs="Arial"/>
                  <w:sz w:val="22"/>
                  <w:szCs w:val="22"/>
                </w:rPr>
                <w:id w:val="1199513403"/>
                <w14:checkbox>
                  <w14:checked w14:val="1"/>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lang w:val="en-GB" w:eastAsia="en-GB" w:bidi="ar-SA"/>
                  </w:rPr>
                  <w:t>☒</w:t>
                </w:r>
              </w:sdtContent>
            </w:sdt>
          </w:p>
        </w:tc>
        <w:tc>
          <w:tcPr>
            <w:tcW w:w="1417" w:type="dxa"/>
            <w:shd w:val="clear" w:color="auto" w:fill="auto"/>
          </w:tcPr>
          <w:p w14:paraId="1599CD7F">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r>
    </w:tbl>
    <w:p w14:paraId="22BBA35C">
      <w:pPr>
        <w:rPr>
          <w:rFonts w:cs="Arial"/>
          <w:sz w:val="22"/>
          <w:szCs w:val="22"/>
        </w:rPr>
      </w:pPr>
    </w:p>
    <w:tbl>
      <w:tblPr>
        <w:tblStyle w:val="14"/>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47"/>
      </w:tblGrid>
      <w:tr w14:paraId="535FD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9747" w:type="dxa"/>
          </w:tcPr>
          <w:p w14:paraId="1376D7B7">
            <w:pPr>
              <w:rPr>
                <w:rFonts w:cs="Arial"/>
                <w:sz w:val="22"/>
                <w:szCs w:val="22"/>
              </w:rPr>
            </w:pPr>
          </w:p>
          <w:p w14:paraId="513E5268">
            <w:pPr>
              <w:rPr>
                <w:rFonts w:cs="Arial"/>
                <w:b/>
                <w:sz w:val="22"/>
                <w:szCs w:val="22"/>
              </w:rPr>
            </w:pPr>
            <w:r>
              <w:rPr>
                <w:rFonts w:cs="Arial"/>
                <w:b/>
                <w:sz w:val="22"/>
                <w:szCs w:val="22"/>
              </w:rPr>
              <w:t>Student Signature</w:t>
            </w:r>
          </w:p>
          <w:p w14:paraId="5EEC5232">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8"/>
              <w:gridCol w:w="6050"/>
              <w:gridCol w:w="1413"/>
            </w:tblGrid>
            <w:tr w14:paraId="35E70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94" w:type="dxa"/>
                  <w:shd w:val="clear" w:color="auto" w:fill="F1F1F1" w:themeFill="background1" w:themeFillShade="F2"/>
                </w:tcPr>
                <w:p w14:paraId="2B1A3004">
                  <w:pPr>
                    <w:rPr>
                      <w:rFonts w:cs="Arial"/>
                      <w:sz w:val="22"/>
                      <w:szCs w:val="22"/>
                    </w:rPr>
                  </w:pPr>
                </w:p>
                <w:p w14:paraId="26B0D9DA">
                  <w:pPr>
                    <w:rPr>
                      <w:rFonts w:cs="Arial"/>
                      <w:sz w:val="22"/>
                      <w:szCs w:val="22"/>
                    </w:rPr>
                  </w:pPr>
                  <w:r>
                    <w:rPr>
                      <w:rFonts w:cs="Arial"/>
                      <w:sz w:val="22"/>
                      <w:szCs w:val="22"/>
                    </w:rPr>
                    <w:t>Signature or Print Name:</w:t>
                  </w:r>
                </w:p>
                <w:p w14:paraId="69A25636">
                  <w:pPr>
                    <w:rPr>
                      <w:rFonts w:cs="Arial"/>
                      <w:sz w:val="22"/>
                      <w:szCs w:val="22"/>
                    </w:rPr>
                  </w:pPr>
                </w:p>
              </w:tc>
              <w:tc>
                <w:tcPr>
                  <w:tcW w:w="6265" w:type="dxa"/>
                </w:tcPr>
                <w:p w14:paraId="13D2438A">
                  <w:pPr>
                    <w:rPr>
                      <w:rFonts w:hint="default" w:eastAsia="SimSun" w:cs="Arial"/>
                      <w:sz w:val="22"/>
                      <w:szCs w:val="22"/>
                      <w:lang w:val="en-US" w:eastAsia="zh-CN"/>
                    </w:rPr>
                  </w:pPr>
                  <w:r>
                    <w:rPr>
                      <w:rFonts w:hint="eastAsia" w:eastAsia="SimSun" w:cs="Arial"/>
                      <w:sz w:val="22"/>
                      <w:szCs w:val="22"/>
                      <w:lang w:val="en-US" w:eastAsia="zh-CN"/>
                    </w:rPr>
                    <w:t>Yang Li</w:t>
                  </w:r>
                </w:p>
              </w:tc>
              <w:tc>
                <w:tcPr>
                  <w:tcW w:w="1417" w:type="dxa"/>
                </w:tcPr>
                <w:p w14:paraId="0475CA85">
                  <w:pPr>
                    <w:rPr>
                      <w:rFonts w:hint="default" w:eastAsia="SimSun" w:cs="Arial"/>
                      <w:sz w:val="22"/>
                      <w:szCs w:val="22"/>
                      <w:lang w:val="en-US" w:eastAsia="zh-CN"/>
                    </w:rPr>
                  </w:pPr>
                  <w:r>
                    <w:rPr>
                      <w:rFonts w:cs="Arial"/>
                      <w:sz w:val="22"/>
                      <w:szCs w:val="22"/>
                    </w:rPr>
                    <w:t>Date:</w:t>
                  </w:r>
                  <w:r>
                    <w:rPr>
                      <w:rFonts w:hint="eastAsia" w:eastAsia="SimSun" w:cs="Arial"/>
                      <w:sz w:val="22"/>
                      <w:szCs w:val="22"/>
                      <w:lang w:val="en-US" w:eastAsia="zh-CN"/>
                    </w:rPr>
                    <w:t xml:space="preserve"> 31/08/2025</w:t>
                  </w:r>
                </w:p>
              </w:tc>
            </w:tr>
          </w:tbl>
          <w:p w14:paraId="7BAE8739">
            <w:pPr>
              <w:rPr>
                <w:rFonts w:cs="Arial"/>
                <w:sz w:val="22"/>
                <w:szCs w:val="22"/>
              </w:rPr>
            </w:pPr>
          </w:p>
          <w:p w14:paraId="7186971B">
            <w:pPr>
              <w:rPr>
                <w:rFonts w:cs="Arial"/>
                <w:sz w:val="22"/>
                <w:szCs w:val="22"/>
              </w:rPr>
            </w:pPr>
          </w:p>
        </w:tc>
      </w:tr>
    </w:tbl>
    <w:p w14:paraId="1F6DC404">
      <w:pPr>
        <w:rPr>
          <w:rFonts w:cs="Arial"/>
          <w:sz w:val="22"/>
          <w:szCs w:val="22"/>
        </w:rPr>
      </w:pPr>
    </w:p>
    <w:p w14:paraId="51057E28">
      <w:pPr>
        <w:rPr>
          <w:rFonts w:cs="Arial"/>
          <w:sz w:val="22"/>
          <w:szCs w:val="22"/>
        </w:rPr>
      </w:pPr>
      <w:r>
        <w:rPr>
          <w:rFonts w:cs="Arial"/>
          <w:sz w:val="22"/>
          <w:szCs w:val="22"/>
        </w:rPr>
        <w:br w:type="page"/>
      </w:r>
    </w:p>
    <w:p w14:paraId="5AC5A0EB">
      <w:pPr>
        <w:rPr>
          <w:rFonts w:cs="Arial"/>
          <w:sz w:val="22"/>
          <w:szCs w:val="22"/>
        </w:rPr>
      </w:pPr>
    </w:p>
    <w:p w14:paraId="6ABB2FC9">
      <w:pPr>
        <w:rPr>
          <w:rFonts w:cs="Arial"/>
          <w:sz w:val="22"/>
          <w:szCs w:val="22"/>
        </w:rPr>
      </w:pPr>
    </w:p>
    <w:p w14:paraId="2A2518BF">
      <w:pPr>
        <w:ind w:left="-142"/>
        <w:rPr>
          <w:rFonts w:cs="Arial"/>
          <w:sz w:val="22"/>
          <w:szCs w:val="22"/>
        </w:rPr>
      </w:pPr>
      <w:r>
        <w:rPr>
          <w:rFonts w:cs="Arial"/>
          <w:b/>
          <w:bCs/>
          <w:sz w:val="22"/>
          <w:szCs w:val="22"/>
        </w:rPr>
        <w:t>Supervisory Team</w:t>
      </w:r>
    </w:p>
    <w:p w14:paraId="6C333259">
      <w:pPr>
        <w:rPr>
          <w:rFonts w:cs="Arial"/>
          <w:sz w:val="22"/>
          <w:szCs w:val="22"/>
        </w:rPr>
      </w:pPr>
    </w:p>
    <w:p w14:paraId="031F6DCE">
      <w:pPr>
        <w:ind w:left="180"/>
        <w:rPr>
          <w:rFonts w:cs="Arial"/>
          <w:b/>
          <w:sz w:val="22"/>
          <w:szCs w:val="22"/>
        </w:rPr>
      </w:pPr>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7"/>
      </w:tblGrid>
      <w:tr w14:paraId="6DEC1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47" w:type="dxa"/>
            <w:shd w:val="clear" w:color="auto" w:fill="F1F1F1" w:themeFill="background1" w:themeFillShade="F2"/>
          </w:tcPr>
          <w:p w14:paraId="67C439D8">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14:paraId="2A582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47" w:type="dxa"/>
          </w:tcPr>
          <w:p w14:paraId="14E0F47B">
            <w:pPr>
              <w:rPr>
                <w:rFonts w:cs="Arial"/>
                <w:b/>
                <w:sz w:val="22"/>
                <w:szCs w:val="22"/>
              </w:rPr>
            </w:pPr>
          </w:p>
          <w:p w14:paraId="150FD3CD">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1693492707"/>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MS Gothic"/>
                    <w:b/>
                    <w:sz w:val="22"/>
                    <w:szCs w:val="22"/>
                  </w:rPr>
                  <w:t>☐</w:t>
                </w:r>
              </w:sdtContent>
            </w:sdt>
          </w:p>
          <w:p w14:paraId="1B3D0D08">
            <w:pPr>
              <w:rPr>
                <w:rFonts w:cs="Arial"/>
                <w:b/>
                <w:sz w:val="22"/>
                <w:szCs w:val="22"/>
              </w:rPr>
            </w:pPr>
          </w:p>
          <w:p w14:paraId="1029B02B">
            <w:pPr>
              <w:rPr>
                <w:rFonts w:cs="Arial"/>
                <w:b/>
                <w:sz w:val="22"/>
                <w:szCs w:val="22"/>
              </w:rPr>
            </w:pPr>
          </w:p>
        </w:tc>
      </w:tr>
    </w:tbl>
    <w:p w14:paraId="12E8B255">
      <w:pPr>
        <w:rPr>
          <w:rFonts w:cs="Arial"/>
          <w:sz w:val="22"/>
          <w:szCs w:val="22"/>
        </w:rPr>
      </w:pPr>
    </w:p>
    <w:p w14:paraId="040E15F0">
      <w:pPr>
        <w:rPr>
          <w:rFonts w:cs="Arial"/>
          <w:b/>
          <w:sz w:val="22"/>
          <w:szCs w:val="22"/>
        </w:rPr>
      </w:pPr>
      <w:r>
        <w:rPr>
          <w:rFonts w:cs="Arial"/>
          <w:b/>
          <w:sz w:val="22"/>
          <w:szCs w:val="22"/>
        </w:rPr>
        <w:t>Authorisation</w:t>
      </w:r>
    </w:p>
    <w:p w14:paraId="2B6C4E5D">
      <w:pPr>
        <w:rPr>
          <w:rFonts w:cs="Arial"/>
          <w:sz w:val="22"/>
          <w:szCs w:val="22"/>
        </w:rPr>
      </w:pPr>
    </w:p>
    <w:tbl>
      <w:tblPr>
        <w:tblStyle w:val="14"/>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387"/>
        <w:gridCol w:w="1842"/>
      </w:tblGrid>
      <w:tr w14:paraId="79010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52" w:type="dxa"/>
            <w:shd w:val="clear" w:color="auto" w:fill="F1F1F1" w:themeFill="background1" w:themeFillShade="F2"/>
          </w:tcPr>
          <w:p w14:paraId="750705C5">
            <w:pPr>
              <w:rPr>
                <w:rFonts w:cs="Arial"/>
                <w:sz w:val="22"/>
                <w:szCs w:val="22"/>
              </w:rPr>
            </w:pPr>
            <w:r>
              <w:rPr>
                <w:rFonts w:cs="Arial"/>
                <w:sz w:val="22"/>
                <w:szCs w:val="22"/>
              </w:rPr>
              <w:t>Director of Studies</w:t>
            </w:r>
          </w:p>
        </w:tc>
        <w:tc>
          <w:tcPr>
            <w:tcW w:w="5387" w:type="dxa"/>
          </w:tcPr>
          <w:p w14:paraId="29755B6A">
            <w:pPr>
              <w:rPr>
                <w:rFonts w:cs="Arial"/>
                <w:sz w:val="22"/>
                <w:szCs w:val="22"/>
              </w:rPr>
            </w:pPr>
            <w:r>
              <w:rPr>
                <w:rFonts w:cs="Arial"/>
                <w:sz w:val="22"/>
                <w:szCs w:val="22"/>
              </w:rPr>
              <w:t>Signature or Print Name:</w:t>
            </w:r>
          </w:p>
          <w:p w14:paraId="1640CD4C">
            <w:pPr>
              <w:rPr>
                <w:rFonts w:cs="Arial"/>
                <w:sz w:val="22"/>
                <w:szCs w:val="22"/>
              </w:rPr>
            </w:pPr>
          </w:p>
          <w:p w14:paraId="4F10A3A4">
            <w:pPr>
              <w:rPr>
                <w:rFonts w:cs="Arial"/>
                <w:sz w:val="22"/>
                <w:szCs w:val="22"/>
              </w:rPr>
            </w:pPr>
          </w:p>
          <w:p w14:paraId="4C62ABE9">
            <w:pPr>
              <w:rPr>
                <w:rFonts w:cs="Arial"/>
                <w:sz w:val="22"/>
                <w:szCs w:val="22"/>
              </w:rPr>
            </w:pPr>
          </w:p>
        </w:tc>
        <w:tc>
          <w:tcPr>
            <w:tcW w:w="1842" w:type="dxa"/>
          </w:tcPr>
          <w:p w14:paraId="0069E19D">
            <w:pPr>
              <w:rPr>
                <w:rFonts w:cs="Arial"/>
                <w:sz w:val="22"/>
                <w:szCs w:val="22"/>
              </w:rPr>
            </w:pPr>
            <w:r>
              <w:rPr>
                <w:rFonts w:cs="Arial"/>
                <w:sz w:val="22"/>
                <w:szCs w:val="22"/>
              </w:rPr>
              <w:t>Date:</w:t>
            </w:r>
          </w:p>
        </w:tc>
      </w:tr>
      <w:tr w14:paraId="0F512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52" w:type="dxa"/>
            <w:shd w:val="clear" w:color="auto" w:fill="F1F1F1" w:themeFill="background1" w:themeFillShade="F2"/>
          </w:tcPr>
          <w:p w14:paraId="368E5DF8">
            <w:pPr>
              <w:rPr>
                <w:rFonts w:cs="Arial"/>
                <w:sz w:val="22"/>
                <w:szCs w:val="22"/>
              </w:rPr>
            </w:pPr>
            <w:r>
              <w:rPr>
                <w:rFonts w:cs="Arial"/>
                <w:sz w:val="22"/>
                <w:szCs w:val="22"/>
              </w:rPr>
              <w:t>Institute Manager of Research Degrees</w:t>
            </w:r>
          </w:p>
          <w:p w14:paraId="0EB7C658">
            <w:pPr>
              <w:rPr>
                <w:rFonts w:cs="Arial"/>
                <w:sz w:val="22"/>
                <w:szCs w:val="22"/>
              </w:rPr>
            </w:pPr>
          </w:p>
        </w:tc>
        <w:tc>
          <w:tcPr>
            <w:tcW w:w="5387" w:type="dxa"/>
          </w:tcPr>
          <w:p w14:paraId="3B40C9E1">
            <w:pPr>
              <w:rPr>
                <w:rFonts w:cs="Arial"/>
                <w:sz w:val="22"/>
                <w:szCs w:val="22"/>
              </w:rPr>
            </w:pPr>
            <w:r>
              <w:rPr>
                <w:rFonts w:cs="Arial"/>
                <w:sz w:val="22"/>
                <w:szCs w:val="22"/>
              </w:rPr>
              <w:t>Signature or Print Name:</w:t>
            </w:r>
          </w:p>
          <w:p w14:paraId="3F8D8126">
            <w:pPr>
              <w:rPr>
                <w:rFonts w:cs="Arial"/>
                <w:sz w:val="22"/>
                <w:szCs w:val="22"/>
              </w:rPr>
            </w:pPr>
          </w:p>
          <w:p w14:paraId="32A0626D">
            <w:pPr>
              <w:rPr>
                <w:rFonts w:cs="Arial"/>
                <w:sz w:val="22"/>
                <w:szCs w:val="22"/>
              </w:rPr>
            </w:pPr>
          </w:p>
          <w:p w14:paraId="4DECBE59">
            <w:pPr>
              <w:rPr>
                <w:rFonts w:cs="Arial"/>
                <w:sz w:val="22"/>
                <w:szCs w:val="22"/>
              </w:rPr>
            </w:pPr>
          </w:p>
        </w:tc>
        <w:tc>
          <w:tcPr>
            <w:tcW w:w="1842" w:type="dxa"/>
          </w:tcPr>
          <w:p w14:paraId="0E4F3281">
            <w:pPr>
              <w:rPr>
                <w:rFonts w:cs="Arial"/>
                <w:sz w:val="22"/>
                <w:szCs w:val="22"/>
              </w:rPr>
            </w:pPr>
            <w:r>
              <w:rPr>
                <w:rFonts w:cs="Arial"/>
                <w:sz w:val="22"/>
                <w:szCs w:val="22"/>
              </w:rPr>
              <w:t>Date:</w:t>
            </w:r>
          </w:p>
        </w:tc>
      </w:tr>
    </w:tbl>
    <w:p w14:paraId="385E4CC7">
      <w:pPr>
        <w:rPr>
          <w:rFonts w:cs="Arial"/>
          <w:sz w:val="22"/>
          <w:szCs w:val="22"/>
        </w:rPr>
      </w:pPr>
    </w:p>
    <w:sectPr>
      <w:headerReference r:id="rId3" w:type="default"/>
      <w:footerReference r:id="rId4" w:type="default"/>
      <w:pgSz w:w="11906" w:h="16838"/>
      <w:pgMar w:top="1440"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703060505090304"/>
    <w:charset w:val="86"/>
    <w:family w:val="auto"/>
    <w:pitch w:val="default"/>
    <w:sig w:usb0="E0000AFF" w:usb1="00007843" w:usb2="00000001" w:usb3="00000000" w:csb0="400001BF" w:csb1="DFF7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30204"/>
    <w:charset w:val="00"/>
    <w:family w:val="swiss"/>
    <w:pitch w:val="default"/>
    <w:sig w:usb0="E10002FF" w:usb1="4000ACFF" w:usb2="00000009" w:usb3="00000000" w:csb0="2000019F" w:csb1="00000000"/>
  </w:font>
  <w:font w:name="Tahoma">
    <w:panose1 w:val="020B0804030504040204"/>
    <w:charset w:val="00"/>
    <w:family w:val="auto"/>
    <w:pitch w:val="default"/>
    <w:sig w:usb0="E1002AFF" w:usb1="C000605B" w:usb2="00000029" w:usb3="00000000" w:csb0="200101FF" w:csb1="20280000"/>
  </w:font>
  <w:font w:name="SimSun">
    <w:panose1 w:val="02010600030101010101"/>
    <w:charset w:val="86"/>
    <w:family w:val="auto"/>
    <w:pitch w:val="default"/>
    <w:sig w:usb0="00000003" w:usb1="288F0000" w:usb2="00000006" w:usb3="00000000" w:csb0="00040001" w:csb1="00000000"/>
  </w:font>
  <w:font w:name="MS Gothic">
    <w:panose1 w:val="020B0609070205080204"/>
    <w:charset w:val="80"/>
    <w:family w:val="modern"/>
    <w:pitch w:val="default"/>
    <w:sig w:usb0="E00002FF" w:usb1="6AC7FDFB" w:usb2="00000012" w:usb3="00000000" w:csb0="4002009F" w:csb1="DFD70000"/>
  </w:font>
  <w:font w:name="Arial Regular">
    <w:panose1 w:val="020B0604020202090204"/>
    <w:charset w:val="00"/>
    <w:family w:val="auto"/>
    <w:pitch w:val="default"/>
    <w:sig w:usb0="E0000AFF" w:usb1="00007843" w:usb2="00000001" w:usb3="00000000" w:csb0="400001BF" w:csb1="DFF70000"/>
  </w:font>
  <w:font w:name="Microsoft YaHei">
    <w:panose1 w:val="020B0503020204020204"/>
    <w:charset w:val="86"/>
    <w:family w:val="swiss"/>
    <w:pitch w:val="default"/>
    <w:sig w:usb0="80000287" w:usb1="280F3C52" w:usb2="00000016" w:usb3="00000000" w:csb0="0004001F" w:csb1="00000000"/>
  </w:font>
  <w:font w:name="微软雅黑">
    <w:panose1 w:val="020B0503020204020204"/>
    <w:charset w:val="86"/>
    <w:family w:val="auto"/>
    <w:pitch w:val="default"/>
    <w:sig w:usb0="80000287" w:usb1="280F3C52" w:usb2="00000016" w:usb3="00000000" w:csb0="0004001F" w:csb1="00000000"/>
  </w:font>
  <w:font w:name="Arial Bold">
    <w:panose1 w:val="020B0604020202090204"/>
    <w:charset w:val="00"/>
    <w:family w:val="auto"/>
    <w:pitch w:val="default"/>
    <w:sig w:usb0="E0000AFF" w:usb1="00007843" w:usb2="00000001" w:usb3="00000000" w:csb0="400001BF" w:csb1="DFF70000"/>
  </w:font>
  <w:font w:name="Arial Italic">
    <w:panose1 w:val="020B0604020202090204"/>
    <w:charset w:val="00"/>
    <w:family w:val="auto"/>
    <w:pitch w:val="default"/>
    <w:sig w:usb0="E0000AFF" w:usb1="00007843" w:usb2="00000001" w:usb3="00000000" w:csb0="400001BF" w:csb1="DFF70000"/>
  </w:font>
  <w:font w:name="ＭＳ 明朝">
    <w:panose1 w:val="02020609040205080304"/>
    <w:charset w:val="80"/>
    <w:family w:val="roman"/>
    <w:pitch w:val="default"/>
    <w:sig w:usb0="E00002FF" w:usb1="6AC7FDFB" w:usb2="00000012" w:usb3="00000000" w:csb0="4002009F" w:csb1="DFD70000"/>
  </w:font>
  <w:font w:name="Agency FB">
    <w:altName w:val="Helvetica Neue"/>
    <w:panose1 w:val="020B0503020202020204"/>
    <w:charset w:val="4D"/>
    <w:family w:val="swiss"/>
    <w:pitch w:val="default"/>
    <w:sig w:usb0="00000000" w:usb1="00000000" w:usb2="00000000" w:usb3="00000000" w:csb0="00000001" w:csb1="00000000"/>
  </w:font>
  <w:font w:name="冬青黑体简体中文">
    <w:panose1 w:val="020B0300000000000000"/>
    <w:charset w:val="86"/>
    <w:family w:val="auto"/>
    <w:pitch w:val="default"/>
    <w:sig w:usb0="A00002BF" w:usb1="1ACF7CFA" w:usb2="00000016" w:usb3="00000000" w:csb0="00060007" w:csb1="00000000"/>
  </w:font>
  <w:font w:name="Apple Symbols">
    <w:panose1 w:val="02000000000000000000"/>
    <w:charset w:val="00"/>
    <w:family w:val="auto"/>
    <w:pitch w:val="default"/>
    <w:sig w:usb0="800000A3" w:usb1="08007BEB" w:usb2="01840034" w:usb3="0000A268" w:csb0="200001FB" w:csb1="DDFF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1110303"/>
    </w:sdtPr>
    <w:sdtContent>
      <w:p w14:paraId="352D1556">
        <w:pPr>
          <w:pStyle w:val="8"/>
          <w:jc w:val="center"/>
        </w:pPr>
        <w:r>
          <w:fldChar w:fldCharType="begin"/>
        </w:r>
        <w:r>
          <w:instrText xml:space="preserve"> PAGE   \* MERGEFORMAT </w:instrText>
        </w:r>
        <w:r>
          <w:fldChar w:fldCharType="separate"/>
        </w:r>
        <w:r>
          <w:t>1</w:t>
        </w:r>
        <w:r>
          <w:fldChar w:fldCharType="end"/>
        </w:r>
      </w:p>
    </w:sdtContent>
  </w:sdt>
  <w:p w14:paraId="1D984B47">
    <w:pPr>
      <w:pStyle w:val="8"/>
      <w:tabs>
        <w:tab w:val="center" w:pos="4536"/>
        <w:tab w:val="left" w:pos="7371"/>
        <w:tab w:val="clear" w:pos="4320"/>
      </w:tabs>
      <w:ind w:right="-755"/>
    </w:pPr>
    <w:r>
      <w:t>November 2020                                                                                                  PG1 Full Research Proposal</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F5B29">
    <w:pPr>
      <w:pStyle w:val="9"/>
    </w:pPr>
    <w:r>
      <w:drawing>
        <wp:anchor distT="0" distB="0" distL="114300" distR="114300" simplePos="0" relativeHeight="251659264" behindDoc="0" locked="0" layoutInCell="1" allowOverlap="1">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14:paraId="4A193286">
    <w:pPr>
      <w:pStyle w:val="9"/>
      <w:jc w:val="right"/>
    </w:pPr>
    <w:r>
      <w:tab/>
    </w:r>
    <w:r>
      <w:tab/>
    </w:r>
    <w:r>
      <w:tab/>
    </w:r>
    <w:r>
      <w:tab/>
    </w:r>
    <w:r>
      <w:t>Appendix PG1</w:t>
    </w:r>
  </w:p>
  <w:p w14:paraId="43B41778">
    <w:pPr>
      <w:pStyle w:val="9"/>
    </w:pPr>
  </w:p>
  <w:p w14:paraId="6EF539CC">
    <w:pPr>
      <w:pStyle w:val="9"/>
    </w:pPr>
  </w:p>
  <w:p w14:paraId="50B733D4">
    <w:pPr>
      <w:pStyle w:val="9"/>
    </w:pPr>
  </w:p>
  <w:p w14:paraId="1F4C3B70">
    <w:pPr>
      <w:pStyle w:val="9"/>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455CF"/>
    <w:multiLevelType w:val="singleLevel"/>
    <w:tmpl w:val="EFF455CF"/>
    <w:lvl w:ilvl="0" w:tentative="0">
      <w:start w:val="1"/>
      <w:numFmt w:val="decimal"/>
      <w:suff w:val="space"/>
      <w:lvlText w:val="%1."/>
      <w:lvlJc w:val="left"/>
    </w:lvl>
  </w:abstractNum>
  <w:abstractNum w:abstractNumId="1">
    <w:nsid w:val="FEE79E57"/>
    <w:multiLevelType w:val="singleLevel"/>
    <w:tmpl w:val="FEE79E57"/>
    <w:lvl w:ilvl="0" w:tentative="0">
      <w:start w:val="1"/>
      <w:numFmt w:val="decimal"/>
      <w:lvlText w:val="%1."/>
      <w:lvlJc w:val="left"/>
      <w:pPr>
        <w:ind w:left="425" w:hanging="425"/>
      </w:pPr>
      <w:rPr>
        <w:rFonts w:hint="default"/>
      </w:rPr>
    </w:lvl>
  </w:abstractNum>
  <w:abstractNum w:abstractNumId="2">
    <w:nsid w:val="FF6F868F"/>
    <w:multiLevelType w:val="singleLevel"/>
    <w:tmpl w:val="FF6F868F"/>
    <w:lvl w:ilvl="0" w:tentative="0">
      <w:start w:val="3"/>
      <w:numFmt w:val="decimal"/>
      <w:suff w:val="space"/>
      <w:lvlText w:val="%1."/>
      <w:lvlJc w:val="left"/>
    </w:lvl>
  </w:abstractNum>
  <w:abstractNum w:abstractNumId="3">
    <w:nsid w:val="FFDEDC09"/>
    <w:multiLevelType w:val="singleLevel"/>
    <w:tmpl w:val="FFDEDC09"/>
    <w:lvl w:ilvl="0" w:tentative="0">
      <w:start w:val="6"/>
      <w:numFmt w:val="decimal"/>
      <w:suff w:val="space"/>
      <w:lvlText w:val="%1."/>
      <w:lvlJc w:val="left"/>
    </w:lvl>
  </w:abstractNum>
  <w:abstractNum w:abstractNumId="4">
    <w:nsid w:val="128B0ABE"/>
    <w:multiLevelType w:val="multilevel"/>
    <w:tmpl w:val="128B0AB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75F017F"/>
    <w:multiLevelType w:val="multilevel"/>
    <w:tmpl w:val="375F017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71731D98"/>
    <w:multiLevelType w:val="multilevel"/>
    <w:tmpl w:val="71731D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80352D0"/>
    <w:multiLevelType w:val="multilevel"/>
    <w:tmpl w:val="780352D0"/>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4"/>
  </w:num>
  <w:num w:numId="2">
    <w:abstractNumId w:val="5"/>
  </w:num>
  <w:num w:numId="3">
    <w:abstractNumId w:val="7"/>
  </w:num>
  <w:num w:numId="4">
    <w:abstractNumId w:val="0"/>
  </w:num>
  <w:num w:numId="5">
    <w:abstractNumId w:val="3"/>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6"/>
  <w:embedSystemFonts/>
  <w:bordersDoNotSurroundHeader w:val="0"/>
  <w:bordersDoNotSurroundFooter w:val="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VkNjdlMGQzMzk2NDU5YWIxY2E5Mjc1ZTU3MjEzZTEifQ=="/>
  </w:docVars>
  <w:rsids>
    <w:rsidRoot w:val="009A654D"/>
    <w:rsid w:val="00000000"/>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5D23"/>
    <w:rsid w:val="00166B83"/>
    <w:rsid w:val="00172F4C"/>
    <w:rsid w:val="00173CC3"/>
    <w:rsid w:val="00185554"/>
    <w:rsid w:val="001B1EEF"/>
    <w:rsid w:val="001C367F"/>
    <w:rsid w:val="001C6B27"/>
    <w:rsid w:val="001D074C"/>
    <w:rsid w:val="001D71EA"/>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39F3"/>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9D3"/>
    <w:rsid w:val="00541CFE"/>
    <w:rsid w:val="005513E3"/>
    <w:rsid w:val="0055230D"/>
    <w:rsid w:val="00556BFF"/>
    <w:rsid w:val="00557BD7"/>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7DFA"/>
    <w:rsid w:val="00753EDE"/>
    <w:rsid w:val="00763457"/>
    <w:rsid w:val="00795C79"/>
    <w:rsid w:val="007A0692"/>
    <w:rsid w:val="007A3641"/>
    <w:rsid w:val="007C2A63"/>
    <w:rsid w:val="007C755A"/>
    <w:rsid w:val="007E550E"/>
    <w:rsid w:val="007F6FC1"/>
    <w:rsid w:val="00802E0D"/>
    <w:rsid w:val="00816ED8"/>
    <w:rsid w:val="00820E04"/>
    <w:rsid w:val="00825E70"/>
    <w:rsid w:val="0083144B"/>
    <w:rsid w:val="00831EF8"/>
    <w:rsid w:val="00832FEA"/>
    <w:rsid w:val="008422EE"/>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12AB0"/>
    <w:rsid w:val="00B273A5"/>
    <w:rsid w:val="00B3408B"/>
    <w:rsid w:val="00B65D5E"/>
    <w:rsid w:val="00B70B7E"/>
    <w:rsid w:val="00B718D3"/>
    <w:rsid w:val="00B7757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20553"/>
    <w:rsid w:val="00F26723"/>
    <w:rsid w:val="00F274DA"/>
    <w:rsid w:val="00F41F11"/>
    <w:rsid w:val="00F50670"/>
    <w:rsid w:val="00F6356A"/>
    <w:rsid w:val="00F65BA4"/>
    <w:rsid w:val="00F65ECA"/>
    <w:rsid w:val="00F678E5"/>
    <w:rsid w:val="00F7569E"/>
    <w:rsid w:val="00F77B80"/>
    <w:rsid w:val="00F8710D"/>
    <w:rsid w:val="00F901BB"/>
    <w:rsid w:val="00F9606E"/>
    <w:rsid w:val="00FD60D8"/>
    <w:rsid w:val="00FD70D5"/>
    <w:rsid w:val="00FE3258"/>
    <w:rsid w:val="00FF5FBE"/>
    <w:rsid w:val="07F7A3B6"/>
    <w:rsid w:val="0F2B8F97"/>
    <w:rsid w:val="10A18646"/>
    <w:rsid w:val="13CF3674"/>
    <w:rsid w:val="157C1479"/>
    <w:rsid w:val="17EBB6C8"/>
    <w:rsid w:val="1A5F5E49"/>
    <w:rsid w:val="1B9C4DE9"/>
    <w:rsid w:val="1FBFB800"/>
    <w:rsid w:val="1FDAA6A7"/>
    <w:rsid w:val="237B2421"/>
    <w:rsid w:val="2C3FE78E"/>
    <w:rsid w:val="2D739D50"/>
    <w:rsid w:val="2F3F7FFA"/>
    <w:rsid w:val="2FD290C7"/>
    <w:rsid w:val="2FFA3D82"/>
    <w:rsid w:val="2FFFA485"/>
    <w:rsid w:val="32FF7E3E"/>
    <w:rsid w:val="33F9ABF0"/>
    <w:rsid w:val="376F8151"/>
    <w:rsid w:val="37DE2B10"/>
    <w:rsid w:val="397FBA9F"/>
    <w:rsid w:val="3A13BD2A"/>
    <w:rsid w:val="3AF7E5F8"/>
    <w:rsid w:val="3AFF2909"/>
    <w:rsid w:val="3B2FDA0F"/>
    <w:rsid w:val="3C7F7C47"/>
    <w:rsid w:val="3D7D12C8"/>
    <w:rsid w:val="3DE7355C"/>
    <w:rsid w:val="3DEFBAA6"/>
    <w:rsid w:val="3EDF838F"/>
    <w:rsid w:val="3EF29BF9"/>
    <w:rsid w:val="3F7E87F6"/>
    <w:rsid w:val="3F7FD983"/>
    <w:rsid w:val="3F9B86C1"/>
    <w:rsid w:val="3FBFFF9B"/>
    <w:rsid w:val="3FE3AD24"/>
    <w:rsid w:val="3FFBDF64"/>
    <w:rsid w:val="3FFC25BB"/>
    <w:rsid w:val="3FFF0FD4"/>
    <w:rsid w:val="3FFF21CD"/>
    <w:rsid w:val="46BF0F34"/>
    <w:rsid w:val="47CF0E74"/>
    <w:rsid w:val="487FD048"/>
    <w:rsid w:val="4B4F521A"/>
    <w:rsid w:val="4B5F06FB"/>
    <w:rsid w:val="4C7FD2B4"/>
    <w:rsid w:val="4DBD300A"/>
    <w:rsid w:val="4FF9BF31"/>
    <w:rsid w:val="52F3B32D"/>
    <w:rsid w:val="55DB35BA"/>
    <w:rsid w:val="55EEC6B7"/>
    <w:rsid w:val="57CF770A"/>
    <w:rsid w:val="5BCFBAFC"/>
    <w:rsid w:val="5BEF655F"/>
    <w:rsid w:val="5D6F7A82"/>
    <w:rsid w:val="5E1F2559"/>
    <w:rsid w:val="5E7EB488"/>
    <w:rsid w:val="5F7F3927"/>
    <w:rsid w:val="5F7FE6A5"/>
    <w:rsid w:val="5F9F7DB2"/>
    <w:rsid w:val="5FAC3AC4"/>
    <w:rsid w:val="5FE6BA7F"/>
    <w:rsid w:val="60DE46EC"/>
    <w:rsid w:val="6249D3FD"/>
    <w:rsid w:val="657E5597"/>
    <w:rsid w:val="65C65A5C"/>
    <w:rsid w:val="65EE6FCE"/>
    <w:rsid w:val="66DB1157"/>
    <w:rsid w:val="67CB526C"/>
    <w:rsid w:val="67F7AFDD"/>
    <w:rsid w:val="68D9151E"/>
    <w:rsid w:val="68FF1F97"/>
    <w:rsid w:val="69FEDFD2"/>
    <w:rsid w:val="6ADDA83D"/>
    <w:rsid w:val="6B8FCF62"/>
    <w:rsid w:val="6CFFD4E1"/>
    <w:rsid w:val="6FBDCAEF"/>
    <w:rsid w:val="6FE77500"/>
    <w:rsid w:val="6FEACC18"/>
    <w:rsid w:val="6FFD6FB6"/>
    <w:rsid w:val="71FB6266"/>
    <w:rsid w:val="73B67E04"/>
    <w:rsid w:val="73F732F8"/>
    <w:rsid w:val="73FD1F14"/>
    <w:rsid w:val="75B5D85F"/>
    <w:rsid w:val="75FFF6B3"/>
    <w:rsid w:val="767EB70E"/>
    <w:rsid w:val="76F61734"/>
    <w:rsid w:val="777FD707"/>
    <w:rsid w:val="77AB54F7"/>
    <w:rsid w:val="77B48AC3"/>
    <w:rsid w:val="77B79C02"/>
    <w:rsid w:val="77BDE3F5"/>
    <w:rsid w:val="77BE1969"/>
    <w:rsid w:val="77CAF12F"/>
    <w:rsid w:val="77F71FF4"/>
    <w:rsid w:val="77FAE9CF"/>
    <w:rsid w:val="77FB5E55"/>
    <w:rsid w:val="77FBD2B4"/>
    <w:rsid w:val="77FF3CA5"/>
    <w:rsid w:val="77FFC7EE"/>
    <w:rsid w:val="77FFCF40"/>
    <w:rsid w:val="7930396C"/>
    <w:rsid w:val="797F80C1"/>
    <w:rsid w:val="7A7E3C51"/>
    <w:rsid w:val="7AA6C307"/>
    <w:rsid w:val="7AFF4CF3"/>
    <w:rsid w:val="7B7DF50A"/>
    <w:rsid w:val="7BA704B1"/>
    <w:rsid w:val="7BBE43D0"/>
    <w:rsid w:val="7BBF1538"/>
    <w:rsid w:val="7BD898CF"/>
    <w:rsid w:val="7BEFDD33"/>
    <w:rsid w:val="7C7FBD84"/>
    <w:rsid w:val="7C9B54C5"/>
    <w:rsid w:val="7CEB7750"/>
    <w:rsid w:val="7CEFFEAE"/>
    <w:rsid w:val="7CF3649C"/>
    <w:rsid w:val="7CFF0721"/>
    <w:rsid w:val="7CFF45B8"/>
    <w:rsid w:val="7D1EA1C3"/>
    <w:rsid w:val="7D5D8D82"/>
    <w:rsid w:val="7D5EA805"/>
    <w:rsid w:val="7DDBD74E"/>
    <w:rsid w:val="7DE52E99"/>
    <w:rsid w:val="7DF12AD5"/>
    <w:rsid w:val="7E76A88F"/>
    <w:rsid w:val="7EB9342F"/>
    <w:rsid w:val="7EBE7C90"/>
    <w:rsid w:val="7EBFB160"/>
    <w:rsid w:val="7EE6DEAC"/>
    <w:rsid w:val="7EF72B5D"/>
    <w:rsid w:val="7EF769BE"/>
    <w:rsid w:val="7EF99BD7"/>
    <w:rsid w:val="7EFE30DA"/>
    <w:rsid w:val="7EFF1576"/>
    <w:rsid w:val="7EFF7995"/>
    <w:rsid w:val="7F211F44"/>
    <w:rsid w:val="7F357E72"/>
    <w:rsid w:val="7F771573"/>
    <w:rsid w:val="7F7B1798"/>
    <w:rsid w:val="7F7D5343"/>
    <w:rsid w:val="7F9F4DFA"/>
    <w:rsid w:val="7FB56D10"/>
    <w:rsid w:val="7FB6CC72"/>
    <w:rsid w:val="7FBB95A0"/>
    <w:rsid w:val="7FBBC148"/>
    <w:rsid w:val="7FBE46D1"/>
    <w:rsid w:val="7FBFE813"/>
    <w:rsid w:val="7FBFF0F1"/>
    <w:rsid w:val="7FD64907"/>
    <w:rsid w:val="7FD70A65"/>
    <w:rsid w:val="7FDA6078"/>
    <w:rsid w:val="7FE73102"/>
    <w:rsid w:val="7FEF32B4"/>
    <w:rsid w:val="7FEFB400"/>
    <w:rsid w:val="7FF6F5C5"/>
    <w:rsid w:val="7FF9BFFB"/>
    <w:rsid w:val="7FFB1883"/>
    <w:rsid w:val="7FFB53DB"/>
    <w:rsid w:val="7FFD1EDD"/>
    <w:rsid w:val="7FFF6DBB"/>
    <w:rsid w:val="7FFF953A"/>
    <w:rsid w:val="7FFFF028"/>
    <w:rsid w:val="877A1DAA"/>
    <w:rsid w:val="968F6264"/>
    <w:rsid w:val="9CBA19EF"/>
    <w:rsid w:val="9D6E4701"/>
    <w:rsid w:val="9DFF1976"/>
    <w:rsid w:val="9E7E363C"/>
    <w:rsid w:val="9FDC0D2B"/>
    <w:rsid w:val="9FFF4007"/>
    <w:rsid w:val="A5EF4DF7"/>
    <w:rsid w:val="A77BE3FB"/>
    <w:rsid w:val="A7DF0D5A"/>
    <w:rsid w:val="AC79D1CC"/>
    <w:rsid w:val="ADCF9B6B"/>
    <w:rsid w:val="AFEBD5D1"/>
    <w:rsid w:val="AFEE6B36"/>
    <w:rsid w:val="AFFF7C1E"/>
    <w:rsid w:val="B35ED3BB"/>
    <w:rsid w:val="B37F61CC"/>
    <w:rsid w:val="B4F97562"/>
    <w:rsid w:val="B6EFC42E"/>
    <w:rsid w:val="B79DD545"/>
    <w:rsid w:val="BC7F2AA1"/>
    <w:rsid w:val="BD5EC1AA"/>
    <w:rsid w:val="BDCB59FC"/>
    <w:rsid w:val="BDDF473F"/>
    <w:rsid w:val="BDF7F274"/>
    <w:rsid w:val="BE5D22CC"/>
    <w:rsid w:val="BEEFF3A0"/>
    <w:rsid w:val="BF2EBD7E"/>
    <w:rsid w:val="BF9DBE16"/>
    <w:rsid w:val="BF9F9169"/>
    <w:rsid w:val="BFB2526E"/>
    <w:rsid w:val="BFBBF94A"/>
    <w:rsid w:val="BFEFC828"/>
    <w:rsid w:val="C3BB5569"/>
    <w:rsid w:val="C77A9ADE"/>
    <w:rsid w:val="C77F3663"/>
    <w:rsid w:val="C7B5C6A6"/>
    <w:rsid w:val="C7BF4FF6"/>
    <w:rsid w:val="C7FBD1B5"/>
    <w:rsid w:val="C97F3F7B"/>
    <w:rsid w:val="C9FE2857"/>
    <w:rsid w:val="CB7F1E0C"/>
    <w:rsid w:val="CBBF3EE2"/>
    <w:rsid w:val="CD675B79"/>
    <w:rsid w:val="CDFE44DC"/>
    <w:rsid w:val="CDFF8EEA"/>
    <w:rsid w:val="CEDADD91"/>
    <w:rsid w:val="CFBF110A"/>
    <w:rsid w:val="CFC3C696"/>
    <w:rsid w:val="D1F6C9E4"/>
    <w:rsid w:val="D2F75498"/>
    <w:rsid w:val="D3BF3673"/>
    <w:rsid w:val="D3DD47A8"/>
    <w:rsid w:val="D5B76D1E"/>
    <w:rsid w:val="D5DAF93E"/>
    <w:rsid w:val="D76135FD"/>
    <w:rsid w:val="D93E5F0B"/>
    <w:rsid w:val="D97974A0"/>
    <w:rsid w:val="DB7F9E29"/>
    <w:rsid w:val="DBDA2838"/>
    <w:rsid w:val="DBF5B0EE"/>
    <w:rsid w:val="DBFF0FA2"/>
    <w:rsid w:val="DBFF7234"/>
    <w:rsid w:val="DCFE0336"/>
    <w:rsid w:val="DD791909"/>
    <w:rsid w:val="DDFE5C64"/>
    <w:rsid w:val="DE162B5C"/>
    <w:rsid w:val="DEBB6E08"/>
    <w:rsid w:val="DEEA82B7"/>
    <w:rsid w:val="DF4DF061"/>
    <w:rsid w:val="DFBBE700"/>
    <w:rsid w:val="DFBED8B3"/>
    <w:rsid w:val="DFBFAB91"/>
    <w:rsid w:val="DFCB7A7C"/>
    <w:rsid w:val="DFE753C9"/>
    <w:rsid w:val="DFFD678B"/>
    <w:rsid w:val="DFFEE076"/>
    <w:rsid w:val="DFFF7253"/>
    <w:rsid w:val="E3BF5477"/>
    <w:rsid w:val="E3F7A3B5"/>
    <w:rsid w:val="E51CCDCD"/>
    <w:rsid w:val="E5BF0A18"/>
    <w:rsid w:val="E65F32CF"/>
    <w:rsid w:val="E6E8FEC3"/>
    <w:rsid w:val="E727CDBA"/>
    <w:rsid w:val="E7DFEB6B"/>
    <w:rsid w:val="E7FF8B81"/>
    <w:rsid w:val="E8ED7DB8"/>
    <w:rsid w:val="E99DD150"/>
    <w:rsid w:val="EBDEE344"/>
    <w:rsid w:val="ED3D2C4A"/>
    <w:rsid w:val="EDEAD273"/>
    <w:rsid w:val="EDFFAD97"/>
    <w:rsid w:val="EECF7D0D"/>
    <w:rsid w:val="EEFF484D"/>
    <w:rsid w:val="EF192989"/>
    <w:rsid w:val="EF5F8AD2"/>
    <w:rsid w:val="EF6EB743"/>
    <w:rsid w:val="EF878A2A"/>
    <w:rsid w:val="EFAC5455"/>
    <w:rsid w:val="EFBEECBF"/>
    <w:rsid w:val="EFFEACC4"/>
    <w:rsid w:val="EFFEC3A1"/>
    <w:rsid w:val="EFFF2498"/>
    <w:rsid w:val="EFFFD27C"/>
    <w:rsid w:val="F1ED63A1"/>
    <w:rsid w:val="F2FF8BFA"/>
    <w:rsid w:val="F3DECCE1"/>
    <w:rsid w:val="F3EF3857"/>
    <w:rsid w:val="F3FF2E3A"/>
    <w:rsid w:val="F4B7D1B1"/>
    <w:rsid w:val="F5EB680A"/>
    <w:rsid w:val="F5F64B8F"/>
    <w:rsid w:val="F6AFA334"/>
    <w:rsid w:val="F6FA89A9"/>
    <w:rsid w:val="F77BCF92"/>
    <w:rsid w:val="F7AB19AD"/>
    <w:rsid w:val="F7D9956B"/>
    <w:rsid w:val="F7F7F19E"/>
    <w:rsid w:val="F7FC68BE"/>
    <w:rsid w:val="F7FEDCEA"/>
    <w:rsid w:val="F7FF0F55"/>
    <w:rsid w:val="F7FF10D3"/>
    <w:rsid w:val="F82FF19D"/>
    <w:rsid w:val="F99FA089"/>
    <w:rsid w:val="F9CEAFA9"/>
    <w:rsid w:val="F9F62AC8"/>
    <w:rsid w:val="F9FE5E7A"/>
    <w:rsid w:val="F9FF6D0B"/>
    <w:rsid w:val="FB77C794"/>
    <w:rsid w:val="FB984CA0"/>
    <w:rsid w:val="FBBB37A2"/>
    <w:rsid w:val="FBBB6FD4"/>
    <w:rsid w:val="FBCB1011"/>
    <w:rsid w:val="FBD70F6D"/>
    <w:rsid w:val="FCA7F5E5"/>
    <w:rsid w:val="FCFF089A"/>
    <w:rsid w:val="FDAB460C"/>
    <w:rsid w:val="FDF5F213"/>
    <w:rsid w:val="FE17676E"/>
    <w:rsid w:val="FE546C04"/>
    <w:rsid w:val="FE96995C"/>
    <w:rsid w:val="FEDD1994"/>
    <w:rsid w:val="FEFF8B5A"/>
    <w:rsid w:val="FF6DF1C9"/>
    <w:rsid w:val="FF7B8DF4"/>
    <w:rsid w:val="FF7F77E1"/>
    <w:rsid w:val="FF8FB70E"/>
    <w:rsid w:val="FF9D1B62"/>
    <w:rsid w:val="FFADDA50"/>
    <w:rsid w:val="FFAF18DE"/>
    <w:rsid w:val="FFC7423D"/>
    <w:rsid w:val="FFD7460C"/>
    <w:rsid w:val="FFDF3392"/>
    <w:rsid w:val="FFDF835A"/>
    <w:rsid w:val="FFDFDE46"/>
    <w:rsid w:val="FFEBD6D7"/>
    <w:rsid w:val="FFEE16F3"/>
    <w:rsid w:val="FFF50026"/>
    <w:rsid w:val="FFF5B3F2"/>
    <w:rsid w:val="FFF7EEAE"/>
    <w:rsid w:val="FFF82394"/>
    <w:rsid w:val="FFF9FEB7"/>
    <w:rsid w:val="FFFB3D2F"/>
    <w:rsid w:val="FFFDC982"/>
    <w:rsid w:val="FFFECBF7"/>
    <w:rsid w:val="FFFF11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3"/>
    <w:unhideWhenUsed/>
    <w:qFormat/>
    <w:uiPriority w:val="99"/>
    <w:rPr>
      <w:lang w:val="zh-CN" w:eastAsia="zh-CN"/>
    </w:rPr>
  </w:style>
  <w:style w:type="paragraph" w:styleId="5">
    <w:name w:val="Body Text"/>
    <w:basedOn w:val="1"/>
    <w:qFormat/>
    <w:uiPriority w:val="0"/>
    <w:pPr>
      <w:jc w:val="both"/>
    </w:pPr>
    <w:rPr>
      <w:b/>
    </w:rPr>
  </w:style>
  <w:style w:type="paragraph" w:styleId="6">
    <w:name w:val="Block Text"/>
    <w:basedOn w:val="1"/>
    <w:qFormat/>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qFormat/>
    <w:uiPriority w:val="0"/>
    <w:rPr>
      <w:rFonts w:ascii="Tahoma" w:hAnsi="Tahoma" w:cs="Tahoma"/>
      <w:sz w:val="16"/>
      <w:szCs w:val="16"/>
    </w:rPr>
  </w:style>
  <w:style w:type="paragraph" w:styleId="8">
    <w:name w:val="footer"/>
    <w:basedOn w:val="1"/>
    <w:link w:val="25"/>
    <w:qFormat/>
    <w:uiPriority w:val="99"/>
    <w:pPr>
      <w:tabs>
        <w:tab w:val="center" w:pos="4320"/>
        <w:tab w:val="right" w:pos="8640"/>
      </w:tabs>
    </w:pPr>
  </w:style>
  <w:style w:type="paragraph" w:styleId="9">
    <w:name w:val="header"/>
    <w:basedOn w:val="1"/>
    <w:qFormat/>
    <w:uiPriority w:val="0"/>
    <w:pPr>
      <w:tabs>
        <w:tab w:val="center" w:pos="4320"/>
        <w:tab w:val="right" w:pos="8640"/>
      </w:tabs>
    </w:pPr>
  </w:style>
  <w:style w:type="paragraph" w:styleId="10">
    <w:name w:val="footnote text"/>
    <w:basedOn w:val="1"/>
    <w:semiHidden/>
    <w:qFormat/>
    <w:uiPriority w:val="0"/>
  </w:style>
  <w:style w:type="paragraph" w:styleId="11">
    <w:name w:val="Normal (Web)"/>
    <w:basedOn w:val="1"/>
    <w:unhideWhenUsed/>
    <w:qFormat/>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4"/>
    <w:unhideWhenUsed/>
    <w:qFormat/>
    <w:uiPriority w:val="99"/>
    <w:rPr>
      <w:b/>
      <w:bCs/>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unhideWhenUsed/>
    <w:qFormat/>
    <w:uiPriority w:val="99"/>
    <w:rPr>
      <w:sz w:val="16"/>
      <w:szCs w:val="16"/>
    </w:rPr>
  </w:style>
  <w:style w:type="character" w:styleId="20">
    <w:name w:val="footnote reference"/>
    <w:semiHidden/>
    <w:qFormat/>
    <w:uiPriority w:val="0"/>
    <w:rPr>
      <w:vertAlign w:val="superscript"/>
    </w:rPr>
  </w:style>
  <w:style w:type="paragraph" w:customStyle="1" w:styleId="21">
    <w:name w:val="Heading Erasmod"/>
    <w:basedOn w:val="3"/>
    <w:qFormat/>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2">
    <w:name w:val="Medium List 2 - Accent 21"/>
    <w:hidden/>
    <w:semiHidden/>
    <w:qFormat/>
    <w:uiPriority w:val="99"/>
    <w:rPr>
      <w:rFonts w:ascii="Arial" w:hAnsi="Arial" w:eastAsia="Times New Roman" w:cs="Times New Roman"/>
      <w:lang w:val="en-GB" w:eastAsia="en-GB" w:bidi="ar-SA"/>
    </w:rPr>
  </w:style>
  <w:style w:type="character" w:customStyle="1" w:styleId="23">
    <w:name w:val="Comment Text Char"/>
    <w:link w:val="4"/>
    <w:semiHidden/>
    <w:qFormat/>
    <w:uiPriority w:val="99"/>
    <w:rPr>
      <w:rFonts w:ascii="Arial" w:hAnsi="Arial"/>
    </w:rPr>
  </w:style>
  <w:style w:type="character" w:customStyle="1" w:styleId="24">
    <w:name w:val="Comment Subject Char"/>
    <w:link w:val="12"/>
    <w:semiHidden/>
    <w:qFormat/>
    <w:uiPriority w:val="99"/>
    <w:rPr>
      <w:rFonts w:ascii="Arial" w:hAnsi="Arial"/>
      <w:b/>
      <w:bCs/>
    </w:rPr>
  </w:style>
  <w:style w:type="character" w:customStyle="1" w:styleId="25">
    <w:name w:val="Footer Char"/>
    <w:link w:val="8"/>
    <w:qFormat/>
    <w:uiPriority w:val="99"/>
    <w:rPr>
      <w:rFonts w:ascii="Arial" w:hAnsi="Arial"/>
    </w:rPr>
  </w:style>
  <w:style w:type="paragraph" w:customStyle="1" w:styleId="26">
    <w:name w:val="List Paragraph1"/>
    <w:basedOn w:val="1"/>
    <w:qFormat/>
    <w:uiPriority w:val="99"/>
    <w:pPr>
      <w:ind w:left="720"/>
    </w:pPr>
  </w:style>
  <w:style w:type="paragraph" w:customStyle="1" w:styleId="27">
    <w:name w:val="Revision1"/>
    <w:hidden/>
    <w:semiHidden/>
    <w:qFormat/>
    <w:uiPriority w:val="99"/>
    <w:rPr>
      <w:rFonts w:ascii="Arial" w:hAnsi="Arial" w:eastAsia="Times New Roman" w:cs="Times New Roman"/>
      <w:lang w:val="en-GB" w:eastAsia="en-GB" w:bidi="ar-SA"/>
    </w:rPr>
  </w:style>
  <w:style w:type="paragraph" w:customStyle="1" w:styleId="28">
    <w:name w:val="No Spacing1"/>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29">
    <w:name w:val="Unresolved Mention1"/>
    <w:basedOn w:val="15"/>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UWTSD</Company>
  <Pages>14</Pages>
  <TotalTime>99</TotalTime>
  <ScaleCrop>false</ScaleCrop>
  <LinksUpToDate>false</LinksUpToDate>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2020-11-25T16:17:00Z</dcterms:created>
  <dc:creator>Academic Office</dc:creator>
  <cp:lastModifiedBy>WPS_1740324890</cp:lastModifiedBy>
  <cp:lastPrinted>2016-11-03T16:01:00Z</cp:lastPrinted>
  <dcterms:modified xsi:type="dcterms:W3CDTF">2025-09-05T14:31:54Z</dcterms:modified>
  <dc:title>PG1</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0x010100332978FBD0EAF74FACDB1C5A1673B1C8</vt:lpwstr>
  </property>
  <property fmtid="{D5CDD505-2E9C-101B-9397-08002B2CF9AE}" pid="6" name="KSOProductBuildVer">
    <vt:lpwstr>2052-6.11.0.8885</vt:lpwstr>
  </property>
  <property fmtid="{D5CDD505-2E9C-101B-9397-08002B2CF9AE}" pid="7" name="MediaServiceImageTags">
    <vt:lpwstr/>
  </property>
  <property fmtid="{D5CDD505-2E9C-101B-9397-08002B2CF9AE}" pid="8" name="ICV">
    <vt:lpwstr>71D0740876D28223A08EB56857BEA4F0_43</vt:lpwstr>
  </property>
</Properties>
</file>